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38029F" w14:textId="742A1A8B" w:rsidR="004163FA" w:rsidRDefault="0098390A" w:rsidP="0013446F">
      <w:pPr>
        <w:pStyle w:val="ProtectiveMarking"/>
        <w:spacing w:before="1320" w:after="240"/>
        <w:jc w:val="left"/>
        <w:rPr>
          <w:caps w:val="0"/>
          <w:noProof w:val="0"/>
          <w:color w:val="191919" w:themeColor="text1" w:themeTint="E6"/>
        </w:rPr>
      </w:pPr>
      <w:sdt>
        <w:sdtPr>
          <w:alias w:val="Classification"/>
          <w:tag w:val="Classification"/>
          <w:id w:val="-521240474"/>
          <w:showingPlcHdr/>
          <w:dataBinding w:xpath="/root[1]/Classification[1]" w:storeItemID="{F533AE62-A212-4B26-92DA-A3B336E8AE06}"/>
          <w:dropDownList w:lastValue="">
            <w:listItem w:displayText="Choose Classification" w:value="Choose Classification"/>
            <w:listItem w:value="None"/>
            <w:listItem w:displayText="UNOFFICIAL" w:value="UNOFFICIAL"/>
            <w:listItem w:displayText="OFFICIAL" w:value="OFFICIAL"/>
            <w:listItem w:displayText="OFFICIAL: SENSITIVE" w:value="OFFICIAL: SENSITIVE"/>
            <w:listItem w:displayText="PROTECTED" w:value="PROTECTED"/>
            <w:listItem w:displayText="SECRET" w:value="SECRET"/>
            <w:listItem w:displayText="TOP SECRET AND CODEWORD" w:value="TOP SECRET AND CODEWORD"/>
          </w:dropDownList>
        </w:sdtPr>
        <w:sdtEndPr/>
        <w:sdtContent>
          <w:r w:rsidR="00C34341">
            <w:t xml:space="preserve">     </w:t>
          </w:r>
        </w:sdtContent>
      </w:sdt>
    </w:p>
    <w:p w14:paraId="08C94969" w14:textId="77777777" w:rsidR="009F4F4A" w:rsidRPr="009F4F4A" w:rsidRDefault="009F4F4A" w:rsidP="0098390A">
      <w:pPr>
        <w:pStyle w:val="Title"/>
      </w:pPr>
      <w:r w:rsidRPr="009F4F4A">
        <w:t xml:space="preserve">Priority Reform </w:t>
      </w:r>
      <w:r w:rsidRPr="0098390A">
        <w:t>Two</w:t>
      </w:r>
      <w:r w:rsidRPr="009F4F4A">
        <w:t xml:space="preserve">: Building the community-controlled sector </w:t>
      </w:r>
    </w:p>
    <w:p w14:paraId="2D11E4BD" w14:textId="77777777" w:rsidR="00437572" w:rsidRDefault="009F4F4A" w:rsidP="0098390A">
      <w:pPr>
        <w:pStyle w:val="Subtitle"/>
      </w:pPr>
      <w:r w:rsidRPr="009F4F4A">
        <w:t xml:space="preserve">2023 Sector Strengthening </w:t>
      </w:r>
      <w:r w:rsidRPr="0098390A">
        <w:t>Plan</w:t>
      </w:r>
      <w:r w:rsidRPr="009F4F4A">
        <w:t xml:space="preserve"> Action Updates</w:t>
      </w:r>
    </w:p>
    <w:p w14:paraId="2280E4DA" w14:textId="77777777" w:rsidR="00FD6A92" w:rsidRDefault="00FD6A92" w:rsidP="0098390A">
      <w:pPr>
        <w:pStyle w:val="Heading1"/>
      </w:pPr>
      <w:r>
        <w:t>Background:</w:t>
      </w:r>
    </w:p>
    <w:p w14:paraId="45D84FE5" w14:textId="77777777" w:rsidR="009F2A8D" w:rsidRDefault="009F2A8D" w:rsidP="0013446F">
      <w:pPr>
        <w:pStyle w:val="BodyText"/>
      </w:pPr>
      <w:r>
        <w:t xml:space="preserve">Parties to the National Agreement have committed to joint national strengthening effort through Sector Strengthening Plans which identify actions to build strong Aboriginal and Torres Strait Islander community-controlled sectors and organisations in line with the strong sector elements (sustained investment, dedicated workforce, supported by a Peak Body, with a dedicated reliable and consistent funding model). </w:t>
      </w:r>
    </w:p>
    <w:p w14:paraId="167DCFB9" w14:textId="442B1C19" w:rsidR="009F2A8D" w:rsidRDefault="009F2A8D" w:rsidP="0013446F">
      <w:pPr>
        <w:pStyle w:val="BodyText"/>
      </w:pPr>
      <w:r>
        <w:t xml:space="preserve">Sector Strengthening Plans for Health, Early Childhood Care and Development, Disability and Housing are published at </w:t>
      </w:r>
      <w:hyperlink r:id="rId12" w:history="1">
        <w:r w:rsidRPr="001333FD">
          <w:rPr>
            <w:rStyle w:val="Hyperlink"/>
          </w:rPr>
          <w:t>https://www.closingthegap.gov.au/resources</w:t>
        </w:r>
      </w:hyperlink>
      <w:r w:rsidR="00CC37F8">
        <w:t>.</w:t>
      </w:r>
    </w:p>
    <w:p w14:paraId="7396A347" w14:textId="77777777" w:rsidR="009F2A8D" w:rsidRDefault="009F2A8D" w:rsidP="0013446F">
      <w:pPr>
        <w:pStyle w:val="BodyText"/>
      </w:pPr>
      <w:r>
        <w:t xml:space="preserve">Clause 47 of the National Agreement states that 'Government Parties will include in their Jurisdictional annual reports information on action taken to strengthen the community-controlled sector based on the elements of a strong sector, as outlined in Clauses 118 and 119'. </w:t>
      </w:r>
    </w:p>
    <w:p w14:paraId="7502C809" w14:textId="77777777" w:rsidR="001333FD" w:rsidRDefault="009F2A8D" w:rsidP="0013446F">
      <w:pPr>
        <w:pStyle w:val="BodyText"/>
      </w:pPr>
      <w:r>
        <w:t xml:space="preserve">Sector Strengthening Plan actions, have been written by Commonwealth agencies in partnership, to reflect the views of the Coalition of Peaks members and community-controlled organisations. </w:t>
      </w:r>
    </w:p>
    <w:p w14:paraId="06C0FB2F" w14:textId="77777777" w:rsidR="001333FD" w:rsidRDefault="001333FD" w:rsidP="0098390A">
      <w:pPr>
        <w:pStyle w:val="Heading2"/>
      </w:pPr>
      <w:r w:rsidRPr="0098390A">
        <w:t>Health</w:t>
      </w:r>
      <w:bookmarkStart w:id="0" w:name="_GoBack"/>
      <w:bookmarkEnd w:id="0"/>
    </w:p>
    <w:p w14:paraId="3470DB91" w14:textId="77777777" w:rsidR="00955F25" w:rsidRPr="00955F25" w:rsidRDefault="0098390A" w:rsidP="00955F25">
      <w:pPr>
        <w:pStyle w:val="BodyText"/>
      </w:pPr>
      <w:hyperlink r:id="rId13" w:history="1">
        <w:r w:rsidR="00955F25" w:rsidRPr="0013446F">
          <w:rPr>
            <w:rStyle w:val="Hyperlink"/>
            <w:rFonts w:eastAsia="Times New Roman" w:cs="Calibri"/>
            <w:lang w:eastAsia="en-AU"/>
          </w:rPr>
          <w:t>Health Sector Strengthening Plan</w:t>
        </w:r>
      </w:hyperlink>
    </w:p>
    <w:tbl>
      <w:tblPr>
        <w:tblStyle w:val="NIAATable-bandedrows"/>
        <w:tblW w:w="20389" w:type="dxa"/>
        <w:tblLook w:val="04A0" w:firstRow="1" w:lastRow="0" w:firstColumn="1" w:lastColumn="0" w:noHBand="0" w:noVBand="1"/>
      </w:tblPr>
      <w:tblGrid>
        <w:gridCol w:w="1018"/>
        <w:gridCol w:w="2447"/>
        <w:gridCol w:w="2447"/>
        <w:gridCol w:w="2447"/>
        <w:gridCol w:w="2447"/>
        <w:gridCol w:w="9583"/>
      </w:tblGrid>
      <w:tr w:rsidR="001333FD" w14:paraId="7D500F6D" w14:textId="77777777" w:rsidTr="00D12069">
        <w:trPr>
          <w:cnfStyle w:val="100000000000" w:firstRow="1" w:lastRow="0" w:firstColumn="0" w:lastColumn="0" w:oddVBand="0" w:evenVBand="0" w:oddHBand="0" w:evenHBand="0" w:firstRowFirstColumn="0" w:firstRowLastColumn="0" w:lastRowFirstColumn="0" w:lastRowLastColumn="0"/>
          <w:cantSplit w:val="0"/>
        </w:trPr>
        <w:tc>
          <w:tcPr>
            <w:tcW w:w="250" w:type="pct"/>
          </w:tcPr>
          <w:p w14:paraId="68A42AEE" w14:textId="77777777" w:rsidR="001333FD" w:rsidRDefault="001333FD" w:rsidP="0013446F">
            <w:pPr>
              <w:pStyle w:val="BodyText"/>
              <w:spacing w:before="144" w:after="144"/>
            </w:pPr>
            <w:r>
              <w:t>No.</w:t>
            </w:r>
          </w:p>
        </w:tc>
        <w:tc>
          <w:tcPr>
            <w:tcW w:w="600" w:type="pct"/>
          </w:tcPr>
          <w:p w14:paraId="7D0FE3D1" w14:textId="77777777" w:rsidR="001333FD" w:rsidRDefault="001333FD" w:rsidP="0013446F">
            <w:pPr>
              <w:pStyle w:val="BodyText"/>
              <w:spacing w:before="144" w:after="144"/>
            </w:pPr>
            <w:r>
              <w:t>Stream</w:t>
            </w:r>
          </w:p>
        </w:tc>
        <w:tc>
          <w:tcPr>
            <w:tcW w:w="600" w:type="pct"/>
          </w:tcPr>
          <w:p w14:paraId="65A3D6B0" w14:textId="77777777" w:rsidR="001333FD" w:rsidRDefault="001333FD" w:rsidP="0013446F">
            <w:pPr>
              <w:pStyle w:val="BodyText"/>
              <w:spacing w:before="144" w:after="144"/>
            </w:pPr>
            <w:r>
              <w:t>Action</w:t>
            </w:r>
          </w:p>
        </w:tc>
        <w:tc>
          <w:tcPr>
            <w:tcW w:w="600" w:type="pct"/>
          </w:tcPr>
          <w:p w14:paraId="59701140" w14:textId="77777777" w:rsidR="001333FD" w:rsidRDefault="001333FD" w:rsidP="0013446F">
            <w:pPr>
              <w:pStyle w:val="BodyText"/>
              <w:spacing w:before="144" w:after="144"/>
            </w:pPr>
            <w:r>
              <w:t>Responsibilities</w:t>
            </w:r>
          </w:p>
        </w:tc>
        <w:tc>
          <w:tcPr>
            <w:tcW w:w="600" w:type="pct"/>
          </w:tcPr>
          <w:p w14:paraId="3B52B2FF" w14:textId="5AD90155" w:rsidR="001333FD" w:rsidRDefault="00414A3F" w:rsidP="0013446F">
            <w:pPr>
              <w:pStyle w:val="BodyText"/>
              <w:spacing w:before="144" w:after="144"/>
            </w:pPr>
            <w:r w:rsidRPr="00B17DAB">
              <w:rPr>
                <w:rFonts w:eastAsia="Times New Roman" w:cs="Calibri"/>
                <w:bCs/>
                <w:lang w:eastAsia="en-AU"/>
              </w:rPr>
              <w:t>Initial Resource Commitment</w:t>
            </w:r>
          </w:p>
        </w:tc>
        <w:tc>
          <w:tcPr>
            <w:tcW w:w="2350" w:type="pct"/>
          </w:tcPr>
          <w:p w14:paraId="6EA9A5F1" w14:textId="77777777" w:rsidR="001333FD" w:rsidRDefault="001333FD" w:rsidP="0013446F">
            <w:pPr>
              <w:pStyle w:val="BodyText"/>
              <w:spacing w:before="144" w:after="144"/>
            </w:pPr>
            <w:r>
              <w:t>2023 Annual Report Update</w:t>
            </w:r>
          </w:p>
        </w:tc>
      </w:tr>
      <w:tr w:rsidR="001333FD" w:rsidRPr="00955F25" w14:paraId="121AE9DC" w14:textId="77777777" w:rsidTr="00D12069">
        <w:trPr>
          <w:cnfStyle w:val="000000100000" w:firstRow="0" w:lastRow="0" w:firstColumn="0" w:lastColumn="0" w:oddVBand="0" w:evenVBand="0" w:oddHBand="1" w:evenHBand="0" w:firstRowFirstColumn="0" w:firstRowLastColumn="0" w:lastRowFirstColumn="0" w:lastRowLastColumn="0"/>
        </w:trPr>
        <w:tc>
          <w:tcPr>
            <w:tcW w:w="250" w:type="pct"/>
            <w:hideMark/>
          </w:tcPr>
          <w:p w14:paraId="036CB2A0" w14:textId="77777777" w:rsidR="001333FD" w:rsidRPr="001333FD" w:rsidRDefault="001333FD" w:rsidP="0013446F">
            <w:pPr>
              <w:spacing w:after="0" w:line="240" w:lineRule="auto"/>
              <w:rPr>
                <w:rFonts w:eastAsia="Times New Roman" w:cs="Calibri"/>
                <w:color w:val="262626"/>
                <w:lang w:eastAsia="en-AU"/>
              </w:rPr>
            </w:pPr>
            <w:r w:rsidRPr="001333FD">
              <w:rPr>
                <w:rFonts w:eastAsia="Times New Roman" w:cs="Calibri"/>
                <w:color w:val="262626"/>
                <w:lang w:eastAsia="en-AU"/>
              </w:rPr>
              <w:t>A1</w:t>
            </w:r>
          </w:p>
        </w:tc>
        <w:tc>
          <w:tcPr>
            <w:tcW w:w="600" w:type="pct"/>
            <w:hideMark/>
          </w:tcPr>
          <w:p w14:paraId="7C0D587F" w14:textId="77777777" w:rsidR="001333FD" w:rsidRPr="001333FD" w:rsidRDefault="001333FD" w:rsidP="0013446F">
            <w:pPr>
              <w:spacing w:after="0" w:line="240" w:lineRule="auto"/>
              <w:rPr>
                <w:rFonts w:eastAsia="Times New Roman" w:cs="Calibri"/>
                <w:color w:val="262626"/>
                <w:lang w:eastAsia="en-AU"/>
              </w:rPr>
            </w:pPr>
            <w:r w:rsidRPr="001333FD">
              <w:rPr>
                <w:rFonts w:eastAsia="Times New Roman" w:cs="Calibri"/>
                <w:color w:val="262626"/>
                <w:lang w:eastAsia="en-AU"/>
              </w:rPr>
              <w:t xml:space="preserve">Consistent Funding Model </w:t>
            </w:r>
          </w:p>
        </w:tc>
        <w:tc>
          <w:tcPr>
            <w:tcW w:w="600" w:type="pct"/>
            <w:hideMark/>
          </w:tcPr>
          <w:p w14:paraId="2708FF11" w14:textId="77777777" w:rsidR="001333FD" w:rsidRPr="00955F25" w:rsidRDefault="001333FD" w:rsidP="0013446F">
            <w:pPr>
              <w:spacing w:after="0" w:line="240" w:lineRule="auto"/>
              <w:rPr>
                <w:rFonts w:eastAsia="Times New Roman" w:cs="Calibri"/>
                <w:bCs/>
                <w:color w:val="262626"/>
                <w:lang w:eastAsia="en-AU"/>
              </w:rPr>
            </w:pPr>
            <w:r w:rsidRPr="00955F25">
              <w:rPr>
                <w:rFonts w:eastAsia="Times New Roman" w:cs="Calibri"/>
                <w:bCs/>
                <w:color w:val="262626"/>
                <w:lang w:eastAsia="en-AU"/>
              </w:rPr>
              <w:t>Develop a needs-based funding model in partnership with the Aboriginal and Torres Strait Islander community-controlled health sector</w:t>
            </w:r>
          </w:p>
        </w:tc>
        <w:tc>
          <w:tcPr>
            <w:tcW w:w="600" w:type="pct"/>
            <w:hideMark/>
          </w:tcPr>
          <w:p w14:paraId="1F2DFDA1" w14:textId="77777777" w:rsidR="001333FD" w:rsidRPr="00955F25" w:rsidRDefault="001333FD" w:rsidP="0013446F">
            <w:pPr>
              <w:spacing w:after="0" w:line="240" w:lineRule="auto"/>
              <w:rPr>
                <w:rFonts w:eastAsia="Times New Roman" w:cs="Calibri"/>
                <w:color w:val="262626"/>
                <w:lang w:eastAsia="en-AU"/>
              </w:rPr>
            </w:pPr>
            <w:r w:rsidRPr="00955F25">
              <w:rPr>
                <w:rFonts w:eastAsia="Times New Roman" w:cs="Calibri"/>
                <w:color w:val="262626"/>
                <w:lang w:eastAsia="en-AU"/>
              </w:rPr>
              <w:t>NACCHO</w:t>
            </w:r>
            <w:r w:rsidRPr="00955F25">
              <w:rPr>
                <w:rFonts w:eastAsia="Times New Roman" w:cs="Calibri"/>
                <w:color w:val="262626"/>
                <w:lang w:eastAsia="en-AU"/>
              </w:rPr>
              <w:br/>
              <w:t>Australian Government</w:t>
            </w:r>
            <w:r w:rsidRPr="00955F25">
              <w:rPr>
                <w:rFonts w:eastAsia="Times New Roman" w:cs="Calibri"/>
                <w:color w:val="262626"/>
                <w:lang w:eastAsia="en-AU"/>
              </w:rPr>
              <w:br/>
              <w:t>State and Territory Governments</w:t>
            </w:r>
          </w:p>
        </w:tc>
        <w:tc>
          <w:tcPr>
            <w:tcW w:w="600" w:type="pct"/>
            <w:hideMark/>
          </w:tcPr>
          <w:p w14:paraId="4267C3C8" w14:textId="77777777" w:rsidR="001333FD" w:rsidRPr="00955F25" w:rsidRDefault="001333FD" w:rsidP="0013446F">
            <w:pPr>
              <w:spacing w:after="0" w:line="240" w:lineRule="auto"/>
              <w:rPr>
                <w:rFonts w:eastAsia="Times New Roman" w:cs="Calibri"/>
                <w:color w:val="262626"/>
                <w:lang w:eastAsia="en-AU"/>
              </w:rPr>
            </w:pPr>
            <w:r w:rsidRPr="00955F25">
              <w:rPr>
                <w:rFonts w:eastAsia="Times New Roman" w:cs="Calibri"/>
                <w:color w:val="262626"/>
                <w:lang w:eastAsia="en-AU"/>
              </w:rPr>
              <w:t>Nil additional financial cost to develop the model</w:t>
            </w:r>
          </w:p>
        </w:tc>
        <w:tc>
          <w:tcPr>
            <w:tcW w:w="2350" w:type="pct"/>
            <w:hideMark/>
          </w:tcPr>
          <w:p w14:paraId="21CEB5A3" w14:textId="77777777" w:rsidR="001333FD" w:rsidRPr="00955F25" w:rsidRDefault="001333FD" w:rsidP="0013446F">
            <w:pPr>
              <w:spacing w:after="0" w:line="240" w:lineRule="auto"/>
              <w:rPr>
                <w:rFonts w:eastAsia="Times New Roman" w:cs="Calibri"/>
                <w:color w:val="262626"/>
                <w:lang w:eastAsia="en-AU"/>
              </w:rPr>
            </w:pPr>
            <w:r w:rsidRPr="00955F25">
              <w:rPr>
                <w:rFonts w:eastAsia="Times New Roman" w:cs="Calibri"/>
                <w:color w:val="262626"/>
                <w:lang w:eastAsia="en-AU"/>
              </w:rPr>
              <w:t xml:space="preserve">NACCHO is developing the Core Services and Outcomes Framework which seeks to provide a needs-based funding model that reflects the full range of services that Aboriginal Community Controlled Health Services (ACCHS) deliver. </w:t>
            </w:r>
          </w:p>
        </w:tc>
      </w:tr>
      <w:tr w:rsidR="001333FD" w:rsidRPr="00955F25" w14:paraId="48F6F08B" w14:textId="77777777" w:rsidTr="00D12069">
        <w:trPr>
          <w:cnfStyle w:val="000000010000" w:firstRow="0" w:lastRow="0" w:firstColumn="0" w:lastColumn="0" w:oddVBand="0" w:evenVBand="0" w:oddHBand="0" w:evenHBand="1" w:firstRowFirstColumn="0" w:firstRowLastColumn="0" w:lastRowFirstColumn="0" w:lastRowLastColumn="0"/>
        </w:trPr>
        <w:tc>
          <w:tcPr>
            <w:tcW w:w="250" w:type="pct"/>
            <w:hideMark/>
          </w:tcPr>
          <w:p w14:paraId="2D8A66E1" w14:textId="77777777" w:rsidR="001333FD" w:rsidRPr="001333FD" w:rsidRDefault="001333FD" w:rsidP="0013446F">
            <w:pPr>
              <w:spacing w:after="0" w:line="240" w:lineRule="auto"/>
              <w:rPr>
                <w:rFonts w:ascii="Calibri" w:eastAsia="Times New Roman" w:hAnsi="Calibri" w:cs="Calibri"/>
                <w:color w:val="262626"/>
                <w:lang w:eastAsia="en-AU"/>
              </w:rPr>
            </w:pPr>
            <w:r w:rsidRPr="001333FD">
              <w:rPr>
                <w:rFonts w:ascii="Calibri" w:eastAsia="Times New Roman" w:hAnsi="Calibri" w:cs="Calibri"/>
                <w:color w:val="262626"/>
                <w:lang w:eastAsia="en-AU"/>
              </w:rPr>
              <w:t>A2</w:t>
            </w:r>
          </w:p>
        </w:tc>
        <w:tc>
          <w:tcPr>
            <w:tcW w:w="600" w:type="pct"/>
            <w:hideMark/>
          </w:tcPr>
          <w:p w14:paraId="319983EE" w14:textId="77777777" w:rsidR="001333FD" w:rsidRPr="001333FD" w:rsidRDefault="001333FD" w:rsidP="0013446F">
            <w:pPr>
              <w:spacing w:after="0" w:line="240" w:lineRule="auto"/>
              <w:rPr>
                <w:rFonts w:ascii="Calibri" w:eastAsia="Times New Roman" w:hAnsi="Calibri" w:cs="Calibri"/>
                <w:color w:val="262626"/>
                <w:lang w:eastAsia="en-AU"/>
              </w:rPr>
            </w:pPr>
            <w:r w:rsidRPr="001333FD">
              <w:rPr>
                <w:rFonts w:ascii="Calibri" w:eastAsia="Times New Roman" w:hAnsi="Calibri" w:cs="Calibri"/>
                <w:color w:val="262626"/>
                <w:lang w:eastAsia="en-AU"/>
              </w:rPr>
              <w:t xml:space="preserve">Consistent Funding Model </w:t>
            </w:r>
          </w:p>
        </w:tc>
        <w:tc>
          <w:tcPr>
            <w:tcW w:w="600" w:type="pct"/>
            <w:hideMark/>
          </w:tcPr>
          <w:p w14:paraId="69671228" w14:textId="77777777" w:rsidR="001333FD" w:rsidRPr="00955F25" w:rsidRDefault="001333FD" w:rsidP="0013446F">
            <w:pPr>
              <w:spacing w:after="0" w:line="240" w:lineRule="auto"/>
              <w:rPr>
                <w:rFonts w:ascii="Calibri" w:eastAsia="Times New Roman" w:hAnsi="Calibri" w:cs="Calibri"/>
                <w:bCs/>
                <w:color w:val="262626"/>
                <w:lang w:eastAsia="en-AU"/>
              </w:rPr>
            </w:pPr>
            <w:r w:rsidRPr="00955F25">
              <w:rPr>
                <w:rFonts w:ascii="Calibri" w:eastAsia="Times New Roman" w:hAnsi="Calibri" w:cs="Calibri"/>
                <w:bCs/>
                <w:color w:val="262626"/>
                <w:lang w:eastAsia="en-AU"/>
              </w:rPr>
              <w:t xml:space="preserve">Re-prioritise Aboriginal and Torres Strait Islander health program funds being directed to mainstream non-government organisations, towards the Aboriginal and Torres Strait Islander community-controlled health sector. This includes current and new investments in mental health, drug and alcohol, aged care and emerging health priorities for Aboriginal and Torres Strait islander people </w:t>
            </w:r>
          </w:p>
        </w:tc>
        <w:tc>
          <w:tcPr>
            <w:tcW w:w="600" w:type="pct"/>
            <w:hideMark/>
          </w:tcPr>
          <w:p w14:paraId="32307A6C" w14:textId="77777777" w:rsidR="001333FD" w:rsidRPr="00955F25" w:rsidRDefault="001333FD" w:rsidP="0013446F">
            <w:pPr>
              <w:spacing w:after="0" w:line="240" w:lineRule="auto"/>
              <w:rPr>
                <w:rFonts w:ascii="Calibri" w:eastAsia="Times New Roman" w:hAnsi="Calibri" w:cs="Calibri"/>
                <w:color w:val="262626"/>
                <w:lang w:eastAsia="en-AU"/>
              </w:rPr>
            </w:pPr>
            <w:r w:rsidRPr="00955F25">
              <w:rPr>
                <w:rFonts w:ascii="Calibri" w:eastAsia="Times New Roman" w:hAnsi="Calibri" w:cs="Calibri"/>
                <w:color w:val="262626"/>
                <w:lang w:eastAsia="en-AU"/>
              </w:rPr>
              <w:t>Australian Government</w:t>
            </w:r>
            <w:r w:rsidRPr="00955F25">
              <w:rPr>
                <w:rFonts w:ascii="Calibri" w:eastAsia="Times New Roman" w:hAnsi="Calibri" w:cs="Calibri"/>
                <w:color w:val="262626"/>
                <w:lang w:eastAsia="en-AU"/>
              </w:rPr>
              <w:br/>
              <w:t>State and Territory Governments</w:t>
            </w:r>
          </w:p>
        </w:tc>
        <w:tc>
          <w:tcPr>
            <w:tcW w:w="600" w:type="pct"/>
            <w:hideMark/>
          </w:tcPr>
          <w:p w14:paraId="08D55EAC" w14:textId="77777777" w:rsidR="001333FD" w:rsidRPr="00955F25" w:rsidRDefault="001333FD" w:rsidP="0013446F">
            <w:pPr>
              <w:spacing w:after="0" w:line="240" w:lineRule="auto"/>
              <w:rPr>
                <w:rFonts w:ascii="Calibri" w:eastAsia="Times New Roman" w:hAnsi="Calibri" w:cs="Calibri"/>
                <w:color w:val="262626"/>
                <w:lang w:eastAsia="en-AU"/>
              </w:rPr>
            </w:pPr>
            <w:r w:rsidRPr="00955F25">
              <w:rPr>
                <w:rFonts w:ascii="Calibri" w:eastAsia="Times New Roman" w:hAnsi="Calibri" w:cs="Calibri"/>
                <w:color w:val="262626"/>
                <w:lang w:eastAsia="en-AU"/>
              </w:rPr>
              <w:t xml:space="preserve">Nil additional financial cost </w:t>
            </w:r>
          </w:p>
        </w:tc>
        <w:tc>
          <w:tcPr>
            <w:tcW w:w="2350" w:type="pct"/>
            <w:hideMark/>
          </w:tcPr>
          <w:p w14:paraId="7C9DB35D" w14:textId="77777777" w:rsidR="001333FD" w:rsidRPr="00955F25" w:rsidRDefault="001333FD" w:rsidP="0013446F">
            <w:pPr>
              <w:spacing w:after="0" w:line="240" w:lineRule="auto"/>
              <w:rPr>
                <w:rFonts w:ascii="Calibri" w:eastAsia="Times New Roman" w:hAnsi="Calibri" w:cs="Calibri"/>
                <w:color w:val="262626"/>
                <w:lang w:eastAsia="en-AU"/>
              </w:rPr>
            </w:pPr>
            <w:r w:rsidRPr="00955F25">
              <w:rPr>
                <w:rFonts w:ascii="Calibri" w:eastAsia="Times New Roman" w:hAnsi="Calibri" w:cs="Calibri"/>
                <w:color w:val="262626"/>
                <w:lang w:eastAsia="en-AU"/>
              </w:rPr>
              <w:t>In March 2023, the Department of Health and Aged Care (Department) established the First Nations Health Funding Transition Program (program). The program will conduct a review of First Nation-specific programs and sub-programs to identify activities that could be implemented by First Nations-led and community-controlled organisations. In June 2023, the First Nations Health Funding Transition Advisory Group (Advisory Group) was established to guide this program’s work. The Advisory Group is co-chaired by the Department and the community-controlled health sector. As of September 2023, the Advisory Group has met three times.  </w:t>
            </w:r>
          </w:p>
        </w:tc>
      </w:tr>
      <w:tr w:rsidR="001333FD" w:rsidRPr="00955F25" w14:paraId="304ADF95" w14:textId="77777777" w:rsidTr="00D12069">
        <w:trPr>
          <w:cnfStyle w:val="000000100000" w:firstRow="0" w:lastRow="0" w:firstColumn="0" w:lastColumn="0" w:oddVBand="0" w:evenVBand="0" w:oddHBand="1" w:evenHBand="0" w:firstRowFirstColumn="0" w:firstRowLastColumn="0" w:lastRowFirstColumn="0" w:lastRowLastColumn="0"/>
        </w:trPr>
        <w:tc>
          <w:tcPr>
            <w:tcW w:w="250" w:type="pct"/>
            <w:hideMark/>
          </w:tcPr>
          <w:p w14:paraId="4476E4C7" w14:textId="77777777" w:rsidR="001333FD" w:rsidRPr="001333FD" w:rsidRDefault="001333FD" w:rsidP="0013446F">
            <w:pPr>
              <w:spacing w:after="0" w:line="240" w:lineRule="auto"/>
              <w:rPr>
                <w:rFonts w:eastAsia="Times New Roman" w:cs="Calibri"/>
                <w:color w:val="262626"/>
                <w:lang w:eastAsia="en-AU"/>
              </w:rPr>
            </w:pPr>
            <w:r w:rsidRPr="001333FD">
              <w:rPr>
                <w:rFonts w:eastAsia="Times New Roman" w:cs="Calibri"/>
                <w:color w:val="262626"/>
                <w:lang w:eastAsia="en-AU"/>
              </w:rPr>
              <w:lastRenderedPageBreak/>
              <w:t>A3</w:t>
            </w:r>
          </w:p>
        </w:tc>
        <w:tc>
          <w:tcPr>
            <w:tcW w:w="600" w:type="pct"/>
            <w:hideMark/>
          </w:tcPr>
          <w:p w14:paraId="20338FCB" w14:textId="77777777" w:rsidR="001333FD" w:rsidRPr="001333FD" w:rsidRDefault="001333FD" w:rsidP="0013446F">
            <w:pPr>
              <w:spacing w:after="0" w:line="240" w:lineRule="auto"/>
              <w:rPr>
                <w:rFonts w:eastAsia="Times New Roman" w:cs="Calibri"/>
                <w:color w:val="262626"/>
                <w:lang w:eastAsia="en-AU"/>
              </w:rPr>
            </w:pPr>
            <w:r w:rsidRPr="001333FD">
              <w:rPr>
                <w:rFonts w:eastAsia="Times New Roman" w:cs="Calibri"/>
                <w:color w:val="262626"/>
                <w:lang w:eastAsia="en-AU"/>
              </w:rPr>
              <w:t xml:space="preserve">Consistent Funding Model </w:t>
            </w:r>
          </w:p>
        </w:tc>
        <w:tc>
          <w:tcPr>
            <w:tcW w:w="600" w:type="pct"/>
            <w:hideMark/>
          </w:tcPr>
          <w:p w14:paraId="75202EFE" w14:textId="77777777" w:rsidR="001333FD" w:rsidRPr="00955F25" w:rsidRDefault="001333FD" w:rsidP="0013446F">
            <w:pPr>
              <w:spacing w:after="0" w:line="240" w:lineRule="auto"/>
              <w:rPr>
                <w:rFonts w:eastAsia="Times New Roman" w:cs="Calibri"/>
                <w:bCs/>
                <w:color w:val="262626"/>
                <w:lang w:eastAsia="en-AU"/>
              </w:rPr>
            </w:pPr>
            <w:r w:rsidRPr="00955F25">
              <w:rPr>
                <w:rFonts w:eastAsia="Times New Roman" w:cs="Calibri"/>
                <w:bCs/>
                <w:color w:val="262626"/>
                <w:lang w:eastAsia="en-AU"/>
              </w:rPr>
              <w:t>Optimise utilisation of Medicare in the Aboriginal and Torres Strait Islander community-controlled health sector</w:t>
            </w:r>
          </w:p>
        </w:tc>
        <w:tc>
          <w:tcPr>
            <w:tcW w:w="600" w:type="pct"/>
            <w:hideMark/>
          </w:tcPr>
          <w:p w14:paraId="6EB7B4B7" w14:textId="77777777" w:rsidR="001333FD" w:rsidRPr="00955F25" w:rsidRDefault="001333FD" w:rsidP="0013446F">
            <w:pPr>
              <w:spacing w:after="0" w:line="240" w:lineRule="auto"/>
              <w:rPr>
                <w:rFonts w:eastAsia="Times New Roman" w:cs="Calibri"/>
                <w:color w:val="262626"/>
                <w:lang w:eastAsia="en-AU"/>
              </w:rPr>
            </w:pPr>
            <w:r w:rsidRPr="00955F25">
              <w:rPr>
                <w:rFonts w:eastAsia="Times New Roman" w:cs="Calibri"/>
                <w:color w:val="262626"/>
                <w:lang w:eastAsia="en-AU"/>
              </w:rPr>
              <w:t xml:space="preserve">Australian Government Department of Health  </w:t>
            </w:r>
            <w:r w:rsidRPr="00955F25">
              <w:rPr>
                <w:rFonts w:eastAsia="Times New Roman" w:cs="Calibri"/>
                <w:color w:val="262626"/>
                <w:lang w:eastAsia="en-AU"/>
              </w:rPr>
              <w:br/>
              <w:t>NACCHO</w:t>
            </w:r>
            <w:r w:rsidRPr="00955F25">
              <w:rPr>
                <w:rFonts w:eastAsia="Times New Roman" w:cs="Calibri"/>
                <w:color w:val="262626"/>
                <w:lang w:eastAsia="en-AU"/>
              </w:rPr>
              <w:br/>
              <w:t>Sector Support Organisations</w:t>
            </w:r>
          </w:p>
        </w:tc>
        <w:tc>
          <w:tcPr>
            <w:tcW w:w="600" w:type="pct"/>
            <w:hideMark/>
          </w:tcPr>
          <w:p w14:paraId="189CC6CC" w14:textId="77777777" w:rsidR="001333FD" w:rsidRPr="00955F25" w:rsidRDefault="001333FD" w:rsidP="0013446F">
            <w:pPr>
              <w:spacing w:after="0" w:line="240" w:lineRule="auto"/>
              <w:rPr>
                <w:rFonts w:eastAsia="Times New Roman" w:cs="Calibri"/>
                <w:color w:val="262626"/>
                <w:lang w:eastAsia="en-AU"/>
              </w:rPr>
            </w:pPr>
            <w:r w:rsidRPr="00955F25">
              <w:rPr>
                <w:rFonts w:eastAsia="Times New Roman" w:cs="Calibri"/>
                <w:color w:val="262626"/>
                <w:lang w:eastAsia="en-AU"/>
              </w:rPr>
              <w:t>$3.7 million (estimated)</w:t>
            </w:r>
          </w:p>
        </w:tc>
        <w:tc>
          <w:tcPr>
            <w:tcW w:w="2350" w:type="pct"/>
            <w:hideMark/>
          </w:tcPr>
          <w:p w14:paraId="51832C64" w14:textId="77777777" w:rsidR="001333FD" w:rsidRPr="00955F25" w:rsidRDefault="001333FD" w:rsidP="0013446F">
            <w:pPr>
              <w:spacing w:after="0" w:line="240" w:lineRule="auto"/>
              <w:rPr>
                <w:rFonts w:eastAsia="Times New Roman" w:cs="Calibri"/>
                <w:color w:val="262626"/>
                <w:lang w:eastAsia="en-AU"/>
              </w:rPr>
            </w:pPr>
            <w:r w:rsidRPr="00955F25">
              <w:rPr>
                <w:rFonts w:eastAsia="Times New Roman" w:cs="Calibri"/>
                <w:color w:val="262626"/>
                <w:lang w:eastAsia="en-AU"/>
              </w:rPr>
              <w:t>The Virtual Funding Pool provided NACCHO $4.23m to optimise utilisation of Medicare in the First Nations community-controlled health sector.  The activity has received $3.33m to date to establish national and jurisdictional coordinators to roll out supports to ACCHS that will improve Medicare Benefits Schedule claiming and utilisation of primary care initiatives.  </w:t>
            </w:r>
          </w:p>
        </w:tc>
      </w:tr>
      <w:tr w:rsidR="001333FD" w:rsidRPr="00955F25" w14:paraId="5B64992B" w14:textId="77777777" w:rsidTr="00D12069">
        <w:trPr>
          <w:cnfStyle w:val="000000010000" w:firstRow="0" w:lastRow="0" w:firstColumn="0" w:lastColumn="0" w:oddVBand="0" w:evenVBand="0" w:oddHBand="0" w:evenHBand="1" w:firstRowFirstColumn="0" w:firstRowLastColumn="0" w:lastRowFirstColumn="0" w:lastRowLastColumn="0"/>
        </w:trPr>
        <w:tc>
          <w:tcPr>
            <w:tcW w:w="250" w:type="pct"/>
            <w:hideMark/>
          </w:tcPr>
          <w:p w14:paraId="43701625" w14:textId="77777777" w:rsidR="001333FD" w:rsidRPr="001333FD" w:rsidRDefault="001333FD" w:rsidP="0013446F">
            <w:pPr>
              <w:spacing w:after="0" w:line="240" w:lineRule="auto"/>
              <w:rPr>
                <w:rFonts w:ascii="Calibri" w:eastAsia="Times New Roman" w:hAnsi="Calibri" w:cs="Calibri"/>
                <w:color w:val="262626"/>
                <w:lang w:eastAsia="en-AU"/>
              </w:rPr>
            </w:pPr>
            <w:r w:rsidRPr="001333FD">
              <w:rPr>
                <w:rFonts w:ascii="Calibri" w:eastAsia="Times New Roman" w:hAnsi="Calibri" w:cs="Calibri"/>
                <w:color w:val="262626"/>
                <w:lang w:eastAsia="en-AU"/>
              </w:rPr>
              <w:t>A4</w:t>
            </w:r>
          </w:p>
        </w:tc>
        <w:tc>
          <w:tcPr>
            <w:tcW w:w="600" w:type="pct"/>
            <w:hideMark/>
          </w:tcPr>
          <w:p w14:paraId="3E0E5A11" w14:textId="77777777" w:rsidR="001333FD" w:rsidRPr="001333FD" w:rsidRDefault="001333FD" w:rsidP="0013446F">
            <w:pPr>
              <w:spacing w:after="0" w:line="240" w:lineRule="auto"/>
              <w:rPr>
                <w:rFonts w:ascii="Calibri" w:eastAsia="Times New Roman" w:hAnsi="Calibri" w:cs="Calibri"/>
                <w:color w:val="262626"/>
                <w:lang w:eastAsia="en-AU"/>
              </w:rPr>
            </w:pPr>
            <w:r w:rsidRPr="001333FD">
              <w:rPr>
                <w:rFonts w:ascii="Calibri" w:eastAsia="Times New Roman" w:hAnsi="Calibri" w:cs="Calibri"/>
                <w:color w:val="262626"/>
                <w:lang w:eastAsia="en-AU"/>
              </w:rPr>
              <w:t>Workforce</w:t>
            </w:r>
          </w:p>
        </w:tc>
        <w:tc>
          <w:tcPr>
            <w:tcW w:w="600" w:type="pct"/>
            <w:hideMark/>
          </w:tcPr>
          <w:p w14:paraId="47A202BC" w14:textId="77777777" w:rsidR="001333FD" w:rsidRPr="00955F25" w:rsidRDefault="001333FD" w:rsidP="0013446F">
            <w:pPr>
              <w:spacing w:after="0" w:line="240" w:lineRule="auto"/>
              <w:rPr>
                <w:rFonts w:ascii="Calibri" w:eastAsia="Times New Roman" w:hAnsi="Calibri" w:cs="Calibri"/>
                <w:bCs/>
                <w:color w:val="262626"/>
                <w:lang w:eastAsia="en-AU"/>
              </w:rPr>
            </w:pPr>
            <w:r w:rsidRPr="00955F25">
              <w:rPr>
                <w:rFonts w:ascii="Calibri" w:eastAsia="Times New Roman" w:hAnsi="Calibri" w:cs="Calibri"/>
                <w:bCs/>
                <w:color w:val="262626"/>
                <w:lang w:eastAsia="en-AU"/>
              </w:rPr>
              <w:t>Invest in a permanent, highly skilled, and nationally credentialed Aboriginal and Torres Strait Islander Environmental Health workforce</w:t>
            </w:r>
          </w:p>
        </w:tc>
        <w:tc>
          <w:tcPr>
            <w:tcW w:w="600" w:type="pct"/>
            <w:hideMark/>
          </w:tcPr>
          <w:p w14:paraId="2D4FC7DB" w14:textId="77777777" w:rsidR="001333FD" w:rsidRPr="00955F25" w:rsidRDefault="001333FD" w:rsidP="0013446F">
            <w:pPr>
              <w:spacing w:after="0" w:line="240" w:lineRule="auto"/>
              <w:rPr>
                <w:rFonts w:ascii="Calibri" w:eastAsia="Times New Roman" w:hAnsi="Calibri" w:cs="Calibri"/>
                <w:color w:val="262626"/>
                <w:lang w:eastAsia="en-AU"/>
              </w:rPr>
            </w:pPr>
            <w:r w:rsidRPr="00955F25">
              <w:rPr>
                <w:rFonts w:ascii="Calibri" w:eastAsia="Times New Roman" w:hAnsi="Calibri" w:cs="Calibri"/>
                <w:color w:val="262626"/>
                <w:lang w:eastAsia="en-AU"/>
              </w:rPr>
              <w:t>NACCHO</w:t>
            </w:r>
            <w:r w:rsidRPr="00955F25">
              <w:rPr>
                <w:rFonts w:ascii="Calibri" w:eastAsia="Times New Roman" w:hAnsi="Calibri" w:cs="Calibri"/>
                <w:color w:val="262626"/>
                <w:lang w:eastAsia="en-AU"/>
              </w:rPr>
              <w:br/>
              <w:t>Sector Support Organisations</w:t>
            </w:r>
            <w:r w:rsidRPr="00955F25">
              <w:rPr>
                <w:rFonts w:ascii="Calibri" w:eastAsia="Times New Roman" w:hAnsi="Calibri" w:cs="Calibri"/>
                <w:color w:val="262626"/>
                <w:lang w:eastAsia="en-AU"/>
              </w:rPr>
              <w:br/>
              <w:t>Australian Government</w:t>
            </w:r>
            <w:r w:rsidRPr="00955F25">
              <w:rPr>
                <w:rFonts w:ascii="Calibri" w:eastAsia="Times New Roman" w:hAnsi="Calibri" w:cs="Calibri"/>
                <w:color w:val="262626"/>
                <w:lang w:eastAsia="en-AU"/>
              </w:rPr>
              <w:br/>
              <w:t>State and Territory Governments</w:t>
            </w:r>
          </w:p>
        </w:tc>
        <w:tc>
          <w:tcPr>
            <w:tcW w:w="600" w:type="pct"/>
            <w:hideMark/>
          </w:tcPr>
          <w:p w14:paraId="68B2E310" w14:textId="77777777" w:rsidR="001333FD" w:rsidRPr="00955F25" w:rsidRDefault="001333FD" w:rsidP="0013446F">
            <w:pPr>
              <w:spacing w:after="0" w:line="240" w:lineRule="auto"/>
              <w:rPr>
                <w:rFonts w:ascii="Calibri" w:eastAsia="Times New Roman" w:hAnsi="Calibri" w:cs="Calibri"/>
                <w:color w:val="262626"/>
                <w:lang w:eastAsia="en-AU"/>
              </w:rPr>
            </w:pPr>
            <w:r w:rsidRPr="00955F25">
              <w:rPr>
                <w:rFonts w:ascii="Calibri" w:eastAsia="Times New Roman" w:hAnsi="Calibri" w:cs="Calibri"/>
                <w:color w:val="262626"/>
                <w:lang w:eastAsia="en-AU"/>
              </w:rPr>
              <w:t>To be determined</w:t>
            </w:r>
          </w:p>
        </w:tc>
        <w:tc>
          <w:tcPr>
            <w:tcW w:w="2350" w:type="pct"/>
            <w:hideMark/>
          </w:tcPr>
          <w:p w14:paraId="31BDDA18" w14:textId="77777777" w:rsidR="001333FD" w:rsidRPr="00955F25" w:rsidRDefault="001333FD" w:rsidP="0013446F">
            <w:pPr>
              <w:spacing w:after="0" w:line="240" w:lineRule="auto"/>
              <w:rPr>
                <w:rFonts w:ascii="Calibri" w:eastAsia="Times New Roman" w:hAnsi="Calibri" w:cs="Calibri"/>
                <w:color w:val="262626"/>
                <w:lang w:eastAsia="en-AU"/>
              </w:rPr>
            </w:pPr>
            <w:r w:rsidRPr="00955F25">
              <w:rPr>
                <w:rFonts w:ascii="Calibri" w:eastAsia="Times New Roman" w:hAnsi="Calibri" w:cs="Calibri"/>
                <w:color w:val="262626"/>
                <w:lang w:eastAsia="en-AU"/>
              </w:rPr>
              <w:t>The Virtual Funding Pool has provided NACCHO $1.23m to develop a National Strategic Roadmap for an Aboriginal and Torres Strait Islander Environmental Health Workforce Project.  The activity has received $1.02m to date with work to date focused on establishing effective engagement, consultation and co-design with the sector and recognised experts to build the roadmap. An expert Aboriginal and Torres Strait Islander Environmental Health Steering Committee has been established and consultation through community of practice and workshops has taken place. </w:t>
            </w:r>
          </w:p>
        </w:tc>
      </w:tr>
      <w:tr w:rsidR="001333FD" w:rsidRPr="00955F25" w14:paraId="052B21D4" w14:textId="77777777" w:rsidTr="00D12069">
        <w:trPr>
          <w:cnfStyle w:val="000000100000" w:firstRow="0" w:lastRow="0" w:firstColumn="0" w:lastColumn="0" w:oddVBand="0" w:evenVBand="0" w:oddHBand="1" w:evenHBand="0" w:firstRowFirstColumn="0" w:firstRowLastColumn="0" w:lastRowFirstColumn="0" w:lastRowLastColumn="0"/>
        </w:trPr>
        <w:tc>
          <w:tcPr>
            <w:tcW w:w="250" w:type="pct"/>
            <w:hideMark/>
          </w:tcPr>
          <w:p w14:paraId="3D54E747" w14:textId="77777777" w:rsidR="001333FD" w:rsidRPr="001333FD" w:rsidRDefault="001333FD" w:rsidP="0013446F">
            <w:pPr>
              <w:spacing w:after="0" w:line="240" w:lineRule="auto"/>
              <w:rPr>
                <w:rFonts w:eastAsia="Times New Roman" w:cs="Calibri"/>
                <w:color w:val="262626"/>
                <w:lang w:eastAsia="en-AU"/>
              </w:rPr>
            </w:pPr>
            <w:r w:rsidRPr="001333FD">
              <w:rPr>
                <w:rFonts w:eastAsia="Times New Roman" w:cs="Calibri"/>
                <w:color w:val="262626"/>
                <w:lang w:eastAsia="en-AU"/>
              </w:rPr>
              <w:t>A5</w:t>
            </w:r>
          </w:p>
        </w:tc>
        <w:tc>
          <w:tcPr>
            <w:tcW w:w="600" w:type="pct"/>
            <w:hideMark/>
          </w:tcPr>
          <w:p w14:paraId="7D3974C4" w14:textId="77777777" w:rsidR="001333FD" w:rsidRPr="001333FD" w:rsidRDefault="001333FD" w:rsidP="0013446F">
            <w:pPr>
              <w:spacing w:after="0" w:line="240" w:lineRule="auto"/>
              <w:rPr>
                <w:rFonts w:eastAsia="Times New Roman" w:cs="Calibri"/>
                <w:color w:val="262626"/>
                <w:lang w:eastAsia="en-AU"/>
              </w:rPr>
            </w:pPr>
            <w:r w:rsidRPr="001333FD">
              <w:rPr>
                <w:rFonts w:eastAsia="Times New Roman" w:cs="Calibri"/>
                <w:color w:val="262626"/>
                <w:lang w:eastAsia="en-AU"/>
              </w:rPr>
              <w:t>Workforce</w:t>
            </w:r>
          </w:p>
        </w:tc>
        <w:tc>
          <w:tcPr>
            <w:tcW w:w="600" w:type="pct"/>
            <w:hideMark/>
          </w:tcPr>
          <w:p w14:paraId="20418B93" w14:textId="77777777" w:rsidR="001333FD" w:rsidRPr="00955F25" w:rsidRDefault="001333FD" w:rsidP="0013446F">
            <w:pPr>
              <w:spacing w:after="0" w:line="240" w:lineRule="auto"/>
              <w:rPr>
                <w:rFonts w:eastAsia="Times New Roman" w:cs="Calibri"/>
                <w:bCs/>
                <w:color w:val="262626"/>
                <w:lang w:eastAsia="en-AU"/>
              </w:rPr>
            </w:pPr>
            <w:r w:rsidRPr="00955F25">
              <w:rPr>
                <w:rFonts w:eastAsia="Times New Roman" w:cs="Calibri"/>
                <w:bCs/>
                <w:color w:val="262626"/>
                <w:lang w:eastAsia="en-AU"/>
              </w:rPr>
              <w:t>Build community-controlled RTO capacity and improve the quality of RTO training within or linked to community-controlled health organisations</w:t>
            </w:r>
          </w:p>
        </w:tc>
        <w:tc>
          <w:tcPr>
            <w:tcW w:w="600" w:type="pct"/>
            <w:hideMark/>
          </w:tcPr>
          <w:p w14:paraId="0D94505C" w14:textId="77777777" w:rsidR="001333FD" w:rsidRPr="00955F25" w:rsidRDefault="001333FD" w:rsidP="0013446F">
            <w:pPr>
              <w:spacing w:after="0" w:line="240" w:lineRule="auto"/>
              <w:rPr>
                <w:rFonts w:eastAsia="Times New Roman" w:cs="Calibri"/>
                <w:color w:val="262626"/>
                <w:lang w:eastAsia="en-AU"/>
              </w:rPr>
            </w:pPr>
            <w:r w:rsidRPr="00955F25">
              <w:rPr>
                <w:rFonts w:eastAsia="Times New Roman" w:cs="Calibri"/>
                <w:color w:val="262626"/>
                <w:lang w:eastAsia="en-AU"/>
              </w:rPr>
              <w:t>Australian Government</w:t>
            </w:r>
            <w:r w:rsidRPr="00955F25">
              <w:rPr>
                <w:rFonts w:eastAsia="Times New Roman" w:cs="Calibri"/>
                <w:color w:val="262626"/>
                <w:lang w:eastAsia="en-AU"/>
              </w:rPr>
              <w:br/>
              <w:t>State and Territory Governments</w:t>
            </w:r>
            <w:r w:rsidRPr="00955F25">
              <w:rPr>
                <w:rFonts w:eastAsia="Times New Roman" w:cs="Calibri"/>
                <w:color w:val="262626"/>
                <w:lang w:eastAsia="en-AU"/>
              </w:rPr>
              <w:br/>
              <w:t xml:space="preserve">NACCHO </w:t>
            </w:r>
            <w:r w:rsidRPr="00955F25">
              <w:rPr>
                <w:rFonts w:eastAsia="Times New Roman" w:cs="Calibri"/>
                <w:color w:val="262626"/>
                <w:lang w:eastAsia="en-AU"/>
              </w:rPr>
              <w:br/>
              <w:t>Workforce peak bodies</w:t>
            </w:r>
          </w:p>
        </w:tc>
        <w:tc>
          <w:tcPr>
            <w:tcW w:w="600" w:type="pct"/>
            <w:hideMark/>
          </w:tcPr>
          <w:p w14:paraId="0DDB979E" w14:textId="77777777" w:rsidR="001333FD" w:rsidRPr="00955F25" w:rsidRDefault="001333FD" w:rsidP="0013446F">
            <w:pPr>
              <w:spacing w:after="0" w:line="240" w:lineRule="auto"/>
              <w:rPr>
                <w:rFonts w:eastAsia="Times New Roman" w:cs="Calibri"/>
                <w:color w:val="262626"/>
                <w:lang w:eastAsia="en-AU"/>
              </w:rPr>
            </w:pPr>
            <w:r w:rsidRPr="00955F25">
              <w:rPr>
                <w:rFonts w:eastAsia="Times New Roman" w:cs="Calibri"/>
                <w:color w:val="262626"/>
                <w:lang w:eastAsia="en-AU"/>
              </w:rPr>
              <w:t>To be determined</w:t>
            </w:r>
          </w:p>
        </w:tc>
        <w:tc>
          <w:tcPr>
            <w:tcW w:w="2350" w:type="pct"/>
            <w:hideMark/>
          </w:tcPr>
          <w:p w14:paraId="3C5432BC" w14:textId="77777777" w:rsidR="001333FD" w:rsidRPr="00955F25" w:rsidRDefault="001333FD" w:rsidP="0013446F">
            <w:pPr>
              <w:spacing w:after="0" w:line="240" w:lineRule="auto"/>
              <w:rPr>
                <w:rFonts w:eastAsia="Times New Roman" w:cs="Calibri"/>
                <w:color w:val="262626"/>
                <w:lang w:eastAsia="en-AU"/>
              </w:rPr>
            </w:pPr>
            <w:r w:rsidRPr="00955F25">
              <w:rPr>
                <w:rFonts w:eastAsia="Times New Roman" w:cs="Calibri"/>
                <w:color w:val="262626"/>
                <w:lang w:eastAsia="en-AU"/>
              </w:rPr>
              <w:t>NACCHO provided with $1.17m to build First Nations community-controlled health registered training organisations (RTO) capacity and improve RTO training.  The activity has received $1.09m to date with a draft National ACCHS Workforce and Training Gap Analysis completed and work commenced towards developing the Implementation Plan, guided by an Expert Advisory Group. </w:t>
            </w:r>
            <w:r w:rsidRPr="00955F25">
              <w:rPr>
                <w:rFonts w:eastAsia="Times New Roman" w:cs="Calibri"/>
                <w:color w:val="262626"/>
                <w:lang w:eastAsia="en-AU"/>
              </w:rPr>
              <w:br/>
            </w:r>
            <w:r w:rsidRPr="00955F25">
              <w:rPr>
                <w:rFonts w:eastAsia="Times New Roman" w:cs="Calibri"/>
                <w:color w:val="262626"/>
                <w:lang w:eastAsia="en-AU"/>
              </w:rPr>
              <w:br/>
              <w:t>The new National Skills Agreement will come into effect on 1 January, and will include $214 million for Closing the Gap initiatives. Please note that further input on this issue should be sought from DEWR.</w:t>
            </w:r>
          </w:p>
        </w:tc>
      </w:tr>
      <w:tr w:rsidR="001333FD" w:rsidRPr="00955F25" w14:paraId="4623E91D" w14:textId="77777777" w:rsidTr="00D12069">
        <w:trPr>
          <w:cnfStyle w:val="000000010000" w:firstRow="0" w:lastRow="0" w:firstColumn="0" w:lastColumn="0" w:oddVBand="0" w:evenVBand="0" w:oddHBand="0" w:evenHBand="1" w:firstRowFirstColumn="0" w:firstRowLastColumn="0" w:lastRowFirstColumn="0" w:lastRowLastColumn="0"/>
        </w:trPr>
        <w:tc>
          <w:tcPr>
            <w:tcW w:w="250" w:type="pct"/>
            <w:hideMark/>
          </w:tcPr>
          <w:p w14:paraId="62BD7916" w14:textId="77777777" w:rsidR="001333FD" w:rsidRPr="001333FD" w:rsidRDefault="001333FD" w:rsidP="0013446F">
            <w:pPr>
              <w:spacing w:after="0" w:line="240" w:lineRule="auto"/>
              <w:rPr>
                <w:rFonts w:ascii="Calibri" w:eastAsia="Times New Roman" w:hAnsi="Calibri" w:cs="Calibri"/>
                <w:color w:val="262626"/>
                <w:lang w:eastAsia="en-AU"/>
              </w:rPr>
            </w:pPr>
            <w:r w:rsidRPr="001333FD">
              <w:rPr>
                <w:rFonts w:ascii="Calibri" w:eastAsia="Times New Roman" w:hAnsi="Calibri" w:cs="Calibri"/>
                <w:color w:val="262626"/>
                <w:lang w:eastAsia="en-AU"/>
              </w:rPr>
              <w:t>A6</w:t>
            </w:r>
          </w:p>
        </w:tc>
        <w:tc>
          <w:tcPr>
            <w:tcW w:w="600" w:type="pct"/>
            <w:hideMark/>
          </w:tcPr>
          <w:p w14:paraId="19DB2E3E" w14:textId="77777777" w:rsidR="001333FD" w:rsidRPr="001333FD" w:rsidRDefault="001333FD" w:rsidP="0013446F">
            <w:pPr>
              <w:spacing w:after="0" w:line="240" w:lineRule="auto"/>
              <w:rPr>
                <w:rFonts w:ascii="Calibri" w:eastAsia="Times New Roman" w:hAnsi="Calibri" w:cs="Calibri"/>
                <w:color w:val="262626"/>
                <w:lang w:eastAsia="en-AU"/>
              </w:rPr>
            </w:pPr>
            <w:r w:rsidRPr="001333FD">
              <w:rPr>
                <w:rFonts w:ascii="Calibri" w:eastAsia="Times New Roman" w:hAnsi="Calibri" w:cs="Calibri"/>
                <w:color w:val="262626"/>
                <w:lang w:eastAsia="en-AU"/>
              </w:rPr>
              <w:t>Workforce</w:t>
            </w:r>
          </w:p>
        </w:tc>
        <w:tc>
          <w:tcPr>
            <w:tcW w:w="600" w:type="pct"/>
            <w:hideMark/>
          </w:tcPr>
          <w:p w14:paraId="0889AD8F" w14:textId="77777777" w:rsidR="001333FD" w:rsidRPr="00955F25" w:rsidRDefault="001333FD" w:rsidP="0013446F">
            <w:pPr>
              <w:spacing w:after="0" w:line="240" w:lineRule="auto"/>
              <w:rPr>
                <w:rFonts w:ascii="Calibri" w:eastAsia="Times New Roman" w:hAnsi="Calibri" w:cs="Calibri"/>
                <w:bCs/>
                <w:color w:val="262626"/>
                <w:lang w:eastAsia="en-AU"/>
              </w:rPr>
            </w:pPr>
            <w:r w:rsidRPr="00955F25">
              <w:rPr>
                <w:rFonts w:ascii="Calibri" w:eastAsia="Times New Roman" w:hAnsi="Calibri" w:cs="Calibri"/>
                <w:bCs/>
                <w:color w:val="262626"/>
                <w:lang w:eastAsia="en-AU"/>
              </w:rPr>
              <w:t>Convene a Clinical Workforce Taskforce to analyse and systematically address the full range of pertinent industrial, professional, socio-economic and employment impediments affecting the Aboriginal and Torres Strait Islander community-controlled health sector.</w:t>
            </w:r>
          </w:p>
        </w:tc>
        <w:tc>
          <w:tcPr>
            <w:tcW w:w="600" w:type="pct"/>
            <w:hideMark/>
          </w:tcPr>
          <w:p w14:paraId="24D400CC" w14:textId="77777777" w:rsidR="001333FD" w:rsidRPr="00955F25" w:rsidRDefault="001333FD" w:rsidP="0013446F">
            <w:pPr>
              <w:spacing w:after="0" w:line="240" w:lineRule="auto"/>
              <w:rPr>
                <w:rFonts w:ascii="Calibri" w:eastAsia="Times New Roman" w:hAnsi="Calibri" w:cs="Calibri"/>
                <w:color w:val="262626"/>
                <w:lang w:eastAsia="en-AU"/>
              </w:rPr>
            </w:pPr>
            <w:r w:rsidRPr="00955F25">
              <w:rPr>
                <w:rFonts w:ascii="Calibri" w:eastAsia="Times New Roman" w:hAnsi="Calibri" w:cs="Calibri"/>
                <w:color w:val="262626"/>
                <w:lang w:eastAsia="en-AU"/>
              </w:rPr>
              <w:t xml:space="preserve">Australian Government Department of Health </w:t>
            </w:r>
            <w:r w:rsidRPr="00955F25">
              <w:rPr>
                <w:rFonts w:ascii="Calibri" w:eastAsia="Times New Roman" w:hAnsi="Calibri" w:cs="Calibri"/>
                <w:color w:val="262626"/>
                <w:lang w:eastAsia="en-AU"/>
              </w:rPr>
              <w:br/>
              <w:t>NACCHO</w:t>
            </w:r>
            <w:r w:rsidRPr="00955F25">
              <w:rPr>
                <w:rFonts w:ascii="Calibri" w:eastAsia="Times New Roman" w:hAnsi="Calibri" w:cs="Calibri"/>
                <w:color w:val="262626"/>
                <w:lang w:eastAsia="en-AU"/>
              </w:rPr>
              <w:br/>
              <w:t>Sector Support Organisations</w:t>
            </w:r>
            <w:r w:rsidRPr="00955F25">
              <w:rPr>
                <w:rFonts w:ascii="Calibri" w:eastAsia="Times New Roman" w:hAnsi="Calibri" w:cs="Calibri"/>
                <w:color w:val="262626"/>
                <w:lang w:eastAsia="en-AU"/>
              </w:rPr>
              <w:br/>
              <w:t>Workforce peak bodies</w:t>
            </w:r>
          </w:p>
        </w:tc>
        <w:tc>
          <w:tcPr>
            <w:tcW w:w="600" w:type="pct"/>
            <w:hideMark/>
          </w:tcPr>
          <w:p w14:paraId="742F4E46" w14:textId="77777777" w:rsidR="001333FD" w:rsidRPr="00955F25" w:rsidRDefault="001333FD" w:rsidP="0013446F">
            <w:pPr>
              <w:spacing w:after="0" w:line="240" w:lineRule="auto"/>
              <w:rPr>
                <w:rFonts w:ascii="Calibri" w:eastAsia="Times New Roman" w:hAnsi="Calibri" w:cs="Calibri"/>
                <w:color w:val="262626"/>
                <w:lang w:eastAsia="en-AU"/>
              </w:rPr>
            </w:pPr>
            <w:r w:rsidRPr="00955F25">
              <w:rPr>
                <w:rFonts w:ascii="Calibri" w:eastAsia="Times New Roman" w:hAnsi="Calibri" w:cs="Calibri"/>
                <w:color w:val="262626"/>
                <w:lang w:eastAsia="en-AU"/>
              </w:rPr>
              <w:t>To be determined</w:t>
            </w:r>
          </w:p>
        </w:tc>
        <w:tc>
          <w:tcPr>
            <w:tcW w:w="2350" w:type="pct"/>
            <w:hideMark/>
          </w:tcPr>
          <w:p w14:paraId="55DACE29" w14:textId="77777777" w:rsidR="001333FD" w:rsidRPr="00955F25" w:rsidRDefault="001333FD" w:rsidP="0013446F">
            <w:pPr>
              <w:spacing w:after="0" w:line="240" w:lineRule="auto"/>
              <w:rPr>
                <w:rFonts w:ascii="Calibri" w:eastAsia="Times New Roman" w:hAnsi="Calibri" w:cs="Calibri"/>
                <w:color w:val="262626"/>
                <w:lang w:eastAsia="en-AU"/>
              </w:rPr>
            </w:pPr>
            <w:r w:rsidRPr="00955F25">
              <w:rPr>
                <w:rFonts w:ascii="Calibri" w:eastAsia="Times New Roman" w:hAnsi="Calibri" w:cs="Calibri"/>
                <w:color w:val="262626"/>
                <w:lang w:eastAsia="en-AU"/>
              </w:rPr>
              <w:t xml:space="preserve">The Northern Territory Primary Health Care Workforce Summit (Summit) was held in August 2023, in response to concerns raised by key stakeholders of the critical workforce challenges faced in the region. In attendance were ministerial representatives from the Federal and NT Governments, as well as stakeholders including the Aboriginal Community Controlled Health sector, workforce peaks, research, university and training institutions, and Aboriginal and Torres Strait Islander nursing, midwifery and medical organisations. As a result of discussions with these key stakeholders, a number of prioritised actions were identified, and the Department is working to establish an expert advisory group, including community controlled sector representatives to explore the prioritised actions and work with stakeholders to develop an action plan. </w:t>
            </w:r>
          </w:p>
        </w:tc>
      </w:tr>
      <w:tr w:rsidR="001333FD" w:rsidRPr="00955F25" w14:paraId="64341FA7" w14:textId="77777777" w:rsidTr="00D12069">
        <w:trPr>
          <w:cnfStyle w:val="000000100000" w:firstRow="0" w:lastRow="0" w:firstColumn="0" w:lastColumn="0" w:oddVBand="0" w:evenVBand="0" w:oddHBand="1" w:evenHBand="0" w:firstRowFirstColumn="0" w:firstRowLastColumn="0" w:lastRowFirstColumn="0" w:lastRowLastColumn="0"/>
        </w:trPr>
        <w:tc>
          <w:tcPr>
            <w:tcW w:w="250" w:type="pct"/>
            <w:hideMark/>
          </w:tcPr>
          <w:p w14:paraId="6AB2DECA" w14:textId="77777777" w:rsidR="001333FD" w:rsidRPr="001333FD" w:rsidRDefault="001333FD" w:rsidP="0013446F">
            <w:pPr>
              <w:spacing w:after="0" w:line="240" w:lineRule="auto"/>
              <w:rPr>
                <w:rFonts w:eastAsia="Times New Roman" w:cs="Calibri"/>
                <w:color w:val="262626"/>
                <w:lang w:eastAsia="en-AU"/>
              </w:rPr>
            </w:pPr>
            <w:r w:rsidRPr="001333FD">
              <w:rPr>
                <w:rFonts w:eastAsia="Times New Roman" w:cs="Calibri"/>
                <w:color w:val="262626"/>
                <w:lang w:eastAsia="en-AU"/>
              </w:rPr>
              <w:t>A7</w:t>
            </w:r>
          </w:p>
        </w:tc>
        <w:tc>
          <w:tcPr>
            <w:tcW w:w="600" w:type="pct"/>
            <w:hideMark/>
          </w:tcPr>
          <w:p w14:paraId="6B19E2BE" w14:textId="77777777" w:rsidR="001333FD" w:rsidRPr="001333FD" w:rsidRDefault="001333FD" w:rsidP="0013446F">
            <w:pPr>
              <w:spacing w:after="0" w:line="240" w:lineRule="auto"/>
              <w:rPr>
                <w:rFonts w:eastAsia="Times New Roman" w:cs="Calibri"/>
                <w:color w:val="262626"/>
                <w:lang w:eastAsia="en-AU"/>
              </w:rPr>
            </w:pPr>
            <w:r w:rsidRPr="001333FD">
              <w:rPr>
                <w:rFonts w:eastAsia="Times New Roman" w:cs="Calibri"/>
                <w:color w:val="262626"/>
                <w:lang w:eastAsia="en-AU"/>
              </w:rPr>
              <w:t>Workforce</w:t>
            </w:r>
          </w:p>
        </w:tc>
        <w:tc>
          <w:tcPr>
            <w:tcW w:w="600" w:type="pct"/>
            <w:hideMark/>
          </w:tcPr>
          <w:p w14:paraId="5B1C7A6C" w14:textId="77777777" w:rsidR="001333FD" w:rsidRPr="00955F25" w:rsidRDefault="001333FD" w:rsidP="0013446F">
            <w:pPr>
              <w:spacing w:after="0" w:line="240" w:lineRule="auto"/>
              <w:rPr>
                <w:rFonts w:eastAsia="Times New Roman" w:cs="Calibri"/>
                <w:bCs/>
                <w:color w:val="262626"/>
                <w:lang w:eastAsia="en-AU"/>
              </w:rPr>
            </w:pPr>
            <w:r w:rsidRPr="00955F25">
              <w:rPr>
                <w:rFonts w:eastAsia="Times New Roman" w:cs="Calibri"/>
                <w:bCs/>
                <w:color w:val="262626"/>
                <w:lang w:eastAsia="en-AU"/>
              </w:rPr>
              <w:t>Resource permanent health career pathways co-designed in jurisdictions through partnerships between the Aboriginal and Torres Strait Islander community-controlled health sector, its Sector Support Organisation, relevant national Aboriginal and Torres Strait Islander health workforce peak bodies, governments, the Australian Health Practitioner Regulation Agency, and vocational training/tertiary institutions.</w:t>
            </w:r>
          </w:p>
        </w:tc>
        <w:tc>
          <w:tcPr>
            <w:tcW w:w="600" w:type="pct"/>
            <w:hideMark/>
          </w:tcPr>
          <w:p w14:paraId="6E91748C" w14:textId="77777777" w:rsidR="001333FD" w:rsidRPr="00955F25" w:rsidRDefault="001333FD" w:rsidP="0013446F">
            <w:pPr>
              <w:spacing w:after="0" w:line="240" w:lineRule="auto"/>
              <w:rPr>
                <w:rFonts w:eastAsia="Times New Roman" w:cs="Calibri"/>
                <w:color w:val="262626"/>
                <w:lang w:eastAsia="en-AU"/>
              </w:rPr>
            </w:pPr>
            <w:r w:rsidRPr="00955F25">
              <w:rPr>
                <w:rFonts w:eastAsia="Times New Roman" w:cs="Calibri"/>
                <w:color w:val="262626"/>
                <w:lang w:eastAsia="en-AU"/>
              </w:rPr>
              <w:t>Australian Government</w:t>
            </w:r>
            <w:r w:rsidRPr="00955F25">
              <w:rPr>
                <w:rFonts w:eastAsia="Times New Roman" w:cs="Calibri"/>
                <w:color w:val="262626"/>
                <w:lang w:eastAsia="en-AU"/>
              </w:rPr>
              <w:br/>
              <w:t>State and Territory Governments</w:t>
            </w:r>
            <w:r w:rsidRPr="00955F25">
              <w:rPr>
                <w:rFonts w:eastAsia="Times New Roman" w:cs="Calibri"/>
                <w:color w:val="262626"/>
                <w:lang w:eastAsia="en-AU"/>
              </w:rPr>
              <w:br/>
              <w:t>NACCHO</w:t>
            </w:r>
            <w:r w:rsidRPr="00955F25">
              <w:rPr>
                <w:rFonts w:eastAsia="Times New Roman" w:cs="Calibri"/>
                <w:color w:val="262626"/>
                <w:lang w:eastAsia="en-AU"/>
              </w:rPr>
              <w:br/>
              <w:t>Sector Support Organisations</w:t>
            </w:r>
            <w:r w:rsidRPr="00955F25">
              <w:rPr>
                <w:rFonts w:eastAsia="Times New Roman" w:cs="Calibri"/>
                <w:color w:val="262626"/>
                <w:lang w:eastAsia="en-AU"/>
              </w:rPr>
              <w:br/>
              <w:t>Member services and partners as negotiated</w:t>
            </w:r>
          </w:p>
        </w:tc>
        <w:tc>
          <w:tcPr>
            <w:tcW w:w="600" w:type="pct"/>
            <w:hideMark/>
          </w:tcPr>
          <w:p w14:paraId="5D310D9A" w14:textId="77777777" w:rsidR="001333FD" w:rsidRPr="00955F25" w:rsidRDefault="001333FD" w:rsidP="0013446F">
            <w:pPr>
              <w:spacing w:after="0" w:line="240" w:lineRule="auto"/>
              <w:rPr>
                <w:rFonts w:eastAsia="Times New Roman" w:cs="Calibri"/>
                <w:color w:val="262626"/>
                <w:lang w:eastAsia="en-AU"/>
              </w:rPr>
            </w:pPr>
            <w:r w:rsidRPr="00955F25">
              <w:rPr>
                <w:rFonts w:eastAsia="Times New Roman" w:cs="Calibri"/>
                <w:color w:val="262626"/>
                <w:lang w:eastAsia="en-AU"/>
              </w:rPr>
              <w:t>To be determined</w:t>
            </w:r>
          </w:p>
        </w:tc>
        <w:tc>
          <w:tcPr>
            <w:tcW w:w="2350" w:type="pct"/>
            <w:hideMark/>
          </w:tcPr>
          <w:p w14:paraId="3DE3B8C4" w14:textId="77777777" w:rsidR="001333FD" w:rsidRPr="00955F25" w:rsidRDefault="001333FD" w:rsidP="0013446F">
            <w:pPr>
              <w:spacing w:after="0" w:line="240" w:lineRule="auto"/>
              <w:rPr>
                <w:rFonts w:eastAsia="Times New Roman" w:cs="Calibri"/>
                <w:color w:val="262626"/>
                <w:lang w:eastAsia="en-AU"/>
              </w:rPr>
            </w:pPr>
            <w:r w:rsidRPr="00955F25">
              <w:rPr>
                <w:rFonts w:eastAsia="Times New Roman" w:cs="Calibri"/>
                <w:color w:val="262626"/>
                <w:lang w:eastAsia="en-AU"/>
              </w:rPr>
              <w:t>The Australian Government is investing $54.3 million over five years (2022-23 to 2026-27) for the First Nations Health Worker Traineeship program, which is being delivered by NACCHO. NACCHO has delivered a comprehensive Traineeship Framework which underpins the program and provides all stakeholders with a clear understanding on how the program will be rolled out across the four-year period. The framework factors in the phased approach as the capacity of the Aboriginal Community Controlled Health Registered Training Organisations (ACCHRTOs) grows.</w:t>
            </w:r>
            <w:r w:rsidRPr="00955F25">
              <w:rPr>
                <w:rFonts w:eastAsia="Times New Roman" w:cs="Calibri"/>
                <w:color w:val="262626"/>
                <w:lang w:eastAsia="en-AU"/>
              </w:rPr>
              <w:br/>
              <w:t>The Australian Government currently funds Aboriginal and Torres Strait Islander Health Professional Organisations (ATSIHPOs) $52.9 million over four years (from 2022-23 to 2025-26) to support and develop the Aboriginal and Torres Strait Islander health workforce. One of the core activities of the ATSIHPOs is to provide support to their members to enable progression in their careers.</w:t>
            </w:r>
            <w:r w:rsidRPr="00955F25">
              <w:rPr>
                <w:rFonts w:eastAsia="Times New Roman" w:cs="Calibri"/>
                <w:color w:val="262626"/>
                <w:lang w:eastAsia="en-AU"/>
              </w:rPr>
              <w:br/>
              <w:t>The Indigenous Allied Health Association (IAHA) is being provided with $8 million over four years (2022-23 to 2025-26) to administer the Allied Health Academy Program. The Health Academy works with high school students from years 7-12, starting with health literacy, moving to leadership and career planning, and then transitioning into the Health Academy in years 11 and 12. Through the Health Academy, participants enter a school-based traineeship pathway, complete a year 12 qualification, gain work experience and a Certificate III qualification in allied health assistance. IAHA has established academies in the NT, Queensland, NSW and the ACT.</w:t>
            </w:r>
            <w:r w:rsidRPr="00955F25">
              <w:rPr>
                <w:rFonts w:eastAsia="Times New Roman" w:cs="Calibri"/>
                <w:color w:val="262626"/>
                <w:lang w:eastAsia="en-AU"/>
              </w:rPr>
              <w:br/>
              <w:t>The Indigenous Health Workforce Traineeships (IHWT) program provided $13.6 million over three years (2020-21 to 2022-23) to approved NACCHO affiliates, or equivalent organisations to:</w:t>
            </w:r>
            <w:r w:rsidRPr="00955F25">
              <w:rPr>
                <w:rFonts w:eastAsia="Times New Roman" w:cs="Calibri"/>
                <w:color w:val="262626"/>
                <w:lang w:eastAsia="en-AU"/>
              </w:rPr>
              <w:br/>
              <w:t>• Increase the number of skilled First Nations people working in the First Nations primary health care sector;</w:t>
            </w:r>
            <w:r w:rsidRPr="00955F25">
              <w:rPr>
                <w:rFonts w:eastAsia="Times New Roman" w:cs="Calibri"/>
                <w:color w:val="262626"/>
                <w:lang w:eastAsia="en-AU"/>
              </w:rPr>
              <w:br/>
              <w:t>• Create viable career pathways in health for First Nations people; and</w:t>
            </w:r>
            <w:r w:rsidRPr="00955F25">
              <w:rPr>
                <w:rFonts w:eastAsia="Times New Roman" w:cs="Calibri"/>
                <w:color w:val="262626"/>
                <w:lang w:eastAsia="en-AU"/>
              </w:rPr>
              <w:br/>
              <w:t>• Build the capacity of the ACCHOs to provide culturally appropriate health care to its First Nations clients</w:t>
            </w:r>
            <w:r w:rsidRPr="00955F25">
              <w:rPr>
                <w:rFonts w:eastAsia="Times New Roman" w:cs="Calibri"/>
                <w:color w:val="262626"/>
                <w:lang w:eastAsia="en-AU"/>
              </w:rPr>
              <w:br/>
              <w:t xml:space="preserve">The Australian Indigenous Doctors Association (AIDA) was funded $0.36 million from 2020-21 to 2022-23 to deliver the Indigenous Medical Specialist Trainees program. The program involved developing minimum and best practice </w:t>
            </w:r>
            <w:r w:rsidRPr="00955F25">
              <w:rPr>
                <w:rFonts w:eastAsia="Times New Roman" w:cs="Calibri"/>
                <w:color w:val="262626"/>
                <w:lang w:eastAsia="en-AU"/>
              </w:rPr>
              <w:lastRenderedPageBreak/>
              <w:t>standards to implement across specialist colleges to support First Nations doctors who were to looking to enter or undertake specialist training.</w:t>
            </w:r>
          </w:p>
        </w:tc>
      </w:tr>
      <w:tr w:rsidR="001333FD" w:rsidRPr="00955F25" w14:paraId="18E8B051" w14:textId="77777777" w:rsidTr="00D12069">
        <w:trPr>
          <w:cnfStyle w:val="000000010000" w:firstRow="0" w:lastRow="0" w:firstColumn="0" w:lastColumn="0" w:oddVBand="0" w:evenVBand="0" w:oddHBand="0" w:evenHBand="1" w:firstRowFirstColumn="0" w:firstRowLastColumn="0" w:lastRowFirstColumn="0" w:lastRowLastColumn="0"/>
        </w:trPr>
        <w:tc>
          <w:tcPr>
            <w:tcW w:w="250" w:type="pct"/>
            <w:hideMark/>
          </w:tcPr>
          <w:p w14:paraId="3EAF2B73" w14:textId="77777777" w:rsidR="001333FD" w:rsidRPr="001333FD" w:rsidRDefault="001333FD" w:rsidP="0013446F">
            <w:pPr>
              <w:spacing w:after="0" w:line="240" w:lineRule="auto"/>
              <w:rPr>
                <w:rFonts w:ascii="Calibri" w:eastAsia="Times New Roman" w:hAnsi="Calibri" w:cs="Calibri"/>
                <w:color w:val="262626"/>
                <w:lang w:eastAsia="en-AU"/>
              </w:rPr>
            </w:pPr>
            <w:r w:rsidRPr="001333FD">
              <w:rPr>
                <w:rFonts w:ascii="Calibri" w:eastAsia="Times New Roman" w:hAnsi="Calibri" w:cs="Calibri"/>
                <w:color w:val="262626"/>
                <w:lang w:eastAsia="en-AU"/>
              </w:rPr>
              <w:lastRenderedPageBreak/>
              <w:t>A8</w:t>
            </w:r>
          </w:p>
        </w:tc>
        <w:tc>
          <w:tcPr>
            <w:tcW w:w="600" w:type="pct"/>
            <w:hideMark/>
          </w:tcPr>
          <w:p w14:paraId="6122B630" w14:textId="77777777" w:rsidR="001333FD" w:rsidRPr="001333FD" w:rsidRDefault="001333FD" w:rsidP="0013446F">
            <w:pPr>
              <w:spacing w:after="0" w:line="240" w:lineRule="auto"/>
              <w:rPr>
                <w:rFonts w:ascii="Calibri" w:eastAsia="Times New Roman" w:hAnsi="Calibri" w:cs="Calibri"/>
                <w:color w:val="262626"/>
                <w:lang w:eastAsia="en-AU"/>
              </w:rPr>
            </w:pPr>
            <w:r w:rsidRPr="001333FD">
              <w:rPr>
                <w:rFonts w:ascii="Calibri" w:eastAsia="Times New Roman" w:hAnsi="Calibri" w:cs="Calibri"/>
                <w:color w:val="262626"/>
                <w:lang w:eastAsia="en-AU"/>
              </w:rPr>
              <w:t>Capital Infrastructure</w:t>
            </w:r>
          </w:p>
        </w:tc>
        <w:tc>
          <w:tcPr>
            <w:tcW w:w="600" w:type="pct"/>
            <w:hideMark/>
          </w:tcPr>
          <w:p w14:paraId="0BB4405C" w14:textId="77777777" w:rsidR="001333FD" w:rsidRPr="00955F25" w:rsidRDefault="001333FD" w:rsidP="0013446F">
            <w:pPr>
              <w:spacing w:after="0" w:line="240" w:lineRule="auto"/>
              <w:rPr>
                <w:rFonts w:ascii="Calibri" w:eastAsia="Times New Roman" w:hAnsi="Calibri" w:cs="Calibri"/>
                <w:bCs/>
                <w:color w:val="262626"/>
                <w:lang w:eastAsia="en-AU"/>
              </w:rPr>
            </w:pPr>
            <w:r w:rsidRPr="00955F25">
              <w:rPr>
                <w:rFonts w:ascii="Calibri" w:eastAsia="Times New Roman" w:hAnsi="Calibri" w:cs="Calibri"/>
                <w:bCs/>
                <w:color w:val="262626"/>
                <w:lang w:eastAsia="en-AU"/>
              </w:rPr>
              <w:t xml:space="preserve">Fund major and medium-size capital and physical infrastructure including permanent clinic builds and large-scale renovations, mobile clinics, maintenance, repairs and extensions to ensure facilities meet building codes and accreditation standards </w:t>
            </w:r>
          </w:p>
        </w:tc>
        <w:tc>
          <w:tcPr>
            <w:tcW w:w="600" w:type="pct"/>
            <w:hideMark/>
          </w:tcPr>
          <w:p w14:paraId="1D15B2A3" w14:textId="77777777" w:rsidR="001333FD" w:rsidRPr="00955F25" w:rsidRDefault="001333FD" w:rsidP="0013446F">
            <w:pPr>
              <w:spacing w:after="0" w:line="240" w:lineRule="auto"/>
              <w:rPr>
                <w:rFonts w:ascii="Calibri" w:eastAsia="Times New Roman" w:hAnsi="Calibri" w:cs="Calibri"/>
                <w:color w:val="262626"/>
                <w:lang w:eastAsia="en-AU"/>
              </w:rPr>
            </w:pPr>
            <w:r w:rsidRPr="00955F25">
              <w:rPr>
                <w:rFonts w:ascii="Calibri" w:eastAsia="Times New Roman" w:hAnsi="Calibri" w:cs="Calibri"/>
                <w:color w:val="262626"/>
                <w:lang w:eastAsia="en-AU"/>
              </w:rPr>
              <w:t>Australian Government</w:t>
            </w:r>
            <w:r w:rsidRPr="00955F25">
              <w:rPr>
                <w:rFonts w:ascii="Calibri" w:eastAsia="Times New Roman" w:hAnsi="Calibri" w:cs="Calibri"/>
                <w:color w:val="262626"/>
                <w:lang w:eastAsia="en-AU"/>
              </w:rPr>
              <w:br/>
              <w:t>State and Territory Governments</w:t>
            </w:r>
          </w:p>
        </w:tc>
        <w:tc>
          <w:tcPr>
            <w:tcW w:w="600" w:type="pct"/>
            <w:hideMark/>
          </w:tcPr>
          <w:p w14:paraId="6472C6F1" w14:textId="77777777" w:rsidR="001333FD" w:rsidRPr="00955F25" w:rsidRDefault="001333FD" w:rsidP="0013446F">
            <w:pPr>
              <w:spacing w:after="0" w:line="240" w:lineRule="auto"/>
              <w:rPr>
                <w:rFonts w:ascii="Calibri" w:eastAsia="Times New Roman" w:hAnsi="Calibri" w:cs="Calibri"/>
                <w:color w:val="262626"/>
                <w:lang w:eastAsia="en-AU"/>
              </w:rPr>
            </w:pPr>
            <w:r w:rsidRPr="00955F25">
              <w:rPr>
                <w:rFonts w:ascii="Calibri" w:eastAsia="Times New Roman" w:hAnsi="Calibri" w:cs="Calibri"/>
                <w:color w:val="262626"/>
                <w:lang w:eastAsia="en-AU"/>
              </w:rPr>
              <w:t>$254.4 million over four years (as announced)</w:t>
            </w:r>
          </w:p>
        </w:tc>
        <w:tc>
          <w:tcPr>
            <w:tcW w:w="2350" w:type="pct"/>
            <w:hideMark/>
          </w:tcPr>
          <w:p w14:paraId="22470071" w14:textId="77777777" w:rsidR="001333FD" w:rsidRPr="00955F25" w:rsidRDefault="001333FD" w:rsidP="0013446F">
            <w:pPr>
              <w:spacing w:after="0" w:line="240" w:lineRule="auto"/>
              <w:rPr>
                <w:rFonts w:ascii="Calibri" w:eastAsia="Times New Roman" w:hAnsi="Calibri" w:cs="Calibri"/>
                <w:color w:val="262626"/>
                <w:lang w:eastAsia="en-AU"/>
              </w:rPr>
            </w:pPr>
            <w:r w:rsidRPr="00955F25">
              <w:rPr>
                <w:rFonts w:ascii="Calibri" w:eastAsia="Times New Roman" w:hAnsi="Calibri" w:cs="Calibri"/>
                <w:color w:val="262626"/>
                <w:lang w:eastAsia="en-AU"/>
              </w:rPr>
              <w:t xml:space="preserve">Investment in community-controlled health sector infrastructure is required to ensure that services can deliver vital care to First Nations peoples and communities. Investment of $247.5 million, including $100 million from the Indigenous Australians’ Health Programme (IAHP) to ACCHS and </w:t>
            </w:r>
            <w:r w:rsidRPr="00955F25">
              <w:rPr>
                <w:rFonts w:ascii="Calibri" w:eastAsia="Times New Roman" w:hAnsi="Calibri" w:cs="Calibri"/>
                <w:color w:val="000000"/>
                <w:lang w:eastAsia="en-AU"/>
              </w:rPr>
              <w:t>National Infrastructure Project Facilitator, will deliver new or renovated health clinics and associated housing for health professionals. 61 Major Capital Works projects have commenced, totalling $138.6 million.  </w:t>
            </w:r>
          </w:p>
        </w:tc>
      </w:tr>
      <w:tr w:rsidR="001333FD" w:rsidRPr="00955F25" w14:paraId="04F17556" w14:textId="77777777" w:rsidTr="00D12069">
        <w:trPr>
          <w:cnfStyle w:val="000000100000" w:firstRow="0" w:lastRow="0" w:firstColumn="0" w:lastColumn="0" w:oddVBand="0" w:evenVBand="0" w:oddHBand="1" w:evenHBand="0" w:firstRowFirstColumn="0" w:firstRowLastColumn="0" w:lastRowFirstColumn="0" w:lastRowLastColumn="0"/>
        </w:trPr>
        <w:tc>
          <w:tcPr>
            <w:tcW w:w="250" w:type="pct"/>
            <w:hideMark/>
          </w:tcPr>
          <w:p w14:paraId="31C0CEEC" w14:textId="77777777" w:rsidR="001333FD" w:rsidRPr="001333FD" w:rsidRDefault="001333FD" w:rsidP="0013446F">
            <w:pPr>
              <w:spacing w:after="0" w:line="240" w:lineRule="auto"/>
              <w:rPr>
                <w:rFonts w:eastAsia="Times New Roman" w:cs="Calibri"/>
                <w:color w:val="262626"/>
                <w:lang w:eastAsia="en-AU"/>
              </w:rPr>
            </w:pPr>
            <w:r w:rsidRPr="001333FD">
              <w:rPr>
                <w:rFonts w:eastAsia="Times New Roman" w:cs="Calibri"/>
                <w:color w:val="262626"/>
                <w:lang w:eastAsia="en-AU"/>
              </w:rPr>
              <w:t>A9</w:t>
            </w:r>
          </w:p>
        </w:tc>
        <w:tc>
          <w:tcPr>
            <w:tcW w:w="600" w:type="pct"/>
            <w:hideMark/>
          </w:tcPr>
          <w:p w14:paraId="4CCEEFC0" w14:textId="77777777" w:rsidR="001333FD" w:rsidRPr="001333FD" w:rsidRDefault="001333FD" w:rsidP="0013446F">
            <w:pPr>
              <w:spacing w:after="0" w:line="240" w:lineRule="auto"/>
              <w:rPr>
                <w:rFonts w:eastAsia="Times New Roman" w:cs="Calibri"/>
                <w:color w:val="262626"/>
                <w:lang w:eastAsia="en-AU"/>
              </w:rPr>
            </w:pPr>
            <w:r w:rsidRPr="001333FD">
              <w:rPr>
                <w:rFonts w:eastAsia="Times New Roman" w:cs="Calibri"/>
                <w:color w:val="262626"/>
                <w:lang w:eastAsia="en-AU"/>
              </w:rPr>
              <w:t>Capital Infrastructure</w:t>
            </w:r>
          </w:p>
        </w:tc>
        <w:tc>
          <w:tcPr>
            <w:tcW w:w="600" w:type="pct"/>
            <w:hideMark/>
          </w:tcPr>
          <w:p w14:paraId="39D0858C" w14:textId="77777777" w:rsidR="001333FD" w:rsidRPr="00955F25" w:rsidRDefault="001333FD" w:rsidP="0013446F">
            <w:pPr>
              <w:spacing w:after="0" w:line="240" w:lineRule="auto"/>
              <w:rPr>
                <w:rFonts w:eastAsia="Times New Roman" w:cs="Calibri"/>
                <w:bCs/>
                <w:color w:val="262626"/>
                <w:lang w:eastAsia="en-AU"/>
              </w:rPr>
            </w:pPr>
            <w:r w:rsidRPr="00955F25">
              <w:rPr>
                <w:rFonts w:eastAsia="Times New Roman" w:cs="Calibri"/>
                <w:bCs/>
                <w:color w:val="262626"/>
                <w:lang w:eastAsia="en-AU"/>
              </w:rPr>
              <w:t>Fund staff accommodation required to ensure regional and remote communities have the stable health workforce they require with equitable access to staff accommodation for local Aboriginal and Torres Strait Islander health workforce</w:t>
            </w:r>
          </w:p>
        </w:tc>
        <w:tc>
          <w:tcPr>
            <w:tcW w:w="600" w:type="pct"/>
            <w:hideMark/>
          </w:tcPr>
          <w:p w14:paraId="0FA01BD0" w14:textId="77777777" w:rsidR="001333FD" w:rsidRPr="00955F25" w:rsidRDefault="001333FD" w:rsidP="0013446F">
            <w:pPr>
              <w:spacing w:after="0" w:line="240" w:lineRule="auto"/>
              <w:rPr>
                <w:rFonts w:eastAsia="Times New Roman" w:cs="Calibri"/>
                <w:color w:val="262626"/>
                <w:lang w:eastAsia="en-AU"/>
              </w:rPr>
            </w:pPr>
            <w:r w:rsidRPr="00955F25">
              <w:rPr>
                <w:rFonts w:eastAsia="Times New Roman" w:cs="Calibri"/>
                <w:color w:val="262626"/>
                <w:lang w:eastAsia="en-AU"/>
              </w:rPr>
              <w:t xml:space="preserve">Australian Government Department of Health </w:t>
            </w:r>
            <w:r w:rsidRPr="00955F25">
              <w:rPr>
                <w:rFonts w:eastAsia="Times New Roman" w:cs="Calibri"/>
                <w:color w:val="262626"/>
                <w:lang w:eastAsia="en-AU"/>
              </w:rPr>
              <w:br/>
              <w:t>WA Government</w:t>
            </w:r>
          </w:p>
        </w:tc>
        <w:tc>
          <w:tcPr>
            <w:tcW w:w="600" w:type="pct"/>
            <w:hideMark/>
          </w:tcPr>
          <w:p w14:paraId="0C57A6C6" w14:textId="77777777" w:rsidR="001333FD" w:rsidRPr="00955F25" w:rsidRDefault="001333FD" w:rsidP="0013446F">
            <w:pPr>
              <w:spacing w:after="0" w:line="240" w:lineRule="auto"/>
              <w:rPr>
                <w:rFonts w:eastAsia="Times New Roman" w:cs="Calibri"/>
                <w:color w:val="262626"/>
                <w:lang w:eastAsia="en-AU"/>
              </w:rPr>
            </w:pPr>
            <w:r w:rsidRPr="00955F25">
              <w:rPr>
                <w:rFonts w:eastAsia="Times New Roman" w:cs="Calibri"/>
                <w:color w:val="262626"/>
                <w:lang w:eastAsia="en-AU"/>
              </w:rPr>
              <w:t>$254.4 million over four years includes funds for clinical staff accommodation only (see A8)</w:t>
            </w:r>
            <w:r w:rsidRPr="00955F25">
              <w:rPr>
                <w:rFonts w:eastAsia="Times New Roman" w:cs="Calibri"/>
                <w:color w:val="262626"/>
                <w:lang w:eastAsia="en-AU"/>
              </w:rPr>
              <w:br/>
              <w:t xml:space="preserve">Non-clinical staff – to be determined </w:t>
            </w:r>
          </w:p>
        </w:tc>
        <w:tc>
          <w:tcPr>
            <w:tcW w:w="2350" w:type="pct"/>
            <w:hideMark/>
          </w:tcPr>
          <w:p w14:paraId="19A5B3DA" w14:textId="77777777" w:rsidR="001333FD" w:rsidRPr="00955F25" w:rsidRDefault="001333FD" w:rsidP="0013446F">
            <w:pPr>
              <w:spacing w:after="0" w:line="240" w:lineRule="auto"/>
              <w:rPr>
                <w:rFonts w:eastAsia="Times New Roman" w:cs="Calibri"/>
                <w:color w:val="262626"/>
                <w:lang w:eastAsia="en-AU"/>
              </w:rPr>
            </w:pPr>
            <w:r w:rsidRPr="00955F25">
              <w:rPr>
                <w:rFonts w:eastAsia="Times New Roman" w:cs="Calibri"/>
                <w:color w:val="262626"/>
                <w:lang w:eastAsia="en-AU"/>
              </w:rPr>
              <w:t xml:space="preserve">As above.  Investment in community-controlled health sector infrastructure is required to ensure that services can deliver vital care to First Nations peoples and communities. Investment of $247.5 million, including $100 million from the Indigenous Australians’ Health Programme (IAHP) to ACCHS and </w:t>
            </w:r>
            <w:r w:rsidRPr="00955F25">
              <w:rPr>
                <w:rFonts w:eastAsia="Times New Roman" w:cs="Calibri"/>
                <w:color w:val="000000"/>
                <w:lang w:eastAsia="en-AU"/>
              </w:rPr>
              <w:t>National Infrastructure Project Facilitator, will deliver new or renovated health clinics and associated housing for health professionals. 61 Major Capital Works projects have commenced, totalling $138.6 million.  </w:t>
            </w:r>
          </w:p>
        </w:tc>
      </w:tr>
      <w:tr w:rsidR="001333FD" w:rsidRPr="00955F25" w14:paraId="69E9C571" w14:textId="77777777" w:rsidTr="00D12069">
        <w:trPr>
          <w:cnfStyle w:val="000000010000" w:firstRow="0" w:lastRow="0" w:firstColumn="0" w:lastColumn="0" w:oddVBand="0" w:evenVBand="0" w:oddHBand="0" w:evenHBand="1" w:firstRowFirstColumn="0" w:firstRowLastColumn="0" w:lastRowFirstColumn="0" w:lastRowLastColumn="0"/>
        </w:trPr>
        <w:tc>
          <w:tcPr>
            <w:tcW w:w="250" w:type="pct"/>
            <w:hideMark/>
          </w:tcPr>
          <w:p w14:paraId="3E2F0E21" w14:textId="77777777" w:rsidR="001333FD" w:rsidRPr="001333FD" w:rsidRDefault="001333FD" w:rsidP="0013446F">
            <w:pPr>
              <w:spacing w:after="0" w:line="240" w:lineRule="auto"/>
              <w:rPr>
                <w:rFonts w:ascii="Calibri" w:eastAsia="Times New Roman" w:hAnsi="Calibri" w:cs="Calibri"/>
                <w:color w:val="262626"/>
                <w:lang w:eastAsia="en-AU"/>
              </w:rPr>
            </w:pPr>
            <w:r w:rsidRPr="001333FD">
              <w:rPr>
                <w:rFonts w:ascii="Calibri" w:eastAsia="Times New Roman" w:hAnsi="Calibri" w:cs="Calibri"/>
                <w:color w:val="262626"/>
                <w:lang w:eastAsia="en-AU"/>
              </w:rPr>
              <w:t>A10</w:t>
            </w:r>
          </w:p>
        </w:tc>
        <w:tc>
          <w:tcPr>
            <w:tcW w:w="600" w:type="pct"/>
            <w:hideMark/>
          </w:tcPr>
          <w:p w14:paraId="2E3DD012" w14:textId="77777777" w:rsidR="001333FD" w:rsidRPr="001333FD" w:rsidRDefault="001333FD" w:rsidP="0013446F">
            <w:pPr>
              <w:spacing w:after="0" w:line="240" w:lineRule="auto"/>
              <w:rPr>
                <w:rFonts w:ascii="Calibri" w:eastAsia="Times New Roman" w:hAnsi="Calibri" w:cs="Calibri"/>
                <w:color w:val="262626"/>
                <w:lang w:eastAsia="en-AU"/>
              </w:rPr>
            </w:pPr>
            <w:r w:rsidRPr="001333FD">
              <w:rPr>
                <w:rFonts w:ascii="Calibri" w:eastAsia="Times New Roman" w:hAnsi="Calibri" w:cs="Calibri"/>
                <w:color w:val="262626"/>
                <w:lang w:eastAsia="en-AU"/>
              </w:rPr>
              <w:t>Capital Infrastructure</w:t>
            </w:r>
          </w:p>
        </w:tc>
        <w:tc>
          <w:tcPr>
            <w:tcW w:w="600" w:type="pct"/>
            <w:hideMark/>
          </w:tcPr>
          <w:p w14:paraId="14641257" w14:textId="77777777" w:rsidR="001333FD" w:rsidRPr="00955F25" w:rsidRDefault="001333FD" w:rsidP="0013446F">
            <w:pPr>
              <w:spacing w:after="0" w:line="240" w:lineRule="auto"/>
              <w:rPr>
                <w:rFonts w:ascii="Calibri" w:eastAsia="Times New Roman" w:hAnsi="Calibri" w:cs="Calibri"/>
                <w:bCs/>
                <w:color w:val="262626"/>
                <w:lang w:eastAsia="en-AU"/>
              </w:rPr>
            </w:pPr>
            <w:r w:rsidRPr="00955F25">
              <w:rPr>
                <w:rFonts w:ascii="Calibri" w:eastAsia="Times New Roman" w:hAnsi="Calibri" w:cs="Calibri"/>
                <w:bCs/>
                <w:color w:val="262626"/>
                <w:lang w:eastAsia="en-AU"/>
              </w:rPr>
              <w:t>Fund reliable IT capacity and connectivity for electronic clinical information systems, telehealth, community engagement, and client connection with their community-controlled health service in every region (urban, regional and remote) and equitable access to other technological and digital innovations to improve culturally safe, cost-effective service delivery.</w:t>
            </w:r>
          </w:p>
        </w:tc>
        <w:tc>
          <w:tcPr>
            <w:tcW w:w="600" w:type="pct"/>
            <w:hideMark/>
          </w:tcPr>
          <w:p w14:paraId="5E20583D" w14:textId="77777777" w:rsidR="001333FD" w:rsidRPr="00955F25" w:rsidRDefault="001333FD" w:rsidP="0013446F">
            <w:pPr>
              <w:spacing w:after="0" w:line="240" w:lineRule="auto"/>
              <w:rPr>
                <w:rFonts w:ascii="Calibri" w:eastAsia="Times New Roman" w:hAnsi="Calibri" w:cs="Calibri"/>
                <w:color w:val="262626"/>
                <w:lang w:eastAsia="en-AU"/>
              </w:rPr>
            </w:pPr>
            <w:r w:rsidRPr="00955F25">
              <w:rPr>
                <w:rFonts w:ascii="Calibri" w:eastAsia="Times New Roman" w:hAnsi="Calibri" w:cs="Calibri"/>
                <w:color w:val="262626"/>
                <w:lang w:eastAsia="en-AU"/>
              </w:rPr>
              <w:t xml:space="preserve">Australian Government Department of Health </w:t>
            </w:r>
          </w:p>
        </w:tc>
        <w:tc>
          <w:tcPr>
            <w:tcW w:w="600" w:type="pct"/>
            <w:hideMark/>
          </w:tcPr>
          <w:p w14:paraId="19E604B0" w14:textId="77777777" w:rsidR="001333FD" w:rsidRPr="00955F25" w:rsidRDefault="001333FD" w:rsidP="0013446F">
            <w:pPr>
              <w:spacing w:after="0" w:line="240" w:lineRule="auto"/>
              <w:rPr>
                <w:rFonts w:ascii="Calibri" w:eastAsia="Times New Roman" w:hAnsi="Calibri" w:cs="Calibri"/>
                <w:color w:val="262626"/>
                <w:lang w:eastAsia="en-AU"/>
              </w:rPr>
            </w:pPr>
            <w:r w:rsidRPr="00955F25">
              <w:rPr>
                <w:rFonts w:ascii="Calibri" w:eastAsia="Times New Roman" w:hAnsi="Calibri" w:cs="Calibri"/>
                <w:color w:val="262626"/>
                <w:lang w:eastAsia="en-AU"/>
              </w:rPr>
              <w:t>$254.4 million over four years (see A8)</w:t>
            </w:r>
          </w:p>
        </w:tc>
        <w:tc>
          <w:tcPr>
            <w:tcW w:w="2350" w:type="pct"/>
            <w:hideMark/>
          </w:tcPr>
          <w:p w14:paraId="284E9653" w14:textId="77777777" w:rsidR="001333FD" w:rsidRPr="00955F25" w:rsidRDefault="001333FD" w:rsidP="0013446F">
            <w:pPr>
              <w:spacing w:after="0" w:line="240" w:lineRule="auto"/>
              <w:rPr>
                <w:rFonts w:ascii="Calibri" w:eastAsia="Times New Roman" w:hAnsi="Calibri" w:cs="Calibri"/>
                <w:color w:val="262626"/>
                <w:lang w:eastAsia="en-AU"/>
              </w:rPr>
            </w:pPr>
            <w:r w:rsidRPr="00955F25">
              <w:rPr>
                <w:rFonts w:ascii="Calibri" w:eastAsia="Times New Roman" w:hAnsi="Calibri" w:cs="Calibri"/>
                <w:color w:val="262626"/>
                <w:lang w:eastAsia="en-AU"/>
              </w:rPr>
              <w:t xml:space="preserve">As above. Investment in community-controlled health sector infrastructure is required to ensure that services can deliver vital care to First Nations peoples and communities. Investment of $247.5 million, including $100 million from the Indigenous Australians’ Health Programme (IAHP) to ACCHS and </w:t>
            </w:r>
            <w:r w:rsidRPr="00955F25">
              <w:rPr>
                <w:rFonts w:ascii="Calibri" w:eastAsia="Times New Roman" w:hAnsi="Calibri" w:cs="Calibri"/>
                <w:color w:val="000000"/>
                <w:lang w:eastAsia="en-AU"/>
              </w:rPr>
              <w:t>National Infrastructure Project Facilitator, will deliver new or renovated health clinics and associated housing for health professionals. 61 Major Capital Works projects have commenced, totalling $138.6 million.  </w:t>
            </w:r>
          </w:p>
        </w:tc>
      </w:tr>
      <w:tr w:rsidR="001333FD" w:rsidRPr="00955F25" w14:paraId="63BFFFDB" w14:textId="77777777" w:rsidTr="00D12069">
        <w:trPr>
          <w:cnfStyle w:val="000000100000" w:firstRow="0" w:lastRow="0" w:firstColumn="0" w:lastColumn="0" w:oddVBand="0" w:evenVBand="0" w:oddHBand="1" w:evenHBand="0" w:firstRowFirstColumn="0" w:firstRowLastColumn="0" w:lastRowFirstColumn="0" w:lastRowLastColumn="0"/>
        </w:trPr>
        <w:tc>
          <w:tcPr>
            <w:tcW w:w="250" w:type="pct"/>
            <w:hideMark/>
          </w:tcPr>
          <w:p w14:paraId="48487158" w14:textId="77777777" w:rsidR="001333FD" w:rsidRPr="001333FD" w:rsidRDefault="001333FD" w:rsidP="0013446F">
            <w:pPr>
              <w:spacing w:after="0" w:line="240" w:lineRule="auto"/>
              <w:rPr>
                <w:rFonts w:eastAsia="Times New Roman" w:cs="Calibri"/>
                <w:color w:val="262626"/>
                <w:lang w:eastAsia="en-AU"/>
              </w:rPr>
            </w:pPr>
            <w:r w:rsidRPr="001333FD">
              <w:rPr>
                <w:rFonts w:eastAsia="Times New Roman" w:cs="Calibri"/>
                <w:color w:val="262626"/>
                <w:lang w:eastAsia="en-AU"/>
              </w:rPr>
              <w:t>A11</w:t>
            </w:r>
          </w:p>
        </w:tc>
        <w:tc>
          <w:tcPr>
            <w:tcW w:w="600" w:type="pct"/>
            <w:hideMark/>
          </w:tcPr>
          <w:p w14:paraId="1E310906" w14:textId="77777777" w:rsidR="001333FD" w:rsidRPr="001333FD" w:rsidRDefault="001333FD" w:rsidP="0013446F">
            <w:pPr>
              <w:spacing w:after="0" w:line="240" w:lineRule="auto"/>
              <w:rPr>
                <w:rFonts w:eastAsia="Times New Roman" w:cs="Calibri"/>
                <w:color w:val="262626"/>
                <w:lang w:eastAsia="en-AU"/>
              </w:rPr>
            </w:pPr>
            <w:r w:rsidRPr="001333FD">
              <w:rPr>
                <w:rFonts w:eastAsia="Times New Roman" w:cs="Calibri"/>
                <w:color w:val="262626"/>
                <w:lang w:eastAsia="en-AU"/>
              </w:rPr>
              <w:t xml:space="preserve">Service Delivery  </w:t>
            </w:r>
          </w:p>
        </w:tc>
        <w:tc>
          <w:tcPr>
            <w:tcW w:w="600" w:type="pct"/>
            <w:hideMark/>
          </w:tcPr>
          <w:p w14:paraId="5A33ECAA" w14:textId="77777777" w:rsidR="001333FD" w:rsidRPr="00955F25" w:rsidRDefault="001333FD" w:rsidP="0013446F">
            <w:pPr>
              <w:spacing w:after="0" w:line="240" w:lineRule="auto"/>
              <w:rPr>
                <w:rFonts w:eastAsia="Times New Roman" w:cs="Calibri"/>
                <w:bCs/>
                <w:color w:val="262626"/>
                <w:lang w:eastAsia="en-AU"/>
              </w:rPr>
            </w:pPr>
            <w:r w:rsidRPr="00955F25">
              <w:rPr>
                <w:rFonts w:eastAsia="Times New Roman" w:cs="Calibri"/>
                <w:bCs/>
                <w:color w:val="262626"/>
                <w:lang w:eastAsia="en-AU"/>
              </w:rPr>
              <w:t>Rectify overburden of activity reporting to governments to allow the Aboriginal and Torres Strait Islander community-controlled health sector to focus on outcomes while maintaining accountability.</w:t>
            </w:r>
          </w:p>
        </w:tc>
        <w:tc>
          <w:tcPr>
            <w:tcW w:w="600" w:type="pct"/>
            <w:hideMark/>
          </w:tcPr>
          <w:p w14:paraId="150B2C86" w14:textId="77777777" w:rsidR="001333FD" w:rsidRPr="00955F25" w:rsidRDefault="001333FD" w:rsidP="0013446F">
            <w:pPr>
              <w:spacing w:after="0" w:line="240" w:lineRule="auto"/>
              <w:rPr>
                <w:rFonts w:eastAsia="Times New Roman" w:cs="Calibri"/>
                <w:color w:val="262626"/>
                <w:lang w:eastAsia="en-AU"/>
              </w:rPr>
            </w:pPr>
            <w:r w:rsidRPr="00955F25">
              <w:rPr>
                <w:rFonts w:eastAsia="Times New Roman" w:cs="Calibri"/>
                <w:color w:val="262626"/>
                <w:lang w:eastAsia="en-AU"/>
              </w:rPr>
              <w:t>All jurisdictions</w:t>
            </w:r>
          </w:p>
        </w:tc>
        <w:tc>
          <w:tcPr>
            <w:tcW w:w="600" w:type="pct"/>
            <w:hideMark/>
          </w:tcPr>
          <w:p w14:paraId="68B7C055" w14:textId="77777777" w:rsidR="001333FD" w:rsidRPr="00955F25" w:rsidRDefault="001333FD" w:rsidP="0013446F">
            <w:pPr>
              <w:spacing w:after="0" w:line="240" w:lineRule="auto"/>
              <w:rPr>
                <w:rFonts w:eastAsia="Times New Roman" w:cs="Calibri"/>
                <w:color w:val="262626"/>
                <w:lang w:eastAsia="en-AU"/>
              </w:rPr>
            </w:pPr>
            <w:r w:rsidRPr="00955F25">
              <w:rPr>
                <w:rFonts w:eastAsia="Times New Roman" w:cs="Calibri"/>
                <w:color w:val="262626"/>
                <w:lang w:eastAsia="en-AU"/>
              </w:rPr>
              <w:t>Nil additional financial costs (and release of resources currently diverted to unnecessary reporting)</w:t>
            </w:r>
          </w:p>
        </w:tc>
        <w:tc>
          <w:tcPr>
            <w:tcW w:w="2350" w:type="pct"/>
            <w:hideMark/>
          </w:tcPr>
          <w:p w14:paraId="6C5A6ACC" w14:textId="77777777" w:rsidR="001333FD" w:rsidRPr="00955F25" w:rsidRDefault="001333FD" w:rsidP="0013446F">
            <w:pPr>
              <w:spacing w:after="0" w:line="240" w:lineRule="auto"/>
              <w:rPr>
                <w:rFonts w:eastAsia="Times New Roman" w:cs="Calibri"/>
                <w:color w:val="000000"/>
                <w:lang w:eastAsia="en-AU"/>
              </w:rPr>
            </w:pPr>
            <w:r w:rsidRPr="00955F25">
              <w:rPr>
                <w:rFonts w:eastAsia="Times New Roman" w:cs="Calibri"/>
                <w:color w:val="000000"/>
                <w:lang w:eastAsia="en-AU"/>
              </w:rPr>
              <w:t xml:space="preserve">The Department of Health Closing the Gap Steering Committee continues to oversee the review of policies and programs to identify areas to focus on the Closing the Gap Priority Reforms, outcomes, and targets. The Steering Committee’s Closing the Gap Framework for Action has guided key projects across the Department aligned with the Priority Reforms. </w:t>
            </w:r>
            <w:r w:rsidRPr="00955F25">
              <w:rPr>
                <w:rFonts w:eastAsia="Times New Roman" w:cs="Calibri"/>
                <w:color w:val="000000"/>
                <w:lang w:eastAsia="en-AU"/>
              </w:rPr>
              <w:br/>
            </w:r>
            <w:r w:rsidRPr="00955F25">
              <w:rPr>
                <w:rFonts w:eastAsia="Times New Roman" w:cs="Calibri"/>
                <w:color w:val="000000"/>
                <w:lang w:eastAsia="en-AU"/>
              </w:rPr>
              <w:br/>
              <w:t>In November 2023, the Steering Committee held its inaugural annual roundtable with First Nations peak health organisations to hear their priorities.  The Department heard there is a lack of government accountability to partnerships, including the overburden of reporting on the sector. Addressing these concerns will be a key focus for the Framework for Action in 2024.</w:t>
            </w:r>
          </w:p>
        </w:tc>
      </w:tr>
      <w:tr w:rsidR="001333FD" w:rsidRPr="00955F25" w14:paraId="316B8024" w14:textId="77777777" w:rsidTr="00D12069">
        <w:trPr>
          <w:cnfStyle w:val="000000010000" w:firstRow="0" w:lastRow="0" w:firstColumn="0" w:lastColumn="0" w:oddVBand="0" w:evenVBand="0" w:oddHBand="0" w:evenHBand="1" w:firstRowFirstColumn="0" w:firstRowLastColumn="0" w:lastRowFirstColumn="0" w:lastRowLastColumn="0"/>
        </w:trPr>
        <w:tc>
          <w:tcPr>
            <w:tcW w:w="250" w:type="pct"/>
            <w:hideMark/>
          </w:tcPr>
          <w:p w14:paraId="57C75630" w14:textId="77777777" w:rsidR="001333FD" w:rsidRPr="001333FD" w:rsidRDefault="001333FD" w:rsidP="0013446F">
            <w:pPr>
              <w:spacing w:after="0" w:line="240" w:lineRule="auto"/>
              <w:rPr>
                <w:rFonts w:ascii="Calibri" w:eastAsia="Times New Roman" w:hAnsi="Calibri" w:cs="Calibri"/>
                <w:color w:val="262626"/>
                <w:lang w:eastAsia="en-AU"/>
              </w:rPr>
            </w:pPr>
            <w:r w:rsidRPr="001333FD">
              <w:rPr>
                <w:rFonts w:ascii="Calibri" w:eastAsia="Times New Roman" w:hAnsi="Calibri" w:cs="Calibri"/>
                <w:color w:val="262626"/>
                <w:lang w:eastAsia="en-AU"/>
              </w:rPr>
              <w:t>A14</w:t>
            </w:r>
          </w:p>
        </w:tc>
        <w:tc>
          <w:tcPr>
            <w:tcW w:w="600" w:type="pct"/>
            <w:hideMark/>
          </w:tcPr>
          <w:p w14:paraId="15426348" w14:textId="77777777" w:rsidR="001333FD" w:rsidRPr="001333FD" w:rsidRDefault="001333FD" w:rsidP="0013446F">
            <w:pPr>
              <w:spacing w:after="0" w:line="240" w:lineRule="auto"/>
              <w:rPr>
                <w:rFonts w:ascii="Calibri" w:eastAsia="Times New Roman" w:hAnsi="Calibri" w:cs="Calibri"/>
                <w:color w:val="262626"/>
                <w:lang w:eastAsia="en-AU"/>
              </w:rPr>
            </w:pPr>
            <w:r w:rsidRPr="001333FD">
              <w:rPr>
                <w:rFonts w:ascii="Calibri" w:eastAsia="Times New Roman" w:hAnsi="Calibri" w:cs="Calibri"/>
                <w:color w:val="262626"/>
                <w:lang w:eastAsia="en-AU"/>
              </w:rPr>
              <w:t xml:space="preserve">Service Delivery  </w:t>
            </w:r>
          </w:p>
        </w:tc>
        <w:tc>
          <w:tcPr>
            <w:tcW w:w="600" w:type="pct"/>
            <w:hideMark/>
          </w:tcPr>
          <w:p w14:paraId="2EE76D97" w14:textId="77777777" w:rsidR="001333FD" w:rsidRPr="00955F25" w:rsidRDefault="001333FD" w:rsidP="0013446F">
            <w:pPr>
              <w:spacing w:after="0" w:line="240" w:lineRule="auto"/>
              <w:rPr>
                <w:rFonts w:ascii="Calibri" w:eastAsia="Times New Roman" w:hAnsi="Calibri" w:cs="Calibri"/>
                <w:bCs/>
                <w:color w:val="262626"/>
                <w:lang w:eastAsia="en-AU"/>
              </w:rPr>
            </w:pPr>
            <w:r w:rsidRPr="00955F25">
              <w:rPr>
                <w:rFonts w:ascii="Calibri" w:eastAsia="Times New Roman" w:hAnsi="Calibri" w:cs="Calibri"/>
                <w:bCs/>
                <w:color w:val="262626"/>
                <w:lang w:eastAsia="en-AU"/>
              </w:rPr>
              <w:t xml:space="preserve">Fund health workforce leadership development programs and initiatives for Aboriginal and Torres </w:t>
            </w:r>
            <w:r w:rsidRPr="00955F25">
              <w:rPr>
                <w:rFonts w:ascii="Calibri" w:eastAsia="Times New Roman" w:hAnsi="Calibri" w:cs="Calibri"/>
                <w:bCs/>
                <w:color w:val="262626"/>
                <w:lang w:eastAsia="en-AU"/>
              </w:rPr>
              <w:lastRenderedPageBreak/>
              <w:t>Strait Islander staff working in or aspiring to work in the Aboriginal and Torres Strait Islander community-controlled health sector to maximize service impact and health outcomes</w:t>
            </w:r>
          </w:p>
        </w:tc>
        <w:tc>
          <w:tcPr>
            <w:tcW w:w="600" w:type="pct"/>
            <w:hideMark/>
          </w:tcPr>
          <w:p w14:paraId="7F6408AD" w14:textId="77777777" w:rsidR="001333FD" w:rsidRPr="00955F25" w:rsidRDefault="001333FD" w:rsidP="0013446F">
            <w:pPr>
              <w:spacing w:after="0" w:line="240" w:lineRule="auto"/>
              <w:rPr>
                <w:rFonts w:ascii="Calibri" w:eastAsia="Times New Roman" w:hAnsi="Calibri" w:cs="Calibri"/>
                <w:color w:val="262626"/>
                <w:lang w:eastAsia="en-AU"/>
              </w:rPr>
            </w:pPr>
            <w:r w:rsidRPr="00955F25">
              <w:rPr>
                <w:rFonts w:ascii="Calibri" w:eastAsia="Times New Roman" w:hAnsi="Calibri" w:cs="Calibri"/>
                <w:color w:val="262626"/>
                <w:lang w:eastAsia="en-AU"/>
              </w:rPr>
              <w:lastRenderedPageBreak/>
              <w:t>NACCHO</w:t>
            </w:r>
          </w:p>
        </w:tc>
        <w:tc>
          <w:tcPr>
            <w:tcW w:w="600" w:type="pct"/>
            <w:hideMark/>
          </w:tcPr>
          <w:p w14:paraId="3BADD859" w14:textId="77777777" w:rsidR="001333FD" w:rsidRPr="00955F25" w:rsidRDefault="001333FD" w:rsidP="0013446F">
            <w:pPr>
              <w:spacing w:after="0" w:line="240" w:lineRule="auto"/>
              <w:rPr>
                <w:rFonts w:ascii="Calibri" w:eastAsia="Times New Roman" w:hAnsi="Calibri" w:cs="Calibri"/>
                <w:color w:val="262626"/>
                <w:lang w:eastAsia="en-AU"/>
              </w:rPr>
            </w:pPr>
            <w:r w:rsidRPr="00955F25">
              <w:rPr>
                <w:rFonts w:ascii="Calibri" w:eastAsia="Times New Roman" w:hAnsi="Calibri" w:cs="Calibri"/>
                <w:color w:val="262626"/>
                <w:lang w:eastAsia="en-AU"/>
              </w:rPr>
              <w:t>To be determined</w:t>
            </w:r>
          </w:p>
        </w:tc>
        <w:tc>
          <w:tcPr>
            <w:tcW w:w="2350" w:type="pct"/>
            <w:hideMark/>
          </w:tcPr>
          <w:p w14:paraId="17519FC8" w14:textId="77777777" w:rsidR="001333FD" w:rsidRPr="00955F25" w:rsidRDefault="001333FD" w:rsidP="0013446F">
            <w:pPr>
              <w:spacing w:after="0" w:line="240" w:lineRule="auto"/>
              <w:rPr>
                <w:rFonts w:ascii="Calibri" w:eastAsia="Times New Roman" w:hAnsi="Calibri" w:cs="Calibri"/>
                <w:color w:val="262626"/>
                <w:lang w:eastAsia="en-AU"/>
              </w:rPr>
            </w:pPr>
            <w:r w:rsidRPr="00955F25">
              <w:rPr>
                <w:rFonts w:ascii="Calibri" w:eastAsia="Times New Roman" w:hAnsi="Calibri" w:cs="Calibri"/>
                <w:color w:val="262626"/>
                <w:lang w:eastAsia="en-AU"/>
              </w:rPr>
              <w:t xml:space="preserve">IAHA has been provided $2m to extend delivery of its culturally safe two-way learning program High Schools to Deadly Careers across multiple jurisdictions including the Northern Territory (NT), Western Queensland (QLD), Cape York and the Torres Strait Islands, and locations in New South Wales and Western Australia. The project focuses on developing relationships at the local community, regional and state level in order to outreach into </w:t>
            </w:r>
            <w:r w:rsidRPr="00955F25">
              <w:rPr>
                <w:rFonts w:ascii="Calibri" w:eastAsia="Times New Roman" w:hAnsi="Calibri" w:cs="Calibri"/>
                <w:color w:val="262626"/>
                <w:lang w:eastAsia="en-AU"/>
              </w:rPr>
              <w:lastRenderedPageBreak/>
              <w:t xml:space="preserve">schools and related settings, linking First Nations high school students with current IAHA students and graduates who are training towards a career in allied health. The activity has received $1.63m to date, to support engagement with schools and community organisations in NSW, Qld (including the Torres Strait Islands), NT, and the ACT, with further engagement to come in WA. </w:t>
            </w:r>
            <w:r w:rsidRPr="00955F25">
              <w:rPr>
                <w:rFonts w:ascii="Calibri" w:eastAsia="Times New Roman" w:hAnsi="Calibri" w:cs="Calibri"/>
                <w:color w:val="262626"/>
                <w:lang w:eastAsia="en-AU"/>
              </w:rPr>
              <w:br/>
            </w:r>
            <w:r w:rsidRPr="00955F25">
              <w:rPr>
                <w:rFonts w:ascii="Calibri" w:eastAsia="Times New Roman" w:hAnsi="Calibri" w:cs="Calibri"/>
                <w:color w:val="262626"/>
                <w:lang w:eastAsia="en-AU"/>
              </w:rPr>
              <w:br/>
              <w:t xml:space="preserve">NAATSIWP has been provided $0.99m to address workforce barriers for Aboriginal and Torres Strait Islander Health Workers and Health Practitioners. The activity has received $0.99m to date with a gap analysis underway to develop an understanding of the different approaches across jurisdictions on the roles of Aboriginal and Torres Strait Islander Health Workers and Health Practitioners. National consultation on the project is anticipated to begin from April 2024 to understand stakeholder perspective on workforce barriers. </w:t>
            </w:r>
          </w:p>
        </w:tc>
      </w:tr>
      <w:tr w:rsidR="001333FD" w:rsidRPr="00955F25" w14:paraId="20F21EBE" w14:textId="77777777" w:rsidTr="00D12069">
        <w:trPr>
          <w:cnfStyle w:val="000000100000" w:firstRow="0" w:lastRow="0" w:firstColumn="0" w:lastColumn="0" w:oddVBand="0" w:evenVBand="0" w:oddHBand="1" w:evenHBand="0" w:firstRowFirstColumn="0" w:firstRowLastColumn="0" w:lastRowFirstColumn="0" w:lastRowLastColumn="0"/>
        </w:trPr>
        <w:tc>
          <w:tcPr>
            <w:tcW w:w="250" w:type="pct"/>
            <w:hideMark/>
          </w:tcPr>
          <w:p w14:paraId="041FBFAC" w14:textId="77777777" w:rsidR="001333FD" w:rsidRPr="001333FD" w:rsidRDefault="001333FD" w:rsidP="0013446F">
            <w:pPr>
              <w:spacing w:after="0" w:line="240" w:lineRule="auto"/>
              <w:rPr>
                <w:rFonts w:eastAsia="Times New Roman" w:cs="Calibri"/>
                <w:color w:val="262626"/>
                <w:lang w:eastAsia="en-AU"/>
              </w:rPr>
            </w:pPr>
            <w:r w:rsidRPr="001333FD">
              <w:rPr>
                <w:rFonts w:eastAsia="Times New Roman" w:cs="Calibri"/>
                <w:color w:val="262626"/>
                <w:lang w:eastAsia="en-AU"/>
              </w:rPr>
              <w:lastRenderedPageBreak/>
              <w:t>A15</w:t>
            </w:r>
          </w:p>
        </w:tc>
        <w:tc>
          <w:tcPr>
            <w:tcW w:w="600" w:type="pct"/>
            <w:hideMark/>
          </w:tcPr>
          <w:p w14:paraId="5108CDC0" w14:textId="77777777" w:rsidR="001333FD" w:rsidRPr="001333FD" w:rsidRDefault="001333FD" w:rsidP="0013446F">
            <w:pPr>
              <w:spacing w:after="0" w:line="240" w:lineRule="auto"/>
              <w:rPr>
                <w:rFonts w:eastAsia="Times New Roman" w:cs="Calibri"/>
                <w:color w:val="262626"/>
                <w:lang w:eastAsia="en-AU"/>
              </w:rPr>
            </w:pPr>
            <w:r w:rsidRPr="001333FD">
              <w:rPr>
                <w:rFonts w:eastAsia="Times New Roman" w:cs="Calibri"/>
                <w:color w:val="262626"/>
                <w:lang w:eastAsia="en-AU"/>
              </w:rPr>
              <w:t>Governance</w:t>
            </w:r>
          </w:p>
        </w:tc>
        <w:tc>
          <w:tcPr>
            <w:tcW w:w="600" w:type="pct"/>
            <w:hideMark/>
          </w:tcPr>
          <w:p w14:paraId="59CA154A" w14:textId="77777777" w:rsidR="001333FD" w:rsidRPr="00955F25" w:rsidRDefault="001333FD" w:rsidP="0013446F">
            <w:pPr>
              <w:spacing w:after="0" w:line="240" w:lineRule="auto"/>
              <w:rPr>
                <w:rFonts w:eastAsia="Times New Roman" w:cs="Calibri"/>
                <w:bCs/>
                <w:color w:val="262626"/>
                <w:lang w:eastAsia="en-AU"/>
              </w:rPr>
            </w:pPr>
            <w:r w:rsidRPr="00955F25">
              <w:rPr>
                <w:rFonts w:eastAsia="Times New Roman" w:cs="Calibri"/>
                <w:bCs/>
                <w:color w:val="262626"/>
                <w:lang w:eastAsia="en-AU"/>
              </w:rPr>
              <w:t>Transition government-managed primary health clinics in Queensland, Northern Territory and Western Australia to community-controlled comprehensive primary health care services, and identify locations in all jurisdictions where new community-controlled primary health care services are required to meet the needs of Aboriginal and Torres Strait Islander people.</w:t>
            </w:r>
          </w:p>
        </w:tc>
        <w:tc>
          <w:tcPr>
            <w:tcW w:w="600" w:type="pct"/>
            <w:hideMark/>
          </w:tcPr>
          <w:p w14:paraId="389FB038" w14:textId="77777777" w:rsidR="001333FD" w:rsidRPr="00955F25" w:rsidRDefault="001333FD" w:rsidP="0013446F">
            <w:pPr>
              <w:spacing w:after="0" w:line="240" w:lineRule="auto"/>
              <w:rPr>
                <w:rFonts w:eastAsia="Times New Roman" w:cs="Calibri"/>
                <w:color w:val="262626"/>
                <w:lang w:eastAsia="en-AU"/>
              </w:rPr>
            </w:pPr>
            <w:r w:rsidRPr="00955F25">
              <w:rPr>
                <w:rFonts w:eastAsia="Times New Roman" w:cs="Calibri"/>
                <w:color w:val="262626"/>
                <w:lang w:eastAsia="en-AU"/>
              </w:rPr>
              <w:t xml:space="preserve">Australian Government Department of Health   </w:t>
            </w:r>
            <w:r w:rsidRPr="00955F25">
              <w:rPr>
                <w:rFonts w:eastAsia="Times New Roman" w:cs="Calibri"/>
                <w:color w:val="262626"/>
                <w:lang w:eastAsia="en-AU"/>
              </w:rPr>
              <w:br/>
              <w:t>NACCHO</w:t>
            </w:r>
            <w:r w:rsidRPr="00955F25">
              <w:rPr>
                <w:rFonts w:eastAsia="Times New Roman" w:cs="Calibri"/>
                <w:color w:val="262626"/>
                <w:lang w:eastAsia="en-AU"/>
              </w:rPr>
              <w:br/>
              <w:t>Sector Support Organisations</w:t>
            </w:r>
          </w:p>
        </w:tc>
        <w:tc>
          <w:tcPr>
            <w:tcW w:w="600" w:type="pct"/>
            <w:hideMark/>
          </w:tcPr>
          <w:p w14:paraId="6138233E" w14:textId="77777777" w:rsidR="001333FD" w:rsidRPr="00955F25" w:rsidRDefault="001333FD" w:rsidP="0013446F">
            <w:pPr>
              <w:spacing w:after="0" w:line="240" w:lineRule="auto"/>
              <w:rPr>
                <w:rFonts w:eastAsia="Times New Roman" w:cs="Calibri"/>
                <w:color w:val="262626"/>
                <w:lang w:eastAsia="en-AU"/>
              </w:rPr>
            </w:pPr>
            <w:r w:rsidRPr="00955F25">
              <w:rPr>
                <w:rFonts w:eastAsia="Times New Roman" w:cs="Calibri"/>
                <w:color w:val="262626"/>
                <w:lang w:eastAsia="en-AU"/>
              </w:rPr>
              <w:t>To be determined</w:t>
            </w:r>
          </w:p>
        </w:tc>
        <w:tc>
          <w:tcPr>
            <w:tcW w:w="2350" w:type="pct"/>
            <w:hideMark/>
          </w:tcPr>
          <w:p w14:paraId="41ACE5A1" w14:textId="10386494" w:rsidR="001333FD" w:rsidRPr="00955F25" w:rsidRDefault="001333FD" w:rsidP="0013446F">
            <w:pPr>
              <w:spacing w:after="0" w:line="240" w:lineRule="auto"/>
              <w:rPr>
                <w:rFonts w:eastAsia="Times New Roman" w:cs="Calibri"/>
                <w:color w:val="262626"/>
                <w:lang w:eastAsia="en-AU"/>
              </w:rPr>
            </w:pPr>
            <w:r w:rsidRPr="00955F25">
              <w:rPr>
                <w:rFonts w:eastAsia="Times New Roman" w:cs="Calibri"/>
                <w:color w:val="262626"/>
                <w:lang w:eastAsia="en-AU"/>
              </w:rPr>
              <w:t>In the 2022/23 financial year, four Northern Territory (NT) Government operated primary health care clinics transitioned to Aboriginal community control. Central Australian Aboriginal Congress (Congress) successfully took over the operations in Yulara and Imanpa on 1 March 2023 and in Kaltukatjara on 3 July 2023. This concludes the current tr</w:t>
            </w:r>
            <w:r w:rsidR="00A87611">
              <w:rPr>
                <w:rFonts w:eastAsia="Times New Roman" w:cs="Calibri"/>
                <w:color w:val="262626"/>
                <w:lang w:eastAsia="en-AU"/>
              </w:rPr>
              <w:t>ansition process for Congress. </w:t>
            </w:r>
            <w:r w:rsidRPr="00955F25">
              <w:rPr>
                <w:rFonts w:eastAsia="Times New Roman" w:cs="Calibri"/>
                <w:color w:val="262626"/>
                <w:lang w:eastAsia="en-AU"/>
              </w:rPr>
              <w:t>Red Lily Health Board (Red Lily) successfully transitioned the Warruwi health clinic on 1 September 2022 and is due to take over service delivery in Jabiru in mid-2024.  Several additional communities in the NT have indicated their interest in transitioning to community control. The Northern Territory Aboriginal Health Forum (NTAHF), of which the Department is a member, is considering these requests through the agreed Pathways to Community Control (P2CC) program processes.  Following an evaluation of the P2CC program, completed in mid-2022, the Department established a Steering Committee, co-chaired with the sector, and with representatives from each of the NTAHF members to implement the 13 recommendations into the P2CC program. The majority of agreed actions are due to be implemented by the end of 2023.  </w:t>
            </w:r>
          </w:p>
        </w:tc>
      </w:tr>
      <w:tr w:rsidR="001333FD" w:rsidRPr="00955F25" w14:paraId="24E32C4B" w14:textId="77777777" w:rsidTr="00D12069">
        <w:trPr>
          <w:cnfStyle w:val="000000010000" w:firstRow="0" w:lastRow="0" w:firstColumn="0" w:lastColumn="0" w:oddVBand="0" w:evenVBand="0" w:oddHBand="0" w:evenHBand="1" w:firstRowFirstColumn="0" w:firstRowLastColumn="0" w:lastRowFirstColumn="0" w:lastRowLastColumn="0"/>
        </w:trPr>
        <w:tc>
          <w:tcPr>
            <w:tcW w:w="250" w:type="pct"/>
            <w:hideMark/>
          </w:tcPr>
          <w:p w14:paraId="03921CEB" w14:textId="77777777" w:rsidR="001333FD" w:rsidRPr="001333FD" w:rsidRDefault="001333FD" w:rsidP="0013446F">
            <w:pPr>
              <w:spacing w:after="0" w:line="240" w:lineRule="auto"/>
              <w:rPr>
                <w:rFonts w:ascii="Calibri" w:eastAsia="Times New Roman" w:hAnsi="Calibri" w:cs="Calibri"/>
                <w:color w:val="262626"/>
                <w:lang w:eastAsia="en-AU"/>
              </w:rPr>
            </w:pPr>
            <w:r w:rsidRPr="001333FD">
              <w:rPr>
                <w:rFonts w:ascii="Calibri" w:eastAsia="Times New Roman" w:hAnsi="Calibri" w:cs="Calibri"/>
                <w:color w:val="262626"/>
                <w:lang w:eastAsia="en-AU"/>
              </w:rPr>
              <w:t>A16</w:t>
            </w:r>
          </w:p>
        </w:tc>
        <w:tc>
          <w:tcPr>
            <w:tcW w:w="600" w:type="pct"/>
            <w:hideMark/>
          </w:tcPr>
          <w:p w14:paraId="176C1833" w14:textId="77777777" w:rsidR="001333FD" w:rsidRPr="001333FD" w:rsidRDefault="001333FD" w:rsidP="0013446F">
            <w:pPr>
              <w:spacing w:after="0" w:line="240" w:lineRule="auto"/>
              <w:rPr>
                <w:rFonts w:ascii="Calibri" w:eastAsia="Times New Roman" w:hAnsi="Calibri" w:cs="Calibri"/>
                <w:color w:val="262626"/>
                <w:lang w:eastAsia="en-AU"/>
              </w:rPr>
            </w:pPr>
            <w:r w:rsidRPr="001333FD">
              <w:rPr>
                <w:rFonts w:ascii="Calibri" w:eastAsia="Times New Roman" w:hAnsi="Calibri" w:cs="Calibri"/>
                <w:color w:val="262626"/>
                <w:lang w:eastAsia="en-AU"/>
              </w:rPr>
              <w:t>Governance</w:t>
            </w:r>
          </w:p>
        </w:tc>
        <w:tc>
          <w:tcPr>
            <w:tcW w:w="600" w:type="pct"/>
            <w:hideMark/>
          </w:tcPr>
          <w:p w14:paraId="28E9122E" w14:textId="77777777" w:rsidR="001333FD" w:rsidRPr="00955F25" w:rsidRDefault="001333FD" w:rsidP="0013446F">
            <w:pPr>
              <w:spacing w:after="0" w:line="240" w:lineRule="auto"/>
              <w:rPr>
                <w:rFonts w:ascii="Calibri" w:eastAsia="Times New Roman" w:hAnsi="Calibri" w:cs="Calibri"/>
                <w:bCs/>
                <w:color w:val="262626"/>
                <w:lang w:eastAsia="en-AU"/>
              </w:rPr>
            </w:pPr>
            <w:r w:rsidRPr="00955F25">
              <w:rPr>
                <w:rFonts w:ascii="Calibri" w:eastAsia="Times New Roman" w:hAnsi="Calibri" w:cs="Calibri"/>
                <w:bCs/>
                <w:color w:val="262626"/>
                <w:lang w:eastAsia="en-AU"/>
              </w:rPr>
              <w:t>Fund Board corporate governance programs including needs assessment, capability development and support including independent expertise where required for CEO recruitment and essential criteria for CEOs across the Aboriginal and Torres Strait Islander community-controlled health sector</w:t>
            </w:r>
          </w:p>
        </w:tc>
        <w:tc>
          <w:tcPr>
            <w:tcW w:w="600" w:type="pct"/>
            <w:hideMark/>
          </w:tcPr>
          <w:p w14:paraId="106B244A" w14:textId="77777777" w:rsidR="001333FD" w:rsidRPr="00955F25" w:rsidRDefault="001333FD" w:rsidP="0013446F">
            <w:pPr>
              <w:spacing w:after="0" w:line="240" w:lineRule="auto"/>
              <w:rPr>
                <w:rFonts w:ascii="Calibri" w:eastAsia="Times New Roman" w:hAnsi="Calibri" w:cs="Calibri"/>
                <w:color w:val="262626"/>
                <w:lang w:eastAsia="en-AU"/>
              </w:rPr>
            </w:pPr>
            <w:r w:rsidRPr="00955F25">
              <w:rPr>
                <w:rFonts w:ascii="Calibri" w:eastAsia="Times New Roman" w:hAnsi="Calibri" w:cs="Calibri"/>
                <w:color w:val="262626"/>
                <w:lang w:eastAsia="en-AU"/>
              </w:rPr>
              <w:t xml:space="preserve">NACCHO </w:t>
            </w:r>
            <w:r w:rsidRPr="00955F25">
              <w:rPr>
                <w:rFonts w:ascii="Calibri" w:eastAsia="Times New Roman" w:hAnsi="Calibri" w:cs="Calibri"/>
                <w:color w:val="262626"/>
                <w:lang w:eastAsia="en-AU"/>
              </w:rPr>
              <w:br/>
              <w:t>Sector Support Organisations</w:t>
            </w:r>
          </w:p>
        </w:tc>
        <w:tc>
          <w:tcPr>
            <w:tcW w:w="600" w:type="pct"/>
            <w:hideMark/>
          </w:tcPr>
          <w:p w14:paraId="795BD97C" w14:textId="77777777" w:rsidR="001333FD" w:rsidRPr="00955F25" w:rsidRDefault="001333FD" w:rsidP="0013446F">
            <w:pPr>
              <w:spacing w:after="0" w:line="240" w:lineRule="auto"/>
              <w:rPr>
                <w:rFonts w:ascii="Calibri" w:eastAsia="Times New Roman" w:hAnsi="Calibri" w:cs="Calibri"/>
                <w:color w:val="262626"/>
                <w:lang w:eastAsia="en-AU"/>
              </w:rPr>
            </w:pPr>
            <w:r w:rsidRPr="00955F25">
              <w:rPr>
                <w:rFonts w:ascii="Calibri" w:eastAsia="Times New Roman" w:hAnsi="Calibri" w:cs="Calibri"/>
                <w:color w:val="262626"/>
                <w:lang w:eastAsia="en-AU"/>
              </w:rPr>
              <w:t>To be determined</w:t>
            </w:r>
          </w:p>
        </w:tc>
        <w:tc>
          <w:tcPr>
            <w:tcW w:w="2350" w:type="pct"/>
            <w:hideMark/>
          </w:tcPr>
          <w:p w14:paraId="53B36980" w14:textId="77777777" w:rsidR="001333FD" w:rsidRPr="00955F25" w:rsidRDefault="001333FD" w:rsidP="0013446F">
            <w:pPr>
              <w:spacing w:after="0" w:line="240" w:lineRule="auto"/>
              <w:rPr>
                <w:rFonts w:ascii="Calibri" w:eastAsia="Times New Roman" w:hAnsi="Calibri" w:cs="Calibri"/>
                <w:color w:val="262626"/>
                <w:lang w:eastAsia="en-AU"/>
              </w:rPr>
            </w:pPr>
            <w:r w:rsidRPr="00955F25">
              <w:rPr>
                <w:rFonts w:ascii="Calibri" w:eastAsia="Times New Roman" w:hAnsi="Calibri" w:cs="Calibri"/>
                <w:color w:val="262626"/>
                <w:lang w:eastAsia="en-AU"/>
              </w:rPr>
              <w:t xml:space="preserve">NACCHO has been provided $1.96m to undertake an Aboriginal and Torres Strait Islander Community Controlled Health Sector Governance Training and Support project.  The activity has received $1.55m to date to deliver sector governance workshops and National Health Executive Leaders’ program that will strengthen the governance and capability of ACCHS. In addition, sector needs assessment have been conducted and consultations continue with ACCHS and affiliates about their highest need areas for governance resources. </w:t>
            </w:r>
          </w:p>
        </w:tc>
      </w:tr>
      <w:tr w:rsidR="001333FD" w:rsidRPr="00955F25" w14:paraId="7B35499E" w14:textId="77777777" w:rsidTr="00D12069">
        <w:trPr>
          <w:cnfStyle w:val="000000100000" w:firstRow="0" w:lastRow="0" w:firstColumn="0" w:lastColumn="0" w:oddVBand="0" w:evenVBand="0" w:oddHBand="1" w:evenHBand="0" w:firstRowFirstColumn="0" w:firstRowLastColumn="0" w:lastRowFirstColumn="0" w:lastRowLastColumn="0"/>
        </w:trPr>
        <w:tc>
          <w:tcPr>
            <w:tcW w:w="250" w:type="pct"/>
            <w:hideMark/>
          </w:tcPr>
          <w:p w14:paraId="3A26F617" w14:textId="77777777" w:rsidR="001333FD" w:rsidRPr="001333FD" w:rsidRDefault="001333FD" w:rsidP="0013446F">
            <w:pPr>
              <w:spacing w:after="0" w:line="240" w:lineRule="auto"/>
              <w:rPr>
                <w:rFonts w:eastAsia="Times New Roman" w:cs="Calibri"/>
                <w:color w:val="262626"/>
                <w:lang w:eastAsia="en-AU"/>
              </w:rPr>
            </w:pPr>
            <w:r w:rsidRPr="001333FD">
              <w:rPr>
                <w:rFonts w:eastAsia="Times New Roman" w:cs="Calibri"/>
                <w:color w:val="262626"/>
                <w:lang w:eastAsia="en-AU"/>
              </w:rPr>
              <w:t>A17</w:t>
            </w:r>
          </w:p>
        </w:tc>
        <w:tc>
          <w:tcPr>
            <w:tcW w:w="600" w:type="pct"/>
            <w:hideMark/>
          </w:tcPr>
          <w:p w14:paraId="03BB96B8" w14:textId="77777777" w:rsidR="001333FD" w:rsidRPr="001333FD" w:rsidRDefault="001333FD" w:rsidP="0013446F">
            <w:pPr>
              <w:spacing w:after="0" w:line="240" w:lineRule="auto"/>
              <w:rPr>
                <w:rFonts w:eastAsia="Times New Roman" w:cs="Calibri"/>
                <w:color w:val="262626"/>
                <w:lang w:eastAsia="en-AU"/>
              </w:rPr>
            </w:pPr>
            <w:r w:rsidRPr="001333FD">
              <w:rPr>
                <w:rFonts w:eastAsia="Times New Roman" w:cs="Calibri"/>
                <w:color w:val="262626"/>
                <w:lang w:eastAsia="en-AU"/>
              </w:rPr>
              <w:t xml:space="preserve">Peak Body </w:t>
            </w:r>
          </w:p>
        </w:tc>
        <w:tc>
          <w:tcPr>
            <w:tcW w:w="600" w:type="pct"/>
            <w:hideMark/>
          </w:tcPr>
          <w:p w14:paraId="4E91B376" w14:textId="77777777" w:rsidR="001333FD" w:rsidRPr="00955F25" w:rsidRDefault="001333FD" w:rsidP="0013446F">
            <w:pPr>
              <w:spacing w:after="0" w:line="240" w:lineRule="auto"/>
              <w:rPr>
                <w:rFonts w:eastAsia="Times New Roman" w:cs="Calibri"/>
                <w:bCs/>
                <w:color w:val="262626"/>
                <w:lang w:eastAsia="en-AU"/>
              </w:rPr>
            </w:pPr>
            <w:r w:rsidRPr="00955F25">
              <w:rPr>
                <w:rFonts w:eastAsia="Times New Roman" w:cs="Calibri"/>
                <w:bCs/>
                <w:color w:val="262626"/>
                <w:lang w:eastAsia="en-AU"/>
              </w:rPr>
              <w:t>Expand independent Aboriginal and Torres Strait Islander representation on government and non-government bodies and other decision-making entities whose decisions affect the health of Aboriginal and Torres Strait Islander peoples.</w:t>
            </w:r>
          </w:p>
        </w:tc>
        <w:tc>
          <w:tcPr>
            <w:tcW w:w="600" w:type="pct"/>
            <w:hideMark/>
          </w:tcPr>
          <w:p w14:paraId="469E8C8F" w14:textId="77777777" w:rsidR="001333FD" w:rsidRPr="00955F25" w:rsidRDefault="001333FD" w:rsidP="0013446F">
            <w:pPr>
              <w:spacing w:after="0" w:line="240" w:lineRule="auto"/>
              <w:rPr>
                <w:rFonts w:eastAsia="Times New Roman" w:cs="Calibri"/>
                <w:color w:val="262626"/>
                <w:lang w:eastAsia="en-AU"/>
              </w:rPr>
            </w:pPr>
            <w:r w:rsidRPr="00955F25">
              <w:rPr>
                <w:rFonts w:eastAsia="Times New Roman" w:cs="Calibri"/>
                <w:color w:val="262626"/>
                <w:lang w:eastAsia="en-AU"/>
              </w:rPr>
              <w:t xml:space="preserve">Australian Government Department of Health </w:t>
            </w:r>
            <w:r w:rsidRPr="00955F25">
              <w:rPr>
                <w:rFonts w:eastAsia="Times New Roman" w:cs="Calibri"/>
                <w:color w:val="262626"/>
                <w:lang w:eastAsia="en-AU"/>
              </w:rPr>
              <w:br/>
              <w:t>NACCHO</w:t>
            </w:r>
            <w:r w:rsidRPr="00955F25">
              <w:rPr>
                <w:rFonts w:eastAsia="Times New Roman" w:cs="Calibri"/>
                <w:color w:val="262626"/>
                <w:lang w:eastAsia="en-AU"/>
              </w:rPr>
              <w:br/>
              <w:t>Sector Support Organisations</w:t>
            </w:r>
          </w:p>
        </w:tc>
        <w:tc>
          <w:tcPr>
            <w:tcW w:w="600" w:type="pct"/>
            <w:hideMark/>
          </w:tcPr>
          <w:p w14:paraId="4B8329DB" w14:textId="77777777" w:rsidR="001333FD" w:rsidRPr="00955F25" w:rsidRDefault="001333FD" w:rsidP="0013446F">
            <w:pPr>
              <w:spacing w:after="0" w:line="240" w:lineRule="auto"/>
              <w:rPr>
                <w:rFonts w:eastAsia="Times New Roman" w:cs="Calibri"/>
                <w:color w:val="262626"/>
                <w:lang w:eastAsia="en-AU"/>
              </w:rPr>
            </w:pPr>
            <w:r w:rsidRPr="00955F25">
              <w:rPr>
                <w:rFonts w:eastAsia="Times New Roman" w:cs="Calibri"/>
                <w:color w:val="262626"/>
                <w:lang w:eastAsia="en-AU"/>
              </w:rPr>
              <w:t>To be determined</w:t>
            </w:r>
          </w:p>
        </w:tc>
        <w:tc>
          <w:tcPr>
            <w:tcW w:w="2350" w:type="pct"/>
            <w:hideMark/>
          </w:tcPr>
          <w:p w14:paraId="01E9A395" w14:textId="77777777" w:rsidR="001333FD" w:rsidRPr="00955F25" w:rsidRDefault="001333FD" w:rsidP="0013446F">
            <w:pPr>
              <w:spacing w:after="0" w:line="240" w:lineRule="auto"/>
              <w:rPr>
                <w:rFonts w:eastAsia="Times New Roman" w:cs="Calibri"/>
                <w:color w:val="262626"/>
                <w:lang w:eastAsia="en-AU"/>
              </w:rPr>
            </w:pPr>
            <w:r w:rsidRPr="00955F25">
              <w:rPr>
                <w:rFonts w:eastAsia="Times New Roman" w:cs="Calibri"/>
                <w:color w:val="262626"/>
                <w:lang w:eastAsia="en-AU"/>
              </w:rPr>
              <w:t>The Department recognises that the strengths of First Nations peak health organisations must be embedded across both First Nations-specific and mainstream representative bodies. The Department continues to work closely with NACCHO to identify nominees for potential membership on health technology assessment committees. In 2023, the Medical Services Advisory Committee (MSAC) formally appointed a First Nations representative and membership on the Pharmaceutical Benefits Advisory Committee (PBAC) is still being identified with NACCHO. These appointments will ensure advice and recommendations provided to government by these committees embeds First Nations perspectives. In addition, the Department of Health and Aged Care has established a taskforce to progress governance and accountability for key health policies aligned with the National Agreement, including the Health Sector Strengthening Plan. </w:t>
            </w:r>
          </w:p>
        </w:tc>
      </w:tr>
    </w:tbl>
    <w:p w14:paraId="582196CB" w14:textId="77777777" w:rsidR="00DC33E4" w:rsidRDefault="00DC33E4" w:rsidP="00243271">
      <w:pPr>
        <w:pStyle w:val="BodyText"/>
      </w:pPr>
    </w:p>
    <w:sectPr w:rsidR="00DC33E4" w:rsidSect="009F4F4A">
      <w:headerReference w:type="default" r:id="rId14"/>
      <w:footerReference w:type="default" r:id="rId15"/>
      <w:headerReference w:type="first" r:id="rId16"/>
      <w:footerReference w:type="first" r:id="rId17"/>
      <w:pgSz w:w="23811" w:h="16838" w:orient="landscape" w:code="8"/>
      <w:pgMar w:top="851" w:right="1702" w:bottom="851" w:left="1701" w:header="56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45F6E" w14:textId="77777777" w:rsidR="00CA7647" w:rsidRDefault="00CA7647" w:rsidP="00B95533">
      <w:pPr>
        <w:spacing w:after="0" w:line="240" w:lineRule="auto"/>
      </w:pPr>
      <w:r>
        <w:separator/>
      </w:r>
    </w:p>
  </w:endnote>
  <w:endnote w:type="continuationSeparator" w:id="0">
    <w:p w14:paraId="77BA5C61" w14:textId="77777777" w:rsidR="00CA7647" w:rsidRDefault="00CA7647" w:rsidP="00B95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altName w:val="MS Gothic"/>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E7538" w14:textId="3B59B133" w:rsidR="00CA7647" w:rsidRPr="00B663B0" w:rsidRDefault="00CA7647" w:rsidP="00B663B0">
    <w:pPr>
      <w:pStyle w:val="ProtectiveMarking"/>
      <w:spacing w:after="240"/>
    </w:pPr>
    <w:r>
      <w:rPr>
        <w:color w:val="2A4055" w:themeColor="accent1"/>
        <w:lang w:eastAsia="en-AU"/>
      </w:rPr>
      <w:drawing>
        <wp:anchor distT="0" distB="0" distL="114300" distR="114300" simplePos="0" relativeHeight="251731456" behindDoc="1" locked="1" layoutInCell="1" allowOverlap="1" wp14:anchorId="47F49F86" wp14:editId="0E98B3D8">
          <wp:simplePos x="0" y="0"/>
          <wp:positionH relativeFrom="margin">
            <wp:posOffset>-1082675</wp:posOffset>
          </wp:positionH>
          <wp:positionV relativeFrom="page">
            <wp:posOffset>6826250</wp:posOffset>
          </wp:positionV>
          <wp:extent cx="10684800" cy="720000"/>
          <wp:effectExtent l="0" t="0" r="0" b="4445"/>
          <wp:wrapNone/>
          <wp:docPr id="1" name="Picture 1"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2-023_ORIGINAL_Word_Template_Footer_A4_Land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84800" cy="720000"/>
                  </a:xfrm>
                  <a:prstGeom prst="rect">
                    <a:avLst/>
                  </a:prstGeom>
                </pic:spPr>
              </pic:pic>
            </a:graphicData>
          </a:graphic>
          <wp14:sizeRelH relativeFrom="page">
            <wp14:pctWidth>0</wp14:pctWidth>
          </wp14:sizeRelH>
          <wp14:sizeRelV relativeFrom="page">
            <wp14:pctHeight>0</wp14:pctHeight>
          </wp14:sizeRelV>
        </wp:anchor>
      </w:drawing>
    </w:r>
    <w:sdt>
      <w:sdtPr>
        <w:alias w:val="Classification"/>
        <w:tag w:val="Classification"/>
        <w:id w:val="861863608"/>
        <w:showingPlcHdr/>
        <w:dataBinding w:xpath="/root[1]/Classification[1]" w:storeItemID="{F533AE62-A212-4B26-92DA-A3B336E8AE06}"/>
        <w:text/>
      </w:sdtPr>
      <w:sdtEndPr/>
      <w:sdtContent>
        <w:r w:rsidR="00C34341">
          <w:t xml:space="preserve">     </w:t>
        </w:r>
      </w:sdtContent>
    </w:sdt>
    <w:r>
      <w:rPr>
        <w:color w:val="2A4055" w:themeColor="accent1"/>
        <w:lang w:eastAsia="en-AU"/>
      </w:rPr>
      <w:drawing>
        <wp:anchor distT="0" distB="0" distL="114300" distR="114300" simplePos="0" relativeHeight="251656704" behindDoc="1" locked="1" layoutInCell="1" allowOverlap="1" wp14:anchorId="133828FB" wp14:editId="2F3A2318">
          <wp:simplePos x="0" y="0"/>
          <wp:positionH relativeFrom="page">
            <wp:posOffset>0</wp:posOffset>
          </wp:positionH>
          <wp:positionV relativeFrom="page">
            <wp:posOffset>9973310</wp:posOffset>
          </wp:positionV>
          <wp:extent cx="7560000" cy="720000"/>
          <wp:effectExtent l="0" t="0" r="3175" b="4445"/>
          <wp:wrapNone/>
          <wp:docPr id="4" name="Picture 4" descr="NIAA |SSP – Action Updates – 2023 – Annual Report -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22-023_Word_Template_Footer.png"/>
                  <pic:cNvPicPr/>
                </pic:nvPicPr>
                <pic:blipFill>
                  <a:blip r:embed="rId2">
                    <a:extLst>
                      <a:ext uri="{28A0092B-C50C-407E-A947-70E740481C1C}">
                        <a14:useLocalDpi xmlns:a14="http://schemas.microsoft.com/office/drawing/2010/main" val="0"/>
                      </a:ext>
                    </a:extLst>
                  </a:blip>
                  <a:stretch>
                    <a:fillRect/>
                  </a:stretch>
                </pic:blipFill>
                <pic:spPr>
                  <a:xfrm>
                    <a:off x="0" y="0"/>
                    <a:ext cx="7560000" cy="720000"/>
                  </a:xfrm>
                  <a:prstGeom prst="rect">
                    <a:avLst/>
                  </a:prstGeom>
                </pic:spPr>
              </pic:pic>
            </a:graphicData>
          </a:graphic>
          <wp14:sizeRelH relativeFrom="page">
            <wp14:pctWidth>0</wp14:pctWidth>
          </wp14:sizeRelH>
          <wp14:sizeRelV relativeFrom="page">
            <wp14:pctHeight>0</wp14:pctHeight>
          </wp14:sizeRelV>
        </wp:anchor>
      </w:drawing>
    </w:r>
  </w:p>
  <w:p w14:paraId="0323E3C0" w14:textId="5B58FD47" w:rsidR="00CA7647" w:rsidRPr="0040648D" w:rsidRDefault="00CA7647" w:rsidP="004710AB">
    <w:pPr>
      <w:pStyle w:val="Footer"/>
      <w:pBdr>
        <w:top w:val="single" w:sz="24" w:space="7" w:color="auto"/>
      </w:pBdr>
      <w:tabs>
        <w:tab w:val="clear" w:pos="4513"/>
        <w:tab w:val="clear" w:pos="9026"/>
        <w:tab w:val="right" w:pos="13435"/>
      </w:tabs>
      <w:rPr>
        <w:color w:val="2A4055" w:themeColor="accent1"/>
      </w:rPr>
    </w:pPr>
    <w:r>
      <w:rPr>
        <w:color w:val="2A4055" w:themeColor="accent1"/>
      </w:rPr>
      <w:t>NIAA |</w:t>
    </w:r>
    <w:r w:rsidR="00644B2E">
      <w:rPr>
        <w:color w:val="2A4055" w:themeColor="accent1"/>
      </w:rPr>
      <w:t>SSP – Action Updates – 2023 – Annual Report - Health</w:t>
    </w:r>
    <w:r>
      <w:rPr>
        <w:color w:val="2A4055" w:themeColor="accent1"/>
      </w:rPr>
      <w:tab/>
    </w:r>
    <w:r w:rsidRPr="00E92954">
      <w:rPr>
        <w:color w:val="2A4055" w:themeColor="accent1"/>
      </w:rPr>
      <w:fldChar w:fldCharType="begin"/>
    </w:r>
    <w:r w:rsidRPr="00E92954">
      <w:rPr>
        <w:color w:val="2A4055" w:themeColor="accent1"/>
      </w:rPr>
      <w:instrText xml:space="preserve"> PAGE   \* MERGEFORMAT </w:instrText>
    </w:r>
    <w:r w:rsidRPr="00E92954">
      <w:rPr>
        <w:color w:val="2A4055" w:themeColor="accent1"/>
      </w:rPr>
      <w:fldChar w:fldCharType="separate"/>
    </w:r>
    <w:r w:rsidR="0098390A">
      <w:rPr>
        <w:noProof/>
        <w:color w:val="2A4055" w:themeColor="accent1"/>
      </w:rPr>
      <w:t>4</w:t>
    </w:r>
    <w:r w:rsidRPr="00E92954">
      <w:rPr>
        <w:noProof/>
        <w:color w:val="2A4055" w:themeColor="accent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1779212053"/>
      <w:showingPlcHdr/>
      <w:dataBinding w:xpath="/root[1]/Classification[1]" w:storeItemID="{F533AE62-A212-4B26-92DA-A3B336E8AE06}"/>
      <w:text/>
    </w:sdtPr>
    <w:sdtEndPr/>
    <w:sdtContent>
      <w:p w14:paraId="2128A1A4" w14:textId="5C56C6F3" w:rsidR="00CA7647" w:rsidRPr="00B87E45" w:rsidRDefault="00C34341" w:rsidP="00730910">
        <w:pPr>
          <w:pStyle w:val="ProtectiveMarking"/>
          <w:spacing w:after="240"/>
        </w:pPr>
        <w:r>
          <w:t xml:space="preserve">     </w:t>
        </w:r>
      </w:p>
    </w:sdtContent>
  </w:sdt>
  <w:p w14:paraId="2ECDD5AA" w14:textId="29B6A4DF" w:rsidR="00CA7647" w:rsidRPr="0040648D" w:rsidRDefault="00644B2E" w:rsidP="00644B2E">
    <w:pPr>
      <w:pStyle w:val="Footer"/>
      <w:pBdr>
        <w:top w:val="single" w:sz="24" w:space="7" w:color="2A4055" w:themeColor="accent1"/>
      </w:pBdr>
      <w:tabs>
        <w:tab w:val="clear" w:pos="4513"/>
        <w:tab w:val="clear" w:pos="9026"/>
        <w:tab w:val="center" w:pos="5102"/>
      </w:tabs>
      <w:rPr>
        <w:color w:val="2A4055" w:themeColor="accent1"/>
      </w:rPr>
    </w:pPr>
    <w:r>
      <w:rPr>
        <w:color w:val="2A4055" w:themeColor="accent1"/>
      </w:rPr>
      <w:t>NIAA |SSP – Action Updates – 2023 – Annual Report - Health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90F5EE" w14:textId="77777777" w:rsidR="00CA7647" w:rsidRPr="007A6FC6" w:rsidRDefault="00CA7647" w:rsidP="00B95533">
      <w:pPr>
        <w:spacing w:after="0" w:line="240" w:lineRule="auto"/>
        <w:rPr>
          <w:color w:val="00948D" w:themeColor="accent2"/>
        </w:rPr>
      </w:pPr>
      <w:r w:rsidRPr="007A6FC6">
        <w:rPr>
          <w:color w:val="00948D" w:themeColor="accent2"/>
        </w:rPr>
        <w:separator/>
      </w:r>
    </w:p>
  </w:footnote>
  <w:footnote w:type="continuationSeparator" w:id="0">
    <w:p w14:paraId="0C656E92" w14:textId="77777777" w:rsidR="00CA7647" w:rsidRPr="007A6FC6" w:rsidRDefault="00CA7647" w:rsidP="00B95533">
      <w:pPr>
        <w:spacing w:after="0" w:line="240" w:lineRule="auto"/>
        <w:rPr>
          <w:color w:val="00948D" w:themeColor="accent2"/>
        </w:rPr>
      </w:pPr>
      <w:r w:rsidRPr="007A6FC6">
        <w:rPr>
          <w:color w:val="00948D" w:themeColor="accent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51AE3" w14:textId="1ABBC85C" w:rsidR="00CA7647" w:rsidRDefault="0098390A" w:rsidP="00D912E6">
    <w:pPr>
      <w:pStyle w:val="ProtectiveMarking"/>
    </w:pPr>
    <w:sdt>
      <w:sdtPr>
        <w:alias w:val="Classification"/>
        <w:tag w:val="Classification"/>
        <w:id w:val="405574941"/>
        <w:showingPlcHdr/>
        <w:dataBinding w:xpath="/root[1]/Classification[1]" w:storeItemID="{F533AE62-A212-4B26-92DA-A3B336E8AE06}"/>
        <w:text/>
      </w:sdtPr>
      <w:sdtEndPr/>
      <w:sdtContent>
        <w:r w:rsidR="00C34341">
          <w:t xml:space="preserve">     </w:t>
        </w:r>
      </w:sdtContent>
    </w:sdt>
  </w:p>
  <w:p w14:paraId="646550AD" w14:textId="77777777" w:rsidR="00CA7647" w:rsidRDefault="00CA7647">
    <w:pPr>
      <w:pStyle w:val="Header"/>
    </w:pPr>
  </w:p>
  <w:p w14:paraId="1DD4F15D" w14:textId="77777777" w:rsidR="00CA7647" w:rsidRDefault="00CA7647">
    <w:pPr>
      <w:pStyle w:val="Header"/>
    </w:pPr>
  </w:p>
  <w:p w14:paraId="0D3C4193" w14:textId="77777777" w:rsidR="00CA7647" w:rsidRDefault="00CA76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9164A" w14:textId="77777777" w:rsidR="00CA7647" w:rsidRDefault="00CA7647" w:rsidP="002B5D09">
    <w:pPr>
      <w:pStyle w:val="Header"/>
      <w:tabs>
        <w:tab w:val="clear" w:pos="4513"/>
        <w:tab w:val="clear" w:pos="9026"/>
        <w:tab w:val="left" w:pos="4100"/>
      </w:tabs>
    </w:pPr>
    <w:r>
      <w:rPr>
        <w:noProof/>
        <w:lang w:eastAsia="en-AU"/>
      </w:rPr>
      <w:drawing>
        <wp:anchor distT="0" distB="0" distL="114300" distR="114300" simplePos="0" relativeHeight="251743232" behindDoc="1" locked="0" layoutInCell="1" allowOverlap="1" wp14:anchorId="5CB5517B" wp14:editId="3303D3CB">
          <wp:simplePos x="0" y="0"/>
          <wp:positionH relativeFrom="column">
            <wp:posOffset>-1077483</wp:posOffset>
          </wp:positionH>
          <wp:positionV relativeFrom="paragraph">
            <wp:posOffset>-363855</wp:posOffset>
          </wp:positionV>
          <wp:extent cx="10687793" cy="1330903"/>
          <wp:effectExtent l="0" t="0" r="0" b="3175"/>
          <wp:wrapNone/>
          <wp:docPr id="6" name="Picture 6" descr="Australian Government&#10;National indigenous Australians Agency&#10;Working with Aboriginal and Torres Strait Islander peop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2-023_ORIGINAL_Word_Template_Header_A4_Land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87793" cy="133090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33C6"/>
    <w:multiLevelType w:val="hybridMultilevel"/>
    <w:tmpl w:val="F97C8FCA"/>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0C69371C"/>
    <w:multiLevelType w:val="multilevel"/>
    <w:tmpl w:val="B2D40500"/>
    <w:lvl w:ilvl="0">
      <w:start w:val="1"/>
      <w:numFmt w:val="decimal"/>
      <w:pStyle w:val="List"/>
      <w:lvlText w:val="%1"/>
      <w:lvlJc w:val="left"/>
      <w:pPr>
        <w:ind w:left="403" w:hanging="288"/>
      </w:pPr>
      <w:rPr>
        <w:rFonts w:hint="default"/>
        <w:color w:val="2A4055" w:themeColor="accent1"/>
      </w:rPr>
    </w:lvl>
    <w:lvl w:ilvl="1">
      <w:start w:val="1"/>
      <w:numFmt w:val="lowerRoman"/>
      <w:lvlText w:val="%2"/>
      <w:lvlJc w:val="left"/>
      <w:pPr>
        <w:ind w:left="691" w:hanging="288"/>
      </w:pPr>
      <w:rPr>
        <w:rFonts w:hint="default"/>
        <w:color w:val="2A4055" w:themeColor="accent1"/>
      </w:rPr>
    </w:lvl>
    <w:lvl w:ilvl="2">
      <w:start w:val="1"/>
      <w:numFmt w:val="upperRoman"/>
      <w:lvlText w:val="%3"/>
      <w:lvlJc w:val="left"/>
      <w:pPr>
        <w:ind w:left="979" w:hanging="288"/>
      </w:pPr>
      <w:rPr>
        <w:rFonts w:hint="default"/>
        <w:color w:val="2A4055"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2" w15:restartNumberingAfterBreak="0">
    <w:nsid w:val="1D9170E6"/>
    <w:multiLevelType w:val="hybridMultilevel"/>
    <w:tmpl w:val="F5C64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7520959"/>
    <w:multiLevelType w:val="multilevel"/>
    <w:tmpl w:val="1C9E25B2"/>
    <w:lvl w:ilvl="0">
      <w:start w:val="1"/>
      <w:numFmt w:val="decimal"/>
      <w:pStyle w:val="Tablenumbering"/>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4" w15:restartNumberingAfterBreak="0">
    <w:nsid w:val="505472E9"/>
    <w:multiLevelType w:val="hybridMultilevel"/>
    <w:tmpl w:val="29228478"/>
    <w:lvl w:ilvl="0" w:tplc="0C090001">
      <w:start w:val="1"/>
      <w:numFmt w:val="bullet"/>
      <w:lvlText w:val=""/>
      <w:lvlJc w:val="left"/>
      <w:pPr>
        <w:ind w:left="918" w:hanging="360"/>
      </w:pPr>
      <w:rPr>
        <w:rFonts w:ascii="Symbol" w:hAnsi="Symbol" w:hint="default"/>
      </w:rPr>
    </w:lvl>
    <w:lvl w:ilvl="1" w:tplc="0C090003" w:tentative="1">
      <w:start w:val="1"/>
      <w:numFmt w:val="bullet"/>
      <w:lvlText w:val="o"/>
      <w:lvlJc w:val="left"/>
      <w:pPr>
        <w:ind w:left="1638" w:hanging="360"/>
      </w:pPr>
      <w:rPr>
        <w:rFonts w:ascii="Courier New" w:hAnsi="Courier New" w:cs="Courier New" w:hint="default"/>
      </w:rPr>
    </w:lvl>
    <w:lvl w:ilvl="2" w:tplc="0C090005" w:tentative="1">
      <w:start w:val="1"/>
      <w:numFmt w:val="bullet"/>
      <w:lvlText w:val=""/>
      <w:lvlJc w:val="left"/>
      <w:pPr>
        <w:ind w:left="2358" w:hanging="360"/>
      </w:pPr>
      <w:rPr>
        <w:rFonts w:ascii="Wingdings" w:hAnsi="Wingdings" w:hint="default"/>
      </w:rPr>
    </w:lvl>
    <w:lvl w:ilvl="3" w:tplc="0C090001" w:tentative="1">
      <w:start w:val="1"/>
      <w:numFmt w:val="bullet"/>
      <w:lvlText w:val=""/>
      <w:lvlJc w:val="left"/>
      <w:pPr>
        <w:ind w:left="3078" w:hanging="360"/>
      </w:pPr>
      <w:rPr>
        <w:rFonts w:ascii="Symbol" w:hAnsi="Symbol" w:hint="default"/>
      </w:rPr>
    </w:lvl>
    <w:lvl w:ilvl="4" w:tplc="0C090003" w:tentative="1">
      <w:start w:val="1"/>
      <w:numFmt w:val="bullet"/>
      <w:lvlText w:val="o"/>
      <w:lvlJc w:val="left"/>
      <w:pPr>
        <w:ind w:left="3798" w:hanging="360"/>
      </w:pPr>
      <w:rPr>
        <w:rFonts w:ascii="Courier New" w:hAnsi="Courier New" w:cs="Courier New" w:hint="default"/>
      </w:rPr>
    </w:lvl>
    <w:lvl w:ilvl="5" w:tplc="0C090005" w:tentative="1">
      <w:start w:val="1"/>
      <w:numFmt w:val="bullet"/>
      <w:lvlText w:val=""/>
      <w:lvlJc w:val="left"/>
      <w:pPr>
        <w:ind w:left="4518" w:hanging="360"/>
      </w:pPr>
      <w:rPr>
        <w:rFonts w:ascii="Wingdings" w:hAnsi="Wingdings" w:hint="default"/>
      </w:rPr>
    </w:lvl>
    <w:lvl w:ilvl="6" w:tplc="0C090001" w:tentative="1">
      <w:start w:val="1"/>
      <w:numFmt w:val="bullet"/>
      <w:lvlText w:val=""/>
      <w:lvlJc w:val="left"/>
      <w:pPr>
        <w:ind w:left="5238" w:hanging="360"/>
      </w:pPr>
      <w:rPr>
        <w:rFonts w:ascii="Symbol" w:hAnsi="Symbol" w:hint="default"/>
      </w:rPr>
    </w:lvl>
    <w:lvl w:ilvl="7" w:tplc="0C090003" w:tentative="1">
      <w:start w:val="1"/>
      <w:numFmt w:val="bullet"/>
      <w:lvlText w:val="o"/>
      <w:lvlJc w:val="left"/>
      <w:pPr>
        <w:ind w:left="5958" w:hanging="360"/>
      </w:pPr>
      <w:rPr>
        <w:rFonts w:ascii="Courier New" w:hAnsi="Courier New" w:cs="Courier New" w:hint="default"/>
      </w:rPr>
    </w:lvl>
    <w:lvl w:ilvl="8" w:tplc="0C090005" w:tentative="1">
      <w:start w:val="1"/>
      <w:numFmt w:val="bullet"/>
      <w:lvlText w:val=""/>
      <w:lvlJc w:val="left"/>
      <w:pPr>
        <w:ind w:left="6678" w:hanging="360"/>
      </w:pPr>
      <w:rPr>
        <w:rFonts w:ascii="Wingdings" w:hAnsi="Wingdings" w:hint="default"/>
      </w:rPr>
    </w:lvl>
  </w:abstractNum>
  <w:abstractNum w:abstractNumId="5" w15:restartNumberingAfterBreak="0">
    <w:nsid w:val="5F576922"/>
    <w:multiLevelType w:val="multilevel"/>
    <w:tmpl w:val="06CC3398"/>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6" w15:restartNumberingAfterBreak="0">
    <w:nsid w:val="608F21F8"/>
    <w:multiLevelType w:val="multilevel"/>
    <w:tmpl w:val="1A9C3E20"/>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7" w15:restartNumberingAfterBreak="0">
    <w:nsid w:val="72EF1E09"/>
    <w:multiLevelType w:val="multilevel"/>
    <w:tmpl w:val="3E9C3620"/>
    <w:lvl w:ilvl="0">
      <w:start w:val="1"/>
      <w:numFmt w:val="decimal"/>
      <w:pStyle w:val="NumberedListlevel1"/>
      <w:lvlText w:val="%1."/>
      <w:lvlJc w:val="left"/>
      <w:pPr>
        <w:ind w:left="567" w:hanging="283"/>
      </w:pPr>
      <w:rPr>
        <w:rFonts w:hint="default"/>
      </w:rPr>
    </w:lvl>
    <w:lvl w:ilvl="1">
      <w:start w:val="1"/>
      <w:numFmt w:val="lowerLetter"/>
      <w:pStyle w:val="NumberedListlevel2"/>
      <w:lvlText w:val="%2."/>
      <w:lvlJc w:val="left"/>
      <w:pPr>
        <w:ind w:left="1021" w:hanging="283"/>
      </w:pPr>
      <w:rPr>
        <w:rFonts w:hint="default"/>
      </w:rPr>
    </w:lvl>
    <w:lvl w:ilvl="2">
      <w:start w:val="1"/>
      <w:numFmt w:val="lowerRoman"/>
      <w:pStyle w:val="NumberedListlevel3"/>
      <w:lvlText w:val="%3."/>
      <w:lvlJc w:val="left"/>
      <w:pPr>
        <w:ind w:left="1701" w:hanging="283"/>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8" w15:restartNumberingAfterBreak="0">
    <w:nsid w:val="72FF65BA"/>
    <w:multiLevelType w:val="hybridMultilevel"/>
    <w:tmpl w:val="98660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36A6B07"/>
    <w:multiLevelType w:val="multilevel"/>
    <w:tmpl w:val="C3BECF7C"/>
    <w:lvl w:ilvl="0">
      <w:start w:val="1"/>
      <w:numFmt w:val="bullet"/>
      <w:pStyle w:val="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num w:numId="1">
    <w:abstractNumId w:val="2"/>
  </w:num>
  <w:num w:numId="2">
    <w:abstractNumId w:val="5"/>
  </w:num>
  <w:num w:numId="3">
    <w:abstractNumId w:val="3"/>
  </w:num>
  <w:num w:numId="4">
    <w:abstractNumId w:val="8"/>
  </w:num>
  <w:num w:numId="5">
    <w:abstractNumId w:val="6"/>
  </w:num>
  <w:num w:numId="6">
    <w:abstractNumId w:val="5"/>
    <w:lvlOverride w:ilvl="0">
      <w:lvl w:ilvl="0">
        <w:start w:val="1"/>
        <w:numFmt w:val="bullet"/>
        <w:pStyle w:val="Tablebullet"/>
        <w:lvlText w:val=""/>
        <w:lvlJc w:val="left"/>
        <w:pPr>
          <w:ind w:left="284" w:hanging="284"/>
        </w:pPr>
        <w:rPr>
          <w:rFonts w:ascii="Symbol" w:hAnsi="Symbol" w:hint="default"/>
          <w:color w:val="000000" w:themeColor="text1"/>
        </w:rPr>
      </w:lvl>
    </w:lvlOverride>
    <w:lvlOverride w:ilvl="1">
      <w:lvl w:ilvl="1">
        <w:start w:val="1"/>
        <w:numFmt w:val="bullet"/>
        <w:lvlText w:val="o"/>
        <w:lvlJc w:val="left"/>
        <w:pPr>
          <w:ind w:left="568" w:hanging="284"/>
        </w:pPr>
        <w:rPr>
          <w:rFonts w:ascii="Courier New" w:hAnsi="Courier New" w:cs="Courier New" w:hint="default"/>
        </w:rPr>
      </w:lvl>
    </w:lvlOverride>
    <w:lvlOverride w:ilvl="2">
      <w:lvl w:ilvl="2">
        <w:start w:val="1"/>
        <w:numFmt w:val="bullet"/>
        <w:lvlText w:val=""/>
        <w:lvlJc w:val="left"/>
        <w:pPr>
          <w:ind w:left="852" w:hanging="284"/>
        </w:pPr>
        <w:rPr>
          <w:rFonts w:ascii="Wingdings" w:hAnsi="Wingdings" w:hint="default"/>
        </w:rPr>
      </w:lvl>
    </w:lvlOverride>
    <w:lvlOverride w:ilvl="3">
      <w:lvl w:ilvl="3">
        <w:start w:val="1"/>
        <w:numFmt w:val="bullet"/>
        <w:lvlText w:val=""/>
        <w:lvlJc w:val="left"/>
        <w:pPr>
          <w:ind w:left="1136" w:hanging="284"/>
        </w:pPr>
        <w:rPr>
          <w:rFonts w:ascii="Symbol" w:hAnsi="Symbol" w:hint="default"/>
        </w:rPr>
      </w:lvl>
    </w:lvlOverride>
    <w:lvlOverride w:ilvl="4">
      <w:lvl w:ilvl="4">
        <w:start w:val="1"/>
        <w:numFmt w:val="bullet"/>
        <w:lvlText w:val="o"/>
        <w:lvlJc w:val="left"/>
        <w:pPr>
          <w:ind w:left="1420" w:hanging="284"/>
        </w:pPr>
        <w:rPr>
          <w:rFonts w:ascii="Courier New" w:hAnsi="Courier New" w:cs="Courier New" w:hint="default"/>
        </w:rPr>
      </w:lvl>
    </w:lvlOverride>
    <w:lvlOverride w:ilvl="5">
      <w:lvl w:ilvl="5">
        <w:start w:val="1"/>
        <w:numFmt w:val="bullet"/>
        <w:lvlText w:val=""/>
        <w:lvlJc w:val="left"/>
        <w:pPr>
          <w:ind w:left="1704" w:hanging="284"/>
        </w:pPr>
        <w:rPr>
          <w:rFonts w:ascii="Wingdings" w:hAnsi="Wingdings" w:hint="default"/>
        </w:rPr>
      </w:lvl>
    </w:lvlOverride>
    <w:lvlOverride w:ilvl="6">
      <w:lvl w:ilvl="6">
        <w:start w:val="1"/>
        <w:numFmt w:val="bullet"/>
        <w:lvlText w:val=""/>
        <w:lvlJc w:val="left"/>
        <w:pPr>
          <w:ind w:left="1988" w:hanging="284"/>
        </w:pPr>
        <w:rPr>
          <w:rFonts w:ascii="Symbol" w:hAnsi="Symbol" w:hint="default"/>
        </w:rPr>
      </w:lvl>
    </w:lvlOverride>
    <w:lvlOverride w:ilvl="7">
      <w:lvl w:ilvl="7">
        <w:start w:val="1"/>
        <w:numFmt w:val="bullet"/>
        <w:lvlText w:val="o"/>
        <w:lvlJc w:val="left"/>
        <w:pPr>
          <w:ind w:left="2272" w:hanging="284"/>
        </w:pPr>
        <w:rPr>
          <w:rFonts w:ascii="Courier New" w:hAnsi="Courier New" w:cs="Courier New" w:hint="default"/>
        </w:rPr>
      </w:lvl>
    </w:lvlOverride>
    <w:lvlOverride w:ilvl="8">
      <w:lvl w:ilvl="8">
        <w:start w:val="1"/>
        <w:numFmt w:val="bullet"/>
        <w:lvlText w:val=""/>
        <w:lvlJc w:val="left"/>
        <w:pPr>
          <w:ind w:left="2556" w:hanging="284"/>
        </w:pPr>
        <w:rPr>
          <w:rFonts w:ascii="Wingdings" w:hAnsi="Wingdings" w:hint="default"/>
        </w:rPr>
      </w:lvl>
    </w:lvlOverride>
  </w:num>
  <w:num w:numId="7">
    <w:abstractNumId w:val="3"/>
    <w:lvlOverride w:ilvl="0">
      <w:lvl w:ilvl="0">
        <w:start w:val="1"/>
        <w:numFmt w:val="decimal"/>
        <w:pStyle w:val="Tablenumbering"/>
        <w:lvlText w:val="%1."/>
        <w:lvlJc w:val="left"/>
        <w:pPr>
          <w:ind w:left="284" w:hanging="284"/>
        </w:pPr>
        <w:rPr>
          <w:rFonts w:asciiTheme="minorHAnsi" w:hAnsiTheme="minorHAnsi" w:hint="default"/>
          <w:color w:val="000000" w:themeColor="text1"/>
        </w:rPr>
      </w:lvl>
    </w:lvlOverride>
    <w:lvlOverride w:ilvl="1">
      <w:lvl w:ilvl="1">
        <w:start w:val="1"/>
        <w:numFmt w:val="bullet"/>
        <w:lvlText w:val="‒"/>
        <w:lvlJc w:val="left"/>
        <w:pPr>
          <w:ind w:left="568" w:hanging="284"/>
        </w:pPr>
        <w:rPr>
          <w:rFonts w:asciiTheme="minorHAnsi" w:hAnsiTheme="minorHAnsi" w:cs="Times New Roman" w:hint="default"/>
          <w:color w:val="000000" w:themeColor="text1"/>
        </w:rPr>
      </w:lvl>
    </w:lvlOverride>
    <w:lvlOverride w:ilvl="2">
      <w:lvl w:ilvl="2">
        <w:start w:val="1"/>
        <w:numFmt w:val="bullet"/>
        <w:lvlText w:val="⁚"/>
        <w:lvlJc w:val="left"/>
        <w:pPr>
          <w:ind w:left="851" w:hanging="284"/>
        </w:pPr>
        <w:rPr>
          <w:rFonts w:ascii="Times New Roman" w:hAnsi="Times New Roman" w:cs="Times New Roman" w:hint="default"/>
          <w:color w:val="000000" w:themeColor="text1"/>
        </w:rPr>
      </w:lvl>
    </w:lvlOverride>
    <w:lvlOverride w:ilvl="3">
      <w:lvl w:ilvl="3">
        <w:start w:val="1"/>
        <w:numFmt w:val="decimal"/>
        <w:lvlText w:val="%4."/>
        <w:lvlJc w:val="left"/>
        <w:pPr>
          <w:ind w:left="1418"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righ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right"/>
        <w:pPr>
          <w:ind w:left="2556" w:hanging="284"/>
        </w:pPr>
        <w:rPr>
          <w:rFonts w:hint="default"/>
        </w:rPr>
      </w:lvl>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 w:ilvl="0">
        <w:start w:val="1"/>
        <w:numFmt w:val="decimal"/>
        <w:pStyle w:val="Tablenumbering"/>
        <w:lvlText w:val="%1."/>
        <w:lvlJc w:val="left"/>
        <w:pPr>
          <w:ind w:left="567" w:hanging="283"/>
        </w:pPr>
        <w:rPr>
          <w:rFonts w:asciiTheme="minorHAnsi" w:hAnsiTheme="minorHAnsi" w:hint="default"/>
          <w:color w:val="014463" w:themeColor="text2"/>
        </w:rPr>
      </w:lvl>
    </w:lvlOverride>
    <w:lvlOverride w:ilvl="1">
      <w:lvl w:ilvl="1">
        <w:start w:val="1"/>
        <w:numFmt w:val="lowerRoman"/>
        <w:lvlText w:val="%2"/>
        <w:lvlJc w:val="left"/>
        <w:pPr>
          <w:ind w:left="1021" w:hanging="283"/>
        </w:pPr>
        <w:rPr>
          <w:rFonts w:hint="default"/>
        </w:rPr>
      </w:lvl>
    </w:lvlOverride>
    <w:lvlOverride w:ilvl="2">
      <w:lvl w:ilvl="2">
        <w:start w:val="1"/>
        <w:numFmt w:val="upperRoman"/>
        <w:lvlText w:val="%3"/>
        <w:lvlJc w:val="left"/>
        <w:pPr>
          <w:ind w:left="1475" w:hanging="283"/>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10">
    <w:abstractNumId w:val="3"/>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1">
    <w:abstractNumId w:val="3"/>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2">
    <w:abstractNumId w:val="3"/>
    <w:lvlOverride w:ilvl="0">
      <w:startOverride w:val="1"/>
      <w:lvl w:ilvl="0">
        <w:start w:val="1"/>
        <w:numFmt w:val="decimal"/>
        <w:pStyle w:val="Tablenumbering"/>
        <w:lvlText w:val="%1."/>
        <w:lvlJc w:val="left"/>
        <w:pPr>
          <w:ind w:left="397" w:hanging="397"/>
        </w:pPr>
        <w:rPr>
          <w:rFonts w:hint="default"/>
          <w:color w:val="D1D1D1" w:themeColor="accent6"/>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3">
    <w:abstractNumId w:val="6"/>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134"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701" w:hanging="283"/>
        </w:pPr>
        <w:rPr>
          <w:rFonts w:ascii="Wingdings" w:hAnsi="Wingdings" w:hint="default"/>
        </w:rPr>
      </w:lvl>
    </w:lvlOverride>
    <w:lvlOverride w:ilvl="3">
      <w:lvl w:ilvl="3">
        <w:start w:val="1"/>
        <w:numFmt w:val="bullet"/>
        <w:lvlText w:val=""/>
        <w:lvlJc w:val="left"/>
        <w:pPr>
          <w:ind w:left="2268" w:hanging="283"/>
        </w:pPr>
        <w:rPr>
          <w:rFonts w:ascii="Symbol" w:hAnsi="Symbol" w:hint="default"/>
        </w:rPr>
      </w:lvl>
    </w:lvlOverride>
    <w:lvlOverride w:ilvl="4">
      <w:lvl w:ilvl="4">
        <w:start w:val="1"/>
        <w:numFmt w:val="bullet"/>
        <w:lvlText w:val="o"/>
        <w:lvlJc w:val="left"/>
        <w:pPr>
          <w:ind w:left="2835" w:hanging="283"/>
        </w:pPr>
        <w:rPr>
          <w:rFonts w:ascii="Courier New" w:hAnsi="Courier New" w:cs="Courier New" w:hint="default"/>
        </w:rPr>
      </w:lvl>
    </w:lvlOverride>
    <w:lvlOverride w:ilvl="5">
      <w:lvl w:ilvl="5">
        <w:start w:val="1"/>
        <w:numFmt w:val="bullet"/>
        <w:lvlText w:val=""/>
        <w:lvlJc w:val="left"/>
        <w:pPr>
          <w:ind w:left="3402" w:hanging="283"/>
        </w:pPr>
        <w:rPr>
          <w:rFonts w:ascii="Wingdings" w:hAnsi="Wingdings" w:hint="default"/>
        </w:rPr>
      </w:lvl>
    </w:lvlOverride>
    <w:lvlOverride w:ilvl="6">
      <w:lvl w:ilvl="6">
        <w:start w:val="1"/>
        <w:numFmt w:val="bullet"/>
        <w:lvlText w:val=""/>
        <w:lvlJc w:val="left"/>
        <w:pPr>
          <w:ind w:left="3969" w:hanging="283"/>
        </w:pPr>
        <w:rPr>
          <w:rFonts w:ascii="Symbol" w:hAnsi="Symbol" w:hint="default"/>
        </w:rPr>
      </w:lvl>
    </w:lvlOverride>
    <w:lvlOverride w:ilvl="7">
      <w:lvl w:ilvl="7">
        <w:start w:val="1"/>
        <w:numFmt w:val="bullet"/>
        <w:lvlText w:val="o"/>
        <w:lvlJc w:val="left"/>
        <w:pPr>
          <w:ind w:left="4536" w:hanging="283"/>
        </w:pPr>
        <w:rPr>
          <w:rFonts w:ascii="Courier New" w:hAnsi="Courier New" w:cs="Courier New" w:hint="default"/>
        </w:rPr>
      </w:lvl>
    </w:lvlOverride>
    <w:lvlOverride w:ilvl="8">
      <w:lvl w:ilvl="8">
        <w:start w:val="1"/>
        <w:numFmt w:val="bullet"/>
        <w:lvlText w:val=""/>
        <w:lvlJc w:val="left"/>
        <w:pPr>
          <w:ind w:left="5103" w:hanging="283"/>
        </w:pPr>
        <w:rPr>
          <w:rFonts w:ascii="Wingdings" w:hAnsi="Wingdings" w:hint="default"/>
        </w:rPr>
      </w:lvl>
    </w:lvlOverride>
  </w:num>
  <w:num w:numId="14">
    <w:abstractNumId w:val="6"/>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color w:val="262626" w:themeColor="text1" w:themeTint="D9"/>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5">
    <w:abstractNumId w:val="3"/>
    <w:lvlOverride w:ilvl="0">
      <w:lvl w:ilvl="0">
        <w:start w:val="1"/>
        <w:numFmt w:val="decimal"/>
        <w:pStyle w:val="Tablenumbering"/>
        <w:lvlText w:val="%1."/>
        <w:lvlJc w:val="left"/>
        <w:pPr>
          <w:ind w:left="360" w:hanging="360"/>
        </w:pPr>
        <w:rPr>
          <w:rFonts w:asciiTheme="minorHAnsi" w:hAnsiTheme="minorHAnsi" w:hint="default"/>
          <w:color w:val="262626" w:themeColor="text1" w:themeTint="D9"/>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6">
    <w:abstractNumId w:val="3"/>
    <w:lvlOverride w:ilvl="0">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7">
    <w:abstractNumId w:val="1"/>
  </w:num>
  <w:num w:numId="18">
    <w:abstractNumId w:val="1"/>
    <w:lvlOverride w:ilvl="0">
      <w:lvl w:ilvl="0">
        <w:start w:val="1"/>
        <w:numFmt w:val="decimal"/>
        <w:pStyle w:val="List"/>
        <w:lvlText w:val="%1"/>
        <w:lvlJc w:val="left"/>
        <w:pPr>
          <w:ind w:left="432" w:hanging="317"/>
        </w:pPr>
        <w:rPr>
          <w:rFonts w:hint="default"/>
          <w:color w:val="2A4055" w:themeColor="accent1"/>
        </w:rPr>
      </w:lvl>
    </w:lvlOverride>
    <w:lvlOverride w:ilvl="1">
      <w:lvl w:ilvl="1">
        <w:start w:val="1"/>
        <w:numFmt w:val="lowerRoman"/>
        <w:lvlText w:val="%2"/>
        <w:lvlJc w:val="left"/>
        <w:pPr>
          <w:ind w:left="720" w:hanging="317"/>
        </w:pPr>
        <w:rPr>
          <w:rFonts w:hint="default"/>
          <w:color w:val="2A4055" w:themeColor="accent1"/>
        </w:rPr>
      </w:lvl>
    </w:lvlOverride>
    <w:lvlOverride w:ilvl="2">
      <w:lvl w:ilvl="2">
        <w:start w:val="1"/>
        <w:numFmt w:val="upperRoman"/>
        <w:lvlText w:val="%3"/>
        <w:lvlJc w:val="left"/>
        <w:pPr>
          <w:ind w:left="1008" w:hanging="317"/>
        </w:pPr>
        <w:rPr>
          <w:rFonts w:hint="default"/>
          <w:color w:val="2A4055" w:themeColor="accent1"/>
        </w:rPr>
      </w:lvl>
    </w:lvlOverride>
    <w:lvlOverride w:ilvl="3">
      <w:lvl w:ilvl="3">
        <w:start w:val="1"/>
        <w:numFmt w:val="decimal"/>
        <w:lvlText w:val="%4."/>
        <w:lvlJc w:val="left"/>
        <w:pPr>
          <w:ind w:left="1296" w:hanging="317"/>
        </w:pPr>
        <w:rPr>
          <w:rFonts w:hint="default"/>
        </w:rPr>
      </w:lvl>
    </w:lvlOverride>
    <w:lvlOverride w:ilvl="4">
      <w:lvl w:ilvl="4">
        <w:start w:val="1"/>
        <w:numFmt w:val="lowerLetter"/>
        <w:lvlText w:val="%5."/>
        <w:lvlJc w:val="left"/>
        <w:pPr>
          <w:ind w:left="1584" w:hanging="317"/>
        </w:pPr>
        <w:rPr>
          <w:rFonts w:hint="default"/>
        </w:rPr>
      </w:lvl>
    </w:lvlOverride>
    <w:lvlOverride w:ilvl="5">
      <w:lvl w:ilvl="5">
        <w:start w:val="1"/>
        <w:numFmt w:val="lowerRoman"/>
        <w:lvlText w:val="%6."/>
        <w:lvlJc w:val="right"/>
        <w:pPr>
          <w:ind w:left="1872" w:hanging="317"/>
        </w:pPr>
        <w:rPr>
          <w:rFonts w:hint="default"/>
        </w:rPr>
      </w:lvl>
    </w:lvlOverride>
    <w:lvlOverride w:ilvl="6">
      <w:lvl w:ilvl="6">
        <w:start w:val="1"/>
        <w:numFmt w:val="decimal"/>
        <w:lvlText w:val="%7."/>
        <w:lvlJc w:val="left"/>
        <w:pPr>
          <w:ind w:left="2160" w:hanging="317"/>
        </w:pPr>
        <w:rPr>
          <w:rFonts w:hint="default"/>
        </w:rPr>
      </w:lvl>
    </w:lvlOverride>
    <w:lvlOverride w:ilvl="7">
      <w:lvl w:ilvl="7">
        <w:start w:val="1"/>
        <w:numFmt w:val="lowerLetter"/>
        <w:lvlText w:val="%8."/>
        <w:lvlJc w:val="left"/>
        <w:pPr>
          <w:ind w:left="2448" w:hanging="317"/>
        </w:pPr>
        <w:rPr>
          <w:rFonts w:hint="default"/>
        </w:rPr>
      </w:lvl>
    </w:lvlOverride>
    <w:lvlOverride w:ilvl="8">
      <w:lvl w:ilvl="8">
        <w:start w:val="1"/>
        <w:numFmt w:val="lowerRoman"/>
        <w:lvlText w:val="%9."/>
        <w:lvlJc w:val="right"/>
        <w:pPr>
          <w:ind w:left="2736" w:hanging="317"/>
        </w:pPr>
        <w:rPr>
          <w:rFonts w:hint="default"/>
        </w:rPr>
      </w:lvl>
    </w:lvlOverride>
  </w:num>
  <w:num w:numId="19">
    <w:abstractNumId w:val="4"/>
  </w:num>
  <w:num w:numId="20">
    <w:abstractNumId w:val="9"/>
  </w:num>
  <w:num w:numId="21">
    <w:abstractNumId w:val="0"/>
  </w:num>
  <w:num w:numId="22">
    <w:abstractNumId w:val="7"/>
  </w:num>
  <w:num w:numId="23">
    <w:abstractNumId w:val="7"/>
    <w:lvlOverride w:ilvl="0">
      <w:lvl w:ilvl="0">
        <w:start w:val="1"/>
        <w:numFmt w:val="decimal"/>
        <w:pStyle w:val="NumberedListlevel1"/>
        <w:lvlText w:val="%1."/>
        <w:lvlJc w:val="left"/>
        <w:pPr>
          <w:ind w:left="567" w:hanging="283"/>
        </w:pPr>
        <w:rPr>
          <w:rFonts w:hint="default"/>
        </w:rPr>
      </w:lvl>
    </w:lvlOverride>
    <w:lvlOverride w:ilvl="1">
      <w:lvl w:ilvl="1">
        <w:start w:val="1"/>
        <w:numFmt w:val="lowerLetter"/>
        <w:pStyle w:val="NumberedListlevel2"/>
        <w:lvlText w:val="%2."/>
        <w:lvlJc w:val="left"/>
        <w:pPr>
          <w:ind w:left="1021" w:hanging="283"/>
        </w:pPr>
        <w:rPr>
          <w:rFonts w:hint="default"/>
        </w:rPr>
      </w:lvl>
    </w:lvlOverride>
    <w:lvlOverride w:ilvl="2">
      <w:lvl w:ilvl="2">
        <w:start w:val="1"/>
        <w:numFmt w:val="lowerRoman"/>
        <w:pStyle w:val="NumberedListlevel3"/>
        <w:lvlText w:val="%3."/>
        <w:lvlJc w:val="left"/>
        <w:pPr>
          <w:ind w:left="1418" w:hanging="284"/>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24">
    <w:abstractNumId w:val="3"/>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5">
    <w:abstractNumId w:val="3"/>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6">
    <w:abstractNumId w:val="3"/>
    <w:lvlOverride w:ilvl="0">
      <w:startOverride w:val="1"/>
      <w:lvl w:ilvl="0">
        <w:start w:val="1"/>
        <w:numFmt w:val="decimal"/>
        <w:pStyle w:val="Tablenumbering"/>
        <w:lvlText w:val="%1."/>
        <w:lvlJc w:val="left"/>
        <w:pPr>
          <w:ind w:left="284" w:hanging="284"/>
        </w:pPr>
        <w:rPr>
          <w:rFonts w:asciiTheme="minorHAnsi" w:hAnsiTheme="minorHAnsi" w:hint="default"/>
          <w:color w:val="262626" w:themeColor="text1" w:themeTint="D9"/>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647"/>
    <w:rsid w:val="00002F73"/>
    <w:rsid w:val="00007EB1"/>
    <w:rsid w:val="00010FC5"/>
    <w:rsid w:val="00014206"/>
    <w:rsid w:val="000230F3"/>
    <w:rsid w:val="00023AC4"/>
    <w:rsid w:val="000304B2"/>
    <w:rsid w:val="00031B5C"/>
    <w:rsid w:val="00034193"/>
    <w:rsid w:val="00034FEC"/>
    <w:rsid w:val="0004082F"/>
    <w:rsid w:val="00042E89"/>
    <w:rsid w:val="00044BF9"/>
    <w:rsid w:val="000503A6"/>
    <w:rsid w:val="00053CD9"/>
    <w:rsid w:val="00057B46"/>
    <w:rsid w:val="00063034"/>
    <w:rsid w:val="00063F97"/>
    <w:rsid w:val="00073D52"/>
    <w:rsid w:val="00076AD1"/>
    <w:rsid w:val="000803CA"/>
    <w:rsid w:val="000835A1"/>
    <w:rsid w:val="00091BCD"/>
    <w:rsid w:val="0009265A"/>
    <w:rsid w:val="00093EEF"/>
    <w:rsid w:val="00094B02"/>
    <w:rsid w:val="0009590F"/>
    <w:rsid w:val="00095BF3"/>
    <w:rsid w:val="000A041E"/>
    <w:rsid w:val="000A08CA"/>
    <w:rsid w:val="000A0E4C"/>
    <w:rsid w:val="000C29C5"/>
    <w:rsid w:val="000D106A"/>
    <w:rsid w:val="000D113F"/>
    <w:rsid w:val="000D2E56"/>
    <w:rsid w:val="000E351D"/>
    <w:rsid w:val="000E60F7"/>
    <w:rsid w:val="000F1B86"/>
    <w:rsid w:val="000F23B0"/>
    <w:rsid w:val="000F4D62"/>
    <w:rsid w:val="000F5917"/>
    <w:rsid w:val="001007B9"/>
    <w:rsid w:val="0010143D"/>
    <w:rsid w:val="001015D8"/>
    <w:rsid w:val="00105ECB"/>
    <w:rsid w:val="001249EF"/>
    <w:rsid w:val="00131315"/>
    <w:rsid w:val="00132268"/>
    <w:rsid w:val="001333FD"/>
    <w:rsid w:val="001336CF"/>
    <w:rsid w:val="0013446F"/>
    <w:rsid w:val="00137246"/>
    <w:rsid w:val="00143288"/>
    <w:rsid w:val="0015537B"/>
    <w:rsid w:val="0016781C"/>
    <w:rsid w:val="001727AF"/>
    <w:rsid w:val="00176EA5"/>
    <w:rsid w:val="00177611"/>
    <w:rsid w:val="0017798C"/>
    <w:rsid w:val="001809C6"/>
    <w:rsid w:val="00181C56"/>
    <w:rsid w:val="00183FA2"/>
    <w:rsid w:val="001850CB"/>
    <w:rsid w:val="001912A0"/>
    <w:rsid w:val="00193036"/>
    <w:rsid w:val="001953CF"/>
    <w:rsid w:val="00195BA8"/>
    <w:rsid w:val="001A1957"/>
    <w:rsid w:val="001A2A80"/>
    <w:rsid w:val="001A2F86"/>
    <w:rsid w:val="001A69A8"/>
    <w:rsid w:val="001B0144"/>
    <w:rsid w:val="001B10ED"/>
    <w:rsid w:val="001C2FC8"/>
    <w:rsid w:val="001C63DF"/>
    <w:rsid w:val="001D283B"/>
    <w:rsid w:val="001E4053"/>
    <w:rsid w:val="001E4245"/>
    <w:rsid w:val="001F0654"/>
    <w:rsid w:val="001F2EA1"/>
    <w:rsid w:val="001F3722"/>
    <w:rsid w:val="001F4DBA"/>
    <w:rsid w:val="001F738E"/>
    <w:rsid w:val="001F7942"/>
    <w:rsid w:val="0020007C"/>
    <w:rsid w:val="00206976"/>
    <w:rsid w:val="0021247A"/>
    <w:rsid w:val="002229A5"/>
    <w:rsid w:val="002317BD"/>
    <w:rsid w:val="00231B22"/>
    <w:rsid w:val="00234705"/>
    <w:rsid w:val="00237365"/>
    <w:rsid w:val="00243271"/>
    <w:rsid w:val="00250BE6"/>
    <w:rsid w:val="00252F38"/>
    <w:rsid w:val="00260C56"/>
    <w:rsid w:val="00264A5E"/>
    <w:rsid w:val="00271572"/>
    <w:rsid w:val="00277016"/>
    <w:rsid w:val="0027769C"/>
    <w:rsid w:val="00281E3E"/>
    <w:rsid w:val="00284710"/>
    <w:rsid w:val="00294D1D"/>
    <w:rsid w:val="002952F9"/>
    <w:rsid w:val="002955DD"/>
    <w:rsid w:val="002A0289"/>
    <w:rsid w:val="002A371E"/>
    <w:rsid w:val="002B4B0A"/>
    <w:rsid w:val="002B5D09"/>
    <w:rsid w:val="002C0866"/>
    <w:rsid w:val="002C0B0E"/>
    <w:rsid w:val="002C5F5B"/>
    <w:rsid w:val="002C777D"/>
    <w:rsid w:val="002D40B1"/>
    <w:rsid w:val="002D45CD"/>
    <w:rsid w:val="002D75F9"/>
    <w:rsid w:val="002E07AC"/>
    <w:rsid w:val="002E6AA1"/>
    <w:rsid w:val="002F57C6"/>
    <w:rsid w:val="00307A69"/>
    <w:rsid w:val="00312E4A"/>
    <w:rsid w:val="0031546F"/>
    <w:rsid w:val="00316B0D"/>
    <w:rsid w:val="00317427"/>
    <w:rsid w:val="003300DB"/>
    <w:rsid w:val="0033088D"/>
    <w:rsid w:val="00332857"/>
    <w:rsid w:val="00335425"/>
    <w:rsid w:val="003371F0"/>
    <w:rsid w:val="00345B55"/>
    <w:rsid w:val="003500C6"/>
    <w:rsid w:val="00357154"/>
    <w:rsid w:val="00363AE5"/>
    <w:rsid w:val="003848EF"/>
    <w:rsid w:val="00385B65"/>
    <w:rsid w:val="00391929"/>
    <w:rsid w:val="00391CEF"/>
    <w:rsid w:val="003A3E57"/>
    <w:rsid w:val="003C6961"/>
    <w:rsid w:val="003D21A3"/>
    <w:rsid w:val="003D33F7"/>
    <w:rsid w:val="003E6B8B"/>
    <w:rsid w:val="003F017E"/>
    <w:rsid w:val="003F17BC"/>
    <w:rsid w:val="003F1A1E"/>
    <w:rsid w:val="003F5F4B"/>
    <w:rsid w:val="003F7E70"/>
    <w:rsid w:val="0040648D"/>
    <w:rsid w:val="00406711"/>
    <w:rsid w:val="00414A3F"/>
    <w:rsid w:val="00414CEB"/>
    <w:rsid w:val="004163FA"/>
    <w:rsid w:val="00423E92"/>
    <w:rsid w:val="004257F1"/>
    <w:rsid w:val="00431B00"/>
    <w:rsid w:val="004366AE"/>
    <w:rsid w:val="00437572"/>
    <w:rsid w:val="0044371A"/>
    <w:rsid w:val="00451804"/>
    <w:rsid w:val="00452FE9"/>
    <w:rsid w:val="00454696"/>
    <w:rsid w:val="004616FF"/>
    <w:rsid w:val="004710AB"/>
    <w:rsid w:val="004759ED"/>
    <w:rsid w:val="00486059"/>
    <w:rsid w:val="004945F7"/>
    <w:rsid w:val="004957BB"/>
    <w:rsid w:val="00497F14"/>
    <w:rsid w:val="004B199A"/>
    <w:rsid w:val="004B2CB0"/>
    <w:rsid w:val="004B44ED"/>
    <w:rsid w:val="004B7B8B"/>
    <w:rsid w:val="004C1262"/>
    <w:rsid w:val="004C18F6"/>
    <w:rsid w:val="004C6518"/>
    <w:rsid w:val="004D0B40"/>
    <w:rsid w:val="004D1065"/>
    <w:rsid w:val="004D24EB"/>
    <w:rsid w:val="004D688C"/>
    <w:rsid w:val="004E192B"/>
    <w:rsid w:val="004E58AE"/>
    <w:rsid w:val="004F085F"/>
    <w:rsid w:val="004F0BD7"/>
    <w:rsid w:val="004F20A9"/>
    <w:rsid w:val="004F73E8"/>
    <w:rsid w:val="00503B0C"/>
    <w:rsid w:val="0051316F"/>
    <w:rsid w:val="00523958"/>
    <w:rsid w:val="005243D2"/>
    <w:rsid w:val="0053301E"/>
    <w:rsid w:val="005350C9"/>
    <w:rsid w:val="005370B2"/>
    <w:rsid w:val="005400C8"/>
    <w:rsid w:val="00543E44"/>
    <w:rsid w:val="00543FDE"/>
    <w:rsid w:val="00552F1C"/>
    <w:rsid w:val="00562166"/>
    <w:rsid w:val="0057315D"/>
    <w:rsid w:val="00574F28"/>
    <w:rsid w:val="00576C8D"/>
    <w:rsid w:val="005827C4"/>
    <w:rsid w:val="0058793B"/>
    <w:rsid w:val="005917FA"/>
    <w:rsid w:val="00596D03"/>
    <w:rsid w:val="005A0614"/>
    <w:rsid w:val="005A0DE7"/>
    <w:rsid w:val="005A355D"/>
    <w:rsid w:val="005B210C"/>
    <w:rsid w:val="005B241C"/>
    <w:rsid w:val="005B27D0"/>
    <w:rsid w:val="005B4715"/>
    <w:rsid w:val="005B4FED"/>
    <w:rsid w:val="005B5B80"/>
    <w:rsid w:val="005C7655"/>
    <w:rsid w:val="005C7C79"/>
    <w:rsid w:val="005D1BC5"/>
    <w:rsid w:val="005D2D7A"/>
    <w:rsid w:val="005D7026"/>
    <w:rsid w:val="005E679E"/>
    <w:rsid w:val="005F3D48"/>
    <w:rsid w:val="005F79CC"/>
    <w:rsid w:val="00602577"/>
    <w:rsid w:val="00603EA6"/>
    <w:rsid w:val="00603FC1"/>
    <w:rsid w:val="00607805"/>
    <w:rsid w:val="0061381E"/>
    <w:rsid w:val="006159CC"/>
    <w:rsid w:val="006173D0"/>
    <w:rsid w:val="006201D7"/>
    <w:rsid w:val="006208C6"/>
    <w:rsid w:val="006267BF"/>
    <w:rsid w:val="00626CA4"/>
    <w:rsid w:val="0062796C"/>
    <w:rsid w:val="0063451F"/>
    <w:rsid w:val="006427AA"/>
    <w:rsid w:val="006429D7"/>
    <w:rsid w:val="00644B2E"/>
    <w:rsid w:val="006454DC"/>
    <w:rsid w:val="006564EA"/>
    <w:rsid w:val="00657D2D"/>
    <w:rsid w:val="00661E36"/>
    <w:rsid w:val="00663EAD"/>
    <w:rsid w:val="00666B12"/>
    <w:rsid w:val="006674FC"/>
    <w:rsid w:val="006719C9"/>
    <w:rsid w:val="006757AA"/>
    <w:rsid w:val="00675B34"/>
    <w:rsid w:val="00675EDF"/>
    <w:rsid w:val="00682080"/>
    <w:rsid w:val="00684ABF"/>
    <w:rsid w:val="0068575D"/>
    <w:rsid w:val="00685BF1"/>
    <w:rsid w:val="00691CF6"/>
    <w:rsid w:val="00692AE7"/>
    <w:rsid w:val="00696E9D"/>
    <w:rsid w:val="00697A16"/>
    <w:rsid w:val="00697F67"/>
    <w:rsid w:val="006A131D"/>
    <w:rsid w:val="006A2795"/>
    <w:rsid w:val="006A39D8"/>
    <w:rsid w:val="006A72D0"/>
    <w:rsid w:val="006B0488"/>
    <w:rsid w:val="006B089B"/>
    <w:rsid w:val="006B3301"/>
    <w:rsid w:val="006B56FC"/>
    <w:rsid w:val="006B7687"/>
    <w:rsid w:val="006C0869"/>
    <w:rsid w:val="006C7B63"/>
    <w:rsid w:val="006E086B"/>
    <w:rsid w:val="006E0D17"/>
    <w:rsid w:val="006E2EA3"/>
    <w:rsid w:val="006E350F"/>
    <w:rsid w:val="006E55ED"/>
    <w:rsid w:val="006E70FF"/>
    <w:rsid w:val="006F173B"/>
    <w:rsid w:val="00711110"/>
    <w:rsid w:val="00713308"/>
    <w:rsid w:val="00714E79"/>
    <w:rsid w:val="007239F8"/>
    <w:rsid w:val="00727A8E"/>
    <w:rsid w:val="00730910"/>
    <w:rsid w:val="00733BDA"/>
    <w:rsid w:val="00753B4D"/>
    <w:rsid w:val="00754949"/>
    <w:rsid w:val="007550E9"/>
    <w:rsid w:val="007660B9"/>
    <w:rsid w:val="00780AC4"/>
    <w:rsid w:val="00781479"/>
    <w:rsid w:val="00781797"/>
    <w:rsid w:val="007836C4"/>
    <w:rsid w:val="0078689C"/>
    <w:rsid w:val="007956C4"/>
    <w:rsid w:val="007A27C5"/>
    <w:rsid w:val="007A52E1"/>
    <w:rsid w:val="007A6297"/>
    <w:rsid w:val="007A6FC6"/>
    <w:rsid w:val="007C3F60"/>
    <w:rsid w:val="007C544A"/>
    <w:rsid w:val="007D680C"/>
    <w:rsid w:val="007E24B7"/>
    <w:rsid w:val="007E551D"/>
    <w:rsid w:val="007F7FED"/>
    <w:rsid w:val="0080402F"/>
    <w:rsid w:val="008051C4"/>
    <w:rsid w:val="00805B42"/>
    <w:rsid w:val="00806393"/>
    <w:rsid w:val="0080697E"/>
    <w:rsid w:val="0081512D"/>
    <w:rsid w:val="00817B50"/>
    <w:rsid w:val="00820E0F"/>
    <w:rsid w:val="00824755"/>
    <w:rsid w:val="00825410"/>
    <w:rsid w:val="00825715"/>
    <w:rsid w:val="008275B9"/>
    <w:rsid w:val="0083261D"/>
    <w:rsid w:val="00832D89"/>
    <w:rsid w:val="0083503B"/>
    <w:rsid w:val="00840865"/>
    <w:rsid w:val="00841D41"/>
    <w:rsid w:val="008436AB"/>
    <w:rsid w:val="00844739"/>
    <w:rsid w:val="0084486B"/>
    <w:rsid w:val="00853CDF"/>
    <w:rsid w:val="0086151D"/>
    <w:rsid w:val="0086672B"/>
    <w:rsid w:val="008668C0"/>
    <w:rsid w:val="008678C1"/>
    <w:rsid w:val="00873DED"/>
    <w:rsid w:val="00874FF1"/>
    <w:rsid w:val="00877425"/>
    <w:rsid w:val="008777F4"/>
    <w:rsid w:val="00880786"/>
    <w:rsid w:val="008A2626"/>
    <w:rsid w:val="008A6759"/>
    <w:rsid w:val="008B13B1"/>
    <w:rsid w:val="008B493F"/>
    <w:rsid w:val="008C115E"/>
    <w:rsid w:val="008C5D4E"/>
    <w:rsid w:val="008D0504"/>
    <w:rsid w:val="008D1256"/>
    <w:rsid w:val="008D275A"/>
    <w:rsid w:val="008E109E"/>
    <w:rsid w:val="008E66E6"/>
    <w:rsid w:val="008F112A"/>
    <w:rsid w:val="00900D4B"/>
    <w:rsid w:val="009014BC"/>
    <w:rsid w:val="00902CAC"/>
    <w:rsid w:val="009036CA"/>
    <w:rsid w:val="0091734B"/>
    <w:rsid w:val="00917F95"/>
    <w:rsid w:val="00923EDF"/>
    <w:rsid w:val="00935AD4"/>
    <w:rsid w:val="00937CE1"/>
    <w:rsid w:val="0094513B"/>
    <w:rsid w:val="0094688C"/>
    <w:rsid w:val="00955F25"/>
    <w:rsid w:val="00963FB3"/>
    <w:rsid w:val="009672EB"/>
    <w:rsid w:val="00973090"/>
    <w:rsid w:val="009830BE"/>
    <w:rsid w:val="0098390A"/>
    <w:rsid w:val="0099436F"/>
    <w:rsid w:val="009956DE"/>
    <w:rsid w:val="009959E0"/>
    <w:rsid w:val="00996BEA"/>
    <w:rsid w:val="009A33FB"/>
    <w:rsid w:val="009A5056"/>
    <w:rsid w:val="009B1A44"/>
    <w:rsid w:val="009B300F"/>
    <w:rsid w:val="009B4379"/>
    <w:rsid w:val="009C40A7"/>
    <w:rsid w:val="009C4D8A"/>
    <w:rsid w:val="009C580F"/>
    <w:rsid w:val="009D161E"/>
    <w:rsid w:val="009E1B26"/>
    <w:rsid w:val="009F2A8D"/>
    <w:rsid w:val="009F4F4A"/>
    <w:rsid w:val="009F751D"/>
    <w:rsid w:val="00A00EF2"/>
    <w:rsid w:val="00A018DD"/>
    <w:rsid w:val="00A069F9"/>
    <w:rsid w:val="00A07F0E"/>
    <w:rsid w:val="00A10AC2"/>
    <w:rsid w:val="00A173EC"/>
    <w:rsid w:val="00A17F9A"/>
    <w:rsid w:val="00A270BD"/>
    <w:rsid w:val="00A3076D"/>
    <w:rsid w:val="00A316E1"/>
    <w:rsid w:val="00A346CA"/>
    <w:rsid w:val="00A477A0"/>
    <w:rsid w:val="00A47C07"/>
    <w:rsid w:val="00A50BDE"/>
    <w:rsid w:val="00A5524F"/>
    <w:rsid w:val="00A61711"/>
    <w:rsid w:val="00A62C59"/>
    <w:rsid w:val="00A62F19"/>
    <w:rsid w:val="00A63A3E"/>
    <w:rsid w:val="00A66C34"/>
    <w:rsid w:val="00A72CC9"/>
    <w:rsid w:val="00A73CFD"/>
    <w:rsid w:val="00A77E87"/>
    <w:rsid w:val="00A80863"/>
    <w:rsid w:val="00A81616"/>
    <w:rsid w:val="00A8365E"/>
    <w:rsid w:val="00A87611"/>
    <w:rsid w:val="00A9488D"/>
    <w:rsid w:val="00A94E35"/>
    <w:rsid w:val="00A95355"/>
    <w:rsid w:val="00AA4D84"/>
    <w:rsid w:val="00AB350C"/>
    <w:rsid w:val="00AB379A"/>
    <w:rsid w:val="00AB3C78"/>
    <w:rsid w:val="00AC1AA3"/>
    <w:rsid w:val="00AC3915"/>
    <w:rsid w:val="00AC4EB2"/>
    <w:rsid w:val="00AC7F21"/>
    <w:rsid w:val="00AD0F94"/>
    <w:rsid w:val="00AD7918"/>
    <w:rsid w:val="00AE0E38"/>
    <w:rsid w:val="00AE11C4"/>
    <w:rsid w:val="00AE1640"/>
    <w:rsid w:val="00AE297B"/>
    <w:rsid w:val="00AE58D5"/>
    <w:rsid w:val="00AE6686"/>
    <w:rsid w:val="00AF7794"/>
    <w:rsid w:val="00B0259B"/>
    <w:rsid w:val="00B06546"/>
    <w:rsid w:val="00B13055"/>
    <w:rsid w:val="00B151CC"/>
    <w:rsid w:val="00B24D0A"/>
    <w:rsid w:val="00B3317D"/>
    <w:rsid w:val="00B33A35"/>
    <w:rsid w:val="00B36583"/>
    <w:rsid w:val="00B37705"/>
    <w:rsid w:val="00B455C1"/>
    <w:rsid w:val="00B53058"/>
    <w:rsid w:val="00B56DD9"/>
    <w:rsid w:val="00B663B0"/>
    <w:rsid w:val="00B83B2F"/>
    <w:rsid w:val="00B87E45"/>
    <w:rsid w:val="00B95533"/>
    <w:rsid w:val="00BB0F68"/>
    <w:rsid w:val="00BB1FFF"/>
    <w:rsid w:val="00BB2567"/>
    <w:rsid w:val="00BB662C"/>
    <w:rsid w:val="00BC24CA"/>
    <w:rsid w:val="00BD113A"/>
    <w:rsid w:val="00BD2B9F"/>
    <w:rsid w:val="00BD35B3"/>
    <w:rsid w:val="00BD3DA8"/>
    <w:rsid w:val="00BD45D5"/>
    <w:rsid w:val="00BE446D"/>
    <w:rsid w:val="00BE4DEF"/>
    <w:rsid w:val="00BE64F3"/>
    <w:rsid w:val="00BF2128"/>
    <w:rsid w:val="00BF5183"/>
    <w:rsid w:val="00C00697"/>
    <w:rsid w:val="00C0095A"/>
    <w:rsid w:val="00C10C00"/>
    <w:rsid w:val="00C17CE9"/>
    <w:rsid w:val="00C26325"/>
    <w:rsid w:val="00C34341"/>
    <w:rsid w:val="00C464A7"/>
    <w:rsid w:val="00C511C3"/>
    <w:rsid w:val="00C51C42"/>
    <w:rsid w:val="00C52329"/>
    <w:rsid w:val="00C57F4E"/>
    <w:rsid w:val="00C66A73"/>
    <w:rsid w:val="00C67AA6"/>
    <w:rsid w:val="00C76497"/>
    <w:rsid w:val="00C80CAE"/>
    <w:rsid w:val="00C856C9"/>
    <w:rsid w:val="00C86AD9"/>
    <w:rsid w:val="00C86F22"/>
    <w:rsid w:val="00C91A83"/>
    <w:rsid w:val="00C9650F"/>
    <w:rsid w:val="00C9741E"/>
    <w:rsid w:val="00CA33C7"/>
    <w:rsid w:val="00CA7647"/>
    <w:rsid w:val="00CB2C58"/>
    <w:rsid w:val="00CB38A3"/>
    <w:rsid w:val="00CB3B70"/>
    <w:rsid w:val="00CC1475"/>
    <w:rsid w:val="00CC1CCB"/>
    <w:rsid w:val="00CC37F8"/>
    <w:rsid w:val="00CC6B7E"/>
    <w:rsid w:val="00CD730D"/>
    <w:rsid w:val="00CE1635"/>
    <w:rsid w:val="00CF0D33"/>
    <w:rsid w:val="00CF68E9"/>
    <w:rsid w:val="00CF7819"/>
    <w:rsid w:val="00D12069"/>
    <w:rsid w:val="00D171A8"/>
    <w:rsid w:val="00D2011B"/>
    <w:rsid w:val="00D303B7"/>
    <w:rsid w:val="00D4602A"/>
    <w:rsid w:val="00D4643A"/>
    <w:rsid w:val="00D46EB7"/>
    <w:rsid w:val="00D475BD"/>
    <w:rsid w:val="00D52159"/>
    <w:rsid w:val="00D5296A"/>
    <w:rsid w:val="00D54C52"/>
    <w:rsid w:val="00D54CE5"/>
    <w:rsid w:val="00D55E22"/>
    <w:rsid w:val="00D611A9"/>
    <w:rsid w:val="00D620F7"/>
    <w:rsid w:val="00D621F3"/>
    <w:rsid w:val="00D9012E"/>
    <w:rsid w:val="00D90897"/>
    <w:rsid w:val="00D912E6"/>
    <w:rsid w:val="00D93BE5"/>
    <w:rsid w:val="00DA3036"/>
    <w:rsid w:val="00DB015B"/>
    <w:rsid w:val="00DB20CE"/>
    <w:rsid w:val="00DB24D3"/>
    <w:rsid w:val="00DB35E7"/>
    <w:rsid w:val="00DB5E67"/>
    <w:rsid w:val="00DB6F16"/>
    <w:rsid w:val="00DB7D77"/>
    <w:rsid w:val="00DC0D9A"/>
    <w:rsid w:val="00DC3380"/>
    <w:rsid w:val="00DC33E4"/>
    <w:rsid w:val="00DD6C35"/>
    <w:rsid w:val="00DE193D"/>
    <w:rsid w:val="00DE710F"/>
    <w:rsid w:val="00DE7EED"/>
    <w:rsid w:val="00E02E5D"/>
    <w:rsid w:val="00E05E36"/>
    <w:rsid w:val="00E14B90"/>
    <w:rsid w:val="00E23B18"/>
    <w:rsid w:val="00E401B3"/>
    <w:rsid w:val="00E46F31"/>
    <w:rsid w:val="00E50185"/>
    <w:rsid w:val="00E578B7"/>
    <w:rsid w:val="00E63231"/>
    <w:rsid w:val="00E7329A"/>
    <w:rsid w:val="00E73F85"/>
    <w:rsid w:val="00E76451"/>
    <w:rsid w:val="00E8016F"/>
    <w:rsid w:val="00E80E52"/>
    <w:rsid w:val="00E816CE"/>
    <w:rsid w:val="00E87451"/>
    <w:rsid w:val="00E90908"/>
    <w:rsid w:val="00E90FB5"/>
    <w:rsid w:val="00E92954"/>
    <w:rsid w:val="00EA0688"/>
    <w:rsid w:val="00EA19B4"/>
    <w:rsid w:val="00EB25EA"/>
    <w:rsid w:val="00EB4C24"/>
    <w:rsid w:val="00EC0059"/>
    <w:rsid w:val="00EC68DB"/>
    <w:rsid w:val="00ED0CB2"/>
    <w:rsid w:val="00ED334F"/>
    <w:rsid w:val="00ED3DA5"/>
    <w:rsid w:val="00EE08F2"/>
    <w:rsid w:val="00EE1DD7"/>
    <w:rsid w:val="00EE76B9"/>
    <w:rsid w:val="00EF125F"/>
    <w:rsid w:val="00EF2497"/>
    <w:rsid w:val="00EF38A6"/>
    <w:rsid w:val="00EF53E7"/>
    <w:rsid w:val="00F017E0"/>
    <w:rsid w:val="00F01B39"/>
    <w:rsid w:val="00F03B20"/>
    <w:rsid w:val="00F065A0"/>
    <w:rsid w:val="00F21C70"/>
    <w:rsid w:val="00F26D11"/>
    <w:rsid w:val="00F27CBE"/>
    <w:rsid w:val="00F4121E"/>
    <w:rsid w:val="00F4212B"/>
    <w:rsid w:val="00F4644C"/>
    <w:rsid w:val="00F468E5"/>
    <w:rsid w:val="00F46D66"/>
    <w:rsid w:val="00F4704F"/>
    <w:rsid w:val="00F50EE3"/>
    <w:rsid w:val="00F651C4"/>
    <w:rsid w:val="00F7682E"/>
    <w:rsid w:val="00F92C57"/>
    <w:rsid w:val="00F9344F"/>
    <w:rsid w:val="00F97B14"/>
    <w:rsid w:val="00FA6B33"/>
    <w:rsid w:val="00FB1D0E"/>
    <w:rsid w:val="00FB20C4"/>
    <w:rsid w:val="00FB3C96"/>
    <w:rsid w:val="00FB4BCE"/>
    <w:rsid w:val="00FB55EF"/>
    <w:rsid w:val="00FB60EF"/>
    <w:rsid w:val="00FC3D4F"/>
    <w:rsid w:val="00FC49FB"/>
    <w:rsid w:val="00FC5756"/>
    <w:rsid w:val="00FC7F51"/>
    <w:rsid w:val="00FD0935"/>
    <w:rsid w:val="00FD2274"/>
    <w:rsid w:val="00FD228D"/>
    <w:rsid w:val="00FD659E"/>
    <w:rsid w:val="00FD6A92"/>
    <w:rsid w:val="00FE46B9"/>
    <w:rsid w:val="00FE6A0D"/>
    <w:rsid w:val="00FE7253"/>
    <w:rsid w:val="00FF2D86"/>
    <w:rsid w:val="00FF5459"/>
    <w:rsid w:val="00FF6000"/>
    <w:rsid w:val="00FF61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09E0BB"/>
  <w14:discardImageEditingData/>
  <w15:chartTrackingRefBased/>
  <w15:docId w15:val="{CB438809-C9C7-40BE-9F88-3A672EA17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semiHidden/>
    <w:qFormat/>
    <w:rsid w:val="004E58AE"/>
  </w:style>
  <w:style w:type="paragraph" w:styleId="Heading1">
    <w:name w:val="heading 1"/>
    <w:basedOn w:val="Normal"/>
    <w:next w:val="BodyText"/>
    <w:link w:val="Heading1Char"/>
    <w:uiPriority w:val="9"/>
    <w:qFormat/>
    <w:rsid w:val="000D2E56"/>
    <w:pPr>
      <w:keepNext/>
      <w:keepLines/>
      <w:spacing w:before="360" w:after="0"/>
      <w:outlineLvl w:val="0"/>
    </w:pPr>
    <w:rPr>
      <w:rFonts w:asciiTheme="majorHAnsi" w:hAnsiTheme="majorHAnsi"/>
      <w:b/>
      <w:color w:val="2A4055" w:themeColor="accent1"/>
      <w:sz w:val="44"/>
      <w:szCs w:val="44"/>
    </w:rPr>
  </w:style>
  <w:style w:type="paragraph" w:styleId="Heading2">
    <w:name w:val="heading 2"/>
    <w:basedOn w:val="Normal"/>
    <w:next w:val="BodyText"/>
    <w:link w:val="Heading2Char"/>
    <w:uiPriority w:val="9"/>
    <w:unhideWhenUsed/>
    <w:qFormat/>
    <w:rsid w:val="0068575D"/>
    <w:pPr>
      <w:keepNext/>
      <w:keepLines/>
      <w:spacing w:before="360"/>
      <w:outlineLvl w:val="1"/>
    </w:pPr>
    <w:rPr>
      <w:rFonts w:asciiTheme="majorHAnsi" w:eastAsiaTheme="majorEastAsia" w:hAnsiTheme="majorHAnsi" w:cstheme="majorBidi"/>
      <w:color w:val="2A4055" w:themeColor="accent1"/>
      <w:sz w:val="36"/>
      <w:szCs w:val="36"/>
    </w:rPr>
  </w:style>
  <w:style w:type="paragraph" w:styleId="Heading3">
    <w:name w:val="heading 3"/>
    <w:basedOn w:val="Normal"/>
    <w:next w:val="BodyText"/>
    <w:link w:val="Heading3Char"/>
    <w:uiPriority w:val="9"/>
    <w:unhideWhenUsed/>
    <w:qFormat/>
    <w:rsid w:val="0068575D"/>
    <w:pPr>
      <w:keepNext/>
      <w:keepLines/>
      <w:spacing w:before="240" w:after="160" w:line="240" w:lineRule="auto"/>
      <w:outlineLvl w:val="2"/>
    </w:pPr>
    <w:rPr>
      <w:rFonts w:asciiTheme="majorHAnsi" w:eastAsiaTheme="majorEastAsia" w:hAnsiTheme="majorHAnsi" w:cstheme="majorBidi"/>
      <w:color w:val="2A4055" w:themeColor="accent1"/>
      <w:sz w:val="28"/>
      <w:szCs w:val="28"/>
    </w:rPr>
  </w:style>
  <w:style w:type="paragraph" w:styleId="Heading4">
    <w:name w:val="heading 4"/>
    <w:basedOn w:val="BodyText"/>
    <w:next w:val="BodyText"/>
    <w:link w:val="Heading4Char"/>
    <w:uiPriority w:val="9"/>
    <w:qFormat/>
    <w:rsid w:val="00825715"/>
    <w:pPr>
      <w:spacing w:before="240"/>
      <w:outlineLvl w:val="3"/>
    </w:pPr>
    <w:rPr>
      <w:rFonts w:asciiTheme="majorHAnsi" w:hAnsiTheme="majorHAnsi"/>
      <w:b/>
      <w:color w:val="2A405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semiHidden/>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281E3E"/>
    <w:pPr>
      <w:tabs>
        <w:tab w:val="center" w:pos="4513"/>
        <w:tab w:val="right" w:pos="9026"/>
      </w:tabs>
      <w:spacing w:after="500" w:line="240" w:lineRule="auto"/>
      <w:contextualSpacing/>
    </w:pPr>
    <w:rPr>
      <w:rFonts w:asciiTheme="majorHAnsi" w:hAnsiTheme="majorHAnsi"/>
      <w:bCs/>
      <w:color w:val="014463" w:themeColor="text2"/>
      <w:sz w:val="16"/>
      <w:szCs w:val="16"/>
    </w:rPr>
  </w:style>
  <w:style w:type="character" w:customStyle="1" w:styleId="FooterChar">
    <w:name w:val="Footer Char"/>
    <w:basedOn w:val="DefaultParagraphFont"/>
    <w:link w:val="Footer"/>
    <w:uiPriority w:val="99"/>
    <w:rsid w:val="00281E3E"/>
    <w:rPr>
      <w:rFonts w:asciiTheme="majorHAnsi" w:hAnsiTheme="majorHAnsi"/>
      <w:bCs/>
      <w:color w:val="014463" w:themeColor="text2"/>
      <w:sz w:val="16"/>
      <w:szCs w:val="16"/>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character" w:styleId="PlaceholderText">
    <w:name w:val="Placeholder Text"/>
    <w:basedOn w:val="DefaultParagraphFont"/>
    <w:uiPriority w:val="99"/>
    <w:semiHidden/>
    <w:rsid w:val="00F92C57"/>
    <w:rPr>
      <w:color w:val="7F7F7F" w:themeColor="text1" w:themeTint="80"/>
    </w:rPr>
  </w:style>
  <w:style w:type="character" w:customStyle="1" w:styleId="Heading1Char">
    <w:name w:val="Heading 1 Char"/>
    <w:basedOn w:val="DefaultParagraphFont"/>
    <w:link w:val="Heading1"/>
    <w:uiPriority w:val="9"/>
    <w:rsid w:val="000D2E56"/>
    <w:rPr>
      <w:rFonts w:asciiTheme="majorHAnsi" w:hAnsiTheme="majorHAnsi"/>
      <w:b/>
      <w:color w:val="2A4055" w:themeColor="accent1"/>
      <w:sz w:val="44"/>
      <w:szCs w:val="44"/>
    </w:rPr>
  </w:style>
  <w:style w:type="table" w:customStyle="1" w:styleId="NIAATable-simple">
    <w:name w:val="NIAA Table - simple"/>
    <w:basedOn w:val="TableNormal"/>
    <w:uiPriority w:val="99"/>
    <w:rsid w:val="0057315D"/>
    <w:pPr>
      <w:spacing w:before="60" w:after="60"/>
    </w:pPr>
    <w:tblPr>
      <w:tblStyleRowBandSize w:val="1"/>
      <w:tblBorders>
        <w:bottom w:val="single" w:sz="18" w:space="0" w:color="D1D1D1" w:themeColor="background2"/>
      </w:tblBorders>
    </w:tblPr>
    <w:tcPr>
      <w:shd w:val="clear" w:color="auto" w:fill="FFFFFF" w:themeFill="background1"/>
    </w:tcPr>
    <w:tblStylePr w:type="firstRow">
      <w:pPr>
        <w:wordWrap/>
        <w:spacing w:beforeLines="60" w:before="60" w:beforeAutospacing="0" w:afterLines="60" w:after="60" w:afterAutospacing="0" w:line="264" w:lineRule="auto"/>
      </w:pPr>
      <w:rPr>
        <w:rFonts w:ascii="Calibri" w:hAnsi="Calibri"/>
        <w:b/>
        <w:i w:val="0"/>
        <w:color w:val="FFFFFF" w:themeColor="background1"/>
        <w:sz w:val="20"/>
      </w:rPr>
      <w:tblPr/>
      <w:tcPr>
        <w:tcBorders>
          <w:top w:val="nil"/>
          <w:left w:val="nil"/>
          <w:bottom w:val="nil"/>
          <w:right w:val="nil"/>
          <w:insideH w:val="nil"/>
          <w:insideV w:val="nil"/>
          <w:tl2br w:val="nil"/>
          <w:tr2bl w:val="nil"/>
        </w:tcBorders>
        <w:shd w:val="clear" w:color="auto" w:fill="2A4055" w:themeFill="accent1"/>
      </w:tcPr>
    </w:tblStylePr>
    <w:tblStylePr w:type="band1Horz">
      <w:rPr>
        <w:rFonts w:asciiTheme="minorHAnsi" w:hAnsiTheme="minorHAnsi"/>
        <w:color w:val="262626" w:themeColor="text1" w:themeTint="D9"/>
        <w:sz w:val="18"/>
      </w:rPr>
      <w:tblPr/>
      <w:tcPr>
        <w:tcBorders>
          <w:top w:val="nil"/>
          <w:left w:val="nil"/>
          <w:bottom w:val="nil"/>
          <w:right w:val="nil"/>
          <w:insideH w:val="nil"/>
          <w:insideV w:val="nil"/>
          <w:tl2br w:val="nil"/>
          <w:tr2bl w:val="nil"/>
        </w:tcBorders>
        <w:shd w:val="clear" w:color="auto" w:fill="FFFFFF" w:themeFill="background1"/>
      </w:tc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tcBorders>
          <w:top w:val="nil"/>
          <w:left w:val="nil"/>
          <w:bottom w:val="nil"/>
          <w:right w:val="nil"/>
          <w:insideH w:val="nil"/>
          <w:insideV w:val="nil"/>
          <w:tl2br w:val="nil"/>
          <w:tr2bl w:val="nil"/>
        </w:tcBorders>
        <w:shd w:val="clear" w:color="auto" w:fill="FFFFFF" w:themeFill="background1"/>
      </w:tcPr>
    </w:tblStylePr>
  </w:style>
  <w:style w:type="paragraph" w:styleId="ListParagraph">
    <w:name w:val="List Paragraph"/>
    <w:basedOn w:val="Normal"/>
    <w:uiPriority w:val="34"/>
    <w:semiHidden/>
    <w:qFormat/>
    <w:rsid w:val="00820E0F"/>
    <w:pPr>
      <w:ind w:left="720"/>
      <w:contextualSpacing/>
    </w:pPr>
  </w:style>
  <w:style w:type="paragraph" w:customStyle="1" w:styleId="Tablebullet">
    <w:name w:val="Table bullet"/>
    <w:basedOn w:val="ListParagraph"/>
    <w:uiPriority w:val="11"/>
    <w:qFormat/>
    <w:rsid w:val="00FF5459"/>
    <w:pPr>
      <w:numPr>
        <w:numId w:val="2"/>
      </w:numPr>
      <w:spacing w:before="60" w:after="60"/>
      <w:contextualSpacing w:val="0"/>
    </w:pPr>
    <w:rPr>
      <w:rFonts w:ascii="Calibri" w:hAnsi="Calibri"/>
    </w:rPr>
  </w:style>
  <w:style w:type="character" w:customStyle="1" w:styleId="Heading2Char">
    <w:name w:val="Heading 2 Char"/>
    <w:basedOn w:val="DefaultParagraphFont"/>
    <w:link w:val="Heading2"/>
    <w:uiPriority w:val="9"/>
    <w:rsid w:val="0068575D"/>
    <w:rPr>
      <w:rFonts w:asciiTheme="majorHAnsi" w:eastAsiaTheme="majorEastAsia" w:hAnsiTheme="majorHAnsi" w:cstheme="majorBidi"/>
      <w:color w:val="2A4055" w:themeColor="accent1"/>
      <w:sz w:val="36"/>
      <w:szCs w:val="36"/>
    </w:rPr>
  </w:style>
  <w:style w:type="paragraph" w:customStyle="1" w:styleId="NumberedListlevel1">
    <w:name w:val="Numbered List level 1"/>
    <w:basedOn w:val="ListParagraph"/>
    <w:uiPriority w:val="9"/>
    <w:qFormat/>
    <w:rsid w:val="00BE4DEF"/>
    <w:pPr>
      <w:numPr>
        <w:numId w:val="22"/>
      </w:numPr>
      <w:spacing w:before="120" w:after="0"/>
      <w:ind w:left="568" w:hanging="284"/>
    </w:pPr>
    <w:rPr>
      <w:sz w:val="22"/>
    </w:rPr>
  </w:style>
  <w:style w:type="paragraph" w:customStyle="1" w:styleId="BulletedListlvl1">
    <w:name w:val="Bulleted List lvl1"/>
    <w:uiPriority w:val="10"/>
    <w:qFormat/>
    <w:rsid w:val="00BE4DEF"/>
    <w:pPr>
      <w:numPr>
        <w:numId w:val="5"/>
      </w:numPr>
      <w:spacing w:before="120" w:after="0"/>
      <w:ind w:left="568" w:hanging="284"/>
      <w:contextualSpacing/>
    </w:pPr>
    <w:rPr>
      <w:sz w:val="22"/>
    </w:rPr>
  </w:style>
  <w:style w:type="paragraph" w:customStyle="1" w:styleId="NumberedListlevel2">
    <w:name w:val="Numbered List level 2"/>
    <w:basedOn w:val="NumberedListlevel1"/>
    <w:uiPriority w:val="9"/>
    <w:rsid w:val="00DB24D3"/>
    <w:pPr>
      <w:numPr>
        <w:ilvl w:val="1"/>
      </w:numPr>
      <w:spacing w:before="0"/>
      <w:ind w:hanging="284"/>
    </w:pPr>
  </w:style>
  <w:style w:type="paragraph" w:styleId="BodyText">
    <w:name w:val="Body Text"/>
    <w:basedOn w:val="Normal"/>
    <w:link w:val="BodyTextChar"/>
    <w:qFormat/>
    <w:rsid w:val="00BE4DEF"/>
    <w:pPr>
      <w:spacing w:before="120" w:line="288" w:lineRule="auto"/>
    </w:pPr>
    <w:rPr>
      <w:sz w:val="22"/>
    </w:rPr>
  </w:style>
  <w:style w:type="character" w:customStyle="1" w:styleId="BodyTextChar">
    <w:name w:val="Body Text Char"/>
    <w:basedOn w:val="DefaultParagraphFont"/>
    <w:link w:val="BodyText"/>
    <w:rsid w:val="00BE4DEF"/>
    <w:rPr>
      <w:sz w:val="22"/>
    </w:rPr>
  </w:style>
  <w:style w:type="paragraph" w:customStyle="1" w:styleId="BulletedListlvl2">
    <w:name w:val="Bulleted List lvl2"/>
    <w:basedOn w:val="BulletedListlvl1"/>
    <w:uiPriority w:val="10"/>
    <w:qFormat/>
    <w:rsid w:val="00DB24D3"/>
    <w:pPr>
      <w:numPr>
        <w:ilvl w:val="1"/>
        <w:numId w:val="14"/>
      </w:numPr>
      <w:spacing w:before="0"/>
      <w:ind w:hanging="284"/>
    </w:pPr>
  </w:style>
  <w:style w:type="paragraph" w:customStyle="1" w:styleId="Tablebody">
    <w:name w:val="Table body"/>
    <w:basedOn w:val="Normal"/>
    <w:link w:val="TablebodyChar"/>
    <w:uiPriority w:val="11"/>
    <w:qFormat/>
    <w:rsid w:val="00FF5459"/>
    <w:pPr>
      <w:spacing w:before="60" w:after="60"/>
    </w:pPr>
  </w:style>
  <w:style w:type="character" w:customStyle="1" w:styleId="Heading3Char">
    <w:name w:val="Heading 3 Char"/>
    <w:basedOn w:val="DefaultParagraphFont"/>
    <w:link w:val="Heading3"/>
    <w:uiPriority w:val="9"/>
    <w:rsid w:val="0068575D"/>
    <w:rPr>
      <w:rFonts w:asciiTheme="majorHAnsi" w:eastAsiaTheme="majorEastAsia" w:hAnsiTheme="majorHAnsi" w:cstheme="majorBidi"/>
      <w:color w:val="2A4055" w:themeColor="accent1"/>
      <w:sz w:val="28"/>
      <w:szCs w:val="28"/>
    </w:rPr>
  </w:style>
  <w:style w:type="paragraph" w:customStyle="1" w:styleId="NumberedListlevel3">
    <w:name w:val="Numbered List level 3"/>
    <w:basedOn w:val="NumberedListlevel1"/>
    <w:uiPriority w:val="9"/>
    <w:rsid w:val="00DB24D3"/>
    <w:pPr>
      <w:numPr>
        <w:ilvl w:val="2"/>
      </w:numPr>
      <w:spacing w:before="0"/>
      <w:ind w:left="1702" w:hanging="284"/>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825715"/>
    <w:rPr>
      <w:rFonts w:asciiTheme="majorHAnsi" w:hAnsiTheme="majorHAnsi"/>
      <w:b/>
      <w:color w:val="2A4055" w:themeColor="accent1"/>
    </w:rPr>
  </w:style>
  <w:style w:type="paragraph" w:customStyle="1" w:styleId="Tableheading">
    <w:name w:val="Table heading"/>
    <w:basedOn w:val="BodyText"/>
    <w:uiPriority w:val="11"/>
    <w:qFormat/>
    <w:rsid w:val="001912A0"/>
    <w:pPr>
      <w:spacing w:beforeLines="40" w:before="96" w:afterLines="40" w:after="96" w:line="264" w:lineRule="auto"/>
    </w:pPr>
    <w:rPr>
      <w:rFonts w:ascii="Calibri" w:hAnsi="Calibri"/>
      <w:b/>
      <w:color w:val="FFFFFF" w:themeColor="background1"/>
    </w:rPr>
  </w:style>
  <w:style w:type="paragraph" w:customStyle="1" w:styleId="ProtectiveMarking">
    <w:name w:val="Protective Marking"/>
    <w:basedOn w:val="Normal"/>
    <w:uiPriority w:val="13"/>
    <w:rsid w:val="001A1957"/>
    <w:pPr>
      <w:spacing w:after="0" w:line="240" w:lineRule="auto"/>
      <w:jc w:val="center"/>
    </w:pPr>
    <w:rPr>
      <w:rFonts w:asciiTheme="majorHAnsi" w:hAnsiTheme="majorHAnsi"/>
      <w:caps/>
      <w:noProof/>
      <w:color w:val="CD1719"/>
      <w:sz w:val="16"/>
    </w:rPr>
  </w:style>
  <w:style w:type="table" w:customStyle="1" w:styleId="NIAATable-bandedrows">
    <w:name w:val="NIAA Table - banded rows"/>
    <w:basedOn w:val="TableNormal"/>
    <w:uiPriority w:val="99"/>
    <w:rsid w:val="00D303B7"/>
    <w:pPr>
      <w:spacing w:before="60" w:after="60"/>
    </w:pPr>
    <w:rPr>
      <w:rFonts w:ascii="Calibri" w:hAnsi="Calibri"/>
    </w:rPr>
    <w:tblPr>
      <w:tblStyleRowBandSize w:val="1"/>
      <w:tblBorders>
        <w:bottom w:val="single" w:sz="18" w:space="0" w:color="D1D1D1" w:themeColor="background2"/>
      </w:tblBorders>
    </w:tblPr>
    <w:tcPr>
      <w:shd w:val="clear" w:color="auto" w:fill="FFFFFF" w:themeFill="background1"/>
    </w:tcPr>
    <w:tblStylePr w:type="firstRow">
      <w:pPr>
        <w:wordWrap/>
        <w:spacing w:beforeLines="60" w:before="60" w:beforeAutospacing="0" w:afterLines="60" w:after="60" w:afterAutospacing="0" w:line="264" w:lineRule="auto"/>
        <w:contextualSpacing w:val="0"/>
      </w:pPr>
      <w:rPr>
        <w:rFonts w:ascii="Calibri" w:hAnsi="Calibri"/>
        <w:b/>
        <w:color w:val="FFFFFF" w:themeColor="background1"/>
        <w:sz w:val="20"/>
      </w:rPr>
      <w:tblPr/>
      <w:trPr>
        <w:cantSplit/>
        <w:tblHeader/>
      </w:trPr>
      <w:tcPr>
        <w:tcBorders>
          <w:top w:val="nil"/>
          <w:left w:val="nil"/>
          <w:bottom w:val="nil"/>
          <w:right w:val="nil"/>
          <w:insideH w:val="nil"/>
          <w:insideV w:val="nil"/>
          <w:tl2br w:val="nil"/>
          <w:tr2bl w:val="nil"/>
        </w:tcBorders>
        <w:shd w:val="clear" w:color="auto" w:fill="2A4055" w:themeFill="accent1"/>
      </w:tcPr>
    </w:tblStylePr>
    <w:tblStylePr w:type="lastRow">
      <w:rPr>
        <w:rFonts w:ascii="Calibri" w:hAnsi="Calibri"/>
        <w:b/>
        <w:sz w:val="20"/>
      </w:rPr>
      <w:tblPr/>
      <w:tcPr>
        <w:tcBorders>
          <w:top w:val="single" w:sz="18" w:space="0" w:color="D1D1D1" w:themeColor="background2"/>
          <w:left w:val="nil"/>
          <w:bottom w:val="single" w:sz="18" w:space="0" w:color="D1D1D1" w:themeColor="background2"/>
          <w:right w:val="nil"/>
          <w:insideH w:val="nil"/>
          <w:insideV w:val="nil"/>
          <w:tl2br w:val="nil"/>
          <w:tr2bl w:val="nil"/>
        </w:tcBorders>
        <w:shd w:val="clear" w:color="auto" w:fill="FFFFFF" w:themeFill="background1"/>
      </w:tcPr>
    </w:tblStylePr>
    <w:tblStylePr w:type="band1Horz">
      <w:rPr>
        <w:color w:val="262626" w:themeColor="text1" w:themeTint="D9"/>
      </w:rPr>
    </w:tblStylePr>
    <w:tblStylePr w:type="band2Horz">
      <w:rPr>
        <w:rFonts w:asciiTheme="minorHAnsi" w:hAnsiTheme="minorHAnsi"/>
        <w:b w:val="0"/>
        <w:color w:val="262626" w:themeColor="text1" w:themeTint="D9"/>
      </w:rPr>
      <w:tblPr/>
      <w:tcPr>
        <w:tcBorders>
          <w:top w:val="nil"/>
          <w:left w:val="nil"/>
          <w:bottom w:val="nil"/>
          <w:right w:val="nil"/>
          <w:insideH w:val="nil"/>
          <w:insideV w:val="nil"/>
          <w:tl2br w:val="nil"/>
          <w:tr2bl w:val="nil"/>
        </w:tcBorders>
        <w:shd w:val="clear" w:color="auto" w:fill="F2F2F2" w:themeFill="background1" w:themeFillShade="F2"/>
      </w:tcPr>
    </w:tblStylePr>
  </w:style>
  <w:style w:type="paragraph" w:styleId="Quote">
    <w:name w:val="Quote"/>
    <w:basedOn w:val="Normal"/>
    <w:next w:val="Normal"/>
    <w:link w:val="QuoteChar"/>
    <w:uiPriority w:val="29"/>
    <w:qFormat/>
    <w:rsid w:val="00A5524F"/>
    <w:pPr>
      <w:ind w:left="567" w:right="567"/>
    </w:pPr>
    <w:rPr>
      <w:rFonts w:asciiTheme="majorHAnsi" w:hAnsiTheme="majorHAnsi"/>
      <w:color w:val="DD761C" w:themeColor="accent3"/>
      <w:sz w:val="24"/>
      <w:szCs w:val="24"/>
    </w:rPr>
  </w:style>
  <w:style w:type="paragraph" w:styleId="NoSpacing">
    <w:name w:val="No Spacing"/>
    <w:basedOn w:val="BodyText"/>
    <w:link w:val="NoSpacingChar"/>
    <w:uiPriority w:val="1"/>
    <w:semiHidden/>
    <w:rsid w:val="002A0289"/>
    <w:pPr>
      <w:contextualSpacing/>
    </w:pPr>
  </w:style>
  <w:style w:type="character" w:customStyle="1" w:styleId="NoSpacingChar">
    <w:name w:val="No Spacing Char"/>
    <w:basedOn w:val="DefaultParagraphFont"/>
    <w:link w:val="NoSpacing"/>
    <w:uiPriority w:val="1"/>
    <w:semiHidden/>
    <w:rsid w:val="00250BE6"/>
  </w:style>
  <w:style w:type="paragraph" w:customStyle="1" w:styleId="CoverTitle">
    <w:name w:val="Cover Title"/>
    <w:basedOn w:val="NoSpacing"/>
    <w:uiPriority w:val="11"/>
    <w:semiHidden/>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semiHidden/>
    <w:qFormat/>
    <w:rsid w:val="008436AB"/>
    <w:pPr>
      <w:spacing w:after="360"/>
    </w:pPr>
    <w:rPr>
      <w:rFonts w:asciiTheme="majorHAnsi" w:hAnsiTheme="majorHAnsi"/>
      <w:b/>
      <w:color w:val="FFFFFF" w:themeColor="background1"/>
      <w:sz w:val="44"/>
      <w:szCs w:val="28"/>
    </w:rPr>
  </w:style>
  <w:style w:type="paragraph" w:customStyle="1" w:styleId="CoverDetails">
    <w:name w:val="Cover Details"/>
    <w:basedOn w:val="NoSpacing"/>
    <w:uiPriority w:val="11"/>
    <w:semiHidden/>
    <w:qFormat/>
    <w:rsid w:val="008436AB"/>
    <w:pPr>
      <w:spacing w:after="240"/>
    </w:pPr>
    <w:rPr>
      <w:color w:val="FFFFFF" w:themeColor="background1"/>
      <w:sz w:val="24"/>
      <w:szCs w:val="28"/>
    </w:rPr>
  </w:style>
  <w:style w:type="paragraph" w:customStyle="1" w:styleId="Footerline">
    <w:name w:val="Footer line"/>
    <w:uiPriority w:val="11"/>
    <w:semiHidden/>
    <w:rsid w:val="00F651C4"/>
    <w:pPr>
      <w:spacing w:before="20" w:after="240"/>
    </w:pPr>
    <w:rPr>
      <w:caps/>
      <w:noProof/>
      <w:color w:val="2A4055" w:themeColor="accent1"/>
    </w:rPr>
  </w:style>
  <w:style w:type="paragraph" w:customStyle="1" w:styleId="Tablenumbering">
    <w:name w:val="Table numbering"/>
    <w:uiPriority w:val="11"/>
    <w:qFormat/>
    <w:rsid w:val="00FF5459"/>
    <w:pPr>
      <w:numPr>
        <w:numId w:val="3"/>
      </w:numPr>
      <w:spacing w:before="60" w:after="60"/>
      <w:ind w:left="284" w:hanging="284"/>
    </w:pPr>
    <w:rPr>
      <w:rFonts w:ascii="Calibri" w:hAnsi="Calibri"/>
    </w:rPr>
  </w:style>
  <w:style w:type="paragraph" w:styleId="Caption">
    <w:name w:val="caption"/>
    <w:basedOn w:val="Normal"/>
    <w:next w:val="Normal"/>
    <w:uiPriority w:val="35"/>
    <w:unhideWhenUsed/>
    <w:qFormat/>
    <w:rsid w:val="00BE4DEF"/>
    <w:pPr>
      <w:keepNext/>
      <w:shd w:val="clear" w:color="auto" w:fill="FFFFFF" w:themeFill="background1"/>
      <w:tabs>
        <w:tab w:val="left" w:pos="851"/>
        <w:tab w:val="left" w:pos="1017"/>
      </w:tabs>
      <w:spacing w:before="120" w:after="0"/>
      <w:ind w:left="851" w:hanging="851"/>
    </w:pPr>
    <w:rPr>
      <w:b/>
      <w:iCs/>
      <w:color w:val="1C2B39"/>
      <w:sz w:val="22"/>
      <w:szCs w:val="18"/>
    </w:rPr>
  </w:style>
  <w:style w:type="paragraph" w:styleId="List">
    <w:name w:val="List"/>
    <w:uiPriority w:val="4"/>
    <w:semiHidden/>
    <w:rsid w:val="00880786"/>
    <w:pPr>
      <w:numPr>
        <w:numId w:val="17"/>
      </w:numPr>
      <w:spacing w:line="324" w:lineRule="auto"/>
      <w:ind w:left="567" w:hanging="283"/>
    </w:pPr>
    <w:rPr>
      <w:color w:val="464E52"/>
      <w:sz w:val="18"/>
      <w:szCs w:val="18"/>
    </w:rPr>
  </w:style>
  <w:style w:type="paragraph" w:customStyle="1" w:styleId="PanelHeading">
    <w:name w:val="Panel Heading"/>
    <w:basedOn w:val="Normal"/>
    <w:uiPriority w:val="11"/>
    <w:qFormat/>
    <w:rsid w:val="00825715"/>
    <w:pPr>
      <w:keepLines/>
      <w:pBdr>
        <w:top w:val="single" w:sz="8" w:space="8" w:color="DD7500"/>
        <w:bottom w:val="single" w:sz="8" w:space="8" w:color="DD7500"/>
      </w:pBdr>
      <w:shd w:val="clear" w:color="auto" w:fill="FFFFFF" w:themeFill="background1"/>
      <w:spacing w:before="60" w:after="60" w:line="240" w:lineRule="atLeast"/>
      <w:ind w:left="198" w:right="215"/>
    </w:pPr>
    <w:rPr>
      <w:rFonts w:asciiTheme="majorHAnsi" w:eastAsia="Times New Roman" w:hAnsiTheme="majorHAnsi" w:cs="Times New Roman"/>
      <w:b/>
      <w:color w:val="DD7500"/>
      <w:sz w:val="28"/>
      <w:szCs w:val="28"/>
      <w:lang w:val="en-US"/>
    </w:rPr>
  </w:style>
  <w:style w:type="paragraph" w:customStyle="1" w:styleId="PanelBody">
    <w:name w:val="Panel Body"/>
    <w:basedOn w:val="Normal"/>
    <w:uiPriority w:val="11"/>
    <w:qFormat/>
    <w:rsid w:val="00BE4DEF"/>
    <w:pPr>
      <w:keepLines/>
      <w:pBdr>
        <w:top w:val="single" w:sz="8" w:space="8" w:color="DD7500"/>
        <w:bottom w:val="single" w:sz="8" w:space="8" w:color="DD7500"/>
      </w:pBdr>
      <w:shd w:val="clear" w:color="auto" w:fill="FFFFFF" w:themeFill="background1"/>
      <w:spacing w:before="120"/>
      <w:ind w:left="198" w:right="215"/>
    </w:pPr>
    <w:rPr>
      <w:rFonts w:eastAsia="Times New Roman" w:cstheme="minorHAnsi"/>
      <w:sz w:val="22"/>
      <w:szCs w:val="22"/>
      <w:lang w:val="en-US"/>
    </w:rPr>
  </w:style>
  <w:style w:type="paragraph" w:customStyle="1" w:styleId="PanelBullet">
    <w:name w:val="Panel Bullet"/>
    <w:uiPriority w:val="11"/>
    <w:qFormat/>
    <w:rsid w:val="00BE4DEF"/>
    <w:pPr>
      <w:keepLines/>
      <w:numPr>
        <w:numId w:val="20"/>
      </w:numPr>
      <w:pBdr>
        <w:top w:val="single" w:sz="8" w:space="8" w:color="DD7500"/>
        <w:bottom w:val="single" w:sz="8" w:space="8" w:color="DD7500"/>
      </w:pBdr>
      <w:shd w:val="clear" w:color="auto" w:fill="FFFFFF" w:themeFill="background1"/>
      <w:spacing w:before="120"/>
      <w:ind w:right="215"/>
      <w:contextualSpacing/>
    </w:pPr>
    <w:rPr>
      <w:rFonts w:eastAsia="Times New Roman" w:cstheme="minorHAnsi"/>
      <w:sz w:val="22"/>
      <w:szCs w:val="22"/>
      <w:lang w:val="en-US"/>
    </w:rPr>
  </w:style>
  <w:style w:type="character" w:customStyle="1" w:styleId="QuoteChar">
    <w:name w:val="Quote Char"/>
    <w:basedOn w:val="DefaultParagraphFont"/>
    <w:link w:val="Quote"/>
    <w:uiPriority w:val="29"/>
    <w:rsid w:val="00A5524F"/>
    <w:rPr>
      <w:rFonts w:asciiTheme="majorHAnsi" w:hAnsiTheme="majorHAnsi"/>
      <w:color w:val="DD761C" w:themeColor="accent3"/>
      <w:sz w:val="24"/>
      <w:szCs w:val="24"/>
    </w:rPr>
  </w:style>
  <w:style w:type="paragraph" w:customStyle="1" w:styleId="BulletedListlvl3">
    <w:name w:val="Bulleted List lvl3"/>
    <w:basedOn w:val="BulletedListlvl2"/>
    <w:uiPriority w:val="10"/>
    <w:rsid w:val="00D620F7"/>
    <w:pPr>
      <w:numPr>
        <w:ilvl w:val="2"/>
      </w:numPr>
    </w:pPr>
  </w:style>
  <w:style w:type="table" w:customStyle="1" w:styleId="Clear">
    <w:name w:val="Clear"/>
    <w:basedOn w:val="TableNormal"/>
    <w:uiPriority w:val="99"/>
    <w:rsid w:val="00EE08F2"/>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uiPriority w:val="99"/>
    <w:semiHidden/>
    <w:rsid w:val="007A6FC6"/>
    <w:pPr>
      <w:spacing w:after="0" w:line="240" w:lineRule="auto"/>
    </w:pPr>
  </w:style>
  <w:style w:type="character" w:customStyle="1" w:styleId="FootnoteTextChar">
    <w:name w:val="Footnote Text Char"/>
    <w:basedOn w:val="DefaultParagraphFont"/>
    <w:link w:val="FootnoteText"/>
    <w:uiPriority w:val="99"/>
    <w:semiHidden/>
    <w:rsid w:val="007A6FC6"/>
  </w:style>
  <w:style w:type="character" w:styleId="FootnoteReference">
    <w:name w:val="footnote reference"/>
    <w:basedOn w:val="DefaultParagraphFont"/>
    <w:uiPriority w:val="99"/>
    <w:semiHidden/>
    <w:rsid w:val="007A6FC6"/>
    <w:rPr>
      <w:vertAlign w:val="superscript"/>
    </w:rPr>
  </w:style>
  <w:style w:type="paragraph" w:styleId="Title">
    <w:name w:val="Title"/>
    <w:next w:val="Normal"/>
    <w:link w:val="TitleChar"/>
    <w:qFormat/>
    <w:rsid w:val="004D1065"/>
    <w:rPr>
      <w:rFonts w:asciiTheme="majorHAnsi" w:hAnsiTheme="majorHAnsi"/>
      <w:b/>
      <w:color w:val="2A4055" w:themeColor="accent1"/>
      <w:sz w:val="60"/>
      <w:szCs w:val="60"/>
    </w:rPr>
  </w:style>
  <w:style w:type="character" w:customStyle="1" w:styleId="TitleChar">
    <w:name w:val="Title Char"/>
    <w:basedOn w:val="DefaultParagraphFont"/>
    <w:link w:val="Title"/>
    <w:rsid w:val="004D1065"/>
    <w:rPr>
      <w:rFonts w:asciiTheme="majorHAnsi" w:hAnsiTheme="majorHAnsi"/>
      <w:b/>
      <w:color w:val="2A4055" w:themeColor="accent1"/>
      <w:sz w:val="60"/>
      <w:szCs w:val="60"/>
    </w:rPr>
  </w:style>
  <w:style w:type="paragraph" w:styleId="Subtitle">
    <w:name w:val="Subtitle"/>
    <w:basedOn w:val="Normal"/>
    <w:next w:val="BodyText"/>
    <w:link w:val="SubtitleChar"/>
    <w:uiPriority w:val="1"/>
    <w:qFormat/>
    <w:rsid w:val="000C29C5"/>
    <w:pPr>
      <w:numPr>
        <w:ilvl w:val="1"/>
      </w:numPr>
      <w:spacing w:before="120" w:after="360"/>
    </w:pPr>
    <w:rPr>
      <w:rFonts w:asciiTheme="majorHAnsi" w:eastAsiaTheme="minorEastAsia" w:hAnsiTheme="majorHAnsi"/>
      <w:color w:val="2A4055" w:themeColor="accent1"/>
      <w:spacing w:val="15"/>
      <w:sz w:val="28"/>
      <w:szCs w:val="22"/>
    </w:rPr>
  </w:style>
  <w:style w:type="character" w:customStyle="1" w:styleId="SubtitleChar">
    <w:name w:val="Subtitle Char"/>
    <w:basedOn w:val="DefaultParagraphFont"/>
    <w:link w:val="Subtitle"/>
    <w:uiPriority w:val="1"/>
    <w:rsid w:val="000C29C5"/>
    <w:rPr>
      <w:rFonts w:asciiTheme="majorHAnsi" w:eastAsiaTheme="minorEastAsia" w:hAnsiTheme="majorHAnsi"/>
      <w:color w:val="2A4055" w:themeColor="accent1"/>
      <w:spacing w:val="15"/>
      <w:sz w:val="28"/>
      <w:szCs w:val="22"/>
    </w:rPr>
  </w:style>
  <w:style w:type="paragraph" w:customStyle="1" w:styleId="SectionNameRev">
    <w:name w:val="Section Name Rev"/>
    <w:basedOn w:val="Normal"/>
    <w:uiPriority w:val="11"/>
    <w:qFormat/>
    <w:rsid w:val="002317BD"/>
    <w:pPr>
      <w:spacing w:after="0" w:line="240" w:lineRule="auto"/>
      <w:jc w:val="right"/>
    </w:pPr>
    <w:rPr>
      <w:rFonts w:asciiTheme="majorHAnsi" w:hAnsiTheme="majorHAnsi"/>
      <w:color w:val="FFFFFF" w:themeColor="background1"/>
    </w:rPr>
  </w:style>
  <w:style w:type="paragraph" w:customStyle="1" w:styleId="SectionName">
    <w:name w:val="Section Name"/>
    <w:basedOn w:val="SectionNameRev"/>
    <w:uiPriority w:val="11"/>
    <w:semiHidden/>
    <w:qFormat/>
    <w:rsid w:val="00281E3E"/>
    <w:rPr>
      <w:color w:val="262626" w:themeColor="text1" w:themeTint="D9"/>
    </w:rPr>
  </w:style>
  <w:style w:type="table" w:styleId="GridTable4">
    <w:name w:val="Grid Table 4"/>
    <w:basedOn w:val="TableNormal"/>
    <w:uiPriority w:val="49"/>
    <w:rsid w:val="0078147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Total">
    <w:name w:val="Table Total"/>
    <w:basedOn w:val="Tablebody"/>
    <w:link w:val="TableTotalChar"/>
    <w:uiPriority w:val="11"/>
    <w:qFormat/>
    <w:rsid w:val="00A316E1"/>
    <w:rPr>
      <w:b/>
    </w:rPr>
  </w:style>
  <w:style w:type="character" w:customStyle="1" w:styleId="TablebodyChar">
    <w:name w:val="Table body Char"/>
    <w:basedOn w:val="DefaultParagraphFont"/>
    <w:link w:val="Tablebody"/>
    <w:uiPriority w:val="11"/>
    <w:rsid w:val="00A316E1"/>
  </w:style>
  <w:style w:type="character" w:customStyle="1" w:styleId="TableTotalChar">
    <w:name w:val="Table Total Char"/>
    <w:basedOn w:val="TablebodyChar"/>
    <w:link w:val="TableTotal"/>
    <w:uiPriority w:val="11"/>
    <w:rsid w:val="00A316E1"/>
    <w:rPr>
      <w:b/>
    </w:rPr>
  </w:style>
  <w:style w:type="paragraph" w:customStyle="1" w:styleId="Blockquote">
    <w:name w:val="Blockquote"/>
    <w:basedOn w:val="BodyText"/>
    <w:link w:val="BlockquoteChar"/>
    <w:uiPriority w:val="11"/>
    <w:qFormat/>
    <w:rsid w:val="007C544A"/>
    <w:pPr>
      <w:ind w:left="567"/>
    </w:pPr>
  </w:style>
  <w:style w:type="character" w:customStyle="1" w:styleId="BlockquoteChar">
    <w:name w:val="Blockquote Char"/>
    <w:basedOn w:val="BodyTextChar"/>
    <w:link w:val="Blockquote"/>
    <w:uiPriority w:val="11"/>
    <w:rsid w:val="007C544A"/>
    <w:rPr>
      <w:sz w:val="22"/>
    </w:rPr>
  </w:style>
  <w:style w:type="character" w:styleId="Hyperlink">
    <w:name w:val="Hyperlink"/>
    <w:basedOn w:val="DefaultParagraphFont"/>
    <w:uiPriority w:val="99"/>
    <w:unhideWhenUsed/>
    <w:rsid w:val="00A270BD"/>
    <w:rPr>
      <w:color w:val="0289C8" w:themeColor="hyperlink"/>
      <w:u w:val="single"/>
    </w:rPr>
  </w:style>
  <w:style w:type="table" w:styleId="TableGrid">
    <w:name w:val="Table Grid"/>
    <w:basedOn w:val="TableNormal"/>
    <w:uiPriority w:val="39"/>
    <w:rsid w:val="00133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5296A"/>
    <w:rPr>
      <w:sz w:val="16"/>
      <w:szCs w:val="16"/>
    </w:rPr>
  </w:style>
  <w:style w:type="paragraph" w:styleId="CommentText">
    <w:name w:val="annotation text"/>
    <w:basedOn w:val="Normal"/>
    <w:link w:val="CommentTextChar"/>
    <w:uiPriority w:val="99"/>
    <w:semiHidden/>
    <w:unhideWhenUsed/>
    <w:rsid w:val="00D5296A"/>
    <w:pPr>
      <w:spacing w:line="240" w:lineRule="auto"/>
    </w:pPr>
  </w:style>
  <w:style w:type="character" w:customStyle="1" w:styleId="CommentTextChar">
    <w:name w:val="Comment Text Char"/>
    <w:basedOn w:val="DefaultParagraphFont"/>
    <w:link w:val="CommentText"/>
    <w:uiPriority w:val="99"/>
    <w:semiHidden/>
    <w:rsid w:val="00D5296A"/>
  </w:style>
  <w:style w:type="paragraph" w:styleId="CommentSubject">
    <w:name w:val="annotation subject"/>
    <w:basedOn w:val="CommentText"/>
    <w:next w:val="CommentText"/>
    <w:link w:val="CommentSubjectChar"/>
    <w:uiPriority w:val="99"/>
    <w:semiHidden/>
    <w:unhideWhenUsed/>
    <w:rsid w:val="00D5296A"/>
    <w:rPr>
      <w:b/>
      <w:bCs/>
    </w:rPr>
  </w:style>
  <w:style w:type="character" w:customStyle="1" w:styleId="CommentSubjectChar">
    <w:name w:val="Comment Subject Char"/>
    <w:basedOn w:val="CommentTextChar"/>
    <w:link w:val="CommentSubject"/>
    <w:uiPriority w:val="99"/>
    <w:semiHidden/>
    <w:rsid w:val="00D529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002604">
      <w:bodyDiv w:val="1"/>
      <w:marLeft w:val="0"/>
      <w:marRight w:val="0"/>
      <w:marTop w:val="0"/>
      <w:marBottom w:val="0"/>
      <w:divBdr>
        <w:top w:val="none" w:sz="0" w:space="0" w:color="auto"/>
        <w:left w:val="none" w:sz="0" w:space="0" w:color="auto"/>
        <w:bottom w:val="none" w:sz="0" w:space="0" w:color="auto"/>
        <w:right w:val="none" w:sz="0" w:space="0" w:color="auto"/>
      </w:divBdr>
    </w:div>
    <w:div w:id="662588679">
      <w:bodyDiv w:val="1"/>
      <w:marLeft w:val="0"/>
      <w:marRight w:val="0"/>
      <w:marTop w:val="0"/>
      <w:marBottom w:val="0"/>
      <w:divBdr>
        <w:top w:val="none" w:sz="0" w:space="0" w:color="auto"/>
        <w:left w:val="none" w:sz="0" w:space="0" w:color="auto"/>
        <w:bottom w:val="none" w:sz="0" w:space="0" w:color="auto"/>
        <w:right w:val="none" w:sz="0" w:space="0" w:color="auto"/>
      </w:divBdr>
    </w:div>
    <w:div w:id="801114600">
      <w:bodyDiv w:val="1"/>
      <w:marLeft w:val="0"/>
      <w:marRight w:val="0"/>
      <w:marTop w:val="0"/>
      <w:marBottom w:val="0"/>
      <w:divBdr>
        <w:top w:val="none" w:sz="0" w:space="0" w:color="auto"/>
        <w:left w:val="none" w:sz="0" w:space="0" w:color="auto"/>
        <w:bottom w:val="none" w:sz="0" w:space="0" w:color="auto"/>
        <w:right w:val="none" w:sz="0" w:space="0" w:color="auto"/>
      </w:divBdr>
    </w:div>
    <w:div w:id="1094009642">
      <w:bodyDiv w:val="1"/>
      <w:marLeft w:val="0"/>
      <w:marRight w:val="0"/>
      <w:marTop w:val="0"/>
      <w:marBottom w:val="0"/>
      <w:divBdr>
        <w:top w:val="none" w:sz="0" w:space="0" w:color="auto"/>
        <w:left w:val="none" w:sz="0" w:space="0" w:color="auto"/>
        <w:bottom w:val="none" w:sz="0" w:space="0" w:color="auto"/>
        <w:right w:val="none" w:sz="0" w:space="0" w:color="auto"/>
      </w:divBdr>
    </w:div>
    <w:div w:id="1107656417">
      <w:bodyDiv w:val="1"/>
      <w:marLeft w:val="0"/>
      <w:marRight w:val="0"/>
      <w:marTop w:val="0"/>
      <w:marBottom w:val="0"/>
      <w:divBdr>
        <w:top w:val="none" w:sz="0" w:space="0" w:color="auto"/>
        <w:left w:val="none" w:sz="0" w:space="0" w:color="auto"/>
        <w:bottom w:val="none" w:sz="0" w:space="0" w:color="auto"/>
        <w:right w:val="none" w:sz="0" w:space="0" w:color="auto"/>
      </w:divBdr>
    </w:div>
    <w:div w:id="1290285845">
      <w:bodyDiv w:val="1"/>
      <w:marLeft w:val="0"/>
      <w:marRight w:val="0"/>
      <w:marTop w:val="0"/>
      <w:marBottom w:val="0"/>
      <w:divBdr>
        <w:top w:val="none" w:sz="0" w:space="0" w:color="auto"/>
        <w:left w:val="none" w:sz="0" w:space="0" w:color="auto"/>
        <w:bottom w:val="none" w:sz="0" w:space="0" w:color="auto"/>
        <w:right w:val="none" w:sz="0" w:space="0" w:color="auto"/>
      </w:divBdr>
    </w:div>
    <w:div w:id="1292054234">
      <w:bodyDiv w:val="1"/>
      <w:marLeft w:val="0"/>
      <w:marRight w:val="0"/>
      <w:marTop w:val="0"/>
      <w:marBottom w:val="0"/>
      <w:divBdr>
        <w:top w:val="none" w:sz="0" w:space="0" w:color="auto"/>
        <w:left w:val="none" w:sz="0" w:space="0" w:color="auto"/>
        <w:bottom w:val="none" w:sz="0" w:space="0" w:color="auto"/>
        <w:right w:val="none" w:sz="0" w:space="0" w:color="auto"/>
      </w:divBdr>
    </w:div>
    <w:div w:id="1352880688">
      <w:bodyDiv w:val="1"/>
      <w:marLeft w:val="0"/>
      <w:marRight w:val="0"/>
      <w:marTop w:val="0"/>
      <w:marBottom w:val="0"/>
      <w:divBdr>
        <w:top w:val="none" w:sz="0" w:space="0" w:color="auto"/>
        <w:left w:val="none" w:sz="0" w:space="0" w:color="auto"/>
        <w:bottom w:val="none" w:sz="0" w:space="0" w:color="auto"/>
        <w:right w:val="none" w:sz="0" w:space="0" w:color="auto"/>
      </w:divBdr>
    </w:div>
    <w:div w:id="1672827134">
      <w:bodyDiv w:val="1"/>
      <w:marLeft w:val="0"/>
      <w:marRight w:val="0"/>
      <w:marTop w:val="0"/>
      <w:marBottom w:val="0"/>
      <w:divBdr>
        <w:top w:val="none" w:sz="0" w:space="0" w:color="auto"/>
        <w:left w:val="none" w:sz="0" w:space="0" w:color="auto"/>
        <w:bottom w:val="none" w:sz="0" w:space="0" w:color="auto"/>
        <w:right w:val="none" w:sz="0" w:space="0" w:color="auto"/>
      </w:divBdr>
    </w:div>
    <w:div w:id="183621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losingthegap.gov.au/sites/default/files/2022-10/sector-strengthening-plan-health.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losingthegap.gov.au/resourc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NIAA">
      <a:dk1>
        <a:srgbClr val="000000"/>
      </a:dk1>
      <a:lt1>
        <a:sysClr val="window" lastClr="FFFFFF"/>
      </a:lt1>
      <a:dk2>
        <a:srgbClr val="014463"/>
      </a:dk2>
      <a:lt2>
        <a:srgbClr val="D1D1D1"/>
      </a:lt2>
      <a:accent1>
        <a:srgbClr val="2A4055"/>
      </a:accent1>
      <a:accent2>
        <a:srgbClr val="00948D"/>
      </a:accent2>
      <a:accent3>
        <a:srgbClr val="DD761C"/>
      </a:accent3>
      <a:accent4>
        <a:srgbClr val="B8A284"/>
      </a:accent4>
      <a:accent5>
        <a:srgbClr val="1C2B39"/>
      </a:accent5>
      <a:accent6>
        <a:srgbClr val="D1D1D1"/>
      </a:accent6>
      <a:hlink>
        <a:srgbClr val="0289C8"/>
      </a:hlink>
      <a:folHlink>
        <a:srgbClr val="0289C8"/>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Name/>
  <Classification/>
  <DLM/>
  <SectionName/>
  <DH/>
  <Byline/>
</root>
</file>

<file path=customXml/item2.xml><?xml version="1.0" encoding="utf-8"?>
<p:properties xmlns:p="http://schemas.microsoft.com/office/2006/metadata/properties" xmlns:xsi="http://www.w3.org/2001/XMLSchema-instance" xmlns:pc="http://schemas.microsoft.com/office/infopath/2007/PartnerControls">
  <documentManagement>
    <NonRecordJustification xmlns="685f9fda-bd71-4433-b331-92feb9553089">None</NonRecordJustification>
    <SharedWithUsers xmlns="710a584d-b494-4e90-bb0e-8d2ba517c0e5">
      <UserInfo>
        <DisplayName/>
        <AccountId xsi:nil="true"/>
        <AccountType/>
      </UserInfo>
    </SharedWithUsers>
    <ShareHubID xmlns="710a584d-b494-4e90-bb0e-8d2ba517c0e5">PDOC24-21385</ShareHubID>
    <PMCNotes xmlns="710a584d-b494-4e90-bb0e-8d2ba517c0e5" xsi:nil="true"/>
    <mc5611b894cf49d8aeeb8ebf39dc09bc xmlns="710a584d-b494-4e90-bb0e-8d2ba517c0e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710a584d-b494-4e90-bb0e-8d2ba517c0e5">
      <Terms xmlns="http://schemas.microsoft.com/office/infopath/2007/PartnerControls"/>
    </jd1c641577414dfdab1686c9d5d0dbd0>
    <TaxCatchAll xmlns="710a584d-b494-4e90-bb0e-8d2ba517c0e5">
      <Value>1</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033A54CA443D38498FA65BAAD7AEC74B" ma:contentTypeVersion="4" ma:contentTypeDescription="ShareHub Document" ma:contentTypeScope="" ma:versionID="9a16fa696b7d25b389457b573db693d1">
  <xsd:schema xmlns:xsd="http://www.w3.org/2001/XMLSchema" xmlns:xs="http://www.w3.org/2001/XMLSchema" xmlns:p="http://schemas.microsoft.com/office/2006/metadata/properties" xmlns:ns1="710a584d-b494-4e90-bb0e-8d2ba517c0e5" xmlns:ns3="685f9fda-bd71-4433-b331-92feb9553089" targetNamespace="http://schemas.microsoft.com/office/2006/metadata/properties" ma:root="true" ma:fieldsID="d7304d5deffb17e8592f945a30bf8656" ns1:_="" ns3:_="">
    <xsd:import namespace="710a584d-b494-4e90-bb0e-8d2ba517c0e5"/>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0a584d-b494-4e90-bb0e-8d2ba517c0e5"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1;#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bcb32c4f-bcd3-4183-a5b3-c231faa50d41}" ma:internalName="TaxCatchAll" ma:showField="CatchAllData" ma:web="710a584d-b494-4e90-bb0e-8d2ba517c0e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cb32c4f-bcd3-4183-a5b3-c231faa50d41}" ma:internalName="TaxCatchAllLabel" ma:readOnly="true" ma:showField="CatchAllDataLabel" ma:web="710a584d-b494-4e90-bb0e-8d2ba517c0e5">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F533AE62-A212-4B26-92DA-A3B336E8AE06}">
  <ds:schemaRefs/>
</ds:datastoreItem>
</file>

<file path=customXml/itemProps2.xml><?xml version="1.0" encoding="utf-8"?>
<ds:datastoreItem xmlns:ds="http://schemas.openxmlformats.org/officeDocument/2006/customXml" ds:itemID="{A2512A9F-56A8-492A-BCC8-D064696F9514}">
  <ds:schemaRefs>
    <ds:schemaRef ds:uri="http://schemas.microsoft.com/office/2006/documentManagement/types"/>
    <ds:schemaRef ds:uri="710a584d-b494-4e90-bb0e-8d2ba517c0e5"/>
    <ds:schemaRef ds:uri="http://purl.org/dc/elements/1.1/"/>
    <ds:schemaRef ds:uri="http://purl.org/dc/dcmitype/"/>
    <ds:schemaRef ds:uri="http://schemas.microsoft.com/office/infopath/2007/PartnerControls"/>
    <ds:schemaRef ds:uri="http://purl.org/dc/terms/"/>
    <ds:schemaRef ds:uri="http://schemas.microsoft.com/office/2006/metadata/properties"/>
    <ds:schemaRef ds:uri="http://schemas.openxmlformats.org/package/2006/metadata/core-properties"/>
    <ds:schemaRef ds:uri="685f9fda-bd71-4433-b331-92feb9553089"/>
    <ds:schemaRef ds:uri="http://www.w3.org/XML/1998/namespace"/>
  </ds:schemaRefs>
</ds:datastoreItem>
</file>

<file path=customXml/itemProps3.xml><?xml version="1.0" encoding="utf-8"?>
<ds:datastoreItem xmlns:ds="http://schemas.openxmlformats.org/officeDocument/2006/customXml" ds:itemID="{C38E5695-B509-4171-B239-7D25E1C307E5}">
  <ds:schemaRefs>
    <ds:schemaRef ds:uri="http://schemas.microsoft.com/sharepoint/v3/contenttype/forms"/>
  </ds:schemaRefs>
</ds:datastoreItem>
</file>

<file path=customXml/itemProps4.xml><?xml version="1.0" encoding="utf-8"?>
<ds:datastoreItem xmlns:ds="http://schemas.openxmlformats.org/officeDocument/2006/customXml" ds:itemID="{3F4DA234-09A5-428D-AE2F-D174EC91A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0a584d-b494-4e90-bb0e-8d2ba517c0e5"/>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06BC5C2-198F-4C7D-A8FE-DC95012AE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2685</Words>
  <Characters>16298</Characters>
  <Application>Microsoft Office Word</Application>
  <DocSecurity>0</DocSecurity>
  <Lines>603</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Stubbs, Kirsty</dc:creator>
  <cp:keywords/>
  <dc:description/>
  <cp:lastModifiedBy>Milanja, Jelena</cp:lastModifiedBy>
  <cp:revision>2</cp:revision>
  <dcterms:created xsi:type="dcterms:W3CDTF">2024-02-09T08:33:00Z</dcterms:created>
  <dcterms:modified xsi:type="dcterms:W3CDTF">2024-02-09T08:33:00Z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0x0101002825A64A6E1845A99A9D8EE8A5686ECB00033A54CA443D38498FA65BAAD7AEC74B</vt:lpwstr>
  </property>
  <property fmtid="{D5CDD505-2E9C-101B-9397-08002B2CF9AE}" pid="3" name="HPRMSecurityLevel">
    <vt:lpwstr>1;#OFFICIAL|11463c70-78df-4e3b-b0ff-f66cd3cb26ec</vt:lpwstr>
  </property>
  <property fmtid="{D5CDD505-2E9C-101B-9397-08002B2CF9AE}" pid="4" name="ESearchTags">
    <vt:lpwstr/>
  </property>
  <property fmtid="{D5CDD505-2E9C-101B-9397-08002B2CF9AE}" pid="5" name="PMC.ESearch.TagGeneratedTime">
    <vt:lpwstr>2020-02-28T18:01:22</vt:lpwstr>
  </property>
  <property fmtid="{D5CDD505-2E9C-101B-9397-08002B2CF9AE}" pid="6" name="HPRMSecurityCaveat">
    <vt:lpwstr/>
  </property>
  <property fmtid="{D5CDD505-2E9C-101B-9397-08002B2CF9AE}" pid="7" name="Order">
    <vt:r8>2500</vt:r8>
  </property>
  <property fmtid="{D5CDD505-2E9C-101B-9397-08002B2CF9AE}" pid="8" name="vti_imgdate">
    <vt:lpwstr/>
  </property>
  <property fmtid="{D5CDD505-2E9C-101B-9397-08002B2CF9AE}" pid="9" name="TaxKeyword">
    <vt:lpwstr/>
  </property>
  <property fmtid="{D5CDD505-2E9C-101B-9397-08002B2CF9AE}" pid="10" name="TaxCatchAll">
    <vt:lpwstr/>
  </property>
  <property fmtid="{D5CDD505-2E9C-101B-9397-08002B2CF9AE}" pid="11" name="TaxKeywordTaxHTField">
    <vt:lpwstr/>
  </property>
  <property fmtid="{D5CDD505-2E9C-101B-9397-08002B2CF9AE}" pid="12" name="FunctionalArea_Note">
    <vt:lpwstr/>
  </property>
  <property fmtid="{D5CDD505-2E9C-101B-9397-08002B2CF9AE}" pid="13" name="FunctionalArea">
    <vt:lpwstr/>
  </property>
  <property fmtid="{D5CDD505-2E9C-101B-9397-08002B2CF9AE}" pid="14" name="PublishingContactEmail">
    <vt:lpwstr/>
  </property>
  <property fmtid="{D5CDD505-2E9C-101B-9397-08002B2CF9AE}" pid="15" name="xd_Signature">
    <vt:bool>false</vt:bool>
  </property>
  <property fmtid="{D5CDD505-2E9C-101B-9397-08002B2CF9AE}" pid="16" name="xd_ProgID">
    <vt:lpwstr/>
  </property>
  <property fmtid="{D5CDD505-2E9C-101B-9397-08002B2CF9AE}" pid="17" name="TemplateUrl">
    <vt:lpwstr/>
  </property>
</Properties>
</file>