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7E1D" w14:textId="77777777" w:rsidR="002C5434" w:rsidRPr="005B5DE5" w:rsidRDefault="00294CEA" w:rsidP="007E1222">
      <w:pPr>
        <w:pStyle w:val="BodyText"/>
        <w:rPr>
          <w:color w:val="191919" w:themeColor="text1" w:themeTint="E6"/>
        </w:rPr>
      </w:pPr>
      <w:bookmarkStart w:id="0" w:name="_GoBack"/>
      <w:bookmarkEnd w:id="0"/>
      <w:r>
        <w:rPr>
          <w:color w:val="191919" w:themeColor="text1" w:themeTint="E6"/>
        </w:rPr>
        <w:t xml:space="preserve"> </w:t>
      </w:r>
      <w:r w:rsidR="00FF723C">
        <w:rPr>
          <w:noProof/>
          <w:lang w:eastAsia="en-AU"/>
        </w:rPr>
        <w:drawing>
          <wp:inline distT="0" distB="0" distL="0" distR="0" wp14:anchorId="07D16830" wp14:editId="0796A37A">
            <wp:extent cx="6400800" cy="1040130"/>
            <wp:effectExtent l="0" t="0" r="0" b="0"/>
            <wp:docPr id="12" name="Picture 1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23_Word_Template_Report_Cover_Header_A4_Portrait.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400800" cy="1040130"/>
                    </a:xfrm>
                    <a:prstGeom prst="rect">
                      <a:avLst/>
                    </a:prstGeom>
                    <a:ln>
                      <a:noFill/>
                    </a:ln>
                    <a:extLst>
                      <a:ext uri="{53640926-AAD7-44D8-BBD7-CCE9431645EC}">
                        <a14:shadowObscured xmlns:a14="http://schemas.microsoft.com/office/drawing/2010/main"/>
                      </a:ext>
                    </a:extLst>
                  </pic:spPr>
                </pic:pic>
              </a:graphicData>
            </a:graphic>
          </wp:inline>
        </w:drawing>
      </w:r>
    </w:p>
    <w:p w14:paraId="4334EDE2" w14:textId="77777777" w:rsidR="002C5434" w:rsidRPr="00900A13" w:rsidRDefault="0015520C" w:rsidP="00955BC4">
      <w:pPr>
        <w:pStyle w:val="Title"/>
      </w:pPr>
      <w:sdt>
        <w:sdtPr>
          <w:alias w:val="Document Heading"/>
          <w:tag w:val="DH"/>
          <w:id w:val="-270555869"/>
          <w:placeholder>
            <w:docPart w:val="0F37D6182EF44472B6E1F175003BF0F9"/>
          </w:placeholder>
          <w:dataBinding w:xpath="/root[1]/DH[1]" w:storeItemID="{F533AE62-A212-4B26-92DA-A3B336E8AE06}"/>
          <w15:color w:val="2A4056"/>
          <w:text w:multiLine="1"/>
        </w:sdtPr>
        <w:sdtEndPr/>
        <w:sdtContent>
          <w:r w:rsidR="00B8768B">
            <w:t xml:space="preserve">Children &amp; Schooling Education Engagement &amp; Attainment </w:t>
          </w:r>
          <w:r w:rsidR="007A0DE5">
            <w:t>Initiatives</w:t>
          </w:r>
        </w:sdtContent>
      </w:sdt>
    </w:p>
    <w:sdt>
      <w:sdtPr>
        <w:alias w:val="Subheading"/>
        <w:tag w:val="Subheading"/>
        <w:id w:val="-1818024927"/>
        <w:placeholder>
          <w:docPart w:val="10F748C505EE4A67B3EF6539F6816422"/>
        </w:placeholder>
        <w:dataBinding w:xpath="/root[1]/Byline[1]" w:storeItemID="{F533AE62-A212-4B26-92DA-A3B336E8AE06}"/>
        <w:text w:multiLine="1"/>
      </w:sdtPr>
      <w:sdtEndPr/>
      <w:sdtContent>
        <w:p w14:paraId="6096DEA7" w14:textId="77777777" w:rsidR="002C5434" w:rsidRPr="0001611A" w:rsidRDefault="00B8768B" w:rsidP="005E0C34">
          <w:pPr>
            <w:pStyle w:val="Subtitle"/>
            <w:spacing w:after="120"/>
          </w:pPr>
          <w:r w:rsidRPr="005E0C34">
            <w:t xml:space="preserve">Operational Framework </w:t>
          </w:r>
          <w:r w:rsidR="00896681" w:rsidRPr="005E0C34">
            <w:t>2024</w:t>
          </w:r>
        </w:p>
      </w:sdtContent>
    </w:sdt>
    <w:p w14:paraId="16E8878F" w14:textId="77777777" w:rsidR="00494F2F" w:rsidRDefault="00B8768B" w:rsidP="005E0C34">
      <w:pPr>
        <w:pStyle w:val="Subtitle"/>
        <w:spacing w:after="120"/>
      </w:pPr>
      <w:r>
        <w:t xml:space="preserve">Early Years &amp; Education Branch, Social Policy Group </w:t>
      </w:r>
    </w:p>
    <w:p w14:paraId="71A53916" w14:textId="77777777" w:rsidR="002C5434" w:rsidRPr="0001611A" w:rsidRDefault="00B8768B" w:rsidP="005E0C34">
      <w:pPr>
        <w:pStyle w:val="Subtitle"/>
        <w:spacing w:after="120"/>
      </w:pPr>
      <w:r>
        <w:t>(December 2023)</w:t>
      </w:r>
    </w:p>
    <w:p w14:paraId="6A8BED69" w14:textId="77777777" w:rsidR="00BB0493" w:rsidRPr="00BB0493" w:rsidRDefault="002C5434">
      <w:pPr>
        <w:rPr>
          <w:rFonts w:asciiTheme="majorHAnsi" w:hAnsiTheme="majorHAnsi"/>
          <w:color w:val="2A4055" w:themeColor="accent1"/>
        </w:rPr>
      </w:pPr>
      <w:r>
        <w:rPr>
          <w:noProof/>
          <w:lang w:eastAsia="en-AU"/>
        </w:rPr>
        <w:t xml:space="preserve"> </w:t>
      </w:r>
      <w:r>
        <w:br w:type="page"/>
      </w:r>
      <w:bookmarkStart w:id="1" w:name="_Toc102042517"/>
    </w:p>
    <w:p w14:paraId="151FCF0E" w14:textId="77777777" w:rsidR="00467239" w:rsidRDefault="007059CA" w:rsidP="007059CA">
      <w:pPr>
        <w:pStyle w:val="Heading1"/>
      </w:pPr>
      <w:bookmarkStart w:id="2" w:name="_Toc152687552"/>
      <w:bookmarkStart w:id="3" w:name="_Toc153369840"/>
      <w:bookmarkEnd w:id="1"/>
      <w:r>
        <w:lastRenderedPageBreak/>
        <w:t>The EEAI Operational Framework at a glance</w:t>
      </w:r>
      <w:bookmarkEnd w:id="2"/>
      <w:bookmarkEnd w:id="3"/>
    </w:p>
    <w:p w14:paraId="005713DF" w14:textId="77777777" w:rsidR="008E14C6" w:rsidRDefault="008E14C6" w:rsidP="007059CA">
      <w:pPr>
        <w:pStyle w:val="BodyText"/>
      </w:pPr>
      <w:r>
        <w:rPr>
          <w:noProof/>
          <w:lang w:eastAsia="en-AU"/>
        </w:rPr>
        <mc:AlternateContent>
          <mc:Choice Requires="wps">
            <w:drawing>
              <wp:inline distT="0" distB="0" distL="0" distR="0" wp14:anchorId="390A2EFA" wp14:editId="56B8F460">
                <wp:extent cx="6351270" cy="1562100"/>
                <wp:effectExtent l="0" t="0" r="11430" b="19050"/>
                <wp:docPr id="2" name="Rounded Rectangle 2" descr="The EEAI aims to improve education outcomes for young First Nations people by:&#10;• Improving relationships between First Nations parents and carers, families, young people and communities with schools&#10;• Overcoming or addressing barriers to participating in education&#10;• Helping communities value schooling and education&#10;• Using solutions and approaches proposed and designed by communities&#10;• Working collaboratively with other stakeholders including schools&#10;"/>
                <wp:cNvGraphicFramePr/>
                <a:graphic xmlns:a="http://schemas.openxmlformats.org/drawingml/2006/main">
                  <a:graphicData uri="http://schemas.microsoft.com/office/word/2010/wordprocessingShape">
                    <wps:wsp>
                      <wps:cNvSpPr/>
                      <wps:spPr>
                        <a:xfrm>
                          <a:off x="0" y="0"/>
                          <a:ext cx="6351270" cy="1562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708C74" w14:textId="77777777" w:rsidR="00233C6F" w:rsidRPr="00C12BBC" w:rsidRDefault="00233C6F" w:rsidP="008E14C6">
                            <w:pPr>
                              <w:rPr>
                                <w:b/>
                                <w:color w:val="F2F2F2" w:themeColor="background1" w:themeShade="F2"/>
                              </w:rPr>
                            </w:pPr>
                            <w:r>
                              <w:rPr>
                                <w:b/>
                                <w:color w:val="F2F2F2" w:themeColor="background1" w:themeShade="F2"/>
                              </w:rPr>
                              <w:t>The EEAI aims to improve education outcomes for young First Nations people by:</w:t>
                            </w:r>
                          </w:p>
                          <w:p w14:paraId="69C8FE34"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Improving relationships between First Nations parents and carers, families, young people and communities with schools</w:t>
                            </w:r>
                          </w:p>
                          <w:p w14:paraId="5ECCF658"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Overcoming or addressing barriers to participating in education</w:t>
                            </w:r>
                          </w:p>
                          <w:p w14:paraId="7813658F"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Helping communities value schooling and education</w:t>
                            </w:r>
                          </w:p>
                          <w:p w14:paraId="1B2C05C1"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Using solutions and approaches proposed and designed by communities</w:t>
                            </w:r>
                          </w:p>
                          <w:p w14:paraId="02E578AF"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Working collaboratively with other stakeholders including schools</w:t>
                            </w:r>
                          </w:p>
                          <w:p w14:paraId="38539490" w14:textId="77777777" w:rsidR="00233C6F" w:rsidRPr="000F00C4" w:rsidRDefault="00233C6F" w:rsidP="008E14C6">
                            <w:pP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0A2EFA" id="Rounded Rectangle 2" o:spid="_x0000_s1026" alt="The EEAI aims to improve education outcomes for young First Nations people by:&#10;• Improving relationships between First Nations parents and carers, families, young people and communities with schools&#10;• Overcoming or addressing barriers to participating in education&#10;• Helping communities value schooling and education&#10;• Using solutions and approaches proposed and designed by communities&#10;• Working collaboratively with other stakeholders including schools&#10;" style="width:500.1pt;height:1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" fillcolor="#2a4055 [3204]" strokecolor="#151f2a [1604]" strokeweight="1pt">
                <v:stroke joinstyle="miter"/>
                <v:textbox>
                  <w:txbxContent>
                    <w:p w14:paraId="25708C74" w14:textId="77777777" w:rsidR="00233C6F" w:rsidRPr="00C12BBC" w:rsidRDefault="00233C6F" w:rsidP="008E14C6">
                      <w:pPr>
                        <w:rPr>
                          <w:b/>
                          <w:color w:val="F2F2F2" w:themeColor="background1" w:themeShade="F2"/>
                        </w:rPr>
                      </w:pPr>
                      <w:r>
                        <w:rPr>
                          <w:b/>
                          <w:color w:val="F2F2F2" w:themeColor="background1" w:themeShade="F2"/>
                        </w:rPr>
                        <w:t>The EEAI aims to improve education outcomes for young First Nations people by:</w:t>
                      </w:r>
                    </w:p>
                    <w:p w14:paraId="69C8FE34"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Improving relationships between First Nations parents and carers, families, young people and communities with schools</w:t>
                      </w:r>
                    </w:p>
                    <w:p w14:paraId="5ECCF658"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Overcoming or addressing barriers to participating in education</w:t>
                      </w:r>
                    </w:p>
                    <w:p w14:paraId="7813658F"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Helping communities value schooling and education</w:t>
                      </w:r>
                    </w:p>
                    <w:p w14:paraId="1B2C05C1"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Using solutions and approaches proposed and designed by communities</w:t>
                      </w:r>
                    </w:p>
                    <w:p w14:paraId="02E578AF" w14:textId="77777777" w:rsidR="00233C6F" w:rsidRPr="00251F0F" w:rsidRDefault="00233C6F" w:rsidP="008E14C6">
                      <w:pPr>
                        <w:pStyle w:val="ListParagraph"/>
                        <w:numPr>
                          <w:ilvl w:val="0"/>
                          <w:numId w:val="28"/>
                        </w:numPr>
                        <w:rPr>
                          <w:color w:val="F2F2F2" w:themeColor="background1" w:themeShade="F2"/>
                        </w:rPr>
                      </w:pPr>
                      <w:r w:rsidRPr="00251F0F">
                        <w:rPr>
                          <w:color w:val="F2F2F2" w:themeColor="background1" w:themeShade="F2"/>
                        </w:rPr>
                        <w:t>Working collaboratively with other stakeholders including schools</w:t>
                      </w:r>
                    </w:p>
                    <w:p w14:paraId="38539490" w14:textId="77777777" w:rsidR="00233C6F" w:rsidRPr="000F00C4" w:rsidRDefault="00233C6F" w:rsidP="008E14C6">
                      <w:pPr>
                        <w:rPr>
                          <w:color w:val="F2F2F2" w:themeColor="background1" w:themeShade="F2"/>
                        </w:rPr>
                      </w:pPr>
                    </w:p>
                  </w:txbxContent>
                </v:textbox>
                <w10:anchorlock/>
              </v:roundrect>
            </w:pict>
          </mc:Fallback>
        </mc:AlternateContent>
      </w:r>
    </w:p>
    <w:p w14:paraId="27A205F0" w14:textId="77777777" w:rsidR="008E14C6" w:rsidRDefault="008E14C6" w:rsidP="007059CA">
      <w:pPr>
        <w:pStyle w:val="BodyText"/>
      </w:pPr>
      <w:r>
        <w:rPr>
          <w:noProof/>
          <w:lang w:eastAsia="en-AU"/>
        </w:rPr>
        <mc:AlternateContent>
          <mc:Choice Requires="wps">
            <w:drawing>
              <wp:inline distT="0" distB="0" distL="0" distR="0" wp14:anchorId="1083F2A0" wp14:editId="30FF9F3F">
                <wp:extent cx="3111500" cy="1871217"/>
                <wp:effectExtent l="0" t="0" r="12700" b="15240"/>
                <wp:docPr id="1" name="Rounded Rectangle 1" descr="Providers must design activities according to seven principles (section 2.2):&#10;1. Community-led&#10;2. Community-involved&#10;3. School engagement&#10;4. Strengths-based&#10;5. Coordination, not duplication&#10;6. Flexibility&#10;7. Link to education outcomes&#10;"/>
                <wp:cNvGraphicFramePr/>
                <a:graphic xmlns:a="http://schemas.openxmlformats.org/drawingml/2006/main">
                  <a:graphicData uri="http://schemas.microsoft.com/office/word/2010/wordprocessingShape">
                    <wps:wsp>
                      <wps:cNvSpPr/>
                      <wps:spPr>
                        <a:xfrm>
                          <a:off x="0" y="0"/>
                          <a:ext cx="3111500" cy="18712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55373" w14:textId="77777777" w:rsidR="00233C6F" w:rsidRPr="008E680A" w:rsidRDefault="00233C6F" w:rsidP="00723BF0">
                            <w:pPr>
                              <w:rPr>
                                <w:b/>
                                <w:color w:val="auto"/>
                              </w:rPr>
                            </w:pPr>
                            <w:r w:rsidRPr="008E680A">
                              <w:rPr>
                                <w:b/>
                                <w:color w:val="auto"/>
                              </w:rPr>
                              <w:t>Providers must design activities according to seven principles (section 2.2):</w:t>
                            </w:r>
                          </w:p>
                          <w:p w14:paraId="239F4F33" w14:textId="77777777" w:rsidR="00233C6F" w:rsidRPr="008E680A" w:rsidRDefault="00233C6F" w:rsidP="00C12BBC">
                            <w:pPr>
                              <w:pStyle w:val="ListParagraph"/>
                              <w:numPr>
                                <w:ilvl w:val="0"/>
                                <w:numId w:val="27"/>
                              </w:numPr>
                              <w:rPr>
                                <w:color w:val="auto"/>
                              </w:rPr>
                            </w:pPr>
                            <w:r w:rsidRPr="008E680A">
                              <w:rPr>
                                <w:color w:val="auto"/>
                              </w:rPr>
                              <w:t>Community-led</w:t>
                            </w:r>
                          </w:p>
                          <w:p w14:paraId="31AE2B00" w14:textId="77777777" w:rsidR="00233C6F" w:rsidRPr="008E680A" w:rsidRDefault="00233C6F" w:rsidP="00C12BBC">
                            <w:pPr>
                              <w:pStyle w:val="ListParagraph"/>
                              <w:numPr>
                                <w:ilvl w:val="0"/>
                                <w:numId w:val="27"/>
                              </w:numPr>
                              <w:rPr>
                                <w:color w:val="auto"/>
                              </w:rPr>
                            </w:pPr>
                            <w:r w:rsidRPr="008E680A">
                              <w:rPr>
                                <w:color w:val="auto"/>
                              </w:rPr>
                              <w:t>Community-involved</w:t>
                            </w:r>
                          </w:p>
                          <w:p w14:paraId="01B45FD1" w14:textId="77777777" w:rsidR="00233C6F" w:rsidRPr="008E680A" w:rsidRDefault="00233C6F" w:rsidP="00C12BBC">
                            <w:pPr>
                              <w:pStyle w:val="ListParagraph"/>
                              <w:numPr>
                                <w:ilvl w:val="0"/>
                                <w:numId w:val="27"/>
                              </w:numPr>
                              <w:rPr>
                                <w:color w:val="auto"/>
                              </w:rPr>
                            </w:pPr>
                            <w:r w:rsidRPr="008E680A">
                              <w:rPr>
                                <w:color w:val="auto"/>
                              </w:rPr>
                              <w:t>School engagement</w:t>
                            </w:r>
                          </w:p>
                          <w:p w14:paraId="7FCC8CF8" w14:textId="77777777" w:rsidR="00233C6F" w:rsidRPr="008E680A" w:rsidRDefault="00233C6F" w:rsidP="00C12BBC">
                            <w:pPr>
                              <w:pStyle w:val="ListParagraph"/>
                              <w:numPr>
                                <w:ilvl w:val="0"/>
                                <w:numId w:val="27"/>
                              </w:numPr>
                              <w:rPr>
                                <w:color w:val="auto"/>
                              </w:rPr>
                            </w:pPr>
                            <w:r w:rsidRPr="008E680A">
                              <w:rPr>
                                <w:color w:val="auto"/>
                              </w:rPr>
                              <w:t>Strengths-based</w:t>
                            </w:r>
                          </w:p>
                          <w:p w14:paraId="65490134" w14:textId="77777777" w:rsidR="00233C6F" w:rsidRPr="008E680A" w:rsidRDefault="00233C6F" w:rsidP="00C12BBC">
                            <w:pPr>
                              <w:pStyle w:val="ListParagraph"/>
                              <w:numPr>
                                <w:ilvl w:val="0"/>
                                <w:numId w:val="27"/>
                              </w:numPr>
                              <w:rPr>
                                <w:color w:val="auto"/>
                              </w:rPr>
                            </w:pPr>
                            <w:r w:rsidRPr="008E680A">
                              <w:rPr>
                                <w:color w:val="auto"/>
                              </w:rPr>
                              <w:t>Coordination, not duplication</w:t>
                            </w:r>
                          </w:p>
                          <w:p w14:paraId="3CC00314" w14:textId="77777777" w:rsidR="00233C6F" w:rsidRPr="008E680A" w:rsidRDefault="00233C6F" w:rsidP="00C12BBC">
                            <w:pPr>
                              <w:pStyle w:val="ListParagraph"/>
                              <w:numPr>
                                <w:ilvl w:val="0"/>
                                <w:numId w:val="27"/>
                              </w:numPr>
                              <w:rPr>
                                <w:color w:val="auto"/>
                              </w:rPr>
                            </w:pPr>
                            <w:r w:rsidRPr="008E680A">
                              <w:rPr>
                                <w:color w:val="auto"/>
                              </w:rPr>
                              <w:t>Flexibility</w:t>
                            </w:r>
                          </w:p>
                          <w:p w14:paraId="2D42F247" w14:textId="77777777" w:rsidR="00233C6F" w:rsidRPr="008E680A" w:rsidRDefault="00233C6F" w:rsidP="00C12BBC">
                            <w:pPr>
                              <w:pStyle w:val="ListParagraph"/>
                              <w:numPr>
                                <w:ilvl w:val="0"/>
                                <w:numId w:val="27"/>
                              </w:numPr>
                              <w:rPr>
                                <w:color w:val="auto"/>
                              </w:rPr>
                            </w:pPr>
                            <w:r w:rsidRPr="008E680A">
                              <w:rPr>
                                <w:color w:val="auto"/>
                              </w:rPr>
                              <w:t>Link to education outcomes</w:t>
                            </w:r>
                          </w:p>
                          <w:p w14:paraId="7C5569BA" w14:textId="77777777" w:rsidR="00233C6F" w:rsidRPr="00C12BBC" w:rsidRDefault="00233C6F" w:rsidP="00C12BBC">
                            <w:pPr>
                              <w:jc w:val="center"/>
                              <w:rPr>
                                <w:color w:val="F2F2F2" w:themeColor="background1" w:themeShade="F2"/>
                              </w:rPr>
                            </w:pPr>
                          </w:p>
                          <w:p w14:paraId="73C5FFE6" w14:textId="77777777" w:rsidR="00233C6F" w:rsidRPr="000F00C4" w:rsidRDefault="00233C6F" w:rsidP="000F00C4">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83F2A0" id="Rounded Rectangle 1" o:spid="_x0000_s1027" alt="Providers must design activities according to seven principles (section 2.2):&#10;1. Community-led&#10;2. Community-involved&#10;3. School engagement&#10;4. Strengths-based&#10;5. Coordination, not duplication&#10;6. Flexibility&#10;7. Link to education outcomes&#10;" style="width:245pt;height:147.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" fillcolor="#2a4055 [3204]" strokecolor="#151f2a [1604]" strokeweight="1pt">
                <v:stroke joinstyle="miter"/>
                <v:textbox>
                  <w:txbxContent>
                    <w:p w14:paraId="69455373" w14:textId="77777777" w:rsidR="00233C6F" w:rsidRPr="008E680A" w:rsidRDefault="00233C6F" w:rsidP="00723BF0">
                      <w:pPr>
                        <w:rPr>
                          <w:b/>
                          <w:color w:val="auto"/>
                        </w:rPr>
                      </w:pPr>
                      <w:r w:rsidRPr="008E680A">
                        <w:rPr>
                          <w:b/>
                          <w:color w:val="auto"/>
                        </w:rPr>
                        <w:t>Providers must design activities according to seven principles (section 2.2):</w:t>
                      </w:r>
                    </w:p>
                    <w:p w14:paraId="239F4F33" w14:textId="77777777" w:rsidR="00233C6F" w:rsidRPr="008E680A" w:rsidRDefault="00233C6F" w:rsidP="00C12BBC">
                      <w:pPr>
                        <w:pStyle w:val="ListParagraph"/>
                        <w:numPr>
                          <w:ilvl w:val="0"/>
                          <w:numId w:val="27"/>
                        </w:numPr>
                        <w:rPr>
                          <w:color w:val="auto"/>
                        </w:rPr>
                      </w:pPr>
                      <w:r w:rsidRPr="008E680A">
                        <w:rPr>
                          <w:color w:val="auto"/>
                        </w:rPr>
                        <w:t>Community-led</w:t>
                      </w:r>
                    </w:p>
                    <w:p w14:paraId="31AE2B00" w14:textId="77777777" w:rsidR="00233C6F" w:rsidRPr="008E680A" w:rsidRDefault="00233C6F" w:rsidP="00C12BBC">
                      <w:pPr>
                        <w:pStyle w:val="ListParagraph"/>
                        <w:numPr>
                          <w:ilvl w:val="0"/>
                          <w:numId w:val="27"/>
                        </w:numPr>
                        <w:rPr>
                          <w:color w:val="auto"/>
                        </w:rPr>
                      </w:pPr>
                      <w:r w:rsidRPr="008E680A">
                        <w:rPr>
                          <w:color w:val="auto"/>
                        </w:rPr>
                        <w:t>Community-involved</w:t>
                      </w:r>
                    </w:p>
                    <w:p w14:paraId="01B45FD1" w14:textId="77777777" w:rsidR="00233C6F" w:rsidRPr="008E680A" w:rsidRDefault="00233C6F" w:rsidP="00C12BBC">
                      <w:pPr>
                        <w:pStyle w:val="ListParagraph"/>
                        <w:numPr>
                          <w:ilvl w:val="0"/>
                          <w:numId w:val="27"/>
                        </w:numPr>
                        <w:rPr>
                          <w:color w:val="auto"/>
                        </w:rPr>
                      </w:pPr>
                      <w:r w:rsidRPr="008E680A">
                        <w:rPr>
                          <w:color w:val="auto"/>
                        </w:rPr>
                        <w:t>School engagement</w:t>
                      </w:r>
                    </w:p>
                    <w:p w14:paraId="7FCC8CF8" w14:textId="77777777" w:rsidR="00233C6F" w:rsidRPr="008E680A" w:rsidRDefault="00233C6F" w:rsidP="00C12BBC">
                      <w:pPr>
                        <w:pStyle w:val="ListParagraph"/>
                        <w:numPr>
                          <w:ilvl w:val="0"/>
                          <w:numId w:val="27"/>
                        </w:numPr>
                        <w:rPr>
                          <w:color w:val="auto"/>
                        </w:rPr>
                      </w:pPr>
                      <w:r w:rsidRPr="008E680A">
                        <w:rPr>
                          <w:color w:val="auto"/>
                        </w:rPr>
                        <w:t>Strengths-based</w:t>
                      </w:r>
                    </w:p>
                    <w:p w14:paraId="65490134" w14:textId="77777777" w:rsidR="00233C6F" w:rsidRPr="008E680A" w:rsidRDefault="00233C6F" w:rsidP="00C12BBC">
                      <w:pPr>
                        <w:pStyle w:val="ListParagraph"/>
                        <w:numPr>
                          <w:ilvl w:val="0"/>
                          <w:numId w:val="27"/>
                        </w:numPr>
                        <w:rPr>
                          <w:color w:val="auto"/>
                        </w:rPr>
                      </w:pPr>
                      <w:r w:rsidRPr="008E680A">
                        <w:rPr>
                          <w:color w:val="auto"/>
                        </w:rPr>
                        <w:t>Coordination, not duplication</w:t>
                      </w:r>
                    </w:p>
                    <w:p w14:paraId="3CC00314" w14:textId="77777777" w:rsidR="00233C6F" w:rsidRPr="008E680A" w:rsidRDefault="00233C6F" w:rsidP="00C12BBC">
                      <w:pPr>
                        <w:pStyle w:val="ListParagraph"/>
                        <w:numPr>
                          <w:ilvl w:val="0"/>
                          <w:numId w:val="27"/>
                        </w:numPr>
                        <w:rPr>
                          <w:color w:val="auto"/>
                        </w:rPr>
                      </w:pPr>
                      <w:r w:rsidRPr="008E680A">
                        <w:rPr>
                          <w:color w:val="auto"/>
                        </w:rPr>
                        <w:t>Flexibility</w:t>
                      </w:r>
                    </w:p>
                    <w:p w14:paraId="2D42F247" w14:textId="77777777" w:rsidR="00233C6F" w:rsidRPr="008E680A" w:rsidRDefault="00233C6F" w:rsidP="00C12BBC">
                      <w:pPr>
                        <w:pStyle w:val="ListParagraph"/>
                        <w:numPr>
                          <w:ilvl w:val="0"/>
                          <w:numId w:val="27"/>
                        </w:numPr>
                        <w:rPr>
                          <w:color w:val="auto"/>
                        </w:rPr>
                      </w:pPr>
                      <w:r w:rsidRPr="008E680A">
                        <w:rPr>
                          <w:color w:val="auto"/>
                        </w:rPr>
                        <w:t>Link to education outcomes</w:t>
                      </w:r>
                    </w:p>
                    <w:p w14:paraId="7C5569BA" w14:textId="77777777" w:rsidR="00233C6F" w:rsidRPr="00C12BBC" w:rsidRDefault="00233C6F" w:rsidP="00C12BBC">
                      <w:pPr>
                        <w:jc w:val="center"/>
                        <w:rPr>
                          <w:color w:val="F2F2F2" w:themeColor="background1" w:themeShade="F2"/>
                        </w:rPr>
                      </w:pPr>
                    </w:p>
                    <w:p w14:paraId="73C5FFE6" w14:textId="77777777" w:rsidR="00233C6F" w:rsidRPr="000F00C4" w:rsidRDefault="00233C6F" w:rsidP="000F00C4">
                      <w:pPr>
                        <w:jc w:val="center"/>
                        <w:rPr>
                          <w:color w:val="F2F2F2" w:themeColor="background1" w:themeShade="F2"/>
                        </w:rPr>
                      </w:pPr>
                    </w:p>
                  </w:txbxContent>
                </v:textbox>
                <w10:anchorlock/>
              </v:roundrect>
            </w:pict>
          </mc:Fallback>
        </mc:AlternateContent>
      </w:r>
      <w:r>
        <w:t xml:space="preserve">   </w:t>
      </w:r>
      <w:r>
        <w:rPr>
          <w:noProof/>
          <w:lang w:eastAsia="en-AU"/>
        </w:rPr>
        <mc:AlternateContent>
          <mc:Choice Requires="wps">
            <w:drawing>
              <wp:inline distT="0" distB="0" distL="0" distR="0" wp14:anchorId="598CF36D" wp14:editId="0F6377A4">
                <wp:extent cx="3131820" cy="1849997"/>
                <wp:effectExtent l="0" t="0" r="11430" b="17145"/>
                <wp:docPr id="6" name="Rounded Rectangle 6" descr="Providers should work with communities to ensure local EEAI activities are recognisable and encourage participation by:&#10;• Developing a local name (consider a name in language) &#10;• Developing local branding – colour schemes, logos etc.&#10;"/>
                <wp:cNvGraphicFramePr/>
                <a:graphic xmlns:a="http://schemas.openxmlformats.org/drawingml/2006/main">
                  <a:graphicData uri="http://schemas.microsoft.com/office/word/2010/wordprocessingShape">
                    <wps:wsp>
                      <wps:cNvSpPr/>
                      <wps:spPr>
                        <a:xfrm>
                          <a:off x="0" y="0"/>
                          <a:ext cx="3131820" cy="18499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35742" w14:textId="77777777" w:rsidR="00233C6F" w:rsidRPr="00723BF0" w:rsidRDefault="00233C6F" w:rsidP="005C7063">
                            <w:pPr>
                              <w:rPr>
                                <w:b/>
                                <w:color w:val="F2F2F2" w:themeColor="background1" w:themeShade="F2"/>
                              </w:rPr>
                            </w:pPr>
                            <w:r w:rsidRPr="00723BF0">
                              <w:rPr>
                                <w:b/>
                                <w:color w:val="F2F2F2" w:themeColor="background1" w:themeShade="F2"/>
                              </w:rPr>
                              <w:t>Providers should work with communities to ensure local EEAI activities are recognisable and encourage participation by:</w:t>
                            </w:r>
                          </w:p>
                          <w:p w14:paraId="0A2759F1" w14:textId="77777777" w:rsidR="00233C6F" w:rsidRDefault="00233C6F" w:rsidP="005C7063">
                            <w:pPr>
                              <w:pStyle w:val="ListParagraph"/>
                              <w:numPr>
                                <w:ilvl w:val="0"/>
                                <w:numId w:val="31"/>
                              </w:numPr>
                              <w:rPr>
                                <w:color w:val="F2F2F2" w:themeColor="background1" w:themeShade="F2"/>
                              </w:rPr>
                            </w:pPr>
                            <w:r>
                              <w:rPr>
                                <w:color w:val="F2F2F2" w:themeColor="background1" w:themeShade="F2"/>
                              </w:rPr>
                              <w:t xml:space="preserve">Developing a local name (consider a name in language) </w:t>
                            </w:r>
                          </w:p>
                          <w:p w14:paraId="22B239A9" w14:textId="77777777" w:rsidR="00233C6F" w:rsidRPr="005C7063" w:rsidRDefault="00233C6F" w:rsidP="005C7063">
                            <w:pPr>
                              <w:pStyle w:val="ListParagraph"/>
                              <w:numPr>
                                <w:ilvl w:val="0"/>
                                <w:numId w:val="31"/>
                              </w:numPr>
                              <w:rPr>
                                <w:color w:val="F2F2F2" w:themeColor="background1" w:themeShade="F2"/>
                              </w:rPr>
                            </w:pPr>
                            <w:r>
                              <w:rPr>
                                <w:color w:val="F2F2F2" w:themeColor="background1" w:themeShade="F2"/>
                              </w:rPr>
                              <w:t>Developing local branding – colour schemes, logos etc.</w:t>
                            </w:r>
                          </w:p>
                          <w:p w14:paraId="2A5ACA55" w14:textId="77777777" w:rsidR="00233C6F" w:rsidRPr="00C12BBC" w:rsidRDefault="00233C6F" w:rsidP="005C7063">
                            <w:pPr>
                              <w:jc w:val="center"/>
                              <w:rPr>
                                <w:color w:val="F2F2F2" w:themeColor="background1" w:themeShade="F2"/>
                              </w:rPr>
                            </w:pPr>
                          </w:p>
                          <w:p w14:paraId="7810F2B8" w14:textId="77777777" w:rsidR="00233C6F" w:rsidRPr="000F00C4" w:rsidRDefault="00233C6F" w:rsidP="005C7063">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8CF36D" id="Rounded Rectangle 6" o:spid="_x0000_s1028" alt="Providers should work with communities to ensure local EEAI activities are recognisable and encourage participation by:&#10;• Developing a local name (consider a name in language) &#10;• Developing local branding – colour schemes, logos etc.&#10;" style="width:246.6pt;height:14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" fillcolor="#2a4055 [3204]" strokecolor="#151f2a [1604]" strokeweight="1pt">
                <v:stroke joinstyle="miter"/>
                <v:textbox>
                  <w:txbxContent>
                    <w:p w14:paraId="5BB35742" w14:textId="77777777" w:rsidR="00233C6F" w:rsidRPr="00723BF0" w:rsidRDefault="00233C6F" w:rsidP="005C7063">
                      <w:pPr>
                        <w:rPr>
                          <w:b/>
                          <w:color w:val="F2F2F2" w:themeColor="background1" w:themeShade="F2"/>
                        </w:rPr>
                      </w:pPr>
                      <w:r w:rsidRPr="00723BF0">
                        <w:rPr>
                          <w:b/>
                          <w:color w:val="F2F2F2" w:themeColor="background1" w:themeShade="F2"/>
                        </w:rPr>
                        <w:t>Providers should work with communities to ensure local EEAI activities are recognisable and encourage participation by:</w:t>
                      </w:r>
                    </w:p>
                    <w:p w14:paraId="0A2759F1" w14:textId="77777777" w:rsidR="00233C6F" w:rsidRDefault="00233C6F" w:rsidP="005C7063">
                      <w:pPr>
                        <w:pStyle w:val="ListParagraph"/>
                        <w:numPr>
                          <w:ilvl w:val="0"/>
                          <w:numId w:val="31"/>
                        </w:numPr>
                        <w:rPr>
                          <w:color w:val="F2F2F2" w:themeColor="background1" w:themeShade="F2"/>
                        </w:rPr>
                      </w:pPr>
                      <w:r>
                        <w:rPr>
                          <w:color w:val="F2F2F2" w:themeColor="background1" w:themeShade="F2"/>
                        </w:rPr>
                        <w:t xml:space="preserve">Developing a local name (consider a name in language) </w:t>
                      </w:r>
                    </w:p>
                    <w:p w14:paraId="22B239A9" w14:textId="77777777" w:rsidR="00233C6F" w:rsidRPr="005C7063" w:rsidRDefault="00233C6F" w:rsidP="005C7063">
                      <w:pPr>
                        <w:pStyle w:val="ListParagraph"/>
                        <w:numPr>
                          <w:ilvl w:val="0"/>
                          <w:numId w:val="31"/>
                        </w:numPr>
                        <w:rPr>
                          <w:color w:val="F2F2F2" w:themeColor="background1" w:themeShade="F2"/>
                        </w:rPr>
                      </w:pPr>
                      <w:r>
                        <w:rPr>
                          <w:color w:val="F2F2F2" w:themeColor="background1" w:themeShade="F2"/>
                        </w:rPr>
                        <w:t>Developing local branding – colour schemes, logos etc.</w:t>
                      </w:r>
                    </w:p>
                    <w:p w14:paraId="2A5ACA55" w14:textId="77777777" w:rsidR="00233C6F" w:rsidRPr="00C12BBC" w:rsidRDefault="00233C6F" w:rsidP="005C7063">
                      <w:pPr>
                        <w:jc w:val="center"/>
                        <w:rPr>
                          <w:color w:val="F2F2F2" w:themeColor="background1" w:themeShade="F2"/>
                        </w:rPr>
                      </w:pPr>
                    </w:p>
                    <w:p w14:paraId="7810F2B8" w14:textId="77777777" w:rsidR="00233C6F" w:rsidRPr="000F00C4" w:rsidRDefault="00233C6F" w:rsidP="005C7063">
                      <w:pPr>
                        <w:jc w:val="center"/>
                        <w:rPr>
                          <w:color w:val="F2F2F2" w:themeColor="background1" w:themeShade="F2"/>
                        </w:rPr>
                      </w:pPr>
                    </w:p>
                  </w:txbxContent>
                </v:textbox>
                <w10:anchorlock/>
              </v:roundrect>
            </w:pict>
          </mc:Fallback>
        </mc:AlternateContent>
      </w:r>
    </w:p>
    <w:p w14:paraId="0DCA9D50" w14:textId="77777777" w:rsidR="008E14C6" w:rsidRDefault="008E14C6" w:rsidP="007059CA">
      <w:pPr>
        <w:pStyle w:val="BodyText"/>
      </w:pPr>
      <w:r>
        <w:rPr>
          <w:noProof/>
          <w:lang w:eastAsia="en-AU"/>
        </w:rPr>
        <mc:AlternateContent>
          <mc:Choice Requires="wps">
            <w:drawing>
              <wp:inline distT="0" distB="0" distL="0" distR="0" wp14:anchorId="75F1764A" wp14:editId="4B53D910">
                <wp:extent cx="3086735" cy="2320450"/>
                <wp:effectExtent l="0" t="0" r="18415" b="22860"/>
                <wp:docPr id="5" name="Rounded Rectangle 5" descr="Providers should consider how local activities can incorporate best practice elements (section 3.2):&#10;• Local employment&#10;• Governance committees&#10;• Community mapping&#10;• Semester Activity Plans (mandatory)&#10;• Developing local staff&#10;• Daily engagement services&#10;"/>
                <wp:cNvGraphicFramePr/>
                <a:graphic xmlns:a="http://schemas.openxmlformats.org/drawingml/2006/main">
                  <a:graphicData uri="http://schemas.microsoft.com/office/word/2010/wordprocessingShape">
                    <wps:wsp>
                      <wps:cNvSpPr/>
                      <wps:spPr>
                        <a:xfrm>
                          <a:off x="0" y="0"/>
                          <a:ext cx="3086735" cy="2320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0E963D" w14:textId="77777777" w:rsidR="00233C6F" w:rsidRPr="00723BF0" w:rsidRDefault="00233C6F" w:rsidP="008E14C6">
                            <w:pPr>
                              <w:rPr>
                                <w:b/>
                                <w:color w:val="FFFFFF" w:themeColor="background1"/>
                              </w:rPr>
                            </w:pPr>
                            <w:r>
                              <w:rPr>
                                <w:b/>
                                <w:color w:val="FFFFFF" w:themeColor="background1"/>
                              </w:rPr>
                              <w:t>Providers should consider how local activities can incorporate best practice elements (section 3.2):</w:t>
                            </w:r>
                          </w:p>
                          <w:p w14:paraId="08A686B8"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Local employment</w:t>
                            </w:r>
                          </w:p>
                          <w:p w14:paraId="778AEB2D"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Governance committees</w:t>
                            </w:r>
                          </w:p>
                          <w:p w14:paraId="276D0F3E"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Community mapping</w:t>
                            </w:r>
                          </w:p>
                          <w:p w14:paraId="1DEE7499"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Semester Activity Plans (mandatory)</w:t>
                            </w:r>
                          </w:p>
                          <w:p w14:paraId="5FFBD876"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Developing local staff</w:t>
                            </w:r>
                          </w:p>
                          <w:p w14:paraId="5BAC20A0" w14:textId="77777777" w:rsidR="00233C6F" w:rsidRPr="00723BF0" w:rsidRDefault="00233C6F" w:rsidP="008E14C6">
                            <w:pPr>
                              <w:pStyle w:val="ListParagraph"/>
                              <w:numPr>
                                <w:ilvl w:val="0"/>
                                <w:numId w:val="36"/>
                              </w:numPr>
                              <w:rPr>
                                <w:color w:val="F2F2F2" w:themeColor="background1" w:themeShade="F2"/>
                              </w:rPr>
                            </w:pPr>
                            <w:r>
                              <w:rPr>
                                <w:color w:val="F2F2F2" w:themeColor="background1" w:themeShade="F2"/>
                              </w:rPr>
                              <w:t>Daily engagement services</w:t>
                            </w:r>
                          </w:p>
                          <w:p w14:paraId="756C7A54" w14:textId="77777777" w:rsidR="00233C6F" w:rsidRPr="000F00C4" w:rsidRDefault="00233C6F" w:rsidP="008E14C6">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F1764A" id="Rounded Rectangle 5" o:spid="_x0000_s1029" alt="Providers should consider how local activities can incorporate best practice elements (section 3.2):&#10;• Local employment&#10;• Governance committees&#10;• Community mapping&#10;• Semester Activity Plans (mandatory)&#10;• Developing local staff&#10;• Daily engagement services&#10;" style="width:243.05pt;height:18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" fillcolor="#2a4055 [3204]" strokecolor="#151f2a [1604]" strokeweight="1pt">
                <v:stroke joinstyle="miter"/>
                <v:textbox>
                  <w:txbxContent>
                    <w:p w14:paraId="560E963D" w14:textId="77777777" w:rsidR="00233C6F" w:rsidRPr="00723BF0" w:rsidRDefault="00233C6F" w:rsidP="008E14C6">
                      <w:pPr>
                        <w:rPr>
                          <w:b/>
                          <w:color w:val="FFFFFF" w:themeColor="background1"/>
                        </w:rPr>
                      </w:pPr>
                      <w:r>
                        <w:rPr>
                          <w:b/>
                          <w:color w:val="FFFFFF" w:themeColor="background1"/>
                        </w:rPr>
                        <w:t>Providers should consider how local activities can incorporate best practice elements (section 3.2):</w:t>
                      </w:r>
                    </w:p>
                    <w:p w14:paraId="08A686B8"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Local employment</w:t>
                      </w:r>
                    </w:p>
                    <w:p w14:paraId="778AEB2D"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Governance committees</w:t>
                      </w:r>
                    </w:p>
                    <w:p w14:paraId="276D0F3E"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Community mapping</w:t>
                      </w:r>
                    </w:p>
                    <w:p w14:paraId="1DEE7499"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Semester Activity Plans (mandatory)</w:t>
                      </w:r>
                    </w:p>
                    <w:p w14:paraId="5FFBD876" w14:textId="77777777" w:rsidR="00233C6F" w:rsidRDefault="00233C6F" w:rsidP="008E14C6">
                      <w:pPr>
                        <w:pStyle w:val="ListParagraph"/>
                        <w:numPr>
                          <w:ilvl w:val="0"/>
                          <w:numId w:val="36"/>
                        </w:numPr>
                        <w:rPr>
                          <w:color w:val="F2F2F2" w:themeColor="background1" w:themeShade="F2"/>
                        </w:rPr>
                      </w:pPr>
                      <w:r>
                        <w:rPr>
                          <w:color w:val="F2F2F2" w:themeColor="background1" w:themeShade="F2"/>
                        </w:rPr>
                        <w:t>Developing local staff</w:t>
                      </w:r>
                    </w:p>
                    <w:p w14:paraId="5BAC20A0" w14:textId="77777777" w:rsidR="00233C6F" w:rsidRPr="00723BF0" w:rsidRDefault="00233C6F" w:rsidP="008E14C6">
                      <w:pPr>
                        <w:pStyle w:val="ListParagraph"/>
                        <w:numPr>
                          <w:ilvl w:val="0"/>
                          <w:numId w:val="36"/>
                        </w:numPr>
                        <w:rPr>
                          <w:color w:val="F2F2F2" w:themeColor="background1" w:themeShade="F2"/>
                        </w:rPr>
                      </w:pPr>
                      <w:r>
                        <w:rPr>
                          <w:color w:val="F2F2F2" w:themeColor="background1" w:themeShade="F2"/>
                        </w:rPr>
                        <w:t>Daily engagement services</w:t>
                      </w:r>
                    </w:p>
                    <w:p w14:paraId="756C7A54" w14:textId="77777777" w:rsidR="00233C6F" w:rsidRPr="000F00C4" w:rsidRDefault="00233C6F" w:rsidP="008E14C6">
                      <w:pPr>
                        <w:jc w:val="center"/>
                        <w:rPr>
                          <w:color w:val="F2F2F2" w:themeColor="background1" w:themeShade="F2"/>
                        </w:rPr>
                      </w:pPr>
                    </w:p>
                  </w:txbxContent>
                </v:textbox>
                <w10:anchorlock/>
              </v:roundrect>
            </w:pict>
          </mc:Fallback>
        </mc:AlternateContent>
      </w:r>
      <w:r>
        <w:t xml:space="preserve">   </w:t>
      </w:r>
      <w:r>
        <w:rPr>
          <w:noProof/>
          <w:lang w:eastAsia="en-AU"/>
        </w:rPr>
        <mc:AlternateContent>
          <mc:Choice Requires="wps">
            <w:drawing>
              <wp:inline distT="0" distB="0" distL="0" distR="0" wp14:anchorId="6ABB0F1B" wp14:editId="253F65E9">
                <wp:extent cx="3141980" cy="2336736"/>
                <wp:effectExtent l="0" t="0" r="20320" b="26035"/>
                <wp:docPr id="4" name="Rounded Rectangle 4" descr="The EEAI goals:&#10;• EEAI activities aim to improve education engagement and attainment outcomes, not just attendance rates&#10;• Providers should consider how to support participation in education, and education outcomes, not merely getting young people to school&#10;• Activities that focus explicitly or solely on attendance without regard for engagement outcomes should not continue &#10;"/>
                <wp:cNvGraphicFramePr/>
                <a:graphic xmlns:a="http://schemas.openxmlformats.org/drawingml/2006/main">
                  <a:graphicData uri="http://schemas.microsoft.com/office/word/2010/wordprocessingShape">
                    <wps:wsp>
                      <wps:cNvSpPr/>
                      <wps:spPr>
                        <a:xfrm>
                          <a:off x="0" y="0"/>
                          <a:ext cx="3141980" cy="23367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31D98" w14:textId="77777777" w:rsidR="00233C6F" w:rsidRPr="00723BF0" w:rsidRDefault="00233C6F" w:rsidP="008E14C6">
                            <w:pPr>
                              <w:rPr>
                                <w:b/>
                                <w:color w:val="F2F2F2" w:themeColor="background1" w:themeShade="F2"/>
                              </w:rPr>
                            </w:pPr>
                            <w:r>
                              <w:rPr>
                                <w:b/>
                                <w:color w:val="F2F2F2" w:themeColor="background1" w:themeShade="F2"/>
                              </w:rPr>
                              <w:t>The EEAI goals</w:t>
                            </w:r>
                            <w:r w:rsidRPr="00723BF0">
                              <w:rPr>
                                <w:b/>
                                <w:color w:val="F2F2F2" w:themeColor="background1" w:themeShade="F2"/>
                              </w:rPr>
                              <w:t>:</w:t>
                            </w:r>
                          </w:p>
                          <w:p w14:paraId="1CD2F888" w14:textId="77777777" w:rsidR="00233C6F" w:rsidRDefault="00233C6F" w:rsidP="008E14C6">
                            <w:pPr>
                              <w:pStyle w:val="ListParagraph"/>
                              <w:numPr>
                                <w:ilvl w:val="0"/>
                                <w:numId w:val="29"/>
                              </w:numPr>
                              <w:rPr>
                                <w:color w:val="F2F2F2" w:themeColor="background1" w:themeShade="F2"/>
                              </w:rPr>
                            </w:pPr>
                            <w:r>
                              <w:rPr>
                                <w:color w:val="F2F2F2" w:themeColor="background1" w:themeShade="F2"/>
                              </w:rPr>
                              <w:t>EEAI activities aim to improve education engagement and attainment outcomes, not just attendance rates</w:t>
                            </w:r>
                          </w:p>
                          <w:p w14:paraId="6495489B" w14:textId="77777777" w:rsidR="00233C6F" w:rsidRDefault="00233C6F" w:rsidP="008E14C6">
                            <w:pPr>
                              <w:pStyle w:val="ListParagraph"/>
                              <w:numPr>
                                <w:ilvl w:val="0"/>
                                <w:numId w:val="29"/>
                              </w:numPr>
                              <w:rPr>
                                <w:color w:val="F2F2F2" w:themeColor="background1" w:themeShade="F2"/>
                              </w:rPr>
                            </w:pPr>
                            <w:r>
                              <w:rPr>
                                <w:color w:val="F2F2F2" w:themeColor="background1" w:themeShade="F2"/>
                              </w:rPr>
                              <w:t>Providers should consider how to support participation in education, and education outcomes, not merely getting young people to school</w:t>
                            </w:r>
                          </w:p>
                          <w:p w14:paraId="4E0F3BEC" w14:textId="77777777" w:rsidR="00233C6F" w:rsidRPr="00965FB4" w:rsidRDefault="00233C6F" w:rsidP="008E14C6">
                            <w:pPr>
                              <w:pStyle w:val="ListParagraph"/>
                              <w:numPr>
                                <w:ilvl w:val="0"/>
                                <w:numId w:val="29"/>
                              </w:numPr>
                              <w:rPr>
                                <w:color w:val="F2F2F2" w:themeColor="background1" w:themeShade="F2"/>
                              </w:rPr>
                            </w:pPr>
                            <w:r>
                              <w:rPr>
                                <w:color w:val="F2F2F2" w:themeColor="background1" w:themeShade="F2"/>
                              </w:rPr>
                              <w:t xml:space="preserve">Activities that focus explicitly or solely on attendance without regard for engagement outcomes should not continue </w:t>
                            </w:r>
                          </w:p>
                          <w:p w14:paraId="397AAFDD" w14:textId="77777777" w:rsidR="00233C6F" w:rsidRPr="00C12BBC" w:rsidRDefault="00233C6F" w:rsidP="008E14C6">
                            <w:pPr>
                              <w:jc w:val="center"/>
                              <w:rPr>
                                <w:color w:val="F2F2F2" w:themeColor="background1" w:themeShade="F2"/>
                              </w:rPr>
                            </w:pPr>
                          </w:p>
                          <w:p w14:paraId="32B9970A" w14:textId="77777777" w:rsidR="00233C6F" w:rsidRPr="000F00C4" w:rsidRDefault="00233C6F" w:rsidP="008E14C6">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BB0F1B" id="Rounded Rectangle 4" o:spid="_x0000_s1030" alt="The EEAI goals:&#10;• EEAI activities aim to improve education engagement and attainment outcomes, not just attendance rates&#10;• Providers should consider how to support participation in education, and education outcomes, not merely getting young people to school&#10;• Activities that focus explicitly or solely on attendance without regard for engagement outcomes should not continue &#10;" style="width:247.4pt;height:1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" fillcolor="#2a4055 [3204]" strokecolor="#151f2a [1604]" strokeweight="1pt">
                <v:stroke joinstyle="miter"/>
                <v:textbox>
                  <w:txbxContent>
                    <w:p w14:paraId="0F431D98" w14:textId="77777777" w:rsidR="00233C6F" w:rsidRPr="00723BF0" w:rsidRDefault="00233C6F" w:rsidP="008E14C6">
                      <w:pPr>
                        <w:rPr>
                          <w:b/>
                          <w:color w:val="F2F2F2" w:themeColor="background1" w:themeShade="F2"/>
                        </w:rPr>
                      </w:pPr>
                      <w:r>
                        <w:rPr>
                          <w:b/>
                          <w:color w:val="F2F2F2" w:themeColor="background1" w:themeShade="F2"/>
                        </w:rPr>
                        <w:t>The EEAI goals</w:t>
                      </w:r>
                      <w:r w:rsidRPr="00723BF0">
                        <w:rPr>
                          <w:b/>
                          <w:color w:val="F2F2F2" w:themeColor="background1" w:themeShade="F2"/>
                        </w:rPr>
                        <w:t>:</w:t>
                      </w:r>
                    </w:p>
                    <w:p w14:paraId="1CD2F888" w14:textId="77777777" w:rsidR="00233C6F" w:rsidRDefault="00233C6F" w:rsidP="008E14C6">
                      <w:pPr>
                        <w:pStyle w:val="ListParagraph"/>
                        <w:numPr>
                          <w:ilvl w:val="0"/>
                          <w:numId w:val="29"/>
                        </w:numPr>
                        <w:rPr>
                          <w:color w:val="F2F2F2" w:themeColor="background1" w:themeShade="F2"/>
                        </w:rPr>
                      </w:pPr>
                      <w:r>
                        <w:rPr>
                          <w:color w:val="F2F2F2" w:themeColor="background1" w:themeShade="F2"/>
                        </w:rPr>
                        <w:t>EEAI activities aim to improve education engagement and attainment outcomes, not just attendance rates</w:t>
                      </w:r>
                    </w:p>
                    <w:p w14:paraId="6495489B" w14:textId="77777777" w:rsidR="00233C6F" w:rsidRDefault="00233C6F" w:rsidP="008E14C6">
                      <w:pPr>
                        <w:pStyle w:val="ListParagraph"/>
                        <w:numPr>
                          <w:ilvl w:val="0"/>
                          <w:numId w:val="29"/>
                        </w:numPr>
                        <w:rPr>
                          <w:color w:val="F2F2F2" w:themeColor="background1" w:themeShade="F2"/>
                        </w:rPr>
                      </w:pPr>
                      <w:r>
                        <w:rPr>
                          <w:color w:val="F2F2F2" w:themeColor="background1" w:themeShade="F2"/>
                        </w:rPr>
                        <w:t>Providers should consider how to support participation in education, and education outcomes, not merely getting young people to school</w:t>
                      </w:r>
                    </w:p>
                    <w:p w14:paraId="4E0F3BEC" w14:textId="77777777" w:rsidR="00233C6F" w:rsidRPr="00965FB4" w:rsidRDefault="00233C6F" w:rsidP="008E14C6">
                      <w:pPr>
                        <w:pStyle w:val="ListParagraph"/>
                        <w:numPr>
                          <w:ilvl w:val="0"/>
                          <w:numId w:val="29"/>
                        </w:numPr>
                        <w:rPr>
                          <w:color w:val="F2F2F2" w:themeColor="background1" w:themeShade="F2"/>
                        </w:rPr>
                      </w:pPr>
                      <w:r>
                        <w:rPr>
                          <w:color w:val="F2F2F2" w:themeColor="background1" w:themeShade="F2"/>
                        </w:rPr>
                        <w:t xml:space="preserve">Activities that focus explicitly or solely on attendance without regard for engagement outcomes should not continue </w:t>
                      </w:r>
                    </w:p>
                    <w:p w14:paraId="397AAFDD" w14:textId="77777777" w:rsidR="00233C6F" w:rsidRPr="00C12BBC" w:rsidRDefault="00233C6F" w:rsidP="008E14C6">
                      <w:pPr>
                        <w:jc w:val="center"/>
                        <w:rPr>
                          <w:color w:val="F2F2F2" w:themeColor="background1" w:themeShade="F2"/>
                        </w:rPr>
                      </w:pPr>
                    </w:p>
                    <w:p w14:paraId="32B9970A" w14:textId="77777777" w:rsidR="00233C6F" w:rsidRPr="000F00C4" w:rsidRDefault="00233C6F" w:rsidP="008E14C6">
                      <w:pPr>
                        <w:jc w:val="center"/>
                        <w:rPr>
                          <w:color w:val="F2F2F2" w:themeColor="background1" w:themeShade="F2"/>
                        </w:rPr>
                      </w:pPr>
                    </w:p>
                  </w:txbxContent>
                </v:textbox>
                <w10:anchorlock/>
              </v:roundrect>
            </w:pict>
          </mc:Fallback>
        </mc:AlternateContent>
      </w:r>
    </w:p>
    <w:p w14:paraId="3101AEC0" w14:textId="77777777" w:rsidR="007059CA" w:rsidRPr="007059CA" w:rsidRDefault="008E14C6" w:rsidP="007059CA">
      <w:pPr>
        <w:pStyle w:val="BodyText"/>
      </w:pPr>
      <w:r>
        <w:rPr>
          <w:noProof/>
          <w:lang w:eastAsia="en-AU"/>
        </w:rPr>
        <mc:AlternateContent>
          <mc:Choice Requires="wps">
            <w:drawing>
              <wp:inline distT="0" distB="0" distL="0" distR="0" wp14:anchorId="0C357317" wp14:editId="798CEBDB">
                <wp:extent cx="3086735" cy="1943013"/>
                <wp:effectExtent l="0" t="0" r="18415" b="19685"/>
                <wp:docPr id="8" name="Rounded Rectangle 8" descr="The EEAI Operational Framework also includes a Service Menu (Appendix A):&#10;• This is a list of possible approaches for Providers to discuss with communities&#10;• Providers do not have to use or refer to the Service Menu&#10;• Providers should discuss with communities to ensure Service Menu items fit local contexts and meet local needs&#10;"/>
                <wp:cNvGraphicFramePr/>
                <a:graphic xmlns:a="http://schemas.openxmlformats.org/drawingml/2006/main">
                  <a:graphicData uri="http://schemas.microsoft.com/office/word/2010/wordprocessingShape">
                    <wps:wsp>
                      <wps:cNvSpPr/>
                      <wps:spPr>
                        <a:xfrm>
                          <a:off x="0" y="0"/>
                          <a:ext cx="3086735" cy="19430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D52D9E" w14:textId="77777777" w:rsidR="00233C6F" w:rsidRPr="00723BF0" w:rsidRDefault="00233C6F" w:rsidP="00723BF0">
                            <w:pPr>
                              <w:rPr>
                                <w:b/>
                                <w:color w:val="F2F2F2" w:themeColor="background1" w:themeShade="F2"/>
                              </w:rPr>
                            </w:pPr>
                            <w:r w:rsidRPr="00723BF0">
                              <w:rPr>
                                <w:b/>
                                <w:color w:val="F2F2F2" w:themeColor="background1" w:themeShade="F2"/>
                              </w:rPr>
                              <w:t>The EEAI Operational Framework also includes a Service Menu (Appendix A):</w:t>
                            </w:r>
                          </w:p>
                          <w:p w14:paraId="0043C378" w14:textId="77777777" w:rsidR="00233C6F" w:rsidRPr="00157BCA" w:rsidRDefault="00233C6F" w:rsidP="00723BF0">
                            <w:pPr>
                              <w:pStyle w:val="ListParagraph"/>
                              <w:numPr>
                                <w:ilvl w:val="0"/>
                                <w:numId w:val="32"/>
                              </w:numPr>
                              <w:rPr>
                                <w:color w:val="F2F2F2" w:themeColor="background1" w:themeShade="F2"/>
                              </w:rPr>
                            </w:pPr>
                            <w:r>
                              <w:rPr>
                                <w:color w:val="F2F2F2" w:themeColor="background1" w:themeShade="F2"/>
                              </w:rPr>
                              <w:t>This is a list of possible approaches for Providers to discuss with communities</w:t>
                            </w:r>
                          </w:p>
                          <w:p w14:paraId="42AE877E" w14:textId="77777777" w:rsidR="00233C6F" w:rsidRPr="00157BCA" w:rsidRDefault="00233C6F" w:rsidP="00723BF0">
                            <w:pPr>
                              <w:pStyle w:val="ListParagraph"/>
                              <w:numPr>
                                <w:ilvl w:val="0"/>
                                <w:numId w:val="32"/>
                              </w:numPr>
                              <w:rPr>
                                <w:color w:val="F2F2F2" w:themeColor="background1" w:themeShade="F2"/>
                              </w:rPr>
                            </w:pPr>
                            <w:r>
                              <w:rPr>
                                <w:color w:val="F2F2F2" w:themeColor="background1" w:themeShade="F2"/>
                              </w:rPr>
                              <w:t>Providers do not have to use or refer to the Service Menu</w:t>
                            </w:r>
                          </w:p>
                          <w:p w14:paraId="3C90CFC1" w14:textId="77777777" w:rsidR="00233C6F" w:rsidRDefault="00233C6F" w:rsidP="00723BF0">
                            <w:pPr>
                              <w:pStyle w:val="ListParagraph"/>
                              <w:numPr>
                                <w:ilvl w:val="0"/>
                                <w:numId w:val="32"/>
                              </w:numPr>
                              <w:rPr>
                                <w:color w:val="F2F2F2" w:themeColor="background1" w:themeShade="F2"/>
                              </w:rPr>
                            </w:pPr>
                            <w:r>
                              <w:rPr>
                                <w:color w:val="F2F2F2" w:themeColor="background1" w:themeShade="F2"/>
                              </w:rPr>
                              <w:t>Providers should discuss with communities to ensure Service Menu items fit local contexts and meet local needs</w:t>
                            </w:r>
                          </w:p>
                          <w:p w14:paraId="1A7F0551" w14:textId="77777777" w:rsidR="00233C6F" w:rsidRPr="000F00C4" w:rsidRDefault="00233C6F" w:rsidP="00435757">
                            <w:pP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C357317" id="Rounded Rectangle 8" o:spid="_x0000_s1031" alt="The EEAI Operational Framework also includes a Service Menu (Appendix A):&#10;• This is a list of possible approaches for Providers to discuss with communities&#10;• Providers do not have to use or refer to the Service Menu&#10;• Providers should discuss with communities to ensure Service Menu items fit local contexts and meet local needs&#10;" style="width:243.05pt;height:1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" fillcolor="#2a4055 [3204]" strokecolor="#151f2a [1604]" strokeweight="1pt">
                <v:stroke joinstyle="miter"/>
                <v:textbox>
                  <w:txbxContent>
                    <w:p w14:paraId="0FD52D9E" w14:textId="77777777" w:rsidR="00233C6F" w:rsidRPr="00723BF0" w:rsidRDefault="00233C6F" w:rsidP="00723BF0">
                      <w:pPr>
                        <w:rPr>
                          <w:b/>
                          <w:color w:val="F2F2F2" w:themeColor="background1" w:themeShade="F2"/>
                        </w:rPr>
                      </w:pPr>
                      <w:r w:rsidRPr="00723BF0">
                        <w:rPr>
                          <w:b/>
                          <w:color w:val="F2F2F2" w:themeColor="background1" w:themeShade="F2"/>
                        </w:rPr>
                        <w:t>The EEAI Operational Framework also includes a Service Menu (Appendix A):</w:t>
                      </w:r>
                    </w:p>
                    <w:p w14:paraId="0043C378" w14:textId="77777777" w:rsidR="00233C6F" w:rsidRPr="00157BCA" w:rsidRDefault="00233C6F" w:rsidP="00723BF0">
                      <w:pPr>
                        <w:pStyle w:val="ListParagraph"/>
                        <w:numPr>
                          <w:ilvl w:val="0"/>
                          <w:numId w:val="32"/>
                        </w:numPr>
                        <w:rPr>
                          <w:color w:val="F2F2F2" w:themeColor="background1" w:themeShade="F2"/>
                        </w:rPr>
                      </w:pPr>
                      <w:r>
                        <w:rPr>
                          <w:color w:val="F2F2F2" w:themeColor="background1" w:themeShade="F2"/>
                        </w:rPr>
                        <w:t>This is a list of possible approaches for Providers to discuss with communities</w:t>
                      </w:r>
                    </w:p>
                    <w:p w14:paraId="42AE877E" w14:textId="77777777" w:rsidR="00233C6F" w:rsidRPr="00157BCA" w:rsidRDefault="00233C6F" w:rsidP="00723BF0">
                      <w:pPr>
                        <w:pStyle w:val="ListParagraph"/>
                        <w:numPr>
                          <w:ilvl w:val="0"/>
                          <w:numId w:val="32"/>
                        </w:numPr>
                        <w:rPr>
                          <w:color w:val="F2F2F2" w:themeColor="background1" w:themeShade="F2"/>
                        </w:rPr>
                      </w:pPr>
                      <w:r>
                        <w:rPr>
                          <w:color w:val="F2F2F2" w:themeColor="background1" w:themeShade="F2"/>
                        </w:rPr>
                        <w:t>Providers do not have to use or refer to the Service Menu</w:t>
                      </w:r>
                    </w:p>
                    <w:p w14:paraId="3C90CFC1" w14:textId="77777777" w:rsidR="00233C6F" w:rsidRDefault="00233C6F" w:rsidP="00723BF0">
                      <w:pPr>
                        <w:pStyle w:val="ListParagraph"/>
                        <w:numPr>
                          <w:ilvl w:val="0"/>
                          <w:numId w:val="32"/>
                        </w:numPr>
                        <w:rPr>
                          <w:color w:val="F2F2F2" w:themeColor="background1" w:themeShade="F2"/>
                        </w:rPr>
                      </w:pPr>
                      <w:r>
                        <w:rPr>
                          <w:color w:val="F2F2F2" w:themeColor="background1" w:themeShade="F2"/>
                        </w:rPr>
                        <w:t>Providers should discuss with communities to ensure Service Menu items fit local contexts and meet local needs</w:t>
                      </w:r>
                    </w:p>
                    <w:p w14:paraId="1A7F0551" w14:textId="77777777" w:rsidR="00233C6F" w:rsidRPr="000F00C4" w:rsidRDefault="00233C6F" w:rsidP="00435757">
                      <w:pPr>
                        <w:rPr>
                          <w:color w:val="F2F2F2" w:themeColor="background1" w:themeShade="F2"/>
                        </w:rPr>
                      </w:pPr>
                    </w:p>
                  </w:txbxContent>
                </v:textbox>
                <w10:anchorlock/>
              </v:roundrect>
            </w:pict>
          </mc:Fallback>
        </mc:AlternateContent>
      </w:r>
      <w:r>
        <w:t xml:space="preserve">   </w:t>
      </w:r>
      <w:r>
        <w:rPr>
          <w:noProof/>
          <w:lang w:eastAsia="en-AU"/>
        </w:rPr>
        <mc:AlternateContent>
          <mc:Choice Requires="wps">
            <w:drawing>
              <wp:inline distT="0" distB="0" distL="0" distR="0" wp14:anchorId="2E411ABC" wp14:editId="12AB609D">
                <wp:extent cx="3128837" cy="1963420"/>
                <wp:effectExtent l="0" t="0" r="14605" b="17780"/>
                <wp:docPr id="7" name="Rounded Rectangle 7" descr="The EEAI Operational Framework also provides the policy context including:&#10;• Policy rationale for an engagement-focused approach&#10;• A working definition of engagement&#10;• A working definition of attainment (see sections 2.3, 2.4 and 2.5)&#10;"/>
                <wp:cNvGraphicFramePr/>
                <a:graphic xmlns:a="http://schemas.openxmlformats.org/drawingml/2006/main">
                  <a:graphicData uri="http://schemas.microsoft.com/office/word/2010/wordprocessingShape">
                    <wps:wsp>
                      <wps:cNvSpPr/>
                      <wps:spPr>
                        <a:xfrm>
                          <a:off x="0" y="0"/>
                          <a:ext cx="3128837" cy="1963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C06869" w14:textId="77777777" w:rsidR="00233C6F" w:rsidRPr="00251F0F" w:rsidRDefault="00233C6F" w:rsidP="008E14C6">
                            <w:pPr>
                              <w:rPr>
                                <w:b/>
                                <w:color w:val="F2F2F2" w:themeColor="background1" w:themeShade="F2"/>
                              </w:rPr>
                            </w:pPr>
                            <w:r w:rsidRPr="00251F0F">
                              <w:rPr>
                                <w:b/>
                                <w:color w:val="F2F2F2" w:themeColor="background1" w:themeShade="F2"/>
                              </w:rPr>
                              <w:t>The EEAI Operational Framework also provides the policy context including:</w:t>
                            </w:r>
                          </w:p>
                          <w:p w14:paraId="4E7269D2" w14:textId="77777777" w:rsidR="00233C6F" w:rsidRPr="00157BCA" w:rsidRDefault="00233C6F" w:rsidP="008E14C6">
                            <w:pPr>
                              <w:pStyle w:val="ListParagraph"/>
                              <w:numPr>
                                <w:ilvl w:val="0"/>
                                <w:numId w:val="32"/>
                              </w:numPr>
                              <w:rPr>
                                <w:color w:val="F2F2F2" w:themeColor="background1" w:themeShade="F2"/>
                              </w:rPr>
                            </w:pPr>
                            <w:r>
                              <w:rPr>
                                <w:color w:val="F2F2F2" w:themeColor="background1" w:themeShade="F2"/>
                              </w:rPr>
                              <w:t>P</w:t>
                            </w:r>
                            <w:r w:rsidRPr="00157BCA">
                              <w:rPr>
                                <w:color w:val="F2F2F2" w:themeColor="background1" w:themeShade="F2"/>
                              </w:rPr>
                              <w:t>olicy rationale for</w:t>
                            </w:r>
                            <w:r>
                              <w:rPr>
                                <w:color w:val="F2F2F2" w:themeColor="background1" w:themeShade="F2"/>
                              </w:rPr>
                              <w:t xml:space="preserve"> an engagement-focused approach</w:t>
                            </w:r>
                          </w:p>
                          <w:p w14:paraId="165289DD" w14:textId="77777777" w:rsidR="00233C6F" w:rsidRPr="00157BCA" w:rsidRDefault="00233C6F" w:rsidP="008E14C6">
                            <w:pPr>
                              <w:pStyle w:val="ListParagraph"/>
                              <w:numPr>
                                <w:ilvl w:val="0"/>
                                <w:numId w:val="32"/>
                              </w:numPr>
                              <w:rPr>
                                <w:color w:val="F2F2F2" w:themeColor="background1" w:themeShade="F2"/>
                              </w:rPr>
                            </w:pPr>
                            <w:r>
                              <w:rPr>
                                <w:color w:val="F2F2F2" w:themeColor="background1" w:themeShade="F2"/>
                              </w:rPr>
                              <w:t>A</w:t>
                            </w:r>
                            <w:r w:rsidRPr="00157BCA">
                              <w:rPr>
                                <w:color w:val="F2F2F2" w:themeColor="background1" w:themeShade="F2"/>
                              </w:rPr>
                              <w:t xml:space="preserve"> working defini</w:t>
                            </w:r>
                            <w:r>
                              <w:rPr>
                                <w:color w:val="F2F2F2" w:themeColor="background1" w:themeShade="F2"/>
                              </w:rPr>
                              <w:t>tion of engagement</w:t>
                            </w:r>
                          </w:p>
                          <w:p w14:paraId="777F9E53" w14:textId="77777777" w:rsidR="00233C6F" w:rsidRDefault="00233C6F" w:rsidP="008E14C6">
                            <w:pPr>
                              <w:pStyle w:val="ListParagraph"/>
                              <w:numPr>
                                <w:ilvl w:val="0"/>
                                <w:numId w:val="32"/>
                              </w:numPr>
                              <w:rPr>
                                <w:color w:val="F2F2F2" w:themeColor="background1" w:themeShade="F2"/>
                              </w:rPr>
                            </w:pPr>
                            <w:r>
                              <w:rPr>
                                <w:color w:val="F2F2F2" w:themeColor="background1" w:themeShade="F2"/>
                              </w:rPr>
                              <w:t>A</w:t>
                            </w:r>
                            <w:r w:rsidRPr="00157BCA">
                              <w:rPr>
                                <w:color w:val="F2F2F2" w:themeColor="background1" w:themeShade="F2"/>
                              </w:rPr>
                              <w:t xml:space="preserve"> working defini</w:t>
                            </w:r>
                            <w:r>
                              <w:rPr>
                                <w:color w:val="F2F2F2" w:themeColor="background1" w:themeShade="F2"/>
                              </w:rPr>
                              <w:t>tion of attainment</w:t>
                            </w:r>
                          </w:p>
                          <w:p w14:paraId="75E9DB72" w14:textId="77777777" w:rsidR="00233C6F" w:rsidRPr="00157BCA" w:rsidRDefault="00233C6F" w:rsidP="008E14C6">
                            <w:pPr>
                              <w:pStyle w:val="ListParagraph"/>
                              <w:rPr>
                                <w:color w:val="F2F2F2" w:themeColor="background1" w:themeShade="F2"/>
                              </w:rPr>
                            </w:pPr>
                            <w:r>
                              <w:rPr>
                                <w:color w:val="F2F2F2" w:themeColor="background1" w:themeShade="F2"/>
                              </w:rPr>
                              <w:t>(see sections 2.3, 2.4 and 2.5)</w:t>
                            </w:r>
                          </w:p>
                          <w:p w14:paraId="2794AA03" w14:textId="77777777" w:rsidR="00233C6F" w:rsidRPr="000F00C4" w:rsidRDefault="00233C6F" w:rsidP="008E14C6">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411ABC" id="Rounded Rectangle 7" o:spid="_x0000_s1032" alt="The EEAI Operational Framework also provides the policy context including:&#10;• Policy rationale for an engagement-focused approach&#10;• A working definition of engagement&#10;• A working definition of attainment (see sections 2.3, 2.4 and 2.5)&#10;" style="width:246.35pt;height:154.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" fillcolor="#2a4055 [3204]" strokecolor="#151f2a [1604]" strokeweight="1pt">
                <v:stroke joinstyle="miter"/>
                <v:textbox>
                  <w:txbxContent>
                    <w:p w14:paraId="76C06869" w14:textId="77777777" w:rsidR="00233C6F" w:rsidRPr="00251F0F" w:rsidRDefault="00233C6F" w:rsidP="008E14C6">
                      <w:pPr>
                        <w:rPr>
                          <w:b/>
                          <w:color w:val="F2F2F2" w:themeColor="background1" w:themeShade="F2"/>
                        </w:rPr>
                      </w:pPr>
                      <w:r w:rsidRPr="00251F0F">
                        <w:rPr>
                          <w:b/>
                          <w:color w:val="F2F2F2" w:themeColor="background1" w:themeShade="F2"/>
                        </w:rPr>
                        <w:t>The EEAI Operational Framework also provides the policy context including:</w:t>
                      </w:r>
                    </w:p>
                    <w:p w14:paraId="4E7269D2" w14:textId="77777777" w:rsidR="00233C6F" w:rsidRPr="00157BCA" w:rsidRDefault="00233C6F" w:rsidP="008E14C6">
                      <w:pPr>
                        <w:pStyle w:val="ListParagraph"/>
                        <w:numPr>
                          <w:ilvl w:val="0"/>
                          <w:numId w:val="32"/>
                        </w:numPr>
                        <w:rPr>
                          <w:color w:val="F2F2F2" w:themeColor="background1" w:themeShade="F2"/>
                        </w:rPr>
                      </w:pPr>
                      <w:r>
                        <w:rPr>
                          <w:color w:val="F2F2F2" w:themeColor="background1" w:themeShade="F2"/>
                        </w:rPr>
                        <w:t>P</w:t>
                      </w:r>
                      <w:r w:rsidRPr="00157BCA">
                        <w:rPr>
                          <w:color w:val="F2F2F2" w:themeColor="background1" w:themeShade="F2"/>
                        </w:rPr>
                        <w:t>olicy rationale for</w:t>
                      </w:r>
                      <w:r>
                        <w:rPr>
                          <w:color w:val="F2F2F2" w:themeColor="background1" w:themeShade="F2"/>
                        </w:rPr>
                        <w:t xml:space="preserve"> an engagement-focused approach</w:t>
                      </w:r>
                    </w:p>
                    <w:p w14:paraId="165289DD" w14:textId="77777777" w:rsidR="00233C6F" w:rsidRPr="00157BCA" w:rsidRDefault="00233C6F" w:rsidP="008E14C6">
                      <w:pPr>
                        <w:pStyle w:val="ListParagraph"/>
                        <w:numPr>
                          <w:ilvl w:val="0"/>
                          <w:numId w:val="32"/>
                        </w:numPr>
                        <w:rPr>
                          <w:color w:val="F2F2F2" w:themeColor="background1" w:themeShade="F2"/>
                        </w:rPr>
                      </w:pPr>
                      <w:r>
                        <w:rPr>
                          <w:color w:val="F2F2F2" w:themeColor="background1" w:themeShade="F2"/>
                        </w:rPr>
                        <w:t>A</w:t>
                      </w:r>
                      <w:r w:rsidRPr="00157BCA">
                        <w:rPr>
                          <w:color w:val="F2F2F2" w:themeColor="background1" w:themeShade="F2"/>
                        </w:rPr>
                        <w:t xml:space="preserve"> working defini</w:t>
                      </w:r>
                      <w:r>
                        <w:rPr>
                          <w:color w:val="F2F2F2" w:themeColor="background1" w:themeShade="F2"/>
                        </w:rPr>
                        <w:t>tion of engagement</w:t>
                      </w:r>
                    </w:p>
                    <w:p w14:paraId="777F9E53" w14:textId="77777777" w:rsidR="00233C6F" w:rsidRDefault="00233C6F" w:rsidP="008E14C6">
                      <w:pPr>
                        <w:pStyle w:val="ListParagraph"/>
                        <w:numPr>
                          <w:ilvl w:val="0"/>
                          <w:numId w:val="32"/>
                        </w:numPr>
                        <w:rPr>
                          <w:color w:val="F2F2F2" w:themeColor="background1" w:themeShade="F2"/>
                        </w:rPr>
                      </w:pPr>
                      <w:r>
                        <w:rPr>
                          <w:color w:val="F2F2F2" w:themeColor="background1" w:themeShade="F2"/>
                        </w:rPr>
                        <w:t>A</w:t>
                      </w:r>
                      <w:r w:rsidRPr="00157BCA">
                        <w:rPr>
                          <w:color w:val="F2F2F2" w:themeColor="background1" w:themeShade="F2"/>
                        </w:rPr>
                        <w:t xml:space="preserve"> working defini</w:t>
                      </w:r>
                      <w:r>
                        <w:rPr>
                          <w:color w:val="F2F2F2" w:themeColor="background1" w:themeShade="F2"/>
                        </w:rPr>
                        <w:t>tion of attainment</w:t>
                      </w:r>
                    </w:p>
                    <w:p w14:paraId="75E9DB72" w14:textId="77777777" w:rsidR="00233C6F" w:rsidRPr="00157BCA" w:rsidRDefault="00233C6F" w:rsidP="008E14C6">
                      <w:pPr>
                        <w:pStyle w:val="ListParagraph"/>
                        <w:rPr>
                          <w:color w:val="F2F2F2" w:themeColor="background1" w:themeShade="F2"/>
                        </w:rPr>
                      </w:pPr>
                      <w:r>
                        <w:rPr>
                          <w:color w:val="F2F2F2" w:themeColor="background1" w:themeShade="F2"/>
                        </w:rPr>
                        <w:t>(see sections 2.3, 2.4 and 2.5)</w:t>
                      </w:r>
                    </w:p>
                    <w:p w14:paraId="2794AA03" w14:textId="77777777" w:rsidR="00233C6F" w:rsidRPr="000F00C4" w:rsidRDefault="00233C6F" w:rsidP="008E14C6">
                      <w:pPr>
                        <w:jc w:val="center"/>
                        <w:rPr>
                          <w:color w:val="F2F2F2" w:themeColor="background1" w:themeShade="F2"/>
                        </w:rPr>
                      </w:pPr>
                    </w:p>
                  </w:txbxContent>
                </v:textbox>
                <w10:anchorlock/>
              </v:roundrect>
            </w:pict>
          </mc:Fallback>
        </mc:AlternateContent>
      </w:r>
    </w:p>
    <w:p w14:paraId="2899C76E" w14:textId="77777777" w:rsidR="00BB0493" w:rsidRPr="00B54DEF" w:rsidRDefault="00BB0493" w:rsidP="00BB0493">
      <w:pPr>
        <w:pStyle w:val="Heading1"/>
      </w:pPr>
      <w:bookmarkStart w:id="4" w:name="_Toc152687553"/>
      <w:bookmarkStart w:id="5" w:name="_Toc153369841"/>
      <w:r>
        <w:lastRenderedPageBreak/>
        <w:t>Document information</w:t>
      </w:r>
      <w:bookmarkEnd w:id="4"/>
      <w:bookmarkEnd w:id="5"/>
    </w:p>
    <w:p w14:paraId="2E848BF9" w14:textId="77777777" w:rsidR="00BB0493" w:rsidRDefault="00BB0493" w:rsidP="00BB0493">
      <w:pPr>
        <w:pStyle w:val="BodyText"/>
      </w:pPr>
      <w:r>
        <w:t xml:space="preserve">Document name: </w:t>
      </w:r>
      <w:sdt>
        <w:sdtPr>
          <w:alias w:val="Name"/>
          <w:tag w:val="Name"/>
          <w:id w:val="1855607148"/>
          <w:placeholder>
            <w:docPart w:val="68D35D85EBE840D5A517DB58AE4B4198"/>
          </w:placeholder>
        </w:sdtPr>
        <w:sdtEndPr/>
        <w:sdtContent>
          <w:r>
            <w:t>Children &amp; Schooling Education Engagement &amp; Attainment Initiatives Operational Framework 2024</w:t>
          </w:r>
        </w:sdtContent>
      </w:sdt>
    </w:p>
    <w:p w14:paraId="2DFA8E19" w14:textId="77777777" w:rsidR="00BB0493" w:rsidRDefault="00BB0493" w:rsidP="00BB0493">
      <w:pPr>
        <w:pStyle w:val="BodyText"/>
      </w:pPr>
      <w:r>
        <w:t xml:space="preserve">Business owner: </w:t>
      </w:r>
      <w:sdt>
        <w:sdtPr>
          <w:alias w:val="Team or section"/>
          <w:tag w:val="Team"/>
          <w:id w:val="-1231683455"/>
          <w:placeholder>
            <w:docPart w:val="0BDADD18C90A43A99EF2E79CC83B233E"/>
          </w:placeholder>
        </w:sdtPr>
        <w:sdtEndPr/>
        <w:sdtContent>
          <w:r>
            <w:t>School Attendance Policy &amp; Programs</w:t>
          </w:r>
        </w:sdtContent>
      </w:sdt>
      <w:r>
        <w:t xml:space="preserve">, </w:t>
      </w:r>
      <w:sdt>
        <w:sdtPr>
          <w:alias w:val="Branch"/>
          <w:tag w:val="Branch"/>
          <w:id w:val="447666844"/>
          <w:placeholder>
            <w:docPart w:val="0BDADD18C90A43A99EF2E79CC83B233E"/>
          </w:placeholder>
        </w:sdtPr>
        <w:sdtEndPr/>
        <w:sdtContent>
          <w:r>
            <w:t>Early Years &amp; Education</w:t>
          </w:r>
        </w:sdtContent>
      </w:sdt>
    </w:p>
    <w:p w14:paraId="002A293B" w14:textId="77777777" w:rsidR="00BB0493" w:rsidRPr="00180C1F" w:rsidRDefault="00BB0493" w:rsidP="00BB0493">
      <w:pPr>
        <w:pStyle w:val="BodyText"/>
      </w:pPr>
      <w:r>
        <w:t xml:space="preserve">Approved by:  </w:t>
      </w:r>
      <w:sdt>
        <w:sdtPr>
          <w:alias w:val="SES name and branch"/>
          <w:tag w:val="SES name and branch"/>
          <w:id w:val="194516823"/>
          <w:placeholder>
            <w:docPart w:val="2E63E84DD89A49C1BE9943E0652617B3"/>
          </w:placeholder>
        </w:sdtPr>
        <w:sdtEndPr/>
        <w:sdtContent>
          <w:r w:rsidR="005162CE">
            <w:t>Branch Manager</w:t>
          </w:r>
          <w:r>
            <w:t>, Early Years &amp; Education</w:t>
          </w:r>
        </w:sdtContent>
      </w:sdt>
      <w:r>
        <w:t xml:space="preserve"> on </w:t>
      </w:r>
      <w:sdt>
        <w:sdtPr>
          <w:alias w:val="Date approved"/>
          <w:tag w:val="Date approved"/>
          <w:id w:val="-1202777542"/>
          <w:placeholder>
            <w:docPart w:val="60D2F86ACDC0426DA70AAE03499DB393"/>
          </w:placeholder>
          <w:date w:fullDate="2024-03-26T00:00:00Z">
            <w:dateFormat w:val="d/MM/yyyy"/>
            <w:lid w:val="en-AU"/>
            <w:storeMappedDataAs w:val="dateTime"/>
            <w:calendar w:val="gregorian"/>
          </w:date>
        </w:sdtPr>
        <w:sdtEndPr/>
        <w:sdtContent>
          <w:r w:rsidR="00CC3891">
            <w:t>26/03/2024</w:t>
          </w:r>
        </w:sdtContent>
      </w:sdt>
    </w:p>
    <w:p w14:paraId="6C7C6F3C" w14:textId="77777777" w:rsidR="00BB0493" w:rsidRDefault="00BB0493" w:rsidP="00283C36">
      <w:pPr>
        <w:pStyle w:val="Heading2"/>
        <w:numPr>
          <w:ilvl w:val="0"/>
          <w:numId w:val="0"/>
        </w:numPr>
        <w:ind w:left="720"/>
      </w:pPr>
      <w:bookmarkStart w:id="6" w:name="_Toc102042518"/>
      <w:bookmarkStart w:id="7" w:name="_Toc152687554"/>
      <w:bookmarkStart w:id="8" w:name="_Toc153369842"/>
      <w:r>
        <w:t>Revision history</w:t>
      </w:r>
      <w:bookmarkEnd w:id="6"/>
      <w:bookmarkEnd w:id="7"/>
      <w:bookmarkEnd w:id="8"/>
    </w:p>
    <w:tbl>
      <w:tblPr>
        <w:tblStyle w:val="NIAATable-bandedrows"/>
        <w:tblW w:w="0" w:type="auto"/>
        <w:tblLook w:val="0420" w:firstRow="1" w:lastRow="0" w:firstColumn="0" w:lastColumn="0" w:noHBand="0" w:noVBand="1"/>
        <w:tblCaption w:val="Revision history"/>
      </w:tblPr>
      <w:tblGrid>
        <w:gridCol w:w="1985"/>
        <w:gridCol w:w="1701"/>
        <w:gridCol w:w="1984"/>
        <w:gridCol w:w="4524"/>
      </w:tblGrid>
      <w:tr w:rsidR="00BB0493" w:rsidRPr="00AA4D84" w14:paraId="47533294" w14:textId="77777777" w:rsidTr="0051080B">
        <w:trPr>
          <w:cnfStyle w:val="100000000000" w:firstRow="1" w:lastRow="0" w:firstColumn="0" w:lastColumn="0" w:oddVBand="0" w:evenVBand="0" w:oddHBand="0" w:evenHBand="0" w:firstRowFirstColumn="0" w:firstRowLastColumn="0" w:lastRowFirstColumn="0" w:lastRowLastColumn="0"/>
          <w:cantSplit w:val="0"/>
          <w:trHeight w:val="350"/>
        </w:trPr>
        <w:tc>
          <w:tcPr>
            <w:tcW w:w="1985" w:type="dxa"/>
          </w:tcPr>
          <w:p w14:paraId="7CC4307A" w14:textId="77777777" w:rsidR="00BB0493" w:rsidRPr="001912A0" w:rsidRDefault="00BB0493" w:rsidP="00BB0493">
            <w:pPr>
              <w:pStyle w:val="Tableheading"/>
              <w:rPr>
                <w:b/>
              </w:rPr>
            </w:pPr>
            <w:r>
              <w:rPr>
                <w:b/>
              </w:rPr>
              <w:t>Version</w:t>
            </w:r>
          </w:p>
        </w:tc>
        <w:tc>
          <w:tcPr>
            <w:tcW w:w="1701" w:type="dxa"/>
          </w:tcPr>
          <w:p w14:paraId="0D84C544" w14:textId="77777777" w:rsidR="00BB0493" w:rsidRPr="001912A0" w:rsidRDefault="00BB0493" w:rsidP="00BB0493">
            <w:pPr>
              <w:pStyle w:val="Tableheading"/>
              <w:rPr>
                <w:b/>
              </w:rPr>
            </w:pPr>
            <w:r>
              <w:rPr>
                <w:b/>
              </w:rPr>
              <w:t>Date</w:t>
            </w:r>
          </w:p>
        </w:tc>
        <w:tc>
          <w:tcPr>
            <w:tcW w:w="1984" w:type="dxa"/>
          </w:tcPr>
          <w:p w14:paraId="39906871" w14:textId="77777777" w:rsidR="00BB0493" w:rsidRPr="001912A0" w:rsidRDefault="00BB0493" w:rsidP="00BB0493">
            <w:pPr>
              <w:pStyle w:val="Tableheading"/>
              <w:rPr>
                <w:b/>
              </w:rPr>
            </w:pPr>
            <w:r>
              <w:rPr>
                <w:b/>
              </w:rPr>
              <w:t>Author</w:t>
            </w:r>
          </w:p>
        </w:tc>
        <w:tc>
          <w:tcPr>
            <w:tcW w:w="4524" w:type="dxa"/>
          </w:tcPr>
          <w:p w14:paraId="74038D5E" w14:textId="77777777" w:rsidR="00BB0493" w:rsidRPr="001912A0" w:rsidRDefault="00BB0493" w:rsidP="00BB0493">
            <w:pPr>
              <w:pStyle w:val="Tableheading"/>
              <w:rPr>
                <w:b/>
              </w:rPr>
            </w:pPr>
            <w:r>
              <w:rPr>
                <w:b/>
              </w:rPr>
              <w:t>Comments</w:t>
            </w:r>
          </w:p>
        </w:tc>
      </w:tr>
      <w:tr w:rsidR="00BB0493" w:rsidRPr="00FF5459" w14:paraId="4A2AFE9F" w14:textId="77777777" w:rsidTr="0051080B">
        <w:trPr>
          <w:cnfStyle w:val="000000100000" w:firstRow="0" w:lastRow="0" w:firstColumn="0" w:lastColumn="0" w:oddVBand="0" w:evenVBand="0" w:oddHBand="1" w:evenHBand="0" w:firstRowFirstColumn="0" w:firstRowLastColumn="0" w:lastRowFirstColumn="0" w:lastRowLastColumn="0"/>
          <w:trHeight w:val="350"/>
        </w:trPr>
        <w:tc>
          <w:tcPr>
            <w:tcW w:w="1985" w:type="dxa"/>
          </w:tcPr>
          <w:p w14:paraId="5DC8331A" w14:textId="77777777" w:rsidR="00BB0493" w:rsidRPr="00FF5459" w:rsidRDefault="00BB0493" w:rsidP="00BB0493">
            <w:pPr>
              <w:pStyle w:val="Tablebody"/>
            </w:pPr>
            <w:r>
              <w:t>1.0</w:t>
            </w:r>
          </w:p>
        </w:tc>
        <w:tc>
          <w:tcPr>
            <w:tcW w:w="1701" w:type="dxa"/>
          </w:tcPr>
          <w:p w14:paraId="645D5664" w14:textId="77777777" w:rsidR="00BB0493" w:rsidRPr="00FF5459" w:rsidRDefault="00AE67B0" w:rsidP="00BB0493">
            <w:pPr>
              <w:pStyle w:val="Tablebody"/>
            </w:pPr>
            <w:r>
              <w:t>13/12/2023</w:t>
            </w:r>
          </w:p>
        </w:tc>
        <w:tc>
          <w:tcPr>
            <w:tcW w:w="1984" w:type="dxa"/>
          </w:tcPr>
          <w:p w14:paraId="6BC83462" w14:textId="77777777" w:rsidR="00BB0493" w:rsidRPr="00FF5459" w:rsidRDefault="00BB0493" w:rsidP="00BB0493">
            <w:pPr>
              <w:pStyle w:val="Tablebody"/>
            </w:pPr>
            <w:r>
              <w:t xml:space="preserve">SAPP Team </w:t>
            </w:r>
          </w:p>
        </w:tc>
        <w:tc>
          <w:tcPr>
            <w:tcW w:w="4524" w:type="dxa"/>
          </w:tcPr>
          <w:p w14:paraId="7A8E8FAE" w14:textId="77777777" w:rsidR="00BB0493" w:rsidRPr="00FF5459" w:rsidRDefault="00BB0493" w:rsidP="00BB0493">
            <w:pPr>
              <w:pStyle w:val="Tablebody"/>
            </w:pPr>
            <w:r>
              <w:t>First external release</w:t>
            </w:r>
            <w:r w:rsidR="005162CE">
              <w:t>.</w:t>
            </w:r>
          </w:p>
        </w:tc>
      </w:tr>
      <w:tr w:rsidR="0051080B" w:rsidRPr="00FF5459" w14:paraId="5F953A04" w14:textId="77777777" w:rsidTr="0051080B">
        <w:trPr>
          <w:cnfStyle w:val="000000010000" w:firstRow="0" w:lastRow="0" w:firstColumn="0" w:lastColumn="0" w:oddVBand="0" w:evenVBand="0" w:oddHBand="0" w:evenHBand="1" w:firstRowFirstColumn="0" w:firstRowLastColumn="0" w:lastRowFirstColumn="0" w:lastRowLastColumn="0"/>
          <w:trHeight w:val="350"/>
        </w:trPr>
        <w:tc>
          <w:tcPr>
            <w:tcW w:w="1985" w:type="dxa"/>
          </w:tcPr>
          <w:p w14:paraId="6E76EFB4" w14:textId="77777777" w:rsidR="0051080B" w:rsidRDefault="0051080B" w:rsidP="00BB0493">
            <w:pPr>
              <w:pStyle w:val="Tablebody"/>
            </w:pPr>
            <w:r>
              <w:t>1.1</w:t>
            </w:r>
          </w:p>
        </w:tc>
        <w:tc>
          <w:tcPr>
            <w:tcW w:w="1701" w:type="dxa"/>
          </w:tcPr>
          <w:p w14:paraId="63D6B357" w14:textId="77777777" w:rsidR="0051080B" w:rsidRDefault="00CC3891" w:rsidP="005162CE">
            <w:pPr>
              <w:pStyle w:val="Tablebody"/>
            </w:pPr>
            <w:r w:rsidRPr="00CC3891">
              <w:t>26</w:t>
            </w:r>
            <w:r w:rsidR="0051080B" w:rsidRPr="00CC3891">
              <w:t>/0</w:t>
            </w:r>
            <w:r w:rsidR="005162CE" w:rsidRPr="00CC3891">
              <w:t>3</w:t>
            </w:r>
            <w:r w:rsidR="0051080B" w:rsidRPr="00CC3891">
              <w:t>/2024</w:t>
            </w:r>
          </w:p>
        </w:tc>
        <w:tc>
          <w:tcPr>
            <w:tcW w:w="1984" w:type="dxa"/>
          </w:tcPr>
          <w:p w14:paraId="3EAB00A0" w14:textId="77777777" w:rsidR="0051080B" w:rsidRDefault="0051080B" w:rsidP="00BB0493">
            <w:pPr>
              <w:pStyle w:val="Tablebody"/>
            </w:pPr>
            <w:r>
              <w:t>SAPP Team</w:t>
            </w:r>
          </w:p>
        </w:tc>
        <w:tc>
          <w:tcPr>
            <w:tcW w:w="4524" w:type="dxa"/>
          </w:tcPr>
          <w:p w14:paraId="4143C2CE" w14:textId="77777777" w:rsidR="0051080B" w:rsidRDefault="0051080B" w:rsidP="000A50AB">
            <w:pPr>
              <w:pStyle w:val="Tablebody"/>
            </w:pPr>
            <w:r>
              <w:t xml:space="preserve">Second external release, amended with changes to </w:t>
            </w:r>
            <w:r w:rsidR="000A50AB">
              <w:t>improve</w:t>
            </w:r>
            <w:r>
              <w:t xml:space="preserve"> accessibility</w:t>
            </w:r>
            <w:r w:rsidR="005162CE">
              <w:t>.</w:t>
            </w:r>
          </w:p>
        </w:tc>
      </w:tr>
    </w:tbl>
    <w:bookmarkStart w:id="9" w:name="_Toc152687555" w:displacedByCustomXml="next"/>
    <w:sdt>
      <w:sdtPr>
        <w:rPr>
          <w:rFonts w:asciiTheme="minorHAnsi" w:eastAsiaTheme="minorHAnsi" w:hAnsiTheme="minorHAnsi" w:cstheme="minorBidi"/>
          <w:b w:val="0"/>
          <w:color w:val="262626" w:themeColor="text1" w:themeTint="D9"/>
          <w:sz w:val="20"/>
          <w:szCs w:val="20"/>
          <w:lang w:val="en-AU"/>
        </w:rPr>
        <w:id w:val="1463998776"/>
        <w:docPartObj>
          <w:docPartGallery w:val="Table of Contents"/>
          <w:docPartUnique/>
        </w:docPartObj>
      </w:sdtPr>
      <w:sdtEndPr>
        <w:rPr>
          <w:bCs/>
          <w:noProof/>
        </w:rPr>
      </w:sdtEndPr>
      <w:sdtContent>
        <w:p w14:paraId="7ADF9BD8" w14:textId="77777777" w:rsidR="00BB0493" w:rsidRDefault="00BB0493">
          <w:pPr>
            <w:pStyle w:val="TOCHeading"/>
          </w:pPr>
          <w:r>
            <w:t>Contents</w:t>
          </w:r>
        </w:p>
        <w:p w14:paraId="6F6A98FD" w14:textId="77777777" w:rsidR="002B60A7" w:rsidRDefault="00BB0493">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153369840" w:history="1">
            <w:r w:rsidR="002B60A7" w:rsidRPr="00034040">
              <w:rPr>
                <w:rStyle w:val="Hyperlink"/>
                <w:noProof/>
              </w:rPr>
              <w:t>The EEAI Operational Framework at a glance</w:t>
            </w:r>
            <w:r w:rsidR="002B60A7">
              <w:rPr>
                <w:noProof/>
                <w:webHidden/>
              </w:rPr>
              <w:tab/>
            </w:r>
            <w:r w:rsidR="002B60A7">
              <w:rPr>
                <w:noProof/>
                <w:webHidden/>
              </w:rPr>
              <w:fldChar w:fldCharType="begin"/>
            </w:r>
            <w:r w:rsidR="002B60A7">
              <w:rPr>
                <w:noProof/>
                <w:webHidden/>
              </w:rPr>
              <w:instrText xml:space="preserve"> PAGEREF _Toc153369840 \h </w:instrText>
            </w:r>
            <w:r w:rsidR="002B60A7">
              <w:rPr>
                <w:noProof/>
                <w:webHidden/>
              </w:rPr>
            </w:r>
            <w:r w:rsidR="002B60A7">
              <w:rPr>
                <w:noProof/>
                <w:webHidden/>
              </w:rPr>
              <w:fldChar w:fldCharType="separate"/>
            </w:r>
            <w:r w:rsidR="00DF5600">
              <w:rPr>
                <w:noProof/>
                <w:webHidden/>
              </w:rPr>
              <w:t>2</w:t>
            </w:r>
            <w:r w:rsidR="002B60A7">
              <w:rPr>
                <w:noProof/>
                <w:webHidden/>
              </w:rPr>
              <w:fldChar w:fldCharType="end"/>
            </w:r>
          </w:hyperlink>
        </w:p>
        <w:p w14:paraId="677C14EC" w14:textId="77777777" w:rsidR="002B60A7" w:rsidRDefault="0015520C">
          <w:pPr>
            <w:pStyle w:val="TOC1"/>
            <w:tabs>
              <w:tab w:val="right" w:leader="dot" w:pos="10194"/>
            </w:tabs>
            <w:rPr>
              <w:rFonts w:eastAsiaTheme="minorEastAsia"/>
              <w:noProof/>
              <w:color w:val="auto"/>
              <w:sz w:val="22"/>
              <w:szCs w:val="22"/>
              <w:lang w:eastAsia="en-AU"/>
            </w:rPr>
          </w:pPr>
          <w:hyperlink w:anchor="_Toc153369841" w:history="1">
            <w:r w:rsidR="002B60A7" w:rsidRPr="00034040">
              <w:rPr>
                <w:rStyle w:val="Hyperlink"/>
                <w:noProof/>
              </w:rPr>
              <w:t>Document information</w:t>
            </w:r>
            <w:r w:rsidR="002B60A7">
              <w:rPr>
                <w:noProof/>
                <w:webHidden/>
              </w:rPr>
              <w:tab/>
            </w:r>
            <w:r w:rsidR="002B60A7">
              <w:rPr>
                <w:noProof/>
                <w:webHidden/>
              </w:rPr>
              <w:fldChar w:fldCharType="begin"/>
            </w:r>
            <w:r w:rsidR="002B60A7">
              <w:rPr>
                <w:noProof/>
                <w:webHidden/>
              </w:rPr>
              <w:instrText xml:space="preserve"> PAGEREF _Toc153369841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E3B9B0C" w14:textId="77777777" w:rsidR="002B60A7" w:rsidRDefault="0015520C">
          <w:pPr>
            <w:pStyle w:val="TOC2"/>
            <w:tabs>
              <w:tab w:val="right" w:leader="dot" w:pos="10194"/>
            </w:tabs>
            <w:rPr>
              <w:rFonts w:eastAsiaTheme="minorEastAsia"/>
              <w:noProof/>
              <w:color w:val="auto"/>
              <w:sz w:val="22"/>
              <w:szCs w:val="22"/>
              <w:lang w:eastAsia="en-AU"/>
            </w:rPr>
          </w:pPr>
          <w:hyperlink w:anchor="_Toc153369842" w:history="1">
            <w:r w:rsidR="002B60A7" w:rsidRPr="00034040">
              <w:rPr>
                <w:rStyle w:val="Hyperlink"/>
                <w:noProof/>
              </w:rPr>
              <w:t>Revision history</w:t>
            </w:r>
            <w:r w:rsidR="002B60A7">
              <w:rPr>
                <w:noProof/>
                <w:webHidden/>
              </w:rPr>
              <w:tab/>
            </w:r>
            <w:r w:rsidR="002B60A7">
              <w:rPr>
                <w:noProof/>
                <w:webHidden/>
              </w:rPr>
              <w:fldChar w:fldCharType="begin"/>
            </w:r>
            <w:r w:rsidR="002B60A7">
              <w:rPr>
                <w:noProof/>
                <w:webHidden/>
              </w:rPr>
              <w:instrText xml:space="preserve"> PAGEREF _Toc153369842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6FB7D1C1" w14:textId="77777777" w:rsidR="002B60A7" w:rsidRDefault="0015520C">
          <w:pPr>
            <w:pStyle w:val="TOC1"/>
            <w:tabs>
              <w:tab w:val="right" w:leader="dot" w:pos="10194"/>
            </w:tabs>
            <w:rPr>
              <w:rFonts w:eastAsiaTheme="minorEastAsia"/>
              <w:noProof/>
              <w:color w:val="auto"/>
              <w:sz w:val="22"/>
              <w:szCs w:val="22"/>
              <w:lang w:eastAsia="en-AU"/>
            </w:rPr>
          </w:pPr>
          <w:hyperlink w:anchor="_Toc153369843" w:history="1">
            <w:r w:rsidR="002B60A7" w:rsidRPr="00034040">
              <w:rPr>
                <w:rStyle w:val="Hyperlink"/>
                <w:noProof/>
              </w:rPr>
              <w:t>1 Preface</w:t>
            </w:r>
            <w:r w:rsidR="002B60A7">
              <w:rPr>
                <w:noProof/>
                <w:webHidden/>
              </w:rPr>
              <w:tab/>
            </w:r>
            <w:r w:rsidR="002B60A7">
              <w:rPr>
                <w:noProof/>
                <w:webHidden/>
              </w:rPr>
              <w:fldChar w:fldCharType="begin"/>
            </w:r>
            <w:r w:rsidR="002B60A7">
              <w:rPr>
                <w:noProof/>
                <w:webHidden/>
              </w:rPr>
              <w:instrText xml:space="preserve"> PAGEREF _Toc153369843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9F6D45E"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44" w:history="1">
            <w:r w:rsidR="002B60A7" w:rsidRPr="00034040">
              <w:rPr>
                <w:rStyle w:val="Hyperlink"/>
                <w:noProof/>
              </w:rPr>
              <w:t>1.1</w:t>
            </w:r>
            <w:r w:rsidR="002B60A7">
              <w:rPr>
                <w:rFonts w:eastAsiaTheme="minorEastAsia"/>
                <w:noProof/>
                <w:color w:val="auto"/>
                <w:sz w:val="22"/>
                <w:szCs w:val="22"/>
                <w:lang w:eastAsia="en-AU"/>
              </w:rPr>
              <w:tab/>
            </w:r>
            <w:r w:rsidR="002B60A7" w:rsidRPr="00034040">
              <w:rPr>
                <w:rStyle w:val="Hyperlink"/>
                <w:noProof/>
              </w:rPr>
              <w:t>What is the Children &amp; Schooling Education Engagement &amp; Attainment Initiatives Operational Framework?</w:t>
            </w:r>
            <w:r w:rsidR="002B60A7">
              <w:rPr>
                <w:noProof/>
                <w:webHidden/>
              </w:rPr>
              <w:tab/>
            </w:r>
            <w:r w:rsidR="002B60A7">
              <w:rPr>
                <w:noProof/>
                <w:webHidden/>
              </w:rPr>
              <w:fldChar w:fldCharType="begin"/>
            </w:r>
            <w:r w:rsidR="002B60A7">
              <w:rPr>
                <w:noProof/>
                <w:webHidden/>
              </w:rPr>
              <w:instrText xml:space="preserve"> PAGEREF _Toc153369844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0D3E12B6"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45" w:history="1">
            <w:r w:rsidR="002B60A7" w:rsidRPr="00034040">
              <w:rPr>
                <w:rStyle w:val="Hyperlink"/>
                <w:noProof/>
              </w:rPr>
              <w:t>1.2</w:t>
            </w:r>
            <w:r w:rsidR="002B60A7">
              <w:rPr>
                <w:rFonts w:eastAsiaTheme="minorEastAsia"/>
                <w:noProof/>
                <w:color w:val="auto"/>
                <w:sz w:val="22"/>
                <w:szCs w:val="22"/>
                <w:lang w:eastAsia="en-AU"/>
              </w:rPr>
              <w:tab/>
            </w:r>
            <w:r w:rsidR="002B60A7" w:rsidRPr="00034040">
              <w:rPr>
                <w:rStyle w:val="Hyperlink"/>
                <w:noProof/>
              </w:rPr>
              <w:t>Glossary of definitions &amp; terms</w:t>
            </w:r>
            <w:r w:rsidR="002B60A7">
              <w:rPr>
                <w:noProof/>
                <w:webHidden/>
              </w:rPr>
              <w:tab/>
            </w:r>
            <w:r w:rsidR="002B60A7">
              <w:rPr>
                <w:noProof/>
                <w:webHidden/>
              </w:rPr>
              <w:fldChar w:fldCharType="begin"/>
            </w:r>
            <w:r w:rsidR="002B60A7">
              <w:rPr>
                <w:noProof/>
                <w:webHidden/>
              </w:rPr>
              <w:instrText xml:space="preserve"> PAGEREF _Toc153369845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1608DA3" w14:textId="77777777" w:rsidR="002B60A7" w:rsidRDefault="0015520C">
          <w:pPr>
            <w:pStyle w:val="TOC1"/>
            <w:tabs>
              <w:tab w:val="left" w:pos="400"/>
              <w:tab w:val="right" w:leader="dot" w:pos="10194"/>
            </w:tabs>
            <w:rPr>
              <w:rFonts w:eastAsiaTheme="minorEastAsia"/>
              <w:noProof/>
              <w:color w:val="auto"/>
              <w:sz w:val="22"/>
              <w:szCs w:val="22"/>
              <w:lang w:eastAsia="en-AU"/>
            </w:rPr>
          </w:pPr>
          <w:hyperlink w:anchor="_Toc153369846" w:history="1">
            <w:r w:rsidR="002B60A7" w:rsidRPr="00034040">
              <w:rPr>
                <w:rStyle w:val="Hyperlink"/>
                <w:noProof/>
              </w:rPr>
              <w:t>2</w:t>
            </w:r>
            <w:r w:rsidR="002B60A7">
              <w:rPr>
                <w:rFonts w:eastAsiaTheme="minorEastAsia"/>
                <w:noProof/>
                <w:color w:val="auto"/>
                <w:sz w:val="22"/>
                <w:szCs w:val="22"/>
                <w:lang w:eastAsia="en-AU"/>
              </w:rPr>
              <w:tab/>
            </w:r>
            <w:r w:rsidR="002B60A7" w:rsidRPr="00034040">
              <w:rPr>
                <w:rStyle w:val="Hyperlink"/>
                <w:noProof/>
              </w:rPr>
              <w:t>Education Engagement &amp; Attainment Initiatives Overview</w:t>
            </w:r>
            <w:r w:rsidR="002B60A7">
              <w:rPr>
                <w:noProof/>
                <w:webHidden/>
              </w:rPr>
              <w:tab/>
            </w:r>
            <w:r w:rsidR="002B60A7">
              <w:rPr>
                <w:noProof/>
                <w:webHidden/>
              </w:rPr>
              <w:fldChar w:fldCharType="begin"/>
            </w:r>
            <w:r w:rsidR="002B60A7">
              <w:rPr>
                <w:noProof/>
                <w:webHidden/>
              </w:rPr>
              <w:instrText xml:space="preserve"> PAGEREF _Toc153369846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0265E90"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47" w:history="1">
            <w:r w:rsidR="002B60A7" w:rsidRPr="00034040">
              <w:rPr>
                <w:rStyle w:val="Hyperlink"/>
                <w:noProof/>
              </w:rPr>
              <w:t>2.1</w:t>
            </w:r>
            <w:r w:rsidR="002B60A7">
              <w:rPr>
                <w:rFonts w:eastAsiaTheme="minorEastAsia"/>
                <w:noProof/>
                <w:color w:val="auto"/>
                <w:sz w:val="22"/>
                <w:szCs w:val="22"/>
                <w:lang w:eastAsia="en-AU"/>
              </w:rPr>
              <w:tab/>
            </w:r>
            <w:r w:rsidR="002B60A7" w:rsidRPr="00034040">
              <w:rPr>
                <w:rStyle w:val="Hyperlink"/>
                <w:noProof/>
              </w:rPr>
              <w:t>What is the Education Engagement &amp; Attainment Initiatives Sub-Program?</w:t>
            </w:r>
            <w:r w:rsidR="002B60A7">
              <w:rPr>
                <w:noProof/>
                <w:webHidden/>
              </w:rPr>
              <w:tab/>
            </w:r>
            <w:r w:rsidR="002B60A7">
              <w:rPr>
                <w:noProof/>
                <w:webHidden/>
              </w:rPr>
              <w:fldChar w:fldCharType="begin"/>
            </w:r>
            <w:r w:rsidR="002B60A7">
              <w:rPr>
                <w:noProof/>
                <w:webHidden/>
              </w:rPr>
              <w:instrText xml:space="preserve"> PAGEREF _Toc153369847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B068491"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48" w:history="1">
            <w:r w:rsidR="002B60A7" w:rsidRPr="00034040">
              <w:rPr>
                <w:rStyle w:val="Hyperlink"/>
                <w:noProof/>
              </w:rPr>
              <w:t>2.2</w:t>
            </w:r>
            <w:r w:rsidR="002B60A7">
              <w:rPr>
                <w:rFonts w:eastAsiaTheme="minorEastAsia"/>
                <w:noProof/>
                <w:color w:val="auto"/>
                <w:sz w:val="22"/>
                <w:szCs w:val="22"/>
                <w:lang w:eastAsia="en-AU"/>
              </w:rPr>
              <w:tab/>
            </w:r>
            <w:r w:rsidR="002B60A7" w:rsidRPr="00034040">
              <w:rPr>
                <w:rStyle w:val="Hyperlink"/>
                <w:noProof/>
              </w:rPr>
              <w:t>Principles</w:t>
            </w:r>
            <w:r w:rsidR="002B60A7">
              <w:rPr>
                <w:noProof/>
                <w:webHidden/>
              </w:rPr>
              <w:tab/>
            </w:r>
            <w:r w:rsidR="002B60A7">
              <w:rPr>
                <w:noProof/>
                <w:webHidden/>
              </w:rPr>
              <w:fldChar w:fldCharType="begin"/>
            </w:r>
            <w:r w:rsidR="002B60A7">
              <w:rPr>
                <w:noProof/>
                <w:webHidden/>
              </w:rPr>
              <w:instrText xml:space="preserve"> PAGEREF _Toc153369848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341888BE"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49" w:history="1">
            <w:r w:rsidR="002B60A7" w:rsidRPr="00034040">
              <w:rPr>
                <w:rStyle w:val="Hyperlink"/>
                <w:noProof/>
              </w:rPr>
              <w:t>2.3</w:t>
            </w:r>
            <w:r w:rsidR="002B60A7">
              <w:rPr>
                <w:rFonts w:eastAsiaTheme="minorEastAsia"/>
                <w:noProof/>
                <w:color w:val="auto"/>
                <w:sz w:val="22"/>
                <w:szCs w:val="22"/>
                <w:lang w:eastAsia="en-AU"/>
              </w:rPr>
              <w:tab/>
            </w:r>
            <w:r w:rsidR="002B60A7" w:rsidRPr="00034040">
              <w:rPr>
                <w:rStyle w:val="Hyperlink"/>
                <w:noProof/>
              </w:rPr>
              <w:t>Why engagement and not just attendance?</w:t>
            </w:r>
            <w:r w:rsidR="002B60A7">
              <w:rPr>
                <w:noProof/>
                <w:webHidden/>
              </w:rPr>
              <w:tab/>
            </w:r>
            <w:r w:rsidR="002B60A7">
              <w:rPr>
                <w:noProof/>
                <w:webHidden/>
              </w:rPr>
              <w:fldChar w:fldCharType="begin"/>
            </w:r>
            <w:r w:rsidR="002B60A7">
              <w:rPr>
                <w:noProof/>
                <w:webHidden/>
              </w:rPr>
              <w:instrText xml:space="preserve"> PAGEREF _Toc153369849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C42A13D"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0" w:history="1">
            <w:r w:rsidR="002B60A7" w:rsidRPr="00034040">
              <w:rPr>
                <w:rStyle w:val="Hyperlink"/>
                <w:noProof/>
              </w:rPr>
              <w:t>2.4</w:t>
            </w:r>
            <w:r w:rsidR="002B60A7">
              <w:rPr>
                <w:rFonts w:eastAsiaTheme="minorEastAsia"/>
                <w:noProof/>
                <w:color w:val="auto"/>
                <w:sz w:val="22"/>
                <w:szCs w:val="22"/>
                <w:lang w:eastAsia="en-AU"/>
              </w:rPr>
              <w:tab/>
            </w:r>
            <w:r w:rsidR="002B60A7" w:rsidRPr="00034040">
              <w:rPr>
                <w:rStyle w:val="Hyperlink"/>
                <w:noProof/>
              </w:rPr>
              <w:t>Defining engagement</w:t>
            </w:r>
            <w:r w:rsidR="002B60A7">
              <w:rPr>
                <w:noProof/>
                <w:webHidden/>
              </w:rPr>
              <w:tab/>
            </w:r>
            <w:r w:rsidR="002B60A7">
              <w:rPr>
                <w:noProof/>
                <w:webHidden/>
              </w:rPr>
              <w:fldChar w:fldCharType="begin"/>
            </w:r>
            <w:r w:rsidR="002B60A7">
              <w:rPr>
                <w:noProof/>
                <w:webHidden/>
              </w:rPr>
              <w:instrText xml:space="preserve"> PAGEREF _Toc153369850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3306E31"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1" w:history="1">
            <w:r w:rsidR="002B60A7" w:rsidRPr="00034040">
              <w:rPr>
                <w:rStyle w:val="Hyperlink"/>
                <w:noProof/>
              </w:rPr>
              <w:t>2.5</w:t>
            </w:r>
            <w:r w:rsidR="002B60A7">
              <w:rPr>
                <w:rFonts w:eastAsiaTheme="minorEastAsia"/>
                <w:noProof/>
                <w:color w:val="auto"/>
                <w:sz w:val="22"/>
                <w:szCs w:val="22"/>
                <w:lang w:eastAsia="en-AU"/>
              </w:rPr>
              <w:tab/>
            </w:r>
            <w:r w:rsidR="002B60A7" w:rsidRPr="00034040">
              <w:rPr>
                <w:rStyle w:val="Hyperlink"/>
                <w:noProof/>
              </w:rPr>
              <w:t>Defining attainment</w:t>
            </w:r>
            <w:r w:rsidR="002B60A7">
              <w:rPr>
                <w:noProof/>
                <w:webHidden/>
              </w:rPr>
              <w:tab/>
            </w:r>
            <w:r w:rsidR="002B60A7">
              <w:rPr>
                <w:noProof/>
                <w:webHidden/>
              </w:rPr>
              <w:fldChar w:fldCharType="begin"/>
            </w:r>
            <w:r w:rsidR="002B60A7">
              <w:rPr>
                <w:noProof/>
                <w:webHidden/>
              </w:rPr>
              <w:instrText xml:space="preserve"> PAGEREF _Toc153369851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3FFF6C9" w14:textId="77777777" w:rsidR="002B60A7" w:rsidRDefault="0015520C">
          <w:pPr>
            <w:pStyle w:val="TOC1"/>
            <w:tabs>
              <w:tab w:val="left" w:pos="400"/>
              <w:tab w:val="right" w:leader="dot" w:pos="10194"/>
            </w:tabs>
            <w:rPr>
              <w:rFonts w:eastAsiaTheme="minorEastAsia"/>
              <w:noProof/>
              <w:color w:val="auto"/>
              <w:sz w:val="22"/>
              <w:szCs w:val="22"/>
              <w:lang w:eastAsia="en-AU"/>
            </w:rPr>
          </w:pPr>
          <w:hyperlink w:anchor="_Toc153369852" w:history="1">
            <w:r w:rsidR="002B60A7" w:rsidRPr="00034040">
              <w:rPr>
                <w:rStyle w:val="Hyperlink"/>
                <w:noProof/>
              </w:rPr>
              <w:t>3</w:t>
            </w:r>
            <w:r w:rsidR="002B60A7">
              <w:rPr>
                <w:rFonts w:eastAsiaTheme="minorEastAsia"/>
                <w:noProof/>
                <w:color w:val="auto"/>
                <w:sz w:val="22"/>
                <w:szCs w:val="22"/>
                <w:lang w:eastAsia="en-AU"/>
              </w:rPr>
              <w:tab/>
            </w:r>
            <w:r w:rsidR="002B60A7" w:rsidRPr="00034040">
              <w:rPr>
                <w:rStyle w:val="Hyperlink"/>
                <w:noProof/>
              </w:rPr>
              <w:t>Designing and delivering EEAI activities</w:t>
            </w:r>
            <w:r w:rsidR="002B60A7">
              <w:rPr>
                <w:noProof/>
                <w:webHidden/>
              </w:rPr>
              <w:tab/>
            </w:r>
            <w:r w:rsidR="002B60A7">
              <w:rPr>
                <w:noProof/>
                <w:webHidden/>
              </w:rPr>
              <w:fldChar w:fldCharType="begin"/>
            </w:r>
            <w:r w:rsidR="002B60A7">
              <w:rPr>
                <w:noProof/>
                <w:webHidden/>
              </w:rPr>
              <w:instrText xml:space="preserve"> PAGEREF _Toc153369852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DAB6492"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3" w:history="1">
            <w:r w:rsidR="002B60A7" w:rsidRPr="00034040">
              <w:rPr>
                <w:rStyle w:val="Hyperlink"/>
                <w:noProof/>
              </w:rPr>
              <w:t>3.1</w:t>
            </w:r>
            <w:r w:rsidR="002B60A7">
              <w:rPr>
                <w:rFonts w:eastAsiaTheme="minorEastAsia"/>
                <w:noProof/>
                <w:color w:val="auto"/>
                <w:sz w:val="22"/>
                <w:szCs w:val="22"/>
                <w:lang w:eastAsia="en-AU"/>
              </w:rPr>
              <w:tab/>
            </w:r>
            <w:r w:rsidR="002B60A7" w:rsidRPr="00034040">
              <w:rPr>
                <w:rStyle w:val="Hyperlink"/>
                <w:noProof/>
              </w:rPr>
              <w:t>Local naming and branding</w:t>
            </w:r>
            <w:r w:rsidR="002B60A7">
              <w:rPr>
                <w:noProof/>
                <w:webHidden/>
              </w:rPr>
              <w:tab/>
            </w:r>
            <w:r w:rsidR="002B60A7">
              <w:rPr>
                <w:noProof/>
                <w:webHidden/>
              </w:rPr>
              <w:fldChar w:fldCharType="begin"/>
            </w:r>
            <w:r w:rsidR="002B60A7">
              <w:rPr>
                <w:noProof/>
                <w:webHidden/>
              </w:rPr>
              <w:instrText xml:space="preserve"> PAGEREF _Toc153369853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33E0FED"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4" w:history="1">
            <w:r w:rsidR="002B60A7" w:rsidRPr="00034040">
              <w:rPr>
                <w:rStyle w:val="Hyperlink"/>
                <w:noProof/>
              </w:rPr>
              <w:t>3.2</w:t>
            </w:r>
            <w:r w:rsidR="002B60A7">
              <w:rPr>
                <w:rFonts w:eastAsiaTheme="minorEastAsia"/>
                <w:noProof/>
                <w:color w:val="auto"/>
                <w:sz w:val="22"/>
                <w:szCs w:val="22"/>
                <w:lang w:eastAsia="en-AU"/>
              </w:rPr>
              <w:tab/>
            </w:r>
            <w:r w:rsidR="002B60A7" w:rsidRPr="00034040">
              <w:rPr>
                <w:rStyle w:val="Hyperlink"/>
                <w:noProof/>
              </w:rPr>
              <w:t>EEAI elements of best practice</w:t>
            </w:r>
            <w:r w:rsidR="002B60A7">
              <w:rPr>
                <w:noProof/>
                <w:webHidden/>
              </w:rPr>
              <w:tab/>
            </w:r>
            <w:r w:rsidR="002B60A7">
              <w:rPr>
                <w:noProof/>
                <w:webHidden/>
              </w:rPr>
              <w:fldChar w:fldCharType="begin"/>
            </w:r>
            <w:r w:rsidR="002B60A7">
              <w:rPr>
                <w:noProof/>
                <w:webHidden/>
              </w:rPr>
              <w:instrText xml:space="preserve"> PAGEREF _Toc153369854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3EF5DD9A"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5" w:history="1">
            <w:r w:rsidR="002B60A7" w:rsidRPr="00034040">
              <w:rPr>
                <w:rStyle w:val="Hyperlink"/>
                <w:noProof/>
              </w:rPr>
              <w:t>3.3</w:t>
            </w:r>
            <w:r w:rsidR="002B60A7">
              <w:rPr>
                <w:rFonts w:eastAsiaTheme="minorEastAsia"/>
                <w:noProof/>
                <w:color w:val="auto"/>
                <w:sz w:val="22"/>
                <w:szCs w:val="22"/>
                <w:lang w:eastAsia="en-AU"/>
              </w:rPr>
              <w:tab/>
            </w:r>
            <w:r w:rsidR="002B60A7" w:rsidRPr="00034040">
              <w:rPr>
                <w:rStyle w:val="Hyperlink"/>
                <w:noProof/>
              </w:rPr>
              <w:t>The EEAI Service Menu</w:t>
            </w:r>
            <w:r w:rsidR="002B60A7">
              <w:rPr>
                <w:noProof/>
                <w:webHidden/>
              </w:rPr>
              <w:tab/>
            </w:r>
            <w:r w:rsidR="002B60A7">
              <w:rPr>
                <w:noProof/>
                <w:webHidden/>
              </w:rPr>
              <w:fldChar w:fldCharType="begin"/>
            </w:r>
            <w:r w:rsidR="002B60A7">
              <w:rPr>
                <w:noProof/>
                <w:webHidden/>
              </w:rPr>
              <w:instrText xml:space="preserve"> PAGEREF _Toc153369855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9432300"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6" w:history="1">
            <w:r w:rsidR="002B60A7" w:rsidRPr="00034040">
              <w:rPr>
                <w:rStyle w:val="Hyperlink"/>
                <w:noProof/>
              </w:rPr>
              <w:t>3.4</w:t>
            </w:r>
            <w:r w:rsidR="002B60A7">
              <w:rPr>
                <w:rFonts w:eastAsiaTheme="minorEastAsia"/>
                <w:noProof/>
                <w:color w:val="auto"/>
                <w:sz w:val="22"/>
                <w:szCs w:val="22"/>
                <w:lang w:eastAsia="en-AU"/>
              </w:rPr>
              <w:tab/>
            </w:r>
            <w:r w:rsidR="002B60A7" w:rsidRPr="00034040">
              <w:rPr>
                <w:rStyle w:val="Hyperlink"/>
                <w:noProof/>
              </w:rPr>
              <w:t>Budgeting</w:t>
            </w:r>
            <w:r w:rsidR="002B60A7">
              <w:rPr>
                <w:noProof/>
                <w:webHidden/>
              </w:rPr>
              <w:tab/>
            </w:r>
            <w:r w:rsidR="002B60A7">
              <w:rPr>
                <w:noProof/>
                <w:webHidden/>
              </w:rPr>
              <w:fldChar w:fldCharType="begin"/>
            </w:r>
            <w:r w:rsidR="002B60A7">
              <w:rPr>
                <w:noProof/>
                <w:webHidden/>
              </w:rPr>
              <w:instrText xml:space="preserve"> PAGEREF _Toc153369856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FA2B0D6"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7" w:history="1">
            <w:r w:rsidR="002B60A7" w:rsidRPr="00034040">
              <w:rPr>
                <w:rStyle w:val="Hyperlink"/>
                <w:noProof/>
              </w:rPr>
              <w:t>3.5</w:t>
            </w:r>
            <w:r w:rsidR="002B60A7">
              <w:rPr>
                <w:rFonts w:eastAsiaTheme="minorEastAsia"/>
                <w:noProof/>
                <w:color w:val="auto"/>
                <w:sz w:val="22"/>
                <w:szCs w:val="22"/>
                <w:lang w:eastAsia="en-AU"/>
              </w:rPr>
              <w:tab/>
            </w:r>
            <w:r w:rsidR="002B60A7" w:rsidRPr="00034040">
              <w:rPr>
                <w:rStyle w:val="Hyperlink"/>
                <w:noProof/>
              </w:rPr>
              <w:t>Semester Activity Plans</w:t>
            </w:r>
            <w:r w:rsidR="002B60A7">
              <w:rPr>
                <w:noProof/>
                <w:webHidden/>
              </w:rPr>
              <w:tab/>
            </w:r>
            <w:r w:rsidR="002B60A7">
              <w:rPr>
                <w:noProof/>
                <w:webHidden/>
              </w:rPr>
              <w:fldChar w:fldCharType="begin"/>
            </w:r>
            <w:r w:rsidR="002B60A7">
              <w:rPr>
                <w:noProof/>
                <w:webHidden/>
              </w:rPr>
              <w:instrText xml:space="preserve"> PAGEREF _Toc153369857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3F66C2B5"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58" w:history="1">
            <w:r w:rsidR="002B60A7" w:rsidRPr="00034040">
              <w:rPr>
                <w:rStyle w:val="Hyperlink"/>
                <w:noProof/>
              </w:rPr>
              <w:t>3.6</w:t>
            </w:r>
            <w:r w:rsidR="002B60A7">
              <w:rPr>
                <w:rFonts w:eastAsiaTheme="minorEastAsia"/>
                <w:noProof/>
                <w:color w:val="auto"/>
                <w:sz w:val="22"/>
                <w:szCs w:val="22"/>
                <w:lang w:eastAsia="en-AU"/>
              </w:rPr>
              <w:tab/>
            </w:r>
            <w:r w:rsidR="002B60A7" w:rsidRPr="00034040">
              <w:rPr>
                <w:rStyle w:val="Hyperlink"/>
                <w:noProof/>
              </w:rPr>
              <w:t>Reporting</w:t>
            </w:r>
            <w:r w:rsidR="002B60A7">
              <w:rPr>
                <w:noProof/>
                <w:webHidden/>
              </w:rPr>
              <w:tab/>
            </w:r>
            <w:r w:rsidR="002B60A7">
              <w:rPr>
                <w:noProof/>
                <w:webHidden/>
              </w:rPr>
              <w:fldChar w:fldCharType="begin"/>
            </w:r>
            <w:r w:rsidR="002B60A7">
              <w:rPr>
                <w:noProof/>
                <w:webHidden/>
              </w:rPr>
              <w:instrText xml:space="preserve"> PAGEREF _Toc153369858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64485FBC"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59" w:history="1">
            <w:r w:rsidR="002B60A7" w:rsidRPr="00034040">
              <w:rPr>
                <w:rStyle w:val="Hyperlink"/>
                <w:noProof/>
              </w:rPr>
              <w:t>3.6.1</w:t>
            </w:r>
            <w:r w:rsidR="002B60A7">
              <w:rPr>
                <w:rFonts w:eastAsiaTheme="minorEastAsia"/>
                <w:noProof/>
                <w:color w:val="auto"/>
                <w:sz w:val="22"/>
                <w:szCs w:val="22"/>
                <w:lang w:eastAsia="en-AU"/>
              </w:rPr>
              <w:tab/>
            </w:r>
            <w:r w:rsidR="002B60A7" w:rsidRPr="00034040">
              <w:rPr>
                <w:rStyle w:val="Hyperlink"/>
                <w:noProof/>
              </w:rPr>
              <w:t>Progress Reports</w:t>
            </w:r>
            <w:r w:rsidR="002B60A7">
              <w:rPr>
                <w:noProof/>
                <w:webHidden/>
              </w:rPr>
              <w:tab/>
            </w:r>
            <w:r w:rsidR="002B60A7">
              <w:rPr>
                <w:noProof/>
                <w:webHidden/>
              </w:rPr>
              <w:fldChar w:fldCharType="begin"/>
            </w:r>
            <w:r w:rsidR="002B60A7">
              <w:rPr>
                <w:noProof/>
                <w:webHidden/>
              </w:rPr>
              <w:instrText xml:space="preserve"> PAGEREF _Toc153369859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78DA229"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60" w:history="1">
            <w:r w:rsidR="002B60A7" w:rsidRPr="00034040">
              <w:rPr>
                <w:rStyle w:val="Hyperlink"/>
                <w:noProof/>
              </w:rPr>
              <w:t>3.6.2</w:t>
            </w:r>
            <w:r w:rsidR="002B60A7">
              <w:rPr>
                <w:rFonts w:eastAsiaTheme="minorEastAsia"/>
                <w:noProof/>
                <w:color w:val="auto"/>
                <w:sz w:val="22"/>
                <w:szCs w:val="22"/>
                <w:lang w:eastAsia="en-AU"/>
              </w:rPr>
              <w:tab/>
            </w:r>
            <w:r w:rsidR="002B60A7" w:rsidRPr="00034040">
              <w:rPr>
                <w:rStyle w:val="Hyperlink"/>
                <w:noProof/>
              </w:rPr>
              <w:t>KPI Reporting</w:t>
            </w:r>
            <w:r w:rsidR="002B60A7">
              <w:rPr>
                <w:noProof/>
                <w:webHidden/>
              </w:rPr>
              <w:tab/>
            </w:r>
            <w:r w:rsidR="002B60A7">
              <w:rPr>
                <w:noProof/>
                <w:webHidden/>
              </w:rPr>
              <w:fldChar w:fldCharType="begin"/>
            </w:r>
            <w:r w:rsidR="002B60A7">
              <w:rPr>
                <w:noProof/>
                <w:webHidden/>
              </w:rPr>
              <w:instrText xml:space="preserve"> PAGEREF _Toc153369860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F92EA32" w14:textId="77777777" w:rsidR="002B60A7" w:rsidRDefault="0015520C">
          <w:pPr>
            <w:pStyle w:val="TOC2"/>
            <w:tabs>
              <w:tab w:val="left" w:pos="880"/>
              <w:tab w:val="right" w:leader="dot" w:pos="10194"/>
            </w:tabs>
            <w:rPr>
              <w:rFonts w:eastAsiaTheme="minorEastAsia"/>
              <w:noProof/>
              <w:color w:val="auto"/>
              <w:sz w:val="22"/>
              <w:szCs w:val="22"/>
              <w:lang w:eastAsia="en-AU"/>
            </w:rPr>
          </w:pPr>
          <w:hyperlink w:anchor="_Toc153369861" w:history="1">
            <w:r w:rsidR="002B60A7" w:rsidRPr="00034040">
              <w:rPr>
                <w:rStyle w:val="Hyperlink"/>
                <w:noProof/>
              </w:rPr>
              <w:t>3.7</w:t>
            </w:r>
            <w:r w:rsidR="002B60A7">
              <w:rPr>
                <w:rFonts w:eastAsiaTheme="minorEastAsia"/>
                <w:noProof/>
                <w:color w:val="auto"/>
                <w:sz w:val="22"/>
                <w:szCs w:val="22"/>
                <w:lang w:eastAsia="en-AU"/>
              </w:rPr>
              <w:tab/>
            </w:r>
            <w:r w:rsidR="002B60A7" w:rsidRPr="00034040">
              <w:rPr>
                <w:rStyle w:val="Hyperlink"/>
                <w:noProof/>
              </w:rPr>
              <w:t>EEAI design and delivery considerations</w:t>
            </w:r>
            <w:r w:rsidR="002B60A7">
              <w:rPr>
                <w:noProof/>
                <w:webHidden/>
              </w:rPr>
              <w:tab/>
            </w:r>
            <w:r w:rsidR="002B60A7">
              <w:rPr>
                <w:noProof/>
                <w:webHidden/>
              </w:rPr>
              <w:fldChar w:fldCharType="begin"/>
            </w:r>
            <w:r w:rsidR="002B60A7">
              <w:rPr>
                <w:noProof/>
                <w:webHidden/>
              </w:rPr>
              <w:instrText xml:space="preserve"> PAGEREF _Toc153369861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622F37D6"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62" w:history="1">
            <w:r w:rsidR="002B60A7" w:rsidRPr="00034040">
              <w:rPr>
                <w:rStyle w:val="Hyperlink"/>
                <w:noProof/>
              </w:rPr>
              <w:t>3.7.1</w:t>
            </w:r>
            <w:r w:rsidR="002B60A7">
              <w:rPr>
                <w:rFonts w:eastAsiaTheme="minorEastAsia"/>
                <w:noProof/>
                <w:color w:val="auto"/>
                <w:sz w:val="22"/>
                <w:szCs w:val="22"/>
                <w:lang w:eastAsia="en-AU"/>
              </w:rPr>
              <w:tab/>
            </w:r>
            <w:r w:rsidR="002B60A7" w:rsidRPr="00034040">
              <w:rPr>
                <w:rStyle w:val="Hyperlink"/>
                <w:noProof/>
              </w:rPr>
              <w:t>Inside the school gate, outside the school gate</w:t>
            </w:r>
            <w:r w:rsidR="002B60A7">
              <w:rPr>
                <w:noProof/>
                <w:webHidden/>
              </w:rPr>
              <w:tab/>
            </w:r>
            <w:r w:rsidR="002B60A7">
              <w:rPr>
                <w:noProof/>
                <w:webHidden/>
              </w:rPr>
              <w:fldChar w:fldCharType="begin"/>
            </w:r>
            <w:r w:rsidR="002B60A7">
              <w:rPr>
                <w:noProof/>
                <w:webHidden/>
              </w:rPr>
              <w:instrText xml:space="preserve"> PAGEREF _Toc153369862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87DE502"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63" w:history="1">
            <w:r w:rsidR="002B60A7" w:rsidRPr="00034040">
              <w:rPr>
                <w:rStyle w:val="Hyperlink"/>
                <w:noProof/>
              </w:rPr>
              <w:t>3.7.2</w:t>
            </w:r>
            <w:r w:rsidR="002B60A7">
              <w:rPr>
                <w:rFonts w:eastAsiaTheme="minorEastAsia"/>
                <w:noProof/>
                <w:color w:val="auto"/>
                <w:sz w:val="22"/>
                <w:szCs w:val="22"/>
                <w:lang w:eastAsia="en-AU"/>
              </w:rPr>
              <w:tab/>
            </w:r>
            <w:r w:rsidR="002B60A7" w:rsidRPr="00034040">
              <w:rPr>
                <w:rStyle w:val="Hyperlink"/>
                <w:noProof/>
              </w:rPr>
              <w:t>Highly disengaged young people</w:t>
            </w:r>
            <w:r w:rsidR="002B60A7">
              <w:rPr>
                <w:noProof/>
                <w:webHidden/>
              </w:rPr>
              <w:tab/>
            </w:r>
            <w:r w:rsidR="002B60A7">
              <w:rPr>
                <w:noProof/>
                <w:webHidden/>
              </w:rPr>
              <w:fldChar w:fldCharType="begin"/>
            </w:r>
            <w:r w:rsidR="002B60A7">
              <w:rPr>
                <w:noProof/>
                <w:webHidden/>
              </w:rPr>
              <w:instrText xml:space="preserve"> PAGEREF _Toc153369863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0C75685"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64" w:history="1">
            <w:r w:rsidR="002B60A7" w:rsidRPr="00034040">
              <w:rPr>
                <w:rStyle w:val="Hyperlink"/>
                <w:noProof/>
              </w:rPr>
              <w:t>3.7.3</w:t>
            </w:r>
            <w:r w:rsidR="002B60A7">
              <w:rPr>
                <w:rFonts w:eastAsiaTheme="minorEastAsia"/>
                <w:noProof/>
                <w:color w:val="auto"/>
                <w:sz w:val="22"/>
                <w:szCs w:val="22"/>
                <w:lang w:eastAsia="en-AU"/>
              </w:rPr>
              <w:tab/>
            </w:r>
            <w:r w:rsidR="002B60A7" w:rsidRPr="00034040">
              <w:rPr>
                <w:rStyle w:val="Hyperlink"/>
                <w:noProof/>
              </w:rPr>
              <w:t>Families, parents and carers</w:t>
            </w:r>
            <w:r w:rsidR="002B60A7">
              <w:rPr>
                <w:noProof/>
                <w:webHidden/>
              </w:rPr>
              <w:tab/>
            </w:r>
            <w:r w:rsidR="002B60A7">
              <w:rPr>
                <w:noProof/>
                <w:webHidden/>
              </w:rPr>
              <w:fldChar w:fldCharType="begin"/>
            </w:r>
            <w:r w:rsidR="002B60A7">
              <w:rPr>
                <w:noProof/>
                <w:webHidden/>
              </w:rPr>
              <w:instrText xml:space="preserve"> PAGEREF _Toc153369864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A4EE929" w14:textId="77777777" w:rsidR="002B60A7" w:rsidRDefault="0015520C">
          <w:pPr>
            <w:pStyle w:val="TOC3"/>
            <w:tabs>
              <w:tab w:val="left" w:pos="1100"/>
              <w:tab w:val="right" w:leader="dot" w:pos="10194"/>
            </w:tabs>
            <w:rPr>
              <w:rFonts w:eastAsiaTheme="minorEastAsia"/>
              <w:noProof/>
              <w:color w:val="auto"/>
              <w:sz w:val="22"/>
              <w:szCs w:val="22"/>
              <w:lang w:eastAsia="en-AU"/>
            </w:rPr>
          </w:pPr>
          <w:hyperlink w:anchor="_Toc153369865" w:history="1">
            <w:r w:rsidR="002B60A7" w:rsidRPr="00034040">
              <w:rPr>
                <w:rStyle w:val="Hyperlink"/>
                <w:noProof/>
              </w:rPr>
              <w:t>3.7.4</w:t>
            </w:r>
            <w:r w:rsidR="002B60A7">
              <w:rPr>
                <w:rFonts w:eastAsiaTheme="minorEastAsia"/>
                <w:noProof/>
                <w:color w:val="auto"/>
                <w:sz w:val="22"/>
                <w:szCs w:val="22"/>
                <w:lang w:eastAsia="en-AU"/>
              </w:rPr>
              <w:tab/>
            </w:r>
            <w:r w:rsidR="002B60A7" w:rsidRPr="00034040">
              <w:rPr>
                <w:rStyle w:val="Hyperlink"/>
                <w:noProof/>
              </w:rPr>
              <w:t>Transport services (bus runs)</w:t>
            </w:r>
            <w:r w:rsidR="002B60A7">
              <w:rPr>
                <w:noProof/>
                <w:webHidden/>
              </w:rPr>
              <w:tab/>
            </w:r>
            <w:r w:rsidR="002B60A7">
              <w:rPr>
                <w:noProof/>
                <w:webHidden/>
              </w:rPr>
              <w:fldChar w:fldCharType="begin"/>
            </w:r>
            <w:r w:rsidR="002B60A7">
              <w:rPr>
                <w:noProof/>
                <w:webHidden/>
              </w:rPr>
              <w:instrText xml:space="preserve"> PAGEREF _Toc153369865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60539040" w14:textId="77777777" w:rsidR="002B60A7" w:rsidRDefault="0015520C">
          <w:pPr>
            <w:pStyle w:val="TOC1"/>
            <w:tabs>
              <w:tab w:val="right" w:leader="dot" w:pos="10194"/>
            </w:tabs>
            <w:rPr>
              <w:rFonts w:eastAsiaTheme="minorEastAsia"/>
              <w:noProof/>
              <w:color w:val="auto"/>
              <w:sz w:val="22"/>
              <w:szCs w:val="22"/>
              <w:lang w:eastAsia="en-AU"/>
            </w:rPr>
          </w:pPr>
          <w:hyperlink w:anchor="_Toc153369866" w:history="1">
            <w:r w:rsidR="002B60A7" w:rsidRPr="00034040">
              <w:rPr>
                <w:rStyle w:val="Hyperlink"/>
                <w:noProof/>
              </w:rPr>
              <w:t>Appendix A: the EEAI Service Menu</w:t>
            </w:r>
            <w:r w:rsidR="002B60A7">
              <w:rPr>
                <w:noProof/>
                <w:webHidden/>
              </w:rPr>
              <w:tab/>
            </w:r>
            <w:r w:rsidR="002B60A7">
              <w:rPr>
                <w:noProof/>
                <w:webHidden/>
              </w:rPr>
              <w:fldChar w:fldCharType="begin"/>
            </w:r>
            <w:r w:rsidR="002B60A7">
              <w:rPr>
                <w:noProof/>
                <w:webHidden/>
              </w:rPr>
              <w:instrText xml:space="preserve"> PAGEREF _Toc153369866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00D1D699" w14:textId="77777777" w:rsidR="002B60A7" w:rsidRDefault="0015520C">
          <w:pPr>
            <w:pStyle w:val="TOC2"/>
            <w:tabs>
              <w:tab w:val="right" w:leader="dot" w:pos="10194"/>
            </w:tabs>
            <w:rPr>
              <w:rFonts w:eastAsiaTheme="minorEastAsia"/>
              <w:noProof/>
              <w:color w:val="auto"/>
              <w:sz w:val="22"/>
              <w:szCs w:val="22"/>
              <w:lang w:eastAsia="en-AU"/>
            </w:rPr>
          </w:pPr>
          <w:hyperlink w:anchor="_Toc153369867" w:history="1">
            <w:r w:rsidR="002B60A7" w:rsidRPr="00034040">
              <w:rPr>
                <w:rStyle w:val="Hyperlink"/>
                <w:noProof/>
              </w:rPr>
              <w:t>Overview of the Service Menu items</w:t>
            </w:r>
            <w:r w:rsidR="002B60A7">
              <w:rPr>
                <w:noProof/>
                <w:webHidden/>
              </w:rPr>
              <w:tab/>
            </w:r>
            <w:r w:rsidR="002B60A7">
              <w:rPr>
                <w:noProof/>
                <w:webHidden/>
              </w:rPr>
              <w:fldChar w:fldCharType="begin"/>
            </w:r>
            <w:r w:rsidR="002B60A7">
              <w:rPr>
                <w:noProof/>
                <w:webHidden/>
              </w:rPr>
              <w:instrText xml:space="preserve"> PAGEREF _Toc153369867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0D225BEA" w14:textId="77777777" w:rsidR="002B60A7" w:rsidRDefault="0015520C">
          <w:pPr>
            <w:pStyle w:val="TOC2"/>
            <w:tabs>
              <w:tab w:val="right" w:leader="dot" w:pos="10194"/>
            </w:tabs>
            <w:rPr>
              <w:rFonts w:eastAsiaTheme="minorEastAsia"/>
              <w:noProof/>
              <w:color w:val="auto"/>
              <w:sz w:val="22"/>
              <w:szCs w:val="22"/>
              <w:lang w:eastAsia="en-AU"/>
            </w:rPr>
          </w:pPr>
          <w:hyperlink w:anchor="_Toc153369868" w:history="1">
            <w:r w:rsidR="002B60A7" w:rsidRPr="00034040">
              <w:rPr>
                <w:rStyle w:val="Hyperlink"/>
                <w:noProof/>
              </w:rPr>
              <w:t>Specialist Staff</w:t>
            </w:r>
            <w:r w:rsidR="002B60A7">
              <w:rPr>
                <w:noProof/>
                <w:webHidden/>
              </w:rPr>
              <w:tab/>
            </w:r>
            <w:r w:rsidR="002B60A7">
              <w:rPr>
                <w:noProof/>
                <w:webHidden/>
              </w:rPr>
              <w:fldChar w:fldCharType="begin"/>
            </w:r>
            <w:r w:rsidR="002B60A7">
              <w:rPr>
                <w:noProof/>
                <w:webHidden/>
              </w:rPr>
              <w:instrText xml:space="preserve"> PAGEREF _Toc153369868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A2CD98D" w14:textId="77777777" w:rsidR="002B60A7" w:rsidRDefault="0015520C">
          <w:pPr>
            <w:pStyle w:val="TOC2"/>
            <w:tabs>
              <w:tab w:val="right" w:leader="dot" w:pos="10194"/>
            </w:tabs>
            <w:rPr>
              <w:rFonts w:eastAsiaTheme="minorEastAsia"/>
              <w:noProof/>
              <w:color w:val="auto"/>
              <w:sz w:val="22"/>
              <w:szCs w:val="22"/>
              <w:lang w:eastAsia="en-AU"/>
            </w:rPr>
          </w:pPr>
          <w:hyperlink w:anchor="_Toc153369869" w:history="1">
            <w:r w:rsidR="002B60A7" w:rsidRPr="00034040">
              <w:rPr>
                <w:rStyle w:val="Hyperlink"/>
                <w:noProof/>
              </w:rPr>
              <w:t>Community Summits</w:t>
            </w:r>
            <w:r w:rsidR="002B60A7">
              <w:rPr>
                <w:noProof/>
                <w:webHidden/>
              </w:rPr>
              <w:tab/>
            </w:r>
            <w:r w:rsidR="002B60A7">
              <w:rPr>
                <w:noProof/>
                <w:webHidden/>
              </w:rPr>
              <w:fldChar w:fldCharType="begin"/>
            </w:r>
            <w:r w:rsidR="002B60A7">
              <w:rPr>
                <w:noProof/>
                <w:webHidden/>
              </w:rPr>
              <w:instrText xml:space="preserve"> PAGEREF _Toc153369869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5A2EEBF" w14:textId="77777777" w:rsidR="002B60A7" w:rsidRDefault="0015520C">
          <w:pPr>
            <w:pStyle w:val="TOC2"/>
            <w:tabs>
              <w:tab w:val="right" w:leader="dot" w:pos="10194"/>
            </w:tabs>
            <w:rPr>
              <w:rFonts w:eastAsiaTheme="minorEastAsia"/>
              <w:noProof/>
              <w:color w:val="auto"/>
              <w:sz w:val="22"/>
              <w:szCs w:val="22"/>
              <w:lang w:eastAsia="en-AU"/>
            </w:rPr>
          </w:pPr>
          <w:hyperlink w:anchor="_Toc153369870" w:history="1">
            <w:r w:rsidR="002B60A7" w:rsidRPr="00034040">
              <w:rPr>
                <w:rStyle w:val="Hyperlink"/>
                <w:noProof/>
              </w:rPr>
              <w:t>Culture and Language Projects</w:t>
            </w:r>
            <w:r w:rsidR="002B60A7">
              <w:rPr>
                <w:noProof/>
                <w:webHidden/>
              </w:rPr>
              <w:tab/>
            </w:r>
            <w:r w:rsidR="002B60A7">
              <w:rPr>
                <w:noProof/>
                <w:webHidden/>
              </w:rPr>
              <w:fldChar w:fldCharType="begin"/>
            </w:r>
            <w:r w:rsidR="002B60A7">
              <w:rPr>
                <w:noProof/>
                <w:webHidden/>
              </w:rPr>
              <w:instrText xml:space="preserve"> PAGEREF _Toc153369870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6ADE2A3" w14:textId="77777777" w:rsidR="002B60A7" w:rsidRDefault="0015520C">
          <w:pPr>
            <w:pStyle w:val="TOC2"/>
            <w:tabs>
              <w:tab w:val="right" w:leader="dot" w:pos="10194"/>
            </w:tabs>
            <w:rPr>
              <w:rFonts w:eastAsiaTheme="minorEastAsia"/>
              <w:noProof/>
              <w:color w:val="auto"/>
              <w:sz w:val="22"/>
              <w:szCs w:val="22"/>
              <w:lang w:eastAsia="en-AU"/>
            </w:rPr>
          </w:pPr>
          <w:hyperlink w:anchor="_Toc153369871" w:history="1">
            <w:r w:rsidR="002B60A7" w:rsidRPr="00034040">
              <w:rPr>
                <w:rStyle w:val="Hyperlink"/>
                <w:noProof/>
              </w:rPr>
              <w:t>School Support</w:t>
            </w:r>
            <w:r w:rsidR="002B60A7">
              <w:rPr>
                <w:noProof/>
                <w:webHidden/>
              </w:rPr>
              <w:tab/>
            </w:r>
            <w:r w:rsidR="002B60A7">
              <w:rPr>
                <w:noProof/>
                <w:webHidden/>
              </w:rPr>
              <w:fldChar w:fldCharType="begin"/>
            </w:r>
            <w:r w:rsidR="002B60A7">
              <w:rPr>
                <w:noProof/>
                <w:webHidden/>
              </w:rPr>
              <w:instrText xml:space="preserve"> PAGEREF _Toc153369871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07DC6B79" w14:textId="77777777" w:rsidR="002B60A7" w:rsidRDefault="0015520C">
          <w:pPr>
            <w:pStyle w:val="TOC2"/>
            <w:tabs>
              <w:tab w:val="right" w:leader="dot" w:pos="10194"/>
            </w:tabs>
            <w:rPr>
              <w:rFonts w:eastAsiaTheme="minorEastAsia"/>
              <w:noProof/>
              <w:color w:val="auto"/>
              <w:sz w:val="22"/>
              <w:szCs w:val="22"/>
              <w:lang w:eastAsia="en-AU"/>
            </w:rPr>
          </w:pPr>
          <w:hyperlink w:anchor="_Toc153369872" w:history="1">
            <w:r w:rsidR="002B60A7" w:rsidRPr="00034040">
              <w:rPr>
                <w:rStyle w:val="Hyperlink"/>
                <w:noProof/>
              </w:rPr>
              <w:t>Mentoring</w:t>
            </w:r>
            <w:r w:rsidR="002B60A7">
              <w:rPr>
                <w:noProof/>
                <w:webHidden/>
              </w:rPr>
              <w:tab/>
            </w:r>
            <w:r w:rsidR="002B60A7">
              <w:rPr>
                <w:noProof/>
                <w:webHidden/>
              </w:rPr>
              <w:fldChar w:fldCharType="begin"/>
            </w:r>
            <w:r w:rsidR="002B60A7">
              <w:rPr>
                <w:noProof/>
                <w:webHidden/>
              </w:rPr>
              <w:instrText xml:space="preserve"> PAGEREF _Toc153369872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2E13B5EF" w14:textId="77777777" w:rsidR="002B60A7" w:rsidRDefault="0015520C">
          <w:pPr>
            <w:pStyle w:val="TOC2"/>
            <w:tabs>
              <w:tab w:val="right" w:leader="dot" w:pos="10194"/>
            </w:tabs>
            <w:rPr>
              <w:rFonts w:eastAsiaTheme="minorEastAsia"/>
              <w:noProof/>
              <w:color w:val="auto"/>
              <w:sz w:val="22"/>
              <w:szCs w:val="22"/>
              <w:lang w:eastAsia="en-AU"/>
            </w:rPr>
          </w:pPr>
          <w:hyperlink w:anchor="_Toc153369873" w:history="1">
            <w:r w:rsidR="002B60A7" w:rsidRPr="00034040">
              <w:rPr>
                <w:rStyle w:val="Hyperlink"/>
                <w:noProof/>
              </w:rPr>
              <w:t>Communications</w:t>
            </w:r>
            <w:r w:rsidR="002B60A7">
              <w:rPr>
                <w:noProof/>
                <w:webHidden/>
              </w:rPr>
              <w:tab/>
            </w:r>
            <w:r w:rsidR="002B60A7">
              <w:rPr>
                <w:noProof/>
                <w:webHidden/>
              </w:rPr>
              <w:fldChar w:fldCharType="begin"/>
            </w:r>
            <w:r w:rsidR="002B60A7">
              <w:rPr>
                <w:noProof/>
                <w:webHidden/>
              </w:rPr>
              <w:instrText xml:space="preserve"> PAGEREF _Toc153369873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5375569" w14:textId="77777777" w:rsidR="002B60A7" w:rsidRDefault="0015520C">
          <w:pPr>
            <w:pStyle w:val="TOC2"/>
            <w:tabs>
              <w:tab w:val="right" w:leader="dot" w:pos="10194"/>
            </w:tabs>
            <w:rPr>
              <w:rFonts w:eastAsiaTheme="minorEastAsia"/>
              <w:noProof/>
              <w:color w:val="auto"/>
              <w:sz w:val="22"/>
              <w:szCs w:val="22"/>
              <w:lang w:eastAsia="en-AU"/>
            </w:rPr>
          </w:pPr>
          <w:hyperlink w:anchor="_Toc153369874" w:history="1">
            <w:r w:rsidR="002B60A7" w:rsidRPr="00034040">
              <w:rPr>
                <w:rStyle w:val="Hyperlink"/>
                <w:noProof/>
              </w:rPr>
              <w:t>Family Engagement</w:t>
            </w:r>
            <w:r w:rsidR="002B60A7">
              <w:rPr>
                <w:noProof/>
                <w:webHidden/>
              </w:rPr>
              <w:tab/>
            </w:r>
            <w:r w:rsidR="002B60A7">
              <w:rPr>
                <w:noProof/>
                <w:webHidden/>
              </w:rPr>
              <w:fldChar w:fldCharType="begin"/>
            </w:r>
            <w:r w:rsidR="002B60A7">
              <w:rPr>
                <w:noProof/>
                <w:webHidden/>
              </w:rPr>
              <w:instrText xml:space="preserve"> PAGEREF _Toc153369874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6D470D6" w14:textId="77777777" w:rsidR="002B60A7" w:rsidRDefault="0015520C">
          <w:pPr>
            <w:pStyle w:val="TOC2"/>
            <w:tabs>
              <w:tab w:val="right" w:leader="dot" w:pos="10194"/>
            </w:tabs>
            <w:rPr>
              <w:rFonts w:eastAsiaTheme="minorEastAsia"/>
              <w:noProof/>
              <w:color w:val="auto"/>
              <w:sz w:val="22"/>
              <w:szCs w:val="22"/>
              <w:lang w:eastAsia="en-AU"/>
            </w:rPr>
          </w:pPr>
          <w:hyperlink w:anchor="_Toc153369875" w:history="1">
            <w:r w:rsidR="002B60A7" w:rsidRPr="00034040">
              <w:rPr>
                <w:rStyle w:val="Hyperlink"/>
                <w:noProof/>
              </w:rPr>
              <w:t>Transition Support</w:t>
            </w:r>
            <w:r w:rsidR="002B60A7">
              <w:rPr>
                <w:noProof/>
                <w:webHidden/>
              </w:rPr>
              <w:tab/>
            </w:r>
            <w:r w:rsidR="002B60A7">
              <w:rPr>
                <w:noProof/>
                <w:webHidden/>
              </w:rPr>
              <w:fldChar w:fldCharType="begin"/>
            </w:r>
            <w:r w:rsidR="002B60A7">
              <w:rPr>
                <w:noProof/>
                <w:webHidden/>
              </w:rPr>
              <w:instrText xml:space="preserve"> PAGEREF _Toc153369875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4EF9BDD3" w14:textId="77777777" w:rsidR="002B60A7" w:rsidRDefault="0015520C">
          <w:pPr>
            <w:pStyle w:val="TOC2"/>
            <w:tabs>
              <w:tab w:val="right" w:leader="dot" w:pos="10194"/>
            </w:tabs>
            <w:rPr>
              <w:rFonts w:eastAsiaTheme="minorEastAsia"/>
              <w:noProof/>
              <w:color w:val="auto"/>
              <w:sz w:val="22"/>
              <w:szCs w:val="22"/>
              <w:lang w:eastAsia="en-AU"/>
            </w:rPr>
          </w:pPr>
          <w:hyperlink w:anchor="_Toc153369876" w:history="1">
            <w:r w:rsidR="002B60A7" w:rsidRPr="00034040">
              <w:rPr>
                <w:rStyle w:val="Hyperlink"/>
                <w:noProof/>
              </w:rPr>
              <w:t>Mobility Strategy</w:t>
            </w:r>
            <w:r w:rsidR="002B60A7">
              <w:rPr>
                <w:noProof/>
                <w:webHidden/>
              </w:rPr>
              <w:tab/>
            </w:r>
            <w:r w:rsidR="002B60A7">
              <w:rPr>
                <w:noProof/>
                <w:webHidden/>
              </w:rPr>
              <w:fldChar w:fldCharType="begin"/>
            </w:r>
            <w:r w:rsidR="002B60A7">
              <w:rPr>
                <w:noProof/>
                <w:webHidden/>
              </w:rPr>
              <w:instrText xml:space="preserve"> PAGEREF _Toc153369876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5DF419B3" w14:textId="77777777" w:rsidR="002B60A7" w:rsidRDefault="0015520C">
          <w:pPr>
            <w:pStyle w:val="TOC2"/>
            <w:tabs>
              <w:tab w:val="right" w:leader="dot" w:pos="10194"/>
            </w:tabs>
            <w:rPr>
              <w:rFonts w:eastAsiaTheme="minorEastAsia"/>
              <w:noProof/>
              <w:color w:val="auto"/>
              <w:sz w:val="22"/>
              <w:szCs w:val="22"/>
              <w:lang w:eastAsia="en-AU"/>
            </w:rPr>
          </w:pPr>
          <w:hyperlink w:anchor="_Toc153369877" w:history="1">
            <w:r w:rsidR="002B60A7" w:rsidRPr="00034040">
              <w:rPr>
                <w:rStyle w:val="Hyperlink"/>
                <w:noProof/>
              </w:rPr>
              <w:t>Youth Engagement</w:t>
            </w:r>
            <w:r w:rsidR="002B60A7">
              <w:rPr>
                <w:noProof/>
                <w:webHidden/>
              </w:rPr>
              <w:tab/>
            </w:r>
            <w:r w:rsidR="002B60A7">
              <w:rPr>
                <w:noProof/>
                <w:webHidden/>
              </w:rPr>
              <w:fldChar w:fldCharType="begin"/>
            </w:r>
            <w:r w:rsidR="002B60A7">
              <w:rPr>
                <w:noProof/>
                <w:webHidden/>
              </w:rPr>
              <w:instrText xml:space="preserve"> PAGEREF _Toc153369877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88ABDE4" w14:textId="77777777" w:rsidR="002B60A7" w:rsidRDefault="0015520C">
          <w:pPr>
            <w:pStyle w:val="TOC2"/>
            <w:tabs>
              <w:tab w:val="right" w:leader="dot" w:pos="10194"/>
            </w:tabs>
            <w:rPr>
              <w:rFonts w:eastAsiaTheme="minorEastAsia"/>
              <w:noProof/>
              <w:color w:val="auto"/>
              <w:sz w:val="22"/>
              <w:szCs w:val="22"/>
              <w:lang w:eastAsia="en-AU"/>
            </w:rPr>
          </w:pPr>
          <w:hyperlink w:anchor="_Toc153369878" w:history="1">
            <w:r w:rsidR="002B60A7" w:rsidRPr="00034040">
              <w:rPr>
                <w:rStyle w:val="Hyperlink"/>
                <w:noProof/>
              </w:rPr>
              <w:t>Targeted Girls and/or Boys Programs</w:t>
            </w:r>
            <w:r w:rsidR="002B60A7">
              <w:rPr>
                <w:noProof/>
                <w:webHidden/>
              </w:rPr>
              <w:tab/>
            </w:r>
            <w:r w:rsidR="002B60A7">
              <w:rPr>
                <w:noProof/>
                <w:webHidden/>
              </w:rPr>
              <w:fldChar w:fldCharType="begin"/>
            </w:r>
            <w:r w:rsidR="002B60A7">
              <w:rPr>
                <w:noProof/>
                <w:webHidden/>
              </w:rPr>
              <w:instrText xml:space="preserve"> PAGEREF _Toc153369878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DA3DA2C" w14:textId="77777777" w:rsidR="002B60A7" w:rsidRDefault="0015520C">
          <w:pPr>
            <w:pStyle w:val="TOC2"/>
            <w:tabs>
              <w:tab w:val="right" w:leader="dot" w:pos="10194"/>
            </w:tabs>
            <w:rPr>
              <w:rFonts w:eastAsiaTheme="minorEastAsia"/>
              <w:noProof/>
              <w:color w:val="auto"/>
              <w:sz w:val="22"/>
              <w:szCs w:val="22"/>
              <w:lang w:eastAsia="en-AU"/>
            </w:rPr>
          </w:pPr>
          <w:hyperlink w:anchor="_Toc153369879" w:history="1">
            <w:r w:rsidR="002B60A7" w:rsidRPr="00034040">
              <w:rPr>
                <w:rStyle w:val="Hyperlink"/>
                <w:noProof/>
              </w:rPr>
              <w:t>Boarding School Support</w:t>
            </w:r>
            <w:r w:rsidR="002B60A7">
              <w:rPr>
                <w:noProof/>
                <w:webHidden/>
              </w:rPr>
              <w:tab/>
            </w:r>
            <w:r w:rsidR="002B60A7">
              <w:rPr>
                <w:noProof/>
                <w:webHidden/>
              </w:rPr>
              <w:fldChar w:fldCharType="begin"/>
            </w:r>
            <w:r w:rsidR="002B60A7">
              <w:rPr>
                <w:noProof/>
                <w:webHidden/>
              </w:rPr>
              <w:instrText xml:space="preserve"> PAGEREF _Toc153369879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1F5BE0D" w14:textId="77777777" w:rsidR="002B60A7" w:rsidRDefault="0015520C">
          <w:pPr>
            <w:pStyle w:val="TOC2"/>
            <w:tabs>
              <w:tab w:val="right" w:leader="dot" w:pos="10194"/>
            </w:tabs>
            <w:rPr>
              <w:rFonts w:eastAsiaTheme="minorEastAsia"/>
              <w:noProof/>
              <w:color w:val="auto"/>
              <w:sz w:val="22"/>
              <w:szCs w:val="22"/>
              <w:lang w:eastAsia="en-AU"/>
            </w:rPr>
          </w:pPr>
          <w:hyperlink w:anchor="_Toc153369880" w:history="1">
            <w:r w:rsidR="002B60A7" w:rsidRPr="00034040">
              <w:rPr>
                <w:rStyle w:val="Hyperlink"/>
                <w:noProof/>
              </w:rPr>
              <w:t>Early Childhood</w:t>
            </w:r>
            <w:r w:rsidR="002B60A7">
              <w:rPr>
                <w:noProof/>
                <w:webHidden/>
              </w:rPr>
              <w:tab/>
            </w:r>
            <w:r w:rsidR="002B60A7">
              <w:rPr>
                <w:noProof/>
                <w:webHidden/>
              </w:rPr>
              <w:fldChar w:fldCharType="begin"/>
            </w:r>
            <w:r w:rsidR="002B60A7">
              <w:rPr>
                <w:noProof/>
                <w:webHidden/>
              </w:rPr>
              <w:instrText xml:space="preserve"> PAGEREF _Toc153369880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1B88BA23" w14:textId="77777777" w:rsidR="002B60A7" w:rsidRDefault="0015520C">
          <w:pPr>
            <w:pStyle w:val="TOC2"/>
            <w:tabs>
              <w:tab w:val="right" w:leader="dot" w:pos="10194"/>
            </w:tabs>
            <w:rPr>
              <w:rFonts w:eastAsiaTheme="minorEastAsia"/>
              <w:noProof/>
              <w:color w:val="auto"/>
              <w:sz w:val="22"/>
              <w:szCs w:val="22"/>
              <w:lang w:eastAsia="en-AU"/>
            </w:rPr>
          </w:pPr>
          <w:hyperlink w:anchor="_Toc153369881" w:history="1">
            <w:r w:rsidR="002B60A7" w:rsidRPr="00034040">
              <w:rPr>
                <w:rStyle w:val="Hyperlink"/>
                <w:noProof/>
              </w:rPr>
              <w:t>Enrolment Strategy</w:t>
            </w:r>
            <w:r w:rsidR="002B60A7">
              <w:rPr>
                <w:noProof/>
                <w:webHidden/>
              </w:rPr>
              <w:tab/>
            </w:r>
            <w:r w:rsidR="002B60A7">
              <w:rPr>
                <w:noProof/>
                <w:webHidden/>
              </w:rPr>
              <w:fldChar w:fldCharType="begin"/>
            </w:r>
            <w:r w:rsidR="002B60A7">
              <w:rPr>
                <w:noProof/>
                <w:webHidden/>
              </w:rPr>
              <w:instrText xml:space="preserve"> PAGEREF _Toc153369881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67599A24" w14:textId="77777777" w:rsidR="002B60A7" w:rsidRDefault="0015520C">
          <w:pPr>
            <w:pStyle w:val="TOC2"/>
            <w:tabs>
              <w:tab w:val="right" w:leader="dot" w:pos="10194"/>
            </w:tabs>
            <w:rPr>
              <w:rFonts w:eastAsiaTheme="minorEastAsia"/>
              <w:noProof/>
              <w:color w:val="auto"/>
              <w:sz w:val="22"/>
              <w:szCs w:val="22"/>
              <w:lang w:eastAsia="en-AU"/>
            </w:rPr>
          </w:pPr>
          <w:hyperlink w:anchor="_Toc153369882" w:history="1">
            <w:r w:rsidR="002B60A7" w:rsidRPr="00034040">
              <w:rPr>
                <w:rStyle w:val="Hyperlink"/>
                <w:noProof/>
              </w:rPr>
              <w:t>Community events</w:t>
            </w:r>
            <w:r w:rsidR="002B60A7">
              <w:rPr>
                <w:noProof/>
                <w:webHidden/>
              </w:rPr>
              <w:tab/>
            </w:r>
            <w:r w:rsidR="002B60A7">
              <w:rPr>
                <w:noProof/>
                <w:webHidden/>
              </w:rPr>
              <w:fldChar w:fldCharType="begin"/>
            </w:r>
            <w:r w:rsidR="002B60A7">
              <w:rPr>
                <w:noProof/>
                <w:webHidden/>
              </w:rPr>
              <w:instrText xml:space="preserve"> PAGEREF _Toc153369882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737B5794" w14:textId="77777777" w:rsidR="002B60A7" w:rsidRDefault="0015520C">
          <w:pPr>
            <w:pStyle w:val="TOC2"/>
            <w:tabs>
              <w:tab w:val="right" w:leader="dot" w:pos="10194"/>
            </w:tabs>
            <w:rPr>
              <w:rFonts w:eastAsiaTheme="minorEastAsia"/>
              <w:noProof/>
              <w:color w:val="auto"/>
              <w:sz w:val="22"/>
              <w:szCs w:val="22"/>
              <w:lang w:eastAsia="en-AU"/>
            </w:rPr>
          </w:pPr>
          <w:hyperlink w:anchor="_Toc153369883" w:history="1">
            <w:r w:rsidR="002B60A7" w:rsidRPr="00034040">
              <w:rPr>
                <w:rStyle w:val="Hyperlink"/>
                <w:noProof/>
              </w:rPr>
              <w:t>Breakfast and/or lunch programs</w:t>
            </w:r>
            <w:r w:rsidR="002B60A7">
              <w:rPr>
                <w:noProof/>
                <w:webHidden/>
              </w:rPr>
              <w:tab/>
            </w:r>
            <w:r w:rsidR="002B60A7">
              <w:rPr>
                <w:noProof/>
                <w:webHidden/>
              </w:rPr>
              <w:fldChar w:fldCharType="begin"/>
            </w:r>
            <w:r w:rsidR="002B60A7">
              <w:rPr>
                <w:noProof/>
                <w:webHidden/>
              </w:rPr>
              <w:instrText xml:space="preserve"> PAGEREF _Toc153369883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5DDBB64F" w14:textId="77777777" w:rsidR="002B60A7" w:rsidRDefault="0015520C">
          <w:pPr>
            <w:pStyle w:val="TOC2"/>
            <w:tabs>
              <w:tab w:val="right" w:leader="dot" w:pos="10194"/>
            </w:tabs>
            <w:rPr>
              <w:rFonts w:eastAsiaTheme="minorEastAsia"/>
              <w:noProof/>
              <w:color w:val="auto"/>
              <w:sz w:val="22"/>
              <w:szCs w:val="22"/>
              <w:lang w:eastAsia="en-AU"/>
            </w:rPr>
          </w:pPr>
          <w:hyperlink w:anchor="_Toc153369884" w:history="1">
            <w:r w:rsidR="002B60A7" w:rsidRPr="00034040">
              <w:rPr>
                <w:rStyle w:val="Hyperlink"/>
                <w:noProof/>
              </w:rPr>
              <w:t>Rewards and Recognition</w:t>
            </w:r>
            <w:r w:rsidR="002B60A7">
              <w:rPr>
                <w:noProof/>
                <w:webHidden/>
              </w:rPr>
              <w:tab/>
            </w:r>
            <w:r w:rsidR="002B60A7">
              <w:rPr>
                <w:noProof/>
                <w:webHidden/>
              </w:rPr>
              <w:fldChar w:fldCharType="begin"/>
            </w:r>
            <w:r w:rsidR="002B60A7">
              <w:rPr>
                <w:noProof/>
                <w:webHidden/>
              </w:rPr>
              <w:instrText xml:space="preserve"> PAGEREF _Toc153369884 \h </w:instrText>
            </w:r>
            <w:r w:rsidR="002B60A7">
              <w:rPr>
                <w:noProof/>
                <w:webHidden/>
              </w:rPr>
            </w:r>
            <w:r w:rsidR="002B60A7">
              <w:rPr>
                <w:noProof/>
                <w:webHidden/>
              </w:rPr>
              <w:fldChar w:fldCharType="separate"/>
            </w:r>
            <w:r w:rsidR="00DF5600">
              <w:rPr>
                <w:noProof/>
                <w:webHidden/>
              </w:rPr>
              <w:t>3</w:t>
            </w:r>
            <w:r w:rsidR="002B60A7">
              <w:rPr>
                <w:noProof/>
                <w:webHidden/>
              </w:rPr>
              <w:fldChar w:fldCharType="end"/>
            </w:r>
          </w:hyperlink>
        </w:p>
        <w:p w14:paraId="50EDE41E" w14:textId="77777777" w:rsidR="00BB0493" w:rsidRDefault="00BB0493">
          <w:r>
            <w:rPr>
              <w:b/>
              <w:bCs/>
              <w:noProof/>
            </w:rPr>
            <w:fldChar w:fldCharType="end"/>
          </w:r>
        </w:p>
      </w:sdtContent>
    </w:sdt>
    <w:p w14:paraId="5155308F" w14:textId="77777777" w:rsidR="00727658" w:rsidRDefault="00727658" w:rsidP="00727658">
      <w:pPr>
        <w:pStyle w:val="Heading1"/>
      </w:pPr>
      <w:bookmarkStart w:id="10" w:name="_Toc153369843"/>
      <w:r>
        <w:lastRenderedPageBreak/>
        <w:t>1 Preface</w:t>
      </w:r>
      <w:bookmarkEnd w:id="10"/>
      <w:bookmarkEnd w:id="9"/>
    </w:p>
    <w:p w14:paraId="4C34B9BC" w14:textId="77777777" w:rsidR="00727658" w:rsidRDefault="00727658" w:rsidP="005F7AA5">
      <w:pPr>
        <w:pStyle w:val="Heading2"/>
        <w:numPr>
          <w:ilvl w:val="1"/>
          <w:numId w:val="11"/>
        </w:numPr>
      </w:pPr>
      <w:bookmarkStart w:id="11" w:name="_Toc152687556"/>
      <w:bookmarkStart w:id="12" w:name="_Toc153369844"/>
      <w:r>
        <w:t xml:space="preserve">What is the Children &amp; Schooling Education Engagement &amp; Attainment </w:t>
      </w:r>
      <w:r w:rsidR="007A0DE5">
        <w:t>Initiatives</w:t>
      </w:r>
      <w:r>
        <w:t xml:space="preserve"> Operational Framework?</w:t>
      </w:r>
      <w:bookmarkEnd w:id="11"/>
      <w:bookmarkEnd w:id="12"/>
    </w:p>
    <w:p w14:paraId="1DC64EB2" w14:textId="77777777" w:rsidR="00727658" w:rsidRDefault="00727658" w:rsidP="00727658">
      <w:pPr>
        <w:pStyle w:val="BodyText"/>
      </w:pPr>
      <w:r w:rsidRPr="0021466E">
        <w:t xml:space="preserve">The </w:t>
      </w:r>
      <w:r w:rsidR="003071D0">
        <w:t xml:space="preserve">Indigenous Advancement Strategy (IAS) </w:t>
      </w:r>
      <w:r>
        <w:t>Children &amp; Schooling (C&amp;S) Education Engagement</w:t>
      </w:r>
      <w:r w:rsidR="007A0DE5">
        <w:t xml:space="preserve"> &amp; Attainment Initiatives (EE</w:t>
      </w:r>
      <w:r>
        <w:t>A</w:t>
      </w:r>
      <w:r w:rsidR="007A0DE5">
        <w:t>I</w:t>
      </w:r>
      <w:r>
        <w:t>)</w:t>
      </w:r>
      <w:r w:rsidRPr="0021466E">
        <w:t xml:space="preserve"> Operational Framework establishes the minimum requirements </w:t>
      </w:r>
      <w:r>
        <w:t>to</w:t>
      </w:r>
      <w:r w:rsidRPr="0021466E">
        <w:t xml:space="preserve"> establish</w:t>
      </w:r>
      <w:r w:rsidR="003071D0">
        <w:t>,</w:t>
      </w:r>
      <w:r>
        <w:t xml:space="preserve"> implement</w:t>
      </w:r>
      <w:r w:rsidRPr="0021466E">
        <w:t xml:space="preserve"> and manage </w:t>
      </w:r>
      <w:r>
        <w:t xml:space="preserve">activities funded through the Indigenous Advancement </w:t>
      </w:r>
      <w:r w:rsidR="003071D0">
        <w:t>Strategy</w:t>
      </w:r>
      <w:r>
        <w:t xml:space="preserve"> C&amp;S EE</w:t>
      </w:r>
      <w:r w:rsidR="007A0DE5">
        <w:t>AI</w:t>
      </w:r>
      <w:r>
        <w:t xml:space="preserve"> sub-program. This sub-program </w:t>
      </w:r>
      <w:r w:rsidR="005F7AA5">
        <w:t>replaces</w:t>
      </w:r>
      <w:r>
        <w:t xml:space="preserve"> </w:t>
      </w:r>
      <w:r w:rsidRPr="0021466E">
        <w:t>the Remote Schoo</w:t>
      </w:r>
      <w:r>
        <w:t>l Attendance Strategy (RSAS). This Operational Framework</w:t>
      </w:r>
      <w:r w:rsidRPr="0021466E">
        <w:t xml:space="preserve"> provides a</w:t>
      </w:r>
      <w:r>
        <w:t xml:space="preserve"> resource to support Providers to deliver activities to improve engagement between First Nations families, </w:t>
      </w:r>
      <w:r w:rsidR="00251F0F">
        <w:t xml:space="preserve">parents and </w:t>
      </w:r>
      <w:r>
        <w:t xml:space="preserve">carers, </w:t>
      </w:r>
      <w:r w:rsidR="00251F0F">
        <w:t>young people and communities with</w:t>
      </w:r>
      <w:r>
        <w:t xml:space="preserve"> schools and the education system</w:t>
      </w:r>
      <w:r w:rsidRPr="0021466E">
        <w:t xml:space="preserve"> in remote communities.</w:t>
      </w:r>
    </w:p>
    <w:p w14:paraId="5BC5BDA2" w14:textId="77777777" w:rsidR="00727658" w:rsidRDefault="00727658" w:rsidP="00727658">
      <w:pPr>
        <w:pStyle w:val="BodyText"/>
      </w:pPr>
      <w:r>
        <w:t>This Operational Framework includes:</w:t>
      </w:r>
    </w:p>
    <w:p w14:paraId="4C08C7D1" w14:textId="77777777" w:rsidR="00727658" w:rsidRDefault="00727658" w:rsidP="00670BF7">
      <w:pPr>
        <w:pStyle w:val="BodyText"/>
        <w:numPr>
          <w:ilvl w:val="0"/>
          <w:numId w:val="12"/>
        </w:numPr>
      </w:pPr>
      <w:r>
        <w:t>A brief policy rationale explaining the need to focus on engagement and attainment activities,</w:t>
      </w:r>
    </w:p>
    <w:p w14:paraId="07E68036" w14:textId="77777777" w:rsidR="00727658" w:rsidRDefault="00727658" w:rsidP="00670BF7">
      <w:pPr>
        <w:pStyle w:val="BodyText"/>
        <w:numPr>
          <w:ilvl w:val="0"/>
          <w:numId w:val="12"/>
        </w:numPr>
      </w:pPr>
      <w:r>
        <w:t>What NIAA means by engagement and attainment activities,</w:t>
      </w:r>
    </w:p>
    <w:p w14:paraId="30D13E95" w14:textId="77777777" w:rsidR="00727658" w:rsidRDefault="00727658" w:rsidP="00670BF7">
      <w:pPr>
        <w:pStyle w:val="BodyText"/>
        <w:numPr>
          <w:ilvl w:val="0"/>
          <w:numId w:val="12"/>
        </w:numPr>
      </w:pPr>
      <w:r>
        <w:t>Requirements for e</w:t>
      </w:r>
      <w:r w:rsidR="007A0DE5">
        <w:t>stablishing and implementing EE</w:t>
      </w:r>
      <w:r>
        <w:t>A</w:t>
      </w:r>
      <w:r w:rsidR="007A0DE5">
        <w:t>I</w:t>
      </w:r>
      <w:r>
        <w:t xml:space="preserve"> activities,</w:t>
      </w:r>
      <w:r w:rsidR="003071D0">
        <w:t xml:space="preserve"> including mandatory elements, and </w:t>
      </w:r>
    </w:p>
    <w:p w14:paraId="665A9EFC" w14:textId="77777777" w:rsidR="00727658" w:rsidRDefault="00727658" w:rsidP="00670BF7">
      <w:pPr>
        <w:pStyle w:val="BodyText"/>
        <w:numPr>
          <w:ilvl w:val="0"/>
          <w:numId w:val="12"/>
        </w:numPr>
      </w:pPr>
      <w:r>
        <w:t>Guideline</w:t>
      </w:r>
      <w:r w:rsidR="00E93473">
        <w:t>s and examples of practice for P</w:t>
      </w:r>
      <w:r>
        <w:t>roviders to take into consideration.</w:t>
      </w:r>
    </w:p>
    <w:p w14:paraId="3D9226FA" w14:textId="77777777" w:rsidR="00727658" w:rsidRPr="00251F0F" w:rsidRDefault="00727658" w:rsidP="00251F0F">
      <w:pPr>
        <w:pStyle w:val="BodyText"/>
      </w:pPr>
      <w:r w:rsidRPr="00251F0F">
        <w:t xml:space="preserve">Providers implementing </w:t>
      </w:r>
      <w:r w:rsidR="007A0DE5" w:rsidRPr="00251F0F">
        <w:t>EEAI</w:t>
      </w:r>
      <w:r w:rsidRPr="00251F0F">
        <w:t xml:space="preserve"> activities funded by the National Indigenous Australians Agency (the Agency, or NIAA) should use this Operational Framework to ensure they deliver all requirements of </w:t>
      </w:r>
      <w:r w:rsidR="007A0DE5" w:rsidRPr="00251F0F">
        <w:t>C&amp;S EE</w:t>
      </w:r>
      <w:r w:rsidRPr="00251F0F">
        <w:t>A</w:t>
      </w:r>
      <w:r w:rsidR="007A0DE5" w:rsidRPr="00251F0F">
        <w:t>I</w:t>
      </w:r>
      <w:r w:rsidRPr="00251F0F">
        <w:t xml:space="preserve"> activities. The Agency will also use this Framework to help manage </w:t>
      </w:r>
      <w:r w:rsidR="007A0DE5" w:rsidRPr="00251F0F">
        <w:t>EEAI</w:t>
      </w:r>
      <w:r w:rsidRPr="00251F0F">
        <w:t xml:space="preserve"> contracts and provide guidance to Providers.</w:t>
      </w:r>
    </w:p>
    <w:p w14:paraId="2AEE2135" w14:textId="77777777" w:rsidR="00727658" w:rsidRPr="00251F0F" w:rsidRDefault="00727658" w:rsidP="00251F0F">
      <w:pPr>
        <w:pStyle w:val="BodyText"/>
      </w:pPr>
      <w:r w:rsidRPr="00251F0F">
        <w:t xml:space="preserve">This Operational Framework forms part of C&amp;S </w:t>
      </w:r>
      <w:r w:rsidR="007A0DE5" w:rsidRPr="00251F0F">
        <w:t>EEAI</w:t>
      </w:r>
      <w:r w:rsidRPr="00251F0F">
        <w:t xml:space="preserve"> Project Agreements along with the Head Agreement for Indigenous Grants and the relevant Project Schedule. This Operational Framework is not a stand-alone document and does not contain all the contractual requirements for Providers. It must be read in conjunction with the Head Agreement for Indigenous Grants and the relevant Project Schedule. </w:t>
      </w:r>
    </w:p>
    <w:p w14:paraId="0C7CC6AC" w14:textId="77777777" w:rsidR="00727658" w:rsidRDefault="00727658" w:rsidP="005F7AA5">
      <w:pPr>
        <w:pStyle w:val="Heading2"/>
        <w:numPr>
          <w:ilvl w:val="1"/>
          <w:numId w:val="11"/>
        </w:numPr>
      </w:pPr>
      <w:bookmarkStart w:id="13" w:name="_Toc529871536"/>
      <w:bookmarkStart w:id="14" w:name="_Toc531708367"/>
      <w:bookmarkStart w:id="15" w:name="_Toc531864553"/>
      <w:bookmarkStart w:id="16" w:name="_Toc7602898"/>
      <w:bookmarkStart w:id="17" w:name="_Toc152687557"/>
      <w:bookmarkStart w:id="18" w:name="_Toc153369845"/>
      <w:bookmarkEnd w:id="13"/>
      <w:bookmarkEnd w:id="14"/>
      <w:bookmarkEnd w:id="15"/>
      <w:bookmarkEnd w:id="16"/>
      <w:r>
        <w:t>Glossary of definitions &amp; terms</w:t>
      </w:r>
      <w:bookmarkEnd w:id="17"/>
      <w:bookmarkEnd w:id="18"/>
    </w:p>
    <w:p w14:paraId="29DE74D9" w14:textId="77777777" w:rsidR="00DC2C51" w:rsidRPr="00DC2C51" w:rsidRDefault="00DC2C51" w:rsidP="00DC2C51">
      <w:pPr>
        <w:pStyle w:val="BodyText"/>
      </w:pPr>
    </w:p>
    <w:tbl>
      <w:tblPr>
        <w:tblStyle w:val="NIAATable-simple"/>
        <w:tblW w:w="0" w:type="auto"/>
        <w:tblLook w:val="04A0" w:firstRow="1" w:lastRow="0" w:firstColumn="1" w:lastColumn="0" w:noHBand="0" w:noVBand="1"/>
        <w:tblCaption w:val="Glossary of terms and definitions"/>
      </w:tblPr>
      <w:tblGrid>
        <w:gridCol w:w="5102"/>
        <w:gridCol w:w="5102"/>
      </w:tblGrid>
      <w:tr w:rsidR="00727658" w14:paraId="57C55648" w14:textId="77777777" w:rsidTr="006450C3">
        <w:trPr>
          <w:cnfStyle w:val="100000000000" w:firstRow="1" w:lastRow="0" w:firstColumn="0" w:lastColumn="0" w:oddVBand="0" w:evenVBand="0" w:oddHBand="0" w:evenHBand="0" w:firstRowFirstColumn="0" w:firstRowLastColumn="0" w:lastRowFirstColumn="0" w:lastRowLastColumn="0"/>
          <w:tblHeader/>
        </w:trPr>
        <w:tc>
          <w:tcPr>
            <w:tcW w:w="5102" w:type="dxa"/>
          </w:tcPr>
          <w:p w14:paraId="563583CB" w14:textId="77777777" w:rsidR="00727658" w:rsidRDefault="00727658" w:rsidP="00727658">
            <w:pPr>
              <w:pStyle w:val="BodyText"/>
              <w:spacing w:before="144" w:after="144"/>
            </w:pPr>
            <w:r>
              <w:t>Term</w:t>
            </w:r>
          </w:p>
        </w:tc>
        <w:tc>
          <w:tcPr>
            <w:tcW w:w="5102" w:type="dxa"/>
          </w:tcPr>
          <w:p w14:paraId="5E0DF037" w14:textId="77777777" w:rsidR="00727658" w:rsidRDefault="00727658" w:rsidP="00727658">
            <w:pPr>
              <w:pStyle w:val="BodyText"/>
              <w:spacing w:before="144" w:after="144"/>
            </w:pPr>
            <w:r>
              <w:t>Definition</w:t>
            </w:r>
          </w:p>
        </w:tc>
      </w:tr>
      <w:tr w:rsidR="00727658" w14:paraId="33C229D6"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488BDC00" w14:textId="77777777" w:rsidR="00727658" w:rsidRDefault="00727658" w:rsidP="00727658">
            <w:pPr>
              <w:pStyle w:val="BodyText"/>
              <w:spacing w:before="144" w:after="144"/>
            </w:pPr>
            <w:r>
              <w:t>IAS</w:t>
            </w:r>
          </w:p>
        </w:tc>
        <w:tc>
          <w:tcPr>
            <w:tcW w:w="5102" w:type="dxa"/>
          </w:tcPr>
          <w:p w14:paraId="3883CFA8" w14:textId="77777777" w:rsidR="00727658" w:rsidRDefault="00727658" w:rsidP="00727658">
            <w:pPr>
              <w:pStyle w:val="BodyText"/>
              <w:spacing w:before="144" w:after="144"/>
            </w:pPr>
            <w:r>
              <w:t>IAS means Indigenous Advancement Strategy</w:t>
            </w:r>
          </w:p>
        </w:tc>
      </w:tr>
      <w:tr w:rsidR="00727658" w14:paraId="7B30898F"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3ACBCD5C" w14:textId="77777777" w:rsidR="00727658" w:rsidRDefault="00727658" w:rsidP="00727658">
            <w:pPr>
              <w:pStyle w:val="BodyText"/>
              <w:spacing w:before="144" w:after="144"/>
            </w:pPr>
            <w:r>
              <w:t>IAS Guidelines</w:t>
            </w:r>
          </w:p>
        </w:tc>
        <w:tc>
          <w:tcPr>
            <w:tcW w:w="5102" w:type="dxa"/>
          </w:tcPr>
          <w:p w14:paraId="37921B5D" w14:textId="77777777" w:rsidR="00727658" w:rsidRDefault="00727658" w:rsidP="00727658">
            <w:pPr>
              <w:pStyle w:val="BodyText"/>
              <w:spacing w:before="144" w:after="144"/>
            </w:pPr>
            <w:r w:rsidRPr="00727658">
              <w:t xml:space="preserve">IAS Guidelines mean the Indigenous Advancement Strategy Grant Guidelines published on </w:t>
            </w:r>
            <w:hyperlink r:id="rId13" w:history="1">
              <w:r w:rsidRPr="005601A4">
                <w:rPr>
                  <w:rStyle w:val="Hyperlink"/>
                </w:rPr>
                <w:t>www.niaa.gov.au</w:t>
              </w:r>
            </w:hyperlink>
            <w:r>
              <w:t xml:space="preserve"> </w:t>
            </w:r>
          </w:p>
        </w:tc>
      </w:tr>
      <w:tr w:rsidR="00727658" w14:paraId="6A551DD6"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101A3DCB" w14:textId="77777777" w:rsidR="00727658" w:rsidRDefault="00727658" w:rsidP="00727658">
            <w:pPr>
              <w:pStyle w:val="BodyText"/>
              <w:spacing w:before="144" w:after="144"/>
            </w:pPr>
            <w:r>
              <w:lastRenderedPageBreak/>
              <w:t>The Agency, NIAA</w:t>
            </w:r>
          </w:p>
        </w:tc>
        <w:tc>
          <w:tcPr>
            <w:tcW w:w="5102" w:type="dxa"/>
          </w:tcPr>
          <w:p w14:paraId="59C15E8D" w14:textId="77777777" w:rsidR="00727658" w:rsidRDefault="00727658" w:rsidP="00727658">
            <w:pPr>
              <w:pStyle w:val="BodyText"/>
              <w:spacing w:before="144" w:after="144"/>
            </w:pPr>
            <w:r>
              <w:t xml:space="preserve">The Agency </w:t>
            </w:r>
            <w:r w:rsidR="00EA15C0">
              <w:t>or NIAA refers to the National I</w:t>
            </w:r>
            <w:r>
              <w:t>ndigenous Australians Agency</w:t>
            </w:r>
          </w:p>
        </w:tc>
      </w:tr>
      <w:tr w:rsidR="00727658" w14:paraId="5E09E831"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5E669A0B" w14:textId="77777777" w:rsidR="00727658" w:rsidRDefault="00727658" w:rsidP="00727658">
            <w:pPr>
              <w:pStyle w:val="BodyText"/>
              <w:spacing w:before="144" w:after="144"/>
            </w:pPr>
            <w:r>
              <w:t>NO or NIAA NO</w:t>
            </w:r>
          </w:p>
        </w:tc>
        <w:tc>
          <w:tcPr>
            <w:tcW w:w="5102" w:type="dxa"/>
          </w:tcPr>
          <w:p w14:paraId="21308924" w14:textId="77777777" w:rsidR="00727658" w:rsidRDefault="00727658" w:rsidP="00727658">
            <w:pPr>
              <w:pStyle w:val="BodyText"/>
              <w:spacing w:before="144" w:after="144"/>
            </w:pPr>
            <w:r w:rsidRPr="00D16E46">
              <w:t xml:space="preserve">NO </w:t>
            </w:r>
            <w:r>
              <w:t>or NIAA NO means The National Indigenous Australians Agency National Office, located in the Australian Capital Territory</w:t>
            </w:r>
            <w:r w:rsidRPr="00D16E46">
              <w:t>.</w:t>
            </w:r>
          </w:p>
        </w:tc>
      </w:tr>
      <w:tr w:rsidR="00727658" w14:paraId="79D3FC2A"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3D1D8FE5" w14:textId="77777777" w:rsidR="00727658" w:rsidRDefault="00727658" w:rsidP="00727658">
            <w:pPr>
              <w:pStyle w:val="BodyText"/>
              <w:spacing w:before="144" w:after="144"/>
            </w:pPr>
            <w:r>
              <w:t>Regional Office or NIAA Regional Office</w:t>
            </w:r>
          </w:p>
        </w:tc>
        <w:tc>
          <w:tcPr>
            <w:tcW w:w="5102" w:type="dxa"/>
            <w:vAlign w:val="center"/>
          </w:tcPr>
          <w:p w14:paraId="322613D7" w14:textId="77777777" w:rsidR="00727658" w:rsidRDefault="00727658" w:rsidP="00EB5630">
            <w:pPr>
              <w:pStyle w:val="BodyText"/>
              <w:spacing w:before="144" w:after="144"/>
            </w:pPr>
            <w:r w:rsidRPr="00D16E46">
              <w:t xml:space="preserve">Regional </w:t>
            </w:r>
            <w:r>
              <w:t xml:space="preserve">Office or NIAA Regional Office </w:t>
            </w:r>
            <w:r w:rsidRPr="00D16E46">
              <w:t xml:space="preserve">refers to </w:t>
            </w:r>
            <w:r>
              <w:t xml:space="preserve">relevant </w:t>
            </w:r>
            <w:r w:rsidRPr="00D16E46">
              <w:t xml:space="preserve">staff </w:t>
            </w:r>
            <w:r>
              <w:t xml:space="preserve">or areas of </w:t>
            </w:r>
            <w:r w:rsidR="00EB5630">
              <w:t>NIAA</w:t>
            </w:r>
            <w:r>
              <w:t xml:space="preserve"> </w:t>
            </w:r>
            <w:r w:rsidRPr="00D16E46">
              <w:t xml:space="preserve">who work in locations across Australia with </w:t>
            </w:r>
            <w:r>
              <w:t>First Nations</w:t>
            </w:r>
            <w:r w:rsidRPr="00D16E46">
              <w:t xml:space="preserve"> groups and grant recipients to ensure the delivery of </w:t>
            </w:r>
            <w:r>
              <w:t xml:space="preserve">IAS </w:t>
            </w:r>
            <w:r w:rsidRPr="00D16E46">
              <w:t>outcomes.</w:t>
            </w:r>
          </w:p>
        </w:tc>
      </w:tr>
      <w:tr w:rsidR="00727658" w14:paraId="671880EA"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547DC806" w14:textId="77777777" w:rsidR="00727658" w:rsidRPr="00834AC5" w:rsidRDefault="00834AC5" w:rsidP="00727658">
            <w:pPr>
              <w:pStyle w:val="BodyText"/>
              <w:spacing w:before="144" w:after="144"/>
            </w:pPr>
            <w:r w:rsidRPr="00834AC5">
              <w:t xml:space="preserve">Service </w:t>
            </w:r>
            <w:r w:rsidR="00C07ECF" w:rsidRPr="00834AC5">
              <w:t>Menu</w:t>
            </w:r>
            <w:r w:rsidRPr="00834AC5">
              <w:t>, EEAI Service Menu</w:t>
            </w:r>
          </w:p>
        </w:tc>
        <w:tc>
          <w:tcPr>
            <w:tcW w:w="5102" w:type="dxa"/>
          </w:tcPr>
          <w:p w14:paraId="786F7641" w14:textId="77777777" w:rsidR="00727658" w:rsidRPr="00834AC5" w:rsidRDefault="00834AC5" w:rsidP="00EA15C0">
            <w:pPr>
              <w:pStyle w:val="BodyText"/>
              <w:spacing w:before="144" w:after="144"/>
            </w:pPr>
            <w:r w:rsidRPr="00834AC5">
              <w:t xml:space="preserve">Service Menu or EEAI Service </w:t>
            </w:r>
            <w:r w:rsidR="00C07ECF" w:rsidRPr="00834AC5">
              <w:t>Menu refers to a list of 1</w:t>
            </w:r>
            <w:r w:rsidR="00EA15C0">
              <w:t>7</w:t>
            </w:r>
            <w:r w:rsidR="00C07ECF" w:rsidRPr="00834AC5">
              <w:t xml:space="preserve"> suggested activity items to support implementation of the </w:t>
            </w:r>
            <w:r w:rsidR="00C14B8A" w:rsidRPr="00834AC5">
              <w:t xml:space="preserve">C&amp;S EEAI </w:t>
            </w:r>
            <w:r w:rsidR="00C07ECF" w:rsidRPr="00834AC5">
              <w:t>sub-program.</w:t>
            </w:r>
          </w:p>
        </w:tc>
      </w:tr>
      <w:tr w:rsidR="00C07ECF" w14:paraId="2CA215E4"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32168107" w14:textId="77777777" w:rsidR="00C07ECF" w:rsidRPr="00834AC5" w:rsidRDefault="00834AC5" w:rsidP="00C07ECF">
            <w:pPr>
              <w:pStyle w:val="BodyText"/>
              <w:spacing w:before="144" w:after="144"/>
            </w:pPr>
            <w:r w:rsidRPr="00834AC5">
              <w:t xml:space="preserve">Service </w:t>
            </w:r>
            <w:r w:rsidR="00C07ECF" w:rsidRPr="00834AC5">
              <w:t>Menu Item</w:t>
            </w:r>
          </w:p>
        </w:tc>
        <w:tc>
          <w:tcPr>
            <w:tcW w:w="5102" w:type="dxa"/>
            <w:vAlign w:val="center"/>
          </w:tcPr>
          <w:p w14:paraId="2460B23A" w14:textId="77777777" w:rsidR="00C07ECF" w:rsidRPr="00834AC5" w:rsidRDefault="00834AC5" w:rsidP="00E93473">
            <w:pPr>
              <w:pStyle w:val="BodyText"/>
              <w:spacing w:before="144" w:after="144"/>
            </w:pPr>
            <w:r w:rsidRPr="00834AC5">
              <w:t>A Service Menu</w:t>
            </w:r>
            <w:r w:rsidR="00E93473">
              <w:t xml:space="preserve"> Item is one of the 17</w:t>
            </w:r>
            <w:r w:rsidR="00C07ECF" w:rsidRPr="00834AC5">
              <w:t xml:space="preserve"> items Providers could choose from the </w:t>
            </w:r>
            <w:r w:rsidRPr="00834AC5">
              <w:t xml:space="preserve">Service </w:t>
            </w:r>
            <w:r w:rsidR="00C07ECF" w:rsidRPr="00834AC5">
              <w:t>Menu.</w:t>
            </w:r>
          </w:p>
        </w:tc>
      </w:tr>
      <w:tr w:rsidR="00C07ECF" w14:paraId="214F9835"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612E95DB" w14:textId="77777777" w:rsidR="00C07ECF" w:rsidRDefault="00C07ECF" w:rsidP="00C07ECF">
            <w:pPr>
              <w:pStyle w:val="BodyText"/>
              <w:spacing w:before="144" w:after="144"/>
            </w:pPr>
            <w:r w:rsidRPr="00DB64C9">
              <w:t>Project Agreement</w:t>
            </w:r>
          </w:p>
        </w:tc>
        <w:tc>
          <w:tcPr>
            <w:tcW w:w="5102" w:type="dxa"/>
          </w:tcPr>
          <w:p w14:paraId="5337DE14" w14:textId="77777777" w:rsidR="00C07ECF" w:rsidRDefault="00C07ECF" w:rsidP="00C07ECF">
            <w:pPr>
              <w:pStyle w:val="BodyText"/>
              <w:spacing w:before="144" w:after="144"/>
            </w:pPr>
            <w:r w:rsidRPr="00DB64C9">
              <w:t>A Project Agreement includes the Head Agreement for Indigenous Grants, the relevant Project Schedule and any attachments to the Project Schedule (</w:t>
            </w:r>
            <w:r>
              <w:t>including</w:t>
            </w:r>
            <w:r w:rsidRPr="00DB64C9">
              <w:t xml:space="preserve"> this Operational Framework).</w:t>
            </w:r>
          </w:p>
        </w:tc>
      </w:tr>
      <w:tr w:rsidR="00C07ECF" w14:paraId="7025C30D"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058EF529" w14:textId="77777777" w:rsidR="00C07ECF" w:rsidRDefault="00C07ECF" w:rsidP="00C07ECF">
            <w:pPr>
              <w:pStyle w:val="BodyText"/>
              <w:spacing w:before="144" w:after="144"/>
            </w:pPr>
            <w:r>
              <w:t>Project Schedule</w:t>
            </w:r>
          </w:p>
        </w:tc>
        <w:tc>
          <w:tcPr>
            <w:tcW w:w="5102" w:type="dxa"/>
          </w:tcPr>
          <w:p w14:paraId="585FD972" w14:textId="77777777" w:rsidR="00C07ECF" w:rsidRDefault="00C07ECF" w:rsidP="00C07ECF">
            <w:pPr>
              <w:pStyle w:val="BodyText"/>
              <w:spacing w:before="144" w:after="144"/>
            </w:pPr>
            <w:r>
              <w:t>A Project Schedule</w:t>
            </w:r>
            <w:r w:rsidRPr="00D16E46">
              <w:t xml:space="preserve"> </w:t>
            </w:r>
            <w:r>
              <w:t>forms part of a Project Agreement (see above).</w:t>
            </w:r>
          </w:p>
        </w:tc>
      </w:tr>
      <w:tr w:rsidR="00C07ECF" w14:paraId="21109572"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73B8C55A" w14:textId="77777777" w:rsidR="00C07ECF" w:rsidRDefault="00C07ECF" w:rsidP="00C07ECF">
            <w:pPr>
              <w:pStyle w:val="BodyText"/>
              <w:spacing w:before="144" w:after="144"/>
            </w:pPr>
            <w:r>
              <w:t>NIAA contact</w:t>
            </w:r>
          </w:p>
        </w:tc>
        <w:tc>
          <w:tcPr>
            <w:tcW w:w="5102" w:type="dxa"/>
          </w:tcPr>
          <w:p w14:paraId="127802D0" w14:textId="77777777" w:rsidR="00C07ECF" w:rsidRDefault="00C07ECF" w:rsidP="00C07ECF">
            <w:pPr>
              <w:pStyle w:val="BodyText"/>
              <w:spacing w:before="144" w:after="144"/>
            </w:pPr>
            <w:r>
              <w:t>The NIAA contact is the Agency’s staff member that manages the relevant Project Schedule.</w:t>
            </w:r>
          </w:p>
        </w:tc>
      </w:tr>
      <w:tr w:rsidR="00C07ECF" w14:paraId="6FFEFF0F"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1441EC84" w14:textId="77777777" w:rsidR="00C07ECF" w:rsidRDefault="00C07ECF" w:rsidP="00C07ECF">
            <w:pPr>
              <w:pStyle w:val="BodyText"/>
              <w:spacing w:before="144" w:after="144"/>
            </w:pPr>
            <w:r w:rsidRPr="00D16E46">
              <w:t>RSAS</w:t>
            </w:r>
          </w:p>
        </w:tc>
        <w:tc>
          <w:tcPr>
            <w:tcW w:w="5102" w:type="dxa"/>
          </w:tcPr>
          <w:p w14:paraId="401B3CF9" w14:textId="77777777" w:rsidR="00C07ECF" w:rsidRDefault="00C07ECF" w:rsidP="00C07ECF">
            <w:pPr>
              <w:pStyle w:val="BodyText"/>
              <w:spacing w:before="144" w:after="144"/>
            </w:pPr>
            <w:r>
              <w:t xml:space="preserve">RSAS means the Remote School Attendance </w:t>
            </w:r>
            <w:r w:rsidR="003071D0">
              <w:t>Strategy.</w:t>
            </w:r>
          </w:p>
        </w:tc>
      </w:tr>
      <w:tr w:rsidR="00C07ECF" w14:paraId="491AF2AE"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248BE427" w14:textId="77777777" w:rsidR="00C07ECF" w:rsidRDefault="00C07ECF" w:rsidP="00C07ECF">
            <w:pPr>
              <w:pStyle w:val="BodyText"/>
              <w:spacing w:before="144" w:after="144"/>
            </w:pPr>
            <w:r>
              <w:t xml:space="preserve">Site, </w:t>
            </w:r>
            <w:r w:rsidR="007A0DE5">
              <w:t>EEAI</w:t>
            </w:r>
            <w:r>
              <w:t xml:space="preserve"> Site</w:t>
            </w:r>
          </w:p>
        </w:tc>
        <w:tc>
          <w:tcPr>
            <w:tcW w:w="5102" w:type="dxa"/>
          </w:tcPr>
          <w:p w14:paraId="25BC6FD5" w14:textId="77777777" w:rsidR="00C07ECF" w:rsidRDefault="00C07ECF" w:rsidP="00C07ECF">
            <w:pPr>
              <w:pStyle w:val="BodyText"/>
              <w:spacing w:before="144" w:after="144"/>
            </w:pPr>
            <w:r>
              <w:t xml:space="preserve">Site or </w:t>
            </w:r>
            <w:r w:rsidR="007A0DE5">
              <w:t>EEAI</w:t>
            </w:r>
            <w:r>
              <w:t xml:space="preserve"> Site means an individual First Nations community where </w:t>
            </w:r>
            <w:r w:rsidR="007A0DE5">
              <w:t>EEAI</w:t>
            </w:r>
            <w:r>
              <w:t xml:space="preserve"> activities are implemented.</w:t>
            </w:r>
          </w:p>
        </w:tc>
      </w:tr>
      <w:tr w:rsidR="00C07ECF" w14:paraId="106F7F1C"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29DCCECF" w14:textId="77777777" w:rsidR="00C07ECF" w:rsidRDefault="00C07ECF" w:rsidP="00C07ECF">
            <w:pPr>
              <w:pStyle w:val="BodyText"/>
              <w:spacing w:before="144" w:after="144"/>
            </w:pPr>
            <w:r>
              <w:t xml:space="preserve">Provider, </w:t>
            </w:r>
            <w:r w:rsidR="007A0DE5">
              <w:t>EEAI</w:t>
            </w:r>
            <w:r w:rsidR="00E93473">
              <w:t xml:space="preserve"> P</w:t>
            </w:r>
            <w:r>
              <w:t>rovider</w:t>
            </w:r>
          </w:p>
        </w:tc>
        <w:tc>
          <w:tcPr>
            <w:tcW w:w="5102" w:type="dxa"/>
          </w:tcPr>
          <w:p w14:paraId="16F6ADA0" w14:textId="77777777" w:rsidR="00C07ECF" w:rsidRDefault="00C07ECF" w:rsidP="00EB5630">
            <w:pPr>
              <w:pStyle w:val="BodyText"/>
              <w:spacing w:before="144" w:after="144"/>
            </w:pPr>
            <w:r>
              <w:t xml:space="preserve">Provider or </w:t>
            </w:r>
            <w:r w:rsidR="007A0DE5">
              <w:t>EEAI</w:t>
            </w:r>
            <w:r w:rsidR="00E93473">
              <w:t xml:space="preserve"> P</w:t>
            </w:r>
            <w:r>
              <w:t xml:space="preserve">rovider means organisations contracted by NIAA to deliver </w:t>
            </w:r>
            <w:r w:rsidR="007A0DE5">
              <w:t>EEAI</w:t>
            </w:r>
            <w:r>
              <w:t xml:space="preserve"> activities.</w:t>
            </w:r>
          </w:p>
        </w:tc>
      </w:tr>
      <w:tr w:rsidR="00C07ECF" w14:paraId="28A1D855"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206C208D" w14:textId="77777777" w:rsidR="00C07ECF" w:rsidRDefault="00C07ECF" w:rsidP="00C07ECF">
            <w:pPr>
              <w:pStyle w:val="BodyText"/>
              <w:spacing w:before="144" w:after="144"/>
            </w:pPr>
            <w:r>
              <w:t xml:space="preserve">Schools, </w:t>
            </w:r>
            <w:r w:rsidR="007A0DE5">
              <w:t>EEAI</w:t>
            </w:r>
            <w:r>
              <w:t xml:space="preserve"> schools</w:t>
            </w:r>
          </w:p>
        </w:tc>
        <w:tc>
          <w:tcPr>
            <w:tcW w:w="5102" w:type="dxa"/>
          </w:tcPr>
          <w:p w14:paraId="6F2990B8" w14:textId="77777777" w:rsidR="00C07ECF" w:rsidRDefault="00C07ECF" w:rsidP="00C07ECF">
            <w:pPr>
              <w:pStyle w:val="BodyText"/>
              <w:spacing w:before="144" w:after="144"/>
            </w:pPr>
            <w:r>
              <w:t xml:space="preserve">Schools or </w:t>
            </w:r>
            <w:r w:rsidR="007A0DE5">
              <w:t>EEAI</w:t>
            </w:r>
            <w:r>
              <w:t xml:space="preserve"> schools are schools located at </w:t>
            </w:r>
            <w:r w:rsidR="007A0DE5">
              <w:t>EEAI</w:t>
            </w:r>
            <w:r>
              <w:t xml:space="preserve"> </w:t>
            </w:r>
            <w:r w:rsidR="00E93473">
              <w:t>sites that P</w:t>
            </w:r>
            <w:r>
              <w:t xml:space="preserve">roviders are funded to deliver services in </w:t>
            </w:r>
            <w:r>
              <w:lastRenderedPageBreak/>
              <w:t>collaboration with to support education engagement and attainment outcomes.</w:t>
            </w:r>
          </w:p>
        </w:tc>
      </w:tr>
      <w:tr w:rsidR="00CA3BE3" w14:paraId="75FB3DD6"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shd w:val="clear" w:color="auto" w:fill="auto"/>
          </w:tcPr>
          <w:p w14:paraId="63F50786" w14:textId="77777777" w:rsidR="00CA3BE3" w:rsidRPr="00834AC5" w:rsidRDefault="00CA3BE3" w:rsidP="00C07ECF">
            <w:pPr>
              <w:pStyle w:val="BodyText"/>
              <w:spacing w:before="144" w:after="144"/>
            </w:pPr>
            <w:r w:rsidRPr="00834AC5">
              <w:lastRenderedPageBreak/>
              <w:t>Engagement Team, Engagement Staff</w:t>
            </w:r>
          </w:p>
        </w:tc>
        <w:tc>
          <w:tcPr>
            <w:tcW w:w="5102" w:type="dxa"/>
            <w:shd w:val="clear" w:color="auto" w:fill="auto"/>
          </w:tcPr>
          <w:p w14:paraId="4A2E86EE" w14:textId="77777777" w:rsidR="00CA3BE3" w:rsidRPr="00834AC5" w:rsidRDefault="00EB5630" w:rsidP="00F35CF7">
            <w:pPr>
              <w:pStyle w:val="BodyText"/>
              <w:spacing w:before="144" w:after="144"/>
            </w:pPr>
            <w:r>
              <w:t xml:space="preserve">Means all </w:t>
            </w:r>
            <w:r w:rsidR="00CA3BE3" w:rsidRPr="00834AC5">
              <w:t>people employed by the Provider to deliver EEAI activities.</w:t>
            </w:r>
          </w:p>
        </w:tc>
      </w:tr>
      <w:tr w:rsidR="00CA3BE3" w14:paraId="70C09E54"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428031BA" w14:textId="77777777" w:rsidR="00CA3BE3" w:rsidRPr="00DC2C51" w:rsidRDefault="000F237A" w:rsidP="00C07ECF">
            <w:pPr>
              <w:pStyle w:val="BodyText"/>
              <w:spacing w:before="144" w:after="144"/>
              <w:rPr>
                <w:highlight w:val="green"/>
              </w:rPr>
            </w:pPr>
            <w:r>
              <w:t>EEAI a</w:t>
            </w:r>
            <w:r w:rsidR="00CA3BE3">
              <w:t>ctivities</w:t>
            </w:r>
          </w:p>
        </w:tc>
        <w:tc>
          <w:tcPr>
            <w:tcW w:w="5102" w:type="dxa"/>
          </w:tcPr>
          <w:p w14:paraId="4B00977E" w14:textId="77777777" w:rsidR="00CA3BE3" w:rsidRPr="00DC2C51" w:rsidRDefault="00CA3BE3" w:rsidP="000F237A">
            <w:pPr>
              <w:pStyle w:val="BodyText"/>
              <w:spacing w:before="144" w:after="144"/>
              <w:rPr>
                <w:highlight w:val="green"/>
              </w:rPr>
            </w:pPr>
            <w:r>
              <w:t xml:space="preserve">EEAI </w:t>
            </w:r>
            <w:r w:rsidR="000F237A">
              <w:t>a</w:t>
            </w:r>
            <w:r>
              <w:t xml:space="preserve">ctivities refer to </w:t>
            </w:r>
            <w:r w:rsidR="00251F0F">
              <w:t xml:space="preserve">the </w:t>
            </w:r>
            <w:r>
              <w:t xml:space="preserve">projects </w:t>
            </w:r>
            <w:r w:rsidR="00251F0F">
              <w:t xml:space="preserve">implemented as per the </w:t>
            </w:r>
            <w:r w:rsidR="00EB5630">
              <w:t xml:space="preserve">relevant </w:t>
            </w:r>
            <w:r w:rsidR="00251F0F">
              <w:t xml:space="preserve">Project Agreement </w:t>
            </w:r>
            <w:r>
              <w:t>conducted in EEAI sites to improve education engagement and attainment outcomes.</w:t>
            </w:r>
          </w:p>
        </w:tc>
      </w:tr>
      <w:tr w:rsidR="00CA3BE3" w14:paraId="52B8F96C"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2886E963" w14:textId="77777777" w:rsidR="00CA3BE3" w:rsidRPr="00DC2C51" w:rsidRDefault="000F237A" w:rsidP="000F237A">
            <w:pPr>
              <w:pStyle w:val="BodyText"/>
              <w:spacing w:before="144" w:after="144"/>
              <w:rPr>
                <w:highlight w:val="green"/>
              </w:rPr>
            </w:pPr>
            <w:r>
              <w:t>EEAI s</w:t>
            </w:r>
            <w:r w:rsidR="00CA3BE3">
              <w:t>ub-</w:t>
            </w:r>
            <w:r>
              <w:t>p</w:t>
            </w:r>
            <w:r w:rsidR="00CA3BE3">
              <w:t>rogram</w:t>
            </w:r>
          </w:p>
        </w:tc>
        <w:tc>
          <w:tcPr>
            <w:tcW w:w="5102" w:type="dxa"/>
          </w:tcPr>
          <w:p w14:paraId="5AB451F5" w14:textId="77777777" w:rsidR="00CA3BE3" w:rsidRPr="00DC2C51" w:rsidRDefault="00EB5630" w:rsidP="00EA15C0">
            <w:pPr>
              <w:pStyle w:val="BodyText"/>
              <w:spacing w:before="144" w:after="144"/>
              <w:rPr>
                <w:highlight w:val="green"/>
              </w:rPr>
            </w:pPr>
            <w:r>
              <w:t>EEAI sub-program</w:t>
            </w:r>
            <w:r w:rsidR="00CA3BE3">
              <w:t xml:space="preserve"> refers to the area of funding and associated guidelines under the Indigenous Advancement Strategy Children </w:t>
            </w:r>
            <w:r w:rsidR="00E93473">
              <w:t>&amp; Schooling Program that funds P</w:t>
            </w:r>
            <w:r w:rsidR="000F237A">
              <w:t>roviders to deliver EEAI a</w:t>
            </w:r>
            <w:r w:rsidR="00CA3BE3">
              <w:t xml:space="preserve">ctivities. This </w:t>
            </w:r>
            <w:r w:rsidR="00834AC5">
              <w:t xml:space="preserve">replaces </w:t>
            </w:r>
            <w:r w:rsidR="00CA3BE3">
              <w:t>the RSAS program</w:t>
            </w:r>
            <w:r w:rsidR="00834AC5">
              <w:t>, which was funded to 31</w:t>
            </w:r>
            <w:r w:rsidR="00EA15C0">
              <w:t> </w:t>
            </w:r>
            <w:r w:rsidR="00834AC5">
              <w:t>December 2023</w:t>
            </w:r>
            <w:r w:rsidR="00CA3BE3">
              <w:t>.</w:t>
            </w:r>
          </w:p>
        </w:tc>
      </w:tr>
      <w:tr w:rsidR="00CA3BE3" w14:paraId="108C74DC"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1D4580C6" w14:textId="77777777" w:rsidR="00CA3BE3" w:rsidRPr="00DC2C51" w:rsidRDefault="00CA3BE3" w:rsidP="00C07ECF">
            <w:pPr>
              <w:pStyle w:val="BodyText"/>
              <w:spacing w:before="144" w:after="144"/>
              <w:rPr>
                <w:highlight w:val="green"/>
              </w:rPr>
            </w:pPr>
            <w:r>
              <w:t>Education Engagement &amp; Attainment, EEAI</w:t>
            </w:r>
          </w:p>
        </w:tc>
        <w:tc>
          <w:tcPr>
            <w:tcW w:w="5102" w:type="dxa"/>
          </w:tcPr>
          <w:p w14:paraId="0E69EBEC" w14:textId="77777777" w:rsidR="00CA3BE3" w:rsidRPr="00DC2C51" w:rsidRDefault="00CA3BE3" w:rsidP="00F35CF7">
            <w:pPr>
              <w:pStyle w:val="BodyText"/>
              <w:spacing w:before="144" w:after="144"/>
              <w:rPr>
                <w:highlight w:val="green"/>
              </w:rPr>
            </w:pPr>
            <w:r>
              <w:t>EEAI or Education Engagement and Attainment refers to a broad range of potential outcomes that improves a young First Nations person’s readiness to go to school and learn, the relationships between First Nations people and schools, and the value First Nations communities place in education, with a view towards improving education outcomes sustainably and meaningfully over time.</w:t>
            </w:r>
          </w:p>
        </w:tc>
      </w:tr>
      <w:tr w:rsidR="00CA3BE3" w14:paraId="3193094D" w14:textId="77777777" w:rsidTr="006450C3">
        <w:trPr>
          <w:cnfStyle w:val="000000100000" w:firstRow="0" w:lastRow="0" w:firstColumn="0" w:lastColumn="0" w:oddVBand="0" w:evenVBand="0" w:oddHBand="1" w:evenHBand="0" w:firstRowFirstColumn="0" w:firstRowLastColumn="0" w:lastRowFirstColumn="0" w:lastRowLastColumn="0"/>
        </w:trPr>
        <w:tc>
          <w:tcPr>
            <w:tcW w:w="5102" w:type="dxa"/>
          </w:tcPr>
          <w:p w14:paraId="776BD145" w14:textId="77777777" w:rsidR="00CA3BE3" w:rsidRDefault="00CA3BE3" w:rsidP="00C07ECF">
            <w:pPr>
              <w:pStyle w:val="BodyText"/>
              <w:spacing w:before="144" w:after="144"/>
            </w:pPr>
            <w:r>
              <w:t>Children &amp; Schooling Program, C&amp;S</w:t>
            </w:r>
          </w:p>
        </w:tc>
        <w:tc>
          <w:tcPr>
            <w:tcW w:w="5102" w:type="dxa"/>
          </w:tcPr>
          <w:p w14:paraId="7E482A7D" w14:textId="77777777" w:rsidR="00CA3BE3" w:rsidRDefault="00CA3BE3" w:rsidP="00F35CF7">
            <w:pPr>
              <w:pStyle w:val="BodyText"/>
              <w:spacing w:before="144" w:after="144"/>
            </w:pPr>
            <w:r>
              <w:t>C&amp;S or Children and Schooling Program refers to the Indigenous Advancement Strategy program area 1.2 which provides funding to support and improve a wide range of early childhood and education outcomes for young First Nations Australians, including those funded under the EEAI sub-program.</w:t>
            </w:r>
          </w:p>
        </w:tc>
      </w:tr>
      <w:tr w:rsidR="00CA3BE3" w14:paraId="795D2156" w14:textId="77777777" w:rsidTr="006450C3">
        <w:trPr>
          <w:cnfStyle w:val="000000010000" w:firstRow="0" w:lastRow="0" w:firstColumn="0" w:lastColumn="0" w:oddVBand="0" w:evenVBand="0" w:oddHBand="0" w:evenHBand="1" w:firstRowFirstColumn="0" w:firstRowLastColumn="0" w:lastRowFirstColumn="0" w:lastRowLastColumn="0"/>
        </w:trPr>
        <w:tc>
          <w:tcPr>
            <w:tcW w:w="5102" w:type="dxa"/>
          </w:tcPr>
          <w:p w14:paraId="70D8AD9B" w14:textId="77777777" w:rsidR="00CA3BE3" w:rsidRDefault="00CA3BE3" w:rsidP="00C07ECF">
            <w:pPr>
              <w:pStyle w:val="BodyText"/>
              <w:spacing w:before="144" w:after="144"/>
            </w:pPr>
            <w:r>
              <w:t>First Nations</w:t>
            </w:r>
          </w:p>
        </w:tc>
        <w:tc>
          <w:tcPr>
            <w:tcW w:w="5102" w:type="dxa"/>
          </w:tcPr>
          <w:p w14:paraId="4388FCF5" w14:textId="77777777" w:rsidR="00CA3BE3" w:rsidRDefault="00CA3BE3" w:rsidP="00DC2C51">
            <w:pPr>
              <w:pStyle w:val="BodyText"/>
              <w:spacing w:before="144" w:after="144"/>
            </w:pPr>
            <w:r>
              <w:t xml:space="preserve">First Nations refers to any Aboriginal and Torres Strait Islander person, culture, language or community in Australia regardless of location, cultural or linguistic background, personal experience or historical experience. It is used interchangeably with the terms Indigenous and Aboriginal and Torres Strait Islander. </w:t>
            </w:r>
            <w:r>
              <w:lastRenderedPageBreak/>
              <w:t>In the context of the EEAI sub-program, it usually refers to First Nations people or communities located in remote or very remote locations as the majority of relevant sites are located in these areas.</w:t>
            </w:r>
          </w:p>
        </w:tc>
      </w:tr>
    </w:tbl>
    <w:p w14:paraId="04D4D463" w14:textId="77777777" w:rsidR="00727658" w:rsidRDefault="001902A1" w:rsidP="00670BF7">
      <w:pPr>
        <w:pStyle w:val="Heading1"/>
        <w:numPr>
          <w:ilvl w:val="0"/>
          <w:numId w:val="11"/>
        </w:numPr>
      </w:pPr>
      <w:bookmarkStart w:id="19" w:name="_Toc152687558"/>
      <w:bookmarkStart w:id="20" w:name="_Toc153369846"/>
      <w:r>
        <w:lastRenderedPageBreak/>
        <w:t xml:space="preserve">Education Engagement &amp; Attainment </w:t>
      </w:r>
      <w:r w:rsidR="00834AC5">
        <w:t xml:space="preserve">Initiatives </w:t>
      </w:r>
      <w:r>
        <w:t>Overview</w:t>
      </w:r>
      <w:bookmarkEnd w:id="19"/>
      <w:bookmarkEnd w:id="20"/>
    </w:p>
    <w:p w14:paraId="73E47C0E" w14:textId="77777777" w:rsidR="001902A1" w:rsidRDefault="001902A1" w:rsidP="00283C36">
      <w:pPr>
        <w:pStyle w:val="Heading2"/>
        <w:numPr>
          <w:ilvl w:val="1"/>
          <w:numId w:val="11"/>
        </w:numPr>
      </w:pPr>
      <w:bookmarkStart w:id="21" w:name="_Toc152687559"/>
      <w:bookmarkStart w:id="22" w:name="_Toc153369847"/>
      <w:r>
        <w:t xml:space="preserve">What is the Education Engagement &amp; Attainment </w:t>
      </w:r>
      <w:r w:rsidR="00834AC5">
        <w:t xml:space="preserve">Initiatives </w:t>
      </w:r>
      <w:r>
        <w:t>Sub-Program?</w:t>
      </w:r>
      <w:bookmarkEnd w:id="21"/>
      <w:bookmarkEnd w:id="22"/>
    </w:p>
    <w:p w14:paraId="1F7817BB" w14:textId="77777777" w:rsidR="001902A1" w:rsidRDefault="001902A1" w:rsidP="001902A1">
      <w:pPr>
        <w:pStyle w:val="BodyText"/>
      </w:pPr>
      <w:r>
        <w:t xml:space="preserve">The </w:t>
      </w:r>
      <w:r w:rsidR="007A0DE5">
        <w:t>EEAI</w:t>
      </w:r>
      <w:r>
        <w:t xml:space="preserve"> sub-program is a stream of funding under the </w:t>
      </w:r>
      <w:r w:rsidR="003071D0">
        <w:t>IAS</w:t>
      </w:r>
      <w:r>
        <w:t xml:space="preserve"> </w:t>
      </w:r>
      <w:r w:rsidR="006F2281">
        <w:t xml:space="preserve">C&amp;S Program that invests in ways to support engaging (or re-engaging) young First Nations Australians </w:t>
      </w:r>
      <w:r w:rsidR="00D62372">
        <w:t>with schooling and education</w:t>
      </w:r>
      <w:r w:rsidR="000F237A">
        <w:t>, with the aim of improving their education outcomes</w:t>
      </w:r>
      <w:r w:rsidR="00D62372">
        <w:t>.</w:t>
      </w:r>
      <w:r w:rsidR="005757C9">
        <w:t xml:space="preserve"> </w:t>
      </w:r>
    </w:p>
    <w:p w14:paraId="5D33111C" w14:textId="77777777" w:rsidR="005C5911" w:rsidRDefault="005C5911" w:rsidP="00283C36">
      <w:pPr>
        <w:pStyle w:val="Heading2"/>
        <w:numPr>
          <w:ilvl w:val="1"/>
          <w:numId w:val="11"/>
        </w:numPr>
      </w:pPr>
      <w:bookmarkStart w:id="23" w:name="_Toc152687560"/>
      <w:bookmarkStart w:id="24" w:name="_Toc153369848"/>
      <w:r>
        <w:t>Principles</w:t>
      </w:r>
      <w:bookmarkEnd w:id="23"/>
      <w:bookmarkEnd w:id="24"/>
    </w:p>
    <w:p w14:paraId="0B245783" w14:textId="77777777" w:rsidR="005C5911" w:rsidRDefault="005C5911" w:rsidP="001902A1">
      <w:pPr>
        <w:pStyle w:val="BodyText"/>
      </w:pPr>
      <w:r>
        <w:t xml:space="preserve">There </w:t>
      </w:r>
      <w:r w:rsidR="008225AE">
        <w:t>are</w:t>
      </w:r>
      <w:r>
        <w:t xml:space="preserve"> a broad range of ways </w:t>
      </w:r>
      <w:r w:rsidR="007A0DE5">
        <w:t>EEAI</w:t>
      </w:r>
      <w:r>
        <w:t xml:space="preserve"> funding can be used to improve education engagement an</w:t>
      </w:r>
      <w:r w:rsidR="00E93473">
        <w:t>d attainment outcomes. However P</w:t>
      </w:r>
      <w:r>
        <w:t xml:space="preserve">roviders should ensure the following principles are used to guide the design and implementation of </w:t>
      </w:r>
      <w:r w:rsidR="007A0DE5">
        <w:t>EEAI</w:t>
      </w:r>
      <w:r>
        <w:t xml:space="preserve"> activities regardless of location or approach:</w:t>
      </w:r>
    </w:p>
    <w:p w14:paraId="0C3DE521" w14:textId="77777777" w:rsidR="005C5911" w:rsidRDefault="005C5911" w:rsidP="00670BF7">
      <w:pPr>
        <w:pStyle w:val="BodyText"/>
        <w:numPr>
          <w:ilvl w:val="0"/>
          <w:numId w:val="13"/>
        </w:numPr>
      </w:pPr>
      <w:r w:rsidRPr="005E0C34">
        <w:rPr>
          <w:b/>
        </w:rPr>
        <w:t>Community-led:</w:t>
      </w:r>
      <w:r>
        <w:t xml:space="preserve"> </w:t>
      </w:r>
      <w:r w:rsidR="008F18E2">
        <w:t xml:space="preserve">designing approaches and making decisions should involve local First Nations people – not </w:t>
      </w:r>
      <w:r w:rsidR="00D56F1C">
        <w:t>just</w:t>
      </w:r>
      <w:r w:rsidR="003071D0">
        <w:t xml:space="preserve"> community</w:t>
      </w:r>
      <w:r w:rsidR="008F18E2">
        <w:t xml:space="preserve"> </w:t>
      </w:r>
      <w:r w:rsidR="003071D0">
        <w:t xml:space="preserve">leaders and </w:t>
      </w:r>
      <w:r w:rsidR="008F18E2">
        <w:t>representatives of organisations, but parents and carers, families, and young First Nations people themselves. Providers should be able to demonstrate when and how they have include</w:t>
      </w:r>
      <w:r w:rsidR="003071D0">
        <w:t>d First N</w:t>
      </w:r>
      <w:r w:rsidR="008F18E2">
        <w:t xml:space="preserve">ations people in the way they design their </w:t>
      </w:r>
      <w:r w:rsidR="00AE5A67">
        <w:t>activities</w:t>
      </w:r>
      <w:r w:rsidR="008F18E2">
        <w:t xml:space="preserve"> and how First Nations people are involved in decision making.</w:t>
      </w:r>
      <w:r w:rsidR="00FE6B03">
        <w:t xml:space="preserve"> Providers should always ask commun</w:t>
      </w:r>
      <w:r w:rsidR="003071D0">
        <w:t xml:space="preserve">ity members what will work, </w:t>
      </w:r>
      <w:r w:rsidR="00FE6B03">
        <w:t xml:space="preserve">what approaches they should attempt, and what barriers </w:t>
      </w:r>
      <w:r w:rsidR="000F237A">
        <w:t>need to be addressed</w:t>
      </w:r>
      <w:r w:rsidR="00FE6B03">
        <w:t>.</w:t>
      </w:r>
    </w:p>
    <w:p w14:paraId="3D8BE0BB" w14:textId="77777777" w:rsidR="008F18E2" w:rsidRPr="00AE5A67" w:rsidRDefault="008F18E2" w:rsidP="00670BF7">
      <w:pPr>
        <w:pStyle w:val="BodyText"/>
        <w:numPr>
          <w:ilvl w:val="0"/>
          <w:numId w:val="13"/>
        </w:numPr>
        <w:rPr>
          <w:u w:val="single"/>
        </w:rPr>
      </w:pPr>
      <w:r w:rsidRPr="005E0C34">
        <w:rPr>
          <w:b/>
        </w:rPr>
        <w:t>Community-involved:</w:t>
      </w:r>
      <w:r w:rsidRPr="008F18E2">
        <w:t xml:space="preserve"> involving local Aboriginal and Torres Strait Islander people of all ages, genders, and positions of cultural seniority in the implementation of the project is important. Implementing </w:t>
      </w:r>
      <w:r w:rsidR="007A0DE5">
        <w:t>EEAI</w:t>
      </w:r>
      <w:r w:rsidRPr="008F18E2">
        <w:t xml:space="preserve"> activities should not be a process of “consult, set and forget”. </w:t>
      </w:r>
      <w:r w:rsidR="00AC520D">
        <w:t>For example, o</w:t>
      </w:r>
      <w:r w:rsidRPr="008F18E2">
        <w:t>ne way of ensuring community involvement is employing local peop</w:t>
      </w:r>
      <w:r w:rsidR="000F237A">
        <w:t>le</w:t>
      </w:r>
      <w:r w:rsidRPr="008F18E2">
        <w:t xml:space="preserve">, however this is not the only way. Providers </w:t>
      </w:r>
      <w:r w:rsidR="00AC520D">
        <w:t>are encouraged to</w:t>
      </w:r>
      <w:r w:rsidRPr="008F18E2">
        <w:t xml:space="preserve"> speak to local people –</w:t>
      </w:r>
      <w:r w:rsidR="00AC520D">
        <w:t xml:space="preserve"> </w:t>
      </w:r>
      <w:r w:rsidRPr="008F18E2">
        <w:t xml:space="preserve">parents and carers, families and young people, not just </w:t>
      </w:r>
      <w:r w:rsidR="003071D0">
        <w:t xml:space="preserve">community leaders and </w:t>
      </w:r>
      <w:r w:rsidRPr="008F18E2">
        <w:t>representatives of organisations – regularly about how the activities are implemented</w:t>
      </w:r>
      <w:r w:rsidR="000F237A">
        <w:t>,</w:t>
      </w:r>
      <w:r w:rsidRPr="008F18E2">
        <w:t xml:space="preserve"> how things can be improved</w:t>
      </w:r>
      <w:r w:rsidR="000F237A">
        <w:t>, and how to increase community involvement</w:t>
      </w:r>
      <w:r w:rsidRPr="008F18E2">
        <w:t>.</w:t>
      </w:r>
      <w:r w:rsidRPr="008F18E2">
        <w:rPr>
          <w:b/>
        </w:rPr>
        <w:t xml:space="preserve"> </w:t>
      </w:r>
    </w:p>
    <w:p w14:paraId="3A39332F" w14:textId="77777777" w:rsidR="00AE5A67" w:rsidRPr="00956EC9" w:rsidRDefault="00AE5A67" w:rsidP="00670BF7">
      <w:pPr>
        <w:pStyle w:val="BodyText"/>
        <w:numPr>
          <w:ilvl w:val="0"/>
          <w:numId w:val="13"/>
        </w:numPr>
        <w:rPr>
          <w:u w:val="single"/>
        </w:rPr>
      </w:pPr>
      <w:r w:rsidRPr="005E0C34">
        <w:rPr>
          <w:b/>
        </w:rPr>
        <w:t>School engagement:</w:t>
      </w:r>
      <w:r w:rsidRPr="005E0C34">
        <w:t xml:space="preserve"> </w:t>
      </w:r>
      <w:r w:rsidR="00AC520D">
        <w:t>activities that encourage</w:t>
      </w:r>
      <w:r>
        <w:t xml:space="preserve"> engagement with the education system</w:t>
      </w:r>
      <w:r w:rsidR="00AC520D">
        <w:t xml:space="preserve"> and support</w:t>
      </w:r>
      <w:r>
        <w:t xml:space="preserve"> education outcomes </w:t>
      </w:r>
      <w:r w:rsidR="00AC520D">
        <w:t>require</w:t>
      </w:r>
      <w:r w:rsidR="008225AE">
        <w:t xml:space="preserve"> genuine</w:t>
      </w:r>
      <w:r>
        <w:t xml:space="preserve"> input from school staff and leadership. Any activity that involves work on school premises, or with school staff, must be approved by school principals. However, this does </w:t>
      </w:r>
      <w:r>
        <w:rPr>
          <w:i/>
        </w:rPr>
        <w:t>not</w:t>
      </w:r>
      <w:r w:rsidR="00E93473">
        <w:t xml:space="preserve"> mean that P</w:t>
      </w:r>
      <w:r>
        <w:t xml:space="preserve">roviders should take direction from schools. Providers are accountable to communities for their outcomes, not schools. </w:t>
      </w:r>
      <w:r w:rsidR="007A0DE5">
        <w:t>EEAI</w:t>
      </w:r>
      <w:r>
        <w:t xml:space="preserve"> activities should not be used as a way to replace (in full or partly) any resource or activity that should be funded or performed by schools as part of their role in delivering education to communities.</w:t>
      </w:r>
      <w:r w:rsidR="00FE6B03">
        <w:t xml:space="preserve"> On the other hand, </w:t>
      </w:r>
      <w:r w:rsidR="00B23E47">
        <w:t xml:space="preserve">EEAI Providers should not expect </w:t>
      </w:r>
      <w:r w:rsidR="00FE6B03">
        <w:t xml:space="preserve">teachers and school staff to deliver what </w:t>
      </w:r>
      <w:r w:rsidR="007A0DE5">
        <w:t>EEAI</w:t>
      </w:r>
      <w:r w:rsidR="00FE6B03">
        <w:t xml:space="preserve"> Providers are funded to deliver.</w:t>
      </w:r>
    </w:p>
    <w:p w14:paraId="3F6D7654" w14:textId="77777777" w:rsidR="00956EC9" w:rsidRPr="00956EC9" w:rsidRDefault="00956EC9" w:rsidP="00670BF7">
      <w:pPr>
        <w:pStyle w:val="BodyText"/>
        <w:numPr>
          <w:ilvl w:val="0"/>
          <w:numId w:val="13"/>
        </w:numPr>
      </w:pPr>
      <w:r w:rsidRPr="005E0C34">
        <w:rPr>
          <w:b/>
        </w:rPr>
        <w:t>Strengths-based:</w:t>
      </w:r>
      <w:r w:rsidRPr="00956EC9">
        <w:t xml:space="preserve"> </w:t>
      </w:r>
      <w:r w:rsidR="007A0DE5">
        <w:t>EEAI</w:t>
      </w:r>
      <w:r>
        <w:t xml:space="preserve"> Providers should recognise and utilise the strengths and opportunities of First Nations communities and people to support engagement and impact</w:t>
      </w:r>
      <w:r w:rsidR="00B23E47">
        <w:t>,</w:t>
      </w:r>
      <w:r w:rsidRPr="00956EC9">
        <w:t xml:space="preserve"> </w:t>
      </w:r>
      <w:r>
        <w:t xml:space="preserve">and to find solutions and </w:t>
      </w:r>
      <w:r>
        <w:lastRenderedPageBreak/>
        <w:t>implement</w:t>
      </w:r>
      <w:r w:rsidRPr="00956EC9">
        <w:t xml:space="preserve"> them – while remaining realistic about likely barriers to success</w:t>
      </w:r>
      <w:r>
        <w:t xml:space="preserve"> and outcomes</w:t>
      </w:r>
      <w:r w:rsidRPr="00956EC9">
        <w:t xml:space="preserve">. </w:t>
      </w:r>
      <w:r>
        <w:t xml:space="preserve">Many definitions of strengths and opportunities have a particular Western-centric basis, or are defined on the ability of people to operate within systems rather than systems operating to serve people. An obvious example is language – many young First Nations people face difficulty at school because English is not their first language, yet outside of school many speak more than one </w:t>
      </w:r>
      <w:r w:rsidRPr="00956EC9">
        <w:t xml:space="preserve">First Nations language. </w:t>
      </w:r>
    </w:p>
    <w:p w14:paraId="65614FB4" w14:textId="77777777" w:rsidR="00AE5A67" w:rsidRPr="00950897" w:rsidRDefault="00AE5A67" w:rsidP="00670BF7">
      <w:pPr>
        <w:pStyle w:val="BodyText"/>
        <w:numPr>
          <w:ilvl w:val="0"/>
          <w:numId w:val="13"/>
        </w:numPr>
        <w:rPr>
          <w:u w:val="single"/>
        </w:rPr>
      </w:pPr>
      <w:r w:rsidRPr="005E0C34">
        <w:rPr>
          <w:b/>
        </w:rPr>
        <w:t>Coordination, not duplication:</w:t>
      </w:r>
      <w:r>
        <w:rPr>
          <w:b/>
        </w:rPr>
        <w:t xml:space="preserve"> </w:t>
      </w:r>
      <w:r>
        <w:t xml:space="preserve">activities funded by the </w:t>
      </w:r>
      <w:r w:rsidR="007A0DE5">
        <w:t>EEAI</w:t>
      </w:r>
      <w:r>
        <w:t xml:space="preserve"> sub-program should not use the same approach or use the same methods as other programs funded in communities, regardless of where those other programs are fu</w:t>
      </w:r>
      <w:r w:rsidR="00B23E47">
        <w:t xml:space="preserve">nded from. This applies to </w:t>
      </w:r>
      <w:r>
        <w:t>services that are the core responsibility of state and territory governments, and other services delivered by governments or non-government organisations.</w:t>
      </w:r>
      <w:r w:rsidR="00FE6B03">
        <w:t xml:space="preserve"> However </w:t>
      </w:r>
      <w:r w:rsidR="007A0DE5">
        <w:t>EEAI</w:t>
      </w:r>
      <w:r w:rsidR="00FE6B03">
        <w:t xml:space="preserve"> activities can be used to support these activities if it means their impact or scope will be increased. For example </w:t>
      </w:r>
      <w:r w:rsidR="007A0DE5">
        <w:t>EEAI</w:t>
      </w:r>
      <w:r w:rsidR="00FE6B03">
        <w:t xml:space="preserve"> activities should not establish a new sporting program if these already exist in a site. However an </w:t>
      </w:r>
      <w:r w:rsidR="007A0DE5">
        <w:t>EEAI</w:t>
      </w:r>
      <w:r w:rsidR="00FE6B03">
        <w:t xml:space="preserve"> Activity could be used to encourage a different cohort of students to participate in the program, or to help make the connection between that program and re-engaging the targeted students with school.</w:t>
      </w:r>
    </w:p>
    <w:p w14:paraId="613B8867" w14:textId="77777777" w:rsidR="00950897" w:rsidRPr="00FE6B03" w:rsidRDefault="00950897" w:rsidP="00670BF7">
      <w:pPr>
        <w:pStyle w:val="BodyText"/>
        <w:numPr>
          <w:ilvl w:val="0"/>
          <w:numId w:val="13"/>
        </w:numPr>
        <w:rPr>
          <w:u w:val="single"/>
        </w:rPr>
      </w:pPr>
      <w:r w:rsidRPr="005E0C34">
        <w:rPr>
          <w:b/>
        </w:rPr>
        <w:t>Flexibility:</w:t>
      </w:r>
      <w:r>
        <w:t xml:space="preserve"> communities vary a great deal in their history, circumstance, </w:t>
      </w:r>
      <w:r w:rsidR="004D32FA">
        <w:t xml:space="preserve">strengths and challenges. So </w:t>
      </w:r>
      <w:r>
        <w:t xml:space="preserve">do young First Nations people, families, carers and parents. </w:t>
      </w:r>
      <w:r w:rsidR="007A0DE5">
        <w:t>EEAI</w:t>
      </w:r>
      <w:r>
        <w:t xml:space="preserve"> activities should therefore be designed to suit local circumstance, meet local needs and address local priorities. Providers should be ready to adjust the way they deliver activities or change approaches (including during </w:t>
      </w:r>
      <w:r w:rsidR="00B23E47">
        <w:t xml:space="preserve">school </w:t>
      </w:r>
      <w:r>
        <w:t>term</w:t>
      </w:r>
      <w:r w:rsidR="00B23E47">
        <w:t>s</w:t>
      </w:r>
      <w:r>
        <w:t>) to</w:t>
      </w:r>
      <w:r w:rsidR="003071D0">
        <w:t xml:space="preserve"> maintain a flexible approach. Providers must implement different</w:t>
      </w:r>
      <w:r>
        <w:t xml:space="preserve"> approaches to meet the needs of d</w:t>
      </w:r>
      <w:r w:rsidR="004D32FA">
        <w:t>ifferent groups of people, particularly First Nations students and student-age people.</w:t>
      </w:r>
    </w:p>
    <w:p w14:paraId="43ECB35B" w14:textId="77777777" w:rsidR="00FE6B03" w:rsidRPr="004D3F09" w:rsidRDefault="00FE6B03" w:rsidP="00670BF7">
      <w:pPr>
        <w:pStyle w:val="BodyText"/>
        <w:numPr>
          <w:ilvl w:val="0"/>
          <w:numId w:val="13"/>
        </w:numPr>
        <w:rPr>
          <w:u w:val="single"/>
        </w:rPr>
      </w:pPr>
      <w:r w:rsidRPr="005E0C34">
        <w:rPr>
          <w:b/>
        </w:rPr>
        <w:t>Link to education outcomes:</w:t>
      </w:r>
      <w:r>
        <w:rPr>
          <w:b/>
        </w:rPr>
        <w:t xml:space="preserve"> </w:t>
      </w:r>
      <w:r w:rsidR="008225AE">
        <w:t xml:space="preserve">Investment </w:t>
      </w:r>
      <w:r w:rsidR="00950897">
        <w:t>should</w:t>
      </w:r>
      <w:r>
        <w:t xml:space="preserve"> </w:t>
      </w:r>
      <w:r w:rsidR="008225AE">
        <w:t xml:space="preserve">support </w:t>
      </w:r>
      <w:r>
        <w:t xml:space="preserve">young First Nations people participating meaningfully in schooling and education, </w:t>
      </w:r>
      <w:r w:rsidR="00950897">
        <w:t xml:space="preserve">and achieving at school, in the short, medium or long term. </w:t>
      </w:r>
      <w:r>
        <w:t xml:space="preserve">The </w:t>
      </w:r>
      <w:r w:rsidR="007A0DE5">
        <w:t>EEAI</w:t>
      </w:r>
      <w:r>
        <w:t xml:space="preserve"> sub-program can be used to fund a wide range of activities in communities, with a broad definition of engaging or re-engaging young people. </w:t>
      </w:r>
      <w:r w:rsidR="008225AE">
        <w:t xml:space="preserve">In doing so, </w:t>
      </w:r>
      <w:r w:rsidR="00E93473">
        <w:t>P</w:t>
      </w:r>
      <w:r>
        <w:t>roviders must be able to demonstrate a link to schooling and education can be made, and that this remains the primary outcome of the acti</w:t>
      </w:r>
      <w:r w:rsidR="003071D0">
        <w:t xml:space="preserve">vities. </w:t>
      </w:r>
      <w:r w:rsidR="00E56676">
        <w:t xml:space="preserve">In other words, achieving an engagement output (e.g. improved child-teacher relationships, students enjoying school more, families becoming more familiar with school routines and expectations) is valid </w:t>
      </w:r>
      <w:r w:rsidR="00B23E47">
        <w:t>if Providers</w:t>
      </w:r>
      <w:r w:rsidR="00E56676">
        <w:t xml:space="preserve"> can articulate its link to an education outcome (e.g. the child’s attendance rate improves because they like their teacher, students are achieving better results in weekly tests because they enjoy school more, more young people are enrolled because families are more familiar with how school works). </w:t>
      </w:r>
      <w:r w:rsidR="003071D0">
        <w:t>Providers should be</w:t>
      </w:r>
      <w:r>
        <w:t xml:space="preserve"> clear to all stakeholders, including First Nations people, that this is </w:t>
      </w:r>
      <w:r w:rsidR="00E56676">
        <w:t>the goal</w:t>
      </w:r>
      <w:r>
        <w:t xml:space="preserve">. </w:t>
      </w:r>
    </w:p>
    <w:p w14:paraId="6AA97F06" w14:textId="77777777" w:rsidR="004D3F09" w:rsidRDefault="00BE09B5" w:rsidP="00283C36">
      <w:pPr>
        <w:pStyle w:val="Heading2"/>
        <w:numPr>
          <w:ilvl w:val="1"/>
          <w:numId w:val="11"/>
        </w:numPr>
      </w:pPr>
      <w:bookmarkStart w:id="25" w:name="_Toc152687561"/>
      <w:bookmarkStart w:id="26" w:name="_Toc153369849"/>
      <w:r>
        <w:t>Why engagement</w:t>
      </w:r>
      <w:r w:rsidR="00B36040">
        <w:t xml:space="preserve"> and not just attendance</w:t>
      </w:r>
      <w:r>
        <w:t>?</w:t>
      </w:r>
      <w:bookmarkEnd w:id="25"/>
      <w:bookmarkEnd w:id="26"/>
    </w:p>
    <w:p w14:paraId="037B08A3" w14:textId="77777777" w:rsidR="004D3F09" w:rsidRDefault="00F67C7F" w:rsidP="004D3F09">
      <w:pPr>
        <w:pStyle w:val="BodyText"/>
      </w:pPr>
      <w:r>
        <w:t xml:space="preserve">NIAA’s experience with </w:t>
      </w:r>
      <w:r w:rsidR="00367834">
        <w:t>attendance-</w:t>
      </w:r>
      <w:r w:rsidR="00B23E47">
        <w:t>focused</w:t>
      </w:r>
      <w:r w:rsidR="00367834">
        <w:t xml:space="preserve"> programs</w:t>
      </w:r>
      <w:r w:rsidR="003071D0">
        <w:t>,</w:t>
      </w:r>
      <w:r>
        <w:t xml:space="preserve"> along with other evidence</w:t>
      </w:r>
      <w:r w:rsidR="00B23E47">
        <w:t>,</w:t>
      </w:r>
      <w:r>
        <w:t xml:space="preserve"> suggests that a narrow focus on improving the attendance rate at the exclusion of other outcomes will not deliver sustainable </w:t>
      </w:r>
      <w:r w:rsidR="0015374F">
        <w:t>improvement</w:t>
      </w:r>
      <w:r>
        <w:t>s. Evidence also suggests that approaches that seek to support families and young people to overcome barriers to education, engage them to develop solutions, and are tailored to individual and community circumstances will deliver better results in the long term.</w:t>
      </w:r>
    </w:p>
    <w:p w14:paraId="22070792" w14:textId="77777777" w:rsidR="00F67C7F" w:rsidRPr="004D3F09" w:rsidRDefault="00F67C7F" w:rsidP="004D3F09">
      <w:pPr>
        <w:pStyle w:val="BodyText"/>
      </w:pPr>
      <w:r>
        <w:lastRenderedPageBreak/>
        <w:t>Improving school attendance remains a desir</w:t>
      </w:r>
      <w:r w:rsidR="0015374F">
        <w:t xml:space="preserve">able outcome, however there is </w:t>
      </w:r>
      <w:r>
        <w:t xml:space="preserve">evidence supporting the view that attendance is only part of the solution. While important, the attendance rate does not tell us if students are learning anything meaningful in class, whether they </w:t>
      </w:r>
      <w:r w:rsidR="0015374F">
        <w:t>value their experience and</w:t>
      </w:r>
      <w:r>
        <w:t xml:space="preserve"> learning at school, and whether they are supported by schools, families and communities to learn. </w:t>
      </w:r>
      <w:r w:rsidR="0015374F">
        <w:t xml:space="preserve">In other words, while improved engagement should lead to improved attendance, the reverse is not necessarily true – yet it is engagement, </w:t>
      </w:r>
      <w:r w:rsidR="00BE09B5">
        <w:t>along with attendance</w:t>
      </w:r>
      <w:r w:rsidR="0015374F">
        <w:t>, that is essential to ensure young people are receiving the quality education that is their right.</w:t>
      </w:r>
    </w:p>
    <w:p w14:paraId="02BA21EB" w14:textId="77777777" w:rsidR="004D3F09" w:rsidRDefault="0015374F" w:rsidP="004D3F09">
      <w:pPr>
        <w:pStyle w:val="BodyText"/>
      </w:pPr>
      <w:r>
        <w:t>Focusing on engagement means taking a broader approach that works with all stakeholders and communities to make sure everyone is invested in the desired outcomes. Rather than asking communities “how can we improve the attendance rate?</w:t>
      </w:r>
      <w:r w:rsidR="00BE09B5">
        <w:t>”</w:t>
      </w:r>
      <w:r>
        <w:t xml:space="preserve"> the question becomes “what will help your children do better at school and enjoy school more, and how can we work together to achieve this?</w:t>
      </w:r>
      <w:r w:rsidR="00BE09B5">
        <w:t>”</w:t>
      </w:r>
    </w:p>
    <w:p w14:paraId="39B3D87D" w14:textId="77777777" w:rsidR="00BE09B5" w:rsidRDefault="005B2076" w:rsidP="00283C36">
      <w:pPr>
        <w:pStyle w:val="Heading2"/>
        <w:numPr>
          <w:ilvl w:val="1"/>
          <w:numId w:val="11"/>
        </w:numPr>
      </w:pPr>
      <w:bookmarkStart w:id="27" w:name="_Toc152687562"/>
      <w:bookmarkStart w:id="28" w:name="_Toc153369850"/>
      <w:r>
        <w:t>Defining engagement</w:t>
      </w:r>
      <w:bookmarkEnd w:id="27"/>
      <w:bookmarkEnd w:id="28"/>
    </w:p>
    <w:p w14:paraId="4384FC05" w14:textId="77777777" w:rsidR="00BE09B5" w:rsidRDefault="00BE09B5" w:rsidP="00BE09B5">
      <w:pPr>
        <w:pStyle w:val="BodyText"/>
      </w:pPr>
      <w:r>
        <w:t>Defining the terms “engagement” and “attainment” is difficult because the concept</w:t>
      </w:r>
      <w:r w:rsidR="00E470C7">
        <w:t>s are broad. This is deliberate. T</w:t>
      </w:r>
      <w:r>
        <w:t xml:space="preserve">he </w:t>
      </w:r>
      <w:r w:rsidR="007A0DE5">
        <w:t>EEAI</w:t>
      </w:r>
      <w:r>
        <w:t xml:space="preserve"> sub-program is intended to fund a flexible range of approaches with a wide range of potential outputs that link to improving the way young First Nations people relate to and value education, and achieve better outcomes at school. A narrow definition cannot capture the extent of the possible approaches and outputs.</w:t>
      </w:r>
    </w:p>
    <w:p w14:paraId="5FC516AB" w14:textId="77777777" w:rsidR="00B64C14" w:rsidRDefault="00B64C14" w:rsidP="00BE09B5">
      <w:pPr>
        <w:pStyle w:val="BodyText"/>
      </w:pPr>
      <w:r>
        <w:t xml:space="preserve">Defining engagement is also difficult because we often use the term “engagement” to mean a </w:t>
      </w:r>
      <w:r w:rsidR="00E56676">
        <w:t xml:space="preserve">process or </w:t>
      </w:r>
      <w:r>
        <w:t>way of working (e.g. “engaging with community to develop solutions”) but also an out</w:t>
      </w:r>
      <w:r w:rsidR="00E470C7">
        <w:t>come</w:t>
      </w:r>
      <w:r>
        <w:t xml:space="preserve"> (e.g. “one of the benefits was developing better relationships with families, leading to better engagement”). Both are valid – but it is important for </w:t>
      </w:r>
      <w:r w:rsidR="00E93473">
        <w:t>P</w:t>
      </w:r>
      <w:r>
        <w:t xml:space="preserve">roviders to remember that the ultimate purpose of </w:t>
      </w:r>
      <w:r w:rsidR="007A0DE5">
        <w:t>EEAI</w:t>
      </w:r>
      <w:r>
        <w:t xml:space="preserve"> activities should be improving education outcomes, not “engaging for engagement’s sake”. </w:t>
      </w:r>
    </w:p>
    <w:p w14:paraId="27038992" w14:textId="77777777" w:rsidR="00BE09B5" w:rsidRDefault="00B36040" w:rsidP="00BE09B5">
      <w:pPr>
        <w:pStyle w:val="BodyText"/>
      </w:pPr>
      <w:r>
        <w:t>F</w:t>
      </w:r>
      <w:r w:rsidR="00E56676">
        <w:t xml:space="preserve">or the purposes of discussing, </w:t>
      </w:r>
      <w:r w:rsidR="00BE09B5">
        <w:t>designing and implementing activities</w:t>
      </w:r>
      <w:r w:rsidR="00E56676">
        <w:t xml:space="preserve"> with communities</w:t>
      </w:r>
      <w:r w:rsidR="00BE09B5">
        <w:t xml:space="preserve">, NIAA suggests using the following </w:t>
      </w:r>
      <w:r w:rsidR="00B64C14">
        <w:t xml:space="preserve">definitions. </w:t>
      </w:r>
    </w:p>
    <w:p w14:paraId="4DC16BA6" w14:textId="77777777" w:rsidR="00B64C14" w:rsidRDefault="00B64C14" w:rsidP="00BE09B5">
      <w:pPr>
        <w:pStyle w:val="BodyText"/>
      </w:pPr>
      <w:r>
        <w:rPr>
          <w:b/>
        </w:rPr>
        <w:t>Engagement</w:t>
      </w:r>
      <w:r w:rsidRPr="00B64C14">
        <w:t xml:space="preserve"> </w:t>
      </w:r>
      <w:r w:rsidR="00E56676">
        <w:t xml:space="preserve">as a </w:t>
      </w:r>
      <w:r w:rsidR="00E56676">
        <w:rPr>
          <w:b/>
        </w:rPr>
        <w:t xml:space="preserve">process </w:t>
      </w:r>
      <w:r w:rsidRPr="00B64C14">
        <w:t>means:</w:t>
      </w:r>
    </w:p>
    <w:p w14:paraId="104B8F55" w14:textId="77777777" w:rsidR="00E56676" w:rsidRPr="00E56676" w:rsidRDefault="00E56676" w:rsidP="00670BF7">
      <w:pPr>
        <w:pStyle w:val="BodyText"/>
        <w:numPr>
          <w:ilvl w:val="0"/>
          <w:numId w:val="15"/>
        </w:numPr>
        <w:rPr>
          <w:b/>
        </w:rPr>
      </w:pPr>
      <w:r w:rsidRPr="00E56676">
        <w:t>Working in</w:t>
      </w:r>
      <w:r>
        <w:rPr>
          <w:b/>
        </w:rPr>
        <w:t xml:space="preserve"> genuine collaboration</w:t>
      </w:r>
      <w:r w:rsidRPr="00E56676">
        <w:t xml:space="preserve"> with</w:t>
      </w:r>
      <w:r>
        <w:t xml:space="preserve"> First Nations communities, and using communities’ ideas to overcome barriers and determine approaches</w:t>
      </w:r>
      <w:r w:rsidR="001B6F89">
        <w:t>,</w:t>
      </w:r>
    </w:p>
    <w:p w14:paraId="3DC6630E" w14:textId="77777777" w:rsidR="00E56676" w:rsidRPr="001B6F89" w:rsidRDefault="00E56676" w:rsidP="00670BF7">
      <w:pPr>
        <w:pStyle w:val="BodyText"/>
        <w:numPr>
          <w:ilvl w:val="0"/>
          <w:numId w:val="15"/>
        </w:numPr>
        <w:rPr>
          <w:b/>
        </w:rPr>
      </w:pPr>
      <w:r>
        <w:t xml:space="preserve">Using </w:t>
      </w:r>
      <w:r>
        <w:rPr>
          <w:b/>
        </w:rPr>
        <w:t>strengths-based approaches</w:t>
      </w:r>
      <w:r w:rsidR="001B6F89">
        <w:t xml:space="preserve"> as a way to improve the likelihood of success and to broaden the appeal of an activity or approach,</w:t>
      </w:r>
    </w:p>
    <w:p w14:paraId="7ED2EC3F" w14:textId="77777777" w:rsidR="001B6F89" w:rsidRPr="001B6F89" w:rsidRDefault="001B6F89" w:rsidP="00670BF7">
      <w:pPr>
        <w:pStyle w:val="BodyText"/>
        <w:numPr>
          <w:ilvl w:val="0"/>
          <w:numId w:val="15"/>
        </w:numPr>
        <w:rPr>
          <w:b/>
        </w:rPr>
      </w:pPr>
      <w:r>
        <w:rPr>
          <w:b/>
        </w:rPr>
        <w:t>Involving First Nations people</w:t>
      </w:r>
      <w:r>
        <w:t xml:space="preserve"> in the delivery of approaches or activities,</w:t>
      </w:r>
    </w:p>
    <w:p w14:paraId="7CBE16C2" w14:textId="77777777" w:rsidR="001B6F89" w:rsidRPr="001B6F89" w:rsidRDefault="001B6F89" w:rsidP="00670BF7">
      <w:pPr>
        <w:pStyle w:val="BodyText"/>
        <w:numPr>
          <w:ilvl w:val="0"/>
          <w:numId w:val="15"/>
        </w:numPr>
        <w:rPr>
          <w:b/>
        </w:rPr>
      </w:pPr>
      <w:r>
        <w:rPr>
          <w:b/>
        </w:rPr>
        <w:t xml:space="preserve">Regular feedback from First Nations people </w:t>
      </w:r>
      <w:r>
        <w:t>to determine what’s working, what’s not, and why,</w:t>
      </w:r>
    </w:p>
    <w:p w14:paraId="237C03A5" w14:textId="77777777" w:rsidR="001B6F89" w:rsidRPr="001B6F89" w:rsidRDefault="001B6F89" w:rsidP="00670BF7">
      <w:pPr>
        <w:pStyle w:val="BodyText"/>
        <w:numPr>
          <w:ilvl w:val="0"/>
          <w:numId w:val="15"/>
        </w:numPr>
      </w:pPr>
      <w:r>
        <w:rPr>
          <w:b/>
        </w:rPr>
        <w:t>Involving and coordinating with other</w:t>
      </w:r>
      <w:r w:rsidRPr="001B6F89">
        <w:rPr>
          <w:b/>
        </w:rPr>
        <w:t xml:space="preserve"> services</w:t>
      </w:r>
      <w:r w:rsidRPr="001B6F89">
        <w:t xml:space="preserve"> in communities – including, most importantly, the </w:t>
      </w:r>
      <w:r>
        <w:t>s</w:t>
      </w:r>
      <w:r w:rsidRPr="001B6F89">
        <w:t>chool and its staff and leadership.</w:t>
      </w:r>
    </w:p>
    <w:p w14:paraId="67A48B75" w14:textId="77777777" w:rsidR="00B64C14" w:rsidRDefault="001B6F89" w:rsidP="00BE09B5">
      <w:pPr>
        <w:pStyle w:val="BodyText"/>
      </w:pPr>
      <w:r>
        <w:rPr>
          <w:b/>
        </w:rPr>
        <w:t>Engagement</w:t>
      </w:r>
      <w:r>
        <w:t xml:space="preserve"> as an </w:t>
      </w:r>
      <w:r w:rsidRPr="001B6F89">
        <w:rPr>
          <w:b/>
        </w:rPr>
        <w:t>out</w:t>
      </w:r>
      <w:r w:rsidR="00E470C7">
        <w:rPr>
          <w:b/>
        </w:rPr>
        <w:t>come</w:t>
      </w:r>
      <w:r>
        <w:t xml:space="preserve"> means:</w:t>
      </w:r>
    </w:p>
    <w:p w14:paraId="2E870263" w14:textId="77777777" w:rsidR="001B6F89" w:rsidRDefault="001B6F89" w:rsidP="00670BF7">
      <w:pPr>
        <w:pStyle w:val="BodyText"/>
        <w:numPr>
          <w:ilvl w:val="0"/>
          <w:numId w:val="16"/>
        </w:numPr>
      </w:pPr>
      <w:r w:rsidRPr="001B6F89">
        <w:rPr>
          <w:b/>
        </w:rPr>
        <w:t>Improved relationships</w:t>
      </w:r>
      <w:r>
        <w:t xml:space="preserve"> – especially between young First Nations people, their parents and carers, their families, and communities on one hand, and the school, teachers, staff and leadership on the other hand,</w:t>
      </w:r>
    </w:p>
    <w:p w14:paraId="0C73659D" w14:textId="77777777" w:rsidR="001B6F89" w:rsidRDefault="001B6F89" w:rsidP="00670BF7">
      <w:pPr>
        <w:pStyle w:val="BodyText"/>
        <w:numPr>
          <w:ilvl w:val="0"/>
          <w:numId w:val="16"/>
        </w:numPr>
      </w:pPr>
      <w:r>
        <w:t xml:space="preserve">Young First Nations people </w:t>
      </w:r>
      <w:r w:rsidRPr="001B6F89">
        <w:rPr>
          <w:b/>
        </w:rPr>
        <w:t>looking forward to going to school</w:t>
      </w:r>
      <w:r>
        <w:t xml:space="preserve"> more, and </w:t>
      </w:r>
      <w:r w:rsidRPr="001B6F89">
        <w:rPr>
          <w:b/>
        </w:rPr>
        <w:t>enjoying time at school</w:t>
      </w:r>
      <w:r>
        <w:t xml:space="preserve"> more,</w:t>
      </w:r>
    </w:p>
    <w:p w14:paraId="420DDCC0" w14:textId="77777777" w:rsidR="001B6F89" w:rsidRDefault="001B6F89" w:rsidP="00670BF7">
      <w:pPr>
        <w:pStyle w:val="BodyText"/>
        <w:numPr>
          <w:ilvl w:val="0"/>
          <w:numId w:val="16"/>
        </w:numPr>
      </w:pPr>
      <w:r>
        <w:lastRenderedPageBreak/>
        <w:t xml:space="preserve">Young First Nations people feeling </w:t>
      </w:r>
      <w:r w:rsidRPr="001B6F89">
        <w:rPr>
          <w:b/>
        </w:rPr>
        <w:t>more supported at school</w:t>
      </w:r>
      <w:r>
        <w:t xml:space="preserve">, and </w:t>
      </w:r>
      <w:r w:rsidRPr="001B6F89">
        <w:rPr>
          <w:b/>
        </w:rPr>
        <w:t>supported by their families and communities</w:t>
      </w:r>
      <w:r>
        <w:t xml:space="preserve"> to go to school,</w:t>
      </w:r>
    </w:p>
    <w:p w14:paraId="28DA8BBE" w14:textId="77777777" w:rsidR="001B6F89" w:rsidRDefault="001B6F89" w:rsidP="00670BF7">
      <w:pPr>
        <w:pStyle w:val="BodyText"/>
        <w:numPr>
          <w:ilvl w:val="0"/>
          <w:numId w:val="16"/>
        </w:numPr>
      </w:pPr>
      <w:r w:rsidRPr="001B6F89">
        <w:rPr>
          <w:b/>
        </w:rPr>
        <w:t>Young First Nations people being</w:t>
      </w:r>
      <w:r>
        <w:t xml:space="preserve"> </w:t>
      </w:r>
      <w:r w:rsidRPr="001B6F89">
        <w:rPr>
          <w:b/>
        </w:rPr>
        <w:t>prepared and ready</w:t>
      </w:r>
      <w:r>
        <w:t xml:space="preserve"> for school,</w:t>
      </w:r>
    </w:p>
    <w:p w14:paraId="632FB144" w14:textId="77777777" w:rsidR="001B6F89" w:rsidRDefault="001B6F89" w:rsidP="00670BF7">
      <w:pPr>
        <w:pStyle w:val="BodyText"/>
        <w:numPr>
          <w:ilvl w:val="0"/>
          <w:numId w:val="16"/>
        </w:numPr>
      </w:pPr>
      <w:r w:rsidRPr="001B6F89">
        <w:rPr>
          <w:b/>
        </w:rPr>
        <w:t>Schools being prepared and ready</w:t>
      </w:r>
      <w:r>
        <w:t xml:space="preserve"> to educate young First Nations people,</w:t>
      </w:r>
    </w:p>
    <w:p w14:paraId="37B07537" w14:textId="77777777" w:rsidR="001B6F89" w:rsidRDefault="001B6F89" w:rsidP="00670BF7">
      <w:pPr>
        <w:pStyle w:val="BodyText"/>
        <w:numPr>
          <w:ilvl w:val="0"/>
          <w:numId w:val="16"/>
        </w:numPr>
      </w:pPr>
      <w:r>
        <w:t xml:space="preserve">First Nations families </w:t>
      </w:r>
      <w:r w:rsidRPr="001B6F89">
        <w:rPr>
          <w:b/>
        </w:rPr>
        <w:t>feeling safe about sending their children</w:t>
      </w:r>
      <w:r>
        <w:t xml:space="preserve"> to school, </w:t>
      </w:r>
      <w:r w:rsidR="00D10D9B">
        <w:t xml:space="preserve">and young First Nations people feeling that </w:t>
      </w:r>
      <w:r w:rsidR="00D10D9B" w:rsidRPr="00D10D9B">
        <w:rPr>
          <w:b/>
        </w:rPr>
        <w:t>school is a physically and culturally safe place</w:t>
      </w:r>
      <w:r w:rsidR="00D10D9B">
        <w:t>,</w:t>
      </w:r>
    </w:p>
    <w:p w14:paraId="078D8DF5" w14:textId="77777777" w:rsidR="0047690A" w:rsidRDefault="0047690A" w:rsidP="00670BF7">
      <w:pPr>
        <w:pStyle w:val="BodyText"/>
        <w:numPr>
          <w:ilvl w:val="0"/>
          <w:numId w:val="16"/>
        </w:numPr>
      </w:pPr>
      <w:r>
        <w:t xml:space="preserve">First Nations </w:t>
      </w:r>
      <w:r w:rsidRPr="0047690A">
        <w:rPr>
          <w:b/>
        </w:rPr>
        <w:t>families, parents and carers feeling welcome</w:t>
      </w:r>
      <w:r>
        <w:t xml:space="preserve"> at school,</w:t>
      </w:r>
    </w:p>
    <w:p w14:paraId="5C8BB4B6" w14:textId="77777777" w:rsidR="0047690A" w:rsidRDefault="0047690A" w:rsidP="00670BF7">
      <w:pPr>
        <w:pStyle w:val="BodyText"/>
        <w:numPr>
          <w:ilvl w:val="0"/>
          <w:numId w:val="16"/>
        </w:numPr>
      </w:pPr>
      <w:r>
        <w:t xml:space="preserve">First Nations young people, families, parents and carers </w:t>
      </w:r>
      <w:r w:rsidRPr="0047690A">
        <w:rPr>
          <w:b/>
        </w:rPr>
        <w:t>feeling like they have a say</w:t>
      </w:r>
      <w:r>
        <w:t xml:space="preserve"> about how the school works, what young people are taught, and how</w:t>
      </w:r>
      <w:r w:rsidR="00D10D9B">
        <w:t xml:space="preserve">, and that </w:t>
      </w:r>
      <w:r w:rsidR="00D10D9B" w:rsidRPr="00D10D9B">
        <w:rPr>
          <w:b/>
        </w:rPr>
        <w:t>their views are valued</w:t>
      </w:r>
      <w:r>
        <w:t>.</w:t>
      </w:r>
    </w:p>
    <w:p w14:paraId="76A0999C" w14:textId="77777777" w:rsidR="0047690A" w:rsidRDefault="005B2076" w:rsidP="0047690A">
      <w:pPr>
        <w:pStyle w:val="BodyText"/>
      </w:pPr>
      <w:r>
        <w:t>The above should be taken as a guide, not an exhaustive list of concept</w:t>
      </w:r>
      <w:r w:rsidR="00D10D9B">
        <w:t>s</w:t>
      </w:r>
      <w:r>
        <w:t xml:space="preserve"> that mean “enga</w:t>
      </w:r>
      <w:r w:rsidR="00E93473">
        <w:t>gement”. First Nations people, P</w:t>
      </w:r>
      <w:r>
        <w:t xml:space="preserve">roviders and schools </w:t>
      </w:r>
      <w:r w:rsidR="000D0E41">
        <w:t>may wish</w:t>
      </w:r>
      <w:r>
        <w:t xml:space="preserve"> to expand on the descriptions above.</w:t>
      </w:r>
    </w:p>
    <w:p w14:paraId="0A31DA4E" w14:textId="77777777" w:rsidR="005B2076" w:rsidRDefault="005B2076" w:rsidP="00283C36">
      <w:pPr>
        <w:pStyle w:val="Heading2"/>
        <w:numPr>
          <w:ilvl w:val="1"/>
          <w:numId w:val="11"/>
        </w:numPr>
      </w:pPr>
      <w:bookmarkStart w:id="29" w:name="_Toc152687563"/>
      <w:bookmarkStart w:id="30" w:name="_Toc153369851"/>
      <w:r>
        <w:t>Defining attainment</w:t>
      </w:r>
      <w:bookmarkEnd w:id="29"/>
      <w:bookmarkEnd w:id="30"/>
    </w:p>
    <w:p w14:paraId="359093B7" w14:textId="77777777" w:rsidR="005B2076" w:rsidRDefault="005B2076" w:rsidP="005B2076">
      <w:pPr>
        <w:pStyle w:val="BodyText"/>
      </w:pPr>
      <w:r>
        <w:t xml:space="preserve">NIAA has chosen the term “attainment” </w:t>
      </w:r>
      <w:r w:rsidR="00A377E8">
        <w:t xml:space="preserve">in the context of </w:t>
      </w:r>
      <w:r w:rsidR="007A0DE5">
        <w:t>EEAI</w:t>
      </w:r>
      <w:r w:rsidR="00A377E8">
        <w:t xml:space="preserve"> activities </w:t>
      </w:r>
      <w:r>
        <w:t>to link it to target and outcome 5 under the National Agreement on Closing the Gap (</w:t>
      </w:r>
      <w:r w:rsidR="00A377E8">
        <w:t>the National Agreement</w:t>
      </w:r>
      <w:r>
        <w:t>):</w:t>
      </w:r>
    </w:p>
    <w:p w14:paraId="067FA1DC" w14:textId="77777777" w:rsidR="005B2076" w:rsidRPr="005B2076" w:rsidRDefault="005B2076" w:rsidP="00670BF7">
      <w:pPr>
        <w:pStyle w:val="BodyText"/>
        <w:numPr>
          <w:ilvl w:val="0"/>
          <w:numId w:val="17"/>
        </w:numPr>
        <w:rPr>
          <w:i/>
        </w:rPr>
      </w:pPr>
      <w:r w:rsidRPr="005E0C34">
        <w:rPr>
          <w:b/>
        </w:rPr>
        <w:t>Outcome 5:</w:t>
      </w:r>
      <w:r>
        <w:rPr>
          <w:i/>
        </w:rPr>
        <w:t xml:space="preserve"> </w:t>
      </w:r>
      <w:r w:rsidRPr="005B2076">
        <w:rPr>
          <w:i/>
        </w:rPr>
        <w:t>Aboriginal and Torres Strait Islander students achieve their full learning potential.</w:t>
      </w:r>
    </w:p>
    <w:p w14:paraId="6971283F" w14:textId="77777777" w:rsidR="005B2076" w:rsidRDefault="005B2076" w:rsidP="00670BF7">
      <w:pPr>
        <w:pStyle w:val="BodyText"/>
        <w:numPr>
          <w:ilvl w:val="0"/>
          <w:numId w:val="17"/>
        </w:numPr>
        <w:rPr>
          <w:i/>
        </w:rPr>
      </w:pPr>
      <w:r w:rsidRPr="005E0C34">
        <w:rPr>
          <w:b/>
        </w:rPr>
        <w:t>Target 5:</w:t>
      </w:r>
      <w:r w:rsidRPr="005B2076">
        <w:rPr>
          <w:i/>
        </w:rPr>
        <w:t xml:space="preserve"> By 2031, increase the proportion of Aboriginal and Torres Strait Islander people (age 20-24) attaining year 12 or equivalent qualification to 96 per cent.</w:t>
      </w:r>
    </w:p>
    <w:p w14:paraId="3521E2FC" w14:textId="77777777" w:rsidR="00A377E8" w:rsidRDefault="00A377E8" w:rsidP="00A377E8">
      <w:pPr>
        <w:pStyle w:val="BodyText"/>
      </w:pPr>
      <w:r>
        <w:t xml:space="preserve">Under the National Agreement, “attainment” is clearly linked with completing Year 12. However NIAA understands that for most young people supported through </w:t>
      </w:r>
      <w:r w:rsidR="007A0DE5">
        <w:t>EEAI</w:t>
      </w:r>
      <w:r>
        <w:t xml:space="preserve"> activities, this is not an immediately relevant milestone. Therefore, for practical reasons, NIAA suggests the following “working </w:t>
      </w:r>
      <w:r w:rsidR="00E93473">
        <w:t>definitions” of attainment for P</w:t>
      </w:r>
      <w:r>
        <w:t>roviders to consider and use when discussing, designing and implementing activities with communities.</w:t>
      </w:r>
    </w:p>
    <w:p w14:paraId="700DBF2D" w14:textId="77777777" w:rsidR="005B2076" w:rsidRDefault="00A377E8" w:rsidP="00A377E8">
      <w:pPr>
        <w:pStyle w:val="BodyText"/>
        <w:rPr>
          <w:b/>
        </w:rPr>
      </w:pPr>
      <w:r>
        <w:rPr>
          <w:b/>
        </w:rPr>
        <w:t>Attainment</w:t>
      </w:r>
      <w:r w:rsidRPr="00A377E8">
        <w:t xml:space="preserve"> means:</w:t>
      </w:r>
    </w:p>
    <w:p w14:paraId="5A6C152F" w14:textId="77777777" w:rsidR="00A377E8" w:rsidRPr="00A377E8" w:rsidRDefault="00A377E8" w:rsidP="00670BF7">
      <w:pPr>
        <w:pStyle w:val="BodyText"/>
        <w:numPr>
          <w:ilvl w:val="0"/>
          <w:numId w:val="18"/>
        </w:numPr>
        <w:rPr>
          <w:b/>
        </w:rPr>
      </w:pPr>
      <w:r>
        <w:t>Completing a Year 12 or equivalent qualification, or</w:t>
      </w:r>
    </w:p>
    <w:p w14:paraId="7F75A561" w14:textId="77777777" w:rsidR="00A377E8" w:rsidRPr="00A377E8" w:rsidRDefault="00A377E8" w:rsidP="00670BF7">
      <w:pPr>
        <w:pStyle w:val="BodyText"/>
        <w:numPr>
          <w:ilvl w:val="0"/>
          <w:numId w:val="18"/>
        </w:numPr>
        <w:rPr>
          <w:b/>
        </w:rPr>
      </w:pPr>
      <w:r>
        <w:t>Completing a milestone that will lead to completing Year 12 over time, for example:</w:t>
      </w:r>
    </w:p>
    <w:p w14:paraId="5F567D5C" w14:textId="77777777" w:rsidR="00A377E8" w:rsidRPr="00A377E8" w:rsidRDefault="00A377E8" w:rsidP="00670BF7">
      <w:pPr>
        <w:pStyle w:val="BodyText"/>
        <w:numPr>
          <w:ilvl w:val="1"/>
          <w:numId w:val="18"/>
        </w:numPr>
        <w:rPr>
          <w:b/>
        </w:rPr>
      </w:pPr>
      <w:r>
        <w:t>Completing another school year, particularly recognised transition years – early childhood education/pre-school to transition/prep/kindergarten; transition/prep/kindergarten to year 1; years 6 to year 7; year 10 to year 11.</w:t>
      </w:r>
    </w:p>
    <w:p w14:paraId="14142DD5" w14:textId="77777777" w:rsidR="00A377E8" w:rsidRPr="00A377E8" w:rsidRDefault="00A377E8" w:rsidP="00670BF7">
      <w:pPr>
        <w:pStyle w:val="BodyText"/>
        <w:numPr>
          <w:ilvl w:val="0"/>
          <w:numId w:val="18"/>
        </w:numPr>
        <w:rPr>
          <w:b/>
        </w:rPr>
      </w:pPr>
      <w:r>
        <w:t>For young First Nations students who have been highly disengaged in the past, completing an entire term or semester of schooling.</w:t>
      </w:r>
    </w:p>
    <w:p w14:paraId="652EFE12" w14:textId="77777777" w:rsidR="006C435D" w:rsidRDefault="005B0237" w:rsidP="00A377E8">
      <w:pPr>
        <w:pStyle w:val="BodyText"/>
      </w:pPr>
      <w:r w:rsidRPr="005B0237">
        <w:t xml:space="preserve">Providers </w:t>
      </w:r>
      <w:r>
        <w:t xml:space="preserve">should be cautious about utilising attainment as a measure of success however, given progress from one year of school to the next does not necessarily mean improved participation or achievement at school, or greatly improved attendance. Providers should work with schools to understand students’ progress, whether students will proceed from one year to the next, and whether this equates to meaningful improvement in attendance, participation and achievement at school. </w:t>
      </w:r>
    </w:p>
    <w:p w14:paraId="56D5F37F" w14:textId="77777777" w:rsidR="00743CBB" w:rsidRDefault="007A0DE5" w:rsidP="00283C36">
      <w:pPr>
        <w:pStyle w:val="Heading1"/>
        <w:numPr>
          <w:ilvl w:val="0"/>
          <w:numId w:val="11"/>
        </w:numPr>
      </w:pPr>
      <w:bookmarkStart w:id="31" w:name="_Toc152687564"/>
      <w:bookmarkStart w:id="32" w:name="_Toc153369852"/>
      <w:r>
        <w:lastRenderedPageBreak/>
        <w:t>Designing and delivering EE</w:t>
      </w:r>
      <w:r w:rsidR="00303438">
        <w:t>A</w:t>
      </w:r>
      <w:r>
        <w:t>I</w:t>
      </w:r>
      <w:r w:rsidR="00303438">
        <w:t xml:space="preserve"> activities</w:t>
      </w:r>
      <w:bookmarkEnd w:id="31"/>
      <w:bookmarkEnd w:id="32"/>
    </w:p>
    <w:p w14:paraId="68EB2BBF" w14:textId="77777777" w:rsidR="00703D37" w:rsidRDefault="00703D37" w:rsidP="005F7AA5">
      <w:pPr>
        <w:pStyle w:val="Heading2"/>
        <w:numPr>
          <w:ilvl w:val="1"/>
          <w:numId w:val="20"/>
        </w:numPr>
      </w:pPr>
      <w:bookmarkStart w:id="33" w:name="_Toc152687565"/>
      <w:bookmarkStart w:id="34" w:name="_Toc153369853"/>
      <w:r>
        <w:t>Local naming and branding</w:t>
      </w:r>
      <w:bookmarkEnd w:id="33"/>
      <w:bookmarkEnd w:id="34"/>
    </w:p>
    <w:p w14:paraId="20FA2BB6" w14:textId="77777777" w:rsidR="00703D37" w:rsidRDefault="00703D37" w:rsidP="00703D37">
      <w:pPr>
        <w:pStyle w:val="BodyText"/>
      </w:pPr>
      <w:r>
        <w:t xml:space="preserve">As a first step, </w:t>
      </w:r>
      <w:r w:rsidR="00E93473">
        <w:t>P</w:t>
      </w:r>
      <w:r>
        <w:t xml:space="preserve">roviders should engage with communities to determine a name for local </w:t>
      </w:r>
      <w:r w:rsidR="007A0DE5">
        <w:t>EEAI</w:t>
      </w:r>
      <w:r>
        <w:t xml:space="preserve"> activities that reflects the aspirations, priorities, cultures and languages of community residents. There are no rules for this, provided it is </w:t>
      </w:r>
      <w:r w:rsidR="00E470C7">
        <w:t xml:space="preserve">achieved through community consultation, is </w:t>
      </w:r>
      <w:r>
        <w:t xml:space="preserve">meaningful to communities and it is likely to encourage local recognition and participation in the </w:t>
      </w:r>
      <w:r w:rsidR="007A0DE5">
        <w:t>EEAI</w:t>
      </w:r>
      <w:r>
        <w:t xml:space="preserve"> activity.</w:t>
      </w:r>
    </w:p>
    <w:p w14:paraId="386B991E" w14:textId="77777777" w:rsidR="00703D37" w:rsidRDefault="00703D37" w:rsidP="00703D37">
      <w:pPr>
        <w:pStyle w:val="BodyText"/>
      </w:pPr>
      <w:r>
        <w:t xml:space="preserve">Similarly, a set of local emblems, visual motifs, logos and so on should be developed so that communities have a way of identifying with </w:t>
      </w:r>
      <w:r w:rsidR="000A4554">
        <w:t xml:space="preserve">their local </w:t>
      </w:r>
      <w:r w:rsidR="007A0DE5">
        <w:t>EEAI</w:t>
      </w:r>
      <w:r w:rsidR="000A4554">
        <w:t xml:space="preserve"> activity.</w:t>
      </w:r>
    </w:p>
    <w:p w14:paraId="12DDEFFD" w14:textId="77777777" w:rsidR="00303438" w:rsidRDefault="00E75745" w:rsidP="005F7AA5">
      <w:pPr>
        <w:pStyle w:val="Heading2"/>
        <w:numPr>
          <w:ilvl w:val="1"/>
          <w:numId w:val="20"/>
        </w:numPr>
      </w:pPr>
      <w:bookmarkStart w:id="35" w:name="_Toc152687566"/>
      <w:bookmarkStart w:id="36" w:name="_Toc153369854"/>
      <w:r>
        <w:t>EEAI elements of best practice</w:t>
      </w:r>
      <w:bookmarkEnd w:id="35"/>
      <w:bookmarkEnd w:id="36"/>
    </w:p>
    <w:p w14:paraId="674C7973" w14:textId="77777777" w:rsidR="00A21062" w:rsidRDefault="00472A68" w:rsidP="00472A68">
      <w:pPr>
        <w:pStyle w:val="BodyText"/>
      </w:pPr>
      <w:r>
        <w:t xml:space="preserve">EEAI activities are intended to encompass a broad range of potential approaches to improve engagement and participation, with few compulsory aspects to permit innovation and responsiveness to community ideas and needs. Most good activities will nonetheless incorporate the elements of best practice described here. Providers should not treat these elements of best practice as mandatory steps or building blocks (except semester plans – see below), but rather a set of good techniques that, when appropriate for the approaches Providers design with communities, should help deliver the best possible services for a greater likelihood of sustainable </w:t>
      </w:r>
      <w:r w:rsidR="003D0CAE">
        <w:t>outcomes</w:t>
      </w:r>
      <w:r w:rsidR="002A1088">
        <w:t>.</w:t>
      </w:r>
    </w:p>
    <w:p w14:paraId="7BDC27FC" w14:textId="77777777" w:rsidR="00A21062" w:rsidRDefault="00F5330E" w:rsidP="00303438">
      <w:pPr>
        <w:pStyle w:val="BodyText"/>
      </w:pPr>
      <w:r>
        <w:t>Suggested areas of best practice include</w:t>
      </w:r>
      <w:r w:rsidR="00A21062">
        <w:t xml:space="preserve"> the following:</w:t>
      </w:r>
    </w:p>
    <w:p w14:paraId="47F6EE60" w14:textId="77777777" w:rsidR="00006EEE" w:rsidRDefault="00455DD4" w:rsidP="00670BF7">
      <w:pPr>
        <w:pStyle w:val="BodyText"/>
        <w:numPr>
          <w:ilvl w:val="0"/>
          <w:numId w:val="19"/>
        </w:numPr>
      </w:pPr>
      <w:r w:rsidRPr="00466AD5">
        <w:rPr>
          <w:b/>
        </w:rPr>
        <w:t>Local e</w:t>
      </w:r>
      <w:r w:rsidR="00A21062" w:rsidRPr="00466AD5">
        <w:rPr>
          <w:b/>
        </w:rPr>
        <w:t>mployment</w:t>
      </w:r>
      <w:r w:rsidR="00A21062">
        <w:rPr>
          <w:i/>
        </w:rPr>
        <w:t xml:space="preserve"> </w:t>
      </w:r>
      <w:r w:rsidR="006C435D">
        <w:rPr>
          <w:i/>
        </w:rPr>
        <w:t>–</w:t>
      </w:r>
      <w:r w:rsidR="00A21062">
        <w:rPr>
          <w:i/>
        </w:rPr>
        <w:t xml:space="preserve"> </w:t>
      </w:r>
      <w:r w:rsidR="006C435D">
        <w:t xml:space="preserve">employing local First Nations people </w:t>
      </w:r>
      <w:r w:rsidR="00B63C81">
        <w:t>is</w:t>
      </w:r>
      <w:r w:rsidR="006C435D">
        <w:t xml:space="preserve"> an excellent way for </w:t>
      </w:r>
      <w:r w:rsidR="00922F9E">
        <w:t xml:space="preserve">Providers </w:t>
      </w:r>
      <w:r w:rsidR="006C435D">
        <w:t xml:space="preserve">to demonstrate their commitment to local communities, involve local First Nations people in delivering activities, </w:t>
      </w:r>
      <w:r w:rsidR="00472A68">
        <w:t xml:space="preserve">engage </w:t>
      </w:r>
      <w:r w:rsidR="006C435D">
        <w:t>with families and young people, and obtain feedback</w:t>
      </w:r>
      <w:r w:rsidR="00472A68">
        <w:t xml:space="preserve"> from communities</w:t>
      </w:r>
      <w:r w:rsidR="006C435D">
        <w:t xml:space="preserve">. </w:t>
      </w:r>
      <w:r w:rsidR="00472A68">
        <w:t>L</w:t>
      </w:r>
      <w:r w:rsidR="00006EEE">
        <w:t xml:space="preserve">ocal employment is </w:t>
      </w:r>
      <w:r w:rsidR="00472A68">
        <w:t xml:space="preserve">therefore </w:t>
      </w:r>
      <w:r w:rsidR="00006EEE">
        <w:t xml:space="preserve">considered </w:t>
      </w:r>
      <w:r w:rsidR="00472A68">
        <w:t xml:space="preserve">a </w:t>
      </w:r>
      <w:r w:rsidR="00006EEE">
        <w:t>positive</w:t>
      </w:r>
      <w:r w:rsidR="00472A68">
        <w:t xml:space="preserve"> element. </w:t>
      </w:r>
      <w:r w:rsidR="006C0F0B">
        <w:t xml:space="preserve">Providers should prioritise employing First Nations people, preferably people from the community where the EEAI activity is being delivered. </w:t>
      </w:r>
      <w:r w:rsidR="00472A68">
        <w:t xml:space="preserve">However, Providers should consider the best level </w:t>
      </w:r>
      <w:r w:rsidR="006C0F0B">
        <w:t xml:space="preserve">and structure </w:t>
      </w:r>
      <w:r w:rsidR="00472A68">
        <w:t>of local employment</w:t>
      </w:r>
      <w:r w:rsidR="006C0F0B">
        <w:t xml:space="preserve"> to suit the local activity</w:t>
      </w:r>
      <w:r w:rsidR="00472A68">
        <w:t xml:space="preserve">, and keep in mind </w:t>
      </w:r>
      <w:r w:rsidR="006C0F0B">
        <w:t>employing staff is</w:t>
      </w:r>
      <w:r w:rsidR="00006EEE">
        <w:t xml:space="preserve"> not essential if the activity does not require local people to deliver it.</w:t>
      </w:r>
      <w:r w:rsidR="006C0F0B">
        <w:t xml:space="preserve"> The EEAI is </w:t>
      </w:r>
      <w:r w:rsidR="006C0F0B">
        <w:rPr>
          <w:i/>
        </w:rPr>
        <w:t>not</w:t>
      </w:r>
      <w:r w:rsidR="006C0F0B">
        <w:t xml:space="preserve"> an employment pr</w:t>
      </w:r>
      <w:r w:rsidR="00E470C7">
        <w:t>ogram. Employment generated by EEAI activities</w:t>
      </w:r>
      <w:r w:rsidR="006C0F0B">
        <w:t xml:space="preserve"> should be because it supports the activity and is considered beneficial by communities. </w:t>
      </w:r>
    </w:p>
    <w:p w14:paraId="6723AE37" w14:textId="77777777" w:rsidR="00A21062" w:rsidRDefault="00455DD4" w:rsidP="00670BF7">
      <w:pPr>
        <w:pStyle w:val="BodyText"/>
        <w:numPr>
          <w:ilvl w:val="0"/>
          <w:numId w:val="19"/>
        </w:numPr>
      </w:pPr>
      <w:r w:rsidRPr="00466AD5">
        <w:rPr>
          <w:b/>
        </w:rPr>
        <w:t>Governance c</w:t>
      </w:r>
      <w:r w:rsidR="00136A3B" w:rsidRPr="00466AD5">
        <w:rPr>
          <w:b/>
        </w:rPr>
        <w:t>ommittee</w:t>
      </w:r>
      <w:r w:rsidR="006C0F0B" w:rsidRPr="00466AD5">
        <w:rPr>
          <w:b/>
        </w:rPr>
        <w:t>s</w:t>
      </w:r>
      <w:r w:rsidR="00136A3B">
        <w:rPr>
          <w:i/>
        </w:rPr>
        <w:t xml:space="preserve"> – </w:t>
      </w:r>
      <w:r w:rsidR="00136A3B" w:rsidRPr="00136A3B">
        <w:t xml:space="preserve">as </w:t>
      </w:r>
      <w:r w:rsidR="00136A3B">
        <w:t>described in</w:t>
      </w:r>
      <w:r w:rsidR="00136A3B" w:rsidRPr="00136A3B">
        <w:t xml:space="preserve"> section 2.2, </w:t>
      </w:r>
      <w:r w:rsidR="00851B45">
        <w:t>meaningful</w:t>
      </w:r>
      <w:r w:rsidR="00136A3B" w:rsidRPr="00136A3B">
        <w:t xml:space="preserve"> community involvement in activity design and delivery is </w:t>
      </w:r>
      <w:r w:rsidR="00851B45">
        <w:t>a key principle</w:t>
      </w:r>
      <w:r w:rsidR="00136A3B" w:rsidRPr="00136A3B">
        <w:t xml:space="preserve"> of th</w:t>
      </w:r>
      <w:r w:rsidR="00851B45">
        <w:t xml:space="preserve">e </w:t>
      </w:r>
      <w:r w:rsidR="007A0DE5">
        <w:t>EEAI</w:t>
      </w:r>
      <w:r w:rsidR="00136A3B" w:rsidRPr="00136A3B">
        <w:t>.</w:t>
      </w:r>
      <w:r w:rsidR="00006EEE">
        <w:t xml:space="preserve"> </w:t>
      </w:r>
      <w:r w:rsidR="00851B45">
        <w:t>However the particular method of involving community in activity design and delivery can vary</w:t>
      </w:r>
      <w:r w:rsidR="006C0F0B">
        <w:t xml:space="preserve">, and local EEAI activities may benefit from the advice and oversight of a permanent or semi-permanent governance committee of reference group. </w:t>
      </w:r>
      <w:r w:rsidR="00C50FCE">
        <w:t>This is</w:t>
      </w:r>
      <w:r w:rsidR="00851B45">
        <w:t xml:space="preserve"> a good way of formally obtaining community views and endorsement – provided the governance committee has a representative membership. However other methods can be used, e.g. regular community forums, focus groups, or planning workshops. Providers are </w:t>
      </w:r>
      <w:r>
        <w:t xml:space="preserve">also </w:t>
      </w:r>
      <w:r w:rsidR="00851B45">
        <w:t xml:space="preserve">encouraged to utilise existing governance or decision-making bodies where they exist, and where that body is ready and willing to take on </w:t>
      </w:r>
      <w:r w:rsidR="007A0DE5">
        <w:t>EEAI</w:t>
      </w:r>
      <w:r w:rsidR="00D10D9B">
        <w:t xml:space="preserve"> </w:t>
      </w:r>
      <w:r w:rsidR="00541105">
        <w:t>activities</w:t>
      </w:r>
      <w:r w:rsidR="00851B45">
        <w:t xml:space="preserve"> along with pre-existing responsibilities.</w:t>
      </w:r>
    </w:p>
    <w:p w14:paraId="5EDF6FE9" w14:textId="77777777" w:rsidR="00455DD4" w:rsidRDefault="00455DD4" w:rsidP="00670BF7">
      <w:pPr>
        <w:pStyle w:val="BodyText"/>
        <w:numPr>
          <w:ilvl w:val="0"/>
          <w:numId w:val="19"/>
        </w:numPr>
      </w:pPr>
      <w:r w:rsidRPr="005E0C34">
        <w:rPr>
          <w:b/>
        </w:rPr>
        <w:lastRenderedPageBreak/>
        <w:t>Community mapping</w:t>
      </w:r>
      <w:r>
        <w:rPr>
          <w:i/>
        </w:rPr>
        <w:t xml:space="preserve"> –</w:t>
      </w:r>
      <w:r>
        <w:t xml:space="preserve"> </w:t>
      </w:r>
      <w:r w:rsidR="007A0DE5">
        <w:t>EEAI</w:t>
      </w:r>
      <w:r w:rsidR="00E93473">
        <w:t xml:space="preserve"> P</w:t>
      </w:r>
      <w:r>
        <w:t>roviders are expected to have a detailed knowledge of communities, including language groups, culture, demographics, seasonal patterns of mobility, persons in position of leadership</w:t>
      </w:r>
      <w:r w:rsidR="00C50FCE">
        <w:t xml:space="preserve"> and/or cultural seniority</w:t>
      </w:r>
      <w:r>
        <w:t xml:space="preserve">, and history. How this is recorded and represented is up to the </w:t>
      </w:r>
      <w:r w:rsidR="00C50FCE">
        <w:t>P</w:t>
      </w:r>
      <w:r>
        <w:t>rovider. A community map is one way of</w:t>
      </w:r>
      <w:r w:rsidR="00E93473">
        <w:t xml:space="preserve"> recording and demonstrating a P</w:t>
      </w:r>
      <w:r>
        <w:t xml:space="preserve">rovider’s knowledge and familiarity with community attributes, and also demonstrates engagement with community to develop </w:t>
      </w:r>
      <w:r w:rsidR="00DC58BC">
        <w:t xml:space="preserve">and record </w:t>
      </w:r>
      <w:r>
        <w:t xml:space="preserve">this knowledge. </w:t>
      </w:r>
    </w:p>
    <w:p w14:paraId="3CD5281E" w14:textId="77777777" w:rsidR="00455DD4" w:rsidRDefault="00455DD4" w:rsidP="00670BF7">
      <w:pPr>
        <w:pStyle w:val="BodyText"/>
        <w:numPr>
          <w:ilvl w:val="0"/>
          <w:numId w:val="19"/>
        </w:numPr>
      </w:pPr>
      <w:r w:rsidRPr="005E0C34">
        <w:rPr>
          <w:b/>
        </w:rPr>
        <w:t>Semester Activity Plan</w:t>
      </w:r>
      <w:r w:rsidR="00916A81" w:rsidRPr="005E0C34">
        <w:rPr>
          <w:b/>
        </w:rPr>
        <w:t>s</w:t>
      </w:r>
      <w:r>
        <w:rPr>
          <w:i/>
        </w:rPr>
        <w:t xml:space="preserve"> –</w:t>
      </w:r>
      <w:r>
        <w:t xml:space="preserve"> </w:t>
      </w:r>
      <w:r w:rsidR="00C50FCE">
        <w:t xml:space="preserve">unlike the other best-practice elements described here, Semester Activity Plans (SAPs) are mandatory and also have a defined structure and set of requirements. </w:t>
      </w:r>
      <w:r w:rsidR="007A0DE5">
        <w:t>EEAI</w:t>
      </w:r>
      <w:r w:rsidR="00E93473">
        <w:t xml:space="preserve"> P</w:t>
      </w:r>
      <w:r>
        <w:t xml:space="preserve">roviders are </w:t>
      </w:r>
      <w:r w:rsidR="005B3D36">
        <w:t>required</w:t>
      </w:r>
      <w:r>
        <w:t xml:space="preserve"> </w:t>
      </w:r>
      <w:r w:rsidR="00C61000">
        <w:t xml:space="preserve">to </w:t>
      </w:r>
      <w:r>
        <w:t xml:space="preserve">provide plans to NIAA at the start of each semester (i.e. start of terms 1 and 3) to demonstrate the approaches they have developed with communities to improve education engagement and attainment outcomes. NIAA will provide a template that outlines the required planning elements. That said, the most important thing about the </w:t>
      </w:r>
      <w:r w:rsidR="00E1040C">
        <w:t>P</w:t>
      </w:r>
      <w:r>
        <w:t xml:space="preserve">lan is developing them via meaningful collaboration with communities – a template is </w:t>
      </w:r>
      <w:r w:rsidR="00916A81">
        <w:t>simply</w:t>
      </w:r>
      <w:r>
        <w:t xml:space="preserve"> a tool to capture the </w:t>
      </w:r>
      <w:r w:rsidR="00DC58BC">
        <w:t xml:space="preserve">planning </w:t>
      </w:r>
      <w:r>
        <w:t>process</w:t>
      </w:r>
      <w:r w:rsidR="00DC58BC">
        <w:t xml:space="preserve"> and outcomes.</w:t>
      </w:r>
    </w:p>
    <w:p w14:paraId="5870E502" w14:textId="77777777" w:rsidR="00916A81" w:rsidRPr="00916A81" w:rsidRDefault="00916A81" w:rsidP="00670BF7">
      <w:pPr>
        <w:pStyle w:val="BodyText"/>
        <w:numPr>
          <w:ilvl w:val="0"/>
          <w:numId w:val="19"/>
        </w:numPr>
        <w:rPr>
          <w:i/>
        </w:rPr>
      </w:pPr>
      <w:r w:rsidRPr="00233C6F">
        <w:rPr>
          <w:b/>
        </w:rPr>
        <w:t>Development of Local Staff</w:t>
      </w:r>
      <w:r w:rsidRPr="00916A81">
        <w:rPr>
          <w:i/>
        </w:rPr>
        <w:t xml:space="preserve"> </w:t>
      </w:r>
      <w:r>
        <w:rPr>
          <w:i/>
        </w:rPr>
        <w:t>–</w:t>
      </w:r>
      <w:r w:rsidRPr="00916A81">
        <w:rPr>
          <w:i/>
        </w:rPr>
        <w:t xml:space="preserve"> </w:t>
      </w:r>
      <w:r w:rsidR="00C50FCE" w:rsidRPr="00C50FCE">
        <w:t xml:space="preserve">providing meaningful support and development opportunities to staff demonstrates a commitment to local people and builds the positive reputation of the Provider and the EEAI program. </w:t>
      </w:r>
      <w:r w:rsidR="00C50FCE">
        <w:t xml:space="preserve">This goes beyond the Provider’s obligations as an employer under relevant State/Territory and Commonwealth legislation. Providers should also ensure </w:t>
      </w:r>
      <w:r w:rsidR="00283C36">
        <w:t xml:space="preserve">all </w:t>
      </w:r>
      <w:r w:rsidR="00C50FCE">
        <w:t>people employed by the EEAI</w:t>
      </w:r>
      <w:r w:rsidR="00C52C07">
        <w:t xml:space="preserve"> activity obtain their Working w</w:t>
      </w:r>
      <w:r w:rsidR="00C50FCE">
        <w:t xml:space="preserve">ith Vulnerable People clearance as applicable in the relevant State or Territory. </w:t>
      </w:r>
    </w:p>
    <w:p w14:paraId="7E0E5CF5" w14:textId="77777777" w:rsidR="00916A81" w:rsidRPr="003D0CAE" w:rsidRDefault="00916A81" w:rsidP="00670BF7">
      <w:pPr>
        <w:pStyle w:val="BodyText"/>
        <w:numPr>
          <w:ilvl w:val="0"/>
          <w:numId w:val="19"/>
        </w:numPr>
        <w:rPr>
          <w:i/>
        </w:rPr>
      </w:pPr>
      <w:r w:rsidRPr="00466AD5">
        <w:rPr>
          <w:b/>
        </w:rPr>
        <w:t xml:space="preserve">Daily </w:t>
      </w:r>
      <w:r w:rsidR="00E75745" w:rsidRPr="00466AD5">
        <w:rPr>
          <w:b/>
        </w:rPr>
        <w:t>Engagement Services</w:t>
      </w:r>
      <w:r>
        <w:rPr>
          <w:i/>
        </w:rPr>
        <w:t xml:space="preserve"> –</w:t>
      </w:r>
      <w:r w:rsidR="003D0CAE">
        <w:t xml:space="preserve"> Providers should consider r</w:t>
      </w:r>
      <w:r w:rsidR="005B3D36">
        <w:t xml:space="preserve">egular </w:t>
      </w:r>
      <w:r>
        <w:t xml:space="preserve">and frequent engagement </w:t>
      </w:r>
      <w:r w:rsidR="00703D37">
        <w:t xml:space="preserve">with families, parents and carers, and young First Nations people </w:t>
      </w:r>
      <w:r w:rsidR="003D0CAE">
        <w:t xml:space="preserve">as this </w:t>
      </w:r>
      <w:r>
        <w:t>aligns with the principles described in section</w:t>
      </w:r>
      <w:r w:rsidR="00703D37">
        <w:t xml:space="preserve"> </w:t>
      </w:r>
      <w:r>
        <w:t>2.2</w:t>
      </w:r>
      <w:r w:rsidR="00283C36">
        <w:t xml:space="preserve"> </w:t>
      </w:r>
      <w:r>
        <w:t xml:space="preserve">and will support </w:t>
      </w:r>
      <w:r w:rsidR="003D0CAE">
        <w:t xml:space="preserve">other </w:t>
      </w:r>
      <w:r>
        <w:t>program outcomes.</w:t>
      </w:r>
      <w:r w:rsidR="00703D37">
        <w:t xml:space="preserve"> </w:t>
      </w:r>
      <w:r w:rsidR="00541105">
        <w:t>EEAI P</w:t>
      </w:r>
      <w:r w:rsidR="00703D37">
        <w:t xml:space="preserve">roviders should </w:t>
      </w:r>
      <w:r w:rsidR="003D0CAE">
        <w:t xml:space="preserve">continually </w:t>
      </w:r>
      <w:r w:rsidR="00703D37">
        <w:t>assess daily activities and determine, in collaboration with communities, if they are having an impact on the quality of engagement between families, parents and carers, and young First Nations people with schools. This should realistically assess if it improves engagement or merely provides short-term improvements to attendance with no likely improvement to a student’s engagement with school and learning, or improvement to their achievement at school. While improving attendance is a valid goal, activities that simply encourage students to enter school with no ongoing support or follow-up should be reconsidered.</w:t>
      </w:r>
    </w:p>
    <w:p w14:paraId="08111E0A" w14:textId="77777777" w:rsidR="00472A68" w:rsidRDefault="003D0CAE" w:rsidP="00466AD5">
      <w:pPr>
        <w:pStyle w:val="BodyText"/>
      </w:pPr>
      <w:r>
        <w:t xml:space="preserve">In addition to using the above elements of best practice as guidance, </w:t>
      </w:r>
      <w:r w:rsidR="00472A68">
        <w:t xml:space="preserve">Providers should </w:t>
      </w:r>
      <w:r>
        <w:t>ensure they use</w:t>
      </w:r>
      <w:r w:rsidR="00472A68">
        <w:t xml:space="preserve"> the principles described in section 2.2 of this document to guide the way they consult, design and implement EEAI </w:t>
      </w:r>
      <w:r>
        <w:t>activities. While these elements are</w:t>
      </w:r>
      <w:r w:rsidR="00472A68">
        <w:t xml:space="preserve"> a good summary of b</w:t>
      </w:r>
      <w:r w:rsidR="00E93473">
        <w:t>est practice that P</w:t>
      </w:r>
      <w:r w:rsidR="00472A68">
        <w:t>roviders can consider when developing their approaches and activities</w:t>
      </w:r>
      <w:r>
        <w:t>, they</w:t>
      </w:r>
      <w:r w:rsidR="00472A68">
        <w:t xml:space="preserve"> should </w:t>
      </w:r>
      <w:r w:rsidR="00E93473">
        <w:t>be considered in light of what P</w:t>
      </w:r>
      <w:r w:rsidR="00472A68">
        <w:t xml:space="preserve">roviders have developed with the guidance of communities, and </w:t>
      </w:r>
      <w:r w:rsidR="00283C36">
        <w:t>reflect the</w:t>
      </w:r>
      <w:r w:rsidR="00472A68">
        <w:t xml:space="preserve"> context of communities and</w:t>
      </w:r>
      <w:r w:rsidR="00283C36">
        <w:t xml:space="preserve"> its</w:t>
      </w:r>
      <w:r w:rsidR="00472A68">
        <w:t xml:space="preserve"> needs.</w:t>
      </w:r>
    </w:p>
    <w:p w14:paraId="13BA2301" w14:textId="77777777" w:rsidR="00AD70EE" w:rsidRDefault="00AD70EE" w:rsidP="005F7AA5">
      <w:pPr>
        <w:pStyle w:val="Heading2"/>
        <w:numPr>
          <w:ilvl w:val="1"/>
          <w:numId w:val="20"/>
        </w:numPr>
      </w:pPr>
      <w:bookmarkStart w:id="37" w:name="_Toc152687567"/>
      <w:bookmarkStart w:id="38" w:name="_Toc153369855"/>
      <w:r>
        <w:t xml:space="preserve">The </w:t>
      </w:r>
      <w:r w:rsidR="005A0591">
        <w:t xml:space="preserve">EEAI Service </w:t>
      </w:r>
      <w:r>
        <w:t>Menu</w:t>
      </w:r>
      <w:bookmarkEnd w:id="37"/>
      <w:bookmarkEnd w:id="38"/>
    </w:p>
    <w:p w14:paraId="66DD87C5" w14:textId="77777777" w:rsidR="00DC58BC" w:rsidRDefault="005A0591" w:rsidP="00AD70EE">
      <w:pPr>
        <w:pStyle w:val="BodyText"/>
      </w:pPr>
      <w:r>
        <w:t xml:space="preserve">The EEAI Service Menu is a list of suggested services that Providers may use to help design how their EEAI works on the ground, i.e. what it will do, how it will respond to community needs, how it will engage or re-engage First Nations young people, families, parents and carers with schooling and education, and how that work will link to improved participation at school and sustainable education outcomes in the future. </w:t>
      </w:r>
    </w:p>
    <w:p w14:paraId="5BAE896D" w14:textId="77777777" w:rsidR="00AD70EE" w:rsidRDefault="005A0591" w:rsidP="00AD70EE">
      <w:pPr>
        <w:pStyle w:val="BodyText"/>
      </w:pPr>
      <w:r>
        <w:lastRenderedPageBreak/>
        <w:t>Using the Service Menu is not mandatory. Providers may consult about, design and implement their services without reference to the Service Menu</w:t>
      </w:r>
      <w:r w:rsidR="00E75745">
        <w:t>, provided they adhere to the principles described in section 2.2</w:t>
      </w:r>
      <w:r>
        <w:t xml:space="preserve">. However </w:t>
      </w:r>
      <w:r w:rsidR="00E75745">
        <w:t xml:space="preserve">these </w:t>
      </w:r>
      <w:r w:rsidR="00E93473">
        <w:t>P</w:t>
      </w:r>
      <w:r w:rsidR="00AD70EE">
        <w:t xml:space="preserve">roviders may still want to refer to the </w:t>
      </w:r>
      <w:r>
        <w:t xml:space="preserve">Service </w:t>
      </w:r>
      <w:r w:rsidR="00AD70EE">
        <w:t xml:space="preserve">Menu as it lists a range of possible approaches that can be proposed to communities. Many of the items on the </w:t>
      </w:r>
      <w:r>
        <w:t xml:space="preserve">Service </w:t>
      </w:r>
      <w:r w:rsidR="00AD70EE">
        <w:t>Menu are examples of approaches that may support education engagement outcomes, or provide ideas for these activities.</w:t>
      </w:r>
    </w:p>
    <w:p w14:paraId="51DAF3E9" w14:textId="77777777" w:rsidR="00AD70EE" w:rsidRDefault="00AD70EE" w:rsidP="00AD70EE">
      <w:pPr>
        <w:pStyle w:val="BodyText"/>
      </w:pPr>
      <w:r>
        <w:t xml:space="preserve">If </w:t>
      </w:r>
      <w:r w:rsidR="007A0DE5">
        <w:t>EEAI</w:t>
      </w:r>
      <w:r>
        <w:t xml:space="preserve"> Providers want to use the </w:t>
      </w:r>
      <w:r w:rsidR="00E75745">
        <w:t xml:space="preserve">Service </w:t>
      </w:r>
      <w:r>
        <w:t>Menu</w:t>
      </w:r>
      <w:r w:rsidR="00F117D3">
        <w:t>, Providers</w:t>
      </w:r>
      <w:r w:rsidR="006372F3">
        <w:t xml:space="preserve"> should ensure that</w:t>
      </w:r>
      <w:r>
        <w:t>:</w:t>
      </w:r>
    </w:p>
    <w:p w14:paraId="57CC1F43" w14:textId="77777777" w:rsidR="00AD70EE" w:rsidRDefault="00AD70EE" w:rsidP="00670BF7">
      <w:pPr>
        <w:pStyle w:val="BodyText"/>
        <w:numPr>
          <w:ilvl w:val="0"/>
          <w:numId w:val="22"/>
        </w:numPr>
      </w:pPr>
      <w:r>
        <w:t>Communities (families, parents and carers, young First Nations people</w:t>
      </w:r>
      <w:r w:rsidR="006372F3">
        <w:t xml:space="preserve"> – not just leaders and representatives of organisations</w:t>
      </w:r>
      <w:r>
        <w:t xml:space="preserve">) are involved in reviewing the </w:t>
      </w:r>
      <w:r w:rsidR="00E75745">
        <w:t xml:space="preserve">Service </w:t>
      </w:r>
      <w:r>
        <w:t>Menu items, and provide feedback on their likely impact and effectiveness, and how</w:t>
      </w:r>
      <w:r w:rsidR="00DC58BC">
        <w:t xml:space="preserve"> they can be changed</w:t>
      </w:r>
      <w:r>
        <w:t xml:space="preserve"> to suit local c</w:t>
      </w:r>
      <w:r w:rsidR="006372F3">
        <w:t>ontexts</w:t>
      </w:r>
      <w:r>
        <w:t>,</w:t>
      </w:r>
    </w:p>
    <w:p w14:paraId="4CD84394" w14:textId="77777777" w:rsidR="00AD70EE" w:rsidRDefault="00E75745" w:rsidP="00670BF7">
      <w:pPr>
        <w:pStyle w:val="BodyText"/>
        <w:numPr>
          <w:ilvl w:val="0"/>
          <w:numId w:val="22"/>
        </w:numPr>
      </w:pPr>
      <w:r>
        <w:t xml:space="preserve">Service </w:t>
      </w:r>
      <w:r w:rsidR="00AD70EE">
        <w:t xml:space="preserve">Menu Items </w:t>
      </w:r>
      <w:r w:rsidR="00F117D3">
        <w:t xml:space="preserve">selected </w:t>
      </w:r>
      <w:r w:rsidR="006372F3">
        <w:t xml:space="preserve">can be linked to improving education outcomes in the short, medium or long term, </w:t>
      </w:r>
      <w:r w:rsidR="00AD70EE">
        <w:t>rather than merely provide short-term improvements to attendance</w:t>
      </w:r>
      <w:r w:rsidR="006372F3">
        <w:t>.</w:t>
      </w:r>
    </w:p>
    <w:p w14:paraId="1FA5505F" w14:textId="77777777" w:rsidR="00AD70EE" w:rsidRDefault="00DC58BC" w:rsidP="006372F3">
      <w:pPr>
        <w:pStyle w:val="BodyText"/>
      </w:pPr>
      <w:r>
        <w:t>The</w:t>
      </w:r>
      <w:r w:rsidR="006372F3">
        <w:t xml:space="preserve"> </w:t>
      </w:r>
      <w:r w:rsidR="00E75745">
        <w:t>EEAI Service</w:t>
      </w:r>
      <w:r w:rsidR="006372F3">
        <w:t xml:space="preserve"> Menu is attached to this Operational Framework at </w:t>
      </w:r>
      <w:r w:rsidR="00283C36" w:rsidRPr="00283C36">
        <w:t>Appendix A</w:t>
      </w:r>
      <w:r w:rsidR="006372F3" w:rsidRPr="00283C36">
        <w:t>.</w:t>
      </w:r>
    </w:p>
    <w:p w14:paraId="24090A8E" w14:textId="77777777" w:rsidR="007442CA" w:rsidRDefault="007442CA" w:rsidP="005F7AA5">
      <w:pPr>
        <w:pStyle w:val="Heading2"/>
        <w:numPr>
          <w:ilvl w:val="1"/>
          <w:numId w:val="20"/>
        </w:numPr>
      </w:pPr>
      <w:bookmarkStart w:id="39" w:name="_Toc152687568"/>
      <w:bookmarkStart w:id="40" w:name="_Toc153369856"/>
      <w:r>
        <w:t>Budgeting</w:t>
      </w:r>
      <w:bookmarkEnd w:id="39"/>
      <w:bookmarkEnd w:id="40"/>
    </w:p>
    <w:p w14:paraId="09E6AC5A" w14:textId="77777777" w:rsidR="007442CA" w:rsidRPr="00B91FF1" w:rsidRDefault="007442CA" w:rsidP="007442CA">
      <w:pPr>
        <w:pStyle w:val="BodyText"/>
      </w:pPr>
      <w:r>
        <w:t>EEAI</w:t>
      </w:r>
      <w:r w:rsidRPr="00B91FF1">
        <w:t xml:space="preserve"> Providers must provide a detailed budget for acceptance by the Agency. Budgets should be submitted to </w:t>
      </w:r>
      <w:r>
        <w:t>NIAA contact</w:t>
      </w:r>
      <w:r w:rsidRPr="00B91FF1">
        <w:t xml:space="preserve">s as agreed in Project Schedules. The budget should </w:t>
      </w:r>
      <w:r>
        <w:t xml:space="preserve">itemise and </w:t>
      </w:r>
      <w:r w:rsidRPr="00B91FF1">
        <w:t xml:space="preserve">outline what activities the Provider will deliver as part of the </w:t>
      </w:r>
      <w:r>
        <w:t>Semester Activity</w:t>
      </w:r>
      <w:r w:rsidRPr="00B91FF1">
        <w:t xml:space="preserve"> Plan</w:t>
      </w:r>
      <w:r>
        <w:t>s</w:t>
      </w:r>
      <w:r w:rsidRPr="00B91FF1">
        <w:t xml:space="preserve"> and</w:t>
      </w:r>
      <w:r>
        <w:t xml:space="preserve"> the projected cost of each selected item. </w:t>
      </w:r>
    </w:p>
    <w:p w14:paraId="716EA619" w14:textId="77777777" w:rsidR="007442CA" w:rsidRPr="00723BBE" w:rsidRDefault="007442CA" w:rsidP="007442CA">
      <w:pPr>
        <w:pStyle w:val="BodyText"/>
      </w:pPr>
      <w:r>
        <w:t xml:space="preserve">Where </w:t>
      </w:r>
      <w:r w:rsidRPr="007442CA">
        <w:t xml:space="preserve">Providers deliver </w:t>
      </w:r>
      <w:r>
        <w:t>EEAI activities</w:t>
      </w:r>
      <w:r w:rsidRPr="007442CA">
        <w:t xml:space="preserve"> in multiple sites,</w:t>
      </w:r>
      <w:r>
        <w:t xml:space="preserve"> b</w:t>
      </w:r>
      <w:r w:rsidRPr="00723BBE">
        <w:t xml:space="preserve">udgets can be combined but must be itemised so it is clear how much funding is being used for each </w:t>
      </w:r>
      <w:r>
        <w:t>site</w:t>
      </w:r>
      <w:r w:rsidRPr="00723BBE">
        <w:t xml:space="preserve"> and which activities are being delivered in e</w:t>
      </w:r>
      <w:r>
        <w:t>ach site</w:t>
      </w:r>
      <w:r w:rsidRPr="00723BBE">
        <w:t>.</w:t>
      </w:r>
      <w:r w:rsidRPr="001772C4">
        <w:t xml:space="preserve"> </w:t>
      </w:r>
      <w:r>
        <w:t>F</w:t>
      </w:r>
      <w:r w:rsidRPr="00723BBE">
        <w:t xml:space="preserve">unding cannot be moved across sites without written permission from the </w:t>
      </w:r>
      <w:r>
        <w:t>Agency.</w:t>
      </w:r>
    </w:p>
    <w:p w14:paraId="3CE71022" w14:textId="77777777" w:rsidR="001078FD" w:rsidRDefault="001078FD" w:rsidP="005F7AA5">
      <w:pPr>
        <w:pStyle w:val="Heading2"/>
        <w:numPr>
          <w:ilvl w:val="1"/>
          <w:numId w:val="20"/>
        </w:numPr>
      </w:pPr>
      <w:bookmarkStart w:id="41" w:name="_Toc152687569"/>
      <w:bookmarkStart w:id="42" w:name="_Toc153369857"/>
      <w:r>
        <w:t xml:space="preserve">Semester </w:t>
      </w:r>
      <w:r w:rsidR="005E640E">
        <w:t xml:space="preserve">Activity </w:t>
      </w:r>
      <w:r>
        <w:t>Plans</w:t>
      </w:r>
      <w:bookmarkEnd w:id="41"/>
      <w:bookmarkEnd w:id="42"/>
    </w:p>
    <w:p w14:paraId="0762B65B" w14:textId="77777777" w:rsidR="001078FD" w:rsidRPr="001078FD" w:rsidRDefault="001078FD" w:rsidP="001078FD">
      <w:pPr>
        <w:pStyle w:val="BodyText"/>
      </w:pPr>
      <w:r w:rsidRPr="001078FD">
        <w:t>Semester A</w:t>
      </w:r>
      <w:r w:rsidR="005E640E">
        <w:t xml:space="preserve">ctivity </w:t>
      </w:r>
      <w:r w:rsidRPr="001078FD">
        <w:t xml:space="preserve">Plans (SAPs) are the plan for </w:t>
      </w:r>
      <w:r w:rsidR="005E640E">
        <w:t>delivering EEAIs</w:t>
      </w:r>
      <w:r w:rsidRPr="001078FD">
        <w:t xml:space="preserve"> at eac</w:t>
      </w:r>
      <w:r w:rsidR="005E640E">
        <w:t>h site. Providers must develop two</w:t>
      </w:r>
      <w:r w:rsidRPr="001078FD">
        <w:t xml:space="preserve"> SAP</w:t>
      </w:r>
      <w:r w:rsidR="005E640E">
        <w:t>s</w:t>
      </w:r>
      <w:r w:rsidRPr="001078FD">
        <w:t xml:space="preserve"> each school year for Semester 1</w:t>
      </w:r>
      <w:r w:rsidR="005E640E">
        <w:t xml:space="preserve"> (</w:t>
      </w:r>
      <w:r w:rsidR="007431A7">
        <w:t>T</w:t>
      </w:r>
      <w:r w:rsidR="005E640E">
        <w:t>erms 1 and 2) and Semester 2 (</w:t>
      </w:r>
      <w:r w:rsidR="007431A7">
        <w:t>T</w:t>
      </w:r>
      <w:r w:rsidR="005E640E">
        <w:t>erms 3 and 4)</w:t>
      </w:r>
      <w:r w:rsidRPr="001078FD">
        <w:t>. They may change the activities in the Semester 1 Activity Plan, remove activities, or implement new activities, by providing these details in t</w:t>
      </w:r>
      <w:r w:rsidR="005E640E">
        <w:t>he Semester 2 Activity Plan if changes are being made. If no changes are made, Providers will be expected to demonstrate on what basis they judge an activity has been successful.</w:t>
      </w:r>
    </w:p>
    <w:p w14:paraId="70FA77E7" w14:textId="77777777" w:rsidR="005E640E" w:rsidRDefault="005E640E" w:rsidP="001078FD">
      <w:pPr>
        <w:pStyle w:val="BodyText"/>
      </w:pPr>
      <w:r>
        <w:t>SAPs must include details of:</w:t>
      </w:r>
    </w:p>
    <w:p w14:paraId="53D6D79F" w14:textId="77777777" w:rsidR="005E640E" w:rsidRDefault="005E640E" w:rsidP="00670BF7">
      <w:pPr>
        <w:pStyle w:val="BodyText"/>
        <w:numPr>
          <w:ilvl w:val="0"/>
          <w:numId w:val="23"/>
        </w:numPr>
      </w:pPr>
      <w:r>
        <w:t>W</w:t>
      </w:r>
      <w:r w:rsidR="001078FD" w:rsidRPr="001078FD">
        <w:t xml:space="preserve">hat </w:t>
      </w:r>
      <w:r>
        <w:t xml:space="preserve">EEAI </w:t>
      </w:r>
      <w:r w:rsidR="001078FD" w:rsidRPr="001078FD">
        <w:t xml:space="preserve">activities will occur, </w:t>
      </w:r>
    </w:p>
    <w:p w14:paraId="741ACE98" w14:textId="77777777" w:rsidR="005E640E" w:rsidRDefault="005E640E" w:rsidP="00670BF7">
      <w:pPr>
        <w:pStyle w:val="BodyText"/>
        <w:numPr>
          <w:ilvl w:val="0"/>
          <w:numId w:val="23"/>
        </w:numPr>
      </w:pPr>
      <w:r>
        <w:t>W</w:t>
      </w:r>
      <w:r w:rsidR="001078FD" w:rsidRPr="001078FD">
        <w:t xml:space="preserve">hen they will occur, </w:t>
      </w:r>
    </w:p>
    <w:p w14:paraId="43748345" w14:textId="77777777" w:rsidR="005E640E" w:rsidRDefault="005E640E" w:rsidP="00670BF7">
      <w:pPr>
        <w:pStyle w:val="BodyText"/>
        <w:numPr>
          <w:ilvl w:val="0"/>
          <w:numId w:val="23"/>
        </w:numPr>
      </w:pPr>
      <w:r>
        <w:t>W</w:t>
      </w:r>
      <w:r w:rsidR="001078FD" w:rsidRPr="001078FD">
        <w:t>ha</w:t>
      </w:r>
      <w:r>
        <w:t xml:space="preserve">t their expected outcomes are, </w:t>
      </w:r>
    </w:p>
    <w:p w14:paraId="67DCD730" w14:textId="77777777" w:rsidR="005E640E" w:rsidRDefault="005E640E" w:rsidP="00670BF7">
      <w:pPr>
        <w:pStyle w:val="BodyText"/>
        <w:numPr>
          <w:ilvl w:val="0"/>
          <w:numId w:val="23"/>
        </w:numPr>
      </w:pPr>
      <w:r>
        <w:t>H</w:t>
      </w:r>
      <w:r w:rsidR="001078FD" w:rsidRPr="001078FD">
        <w:t xml:space="preserve">ow these outcomes will help improve </w:t>
      </w:r>
      <w:r>
        <w:t xml:space="preserve">education </w:t>
      </w:r>
      <w:r w:rsidR="001078FD" w:rsidRPr="001078FD">
        <w:t>engagement</w:t>
      </w:r>
      <w:r w:rsidR="008758D7">
        <w:t xml:space="preserve"> and/or attainment</w:t>
      </w:r>
      <w:r w:rsidR="001078FD" w:rsidRPr="001078FD">
        <w:t xml:space="preserve">, </w:t>
      </w:r>
    </w:p>
    <w:p w14:paraId="1E384693" w14:textId="77777777" w:rsidR="005E640E" w:rsidRDefault="005E640E" w:rsidP="00670BF7">
      <w:pPr>
        <w:pStyle w:val="BodyText"/>
        <w:numPr>
          <w:ilvl w:val="0"/>
          <w:numId w:val="23"/>
        </w:numPr>
      </w:pPr>
      <w:r>
        <w:t>How the activity will support improved education outcomes,</w:t>
      </w:r>
    </w:p>
    <w:p w14:paraId="6FF82BB9" w14:textId="77777777" w:rsidR="005E640E" w:rsidRDefault="005E640E" w:rsidP="00670BF7">
      <w:pPr>
        <w:pStyle w:val="BodyText"/>
        <w:numPr>
          <w:ilvl w:val="0"/>
          <w:numId w:val="23"/>
        </w:numPr>
      </w:pPr>
      <w:r>
        <w:t>How the Provider involved community members in the design and planning of the activity,</w:t>
      </w:r>
    </w:p>
    <w:p w14:paraId="1EB24C80" w14:textId="77777777" w:rsidR="005E640E" w:rsidRDefault="005E640E" w:rsidP="00670BF7">
      <w:pPr>
        <w:pStyle w:val="BodyText"/>
        <w:numPr>
          <w:ilvl w:val="0"/>
          <w:numId w:val="23"/>
        </w:numPr>
      </w:pPr>
      <w:r>
        <w:t>How community members are involved in the delivery of the activity,</w:t>
      </w:r>
    </w:p>
    <w:p w14:paraId="392D7A61" w14:textId="77777777" w:rsidR="005E640E" w:rsidRDefault="00E93473" w:rsidP="00670BF7">
      <w:pPr>
        <w:pStyle w:val="BodyText"/>
        <w:numPr>
          <w:ilvl w:val="0"/>
          <w:numId w:val="23"/>
        </w:numPr>
      </w:pPr>
      <w:r>
        <w:lastRenderedPageBreak/>
        <w:t>How the P</w:t>
      </w:r>
      <w:r w:rsidR="005E640E">
        <w:t>rovider defines “success” in relation to the activity, and</w:t>
      </w:r>
    </w:p>
    <w:p w14:paraId="20BCB7B4" w14:textId="77777777" w:rsidR="001078FD" w:rsidRDefault="00E93473" w:rsidP="00670BF7">
      <w:pPr>
        <w:pStyle w:val="BodyText"/>
        <w:numPr>
          <w:ilvl w:val="0"/>
          <w:numId w:val="23"/>
        </w:numPr>
      </w:pPr>
      <w:r>
        <w:t>How the P</w:t>
      </w:r>
      <w:r w:rsidR="005E640E">
        <w:t>rovider will monitor and review the activity</w:t>
      </w:r>
      <w:r w:rsidR="00DC58BC">
        <w:t>.</w:t>
      </w:r>
    </w:p>
    <w:p w14:paraId="02E02D6A" w14:textId="77777777" w:rsidR="005E640E" w:rsidRPr="001078FD" w:rsidRDefault="005E640E" w:rsidP="005E640E">
      <w:pPr>
        <w:pStyle w:val="BodyText"/>
      </w:pPr>
      <w:r>
        <w:t>NIAA will provide a template to guide Providers</w:t>
      </w:r>
      <w:r w:rsidR="00DC58BC">
        <w:t xml:space="preserve"> when developing their SAPs.</w:t>
      </w:r>
    </w:p>
    <w:p w14:paraId="6D3AF7BF" w14:textId="77777777" w:rsidR="007A0DE5" w:rsidRDefault="007A0DE5" w:rsidP="005F7AA5">
      <w:pPr>
        <w:pStyle w:val="Heading2"/>
        <w:numPr>
          <w:ilvl w:val="1"/>
          <w:numId w:val="20"/>
        </w:numPr>
      </w:pPr>
      <w:bookmarkStart w:id="43" w:name="_Toc152687570"/>
      <w:bookmarkStart w:id="44" w:name="_Toc153369858"/>
      <w:r>
        <w:t>Reporting</w:t>
      </w:r>
      <w:bookmarkEnd w:id="43"/>
      <w:bookmarkEnd w:id="44"/>
    </w:p>
    <w:p w14:paraId="0A3F5C18" w14:textId="77777777" w:rsidR="007A0DE5" w:rsidRDefault="00741B7F" w:rsidP="00670BF7">
      <w:pPr>
        <w:pStyle w:val="Heading3"/>
        <w:numPr>
          <w:ilvl w:val="2"/>
          <w:numId w:val="20"/>
        </w:numPr>
      </w:pPr>
      <w:bookmarkStart w:id="45" w:name="_Toc152687571"/>
      <w:bookmarkStart w:id="46" w:name="_Toc153369859"/>
      <w:r>
        <w:t>Progress Reports</w:t>
      </w:r>
      <w:bookmarkEnd w:id="45"/>
      <w:bookmarkEnd w:id="46"/>
    </w:p>
    <w:p w14:paraId="3BBCB8F2" w14:textId="77777777" w:rsidR="005E640E" w:rsidRDefault="001078FD" w:rsidP="001078FD">
      <w:pPr>
        <w:pStyle w:val="BodyText"/>
      </w:pPr>
      <w:r>
        <w:t xml:space="preserve">Providers are required to submit progress reports </w:t>
      </w:r>
      <w:r w:rsidR="005E640E">
        <w:t xml:space="preserve">after </w:t>
      </w:r>
      <w:r w:rsidR="007431A7">
        <w:t>S</w:t>
      </w:r>
      <w:r w:rsidR="005E640E">
        <w:t>emester 1 (</w:t>
      </w:r>
      <w:r w:rsidR="007431A7">
        <w:t>T</w:t>
      </w:r>
      <w:r w:rsidR="005E640E">
        <w:t xml:space="preserve">erm 2), and after </w:t>
      </w:r>
      <w:r w:rsidR="007431A7">
        <w:t>S</w:t>
      </w:r>
      <w:r w:rsidR="005E640E">
        <w:t>emester 2 (</w:t>
      </w:r>
      <w:r w:rsidR="007431A7">
        <w:t>T</w:t>
      </w:r>
      <w:r w:rsidR="005E640E">
        <w:t xml:space="preserve">erm 4) </w:t>
      </w:r>
      <w:r>
        <w:t xml:space="preserve">as outlined in the relevant Project Schedule. </w:t>
      </w:r>
      <w:r w:rsidR="00FB4EFC">
        <w:t xml:space="preserve">Each progress report is an opportunity for </w:t>
      </w:r>
      <w:r w:rsidR="008758D7">
        <w:t xml:space="preserve">Providers </w:t>
      </w:r>
      <w:r w:rsidR="00FB4EFC">
        <w:t xml:space="preserve">to describe progress, successes and challenges in their own words for the previous semester. </w:t>
      </w:r>
      <w:r w:rsidR="005E640E">
        <w:t xml:space="preserve">The details required in the </w:t>
      </w:r>
      <w:r w:rsidR="008758D7">
        <w:t xml:space="preserve">Progress Reports </w:t>
      </w:r>
      <w:r w:rsidR="005E640E">
        <w:t>are:</w:t>
      </w:r>
    </w:p>
    <w:p w14:paraId="520FE68B" w14:textId="77777777" w:rsidR="00FB4EFC" w:rsidRDefault="00FB4EFC" w:rsidP="00670BF7">
      <w:pPr>
        <w:pStyle w:val="BodyText"/>
        <w:numPr>
          <w:ilvl w:val="0"/>
          <w:numId w:val="24"/>
        </w:numPr>
      </w:pPr>
      <w:r w:rsidRPr="00FB4EFC">
        <w:t>EEAI activities implemented in the previous semester</w:t>
      </w:r>
      <w:r>
        <w:t>,</w:t>
      </w:r>
    </w:p>
    <w:p w14:paraId="470C390A" w14:textId="77777777" w:rsidR="00FB4EFC" w:rsidRPr="00FB4EFC" w:rsidRDefault="00FB4EFC" w:rsidP="00670BF7">
      <w:pPr>
        <w:pStyle w:val="BodyText"/>
        <w:numPr>
          <w:ilvl w:val="0"/>
          <w:numId w:val="24"/>
        </w:numPr>
      </w:pPr>
      <w:r>
        <w:t>Whether the activity was successful or not,</w:t>
      </w:r>
    </w:p>
    <w:p w14:paraId="3AF5069B" w14:textId="77777777" w:rsidR="001078FD" w:rsidRDefault="00FB4EFC" w:rsidP="00670BF7">
      <w:pPr>
        <w:pStyle w:val="BodyText"/>
        <w:numPr>
          <w:ilvl w:val="0"/>
          <w:numId w:val="24"/>
        </w:numPr>
      </w:pPr>
      <w:r>
        <w:t>What their outcomes were,</w:t>
      </w:r>
    </w:p>
    <w:p w14:paraId="650B3735" w14:textId="77777777" w:rsidR="00FB4EFC" w:rsidRDefault="00FB4EFC" w:rsidP="00670BF7">
      <w:pPr>
        <w:pStyle w:val="BodyText"/>
        <w:numPr>
          <w:ilvl w:val="0"/>
          <w:numId w:val="24"/>
        </w:numPr>
      </w:pPr>
      <w:r>
        <w:t>How they supported improved engagement between First Nations families, parents and carers, and young people with schools,</w:t>
      </w:r>
    </w:p>
    <w:p w14:paraId="7A51D05B" w14:textId="77777777" w:rsidR="00FB4EFC" w:rsidRDefault="00FB4EFC" w:rsidP="00670BF7">
      <w:pPr>
        <w:pStyle w:val="BodyText"/>
        <w:numPr>
          <w:ilvl w:val="0"/>
          <w:numId w:val="24"/>
        </w:numPr>
      </w:pPr>
      <w:r>
        <w:t>How the activities connected to or supported improved education outcomes or achievement in school,</w:t>
      </w:r>
    </w:p>
    <w:p w14:paraId="2FB326AD" w14:textId="77777777" w:rsidR="00FB4EFC" w:rsidRDefault="00FB4EFC" w:rsidP="00670BF7">
      <w:pPr>
        <w:pStyle w:val="BodyText"/>
        <w:numPr>
          <w:ilvl w:val="0"/>
          <w:numId w:val="24"/>
        </w:numPr>
      </w:pPr>
      <w:r>
        <w:t>How community members were involved in the delivery of the activity,</w:t>
      </w:r>
    </w:p>
    <w:p w14:paraId="06DF78D1" w14:textId="77777777" w:rsidR="00FB4EFC" w:rsidRDefault="00FB4EFC" w:rsidP="00670BF7">
      <w:pPr>
        <w:pStyle w:val="BodyText"/>
        <w:numPr>
          <w:ilvl w:val="0"/>
          <w:numId w:val="24"/>
        </w:numPr>
      </w:pPr>
      <w:r w:rsidRPr="00FB4EFC">
        <w:t>Local employment (if any)</w:t>
      </w:r>
      <w:r>
        <w:t>,</w:t>
      </w:r>
    </w:p>
    <w:p w14:paraId="462AA5B8" w14:textId="77777777" w:rsidR="00FB4EFC" w:rsidRDefault="00FB4EFC" w:rsidP="00670BF7">
      <w:pPr>
        <w:pStyle w:val="BodyText"/>
        <w:numPr>
          <w:ilvl w:val="0"/>
          <w:numId w:val="24"/>
        </w:numPr>
      </w:pPr>
      <w:r>
        <w:t>Whether</w:t>
      </w:r>
      <w:r w:rsidR="00E93473">
        <w:t xml:space="preserve"> the P</w:t>
      </w:r>
      <w:r>
        <w:t>rovider will continue to implement the activity next semester, or not, and why,</w:t>
      </w:r>
    </w:p>
    <w:p w14:paraId="6D245BBB" w14:textId="77777777" w:rsidR="001078FD" w:rsidRPr="00FB4EFC" w:rsidRDefault="001078FD" w:rsidP="00670BF7">
      <w:pPr>
        <w:pStyle w:val="BodyText"/>
        <w:numPr>
          <w:ilvl w:val="0"/>
          <w:numId w:val="24"/>
        </w:numPr>
      </w:pPr>
      <w:r w:rsidRPr="00FB4EFC">
        <w:t>Good news stories</w:t>
      </w:r>
      <w:r w:rsidR="00FB4EFC">
        <w:t xml:space="preserve"> and examples of best practice.</w:t>
      </w:r>
    </w:p>
    <w:p w14:paraId="26E0179C" w14:textId="77777777" w:rsidR="001078FD" w:rsidRDefault="00FB4EFC" w:rsidP="001078FD">
      <w:pPr>
        <w:pStyle w:val="BodyText"/>
      </w:pPr>
      <w:r>
        <w:t>NI</w:t>
      </w:r>
      <w:r w:rsidR="00E93473">
        <w:t>AA will provide a template for P</w:t>
      </w:r>
      <w:r>
        <w:t xml:space="preserve">roviders to use when submitting their six-monthly </w:t>
      </w:r>
      <w:r w:rsidR="008758D7">
        <w:t>Progress Reports</w:t>
      </w:r>
      <w:r>
        <w:t>.</w:t>
      </w:r>
    </w:p>
    <w:p w14:paraId="7DF68D1E" w14:textId="77777777" w:rsidR="00FB4EFC" w:rsidRDefault="00FB4EFC" w:rsidP="00670BF7">
      <w:pPr>
        <w:pStyle w:val="Heading3"/>
        <w:numPr>
          <w:ilvl w:val="2"/>
          <w:numId w:val="20"/>
        </w:numPr>
      </w:pPr>
      <w:bookmarkStart w:id="47" w:name="_Toc152687572"/>
      <w:bookmarkStart w:id="48" w:name="_Toc153369860"/>
      <w:r>
        <w:t>KPI Reporting</w:t>
      </w:r>
      <w:bookmarkEnd w:id="47"/>
      <w:bookmarkEnd w:id="48"/>
    </w:p>
    <w:p w14:paraId="7690A2BE" w14:textId="77777777" w:rsidR="00FB4EFC" w:rsidRDefault="00FB4EFC" w:rsidP="00FB4EFC">
      <w:pPr>
        <w:pStyle w:val="BodyText"/>
        <w:rPr>
          <w:szCs w:val="24"/>
        </w:rPr>
      </w:pPr>
      <w:r>
        <w:rPr>
          <w:szCs w:val="24"/>
        </w:rPr>
        <w:t xml:space="preserve">EEAI </w:t>
      </w:r>
      <w:r w:rsidRPr="00EC6FD3">
        <w:rPr>
          <w:szCs w:val="24"/>
        </w:rPr>
        <w:t xml:space="preserve">Providers are </w:t>
      </w:r>
      <w:r>
        <w:rPr>
          <w:szCs w:val="24"/>
        </w:rPr>
        <w:t xml:space="preserve">also </w:t>
      </w:r>
      <w:r w:rsidRPr="00EC6FD3">
        <w:rPr>
          <w:szCs w:val="24"/>
        </w:rPr>
        <w:t xml:space="preserve">required to submit performance reports against IAS Key Performance Indicators (KPIs) as outlined in the relevant Project Schedule. This is a separate report to the </w:t>
      </w:r>
      <w:r w:rsidR="008758D7">
        <w:rPr>
          <w:szCs w:val="24"/>
        </w:rPr>
        <w:t>EEAI</w:t>
      </w:r>
      <w:r w:rsidR="008758D7" w:rsidRPr="00EC6FD3">
        <w:rPr>
          <w:szCs w:val="24"/>
        </w:rPr>
        <w:t xml:space="preserve"> </w:t>
      </w:r>
      <w:r w:rsidRPr="00EC6FD3">
        <w:rPr>
          <w:szCs w:val="24"/>
        </w:rPr>
        <w:t>Progress</w:t>
      </w:r>
      <w:r>
        <w:rPr>
          <w:szCs w:val="24"/>
        </w:rPr>
        <w:t xml:space="preserve"> </w:t>
      </w:r>
      <w:r w:rsidR="00741B7F">
        <w:rPr>
          <w:szCs w:val="24"/>
        </w:rPr>
        <w:t>R</w:t>
      </w:r>
      <w:r>
        <w:rPr>
          <w:szCs w:val="24"/>
        </w:rPr>
        <w:t xml:space="preserve">eport detailed above. Please </w:t>
      </w:r>
      <w:r w:rsidRPr="00EC6FD3">
        <w:rPr>
          <w:szCs w:val="24"/>
        </w:rPr>
        <w:t xml:space="preserve">speak to your NIAA contact to obtain more details about KPI reporting. </w:t>
      </w:r>
    </w:p>
    <w:p w14:paraId="25C05420" w14:textId="77777777" w:rsidR="00934439" w:rsidRDefault="00934439" w:rsidP="005F7AA5">
      <w:pPr>
        <w:pStyle w:val="Heading2"/>
        <w:numPr>
          <w:ilvl w:val="1"/>
          <w:numId w:val="20"/>
        </w:numPr>
      </w:pPr>
      <w:bookmarkStart w:id="49" w:name="_Toc152687573"/>
      <w:bookmarkStart w:id="50" w:name="_Toc153369861"/>
      <w:r>
        <w:t>EEAI design and delivery considerations</w:t>
      </w:r>
      <w:bookmarkEnd w:id="49"/>
      <w:bookmarkEnd w:id="50"/>
    </w:p>
    <w:p w14:paraId="5E682843" w14:textId="77777777" w:rsidR="00934439" w:rsidRDefault="00934439" w:rsidP="00934439">
      <w:pPr>
        <w:pStyle w:val="Heading3"/>
        <w:numPr>
          <w:ilvl w:val="2"/>
          <w:numId w:val="20"/>
        </w:numPr>
      </w:pPr>
      <w:bookmarkStart w:id="51" w:name="_Toc152687574"/>
      <w:bookmarkStart w:id="52" w:name="_Toc153369862"/>
      <w:r>
        <w:t>Inside the school gate, outside the school gate</w:t>
      </w:r>
      <w:bookmarkEnd w:id="51"/>
      <w:bookmarkEnd w:id="52"/>
    </w:p>
    <w:p w14:paraId="5CDD8DF8" w14:textId="77777777" w:rsidR="00934439" w:rsidRDefault="008E77BB" w:rsidP="00934439">
      <w:pPr>
        <w:pStyle w:val="BodyText"/>
      </w:pPr>
      <w:r>
        <w:t>EEAI activities can be delivered on school premises or in the community. There is no distinction from a program perspective whether activities happen on school grounds or not. Providers should focus on what communities suggest will have a likely impact, then consider where the approach should be implemented for best outcomes.</w:t>
      </w:r>
    </w:p>
    <w:p w14:paraId="3A9C580F" w14:textId="77777777" w:rsidR="008E77BB" w:rsidRDefault="00DC58BC" w:rsidP="00934439">
      <w:pPr>
        <w:pStyle w:val="BodyText"/>
      </w:pPr>
      <w:r>
        <w:lastRenderedPageBreak/>
        <w:t>Permission from the school principal is absolutely essential for services</w:t>
      </w:r>
      <w:r w:rsidR="008E77BB">
        <w:t xml:space="preserve"> implemented on school grounds, or that occur anywhere </w:t>
      </w:r>
      <w:r>
        <w:t>else that involve school staff</w:t>
      </w:r>
      <w:r w:rsidR="008E77BB">
        <w:t xml:space="preserve">. Providers should seek opportunities </w:t>
      </w:r>
      <w:r>
        <w:t>whenever possible</w:t>
      </w:r>
      <w:r w:rsidR="008E77BB">
        <w:t xml:space="preserve"> to establish relationships with school principals and develop ideas collaboratively </w:t>
      </w:r>
      <w:r>
        <w:t xml:space="preserve">– particularly </w:t>
      </w:r>
      <w:r w:rsidR="008E77BB">
        <w:t>if they involve delivery on school grounds, with school st</w:t>
      </w:r>
      <w:r>
        <w:t xml:space="preserve">aff, or using school resources. </w:t>
      </w:r>
      <w:r w:rsidR="008E77BB">
        <w:t xml:space="preserve">Similarly, Providers should ensure their planned activities do not place an unexpected or onerous burden on school staff, teachers or resources. </w:t>
      </w:r>
    </w:p>
    <w:p w14:paraId="1AEAFFAF" w14:textId="77777777" w:rsidR="00934439" w:rsidRDefault="00193801" w:rsidP="00934439">
      <w:pPr>
        <w:pStyle w:val="Heading3"/>
        <w:numPr>
          <w:ilvl w:val="2"/>
          <w:numId w:val="20"/>
        </w:numPr>
      </w:pPr>
      <w:bookmarkStart w:id="53" w:name="_Toc152687575"/>
      <w:bookmarkStart w:id="54" w:name="_Toc153369863"/>
      <w:r>
        <w:t>Highly disengaged young people</w:t>
      </w:r>
      <w:bookmarkEnd w:id="53"/>
      <w:bookmarkEnd w:id="54"/>
    </w:p>
    <w:p w14:paraId="445F93F2" w14:textId="77777777" w:rsidR="00934439" w:rsidRDefault="008E77BB" w:rsidP="00934439">
      <w:pPr>
        <w:pStyle w:val="BodyText"/>
      </w:pPr>
      <w:r>
        <w:t xml:space="preserve">This operational framework often refers to “young people” or “young First Nations people” rather than “students”. This is because EEAI activities are not limited to targeting or supporting young people enrolled at school, nor are they limited to supporting young people in the immediate context of going to school or engaging in classroom activities. </w:t>
      </w:r>
    </w:p>
    <w:p w14:paraId="21BB8DAC" w14:textId="77777777" w:rsidR="008E77BB" w:rsidRDefault="00193801" w:rsidP="00934439">
      <w:pPr>
        <w:pStyle w:val="BodyText"/>
      </w:pPr>
      <w:r>
        <w:t>M</w:t>
      </w:r>
      <w:r w:rsidR="008E77BB">
        <w:t>any young First Nations people are disengaged from education to varying extents</w:t>
      </w:r>
      <w:r>
        <w:t>, and for many reasons</w:t>
      </w:r>
      <w:r w:rsidR="008E77BB">
        <w:t>. It is</w:t>
      </w:r>
      <w:r>
        <w:t xml:space="preserve"> therefore</w:t>
      </w:r>
      <w:r w:rsidR="008E77BB">
        <w:t xml:space="preserve"> </w:t>
      </w:r>
      <w:r w:rsidR="00085AE0">
        <w:t>appropriate</w:t>
      </w:r>
      <w:r w:rsidR="008E77BB">
        <w:t xml:space="preserve"> for EEAI activities t</w:t>
      </w:r>
      <w:r>
        <w:t>o target these young people to improve their engagement with school, and help address barriers preventing their engagement.</w:t>
      </w:r>
    </w:p>
    <w:p w14:paraId="3336C265" w14:textId="77777777" w:rsidR="00F6025C" w:rsidRDefault="00193801" w:rsidP="00934439">
      <w:pPr>
        <w:pStyle w:val="BodyText"/>
      </w:pPr>
      <w:r>
        <w:t xml:space="preserve">Providers should be careful not to plan any activity that targets highly disengaged young people, and seeks to re-establish regular attendance and participation at school, without also ensuring schools are also committed and resourced to supporting the re-engagement of highly disengaged young people. Providers should also consider how schools can be supported to engage young people who have not attended school or participated in classroom activities for a long time. EEAI Providers </w:t>
      </w:r>
      <w:r w:rsidR="005257C3">
        <w:t>may</w:t>
      </w:r>
      <w:r>
        <w:t xml:space="preserve"> consider utilising program funds and resources to do this. Providers should also encourage co</w:t>
      </w:r>
      <w:r w:rsidR="00E93473">
        <w:t>llaboration with other service P</w:t>
      </w:r>
      <w:r>
        <w:t>roviders to support schools. Re-engaging highly disengaged young people is often incredibly challenging and will likely require coordinated ac</w:t>
      </w:r>
      <w:r w:rsidR="00E93473">
        <w:t>tion across a range of service P</w:t>
      </w:r>
      <w:r>
        <w:t xml:space="preserve">roviders, not just the school and the EEAI Provider. </w:t>
      </w:r>
    </w:p>
    <w:p w14:paraId="56CC7E66" w14:textId="77777777" w:rsidR="00934439" w:rsidRDefault="00934439" w:rsidP="00934439">
      <w:pPr>
        <w:pStyle w:val="Heading3"/>
        <w:numPr>
          <w:ilvl w:val="2"/>
          <w:numId w:val="20"/>
        </w:numPr>
      </w:pPr>
      <w:bookmarkStart w:id="55" w:name="_Toc152687576"/>
      <w:bookmarkStart w:id="56" w:name="_Toc153369864"/>
      <w:r>
        <w:t>Families, parents and carers</w:t>
      </w:r>
      <w:bookmarkEnd w:id="55"/>
      <w:bookmarkEnd w:id="56"/>
    </w:p>
    <w:p w14:paraId="7E19E37F" w14:textId="77777777" w:rsidR="00934439" w:rsidRDefault="00F6025C" w:rsidP="00934439">
      <w:pPr>
        <w:pStyle w:val="BodyText"/>
      </w:pPr>
      <w:r>
        <w:t>Although EEAI activities ultimately aim to support improved education outcomes, this does not necessarily mean they must always target or support students or other young First Nations people. Families, parents and carers play an important role in ensuring young people are ready for school and supported to participate at school.</w:t>
      </w:r>
      <w:r w:rsidR="00A860C8">
        <w:t xml:space="preserve"> Activities that support families, parents and carers to support young people to participate in schooling in turn can therefore be supported via EEAI activities. </w:t>
      </w:r>
    </w:p>
    <w:p w14:paraId="4239742D" w14:textId="77777777" w:rsidR="00934439" w:rsidRPr="00934439" w:rsidRDefault="00934439" w:rsidP="00934439">
      <w:pPr>
        <w:pStyle w:val="Heading3"/>
        <w:numPr>
          <w:ilvl w:val="2"/>
          <w:numId w:val="20"/>
        </w:numPr>
      </w:pPr>
      <w:bookmarkStart w:id="57" w:name="_Toc152687577"/>
      <w:bookmarkStart w:id="58" w:name="_Toc153369865"/>
      <w:r>
        <w:t>Transport services (bus runs)</w:t>
      </w:r>
      <w:bookmarkEnd w:id="57"/>
      <w:bookmarkEnd w:id="58"/>
    </w:p>
    <w:p w14:paraId="312AB1B3" w14:textId="77777777" w:rsidR="00934439" w:rsidRDefault="00934439" w:rsidP="00934439">
      <w:pPr>
        <w:pStyle w:val="BodyText"/>
      </w:pPr>
      <w:r>
        <w:t>Providers should reconsider the need to provide a transport service i.e. daily bus runs, and regularly assess whether they are required. Providing transport to schools for students is typically a service provided by states and territories in many non-remote settings. Purchasing, maintaining or leasing vehicles is an expensive commitment that requires sound asset management and administration capability, and diverts funds from other possible uses.</w:t>
      </w:r>
    </w:p>
    <w:p w14:paraId="4DEFE137" w14:textId="77777777" w:rsidR="00934439" w:rsidRDefault="00934439" w:rsidP="00934439">
      <w:pPr>
        <w:pStyle w:val="BodyText"/>
      </w:pPr>
      <w:r>
        <w:t>When reconsidering the</w:t>
      </w:r>
      <w:r w:rsidR="00E93473">
        <w:t xml:space="preserve"> need for a transport service, P</w:t>
      </w:r>
      <w:r>
        <w:t>roviders should ask:</w:t>
      </w:r>
    </w:p>
    <w:p w14:paraId="069FD5DF" w14:textId="77777777" w:rsidR="00934439" w:rsidRDefault="00934439" w:rsidP="00934439">
      <w:pPr>
        <w:pStyle w:val="BodyText"/>
        <w:numPr>
          <w:ilvl w:val="0"/>
          <w:numId w:val="21"/>
        </w:numPr>
      </w:pPr>
      <w:r w:rsidRPr="00E26C4B">
        <w:rPr>
          <w:i/>
        </w:rPr>
        <w:t>Is the transport service being provided to students who could otherwise walk to school?</w:t>
      </w:r>
      <w:r w:rsidR="00E93473">
        <w:t xml:space="preserve"> If yes, the P</w:t>
      </w:r>
      <w:r>
        <w:t>rovider should reconsider the need for the transport service. When</w:t>
      </w:r>
      <w:r w:rsidR="00E93473">
        <w:t xml:space="preserve"> considering this, P</w:t>
      </w:r>
      <w:r>
        <w:t xml:space="preserve">roviders could determine if students regularly walk to other services, facilities or activities in community. If students or </w:t>
      </w:r>
      <w:r>
        <w:lastRenderedPageBreak/>
        <w:t>student-age First Nations people regularly walk to the shop, sporting events, or services, and the distance is roughly equivalent to the distance to school, this suggests a transport service may not be required.</w:t>
      </w:r>
    </w:p>
    <w:p w14:paraId="3CDC8C27" w14:textId="77777777" w:rsidR="00934439" w:rsidRPr="00E26C4B" w:rsidRDefault="00934439" w:rsidP="00934439">
      <w:pPr>
        <w:pStyle w:val="BodyText"/>
        <w:numPr>
          <w:ilvl w:val="0"/>
          <w:numId w:val="21"/>
        </w:numPr>
        <w:rPr>
          <w:i/>
        </w:rPr>
      </w:pPr>
      <w:r w:rsidRPr="00E26C4B">
        <w:rPr>
          <w:i/>
        </w:rPr>
        <w:t xml:space="preserve">Is there another transport service operating in community? </w:t>
      </w:r>
      <w:r>
        <w:t xml:space="preserve">If so, is there a need for an EEAI activity to provide one? </w:t>
      </w:r>
    </w:p>
    <w:p w14:paraId="73F97A39" w14:textId="77777777" w:rsidR="00934439" w:rsidRPr="003255DA" w:rsidRDefault="00934439" w:rsidP="00934439">
      <w:pPr>
        <w:pStyle w:val="BodyText"/>
        <w:numPr>
          <w:ilvl w:val="0"/>
          <w:numId w:val="21"/>
        </w:numPr>
        <w:rPr>
          <w:i/>
        </w:rPr>
      </w:pPr>
      <w:r>
        <w:rPr>
          <w:i/>
        </w:rPr>
        <w:t xml:space="preserve">Are there community-specific factors that may no longer apply? </w:t>
      </w:r>
      <w:r w:rsidR="00E93473">
        <w:t>For example a P</w:t>
      </w:r>
      <w:r w:rsidRPr="00E26C4B">
        <w:t xml:space="preserve">rovider could reconsider the need for a transport service in the dry season, when the heat is </w:t>
      </w:r>
      <w:r>
        <w:t>less</w:t>
      </w:r>
      <w:r w:rsidRPr="00E26C4B">
        <w:t xml:space="preserve"> intense or heavy rainfall </w:t>
      </w:r>
      <w:r>
        <w:t>does not occur</w:t>
      </w:r>
      <w:r w:rsidRPr="00E26C4B">
        <w:t>.</w:t>
      </w:r>
      <w:r>
        <w:rPr>
          <w:i/>
        </w:rPr>
        <w:t xml:space="preserve"> </w:t>
      </w:r>
      <w:r>
        <w:t xml:space="preserve">Or, if a bus service was provided to help young people get to school without being bothered by cheeky dogs, but an effective animal management program has been implemented </w:t>
      </w:r>
      <w:r w:rsidR="00E93473">
        <w:t>in the meantime, a P</w:t>
      </w:r>
      <w:r>
        <w:t>rovider could reconsider the need for the service.</w:t>
      </w:r>
    </w:p>
    <w:p w14:paraId="44D2D68A" w14:textId="77777777" w:rsidR="00934439" w:rsidRPr="003255DA" w:rsidRDefault="00934439" w:rsidP="00934439">
      <w:pPr>
        <w:pStyle w:val="BodyText"/>
        <w:numPr>
          <w:ilvl w:val="0"/>
          <w:numId w:val="21"/>
        </w:numPr>
        <w:rPr>
          <w:i/>
        </w:rPr>
      </w:pPr>
      <w:r>
        <w:rPr>
          <w:i/>
        </w:rPr>
        <w:t xml:space="preserve">Is a transport service essential to improved education outcomes in the short, medium or long term? </w:t>
      </w:r>
      <w:r>
        <w:t xml:space="preserve">In other words, does a transport service genuinely foster a sense of engagement and improved relationships between students with schools that is likely to lead to improved learning and greater classroom achievement, or does it merely get them to the school gate? </w:t>
      </w:r>
    </w:p>
    <w:p w14:paraId="677D5375" w14:textId="77777777" w:rsidR="00934439" w:rsidRDefault="00E93473" w:rsidP="00466AD5">
      <w:pPr>
        <w:pStyle w:val="BodyText"/>
      </w:pPr>
      <w:r>
        <w:t>While NIAA encourages P</w:t>
      </w:r>
      <w:r w:rsidR="00934439">
        <w:t xml:space="preserve">roviders to reconsider the need for transport services, it also acknowledges communities often value bus runs, and the bus environment can provide an opportunity </w:t>
      </w:r>
      <w:r w:rsidR="00F37C92">
        <w:t>for</w:t>
      </w:r>
      <w:r>
        <w:t xml:space="preserve"> P</w:t>
      </w:r>
      <w:r w:rsidR="00934439">
        <w:t xml:space="preserve">roviders to engage with young First Nations people and their families, or meet a need not met by any other service. </w:t>
      </w:r>
      <w:r w:rsidR="00F37C92">
        <w:t>For clarity</w:t>
      </w:r>
      <w:r w:rsidR="00934439">
        <w:t xml:space="preserve"> – the above considerations do not require </w:t>
      </w:r>
      <w:r w:rsidR="00D23BB5">
        <w:t xml:space="preserve">Providers </w:t>
      </w:r>
      <w:r w:rsidR="00934439">
        <w:t>to</w:t>
      </w:r>
      <w:r w:rsidR="00D23BB5">
        <w:t xml:space="preserve"> end</w:t>
      </w:r>
      <w:r w:rsidR="00934439">
        <w:t xml:space="preserve"> transport services. However </w:t>
      </w:r>
      <w:r w:rsidR="00F37C92">
        <w:t xml:space="preserve">Providers </w:t>
      </w:r>
      <w:r w:rsidR="00934439">
        <w:t>should regularly assess the need for such a service and be prepared to demonstrate why it is required if requested</w:t>
      </w:r>
      <w:r w:rsidR="0056232E">
        <w:t xml:space="preserve"> by NIAA</w:t>
      </w:r>
      <w:r w:rsidR="00934439">
        <w:t>.</w:t>
      </w:r>
    </w:p>
    <w:p w14:paraId="4DF79BDA" w14:textId="77777777" w:rsidR="00934439" w:rsidRPr="00934439" w:rsidRDefault="00934439" w:rsidP="00934439">
      <w:pPr>
        <w:pStyle w:val="BodyText"/>
      </w:pPr>
    </w:p>
    <w:p w14:paraId="2F22C6B3" w14:textId="77777777" w:rsidR="00934439" w:rsidRPr="00934439" w:rsidRDefault="00934439" w:rsidP="00934439">
      <w:pPr>
        <w:pStyle w:val="BodyText"/>
      </w:pPr>
    </w:p>
    <w:p w14:paraId="642D85F6" w14:textId="77777777" w:rsidR="00934439" w:rsidRDefault="001F62B5" w:rsidP="001F62B5">
      <w:pPr>
        <w:pStyle w:val="Heading1"/>
      </w:pPr>
      <w:bookmarkStart w:id="59" w:name="_Toc152687578"/>
      <w:bookmarkStart w:id="60" w:name="_Toc153369866"/>
      <w:r>
        <w:lastRenderedPageBreak/>
        <w:t>Appendix A: the EEAI Service Menu</w:t>
      </w:r>
      <w:bookmarkEnd w:id="59"/>
      <w:bookmarkEnd w:id="60"/>
    </w:p>
    <w:p w14:paraId="41790C67" w14:textId="77777777" w:rsidR="001F62B5" w:rsidRDefault="001F62B5" w:rsidP="005F7AA5">
      <w:pPr>
        <w:pStyle w:val="Heading2"/>
        <w:numPr>
          <w:ilvl w:val="0"/>
          <w:numId w:val="0"/>
        </w:numPr>
      </w:pPr>
      <w:bookmarkStart w:id="61" w:name="_Toc152687579"/>
      <w:bookmarkStart w:id="62" w:name="_Toc153369867"/>
      <w:r w:rsidRPr="005F7AA5">
        <w:t>Overview</w:t>
      </w:r>
      <w:r>
        <w:t xml:space="preserve"> of the Service Menu items</w:t>
      </w:r>
      <w:bookmarkEnd w:id="61"/>
      <w:bookmarkEnd w:id="62"/>
    </w:p>
    <w:p w14:paraId="5BDDA3AF" w14:textId="77777777" w:rsidR="001F62B5" w:rsidRDefault="001F62B5" w:rsidP="001F62B5">
      <w:pPr>
        <w:pStyle w:val="BodyText"/>
      </w:pPr>
      <w:r>
        <w:t>The Service Menu items are:</w:t>
      </w:r>
    </w:p>
    <w:p w14:paraId="60DD495D" w14:textId="77777777" w:rsidR="001F62B5" w:rsidRPr="00917B71" w:rsidRDefault="001F62B5" w:rsidP="001F62B5">
      <w:pPr>
        <w:pStyle w:val="BulletedListlvl1"/>
        <w:spacing w:before="0" w:line="240" w:lineRule="auto"/>
        <w:ind w:left="567" w:hanging="283"/>
        <w:contextualSpacing w:val="0"/>
      </w:pPr>
      <w:r w:rsidRPr="00917B71">
        <w:t>Specialist Staff</w:t>
      </w:r>
    </w:p>
    <w:p w14:paraId="245457FE" w14:textId="77777777" w:rsidR="001F62B5" w:rsidRPr="00917B71" w:rsidRDefault="001F62B5" w:rsidP="001F62B5">
      <w:pPr>
        <w:pStyle w:val="BulletedListlvl1"/>
        <w:spacing w:before="0" w:line="240" w:lineRule="auto"/>
        <w:ind w:left="567" w:hanging="283"/>
        <w:contextualSpacing w:val="0"/>
      </w:pPr>
      <w:r w:rsidRPr="00917B71">
        <w:t>Youth and Community Summits</w:t>
      </w:r>
    </w:p>
    <w:p w14:paraId="52C071A1" w14:textId="77777777" w:rsidR="001F62B5" w:rsidRDefault="001F62B5" w:rsidP="001F62B5">
      <w:pPr>
        <w:pStyle w:val="BulletedListlvl1"/>
        <w:spacing w:before="0" w:line="240" w:lineRule="auto"/>
        <w:ind w:left="567" w:hanging="283"/>
        <w:contextualSpacing w:val="0"/>
      </w:pPr>
      <w:r>
        <w:t>Culture and Language Projects</w:t>
      </w:r>
    </w:p>
    <w:p w14:paraId="3BD41CD5" w14:textId="77777777" w:rsidR="001F62B5" w:rsidRDefault="001F62B5" w:rsidP="001F62B5">
      <w:pPr>
        <w:pStyle w:val="BulletedListlvl1"/>
        <w:spacing w:before="0" w:line="240" w:lineRule="auto"/>
        <w:ind w:left="567" w:hanging="283"/>
        <w:contextualSpacing w:val="0"/>
      </w:pPr>
      <w:r>
        <w:t>School Support</w:t>
      </w:r>
    </w:p>
    <w:p w14:paraId="5362EE12" w14:textId="77777777" w:rsidR="001F62B5" w:rsidRDefault="001F62B5" w:rsidP="001F62B5">
      <w:pPr>
        <w:pStyle w:val="BulletedListlvl1"/>
        <w:spacing w:before="0" w:line="240" w:lineRule="auto"/>
        <w:ind w:left="567" w:hanging="283"/>
        <w:contextualSpacing w:val="0"/>
      </w:pPr>
      <w:r>
        <w:t>Mentoring</w:t>
      </w:r>
    </w:p>
    <w:p w14:paraId="15540873" w14:textId="77777777" w:rsidR="005757C9" w:rsidRDefault="005757C9" w:rsidP="005757C9">
      <w:pPr>
        <w:pStyle w:val="BulletedListlvl1"/>
        <w:spacing w:before="0" w:line="240" w:lineRule="auto"/>
        <w:ind w:left="567" w:hanging="283"/>
        <w:contextualSpacing w:val="0"/>
      </w:pPr>
      <w:r>
        <w:t xml:space="preserve">Communications </w:t>
      </w:r>
    </w:p>
    <w:p w14:paraId="53D4EA6F" w14:textId="77777777" w:rsidR="001F62B5" w:rsidRDefault="001F62B5" w:rsidP="005757C9">
      <w:pPr>
        <w:pStyle w:val="BulletedListlvl1"/>
        <w:spacing w:before="0" w:line="240" w:lineRule="auto"/>
        <w:ind w:left="567" w:hanging="283"/>
        <w:contextualSpacing w:val="0"/>
      </w:pPr>
      <w:r>
        <w:t>Family Engagement</w:t>
      </w:r>
    </w:p>
    <w:p w14:paraId="2A32892E" w14:textId="77777777" w:rsidR="001F62B5" w:rsidRDefault="001F62B5" w:rsidP="001F62B5">
      <w:pPr>
        <w:pStyle w:val="BulletedListlvl1"/>
        <w:spacing w:before="0" w:line="240" w:lineRule="auto"/>
        <w:ind w:left="567" w:hanging="283"/>
        <w:contextualSpacing w:val="0"/>
      </w:pPr>
      <w:r>
        <w:t>Youth Engagement</w:t>
      </w:r>
    </w:p>
    <w:p w14:paraId="6FC56FEB" w14:textId="77777777" w:rsidR="001F62B5" w:rsidRDefault="001F62B5" w:rsidP="001F62B5">
      <w:pPr>
        <w:pStyle w:val="BulletedListlvl1"/>
        <w:spacing w:before="0" w:line="240" w:lineRule="auto"/>
        <w:ind w:left="567" w:hanging="283"/>
        <w:contextualSpacing w:val="0"/>
      </w:pPr>
      <w:r>
        <w:t>Early Childhood</w:t>
      </w:r>
    </w:p>
    <w:p w14:paraId="04636BC8" w14:textId="77777777" w:rsidR="001F62B5" w:rsidRDefault="001F62B5" w:rsidP="001F62B5">
      <w:pPr>
        <w:pStyle w:val="BulletedListlvl1"/>
        <w:spacing w:before="0" w:line="240" w:lineRule="auto"/>
        <w:ind w:left="567" w:hanging="283"/>
        <w:contextualSpacing w:val="0"/>
      </w:pPr>
      <w:r>
        <w:t>Transition Support</w:t>
      </w:r>
    </w:p>
    <w:p w14:paraId="752A9039" w14:textId="77777777" w:rsidR="001F62B5" w:rsidRDefault="001F62B5" w:rsidP="001F62B5">
      <w:pPr>
        <w:pStyle w:val="BulletedListlvl1"/>
        <w:spacing w:before="0" w:line="240" w:lineRule="auto"/>
        <w:ind w:left="567" w:hanging="283"/>
        <w:contextualSpacing w:val="0"/>
      </w:pPr>
      <w:r>
        <w:t>Targeted Girls and/or Boys Activities</w:t>
      </w:r>
    </w:p>
    <w:p w14:paraId="7CEBE03A" w14:textId="77777777" w:rsidR="001F62B5" w:rsidRDefault="001F62B5" w:rsidP="001F62B5">
      <w:pPr>
        <w:pStyle w:val="BulletedListlvl1"/>
        <w:spacing w:before="0" w:line="240" w:lineRule="auto"/>
        <w:ind w:left="567" w:hanging="283"/>
        <w:contextualSpacing w:val="0"/>
      </w:pPr>
      <w:r>
        <w:t>Enrolment Strategy</w:t>
      </w:r>
    </w:p>
    <w:p w14:paraId="0006054A" w14:textId="77777777" w:rsidR="001F62B5" w:rsidRDefault="001F62B5" w:rsidP="001F62B5">
      <w:pPr>
        <w:pStyle w:val="BulletedListlvl1"/>
        <w:spacing w:before="0" w:line="240" w:lineRule="auto"/>
        <w:ind w:left="567" w:hanging="283"/>
        <w:contextualSpacing w:val="0"/>
      </w:pPr>
      <w:r>
        <w:t>Mobility Strategy</w:t>
      </w:r>
    </w:p>
    <w:p w14:paraId="020590DF" w14:textId="77777777" w:rsidR="001F62B5" w:rsidRDefault="001F62B5" w:rsidP="001F62B5">
      <w:pPr>
        <w:pStyle w:val="BulletedListlvl1"/>
        <w:spacing w:before="0" w:line="240" w:lineRule="auto"/>
        <w:ind w:left="567" w:hanging="283"/>
        <w:contextualSpacing w:val="0"/>
      </w:pPr>
      <w:r>
        <w:t>Boarding School Support</w:t>
      </w:r>
    </w:p>
    <w:p w14:paraId="2A937C34" w14:textId="77777777" w:rsidR="005757C9" w:rsidRPr="00917B71" w:rsidRDefault="005757C9" w:rsidP="005757C9">
      <w:pPr>
        <w:pStyle w:val="BulletedListlvl1"/>
        <w:spacing w:before="0" w:line="240" w:lineRule="auto"/>
        <w:ind w:left="567" w:hanging="283"/>
        <w:contextualSpacing w:val="0"/>
      </w:pPr>
      <w:r w:rsidRPr="00917B71">
        <w:t>Community Events</w:t>
      </w:r>
    </w:p>
    <w:p w14:paraId="77109911" w14:textId="77777777" w:rsidR="005757C9" w:rsidRDefault="005757C9" w:rsidP="005757C9">
      <w:pPr>
        <w:pStyle w:val="BulletedListlvl1"/>
        <w:spacing w:before="0" w:line="240" w:lineRule="auto"/>
        <w:ind w:left="567" w:hanging="283"/>
        <w:contextualSpacing w:val="0"/>
      </w:pPr>
      <w:r>
        <w:t>Breakfast and/or Lunch Programs</w:t>
      </w:r>
    </w:p>
    <w:p w14:paraId="52CD286C" w14:textId="77777777" w:rsidR="001F62B5" w:rsidRDefault="005757C9" w:rsidP="005757C9">
      <w:pPr>
        <w:pStyle w:val="BulletedListlvl1"/>
        <w:spacing w:before="0" w:line="240" w:lineRule="auto"/>
        <w:ind w:left="567" w:hanging="283"/>
        <w:contextualSpacing w:val="0"/>
      </w:pPr>
      <w:r>
        <w:t>Rewards and Recognition</w:t>
      </w:r>
    </w:p>
    <w:p w14:paraId="23948BD5" w14:textId="77777777" w:rsidR="001F62B5" w:rsidRDefault="001F62B5" w:rsidP="001F62B5">
      <w:pPr>
        <w:pStyle w:val="BulletedListlvl1"/>
        <w:numPr>
          <w:ilvl w:val="0"/>
          <w:numId w:val="0"/>
        </w:numPr>
        <w:spacing w:before="0" w:line="240" w:lineRule="auto"/>
        <w:contextualSpacing w:val="0"/>
      </w:pPr>
    </w:p>
    <w:p w14:paraId="14C520A1" w14:textId="77777777" w:rsidR="001F62B5" w:rsidRDefault="001F62B5" w:rsidP="001F62B5">
      <w:pPr>
        <w:pStyle w:val="BodyText"/>
      </w:pPr>
      <w:r>
        <w:t xml:space="preserve">Providers are not required to use or refer to the Service Menu items when designing their local EEAIs, </w:t>
      </w:r>
      <w:r w:rsidR="00E93473">
        <w:t xml:space="preserve">and are encouraged to be innovative when proposing and designing local activities. They may </w:t>
      </w:r>
      <w:r>
        <w:t>however wish to ref</w:t>
      </w:r>
      <w:r w:rsidR="00E93473">
        <w:t>er to the Service Menu</w:t>
      </w:r>
      <w:r>
        <w:t xml:space="preserve"> for ideas for implementation. When using the Service Menu, Providers should use the items as the starting point for consultation with communities, schools and other stakeholders. Providers should not treat the Service Menu as a set of deliverable services that can be automatically implemented in each community without regard for local context, the views or ideas of communities, or other services being delivered. Providers should adhere to the principles set out in section 2.2 of the EEAI Operational Framework when considering, discussing and designing any local EEAI activity including any services derived from the Service Menu.</w:t>
      </w:r>
      <w:r w:rsidR="005757C9">
        <w:t xml:space="preserve"> </w:t>
      </w:r>
      <w:r w:rsidR="002A1088">
        <w:t>Finally, when developing Service Menu items, Providers should aim to deliver</w:t>
      </w:r>
      <w:r w:rsidR="005757C9">
        <w:t xml:space="preserve"> fewer, more effective services rather than a greater number </w:t>
      </w:r>
      <w:r w:rsidR="00D23BB5">
        <w:t xml:space="preserve">of services </w:t>
      </w:r>
      <w:r w:rsidR="005757C9">
        <w:t>that sp</w:t>
      </w:r>
      <w:r w:rsidR="002A1088">
        <w:t xml:space="preserve">reads resources thinly i.e. Providers should aim for </w:t>
      </w:r>
      <w:r w:rsidR="005757C9">
        <w:t>quality over quantity.</w:t>
      </w:r>
    </w:p>
    <w:p w14:paraId="69818771" w14:textId="77777777" w:rsidR="001F62B5" w:rsidRDefault="001F62B5" w:rsidP="005F7AA5">
      <w:pPr>
        <w:pStyle w:val="Heading2"/>
        <w:numPr>
          <w:ilvl w:val="0"/>
          <w:numId w:val="0"/>
        </w:numPr>
      </w:pPr>
      <w:bookmarkStart w:id="63" w:name="_Toc152687580"/>
      <w:bookmarkStart w:id="64" w:name="_Toc153369868"/>
      <w:r>
        <w:t>Specialist Staff</w:t>
      </w:r>
      <w:bookmarkEnd w:id="63"/>
      <w:bookmarkEnd w:id="64"/>
    </w:p>
    <w:p w14:paraId="2935FAC8" w14:textId="77777777" w:rsidR="00400026" w:rsidRPr="005757C9" w:rsidRDefault="006F7B19" w:rsidP="005757C9">
      <w:pPr>
        <w:pStyle w:val="BodyText"/>
      </w:pPr>
      <w:r w:rsidRPr="005757C9">
        <w:t xml:space="preserve">This refers to engaging or employing people in specialised positions to </w:t>
      </w:r>
      <w:r w:rsidR="00400026" w:rsidRPr="005757C9">
        <w:t>deliver targeted and specialist services that support families and students. They could employ a range of different specialist staff, including but not limited to social workers, case managers, trauma specialists, counsellors, trainers/educators, or facilitators. Depending on community need, specialist staff can be employed on a full or part time basis, or they could be employed to deliver a targeted and time-limited program or project. Examples of services that could be delivered include, but are not limited to:</w:t>
      </w:r>
    </w:p>
    <w:p w14:paraId="16E28062" w14:textId="77777777" w:rsidR="00400026" w:rsidRDefault="00400026" w:rsidP="00400026">
      <w:pPr>
        <w:pStyle w:val="BulletedListlvl1"/>
        <w:spacing w:before="0" w:line="240" w:lineRule="auto"/>
        <w:ind w:left="567" w:hanging="283"/>
        <w:contextualSpacing w:val="0"/>
      </w:pPr>
      <w:r w:rsidRPr="007C6373">
        <w:lastRenderedPageBreak/>
        <w:t xml:space="preserve">Short term family/parental courses delivered by </w:t>
      </w:r>
      <w:r w:rsidR="000F1DE1">
        <w:t>experienced educators,</w:t>
      </w:r>
    </w:p>
    <w:p w14:paraId="0A63EC26" w14:textId="77777777" w:rsidR="00400026" w:rsidRPr="007C6373" w:rsidRDefault="00400026" w:rsidP="00400026">
      <w:pPr>
        <w:pStyle w:val="BulletedListlvl1"/>
        <w:spacing w:before="0" w:line="240" w:lineRule="auto"/>
        <w:ind w:left="567" w:hanging="283"/>
        <w:contextualSpacing w:val="0"/>
      </w:pPr>
      <w:r>
        <w:t xml:space="preserve">Counsellor services to support </w:t>
      </w:r>
      <w:r w:rsidR="000F1DE1">
        <w:t>students with specific needs,</w:t>
      </w:r>
    </w:p>
    <w:p w14:paraId="3667184A" w14:textId="77777777" w:rsidR="00400026" w:rsidRDefault="00400026" w:rsidP="00400026">
      <w:pPr>
        <w:pStyle w:val="BulletedListlvl1"/>
        <w:spacing w:before="0" w:line="240" w:lineRule="auto"/>
        <w:ind w:left="567" w:hanging="283"/>
        <w:contextualSpacing w:val="0"/>
      </w:pPr>
      <w:r w:rsidRPr="007C6373">
        <w:t>Case management services for families with specific needs</w:t>
      </w:r>
      <w:r>
        <w:t>.</w:t>
      </w:r>
    </w:p>
    <w:p w14:paraId="2C1BA859" w14:textId="77777777" w:rsidR="00400026" w:rsidRDefault="00400026" w:rsidP="005F7AA5">
      <w:pPr>
        <w:pStyle w:val="Heading2"/>
        <w:numPr>
          <w:ilvl w:val="0"/>
          <w:numId w:val="0"/>
        </w:numPr>
      </w:pPr>
      <w:bookmarkStart w:id="65" w:name="_Toc152687581"/>
      <w:bookmarkStart w:id="66" w:name="_Toc153369869"/>
      <w:r>
        <w:t>Community Summits</w:t>
      </w:r>
      <w:bookmarkEnd w:id="65"/>
      <w:bookmarkEnd w:id="66"/>
    </w:p>
    <w:p w14:paraId="3C163387" w14:textId="77777777" w:rsidR="00400026" w:rsidRDefault="00400026" w:rsidP="00400026">
      <w:pPr>
        <w:pStyle w:val="BodyText"/>
      </w:pPr>
      <w:r w:rsidRPr="00400026">
        <w:t>Community Summits are a formal meeting or event focussed on achieving particular outcomes re</w:t>
      </w:r>
      <w:r>
        <w:t>lating to school or education</w:t>
      </w:r>
      <w:r w:rsidRPr="00400026">
        <w:t>. Summits should bring a range of people together to focus on specific issues</w:t>
      </w:r>
      <w:r>
        <w:t xml:space="preserve">, </w:t>
      </w:r>
      <w:r w:rsidRPr="00400026">
        <w:t>discuss their views, suggest ideas, work on problems together and have their voices heard.</w:t>
      </w:r>
      <w:r>
        <w:t xml:space="preserve"> </w:t>
      </w:r>
      <w:r w:rsidRPr="00400026">
        <w:t xml:space="preserve">Summits might be held </w:t>
      </w:r>
      <w:r w:rsidR="006F7B19">
        <w:t>as one-off events or at regular intervals. They may</w:t>
      </w:r>
      <w:r w:rsidRPr="00400026">
        <w:t xml:space="preserve"> be arranged in response to a particular issue (for example, a sudden increase in anti-social behaviour or to welcome a new school principal). Whatever the reason, summits provide a forum for people to learn, share, meet, generate ideas, plan and collaborate around that issue. </w:t>
      </w:r>
      <w:r w:rsidR="00A9500C">
        <w:t>Because summits focus on a particular issue or purpose, they should focus on a set agenda that is agreed with stakeholders beforehand. Providers can also utilise summits as a means to inform future planning, develop relationships and obtain feedback about their EEAI activity.</w:t>
      </w:r>
    </w:p>
    <w:p w14:paraId="3AC389AD" w14:textId="77777777" w:rsidR="004B40B4" w:rsidRDefault="004B40B4" w:rsidP="005F7AA5">
      <w:pPr>
        <w:pStyle w:val="Heading2"/>
        <w:numPr>
          <w:ilvl w:val="0"/>
          <w:numId w:val="0"/>
        </w:numPr>
      </w:pPr>
      <w:bookmarkStart w:id="67" w:name="_Toc152687584"/>
      <w:bookmarkStart w:id="68" w:name="_Toc153369870"/>
      <w:r>
        <w:t xml:space="preserve">Culture and </w:t>
      </w:r>
      <w:r w:rsidRPr="005F7AA5">
        <w:t>Language</w:t>
      </w:r>
      <w:r>
        <w:t xml:space="preserve"> Projects</w:t>
      </w:r>
      <w:bookmarkEnd w:id="67"/>
      <w:bookmarkEnd w:id="68"/>
      <w:r>
        <w:t xml:space="preserve"> </w:t>
      </w:r>
    </w:p>
    <w:p w14:paraId="7A857E32" w14:textId="77777777" w:rsidR="004B40B4" w:rsidRDefault="006F7B19" w:rsidP="004B40B4">
      <w:pPr>
        <w:pStyle w:val="BodyText"/>
      </w:pPr>
      <w:r>
        <w:t xml:space="preserve">This refers to a service that </w:t>
      </w:r>
      <w:r w:rsidRPr="004B40B4">
        <w:t>bring culture and language into the classroom and support local community cultur</w:t>
      </w:r>
      <w:r>
        <w:t>e and language programs for young First Nations people. They utilise local cultural knowledge and strengths as a means of improving engagement and reaffirming the value of First Nations culture with families and young people. The importance of culture</w:t>
      </w:r>
      <w:r w:rsidR="004B40B4" w:rsidRPr="004B40B4">
        <w:t xml:space="preserve"> extends to schools and classrooms, where culture and language activities can play a key role in making classrooms safe and welcoming and keeping students interested in learning. </w:t>
      </w:r>
      <w:r>
        <w:t>Students</w:t>
      </w:r>
      <w:r w:rsidR="004B40B4" w:rsidRPr="004B40B4">
        <w:t xml:space="preserve"> are less likely to </w:t>
      </w:r>
      <w:r w:rsidR="000F1DE1">
        <w:t xml:space="preserve">participate at </w:t>
      </w:r>
      <w:r w:rsidR="004B40B4" w:rsidRPr="004B40B4">
        <w:t xml:space="preserve">school if they feel like their culture and language is not valued. </w:t>
      </w:r>
      <w:r w:rsidR="004B40B4">
        <w:t>There are many different ways that EEAI Providers can lead or become involved in culture and language projects</w:t>
      </w:r>
      <w:r>
        <w:t>, including:</w:t>
      </w:r>
    </w:p>
    <w:p w14:paraId="6E4747E3" w14:textId="77777777" w:rsidR="004B40B4" w:rsidRDefault="004B40B4" w:rsidP="004B40B4">
      <w:pPr>
        <w:pStyle w:val="BulletedListlvl1"/>
        <w:spacing w:before="0"/>
        <w:ind w:left="567" w:hanging="283"/>
        <w:contextualSpacing w:val="0"/>
      </w:pPr>
      <w:r>
        <w:t>Setting up culture and language events, such as a morning tea for the school, Elders and other community members to come t</w:t>
      </w:r>
      <w:r w:rsidR="000F1DE1">
        <w:t>ogether to talk about education,</w:t>
      </w:r>
    </w:p>
    <w:p w14:paraId="3F9DB5E4" w14:textId="77777777" w:rsidR="004B40B4" w:rsidRDefault="004B40B4" w:rsidP="004B40B4">
      <w:pPr>
        <w:pStyle w:val="BulletedListlvl1"/>
        <w:spacing w:before="0"/>
        <w:ind w:left="567" w:hanging="283"/>
        <w:contextualSpacing w:val="0"/>
      </w:pPr>
      <w:r>
        <w:t>Working with the school to have Elders and senior community members speak at assemblies, spe</w:t>
      </w:r>
      <w:r w:rsidR="000F1DE1">
        <w:t>cial events or in the classroom,</w:t>
      </w:r>
    </w:p>
    <w:p w14:paraId="2057D15C" w14:textId="77777777" w:rsidR="004B40B4" w:rsidRDefault="004B40B4" w:rsidP="004B40B4">
      <w:pPr>
        <w:pStyle w:val="BulletedListlvl1"/>
        <w:spacing w:before="0"/>
        <w:ind w:left="567" w:hanging="283"/>
        <w:contextualSpacing w:val="0"/>
      </w:pPr>
      <w:r>
        <w:t>Running school holiday or after-school culture and/or language programs.</w:t>
      </w:r>
    </w:p>
    <w:p w14:paraId="64076E9E" w14:textId="77777777" w:rsidR="006779C7" w:rsidRDefault="004B40B4" w:rsidP="004B40B4">
      <w:pPr>
        <w:pStyle w:val="BodyText"/>
      </w:pPr>
      <w:r>
        <w:t xml:space="preserve">Providers should ensure that any cultural project has the agreement of local First Nations people with the correct cultural authority or seniority. </w:t>
      </w:r>
    </w:p>
    <w:p w14:paraId="0C2B8615" w14:textId="77777777" w:rsidR="006779C7" w:rsidRDefault="006779C7" w:rsidP="005F7AA5">
      <w:pPr>
        <w:pStyle w:val="Heading2"/>
        <w:numPr>
          <w:ilvl w:val="0"/>
          <w:numId w:val="0"/>
        </w:numPr>
      </w:pPr>
      <w:bookmarkStart w:id="69" w:name="_Toc152687585"/>
      <w:bookmarkStart w:id="70" w:name="_Toc153369871"/>
      <w:r>
        <w:t>School Support</w:t>
      </w:r>
      <w:bookmarkEnd w:id="69"/>
      <w:bookmarkEnd w:id="70"/>
    </w:p>
    <w:p w14:paraId="7CC38F91" w14:textId="77777777" w:rsidR="006779C7" w:rsidRDefault="006F7B19" w:rsidP="006779C7">
      <w:pPr>
        <w:pStyle w:val="BodyText"/>
      </w:pPr>
      <w:r>
        <w:t xml:space="preserve">This refers to a service where EEAI employees work in schools or classrooms to support engagement, participation and education outcomes. This may be appropriate </w:t>
      </w:r>
      <w:r w:rsidR="006779C7">
        <w:t xml:space="preserve">at the start of term, </w:t>
      </w:r>
      <w:r>
        <w:t xml:space="preserve">or when there is an </w:t>
      </w:r>
      <w:r w:rsidR="006779C7">
        <w:t xml:space="preserve">influx of students, or </w:t>
      </w:r>
      <w:r w:rsidR="001113CF">
        <w:t xml:space="preserve">when </w:t>
      </w:r>
      <w:r w:rsidR="006779C7">
        <w:t xml:space="preserve">students </w:t>
      </w:r>
      <w:r w:rsidR="001113CF">
        <w:t xml:space="preserve">from a mobile family who have recently come to community </w:t>
      </w:r>
      <w:r>
        <w:t>newly attend. It may also be helpful where young people experience hard times or complex issues and could</w:t>
      </w:r>
      <w:r w:rsidR="006779C7">
        <w:t xml:space="preserve"> benefit from seeing familiar faces in the classroom and from having someone they can trust and talk to, particularly if they have been disengaged for some time and are returning to school after a long break.</w:t>
      </w:r>
    </w:p>
    <w:p w14:paraId="7567B9DD" w14:textId="77777777" w:rsidR="006779C7" w:rsidRDefault="006779C7" w:rsidP="006779C7">
      <w:pPr>
        <w:pStyle w:val="BodyText"/>
      </w:pPr>
      <w:r>
        <w:lastRenderedPageBreak/>
        <w:t xml:space="preserve">EEAI Providers can therefore provide short term support for schools by working within classrooms </w:t>
      </w:r>
      <w:r w:rsidR="00127EDA">
        <w:t xml:space="preserve">or elsewhere in the school </w:t>
      </w:r>
      <w:r>
        <w:t xml:space="preserve">to help students engage or re-engage. This may include offering behavioural support, student mentoring, supporting culture and language, activities in the classroom, supporting family engagement days or parent teacher interviews, or </w:t>
      </w:r>
      <w:r w:rsidR="00FB320E">
        <w:t xml:space="preserve">simply </w:t>
      </w:r>
      <w:r>
        <w:t xml:space="preserve">offering help with classroom operations when there is influx of students. </w:t>
      </w:r>
    </w:p>
    <w:p w14:paraId="27524DCB" w14:textId="77777777" w:rsidR="006779C7" w:rsidRDefault="00FB320E" w:rsidP="006779C7">
      <w:pPr>
        <w:pStyle w:val="BodyText"/>
      </w:pPr>
      <w:r>
        <w:t>S</w:t>
      </w:r>
      <w:r w:rsidR="006779C7">
        <w:t>chool support should not be indefinite</w:t>
      </w:r>
      <w:r>
        <w:t>.</w:t>
      </w:r>
      <w:r w:rsidR="006779C7">
        <w:t xml:space="preserve"> </w:t>
      </w:r>
      <w:r>
        <w:t>Providers should remember that people employed under EEAI activities are</w:t>
      </w:r>
      <w:r w:rsidR="006779C7">
        <w:t xml:space="preserve"> not teachers</w:t>
      </w:r>
      <w:r>
        <w:t xml:space="preserve"> or specialists in child welfare or behavioural case management</w:t>
      </w:r>
      <w:r w:rsidR="006779C7">
        <w:t xml:space="preserve">, and they </w:t>
      </w:r>
      <w:r>
        <w:t>cannot</w:t>
      </w:r>
      <w:r w:rsidR="006779C7">
        <w:t xml:space="preserve"> </w:t>
      </w:r>
      <w:r>
        <w:t>perform</w:t>
      </w:r>
      <w:r w:rsidR="006779C7">
        <w:t xml:space="preserve"> the role of </w:t>
      </w:r>
      <w:r>
        <w:t>these professionally trained positions.</w:t>
      </w:r>
      <w:r w:rsidR="006779C7">
        <w:t xml:space="preserve"> </w:t>
      </w:r>
    </w:p>
    <w:p w14:paraId="1B7F3DFD" w14:textId="77777777" w:rsidR="004B40B4" w:rsidRDefault="00FB320E" w:rsidP="006779C7">
      <w:pPr>
        <w:pStyle w:val="BodyText"/>
      </w:pPr>
      <w:r>
        <w:t xml:space="preserve">Finally, no school support should be implemented without the agreement of the school staff and principal. </w:t>
      </w:r>
    </w:p>
    <w:p w14:paraId="7B79D332" w14:textId="77777777" w:rsidR="00755434" w:rsidRDefault="00755434" w:rsidP="005F7AA5">
      <w:pPr>
        <w:pStyle w:val="Heading2"/>
        <w:numPr>
          <w:ilvl w:val="0"/>
          <w:numId w:val="0"/>
        </w:numPr>
      </w:pPr>
      <w:bookmarkStart w:id="71" w:name="_Toc152687587"/>
      <w:bookmarkStart w:id="72" w:name="_Toc153369872"/>
      <w:bookmarkStart w:id="73" w:name="_Toc529871615"/>
      <w:r w:rsidRPr="005F7AA5">
        <w:t>Mentoring</w:t>
      </w:r>
      <w:bookmarkEnd w:id="71"/>
      <w:bookmarkEnd w:id="72"/>
    </w:p>
    <w:p w14:paraId="0BA81F87" w14:textId="77777777" w:rsidR="00755434" w:rsidRDefault="00127EDA" w:rsidP="00755434">
      <w:pPr>
        <w:pStyle w:val="BodyText"/>
      </w:pPr>
      <w:r>
        <w:t xml:space="preserve">Mentoring refers to a service where a young person is supported through a formal relationship established to provide support in a particular setting or with particular aims – in this case, to support young people engage with education and/or achieve more at school. </w:t>
      </w:r>
    </w:p>
    <w:p w14:paraId="4BCE22FB" w14:textId="77777777" w:rsidR="00755434" w:rsidRDefault="00755434" w:rsidP="00755434">
      <w:pPr>
        <w:pStyle w:val="BodyText"/>
      </w:pPr>
      <w:r>
        <w:t xml:space="preserve">Mentoring can be done many different ways, but </w:t>
      </w:r>
      <w:r w:rsidR="00127EDA">
        <w:t>it generally</w:t>
      </w:r>
      <w:r w:rsidR="001113CF">
        <w:t xml:space="preserve"> supports young</w:t>
      </w:r>
      <w:r>
        <w:t xml:space="preserve"> people to develop their skills, work towards their goals and take control of their own learning. It lets</w:t>
      </w:r>
      <w:r w:rsidRPr="00A4731F">
        <w:t xml:space="preserve"> students know there is someone</w:t>
      </w:r>
      <w:r w:rsidR="00E71901">
        <w:t xml:space="preserve"> outside of their families or</w:t>
      </w:r>
      <w:r w:rsidR="00127EDA">
        <w:t xml:space="preserve"> friendship circles</w:t>
      </w:r>
      <w:r w:rsidRPr="00A4731F">
        <w:t xml:space="preserve"> who notices them</w:t>
      </w:r>
      <w:r>
        <w:t xml:space="preserve">, </w:t>
      </w:r>
      <w:r w:rsidRPr="00A4731F">
        <w:t xml:space="preserve">will look out for them </w:t>
      </w:r>
      <w:r>
        <w:t xml:space="preserve">and help them </w:t>
      </w:r>
      <w:r w:rsidRPr="009A4AD1">
        <w:t xml:space="preserve">to understand and reach </w:t>
      </w:r>
      <w:r>
        <w:t>their</w:t>
      </w:r>
      <w:r w:rsidRPr="009A4AD1">
        <w:t xml:space="preserve"> potential</w:t>
      </w:r>
      <w:r>
        <w:t>. It can also improve social skills and help young people manage negative behaviour.</w:t>
      </w:r>
    </w:p>
    <w:p w14:paraId="3E20E614" w14:textId="77777777" w:rsidR="00755434" w:rsidRDefault="00755434" w:rsidP="00755434">
      <w:pPr>
        <w:pStyle w:val="BodyText"/>
      </w:pPr>
      <w:r>
        <w:t xml:space="preserve">A </w:t>
      </w:r>
      <w:r w:rsidRPr="009316FF">
        <w:t>mentor</w:t>
      </w:r>
      <w:r>
        <w:t xml:space="preserve"> can be anyone who can be a positive role model and p</w:t>
      </w:r>
      <w:r w:rsidRPr="009316FF">
        <w:t xml:space="preserve">rovide guidance, advice, support and feedback to </w:t>
      </w:r>
      <w:r>
        <w:t xml:space="preserve">a young person. Many people can be mentors for students, including EEAI employees, senior community members, teachers and sometimes even other students. When matching a young person with a mentor, it is worth considering interests, hobbies, age, gender and cultural needs of the mentor and mentee, to make sure they are a good match. </w:t>
      </w:r>
      <w:r w:rsidR="001113CF">
        <w:t xml:space="preserve">However, mentoring is a real commitment that requires regular contact and investment of time. Potential mentors should understand the level of commitment before agreeing to be a mentor. </w:t>
      </w:r>
    </w:p>
    <w:p w14:paraId="0F276084" w14:textId="77777777" w:rsidR="00755434" w:rsidRDefault="00755434" w:rsidP="005F7AA5">
      <w:pPr>
        <w:pStyle w:val="Heading2"/>
        <w:numPr>
          <w:ilvl w:val="0"/>
          <w:numId w:val="0"/>
        </w:numPr>
      </w:pPr>
      <w:bookmarkStart w:id="74" w:name="_Toc152687588"/>
      <w:bookmarkStart w:id="75" w:name="_Toc153369873"/>
      <w:r>
        <w:t>Communications</w:t>
      </w:r>
      <w:bookmarkEnd w:id="74"/>
      <w:bookmarkEnd w:id="75"/>
    </w:p>
    <w:p w14:paraId="74AE53DC" w14:textId="77777777" w:rsidR="00755434" w:rsidRDefault="00127EDA" w:rsidP="00755434">
      <w:pPr>
        <w:pStyle w:val="BodyText"/>
      </w:pPr>
      <w:r>
        <w:t xml:space="preserve">This refers to any effort to communicate positive messages to support good engagement with education. It can be achieved via a variety of media or methods. A local communication strategy can help </w:t>
      </w:r>
      <w:r w:rsidRPr="00986FBC">
        <w:t xml:space="preserve">families and the community understand why school is important and how </w:t>
      </w:r>
      <w:r>
        <w:t xml:space="preserve">EEAI activities support families, parents and carers, and young First Nations people. </w:t>
      </w:r>
      <w:r w:rsidR="00755434">
        <w:t xml:space="preserve">Locally developed communications can be popular and influential, and </w:t>
      </w:r>
      <w:r w:rsidR="001113CF">
        <w:t xml:space="preserve">collaboratively </w:t>
      </w:r>
      <w:r w:rsidR="00755434">
        <w:t xml:space="preserve">developing local communications can be a great way to engage students and their families in </w:t>
      </w:r>
      <w:r>
        <w:t>EEAI activities</w:t>
      </w:r>
      <w:r w:rsidR="00755434">
        <w:t xml:space="preserve">. </w:t>
      </w:r>
      <w:r>
        <w:t>Communications strategies could</w:t>
      </w:r>
      <w:r w:rsidR="00755434">
        <w:t xml:space="preserve"> include:</w:t>
      </w:r>
    </w:p>
    <w:p w14:paraId="5ED409B1" w14:textId="77777777" w:rsidR="00755434" w:rsidRDefault="00755434" w:rsidP="00755434">
      <w:pPr>
        <w:pStyle w:val="BulletedListlvl1"/>
        <w:spacing w:before="0"/>
        <w:ind w:left="567" w:hanging="283"/>
        <w:contextualSpacing w:val="0"/>
      </w:pPr>
      <w:r w:rsidRPr="00AF5D82">
        <w:t xml:space="preserve">Developing and delivering </w:t>
      </w:r>
      <w:r>
        <w:t xml:space="preserve">flyers, posters, or social media posts and videos </w:t>
      </w:r>
      <w:r w:rsidR="00127EDA">
        <w:t xml:space="preserve">in collaboration with young people, targeting </w:t>
      </w:r>
      <w:r w:rsidRPr="00AF5D82">
        <w:t>families ab</w:t>
      </w:r>
      <w:r>
        <w:t>out the importance of education, and what local EEAI activities do for parents, families and young pe</w:t>
      </w:r>
      <w:r w:rsidR="001113CF">
        <w:t>ople,</w:t>
      </w:r>
    </w:p>
    <w:p w14:paraId="0784C55D" w14:textId="77777777" w:rsidR="00755434" w:rsidRPr="008514D1" w:rsidRDefault="00755434" w:rsidP="00755434">
      <w:pPr>
        <w:pStyle w:val="BulletedListlvl1"/>
        <w:spacing w:before="0"/>
        <w:ind w:left="567" w:hanging="283"/>
        <w:contextualSpacing w:val="0"/>
      </w:pPr>
      <w:r>
        <w:t>Delivering information/brochures to familie</w:t>
      </w:r>
      <w:r w:rsidR="001113CF">
        <w:t>s at critical times of the year,</w:t>
      </w:r>
    </w:p>
    <w:p w14:paraId="0B943025" w14:textId="77777777" w:rsidR="00755434" w:rsidRDefault="00E93473" w:rsidP="00755434">
      <w:pPr>
        <w:pStyle w:val="BulletedListlvl1"/>
        <w:spacing w:before="0" w:after="240"/>
        <w:ind w:left="567" w:hanging="283"/>
        <w:contextualSpacing w:val="0"/>
      </w:pPr>
      <w:r>
        <w:t>Working with other service P</w:t>
      </w:r>
      <w:r w:rsidR="00755434">
        <w:t>roviders to develop their own school positive messages.</w:t>
      </w:r>
    </w:p>
    <w:p w14:paraId="4F07A720" w14:textId="77777777" w:rsidR="00755434" w:rsidRDefault="00755434" w:rsidP="005F7AA5">
      <w:pPr>
        <w:pStyle w:val="Heading2"/>
        <w:numPr>
          <w:ilvl w:val="0"/>
          <w:numId w:val="0"/>
        </w:numPr>
      </w:pPr>
      <w:bookmarkStart w:id="76" w:name="_Toc152687589"/>
      <w:bookmarkStart w:id="77" w:name="_Toc153369874"/>
      <w:r>
        <w:lastRenderedPageBreak/>
        <w:t>Family Engagement</w:t>
      </w:r>
      <w:bookmarkEnd w:id="76"/>
      <w:bookmarkEnd w:id="77"/>
    </w:p>
    <w:bookmarkEnd w:id="73"/>
    <w:p w14:paraId="73A34C7D" w14:textId="77777777" w:rsidR="00127EDA" w:rsidRPr="00755434" w:rsidRDefault="00127EDA" w:rsidP="00127EDA">
      <w:pPr>
        <w:pStyle w:val="BodyText"/>
      </w:pPr>
      <w:r>
        <w:t>This refers to sustained and targeted engagement with families that require additional support or encouragement over time. A family engagement service should involve more than daily engagement activities (although this will likely form part of an engagement service) and should be more targeted or designed to address particular issues a family may encounter.</w:t>
      </w:r>
    </w:p>
    <w:p w14:paraId="5ABA5DC1" w14:textId="77777777" w:rsidR="00755434" w:rsidRPr="00755434" w:rsidRDefault="00755434" w:rsidP="00755434">
      <w:pPr>
        <w:pStyle w:val="BodyText"/>
      </w:pPr>
      <w:r w:rsidRPr="00755434">
        <w:t xml:space="preserve">Families are the first teachers, and for many children, they will remain the only constant teacher throughout their schooling. Evidence shows that their efforts </w:t>
      </w:r>
      <w:r w:rsidR="001113CF">
        <w:t xml:space="preserve">(along with the efforts of teachers) </w:t>
      </w:r>
      <w:r w:rsidRPr="00755434">
        <w:t xml:space="preserve">will be more influential than anyone else’s in improving education outcomes. Students with parents or carers who are involved in their schooling earn higher grades, get better test scores, often have better social skills and show improved behaviour. </w:t>
      </w:r>
    </w:p>
    <w:p w14:paraId="3AABA92E" w14:textId="77777777" w:rsidR="00127EDA" w:rsidRDefault="00755434" w:rsidP="00127EDA">
      <w:pPr>
        <w:pStyle w:val="BodyText"/>
      </w:pPr>
      <w:r w:rsidRPr="00755434">
        <w:t xml:space="preserve">Some families may experience complex social issues. Although </w:t>
      </w:r>
      <w:r w:rsidR="002E3596">
        <w:t>EEAI Providers</w:t>
      </w:r>
      <w:r w:rsidRPr="00755434">
        <w:t xml:space="preserve"> can and should offer support to families during these times, for some families, it may </w:t>
      </w:r>
      <w:r w:rsidR="002E3596">
        <w:t xml:space="preserve">be very difficult to see schooling </w:t>
      </w:r>
      <w:r w:rsidRPr="00755434">
        <w:t>as a priority until they have dealt with other issues. In these cases, it is likely families will require a range of support services fro</w:t>
      </w:r>
      <w:r w:rsidR="001113CF">
        <w:t>m different service p</w:t>
      </w:r>
      <w:r w:rsidRPr="00755434">
        <w:t xml:space="preserve">roviders with specialised skills. In these cases, </w:t>
      </w:r>
      <w:r w:rsidR="002E3596">
        <w:t>EEAI Providers</w:t>
      </w:r>
      <w:r w:rsidRPr="00755434">
        <w:t xml:space="preserve"> can best help by offering a referral to the specialist support needed. </w:t>
      </w:r>
    </w:p>
    <w:p w14:paraId="66860B0C" w14:textId="77777777" w:rsidR="004B40B4" w:rsidRDefault="0093402A" w:rsidP="005F7AA5">
      <w:pPr>
        <w:pStyle w:val="Heading2"/>
        <w:numPr>
          <w:ilvl w:val="0"/>
          <w:numId w:val="0"/>
        </w:numPr>
      </w:pPr>
      <w:bookmarkStart w:id="78" w:name="_Toc152687590"/>
      <w:bookmarkStart w:id="79" w:name="_Toc153369875"/>
      <w:r>
        <w:t>Transition Support</w:t>
      </w:r>
      <w:bookmarkEnd w:id="78"/>
      <w:bookmarkEnd w:id="79"/>
    </w:p>
    <w:p w14:paraId="3F62B42F" w14:textId="77777777" w:rsidR="00103813" w:rsidRPr="005B3E88" w:rsidRDefault="00127EDA" w:rsidP="00103813">
      <w:pPr>
        <w:pStyle w:val="BodyText"/>
      </w:pPr>
      <w:r>
        <w:t xml:space="preserve">This refers to a service that helps young First Nations people adapt to changes in their schooling environment, usually when transitioning from one year to the next, or from one school to another school, or even from a highly disengaged scenario to a situation involving regular attendance at school. </w:t>
      </w:r>
      <w:r w:rsidR="00103813" w:rsidRPr="00986FBC">
        <w:t xml:space="preserve">Students are more likely to stop going to school during times of change. </w:t>
      </w:r>
      <w:r w:rsidR="00103813" w:rsidRPr="00B15EE8">
        <w:t>This include</w:t>
      </w:r>
      <w:r w:rsidR="00103813">
        <w:t>s</w:t>
      </w:r>
      <w:r w:rsidR="00103813" w:rsidRPr="00B15EE8">
        <w:t xml:space="preserve"> starting school for the first time, changing scho</w:t>
      </w:r>
      <w:r w:rsidR="00103813">
        <w:t>ols, going to boarding school,</w:t>
      </w:r>
      <w:r w:rsidR="00103813" w:rsidRPr="00B15EE8">
        <w:t xml:space="preserve"> moving from primary to secondary school</w:t>
      </w:r>
      <w:r w:rsidR="00103813">
        <w:t xml:space="preserve"> or moving to other education opportunities</w:t>
      </w:r>
      <w:r w:rsidR="00103813" w:rsidRPr="00B15EE8">
        <w:t>.</w:t>
      </w:r>
      <w:r w:rsidR="00103813">
        <w:t xml:space="preserve"> Students may stop going to school because of a range of reasons both within school and outside of school.</w:t>
      </w:r>
      <w:r w:rsidR="00F00391" w:rsidRPr="00F00391">
        <w:t xml:space="preserve"> </w:t>
      </w:r>
      <w:r w:rsidR="00F00391" w:rsidRPr="00B15EE8">
        <w:t xml:space="preserve">Transition support </w:t>
      </w:r>
      <w:r w:rsidR="00F00391">
        <w:t>allows EEAI Providers to target efforts to</w:t>
      </w:r>
      <w:r w:rsidR="00F00391" w:rsidRPr="00B15EE8">
        <w:t xml:space="preserve"> support </w:t>
      </w:r>
      <w:r w:rsidR="00F00391">
        <w:t>students and their families before, during and after</w:t>
      </w:r>
      <w:r w:rsidR="00F00391" w:rsidRPr="00B15EE8">
        <w:t xml:space="preserve"> </w:t>
      </w:r>
      <w:r w:rsidR="00F00391">
        <w:t xml:space="preserve">these types of changes occur. </w:t>
      </w:r>
    </w:p>
    <w:p w14:paraId="48A74D55" w14:textId="77777777" w:rsidR="00103813" w:rsidRDefault="00103813" w:rsidP="00103813">
      <w:pPr>
        <w:pStyle w:val="BodyText"/>
      </w:pPr>
      <w:r>
        <w:t xml:space="preserve">Transition points may impact different students in different ways, </w:t>
      </w:r>
      <w:r w:rsidR="00054C7F">
        <w:t>so</w:t>
      </w:r>
      <w:r>
        <w:t xml:space="preserve"> individual approach</w:t>
      </w:r>
      <w:r w:rsidR="00054C7F">
        <w:t>es</w:t>
      </w:r>
      <w:r>
        <w:t xml:space="preserve"> may be needed. However, there may be certain groups that are at higher risk than others or different patterns which </w:t>
      </w:r>
      <w:r w:rsidR="00054C7F">
        <w:t>occur</w:t>
      </w:r>
      <w:r>
        <w:t xml:space="preserve"> in a particular community. For example, sometimes boys or young men may be more at risk of leaving school, if they think that school is not suitable for them after a certain age or after certain cultural milestones. Or, girls and young women may have caring responsibilities in the home, which can impact their engagement. </w:t>
      </w:r>
    </w:p>
    <w:p w14:paraId="554EA30C" w14:textId="77777777" w:rsidR="0093402A" w:rsidRDefault="00103813" w:rsidP="005F7AA5">
      <w:pPr>
        <w:pStyle w:val="Heading2"/>
        <w:numPr>
          <w:ilvl w:val="0"/>
          <w:numId w:val="0"/>
        </w:numPr>
      </w:pPr>
      <w:bookmarkStart w:id="80" w:name="_Toc152687591"/>
      <w:bookmarkStart w:id="81" w:name="_Toc153369876"/>
      <w:r>
        <w:t>Mobility Strategy</w:t>
      </w:r>
      <w:bookmarkEnd w:id="80"/>
      <w:bookmarkEnd w:id="81"/>
    </w:p>
    <w:p w14:paraId="44D1F626" w14:textId="77777777" w:rsidR="00103813" w:rsidRDefault="00F00391" w:rsidP="00103813">
      <w:pPr>
        <w:pStyle w:val="BodyText"/>
      </w:pPr>
      <w:r>
        <w:t>A mobility strategy is a service or program that supports young people and their families to stay engaged with education when they travel to another community, or supports families and young people who are visiting from another location. Mobility strategies</w:t>
      </w:r>
      <w:r w:rsidRPr="00103813">
        <w:t xml:space="preserve"> support families while they travel while also promoting and supporting</w:t>
      </w:r>
      <w:r>
        <w:t xml:space="preserve"> ongoing</w:t>
      </w:r>
      <w:r w:rsidRPr="00103813">
        <w:t xml:space="preserve"> </w:t>
      </w:r>
      <w:r>
        <w:t>engagement with school</w:t>
      </w:r>
      <w:r w:rsidRPr="00103813">
        <w:t xml:space="preserve">. </w:t>
      </w:r>
      <w:r w:rsidR="00103813" w:rsidRPr="00103813">
        <w:t xml:space="preserve">Families may travel for a range of reasons including cultural business, royalty meetings, </w:t>
      </w:r>
      <w:r w:rsidR="005C7052">
        <w:t xml:space="preserve">and </w:t>
      </w:r>
      <w:r w:rsidR="00103813" w:rsidRPr="00103813">
        <w:t>sports carnivals</w:t>
      </w:r>
      <w:r w:rsidR="005C7052">
        <w:t>,</w:t>
      </w:r>
      <w:r w:rsidR="00103813" w:rsidRPr="00103813">
        <w:t xml:space="preserve"> or to access services</w:t>
      </w:r>
      <w:r w:rsidR="00103813">
        <w:t xml:space="preserve"> such as</w:t>
      </w:r>
      <w:r w:rsidR="00103813" w:rsidRPr="00103813">
        <w:t xml:space="preserve"> medical appointments and pre-natal care. Different strategies may be required for different circumstances. </w:t>
      </w:r>
    </w:p>
    <w:p w14:paraId="45DCF422" w14:textId="77777777" w:rsidR="00103813" w:rsidRDefault="00103813" w:rsidP="00103813">
      <w:pPr>
        <w:pStyle w:val="BodyText"/>
      </w:pPr>
      <w:r>
        <w:lastRenderedPageBreak/>
        <w:t>A mobility strategy may include:</w:t>
      </w:r>
    </w:p>
    <w:p w14:paraId="488E9E82" w14:textId="77777777" w:rsidR="00103813" w:rsidRPr="0002531D" w:rsidRDefault="00103813" w:rsidP="00103813">
      <w:pPr>
        <w:pStyle w:val="BulletedListlvl1"/>
        <w:spacing w:before="0"/>
        <w:ind w:left="567" w:hanging="283"/>
        <w:contextualSpacing w:val="0"/>
      </w:pPr>
      <w:r w:rsidRPr="0002531D">
        <w:t>Work</w:t>
      </w:r>
      <w:r>
        <w:t>ing</w:t>
      </w:r>
      <w:r w:rsidRPr="0002531D">
        <w:t xml:space="preserve"> with the school to make a </w:t>
      </w:r>
      <w:r>
        <w:t>‘</w:t>
      </w:r>
      <w:r w:rsidRPr="0002531D">
        <w:t>return to school plan</w:t>
      </w:r>
      <w:r>
        <w:t>’</w:t>
      </w:r>
      <w:r w:rsidRPr="0002531D">
        <w:t xml:space="preserve"> for when students are</w:t>
      </w:r>
      <w:r>
        <w:t xml:space="preserve"> away for long </w:t>
      </w:r>
      <w:r w:rsidR="005C7052">
        <w:t>periods,</w:t>
      </w:r>
    </w:p>
    <w:p w14:paraId="2263B91F" w14:textId="77777777" w:rsidR="00103813" w:rsidRDefault="00103813" w:rsidP="00103813">
      <w:pPr>
        <w:pStyle w:val="BulletedListlvl1"/>
        <w:spacing w:before="0"/>
        <w:ind w:left="567" w:hanging="283"/>
        <w:contextualSpacing w:val="0"/>
      </w:pPr>
      <w:r>
        <w:t>Developing a community mobility strategy with the school,</w:t>
      </w:r>
      <w:r w:rsidR="005C7052">
        <w:t xml:space="preserve"> families and community members,</w:t>
      </w:r>
    </w:p>
    <w:p w14:paraId="66C19035" w14:textId="77777777" w:rsidR="00103813" w:rsidRPr="007E3371" w:rsidRDefault="00103813" w:rsidP="00103813">
      <w:pPr>
        <w:pStyle w:val="BulletedListlvl1"/>
        <w:spacing w:before="0"/>
        <w:ind w:left="567" w:hanging="283"/>
        <w:contextualSpacing w:val="0"/>
      </w:pPr>
      <w:r>
        <w:t xml:space="preserve">Have a staff member take on a </w:t>
      </w:r>
      <w:r w:rsidRPr="007E3371">
        <w:rPr>
          <w:lang w:val="en-US"/>
        </w:rPr>
        <w:t>mobility coordinator role to monitor student movements and communicate these to schools</w:t>
      </w:r>
      <w:r>
        <w:rPr>
          <w:lang w:val="en-US"/>
        </w:rPr>
        <w:t>, and to assist new families and students visiting communities</w:t>
      </w:r>
      <w:r w:rsidR="005C7052">
        <w:rPr>
          <w:lang w:val="en-US"/>
        </w:rPr>
        <w:t>,</w:t>
      </w:r>
    </w:p>
    <w:p w14:paraId="2AC63911" w14:textId="77777777" w:rsidR="00103813" w:rsidRDefault="00103813" w:rsidP="00103813">
      <w:pPr>
        <w:pStyle w:val="BulletedListlvl1"/>
        <w:spacing w:before="0"/>
        <w:ind w:left="567" w:hanging="283"/>
        <w:contextualSpacing w:val="0"/>
      </w:pPr>
      <w:r>
        <w:rPr>
          <w:lang w:val="en-US"/>
        </w:rPr>
        <w:t>Facilitating</w:t>
      </w:r>
      <w:r w:rsidRPr="00A4731F">
        <w:t xml:space="preserve"> strategies between schools </w:t>
      </w:r>
      <w:r w:rsidR="00F00391">
        <w:t xml:space="preserve">in different communities </w:t>
      </w:r>
      <w:r w:rsidRPr="00A4731F">
        <w:t>where there are known patterns of travel</w:t>
      </w:r>
      <w:r w:rsidR="005C7052">
        <w:t>,</w:t>
      </w:r>
    </w:p>
    <w:p w14:paraId="118805AA" w14:textId="77777777" w:rsidR="00103813" w:rsidRDefault="00103813" w:rsidP="00103813">
      <w:pPr>
        <w:pStyle w:val="BulletedListlvl1"/>
        <w:spacing w:before="0"/>
        <w:ind w:left="567" w:hanging="283"/>
        <w:contextualSpacing w:val="0"/>
      </w:pPr>
      <w:r w:rsidRPr="00682758">
        <w:t xml:space="preserve">Connecting students to </w:t>
      </w:r>
      <w:r>
        <w:t>EEAI</w:t>
      </w:r>
      <w:r w:rsidRPr="00682758">
        <w:t xml:space="preserve"> </w:t>
      </w:r>
      <w:r>
        <w:t>Providers</w:t>
      </w:r>
      <w:r w:rsidRPr="00682758">
        <w:t xml:space="preserve"> in the community they are travelling to so they receive support.</w:t>
      </w:r>
      <w:r w:rsidRPr="00F9081A">
        <w:rPr>
          <w:noProof/>
        </w:rPr>
        <w:t xml:space="preserve"> </w:t>
      </w:r>
    </w:p>
    <w:p w14:paraId="2A4DFEFC" w14:textId="77777777" w:rsidR="00103813" w:rsidRDefault="00103813" w:rsidP="005F7AA5">
      <w:pPr>
        <w:pStyle w:val="Heading2"/>
        <w:numPr>
          <w:ilvl w:val="0"/>
          <w:numId w:val="0"/>
        </w:numPr>
      </w:pPr>
      <w:bookmarkStart w:id="82" w:name="_Toc152687592"/>
      <w:bookmarkStart w:id="83" w:name="_Toc153369877"/>
      <w:r>
        <w:t>Youth Engagement</w:t>
      </w:r>
      <w:bookmarkEnd w:id="82"/>
      <w:bookmarkEnd w:id="83"/>
    </w:p>
    <w:p w14:paraId="0D3BD42E" w14:textId="77777777" w:rsidR="00F00391" w:rsidRPr="00755434" w:rsidRDefault="00F00391" w:rsidP="00F00391">
      <w:pPr>
        <w:pStyle w:val="BodyText"/>
      </w:pPr>
      <w:r>
        <w:t>This refers to sustained and targeted engagement with young people that require additional support or encouragement over time. A youth engagement service or program should involve more than daily engagement activities (although this will likely form part of an engagement service) and should be more targeted or designed to address particular issues young people may encounter.</w:t>
      </w:r>
    </w:p>
    <w:p w14:paraId="4B4798E4" w14:textId="77777777" w:rsidR="00103813" w:rsidRDefault="00103813" w:rsidP="00103813">
      <w:pPr>
        <w:pStyle w:val="BodyText"/>
      </w:pPr>
      <w:r>
        <w:t xml:space="preserve">If there is a need in their communities, Providers may wish to introduce prevention strategies which focus on keeping young people </w:t>
      </w:r>
      <w:r w:rsidR="005C7052">
        <w:t xml:space="preserve">engaged with </w:t>
      </w:r>
      <w:r>
        <w:t>school. A good prevention strategy may need to focus on issues inside and outside the school gate. Activities might focus on working with the school to offer more diverse learning activities and extracurricular activities so that more young people want to go school, feel supported and are engaged in their education. Youth Engagement ma</w:t>
      </w:r>
      <w:r w:rsidR="005C7052">
        <w:t>y also focus on ensuring</w:t>
      </w:r>
      <w:r>
        <w:t xml:space="preserve"> young people </w:t>
      </w:r>
      <w:r w:rsidR="005C7052">
        <w:t xml:space="preserve">who are at risk </w:t>
      </w:r>
      <w:r>
        <w:t xml:space="preserve">have access to services outside of school, to address any other issues which may be impacting on school attendance. </w:t>
      </w:r>
    </w:p>
    <w:p w14:paraId="14C134CD" w14:textId="77777777" w:rsidR="00103813" w:rsidRDefault="00103813" w:rsidP="00103813">
      <w:pPr>
        <w:pStyle w:val="BodyText"/>
      </w:pPr>
      <w:r>
        <w:t xml:space="preserve">Young people who have already stopped going to school, and have been away for some time, may need more intensive support to help them reengage in learning. </w:t>
      </w:r>
      <w:r w:rsidR="001E527B">
        <w:t>EEAI Providers</w:t>
      </w:r>
      <w:r>
        <w:t xml:space="preserve"> can work with these young people</w:t>
      </w:r>
      <w:r w:rsidRPr="00A47993">
        <w:t xml:space="preserve"> to build resilience and </w:t>
      </w:r>
      <w:r>
        <w:t xml:space="preserve">gain </w:t>
      </w:r>
      <w:r w:rsidRPr="00A47993">
        <w:t xml:space="preserve">the skills and strategies they need to </w:t>
      </w:r>
      <w:r>
        <w:t xml:space="preserve">return to and </w:t>
      </w:r>
      <w:r w:rsidRPr="00A47993">
        <w:t xml:space="preserve">stay in school. </w:t>
      </w:r>
    </w:p>
    <w:p w14:paraId="53136B5F" w14:textId="77777777" w:rsidR="00103813" w:rsidRPr="00103813" w:rsidRDefault="001E527B" w:rsidP="005F7AA5">
      <w:pPr>
        <w:pStyle w:val="Heading2"/>
        <w:numPr>
          <w:ilvl w:val="0"/>
          <w:numId w:val="0"/>
        </w:numPr>
      </w:pPr>
      <w:bookmarkStart w:id="84" w:name="_Toc152687593"/>
      <w:bookmarkStart w:id="85" w:name="_Toc153369878"/>
      <w:r>
        <w:t>Targeted Girls and/or Boys Programs</w:t>
      </w:r>
      <w:bookmarkEnd w:id="84"/>
      <w:bookmarkEnd w:id="85"/>
    </w:p>
    <w:p w14:paraId="2B0AFF9E" w14:textId="77777777" w:rsidR="001E527B" w:rsidRPr="00874DD5" w:rsidRDefault="00F00391" w:rsidP="001E527B">
      <w:pPr>
        <w:pStyle w:val="BodyText"/>
        <w:rPr>
          <w:lang w:eastAsia="ja-JP"/>
        </w:rPr>
      </w:pPr>
      <w:r>
        <w:rPr>
          <w:lang w:eastAsia="ja-JP"/>
        </w:rPr>
        <w:t xml:space="preserve">This refers to a service that targets the particular needs of young women, young men, boys or girls. They are targeted to encourage education </w:t>
      </w:r>
      <w:r w:rsidR="005C7052">
        <w:rPr>
          <w:lang w:eastAsia="ja-JP"/>
        </w:rPr>
        <w:t>engagement in the context of</w:t>
      </w:r>
      <w:r>
        <w:rPr>
          <w:lang w:eastAsia="ja-JP"/>
        </w:rPr>
        <w:t xml:space="preserve"> particular expectations placed on young men or young women. </w:t>
      </w:r>
      <w:r w:rsidR="001E527B">
        <w:rPr>
          <w:lang w:eastAsia="ja-JP"/>
        </w:rPr>
        <w:t>E</w:t>
      </w:r>
      <w:r w:rsidR="001E527B" w:rsidRPr="00B627D9">
        <w:rPr>
          <w:lang w:eastAsia="ja-JP"/>
        </w:rPr>
        <w:t>ducational</w:t>
      </w:r>
      <w:r w:rsidR="001E527B">
        <w:rPr>
          <w:lang w:eastAsia="ja-JP"/>
        </w:rPr>
        <w:t xml:space="preserve"> aspirations, attitudes, barriers and</w:t>
      </w:r>
      <w:r w:rsidR="001E527B" w:rsidRPr="00B627D9">
        <w:rPr>
          <w:lang w:eastAsia="ja-JP"/>
        </w:rPr>
        <w:t xml:space="preserve"> outcomes </w:t>
      </w:r>
      <w:r w:rsidR="001E527B">
        <w:rPr>
          <w:lang w:eastAsia="ja-JP"/>
        </w:rPr>
        <w:t xml:space="preserve">can sometimes </w:t>
      </w:r>
      <w:r w:rsidR="001E527B" w:rsidRPr="00B627D9">
        <w:rPr>
          <w:lang w:eastAsia="ja-JP"/>
        </w:rPr>
        <w:t>d</w:t>
      </w:r>
      <w:r w:rsidR="001E527B">
        <w:rPr>
          <w:lang w:eastAsia="ja-JP"/>
        </w:rPr>
        <w:t>iffer between boys and gir</w:t>
      </w:r>
      <w:r w:rsidR="00BE556E">
        <w:rPr>
          <w:lang w:eastAsia="ja-JP"/>
        </w:rPr>
        <w:t>ls, young men and young women. Their e</w:t>
      </w:r>
      <w:r w:rsidR="001E527B">
        <w:rPr>
          <w:lang w:eastAsia="ja-JP"/>
        </w:rPr>
        <w:t xml:space="preserve">xperiences at school can be influenced by a range of factors, including </w:t>
      </w:r>
      <w:r w:rsidR="001E527B" w:rsidRPr="00C70F78">
        <w:rPr>
          <w:lang w:eastAsia="ja-JP"/>
        </w:rPr>
        <w:t>cultural roles and responsibilities, expectations of family, c</w:t>
      </w:r>
      <w:r w:rsidR="001E527B">
        <w:rPr>
          <w:lang w:eastAsia="ja-JP"/>
        </w:rPr>
        <w:t>ommunity and society and</w:t>
      </w:r>
      <w:r w:rsidR="001E527B" w:rsidRPr="00C70F78">
        <w:rPr>
          <w:lang w:eastAsia="ja-JP"/>
        </w:rPr>
        <w:t xml:space="preserve"> opi</w:t>
      </w:r>
      <w:r w:rsidR="005C7052">
        <w:rPr>
          <w:lang w:eastAsia="ja-JP"/>
        </w:rPr>
        <w:t xml:space="preserve">nions of </w:t>
      </w:r>
      <w:r w:rsidR="001E527B">
        <w:rPr>
          <w:lang w:eastAsia="ja-JP"/>
        </w:rPr>
        <w:t>social groups</w:t>
      </w:r>
      <w:r w:rsidR="001E527B" w:rsidRPr="00C70F78">
        <w:rPr>
          <w:lang w:eastAsia="ja-JP"/>
        </w:rPr>
        <w:t xml:space="preserve">. </w:t>
      </w:r>
    </w:p>
    <w:p w14:paraId="5FFD1DA6" w14:textId="77777777" w:rsidR="001E527B" w:rsidRDefault="001E527B" w:rsidP="001E527B">
      <w:pPr>
        <w:pStyle w:val="BodyText"/>
        <w:rPr>
          <w:lang w:eastAsia="ja-JP"/>
        </w:rPr>
      </w:pPr>
      <w:r>
        <w:rPr>
          <w:lang w:eastAsia="ja-JP"/>
        </w:rPr>
        <w:t xml:space="preserve">Beliefs and attitudes about </w:t>
      </w:r>
      <w:r w:rsidR="005C7052">
        <w:rPr>
          <w:lang w:eastAsia="ja-JP"/>
        </w:rPr>
        <w:t>school, as well as barriers to engagement</w:t>
      </w:r>
      <w:r>
        <w:rPr>
          <w:lang w:eastAsia="ja-JP"/>
        </w:rPr>
        <w:t xml:space="preserve">, also change for students over time. Changes may occur differently for boys, girls, young men and young women depending on their age and individual circumstances. For example, generally speaking girls and young women are more likely to attend school and graduate. However, they may be more likely to have caring responsibilities. Boys and young men are less likely to go to school regularly, starting from a very early age. Boys are less likely than girls to be enrolled in preschool, or other early childhood service, and therefore are more at risk of starting school already behind. </w:t>
      </w:r>
    </w:p>
    <w:p w14:paraId="0C674D90" w14:textId="77777777" w:rsidR="00103813" w:rsidRDefault="001E527B" w:rsidP="005F7AA5">
      <w:pPr>
        <w:pStyle w:val="Heading2"/>
        <w:numPr>
          <w:ilvl w:val="0"/>
          <w:numId w:val="0"/>
        </w:numPr>
      </w:pPr>
      <w:bookmarkStart w:id="86" w:name="_Toc152687594"/>
      <w:bookmarkStart w:id="87" w:name="_Toc153369879"/>
      <w:r>
        <w:lastRenderedPageBreak/>
        <w:t>Boarding School Support</w:t>
      </w:r>
      <w:bookmarkEnd w:id="86"/>
      <w:bookmarkEnd w:id="87"/>
    </w:p>
    <w:p w14:paraId="72174222" w14:textId="77777777" w:rsidR="001E527B" w:rsidRPr="001E527B" w:rsidRDefault="00BE556E" w:rsidP="001E527B">
      <w:pPr>
        <w:pStyle w:val="BodyText"/>
      </w:pPr>
      <w:r>
        <w:t xml:space="preserve">This refers to a service that helps a young person transition to a boarding school outside of the community, helps them remain engaged with their families and communities while staying at boarding school, and supports them to return to boarding school after a long break. </w:t>
      </w:r>
    </w:p>
    <w:p w14:paraId="015114BB" w14:textId="77777777" w:rsidR="00704873" w:rsidRDefault="001E527B" w:rsidP="001E527B">
      <w:pPr>
        <w:pStyle w:val="BodyText"/>
      </w:pPr>
      <w:r w:rsidRPr="001E527B">
        <w:t xml:space="preserve">There are a range of ways </w:t>
      </w:r>
      <w:r w:rsidR="005C7052">
        <w:t>EEAI Providers</w:t>
      </w:r>
      <w:r w:rsidRPr="001E527B">
        <w:t xml:space="preserve"> can provide support to help students and families manage the challenges </w:t>
      </w:r>
      <w:r w:rsidR="00BE556E">
        <w:t xml:space="preserve">of leaving home to attend boarding school. </w:t>
      </w:r>
      <w:r w:rsidRPr="001E527B">
        <w:t xml:space="preserve">This includes helping families to make choices about schools to attend, supporting families to apply for financial assistance (such as ABSTUDY or a scholarship) and helping students to organise travel to and from school. </w:t>
      </w:r>
    </w:p>
    <w:p w14:paraId="1E94FF82" w14:textId="77777777" w:rsidR="001E527B" w:rsidRDefault="001E527B" w:rsidP="001E527B">
      <w:pPr>
        <w:pStyle w:val="BodyText"/>
      </w:pPr>
      <w:r>
        <w:t>Boarding school support might include:</w:t>
      </w:r>
    </w:p>
    <w:p w14:paraId="551AF332" w14:textId="77777777" w:rsidR="001E527B" w:rsidRPr="00AE0A7B" w:rsidRDefault="001E527B" w:rsidP="001E527B">
      <w:pPr>
        <w:pStyle w:val="BulletedListlvl1"/>
        <w:spacing w:before="0"/>
        <w:ind w:left="567" w:hanging="283"/>
        <w:contextualSpacing w:val="0"/>
      </w:pPr>
      <w:r w:rsidRPr="00AE0A7B">
        <w:t xml:space="preserve">Supporting families to </w:t>
      </w:r>
      <w:r w:rsidR="00704873">
        <w:t>complete</w:t>
      </w:r>
      <w:r w:rsidRPr="00AE0A7B">
        <w:t xml:space="preserve"> paperwork and prepare students</w:t>
      </w:r>
      <w:r>
        <w:t xml:space="preserve"> for a move to boarding school</w:t>
      </w:r>
      <w:r w:rsidR="005C7052">
        <w:t>,</w:t>
      </w:r>
    </w:p>
    <w:p w14:paraId="05F0A9C2" w14:textId="77777777" w:rsidR="001E527B" w:rsidRPr="00AE0A7B" w:rsidRDefault="001E527B" w:rsidP="001E527B">
      <w:pPr>
        <w:pStyle w:val="BulletedListlvl1"/>
        <w:spacing w:before="0"/>
        <w:ind w:left="567" w:hanging="283"/>
        <w:contextualSpacing w:val="0"/>
      </w:pPr>
      <w:r w:rsidRPr="00AE0A7B">
        <w:t>Helping students and families to access ABSTUDY and ABSTUDY Fares Allowance</w:t>
      </w:r>
      <w:r w:rsidR="005C7052">
        <w:t>,</w:t>
      </w:r>
    </w:p>
    <w:p w14:paraId="7CAD3883" w14:textId="77777777" w:rsidR="001E527B" w:rsidRPr="00AE0A7B" w:rsidRDefault="001E527B" w:rsidP="001E527B">
      <w:pPr>
        <w:pStyle w:val="BulletedListlvl1"/>
        <w:spacing w:before="0"/>
        <w:ind w:left="567" w:hanging="283"/>
        <w:contextualSpacing w:val="0"/>
      </w:pPr>
      <w:r w:rsidRPr="00AE0A7B">
        <w:t xml:space="preserve">Developing plans with families to come up with </w:t>
      </w:r>
      <w:r w:rsidR="005C7052">
        <w:t>strategies if students get home</w:t>
      </w:r>
      <w:r w:rsidRPr="00AE0A7B">
        <w:t>sick, for example helping families access technology that can support them to keep in regu</w:t>
      </w:r>
      <w:r w:rsidR="005C7052">
        <w:t>lar contact with their children,</w:t>
      </w:r>
    </w:p>
    <w:p w14:paraId="1C5DECE8" w14:textId="77777777" w:rsidR="001E527B" w:rsidRPr="00AE0A7B" w:rsidRDefault="001E527B" w:rsidP="001E527B">
      <w:pPr>
        <w:pStyle w:val="BulletedListlvl1"/>
        <w:spacing w:before="0"/>
        <w:ind w:left="567" w:hanging="283"/>
        <w:contextualSpacing w:val="0"/>
      </w:pPr>
      <w:r w:rsidRPr="00AE0A7B">
        <w:t>Sup</w:t>
      </w:r>
      <w:r w:rsidR="005C7052">
        <w:t>porting young people to attend orientation sessions</w:t>
      </w:r>
      <w:r w:rsidRPr="00AE0A7B">
        <w:t xml:space="preserve"> so they a</w:t>
      </w:r>
      <w:r>
        <w:t>re prepared for boardin</w:t>
      </w:r>
      <w:r w:rsidR="005C7052">
        <w:t>g school,</w:t>
      </w:r>
    </w:p>
    <w:p w14:paraId="5A5648BC" w14:textId="77777777" w:rsidR="001E527B" w:rsidRDefault="001E527B" w:rsidP="001E527B">
      <w:pPr>
        <w:pStyle w:val="BulletedListlvl1"/>
        <w:spacing w:before="0"/>
        <w:ind w:left="567" w:hanging="283"/>
        <w:contextualSpacing w:val="0"/>
      </w:pPr>
      <w:r w:rsidRPr="00AE0A7B">
        <w:t>Supporting families to make sure children have had a medical check-up, and received any supports and services they might need, b</w:t>
      </w:r>
      <w:r>
        <w:t>efore attending boarding school.</w:t>
      </w:r>
    </w:p>
    <w:p w14:paraId="3B3146F0" w14:textId="77777777" w:rsidR="001E527B" w:rsidRDefault="001E527B" w:rsidP="005F7AA5">
      <w:pPr>
        <w:pStyle w:val="Heading2"/>
        <w:numPr>
          <w:ilvl w:val="0"/>
          <w:numId w:val="0"/>
        </w:numPr>
      </w:pPr>
      <w:bookmarkStart w:id="88" w:name="_Toc152687595"/>
      <w:bookmarkStart w:id="89" w:name="_Toc153369880"/>
      <w:r>
        <w:t>Early Childhood</w:t>
      </w:r>
      <w:bookmarkEnd w:id="88"/>
      <w:bookmarkEnd w:id="89"/>
    </w:p>
    <w:p w14:paraId="6C7B3B94" w14:textId="77777777" w:rsidR="00BE556E" w:rsidRDefault="00BE556E" w:rsidP="001E527B">
      <w:pPr>
        <w:pStyle w:val="BodyText"/>
      </w:pPr>
      <w:r>
        <w:t>This refers to a service that helps</w:t>
      </w:r>
      <w:r w:rsidR="001E527B" w:rsidRPr="00A85FF9">
        <w:t xml:space="preserve"> </w:t>
      </w:r>
      <w:r>
        <w:t>young children</w:t>
      </w:r>
      <w:r w:rsidR="001E527B" w:rsidRPr="00A85FF9">
        <w:t xml:space="preserve"> </w:t>
      </w:r>
      <w:r>
        <w:t>and</w:t>
      </w:r>
      <w:r w:rsidR="001E527B" w:rsidRPr="00A85FF9">
        <w:t xml:space="preserve"> </w:t>
      </w:r>
      <w:r>
        <w:t xml:space="preserve">their </w:t>
      </w:r>
      <w:r w:rsidR="001E527B" w:rsidRPr="00A85FF9">
        <w:t xml:space="preserve">families get ready for, and transition smoothly into, school. </w:t>
      </w:r>
      <w:r>
        <w:t xml:space="preserve">This may involve working with </w:t>
      </w:r>
      <w:r w:rsidR="005C7052">
        <w:t>young children</w:t>
      </w:r>
      <w:r>
        <w:t xml:space="preserve"> attending an early childhood service or not. It also involves working with families with young children of pre-school age to encourage them to engage with and use early childhood services in their communities.</w:t>
      </w:r>
    </w:p>
    <w:p w14:paraId="4EA9872A" w14:textId="77777777" w:rsidR="001E527B" w:rsidRPr="00A85FF9" w:rsidRDefault="00BE556E" w:rsidP="001E527B">
      <w:pPr>
        <w:pStyle w:val="BodyText"/>
      </w:pPr>
      <w:r>
        <w:t>There</w:t>
      </w:r>
      <w:r w:rsidR="001E527B">
        <w:t xml:space="preserve"> are many benefits for young people</w:t>
      </w:r>
      <w:r w:rsidR="001E527B" w:rsidRPr="00A85FF9">
        <w:t xml:space="preserve"> who attend early childhood programs. </w:t>
      </w:r>
      <w:r w:rsidR="001E527B">
        <w:t>They</w:t>
      </w:r>
      <w:r w:rsidR="001E527B" w:rsidRPr="00A85FF9">
        <w:t xml:space="preserve"> are more likely to:</w:t>
      </w:r>
    </w:p>
    <w:p w14:paraId="58B32D66" w14:textId="77777777" w:rsidR="001E527B" w:rsidRPr="008C256A" w:rsidRDefault="001E527B" w:rsidP="008C256A">
      <w:pPr>
        <w:pStyle w:val="BulletedListlvl1"/>
      </w:pPr>
      <w:r w:rsidRPr="008C256A">
        <w:t>Learn critical school skills like sharing, listening, following instructio</w:t>
      </w:r>
      <w:r w:rsidR="008C256A" w:rsidRPr="008C256A">
        <w:t>ns and focussing on tasks,</w:t>
      </w:r>
    </w:p>
    <w:p w14:paraId="6CE18568" w14:textId="77777777" w:rsidR="001E527B" w:rsidRPr="008C256A" w:rsidRDefault="001E527B" w:rsidP="008C256A">
      <w:pPr>
        <w:pStyle w:val="BulletedListlvl1"/>
      </w:pPr>
      <w:r w:rsidRPr="008C256A">
        <w:t>Become familiar and comfortable with school routines</w:t>
      </w:r>
      <w:r w:rsidR="008C256A" w:rsidRPr="008C256A">
        <w:t>,</w:t>
      </w:r>
    </w:p>
    <w:p w14:paraId="22C7E171" w14:textId="77777777" w:rsidR="001E527B" w:rsidRPr="008C256A" w:rsidRDefault="001E527B" w:rsidP="008C256A">
      <w:pPr>
        <w:pStyle w:val="BulletedListlvl1"/>
      </w:pPr>
      <w:r w:rsidRPr="008C256A">
        <w:t>Find the transition to school easier</w:t>
      </w:r>
      <w:r w:rsidR="008C256A" w:rsidRPr="008C256A">
        <w:t>,</w:t>
      </w:r>
    </w:p>
    <w:p w14:paraId="69206CDD" w14:textId="77777777" w:rsidR="001E527B" w:rsidRPr="008C256A" w:rsidRDefault="001E527B" w:rsidP="008C256A">
      <w:pPr>
        <w:pStyle w:val="BulletedListlvl1"/>
      </w:pPr>
      <w:r w:rsidRPr="008C256A">
        <w:t>Enjoy school.</w:t>
      </w:r>
    </w:p>
    <w:p w14:paraId="1BFD38B3" w14:textId="77777777" w:rsidR="001E527B" w:rsidRPr="008C256A" w:rsidRDefault="001E527B" w:rsidP="008C256A">
      <w:pPr>
        <w:pStyle w:val="BulletedListlvl1"/>
      </w:pPr>
      <w:r w:rsidRPr="008C256A">
        <w:t>Attend school regularly</w:t>
      </w:r>
      <w:r w:rsidR="008C256A" w:rsidRPr="008C256A">
        <w:t>,</w:t>
      </w:r>
    </w:p>
    <w:p w14:paraId="5C74D968" w14:textId="77777777" w:rsidR="001E527B" w:rsidRPr="008C256A" w:rsidRDefault="008C256A" w:rsidP="008C256A">
      <w:pPr>
        <w:pStyle w:val="BulletedListlvl1"/>
      </w:pPr>
      <w:r w:rsidRPr="008C256A">
        <w:t>Do well in the classroom.</w:t>
      </w:r>
    </w:p>
    <w:p w14:paraId="09C55555" w14:textId="77777777" w:rsidR="001E527B" w:rsidRPr="008C256A" w:rsidRDefault="001E527B" w:rsidP="008C256A">
      <w:pPr>
        <w:pStyle w:val="BodyText"/>
      </w:pPr>
      <w:r w:rsidRPr="008C256A">
        <w:t>The benefits of early childhood programs also extend to families</w:t>
      </w:r>
      <w:r w:rsidR="00BE556E" w:rsidRPr="008C256A">
        <w:t>, and supports their ability to help their child transition into school, understand school routines and requirements, and identify health and other issues that might make learning difficult for their children at an early age.</w:t>
      </w:r>
    </w:p>
    <w:p w14:paraId="72675C97" w14:textId="77777777" w:rsidR="001E527B" w:rsidRDefault="001E527B" w:rsidP="005F7AA5">
      <w:pPr>
        <w:pStyle w:val="Heading2"/>
        <w:numPr>
          <w:ilvl w:val="0"/>
          <w:numId w:val="0"/>
        </w:numPr>
      </w:pPr>
      <w:bookmarkStart w:id="90" w:name="_Toc152687596"/>
      <w:bookmarkStart w:id="91" w:name="_Toc153369881"/>
      <w:r>
        <w:t>Enrolment Strategy</w:t>
      </w:r>
      <w:bookmarkEnd w:id="90"/>
      <w:bookmarkEnd w:id="91"/>
    </w:p>
    <w:p w14:paraId="02580E56" w14:textId="77777777" w:rsidR="001E527B" w:rsidRPr="001E527B" w:rsidRDefault="00BE556E" w:rsidP="001E527B">
      <w:pPr>
        <w:pStyle w:val="BodyText"/>
      </w:pPr>
      <w:r>
        <w:t xml:space="preserve">An enrolment strategy refers to a service that targets young people who are not enrolled at school. </w:t>
      </w:r>
      <w:r w:rsidR="001E527B">
        <w:t>EEAI</w:t>
      </w:r>
      <w:r w:rsidR="001E527B" w:rsidRPr="001E527B">
        <w:t xml:space="preserve"> Providers may wish to develop strategies to increase the number of children enrolled in school and supporting families and students through the enrolment process.</w:t>
      </w:r>
      <w:r w:rsidR="001E527B">
        <w:t xml:space="preserve"> </w:t>
      </w:r>
    </w:p>
    <w:p w14:paraId="072AA7ED" w14:textId="77777777" w:rsidR="001E527B" w:rsidRDefault="001E527B" w:rsidP="001E527B">
      <w:pPr>
        <w:pStyle w:val="BodyText"/>
      </w:pPr>
      <w:r w:rsidRPr="001E527B">
        <w:lastRenderedPageBreak/>
        <w:t xml:space="preserve">Any enrolment strategy should work closely with the school, to ensure that the school is aware a new student is planning to enrol, and can prepare to support the students to return to the classroom, including addressing any special needs they may have. </w:t>
      </w:r>
    </w:p>
    <w:p w14:paraId="0A78E8CC" w14:textId="77777777" w:rsidR="005757C9" w:rsidRDefault="005757C9" w:rsidP="005757C9">
      <w:pPr>
        <w:pStyle w:val="Heading2"/>
        <w:numPr>
          <w:ilvl w:val="0"/>
          <w:numId w:val="0"/>
        </w:numPr>
      </w:pPr>
      <w:bookmarkStart w:id="92" w:name="_Toc152687582"/>
      <w:bookmarkStart w:id="93" w:name="_Toc153369882"/>
      <w:r>
        <w:t>Community events</w:t>
      </w:r>
      <w:bookmarkEnd w:id="92"/>
      <w:bookmarkEnd w:id="93"/>
    </w:p>
    <w:p w14:paraId="5B879F55" w14:textId="77777777" w:rsidR="005757C9" w:rsidRDefault="005757C9" w:rsidP="005757C9">
      <w:pPr>
        <w:pStyle w:val="BodyText"/>
      </w:pPr>
      <w:r>
        <w:t>Community events bring people together to connect, share knowledge, share information, celebrate and/or reward achievements. These events tend to be less formal and structured than community summits and mainly aim to get more people engaged and participating. Examples include:</w:t>
      </w:r>
    </w:p>
    <w:p w14:paraId="7CF86A87" w14:textId="77777777" w:rsidR="005757C9" w:rsidRDefault="005757C9" w:rsidP="005757C9">
      <w:pPr>
        <w:pStyle w:val="BulletedListlvl1"/>
        <w:spacing w:before="0"/>
        <w:ind w:left="567" w:hanging="283"/>
        <w:contextualSpacing w:val="0"/>
      </w:pPr>
      <w:r>
        <w:t>Back to school family fun day</w:t>
      </w:r>
      <w:r w:rsidR="008C256A">
        <w:t>s</w:t>
      </w:r>
      <w:r>
        <w:t xml:space="preserve"> to welcome new teachers and get fa</w:t>
      </w:r>
      <w:r w:rsidR="008C256A">
        <w:t>milies involved with the school,</w:t>
      </w:r>
    </w:p>
    <w:p w14:paraId="611BB081" w14:textId="77777777" w:rsidR="005757C9" w:rsidRDefault="005757C9" w:rsidP="005757C9">
      <w:pPr>
        <w:pStyle w:val="BulletedListlvl1"/>
        <w:spacing w:before="0"/>
        <w:ind w:left="567" w:hanging="283"/>
        <w:contextualSpacing w:val="0"/>
      </w:pPr>
      <w:r>
        <w:t>Youth camps to reward attendance achievement</w:t>
      </w:r>
      <w:r w:rsidR="008C256A">
        <w:t>s or to support disengaged kids,</w:t>
      </w:r>
    </w:p>
    <w:p w14:paraId="7E4F419E" w14:textId="77777777" w:rsidR="005757C9" w:rsidRDefault="005757C9" w:rsidP="005757C9">
      <w:pPr>
        <w:pStyle w:val="BulletedListlvl1"/>
        <w:spacing w:before="0"/>
        <w:ind w:left="567" w:hanging="283"/>
        <w:contextualSpacing w:val="0"/>
      </w:pPr>
      <w:r>
        <w:t>Cultural learning events to share and celebrate culture and prom</w:t>
      </w:r>
      <w:r w:rsidR="008C256A">
        <w:t>ote the importance of education,</w:t>
      </w:r>
    </w:p>
    <w:p w14:paraId="419534CC" w14:textId="77777777" w:rsidR="005757C9" w:rsidRDefault="005757C9" w:rsidP="005757C9">
      <w:pPr>
        <w:pStyle w:val="BulletedListlvl1"/>
        <w:spacing w:before="0"/>
        <w:ind w:left="567" w:hanging="283"/>
        <w:contextualSpacing w:val="0"/>
      </w:pPr>
      <w:r>
        <w:t>Career days to provide information about career</w:t>
      </w:r>
      <w:r w:rsidR="008C256A">
        <w:t xml:space="preserve"> pathways and promote education,</w:t>
      </w:r>
    </w:p>
    <w:p w14:paraId="14174D41" w14:textId="77777777" w:rsidR="005757C9" w:rsidRDefault="005757C9" w:rsidP="005757C9">
      <w:pPr>
        <w:pStyle w:val="BulletedListlvl1"/>
        <w:spacing w:before="0" w:after="240"/>
        <w:ind w:left="567" w:hanging="283"/>
        <w:contextualSpacing w:val="0"/>
      </w:pPr>
      <w:r>
        <w:t>Sports carnivals to engage students.</w:t>
      </w:r>
      <w:r w:rsidRPr="00332A77">
        <w:rPr>
          <w:noProof/>
        </w:rPr>
        <w:t xml:space="preserve"> </w:t>
      </w:r>
    </w:p>
    <w:p w14:paraId="5CFB739A" w14:textId="77777777" w:rsidR="005757C9" w:rsidRDefault="005757C9" w:rsidP="005757C9">
      <w:pPr>
        <w:pStyle w:val="Heading2"/>
        <w:numPr>
          <w:ilvl w:val="0"/>
          <w:numId w:val="0"/>
        </w:numPr>
      </w:pPr>
      <w:bookmarkStart w:id="94" w:name="_Toc152687583"/>
      <w:bookmarkStart w:id="95" w:name="_Toc153369883"/>
      <w:r w:rsidRPr="005F7AA5">
        <w:t>Breakfast</w:t>
      </w:r>
      <w:r>
        <w:t xml:space="preserve"> and/or lunch programs</w:t>
      </w:r>
      <w:bookmarkEnd w:id="94"/>
      <w:bookmarkEnd w:id="95"/>
    </w:p>
    <w:p w14:paraId="358ED59B" w14:textId="77777777" w:rsidR="005757C9" w:rsidRDefault="005757C9" w:rsidP="005757C9">
      <w:pPr>
        <w:pStyle w:val="BodyText"/>
      </w:pPr>
      <w:r>
        <w:t>This refers to a service that provides healthy meals to students or young people</w:t>
      </w:r>
      <w:r w:rsidR="008C256A">
        <w:t xml:space="preserve"> to encourage engagement and participation at school</w:t>
      </w:r>
      <w:r>
        <w:t xml:space="preserve">. </w:t>
      </w:r>
      <w:r w:rsidR="008C256A">
        <w:t xml:space="preserve">While anecdotal evidence suggests concentration and learning improves when children have been provided with meals, EEAI Providers must be careful not to replace the role of parents in providing for their children. </w:t>
      </w:r>
      <w:r>
        <w:t>If there is a real need for a breakfast or lunch program, Providers should consider how parents and carers will contribute to the program (for example, donation</w:t>
      </w:r>
      <w:r w:rsidR="008C256A">
        <w:t>s of money or goods,</w:t>
      </w:r>
      <w:r>
        <w:t xml:space="preserve"> </w:t>
      </w:r>
      <w:r w:rsidR="008C256A">
        <w:t>parents</w:t>
      </w:r>
      <w:r>
        <w:t xml:space="preserve"> volunteer</w:t>
      </w:r>
      <w:r w:rsidR="008C256A">
        <w:t>ing</w:t>
      </w:r>
      <w:r>
        <w:t xml:space="preserve"> </w:t>
      </w:r>
      <w:r w:rsidR="008C256A">
        <w:t>to assist</w:t>
      </w:r>
      <w:r>
        <w:t xml:space="preserve">). Breakfast and lunch programs must not duplicate services offered under the School Nutrition Projects (SNP) in the Northern Territory, or any other equivalent service. </w:t>
      </w:r>
    </w:p>
    <w:p w14:paraId="43A55C0C" w14:textId="77777777" w:rsidR="005757C9" w:rsidRDefault="005757C9" w:rsidP="005757C9">
      <w:pPr>
        <w:pStyle w:val="BodyText"/>
      </w:pPr>
      <w:r>
        <w:t xml:space="preserve">Providers must carefully consider the need for any food program and consider the medium-to long-term dependencies that may arise if they implement a breakfast and/or lunch program. </w:t>
      </w:r>
      <w:r w:rsidR="008C256A">
        <w:t>Providers should consider</w:t>
      </w:r>
      <w:r>
        <w:t xml:space="preserve"> other ways </w:t>
      </w:r>
      <w:r w:rsidR="008C256A">
        <w:t xml:space="preserve">they </w:t>
      </w:r>
      <w:r>
        <w:t xml:space="preserve">can support students without taking on a role that might create dependence. For example, they may implement a family nutrition </w:t>
      </w:r>
      <w:r w:rsidR="008C256A">
        <w:t xml:space="preserve">skills </w:t>
      </w:r>
      <w:r>
        <w:t>program or support the school to deliver cooking classes</w:t>
      </w:r>
      <w:r w:rsidDel="00DD7333">
        <w:t xml:space="preserve"> </w:t>
      </w:r>
      <w:r>
        <w:t>for families.</w:t>
      </w:r>
    </w:p>
    <w:p w14:paraId="39C90FCD" w14:textId="77777777" w:rsidR="005757C9" w:rsidRPr="004B40B4" w:rsidRDefault="005757C9" w:rsidP="005757C9">
      <w:pPr>
        <w:pStyle w:val="Heading2"/>
        <w:numPr>
          <w:ilvl w:val="0"/>
          <w:numId w:val="0"/>
        </w:numPr>
      </w:pPr>
      <w:bookmarkStart w:id="96" w:name="_Toc152687586"/>
      <w:bookmarkStart w:id="97" w:name="_Toc153369884"/>
      <w:r>
        <w:t>Rewards and Recognition</w:t>
      </w:r>
      <w:bookmarkEnd w:id="96"/>
      <w:bookmarkEnd w:id="97"/>
    </w:p>
    <w:p w14:paraId="71700456" w14:textId="77777777" w:rsidR="005757C9" w:rsidRDefault="005757C9" w:rsidP="005757C9">
      <w:pPr>
        <w:pStyle w:val="BodyText"/>
      </w:pPr>
      <w:r w:rsidRPr="00986FBC">
        <w:t xml:space="preserve">Rewards and </w:t>
      </w:r>
      <w:r w:rsidR="008C256A">
        <w:t>Recognition</w:t>
      </w:r>
      <w:r w:rsidRPr="00986FBC">
        <w:t xml:space="preserve"> </w:t>
      </w:r>
      <w:r>
        <w:t>are services that offer various forms of incentive to</w:t>
      </w:r>
      <w:r w:rsidRPr="00986FBC">
        <w:t xml:space="preserve"> </w:t>
      </w:r>
      <w:r w:rsidR="008C256A">
        <w:t>improve</w:t>
      </w:r>
      <w:r>
        <w:t xml:space="preserve"> participation and educational achievement by recognising a student’s efforts and encouraging a sense of accomplishment. Rewarding small improvements</w:t>
      </w:r>
      <w:r w:rsidRPr="00986FBC">
        <w:t xml:space="preserve"> can have a big impact. </w:t>
      </w:r>
      <w:r>
        <w:t>EEAI Providers</w:t>
      </w:r>
      <w:r w:rsidRPr="00986FBC">
        <w:t xml:space="preserve"> can reward students, families or the whole community when goals are achieved. </w:t>
      </w:r>
      <w:r>
        <w:t xml:space="preserve">Rewards and recognitions programs should recognise improvement as well as achievement, so students can see and work towards achievable goals. </w:t>
      </w:r>
    </w:p>
    <w:p w14:paraId="7163416A" w14:textId="77777777" w:rsidR="006372F3" w:rsidRPr="00AD70EE" w:rsidRDefault="005757C9" w:rsidP="006372F3">
      <w:pPr>
        <w:pStyle w:val="BodyText"/>
      </w:pPr>
      <w:r>
        <w:t>It is important to communicate what rewards will be offered, and how they can be earned. If people feel that rewards are not applied fairly, or are not achievable, rewards and incentives can have unintended consequences. Finally, rewards and recognition programs should never be promoted as a payment. In other words Providers should be careful not to set an expectation that a reward will be regularly provided without commensurate progre</w:t>
      </w:r>
      <w:r w:rsidR="008C256A">
        <w:t>ss, improvement or achievement.</w:t>
      </w:r>
    </w:p>
    <w:sectPr w:rsidR="006372F3" w:rsidRPr="00AD70EE" w:rsidSect="00751479">
      <w:headerReference w:type="default" r:id="rId14"/>
      <w:footerReference w:type="default" r:id="rId15"/>
      <w:headerReference w:type="first" r:id="rId16"/>
      <w:footerReference w:type="first" r:id="rId17"/>
      <w:pgSz w:w="11906" w:h="16838"/>
      <w:pgMar w:top="1559" w:right="851" w:bottom="1701" w:left="851" w:header="567"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832A" w14:textId="77777777" w:rsidR="00DF5600" w:rsidRDefault="00DF5600" w:rsidP="00B95533">
      <w:pPr>
        <w:spacing w:after="0" w:line="240" w:lineRule="auto"/>
      </w:pPr>
      <w:r>
        <w:separator/>
      </w:r>
    </w:p>
  </w:endnote>
  <w:endnote w:type="continuationSeparator" w:id="0">
    <w:p w14:paraId="7877FDEA" w14:textId="77777777" w:rsidR="00DF5600" w:rsidRDefault="00DF560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3E25" w14:textId="26CF464C" w:rsidR="00233C6F" w:rsidRPr="0040648D" w:rsidRDefault="00233C6F" w:rsidP="00B333DE">
    <w:pPr>
      <w:pStyle w:val="Footerline"/>
      <w:pBdr>
        <w:top w:val="single" w:sz="24" w:space="7" w:color="2A4055" w:themeColor="accent1"/>
      </w:pBdr>
      <w:tabs>
        <w:tab w:val="right" w:pos="10204"/>
      </w:tabs>
    </w:pPr>
    <w:r>
      <w:rPr>
        <w:lang w:eastAsia="en-AU"/>
      </w:rPr>
      <w:drawing>
        <wp:anchor distT="0" distB="0" distL="114300" distR="114300" simplePos="0" relativeHeight="251731967" behindDoc="1" locked="1" layoutInCell="1" allowOverlap="1" wp14:anchorId="70B9E8A2" wp14:editId="271E7BB9">
          <wp:simplePos x="0" y="0"/>
          <wp:positionH relativeFrom="margin">
            <wp:align>left</wp:align>
          </wp:positionH>
          <wp:positionV relativeFrom="page">
            <wp:posOffset>9966325</wp:posOffset>
          </wp:positionV>
          <wp:extent cx="7524000" cy="716400"/>
          <wp:effectExtent l="0" t="0" r="1270" b="7620"/>
          <wp:wrapNone/>
          <wp:docPr id="16" name="Picture 16"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sidRPr="0040648D">
      <w:t xml:space="preserve">NIAA | </w:t>
    </w:r>
    <w:r w:rsidRPr="009F026F">
      <w:rPr>
        <w:caps w:val="0"/>
      </w:rPr>
      <w:t xml:space="preserve"> </w:t>
    </w:r>
    <w:r w:rsidRPr="009F026F">
      <w:rPr>
        <w:caps w:val="0"/>
      </w:rPr>
      <w:fldChar w:fldCharType="begin"/>
    </w:r>
    <w:r w:rsidRPr="009F026F">
      <w:rPr>
        <w:caps w:val="0"/>
      </w:rPr>
      <w:instrText xml:space="preserve"> STYLEREF  "Title"  \* MERGEFORMAT </w:instrText>
    </w:r>
    <w:r w:rsidRPr="009F026F">
      <w:rPr>
        <w:caps w:val="0"/>
      </w:rPr>
      <w:fldChar w:fldCharType="separate"/>
    </w:r>
    <w:r w:rsidR="0015520C">
      <w:rPr>
        <w:caps w:val="0"/>
      </w:rPr>
      <w:t>Children &amp; Schooling Education Engagement &amp; Attainment Initiatives</w:t>
    </w:r>
    <w:r w:rsidRPr="009F026F">
      <w:rPr>
        <w:b/>
        <w:caps w:val="0"/>
        <w:lang w:val="en-US"/>
      </w:rPr>
      <w:fldChar w:fldCharType="end"/>
    </w:r>
    <w:r>
      <w:rPr>
        <w:b/>
        <w:caps w:val="0"/>
        <w:lang w:val="en-US"/>
      </w:rPr>
      <w:t xml:space="preserve"> </w:t>
    </w:r>
    <w:r w:rsidRPr="00251F0F">
      <w:rPr>
        <w:caps w:val="0"/>
        <w:lang w:val="en-US"/>
      </w:rPr>
      <w:t>Operational Framework 2024</w:t>
    </w:r>
    <w:r>
      <w:tab/>
    </w:r>
    <w:r w:rsidRPr="00DE351C">
      <w:rPr>
        <w:noProof w:val="0"/>
      </w:rPr>
      <w:fldChar w:fldCharType="begin"/>
    </w:r>
    <w:r w:rsidRPr="00DE351C">
      <w:instrText xml:space="preserve"> PAGE   \* MERGEFORMAT </w:instrText>
    </w:r>
    <w:r w:rsidRPr="00DE351C">
      <w:rPr>
        <w:noProof w:val="0"/>
      </w:rPr>
      <w:fldChar w:fldCharType="separate"/>
    </w:r>
    <w:r w:rsidR="0015520C">
      <w:t>2</w:t>
    </w:r>
    <w:r w:rsidRPr="00DE35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556B" w14:textId="77777777" w:rsidR="00233C6F" w:rsidRPr="00F651C4" w:rsidRDefault="00233C6F" w:rsidP="00FF723C">
    <w:pPr>
      <w:pStyle w:val="Footerline"/>
      <w:tabs>
        <w:tab w:val="left" w:pos="1058"/>
      </w:tabs>
    </w:pPr>
    <w:r>
      <w:rPr>
        <w:lang w:eastAsia="en-AU"/>
      </w:rPr>
      <w:drawing>
        <wp:anchor distT="0" distB="0" distL="114300" distR="114300" simplePos="0" relativeHeight="251730943" behindDoc="1" locked="0" layoutInCell="1" allowOverlap="1" wp14:anchorId="577D3F33" wp14:editId="7AEE5CF1">
          <wp:simplePos x="0" y="0"/>
          <wp:positionH relativeFrom="page">
            <wp:align>right</wp:align>
          </wp:positionH>
          <wp:positionV relativeFrom="paragraph">
            <wp:posOffset>-1978850</wp:posOffset>
          </wp:positionV>
          <wp:extent cx="7552706" cy="2445526"/>
          <wp:effectExtent l="0" t="0" r="0" b="0"/>
          <wp:wrapNone/>
          <wp:docPr id="17" name="Picture 17" descr="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2-023_ORIGINAL_Word_Template_Report_Cover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706" cy="24455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D5B0" w14:textId="77777777" w:rsidR="00DF5600" w:rsidRPr="007A6FC6" w:rsidRDefault="00DF5600" w:rsidP="00B95533">
      <w:pPr>
        <w:spacing w:after="0" w:line="240" w:lineRule="auto"/>
        <w:rPr>
          <w:color w:val="00948D" w:themeColor="accent2"/>
        </w:rPr>
      </w:pPr>
      <w:r w:rsidRPr="007A6FC6">
        <w:rPr>
          <w:color w:val="00948D" w:themeColor="accent2"/>
        </w:rPr>
        <w:separator/>
      </w:r>
    </w:p>
  </w:footnote>
  <w:footnote w:type="continuationSeparator" w:id="0">
    <w:p w14:paraId="183F4E69" w14:textId="77777777" w:rsidR="00DF5600" w:rsidRPr="007A6FC6" w:rsidRDefault="00DF5600"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9E44" w14:textId="77777777" w:rsidR="00233C6F" w:rsidRDefault="00233C6F">
    <w:pPr>
      <w:pStyle w:val="Header"/>
    </w:pPr>
  </w:p>
  <w:p w14:paraId="473D5BC9" w14:textId="77777777" w:rsidR="00233C6F" w:rsidRDefault="00233C6F">
    <w:pPr>
      <w:pStyle w:val="Header"/>
    </w:pPr>
  </w:p>
  <w:p w14:paraId="17F719FE" w14:textId="77777777" w:rsidR="00233C6F" w:rsidRDefault="00233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B48C" w14:textId="77777777" w:rsidR="00233C6F" w:rsidRPr="00B87E45" w:rsidRDefault="00233C6F" w:rsidP="00FF723C">
    <w:pPr>
      <w:pStyle w:val="ProtectiveMarking"/>
    </w:pPr>
  </w:p>
  <w:p w14:paraId="095054CD" w14:textId="77777777" w:rsidR="00233C6F" w:rsidRDefault="0023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849"/>
    <w:multiLevelType w:val="hybridMultilevel"/>
    <w:tmpl w:val="C408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818C9"/>
    <w:multiLevelType w:val="hybridMultilevel"/>
    <w:tmpl w:val="FD48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A0DAD"/>
    <w:multiLevelType w:val="hybridMultilevel"/>
    <w:tmpl w:val="A38CC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33C3A"/>
    <w:multiLevelType w:val="multilevel"/>
    <w:tmpl w:val="62F27B4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095848"/>
    <w:multiLevelType w:val="multilevel"/>
    <w:tmpl w:val="0642602E"/>
    <w:lvl w:ilvl="0">
      <w:start w:val="1"/>
      <w:numFmt w:val="decimal"/>
      <w:pStyle w:val="Heading2numbered"/>
      <w:lvlText w:val="%1."/>
      <w:lvlJc w:val="left"/>
      <w:pPr>
        <w:ind w:left="1268" w:hanging="360"/>
      </w:pPr>
    </w:lvl>
    <w:lvl w:ilvl="1">
      <w:start w:val="1"/>
      <w:numFmt w:val="decimal"/>
      <w:pStyle w:val="Bodytext-Numberedparagraph"/>
      <w:lvlText w:val="%1.%2."/>
      <w:lvlJc w:val="left"/>
      <w:pPr>
        <w:ind w:left="990" w:hanging="432"/>
      </w:pPr>
    </w:lvl>
    <w:lvl w:ilvl="2">
      <w:start w:val="1"/>
      <w:numFmt w:val="decimal"/>
      <w:lvlText w:val="%1.%2.%3."/>
      <w:lvlJc w:val="left"/>
      <w:pPr>
        <w:ind w:left="1422" w:hanging="504"/>
      </w:pPr>
    </w:lvl>
    <w:lvl w:ilvl="3">
      <w:start w:val="1"/>
      <w:numFmt w:val="decimal"/>
      <w:lvlText w:val="%1.%2.%3.%4."/>
      <w:lvlJc w:val="left"/>
      <w:pPr>
        <w:ind w:left="1926" w:hanging="648"/>
      </w:pPr>
    </w:lvl>
    <w:lvl w:ilvl="4">
      <w:start w:val="1"/>
      <w:numFmt w:val="decimal"/>
      <w:lvlText w:val="%1.%2.%3.%4.%5."/>
      <w:lvlJc w:val="left"/>
      <w:pPr>
        <w:ind w:left="2430" w:hanging="792"/>
      </w:pPr>
    </w:lvl>
    <w:lvl w:ilvl="5">
      <w:start w:val="1"/>
      <w:numFmt w:val="decimal"/>
      <w:lvlText w:val="%1.%2.%3.%4.%5.%6."/>
      <w:lvlJc w:val="left"/>
      <w:pPr>
        <w:ind w:left="2934" w:hanging="936"/>
      </w:pPr>
    </w:lvl>
    <w:lvl w:ilvl="6">
      <w:start w:val="1"/>
      <w:numFmt w:val="decimal"/>
      <w:lvlText w:val="%1.%2.%3.%4.%5.%6.%7."/>
      <w:lvlJc w:val="left"/>
      <w:pPr>
        <w:ind w:left="3438" w:hanging="1080"/>
      </w:pPr>
    </w:lvl>
    <w:lvl w:ilvl="7">
      <w:start w:val="1"/>
      <w:numFmt w:val="decimal"/>
      <w:lvlText w:val="%1.%2.%3.%4.%5.%6.%7.%8."/>
      <w:lvlJc w:val="left"/>
      <w:pPr>
        <w:ind w:left="3942" w:hanging="1224"/>
      </w:pPr>
    </w:lvl>
    <w:lvl w:ilvl="8">
      <w:start w:val="1"/>
      <w:numFmt w:val="decimal"/>
      <w:lvlText w:val="%1.%2.%3.%4.%5.%6.%7.%8.%9."/>
      <w:lvlJc w:val="left"/>
      <w:pPr>
        <w:ind w:left="4518" w:hanging="144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10710088"/>
    <w:multiLevelType w:val="multilevel"/>
    <w:tmpl w:val="7B90C13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8F009D"/>
    <w:multiLevelType w:val="hybridMultilevel"/>
    <w:tmpl w:val="8084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004D29"/>
    <w:multiLevelType w:val="hybridMultilevel"/>
    <w:tmpl w:val="2888571C"/>
    <w:lvl w:ilvl="0" w:tplc="1DCA3CB0">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553D00"/>
    <w:multiLevelType w:val="hybridMultilevel"/>
    <w:tmpl w:val="F57AF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6137A"/>
    <w:multiLevelType w:val="hybridMultilevel"/>
    <w:tmpl w:val="ADD2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04DEE"/>
    <w:multiLevelType w:val="hybridMultilevel"/>
    <w:tmpl w:val="F6BE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0634B"/>
    <w:multiLevelType w:val="hybridMultilevel"/>
    <w:tmpl w:val="18829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87C76"/>
    <w:multiLevelType w:val="hybridMultilevel"/>
    <w:tmpl w:val="3F62E4E0"/>
    <w:lvl w:ilvl="0" w:tplc="0C090001">
      <w:start w:val="1"/>
      <w:numFmt w:val="bullet"/>
      <w:lvlText w:val=""/>
      <w:lvlJc w:val="left"/>
      <w:pPr>
        <w:ind w:left="720" w:hanging="360"/>
      </w:pPr>
      <w:rPr>
        <w:rFonts w:ascii="Symbol" w:hAnsi="Symbol" w:hint="default"/>
      </w:rPr>
    </w:lvl>
    <w:lvl w:ilvl="1" w:tplc="1D8A936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050C3D"/>
    <w:multiLevelType w:val="hybridMultilevel"/>
    <w:tmpl w:val="7B40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A35DF"/>
    <w:multiLevelType w:val="hybridMultilevel"/>
    <w:tmpl w:val="E97245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32DD7E58"/>
    <w:multiLevelType w:val="hybridMultilevel"/>
    <w:tmpl w:val="8DE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26549"/>
    <w:multiLevelType w:val="hybridMultilevel"/>
    <w:tmpl w:val="E40E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E710B8"/>
    <w:multiLevelType w:val="multilevel"/>
    <w:tmpl w:val="0E10FB2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41116D0B"/>
    <w:multiLevelType w:val="hybridMultilevel"/>
    <w:tmpl w:val="1F102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343772"/>
    <w:multiLevelType w:val="hybridMultilevel"/>
    <w:tmpl w:val="8C10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52BDC"/>
    <w:multiLevelType w:val="multilevel"/>
    <w:tmpl w:val="CF208A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5D7787"/>
    <w:multiLevelType w:val="hybridMultilevel"/>
    <w:tmpl w:val="B290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10829"/>
    <w:multiLevelType w:val="hybridMultilevel"/>
    <w:tmpl w:val="6134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B95FE1"/>
    <w:multiLevelType w:val="hybridMultilevel"/>
    <w:tmpl w:val="F512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608F21F8"/>
    <w:multiLevelType w:val="multilevel"/>
    <w:tmpl w:val="D92E6BEA"/>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eve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67614620"/>
    <w:multiLevelType w:val="multilevel"/>
    <w:tmpl w:val="CF208A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27C4BD9"/>
    <w:multiLevelType w:val="hybridMultilevel"/>
    <w:tmpl w:val="306609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72EF1E09"/>
    <w:multiLevelType w:val="multilevel"/>
    <w:tmpl w:val="8B5E139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1"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2" w15:restartNumberingAfterBreak="0">
    <w:nsid w:val="78CB57F4"/>
    <w:multiLevelType w:val="multilevel"/>
    <w:tmpl w:val="0E10FB2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9"/>
  </w:num>
  <w:num w:numId="3">
    <w:abstractNumId w:val="27"/>
  </w:num>
  <w:num w:numId="4">
    <w:abstractNumId w:val="2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5"/>
  </w:num>
  <w:num w:numId="6">
    <w:abstractNumId w:val="31"/>
  </w:num>
  <w:num w:numId="7">
    <w:abstractNumId w:val="30"/>
  </w:num>
  <w:num w:numId="8">
    <w:abstractNumId w:val="1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9">
    <w:abstractNumId w:val="4"/>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2"/>
  </w:num>
  <w:num w:numId="13">
    <w:abstractNumId w:val="21"/>
  </w:num>
  <w:num w:numId="14">
    <w:abstractNumId w:val="6"/>
  </w:num>
  <w:num w:numId="15">
    <w:abstractNumId w:val="17"/>
  </w:num>
  <w:num w:numId="16">
    <w:abstractNumId w:val="25"/>
  </w:num>
  <w:num w:numId="17">
    <w:abstractNumId w:val="24"/>
  </w:num>
  <w:num w:numId="18">
    <w:abstractNumId w:val="16"/>
  </w:num>
  <w:num w:numId="19">
    <w:abstractNumId w:val="29"/>
  </w:num>
  <w:num w:numId="20">
    <w:abstractNumId w:val="28"/>
  </w:num>
  <w:num w:numId="21">
    <w:abstractNumId w:val="15"/>
  </w:num>
  <w:num w:numId="22">
    <w:abstractNumId w:val="13"/>
  </w:num>
  <w:num w:numId="23">
    <w:abstractNumId w:val="2"/>
  </w:num>
  <w:num w:numId="24">
    <w:abstractNumId w:val="7"/>
  </w:num>
  <w:num w:numId="25">
    <w:abstractNumId w:val="22"/>
  </w:num>
  <w:num w:numId="26">
    <w:abstractNumId w:val="20"/>
  </w:num>
  <w:num w:numId="27">
    <w:abstractNumId w:val="9"/>
  </w:num>
  <w:num w:numId="28">
    <w:abstractNumId w:val="11"/>
  </w:num>
  <w:num w:numId="29">
    <w:abstractNumId w:val="14"/>
  </w:num>
  <w:num w:numId="30">
    <w:abstractNumId w:val="1"/>
  </w:num>
  <w:num w:numId="31">
    <w:abstractNumId w:val="10"/>
  </w:num>
  <w:num w:numId="32">
    <w:abstractNumId w:val="23"/>
  </w:num>
  <w:num w:numId="33">
    <w:abstractNumId w:val="3"/>
  </w:num>
  <w:num w:numId="34">
    <w:abstractNumId w:val="8"/>
  </w:num>
  <w:num w:numId="35">
    <w:abstractNumId w:val="8"/>
    <w:lvlOverride w:ilvl="0">
      <w:startOverride w:val="1"/>
    </w:lvlOverride>
  </w:num>
  <w:num w:numId="36">
    <w:abstractNumId w:val="0"/>
  </w:num>
  <w:num w:numId="3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00"/>
    <w:rsid w:val="00001AAE"/>
    <w:rsid w:val="00002F73"/>
    <w:rsid w:val="00006EEE"/>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4C7F"/>
    <w:rsid w:val="00057B46"/>
    <w:rsid w:val="00063034"/>
    <w:rsid w:val="00073D52"/>
    <w:rsid w:val="00076AD1"/>
    <w:rsid w:val="000803CA"/>
    <w:rsid w:val="000835A1"/>
    <w:rsid w:val="00085AE0"/>
    <w:rsid w:val="00091BCD"/>
    <w:rsid w:val="0009265A"/>
    <w:rsid w:val="00093EEF"/>
    <w:rsid w:val="0009427C"/>
    <w:rsid w:val="00094B02"/>
    <w:rsid w:val="0009590F"/>
    <w:rsid w:val="00095BF3"/>
    <w:rsid w:val="000A041E"/>
    <w:rsid w:val="000A08CA"/>
    <w:rsid w:val="000A0E4C"/>
    <w:rsid w:val="000A3F69"/>
    <w:rsid w:val="000A4554"/>
    <w:rsid w:val="000A50AB"/>
    <w:rsid w:val="000C0327"/>
    <w:rsid w:val="000C29C5"/>
    <w:rsid w:val="000D0E41"/>
    <w:rsid w:val="000D106A"/>
    <w:rsid w:val="000D113F"/>
    <w:rsid w:val="000D2E56"/>
    <w:rsid w:val="000E351D"/>
    <w:rsid w:val="000E60F7"/>
    <w:rsid w:val="000F00C4"/>
    <w:rsid w:val="000F1B86"/>
    <w:rsid w:val="000F1DE1"/>
    <w:rsid w:val="000F237A"/>
    <w:rsid w:val="000F23B0"/>
    <w:rsid w:val="000F4D62"/>
    <w:rsid w:val="000F5917"/>
    <w:rsid w:val="001007B9"/>
    <w:rsid w:val="00102D6B"/>
    <w:rsid w:val="00103813"/>
    <w:rsid w:val="00105ECB"/>
    <w:rsid w:val="001078FD"/>
    <w:rsid w:val="001113CF"/>
    <w:rsid w:val="001165DE"/>
    <w:rsid w:val="001249EF"/>
    <w:rsid w:val="00127EDA"/>
    <w:rsid w:val="0013092F"/>
    <w:rsid w:val="00131315"/>
    <w:rsid w:val="00132268"/>
    <w:rsid w:val="001336CF"/>
    <w:rsid w:val="00136A3B"/>
    <w:rsid w:val="00137246"/>
    <w:rsid w:val="00141540"/>
    <w:rsid w:val="00143288"/>
    <w:rsid w:val="00145162"/>
    <w:rsid w:val="0015374F"/>
    <w:rsid w:val="0015520C"/>
    <w:rsid w:val="0015537B"/>
    <w:rsid w:val="00157BCA"/>
    <w:rsid w:val="0016781C"/>
    <w:rsid w:val="001727AF"/>
    <w:rsid w:val="00176EA5"/>
    <w:rsid w:val="00177611"/>
    <w:rsid w:val="0017798C"/>
    <w:rsid w:val="00177CEF"/>
    <w:rsid w:val="001809C6"/>
    <w:rsid w:val="00180C0E"/>
    <w:rsid w:val="00181C56"/>
    <w:rsid w:val="00183F00"/>
    <w:rsid w:val="00183FA2"/>
    <w:rsid w:val="001850CB"/>
    <w:rsid w:val="001902A1"/>
    <w:rsid w:val="001912A0"/>
    <w:rsid w:val="00193036"/>
    <w:rsid w:val="00193801"/>
    <w:rsid w:val="00194E96"/>
    <w:rsid w:val="001953CF"/>
    <w:rsid w:val="00195BA8"/>
    <w:rsid w:val="001A1957"/>
    <w:rsid w:val="001A2BC3"/>
    <w:rsid w:val="001A2F86"/>
    <w:rsid w:val="001B0144"/>
    <w:rsid w:val="001B10ED"/>
    <w:rsid w:val="001B6F89"/>
    <w:rsid w:val="001C2FC8"/>
    <w:rsid w:val="001C63DF"/>
    <w:rsid w:val="001D283B"/>
    <w:rsid w:val="001E4245"/>
    <w:rsid w:val="001E527B"/>
    <w:rsid w:val="001F0654"/>
    <w:rsid w:val="001F1E26"/>
    <w:rsid w:val="001F3722"/>
    <w:rsid w:val="001F539F"/>
    <w:rsid w:val="001F62B5"/>
    <w:rsid w:val="001F738E"/>
    <w:rsid w:val="0020007C"/>
    <w:rsid w:val="0021247A"/>
    <w:rsid w:val="00221BC2"/>
    <w:rsid w:val="002229A5"/>
    <w:rsid w:val="00230242"/>
    <w:rsid w:val="002317BD"/>
    <w:rsid w:val="00231B22"/>
    <w:rsid w:val="002323D2"/>
    <w:rsid w:val="00233C6F"/>
    <w:rsid w:val="00234705"/>
    <w:rsid w:val="00237365"/>
    <w:rsid w:val="00250BE6"/>
    <w:rsid w:val="00251AE2"/>
    <w:rsid w:val="00251F0F"/>
    <w:rsid w:val="00252F38"/>
    <w:rsid w:val="00260C56"/>
    <w:rsid w:val="00264A5E"/>
    <w:rsid w:val="00266433"/>
    <w:rsid w:val="00271572"/>
    <w:rsid w:val="00277016"/>
    <w:rsid w:val="0027769C"/>
    <w:rsid w:val="00281E3E"/>
    <w:rsid w:val="00283C36"/>
    <w:rsid w:val="00284710"/>
    <w:rsid w:val="00294CEA"/>
    <w:rsid w:val="00294D1D"/>
    <w:rsid w:val="002952F9"/>
    <w:rsid w:val="002955DD"/>
    <w:rsid w:val="002A0289"/>
    <w:rsid w:val="002A1088"/>
    <w:rsid w:val="002A371E"/>
    <w:rsid w:val="002B1EDB"/>
    <w:rsid w:val="002B4B0A"/>
    <w:rsid w:val="002B60A7"/>
    <w:rsid w:val="002C0866"/>
    <w:rsid w:val="002C0B0E"/>
    <w:rsid w:val="002C5434"/>
    <w:rsid w:val="002C5F5B"/>
    <w:rsid w:val="002C777D"/>
    <w:rsid w:val="002D40B1"/>
    <w:rsid w:val="002D45CD"/>
    <w:rsid w:val="002D75F9"/>
    <w:rsid w:val="002E07AC"/>
    <w:rsid w:val="002E3596"/>
    <w:rsid w:val="002E5230"/>
    <w:rsid w:val="002E6AA1"/>
    <w:rsid w:val="002F10EB"/>
    <w:rsid w:val="002F1EC7"/>
    <w:rsid w:val="002F57C6"/>
    <w:rsid w:val="00303438"/>
    <w:rsid w:val="003071D0"/>
    <w:rsid w:val="00307A69"/>
    <w:rsid w:val="00312E4A"/>
    <w:rsid w:val="0031546F"/>
    <w:rsid w:val="00316B0D"/>
    <w:rsid w:val="00317427"/>
    <w:rsid w:val="003255DA"/>
    <w:rsid w:val="003300DB"/>
    <w:rsid w:val="0033088D"/>
    <w:rsid w:val="00335425"/>
    <w:rsid w:val="003371F0"/>
    <w:rsid w:val="00337DA9"/>
    <w:rsid w:val="00345B55"/>
    <w:rsid w:val="003500C6"/>
    <w:rsid w:val="00357154"/>
    <w:rsid w:val="0036008A"/>
    <w:rsid w:val="00363AE5"/>
    <w:rsid w:val="00367834"/>
    <w:rsid w:val="0038281F"/>
    <w:rsid w:val="003848EF"/>
    <w:rsid w:val="00385B65"/>
    <w:rsid w:val="00391929"/>
    <w:rsid w:val="00391CEF"/>
    <w:rsid w:val="00394E93"/>
    <w:rsid w:val="003950F5"/>
    <w:rsid w:val="003A3E57"/>
    <w:rsid w:val="003B0951"/>
    <w:rsid w:val="003C6961"/>
    <w:rsid w:val="003D0CAE"/>
    <w:rsid w:val="003D21A3"/>
    <w:rsid w:val="003D33F7"/>
    <w:rsid w:val="003E6B8B"/>
    <w:rsid w:val="003F017E"/>
    <w:rsid w:val="003F17BC"/>
    <w:rsid w:val="003F1A1E"/>
    <w:rsid w:val="003F5F4B"/>
    <w:rsid w:val="003F7E70"/>
    <w:rsid w:val="00400026"/>
    <w:rsid w:val="0040102D"/>
    <w:rsid w:val="0040648D"/>
    <w:rsid w:val="00406711"/>
    <w:rsid w:val="00407442"/>
    <w:rsid w:val="00414CEB"/>
    <w:rsid w:val="004163DA"/>
    <w:rsid w:val="004163FA"/>
    <w:rsid w:val="00423E92"/>
    <w:rsid w:val="004257F1"/>
    <w:rsid w:val="00431B00"/>
    <w:rsid w:val="00435757"/>
    <w:rsid w:val="004366AE"/>
    <w:rsid w:val="00437572"/>
    <w:rsid w:val="0044371A"/>
    <w:rsid w:val="0044581E"/>
    <w:rsid w:val="00451804"/>
    <w:rsid w:val="00452FE9"/>
    <w:rsid w:val="00454696"/>
    <w:rsid w:val="00455DD4"/>
    <w:rsid w:val="004616FF"/>
    <w:rsid w:val="00466AD5"/>
    <w:rsid w:val="00467239"/>
    <w:rsid w:val="00472A68"/>
    <w:rsid w:val="004759ED"/>
    <w:rsid w:val="0047690A"/>
    <w:rsid w:val="004945F7"/>
    <w:rsid w:val="00494F2F"/>
    <w:rsid w:val="004957BB"/>
    <w:rsid w:val="00497F14"/>
    <w:rsid w:val="004B199A"/>
    <w:rsid w:val="004B2CB0"/>
    <w:rsid w:val="004B40B4"/>
    <w:rsid w:val="004B7B8B"/>
    <w:rsid w:val="004C18F6"/>
    <w:rsid w:val="004C6518"/>
    <w:rsid w:val="004D0B40"/>
    <w:rsid w:val="004D1065"/>
    <w:rsid w:val="004D234A"/>
    <w:rsid w:val="004D24EB"/>
    <w:rsid w:val="004D2779"/>
    <w:rsid w:val="004D32FA"/>
    <w:rsid w:val="004D3F09"/>
    <w:rsid w:val="004D688C"/>
    <w:rsid w:val="004E192B"/>
    <w:rsid w:val="004E58AE"/>
    <w:rsid w:val="004F0BD7"/>
    <w:rsid w:val="004F20A9"/>
    <w:rsid w:val="004F73E8"/>
    <w:rsid w:val="0051080B"/>
    <w:rsid w:val="0051316F"/>
    <w:rsid w:val="005162CE"/>
    <w:rsid w:val="00523958"/>
    <w:rsid w:val="005257C3"/>
    <w:rsid w:val="0053301E"/>
    <w:rsid w:val="005350C9"/>
    <w:rsid w:val="005370B2"/>
    <w:rsid w:val="005400C8"/>
    <w:rsid w:val="00540BDA"/>
    <w:rsid w:val="00541105"/>
    <w:rsid w:val="00543E44"/>
    <w:rsid w:val="00543FDE"/>
    <w:rsid w:val="00550C1A"/>
    <w:rsid w:val="00552F1C"/>
    <w:rsid w:val="00561B18"/>
    <w:rsid w:val="00562166"/>
    <w:rsid w:val="0056232E"/>
    <w:rsid w:val="0057315D"/>
    <w:rsid w:val="00574F28"/>
    <w:rsid w:val="005757C9"/>
    <w:rsid w:val="00576C8D"/>
    <w:rsid w:val="0058793B"/>
    <w:rsid w:val="005917FA"/>
    <w:rsid w:val="0059651F"/>
    <w:rsid w:val="00596D03"/>
    <w:rsid w:val="005A0591"/>
    <w:rsid w:val="005A0614"/>
    <w:rsid w:val="005A0DE7"/>
    <w:rsid w:val="005A355D"/>
    <w:rsid w:val="005B0237"/>
    <w:rsid w:val="005B2076"/>
    <w:rsid w:val="005B210C"/>
    <w:rsid w:val="005B241C"/>
    <w:rsid w:val="005B27D0"/>
    <w:rsid w:val="005B3D36"/>
    <w:rsid w:val="005B4715"/>
    <w:rsid w:val="005B4FE0"/>
    <w:rsid w:val="005B4FED"/>
    <w:rsid w:val="005B5DE5"/>
    <w:rsid w:val="005C5911"/>
    <w:rsid w:val="005C7052"/>
    <w:rsid w:val="005C7063"/>
    <w:rsid w:val="005C7655"/>
    <w:rsid w:val="005C7C79"/>
    <w:rsid w:val="005D1BC5"/>
    <w:rsid w:val="005D1F28"/>
    <w:rsid w:val="005D2D7A"/>
    <w:rsid w:val="005D7026"/>
    <w:rsid w:val="005E0C34"/>
    <w:rsid w:val="005E640E"/>
    <w:rsid w:val="005F3D48"/>
    <w:rsid w:val="005F79CC"/>
    <w:rsid w:val="005F7AA5"/>
    <w:rsid w:val="00602577"/>
    <w:rsid w:val="00603EA6"/>
    <w:rsid w:val="00603FC1"/>
    <w:rsid w:val="00607805"/>
    <w:rsid w:val="0061381E"/>
    <w:rsid w:val="006159CC"/>
    <w:rsid w:val="006173D0"/>
    <w:rsid w:val="006201D7"/>
    <w:rsid w:val="006208C6"/>
    <w:rsid w:val="006267BF"/>
    <w:rsid w:val="00626CA4"/>
    <w:rsid w:val="0062796C"/>
    <w:rsid w:val="0063451F"/>
    <w:rsid w:val="006372F3"/>
    <w:rsid w:val="006427AA"/>
    <w:rsid w:val="006429D7"/>
    <w:rsid w:val="00644D97"/>
    <w:rsid w:val="006450C3"/>
    <w:rsid w:val="006454DC"/>
    <w:rsid w:val="006564EA"/>
    <w:rsid w:val="00657D2D"/>
    <w:rsid w:val="00661E36"/>
    <w:rsid w:val="00663EAD"/>
    <w:rsid w:val="006674FC"/>
    <w:rsid w:val="00670BF7"/>
    <w:rsid w:val="006719C9"/>
    <w:rsid w:val="006757AA"/>
    <w:rsid w:val="00675B34"/>
    <w:rsid w:val="00675EDF"/>
    <w:rsid w:val="006779C7"/>
    <w:rsid w:val="00682080"/>
    <w:rsid w:val="00684ABF"/>
    <w:rsid w:val="0068575D"/>
    <w:rsid w:val="00685BD2"/>
    <w:rsid w:val="00685BF1"/>
    <w:rsid w:val="00692AE7"/>
    <w:rsid w:val="00696E9D"/>
    <w:rsid w:val="00697A16"/>
    <w:rsid w:val="00697F67"/>
    <w:rsid w:val="006A131D"/>
    <w:rsid w:val="006A2795"/>
    <w:rsid w:val="006A39D8"/>
    <w:rsid w:val="006A60B1"/>
    <w:rsid w:val="006A72D0"/>
    <w:rsid w:val="006B0488"/>
    <w:rsid w:val="006B089B"/>
    <w:rsid w:val="006B3301"/>
    <w:rsid w:val="006B42F6"/>
    <w:rsid w:val="006B56FC"/>
    <w:rsid w:val="006C0869"/>
    <w:rsid w:val="006C0F0B"/>
    <w:rsid w:val="006C435D"/>
    <w:rsid w:val="006C7B63"/>
    <w:rsid w:val="006D11F3"/>
    <w:rsid w:val="006D232F"/>
    <w:rsid w:val="006D42E1"/>
    <w:rsid w:val="006E086B"/>
    <w:rsid w:val="006E0FB0"/>
    <w:rsid w:val="006E2EA3"/>
    <w:rsid w:val="006E350F"/>
    <w:rsid w:val="006E553A"/>
    <w:rsid w:val="006E55ED"/>
    <w:rsid w:val="006E5CB8"/>
    <w:rsid w:val="006E612C"/>
    <w:rsid w:val="006E70FF"/>
    <w:rsid w:val="006F173B"/>
    <w:rsid w:val="006F2281"/>
    <w:rsid w:val="006F7B19"/>
    <w:rsid w:val="00703D37"/>
    <w:rsid w:val="00704873"/>
    <w:rsid w:val="007059CA"/>
    <w:rsid w:val="00710CB1"/>
    <w:rsid w:val="00711110"/>
    <w:rsid w:val="00714E79"/>
    <w:rsid w:val="007239F8"/>
    <w:rsid w:val="00723BF0"/>
    <w:rsid w:val="00727658"/>
    <w:rsid w:val="00733BDA"/>
    <w:rsid w:val="00741B7F"/>
    <w:rsid w:val="007431A7"/>
    <w:rsid w:val="00743CBB"/>
    <w:rsid w:val="007442CA"/>
    <w:rsid w:val="00751479"/>
    <w:rsid w:val="00753B4D"/>
    <w:rsid w:val="00754949"/>
    <w:rsid w:val="007550E9"/>
    <w:rsid w:val="00755434"/>
    <w:rsid w:val="007660B9"/>
    <w:rsid w:val="00780AC4"/>
    <w:rsid w:val="00781479"/>
    <w:rsid w:val="00781797"/>
    <w:rsid w:val="007836C4"/>
    <w:rsid w:val="0078689C"/>
    <w:rsid w:val="007956C4"/>
    <w:rsid w:val="007A0DE5"/>
    <w:rsid w:val="007A27C5"/>
    <w:rsid w:val="007A4A63"/>
    <w:rsid w:val="007A52E1"/>
    <w:rsid w:val="007A6297"/>
    <w:rsid w:val="007A6FC6"/>
    <w:rsid w:val="007C3F60"/>
    <w:rsid w:val="007C6B7F"/>
    <w:rsid w:val="007D2EC6"/>
    <w:rsid w:val="007D680C"/>
    <w:rsid w:val="007E1222"/>
    <w:rsid w:val="007E24B7"/>
    <w:rsid w:val="007F7FED"/>
    <w:rsid w:val="0080350B"/>
    <w:rsid w:val="0080402F"/>
    <w:rsid w:val="008051C4"/>
    <w:rsid w:val="00805B42"/>
    <w:rsid w:val="00805D17"/>
    <w:rsid w:val="00806393"/>
    <w:rsid w:val="0080660C"/>
    <w:rsid w:val="0080697E"/>
    <w:rsid w:val="00811CB0"/>
    <w:rsid w:val="0081512D"/>
    <w:rsid w:val="00817B50"/>
    <w:rsid w:val="00820E0F"/>
    <w:rsid w:val="008225AE"/>
    <w:rsid w:val="00825410"/>
    <w:rsid w:val="00825715"/>
    <w:rsid w:val="008275B9"/>
    <w:rsid w:val="0083261D"/>
    <w:rsid w:val="00832D89"/>
    <w:rsid w:val="00834AC5"/>
    <w:rsid w:val="0083503B"/>
    <w:rsid w:val="00840865"/>
    <w:rsid w:val="00841D41"/>
    <w:rsid w:val="008436AB"/>
    <w:rsid w:val="00844739"/>
    <w:rsid w:val="0084486B"/>
    <w:rsid w:val="0084521D"/>
    <w:rsid w:val="008463B7"/>
    <w:rsid w:val="00851B45"/>
    <w:rsid w:val="00853CDF"/>
    <w:rsid w:val="0086151D"/>
    <w:rsid w:val="0086672B"/>
    <w:rsid w:val="008668C0"/>
    <w:rsid w:val="008678C1"/>
    <w:rsid w:val="00873DED"/>
    <w:rsid w:val="00874FF1"/>
    <w:rsid w:val="008758D7"/>
    <w:rsid w:val="00877425"/>
    <w:rsid w:val="008777F4"/>
    <w:rsid w:val="00880786"/>
    <w:rsid w:val="00896681"/>
    <w:rsid w:val="008A2626"/>
    <w:rsid w:val="008A6759"/>
    <w:rsid w:val="008B13B1"/>
    <w:rsid w:val="008B493F"/>
    <w:rsid w:val="008C115E"/>
    <w:rsid w:val="008C256A"/>
    <w:rsid w:val="008C5D4E"/>
    <w:rsid w:val="008D0504"/>
    <w:rsid w:val="008D1256"/>
    <w:rsid w:val="008D275A"/>
    <w:rsid w:val="008E109E"/>
    <w:rsid w:val="008E14C6"/>
    <w:rsid w:val="008E66E6"/>
    <w:rsid w:val="008E680A"/>
    <w:rsid w:val="008E77BB"/>
    <w:rsid w:val="008F112A"/>
    <w:rsid w:val="008F18E2"/>
    <w:rsid w:val="00900D4B"/>
    <w:rsid w:val="009014BC"/>
    <w:rsid w:val="00902CAC"/>
    <w:rsid w:val="009036CA"/>
    <w:rsid w:val="00916A81"/>
    <w:rsid w:val="00917F95"/>
    <w:rsid w:val="00922F9E"/>
    <w:rsid w:val="00923EDF"/>
    <w:rsid w:val="0093402A"/>
    <w:rsid w:val="00934439"/>
    <w:rsid w:val="00935AD4"/>
    <w:rsid w:val="00937CE1"/>
    <w:rsid w:val="0094155A"/>
    <w:rsid w:val="0094513B"/>
    <w:rsid w:val="0094688C"/>
    <w:rsid w:val="00950897"/>
    <w:rsid w:val="00955BC4"/>
    <w:rsid w:val="00956EC9"/>
    <w:rsid w:val="00963FB3"/>
    <w:rsid w:val="00965FB4"/>
    <w:rsid w:val="009672EB"/>
    <w:rsid w:val="00973090"/>
    <w:rsid w:val="00973973"/>
    <w:rsid w:val="00993ADB"/>
    <w:rsid w:val="0099436F"/>
    <w:rsid w:val="009956DE"/>
    <w:rsid w:val="009959E0"/>
    <w:rsid w:val="00996BEA"/>
    <w:rsid w:val="009A0C0C"/>
    <w:rsid w:val="009A33FB"/>
    <w:rsid w:val="009A5056"/>
    <w:rsid w:val="009B1A44"/>
    <w:rsid w:val="009B300F"/>
    <w:rsid w:val="009B4379"/>
    <w:rsid w:val="009C4D8A"/>
    <w:rsid w:val="009C580F"/>
    <w:rsid w:val="009D161E"/>
    <w:rsid w:val="009E1B26"/>
    <w:rsid w:val="009E402C"/>
    <w:rsid w:val="009F026F"/>
    <w:rsid w:val="009F751D"/>
    <w:rsid w:val="00A00EF2"/>
    <w:rsid w:val="00A018DD"/>
    <w:rsid w:val="00A037D6"/>
    <w:rsid w:val="00A069F9"/>
    <w:rsid w:val="00A07D1A"/>
    <w:rsid w:val="00A07F0E"/>
    <w:rsid w:val="00A10AC2"/>
    <w:rsid w:val="00A1737A"/>
    <w:rsid w:val="00A173EC"/>
    <w:rsid w:val="00A17F9A"/>
    <w:rsid w:val="00A21062"/>
    <w:rsid w:val="00A3076D"/>
    <w:rsid w:val="00A316E1"/>
    <w:rsid w:val="00A346CA"/>
    <w:rsid w:val="00A377E8"/>
    <w:rsid w:val="00A477A0"/>
    <w:rsid w:val="00A47C07"/>
    <w:rsid w:val="00A50BDE"/>
    <w:rsid w:val="00A5297F"/>
    <w:rsid w:val="00A5524F"/>
    <w:rsid w:val="00A61711"/>
    <w:rsid w:val="00A62C59"/>
    <w:rsid w:val="00A62F19"/>
    <w:rsid w:val="00A63A3E"/>
    <w:rsid w:val="00A66C34"/>
    <w:rsid w:val="00A73CFD"/>
    <w:rsid w:val="00A77E87"/>
    <w:rsid w:val="00A80863"/>
    <w:rsid w:val="00A81616"/>
    <w:rsid w:val="00A8365E"/>
    <w:rsid w:val="00A860C8"/>
    <w:rsid w:val="00A9488D"/>
    <w:rsid w:val="00A94E35"/>
    <w:rsid w:val="00A9500C"/>
    <w:rsid w:val="00A95355"/>
    <w:rsid w:val="00A97218"/>
    <w:rsid w:val="00AA4D84"/>
    <w:rsid w:val="00AA683D"/>
    <w:rsid w:val="00AB350C"/>
    <w:rsid w:val="00AB3C78"/>
    <w:rsid w:val="00AC1AA3"/>
    <w:rsid w:val="00AC4EB2"/>
    <w:rsid w:val="00AC520D"/>
    <w:rsid w:val="00AC7F21"/>
    <w:rsid w:val="00AD0F94"/>
    <w:rsid w:val="00AD70EE"/>
    <w:rsid w:val="00AE0E38"/>
    <w:rsid w:val="00AE11C4"/>
    <w:rsid w:val="00AE1640"/>
    <w:rsid w:val="00AE297B"/>
    <w:rsid w:val="00AE50FF"/>
    <w:rsid w:val="00AE58D5"/>
    <w:rsid w:val="00AE5A67"/>
    <w:rsid w:val="00AE6686"/>
    <w:rsid w:val="00AE67B0"/>
    <w:rsid w:val="00AF0134"/>
    <w:rsid w:val="00AF7794"/>
    <w:rsid w:val="00B0259B"/>
    <w:rsid w:val="00B04DFE"/>
    <w:rsid w:val="00B06546"/>
    <w:rsid w:val="00B11A79"/>
    <w:rsid w:val="00B13055"/>
    <w:rsid w:val="00B151CC"/>
    <w:rsid w:val="00B23E47"/>
    <w:rsid w:val="00B24D0A"/>
    <w:rsid w:val="00B3317D"/>
    <w:rsid w:val="00B333DE"/>
    <w:rsid w:val="00B36040"/>
    <w:rsid w:val="00B36583"/>
    <w:rsid w:val="00B37705"/>
    <w:rsid w:val="00B44A2F"/>
    <w:rsid w:val="00B455C1"/>
    <w:rsid w:val="00B45D3D"/>
    <w:rsid w:val="00B53058"/>
    <w:rsid w:val="00B54DEF"/>
    <w:rsid w:val="00B63C81"/>
    <w:rsid w:val="00B64C14"/>
    <w:rsid w:val="00B651F8"/>
    <w:rsid w:val="00B83B2F"/>
    <w:rsid w:val="00B8768B"/>
    <w:rsid w:val="00B87E45"/>
    <w:rsid w:val="00B95533"/>
    <w:rsid w:val="00BA651A"/>
    <w:rsid w:val="00BB0493"/>
    <w:rsid w:val="00BB0F68"/>
    <w:rsid w:val="00BB1FFF"/>
    <w:rsid w:val="00BB2567"/>
    <w:rsid w:val="00BB662C"/>
    <w:rsid w:val="00BC24CA"/>
    <w:rsid w:val="00BC4ECD"/>
    <w:rsid w:val="00BD113A"/>
    <w:rsid w:val="00BD2B9F"/>
    <w:rsid w:val="00BD2D27"/>
    <w:rsid w:val="00BD35B3"/>
    <w:rsid w:val="00BD3DA8"/>
    <w:rsid w:val="00BD45D5"/>
    <w:rsid w:val="00BE09B5"/>
    <w:rsid w:val="00BE446D"/>
    <w:rsid w:val="00BE556E"/>
    <w:rsid w:val="00BE568E"/>
    <w:rsid w:val="00BE64F3"/>
    <w:rsid w:val="00BF5183"/>
    <w:rsid w:val="00C00697"/>
    <w:rsid w:val="00C0095A"/>
    <w:rsid w:val="00C068BC"/>
    <w:rsid w:val="00C07ECF"/>
    <w:rsid w:val="00C10C00"/>
    <w:rsid w:val="00C12BBC"/>
    <w:rsid w:val="00C14B8A"/>
    <w:rsid w:val="00C17CE9"/>
    <w:rsid w:val="00C17E23"/>
    <w:rsid w:val="00C340EF"/>
    <w:rsid w:val="00C464A7"/>
    <w:rsid w:val="00C50FCE"/>
    <w:rsid w:val="00C511C3"/>
    <w:rsid w:val="00C51C42"/>
    <w:rsid w:val="00C52329"/>
    <w:rsid w:val="00C52C07"/>
    <w:rsid w:val="00C57F4E"/>
    <w:rsid w:val="00C608B8"/>
    <w:rsid w:val="00C61000"/>
    <w:rsid w:val="00C64359"/>
    <w:rsid w:val="00C66165"/>
    <w:rsid w:val="00C66A73"/>
    <w:rsid w:val="00C67AA6"/>
    <w:rsid w:val="00C7519B"/>
    <w:rsid w:val="00C76497"/>
    <w:rsid w:val="00C80CAE"/>
    <w:rsid w:val="00C856C9"/>
    <w:rsid w:val="00C86AD9"/>
    <w:rsid w:val="00C86F22"/>
    <w:rsid w:val="00C91A83"/>
    <w:rsid w:val="00C9533E"/>
    <w:rsid w:val="00C9650F"/>
    <w:rsid w:val="00C9741E"/>
    <w:rsid w:val="00CA1B10"/>
    <w:rsid w:val="00CA33C7"/>
    <w:rsid w:val="00CA3BE3"/>
    <w:rsid w:val="00CB2C58"/>
    <w:rsid w:val="00CB38A3"/>
    <w:rsid w:val="00CB3B70"/>
    <w:rsid w:val="00CB4578"/>
    <w:rsid w:val="00CC1475"/>
    <w:rsid w:val="00CC1CCB"/>
    <w:rsid w:val="00CC3891"/>
    <w:rsid w:val="00CC6B7E"/>
    <w:rsid w:val="00CD3B7E"/>
    <w:rsid w:val="00CD730D"/>
    <w:rsid w:val="00CE1635"/>
    <w:rsid w:val="00CF0D33"/>
    <w:rsid w:val="00CF2236"/>
    <w:rsid w:val="00CF68E9"/>
    <w:rsid w:val="00CF7819"/>
    <w:rsid w:val="00D10D9B"/>
    <w:rsid w:val="00D171A8"/>
    <w:rsid w:val="00D20989"/>
    <w:rsid w:val="00D23BB5"/>
    <w:rsid w:val="00D303B7"/>
    <w:rsid w:val="00D40DDB"/>
    <w:rsid w:val="00D4602A"/>
    <w:rsid w:val="00D4643A"/>
    <w:rsid w:val="00D46EB7"/>
    <w:rsid w:val="00D475BD"/>
    <w:rsid w:val="00D52159"/>
    <w:rsid w:val="00D54C52"/>
    <w:rsid w:val="00D54CE5"/>
    <w:rsid w:val="00D55E22"/>
    <w:rsid w:val="00D56F1C"/>
    <w:rsid w:val="00D611A9"/>
    <w:rsid w:val="00D620F7"/>
    <w:rsid w:val="00D621F3"/>
    <w:rsid w:val="00D62372"/>
    <w:rsid w:val="00D66F78"/>
    <w:rsid w:val="00D9012E"/>
    <w:rsid w:val="00D90897"/>
    <w:rsid w:val="00D93BE5"/>
    <w:rsid w:val="00D96AD7"/>
    <w:rsid w:val="00DA0568"/>
    <w:rsid w:val="00DA3036"/>
    <w:rsid w:val="00DB015B"/>
    <w:rsid w:val="00DB20CE"/>
    <w:rsid w:val="00DB2201"/>
    <w:rsid w:val="00DB24D3"/>
    <w:rsid w:val="00DB35E7"/>
    <w:rsid w:val="00DB5E67"/>
    <w:rsid w:val="00DB6F16"/>
    <w:rsid w:val="00DC2C51"/>
    <w:rsid w:val="00DC3380"/>
    <w:rsid w:val="00DC58BC"/>
    <w:rsid w:val="00DD3BAA"/>
    <w:rsid w:val="00DD6C35"/>
    <w:rsid w:val="00DE193D"/>
    <w:rsid w:val="00DE351C"/>
    <w:rsid w:val="00DE710F"/>
    <w:rsid w:val="00DE7EED"/>
    <w:rsid w:val="00DF5600"/>
    <w:rsid w:val="00E02E5D"/>
    <w:rsid w:val="00E04CFB"/>
    <w:rsid w:val="00E05E36"/>
    <w:rsid w:val="00E1040C"/>
    <w:rsid w:val="00E14B90"/>
    <w:rsid w:val="00E23B18"/>
    <w:rsid w:val="00E26C4B"/>
    <w:rsid w:val="00E35FAC"/>
    <w:rsid w:val="00E401B3"/>
    <w:rsid w:val="00E46F31"/>
    <w:rsid w:val="00E470C7"/>
    <w:rsid w:val="00E50185"/>
    <w:rsid w:val="00E56676"/>
    <w:rsid w:val="00E578B7"/>
    <w:rsid w:val="00E63231"/>
    <w:rsid w:val="00E71901"/>
    <w:rsid w:val="00E7329A"/>
    <w:rsid w:val="00E73F85"/>
    <w:rsid w:val="00E75745"/>
    <w:rsid w:val="00E76451"/>
    <w:rsid w:val="00E8016F"/>
    <w:rsid w:val="00E80E52"/>
    <w:rsid w:val="00E816CE"/>
    <w:rsid w:val="00E84F31"/>
    <w:rsid w:val="00E90908"/>
    <w:rsid w:val="00E90FB5"/>
    <w:rsid w:val="00E93473"/>
    <w:rsid w:val="00E935FD"/>
    <w:rsid w:val="00EA0688"/>
    <w:rsid w:val="00EA15C0"/>
    <w:rsid w:val="00EA19B4"/>
    <w:rsid w:val="00EA3C33"/>
    <w:rsid w:val="00EB25EA"/>
    <w:rsid w:val="00EB5630"/>
    <w:rsid w:val="00EC0059"/>
    <w:rsid w:val="00EC68DB"/>
    <w:rsid w:val="00ED0CB2"/>
    <w:rsid w:val="00ED334F"/>
    <w:rsid w:val="00EE08F2"/>
    <w:rsid w:val="00EE1DD7"/>
    <w:rsid w:val="00EE76B9"/>
    <w:rsid w:val="00EF125F"/>
    <w:rsid w:val="00EF2497"/>
    <w:rsid w:val="00EF38A6"/>
    <w:rsid w:val="00EF53E7"/>
    <w:rsid w:val="00F00391"/>
    <w:rsid w:val="00F017E0"/>
    <w:rsid w:val="00F01B39"/>
    <w:rsid w:val="00F03B20"/>
    <w:rsid w:val="00F065A0"/>
    <w:rsid w:val="00F07FF2"/>
    <w:rsid w:val="00F117D3"/>
    <w:rsid w:val="00F21C70"/>
    <w:rsid w:val="00F26D11"/>
    <w:rsid w:val="00F27CBE"/>
    <w:rsid w:val="00F35CF7"/>
    <w:rsid w:val="00F37C92"/>
    <w:rsid w:val="00F4121E"/>
    <w:rsid w:val="00F4212B"/>
    <w:rsid w:val="00F468E5"/>
    <w:rsid w:val="00F46D66"/>
    <w:rsid w:val="00F4704F"/>
    <w:rsid w:val="00F50EE3"/>
    <w:rsid w:val="00F5330E"/>
    <w:rsid w:val="00F5596D"/>
    <w:rsid w:val="00F6025C"/>
    <w:rsid w:val="00F651C4"/>
    <w:rsid w:val="00F65A3A"/>
    <w:rsid w:val="00F67C7F"/>
    <w:rsid w:val="00F703A5"/>
    <w:rsid w:val="00F73C6B"/>
    <w:rsid w:val="00F7682E"/>
    <w:rsid w:val="00F92C57"/>
    <w:rsid w:val="00F9344F"/>
    <w:rsid w:val="00F97B14"/>
    <w:rsid w:val="00FB20C4"/>
    <w:rsid w:val="00FB320E"/>
    <w:rsid w:val="00FB3C96"/>
    <w:rsid w:val="00FB4BCE"/>
    <w:rsid w:val="00FB4EFC"/>
    <w:rsid w:val="00FB55EF"/>
    <w:rsid w:val="00FB60EF"/>
    <w:rsid w:val="00FC3D4F"/>
    <w:rsid w:val="00FC49FB"/>
    <w:rsid w:val="00FC5756"/>
    <w:rsid w:val="00FC7135"/>
    <w:rsid w:val="00FD228D"/>
    <w:rsid w:val="00FD2C5F"/>
    <w:rsid w:val="00FD659E"/>
    <w:rsid w:val="00FE46B9"/>
    <w:rsid w:val="00FE6A0D"/>
    <w:rsid w:val="00FE6B03"/>
    <w:rsid w:val="00FE7253"/>
    <w:rsid w:val="00FF2D86"/>
    <w:rsid w:val="00FF5459"/>
    <w:rsid w:val="00FF6000"/>
    <w:rsid w:val="00FF6161"/>
    <w:rsid w:val="00FF7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3287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80660C"/>
    <w:pPr>
      <w:keepNext/>
      <w:keepLines/>
      <w:pageBreakBefore/>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5F7AA5"/>
    <w:pPr>
      <w:keepNext/>
      <w:keepLines/>
      <w:numPr>
        <w:numId w:val="34"/>
      </w:numPr>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0660C"/>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5F7AA5"/>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7A4A63"/>
    <w:pPr>
      <w:numPr>
        <w:numId w:val="7"/>
      </w:numPr>
      <w:spacing w:before="120" w:after="0"/>
      <w:ind w:left="568" w:hanging="284"/>
    </w:pPr>
    <w:rPr>
      <w:sz w:val="22"/>
    </w:rPr>
  </w:style>
  <w:style w:type="paragraph" w:customStyle="1" w:styleId="BulletedListlvl1">
    <w:name w:val="Bulleted List lvl1"/>
    <w:uiPriority w:val="10"/>
    <w:qFormat/>
    <w:rsid w:val="007A4A63"/>
    <w:pPr>
      <w:numPr>
        <w:numId w:val="3"/>
      </w:numPr>
      <w:spacing w:before="120" w:after="0"/>
      <w:ind w:left="568" w:hanging="284"/>
      <w:contextualSpacing/>
    </w:pPr>
    <w:rPr>
      <w:sz w:val="22"/>
    </w:rPr>
  </w:style>
  <w:style w:type="paragraph" w:customStyle="1" w:styleId="NumberedListlevel2">
    <w:name w:val="Numbered List level 2"/>
    <w:basedOn w:val="NumberedListlevel1"/>
    <w:uiPriority w:val="9"/>
    <w:qFormat/>
    <w:rsid w:val="00E35FAC"/>
    <w:pPr>
      <w:numPr>
        <w:ilvl w:val="1"/>
      </w:numPr>
      <w:spacing w:before="0"/>
      <w:ind w:left="851" w:hanging="284"/>
    </w:pPr>
  </w:style>
  <w:style w:type="paragraph" w:styleId="BodyText">
    <w:name w:val="Body Text"/>
    <w:basedOn w:val="Normal"/>
    <w:link w:val="BodyTextChar"/>
    <w:qFormat/>
    <w:rsid w:val="007A4A63"/>
    <w:pPr>
      <w:spacing w:before="120" w:line="288" w:lineRule="auto"/>
    </w:pPr>
    <w:rPr>
      <w:sz w:val="22"/>
    </w:rPr>
  </w:style>
  <w:style w:type="character" w:customStyle="1" w:styleId="BodyTextChar">
    <w:name w:val="Body Text Char"/>
    <w:basedOn w:val="DefaultParagraphFont"/>
    <w:link w:val="BodyText"/>
    <w:rsid w:val="007A4A63"/>
    <w:rPr>
      <w:sz w:val="22"/>
    </w:rPr>
  </w:style>
  <w:style w:type="paragraph" w:customStyle="1" w:styleId="BulletedListlevel2">
    <w:name w:val="Bulleted List level 2"/>
    <w:basedOn w:val="BulletedListlvl1"/>
    <w:uiPriority w:val="10"/>
    <w:qFormat/>
    <w:rsid w:val="00E35FAC"/>
    <w:pPr>
      <w:numPr>
        <w:ilvl w:val="1"/>
        <w:numId w:val="4"/>
      </w:numPr>
      <w:spacing w:before="0"/>
      <w:ind w:left="851"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rsid w:val="00805D17"/>
    <w:pPr>
      <w:spacing w:before="40" w:after="560" w:line="216" w:lineRule="auto"/>
    </w:pPr>
    <w:rPr>
      <w:rFonts w:ascii="Century Gothic" w:hAnsi="Century Gothic"/>
      <w:b/>
      <w:color w:val="2A4055" w:themeColor="accent1"/>
      <w:sz w:val="120"/>
      <w:szCs w:val="72"/>
    </w:rPr>
  </w:style>
  <w:style w:type="paragraph" w:customStyle="1" w:styleId="CoverByline">
    <w:name w:val="Cover Byline"/>
    <w:basedOn w:val="NoSpacing"/>
    <w:uiPriority w:val="11"/>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7A4A6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7A4A6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7A4A63"/>
    <w:pPr>
      <w:keepLines/>
      <w:numPr>
        <w:numId w:val="6"/>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eve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CoverTitle"/>
    <w:next w:val="Normal"/>
    <w:link w:val="TitleChar"/>
    <w:qFormat/>
    <w:rsid w:val="00973973"/>
    <w:pPr>
      <w:spacing w:before="1560"/>
    </w:pPr>
    <w:rPr>
      <w:sz w:val="100"/>
    </w:rPr>
  </w:style>
  <w:style w:type="character" w:customStyle="1" w:styleId="TitleChar">
    <w:name w:val="Title Char"/>
    <w:basedOn w:val="DefaultParagraphFont"/>
    <w:link w:val="Title"/>
    <w:rsid w:val="00973973"/>
    <w:rPr>
      <w:rFonts w:ascii="Century Gothic" w:hAnsi="Century Gothic"/>
      <w:b/>
      <w:color w:val="2A4055" w:themeColor="accent1"/>
      <w:sz w:val="100"/>
      <w:szCs w:val="72"/>
    </w:rPr>
  </w:style>
  <w:style w:type="paragraph" w:styleId="Subtitle">
    <w:name w:val="Subtitle"/>
    <w:basedOn w:val="Normal"/>
    <w:next w:val="BodyText"/>
    <w:link w:val="SubtitleChar"/>
    <w:uiPriority w:val="1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F5596D"/>
    <w:pPr>
      <w:ind w:left="567"/>
    </w:pPr>
  </w:style>
  <w:style w:type="character" w:customStyle="1" w:styleId="BlockquoteChar">
    <w:name w:val="Blockquote Char"/>
    <w:basedOn w:val="BodyTextChar"/>
    <w:link w:val="Blockquote"/>
    <w:uiPriority w:val="11"/>
    <w:rsid w:val="00F5596D"/>
    <w:rPr>
      <w:sz w:val="22"/>
    </w:rPr>
  </w:style>
  <w:style w:type="paragraph" w:styleId="TOCHeading">
    <w:name w:val="TOC Heading"/>
    <w:basedOn w:val="Heading1"/>
    <w:next w:val="Normal"/>
    <w:uiPriority w:val="39"/>
    <w:unhideWhenUsed/>
    <w:qFormat/>
    <w:rsid w:val="002C5434"/>
    <w:pPr>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2C5434"/>
    <w:pPr>
      <w:spacing w:after="100"/>
    </w:pPr>
  </w:style>
  <w:style w:type="paragraph" w:styleId="TOC2">
    <w:name w:val="toc 2"/>
    <w:basedOn w:val="Normal"/>
    <w:next w:val="Normal"/>
    <w:autoRedefine/>
    <w:uiPriority w:val="39"/>
    <w:unhideWhenUsed/>
    <w:rsid w:val="002C5434"/>
    <w:pPr>
      <w:spacing w:after="100"/>
      <w:ind w:left="200"/>
    </w:pPr>
  </w:style>
  <w:style w:type="paragraph" w:styleId="TOC3">
    <w:name w:val="toc 3"/>
    <w:basedOn w:val="Normal"/>
    <w:next w:val="Normal"/>
    <w:autoRedefine/>
    <w:uiPriority w:val="39"/>
    <w:unhideWhenUsed/>
    <w:rsid w:val="002C5434"/>
    <w:pPr>
      <w:spacing w:after="100"/>
      <w:ind w:left="400"/>
    </w:pPr>
  </w:style>
  <w:style w:type="character" w:styleId="Hyperlink">
    <w:name w:val="Hyperlink"/>
    <w:basedOn w:val="DefaultParagraphFont"/>
    <w:uiPriority w:val="99"/>
    <w:unhideWhenUsed/>
    <w:rsid w:val="002C5434"/>
    <w:rPr>
      <w:color w:val="0289C8" w:themeColor="hyperlink"/>
      <w:u w:val="single"/>
    </w:rPr>
  </w:style>
  <w:style w:type="paragraph" w:customStyle="1" w:styleId="Heading2numbered">
    <w:name w:val="Heading 2 numbered"/>
    <w:basedOn w:val="Heading2"/>
    <w:link w:val="Heading2numberedChar"/>
    <w:uiPriority w:val="11"/>
    <w:qFormat/>
    <w:rsid w:val="00B04DFE"/>
    <w:pPr>
      <w:numPr>
        <w:numId w:val="9"/>
      </w:numPr>
      <w:ind w:left="567" w:hanging="567"/>
    </w:pPr>
    <w:rPr>
      <w:rFonts w:eastAsia="Times New Roman"/>
    </w:rPr>
  </w:style>
  <w:style w:type="paragraph" w:customStyle="1" w:styleId="Bodytext-Numberedparagraph">
    <w:name w:val="Body text - Numbered paragraph"/>
    <w:basedOn w:val="Heading2numbered"/>
    <w:uiPriority w:val="11"/>
    <w:qFormat/>
    <w:rsid w:val="001A2BC3"/>
    <w:pPr>
      <w:keepNext w:val="0"/>
      <w:keepLines w:val="0"/>
      <w:numPr>
        <w:ilvl w:val="1"/>
      </w:numPr>
      <w:tabs>
        <w:tab w:val="num" w:pos="567"/>
      </w:tabs>
      <w:spacing w:before="120"/>
      <w:ind w:left="567" w:hanging="567"/>
      <w:outlineLvl w:val="9"/>
    </w:pPr>
    <w:rPr>
      <w:rFonts w:asciiTheme="minorHAnsi" w:eastAsia="Calibri" w:hAnsiTheme="minorHAnsi" w:cstheme="minorHAnsi"/>
      <w:color w:val="auto"/>
      <w:sz w:val="22"/>
      <w:szCs w:val="20"/>
    </w:rPr>
  </w:style>
  <w:style w:type="character" w:customStyle="1" w:styleId="Heading2numberedChar">
    <w:name w:val="Heading 2 numbered Char"/>
    <w:basedOn w:val="Heading2Char"/>
    <w:link w:val="Heading2numbered"/>
    <w:uiPriority w:val="11"/>
    <w:rsid w:val="00B04DFE"/>
    <w:rPr>
      <w:rFonts w:asciiTheme="majorHAnsi" w:eastAsia="Times New Roman" w:hAnsiTheme="majorHAnsi" w:cstheme="majorBidi"/>
      <w:color w:val="2A4055" w:themeColor="accent1"/>
      <w:sz w:val="36"/>
      <w:szCs w:val="36"/>
    </w:rPr>
  </w:style>
  <w:style w:type="character" w:styleId="CommentReference">
    <w:name w:val="annotation reference"/>
    <w:basedOn w:val="DefaultParagraphFont"/>
    <w:uiPriority w:val="99"/>
    <w:semiHidden/>
    <w:unhideWhenUsed/>
    <w:rsid w:val="00685BD2"/>
    <w:rPr>
      <w:sz w:val="16"/>
      <w:szCs w:val="16"/>
    </w:rPr>
  </w:style>
  <w:style w:type="paragraph" w:styleId="CommentText">
    <w:name w:val="annotation text"/>
    <w:basedOn w:val="Normal"/>
    <w:link w:val="CommentTextChar"/>
    <w:uiPriority w:val="99"/>
    <w:semiHidden/>
    <w:unhideWhenUsed/>
    <w:rsid w:val="00685BD2"/>
    <w:pPr>
      <w:spacing w:line="240" w:lineRule="auto"/>
    </w:pPr>
  </w:style>
  <w:style w:type="character" w:customStyle="1" w:styleId="CommentTextChar">
    <w:name w:val="Comment Text Char"/>
    <w:basedOn w:val="DefaultParagraphFont"/>
    <w:link w:val="CommentText"/>
    <w:uiPriority w:val="99"/>
    <w:semiHidden/>
    <w:rsid w:val="00685BD2"/>
  </w:style>
  <w:style w:type="paragraph" w:styleId="CommentSubject">
    <w:name w:val="annotation subject"/>
    <w:basedOn w:val="CommentText"/>
    <w:next w:val="CommentText"/>
    <w:link w:val="CommentSubjectChar"/>
    <w:uiPriority w:val="99"/>
    <w:semiHidden/>
    <w:unhideWhenUsed/>
    <w:rsid w:val="00685BD2"/>
    <w:rPr>
      <w:b/>
      <w:bCs/>
    </w:rPr>
  </w:style>
  <w:style w:type="character" w:customStyle="1" w:styleId="CommentSubjectChar">
    <w:name w:val="Comment Subject Char"/>
    <w:basedOn w:val="CommentTextChar"/>
    <w:link w:val="CommentSubject"/>
    <w:uiPriority w:val="99"/>
    <w:semiHidden/>
    <w:rsid w:val="00685BD2"/>
    <w:rPr>
      <w:b/>
      <w:bCs/>
    </w:rPr>
  </w:style>
  <w:style w:type="paragraph" w:customStyle="1" w:styleId="BulletedListlvl2">
    <w:name w:val="Bulleted List lvl2"/>
    <w:basedOn w:val="BulletedListlvl1"/>
    <w:uiPriority w:val="10"/>
    <w:rsid w:val="001F62B5"/>
    <w:pPr>
      <w:numPr>
        <w:numId w:val="0"/>
      </w:numPr>
      <w:spacing w:before="0"/>
      <w:ind w:left="1134" w:hanging="397"/>
      <w:contextualSpacing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a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37D6182EF44472B6E1F175003BF0F9"/>
        <w:category>
          <w:name w:val="General"/>
          <w:gallery w:val="placeholder"/>
        </w:category>
        <w:types>
          <w:type w:val="bbPlcHdr"/>
        </w:types>
        <w:behaviors>
          <w:behavior w:val="content"/>
        </w:behaviors>
        <w:guid w:val="{A50F6F21-0AA9-4DFB-A9A6-287549071B4B}"/>
      </w:docPartPr>
      <w:docPartBody>
        <w:p w:rsidR="00DE1721" w:rsidRDefault="00DE1721">
          <w:pPr>
            <w:pStyle w:val="0F37D6182EF44472B6E1F175003BF0F9"/>
          </w:pPr>
          <w:r w:rsidRPr="00FF723C">
            <w:rPr>
              <w:sz w:val="120"/>
              <w:szCs w:val="120"/>
            </w:rPr>
            <w:t>[Document heading]</w:t>
          </w:r>
        </w:p>
      </w:docPartBody>
    </w:docPart>
    <w:docPart>
      <w:docPartPr>
        <w:name w:val="10F748C505EE4A67B3EF6539F6816422"/>
        <w:category>
          <w:name w:val="General"/>
          <w:gallery w:val="placeholder"/>
        </w:category>
        <w:types>
          <w:type w:val="bbPlcHdr"/>
        </w:types>
        <w:behaviors>
          <w:behavior w:val="content"/>
        </w:behaviors>
        <w:guid w:val="{1AAC8632-AE93-45AA-8D73-DADC87250067}"/>
      </w:docPartPr>
      <w:docPartBody>
        <w:p w:rsidR="00DE1721" w:rsidRDefault="00DE1721">
          <w:pPr>
            <w:pStyle w:val="10F748C505EE4A67B3EF6539F6816422"/>
          </w:pPr>
          <w:r w:rsidRPr="00FF723C">
            <w:rPr>
              <w:rStyle w:val="SubtitleChar"/>
            </w:rPr>
            <w:t>[Subheading]</w:t>
          </w:r>
        </w:p>
      </w:docPartBody>
    </w:docPart>
    <w:docPart>
      <w:docPartPr>
        <w:name w:val="68D35D85EBE840D5A517DB58AE4B4198"/>
        <w:category>
          <w:name w:val="General"/>
          <w:gallery w:val="placeholder"/>
        </w:category>
        <w:types>
          <w:type w:val="bbPlcHdr"/>
        </w:types>
        <w:behaviors>
          <w:behavior w:val="content"/>
        </w:behaviors>
        <w:guid w:val="{70D5CAB1-97DB-4BAA-A893-CF4323502CEF}"/>
      </w:docPartPr>
      <w:docPartBody>
        <w:p w:rsidR="00DE1721" w:rsidRDefault="00DE1721">
          <w:pPr>
            <w:pStyle w:val="68D35D85EBE840D5A517DB58AE4B4198"/>
          </w:pPr>
          <w:r>
            <w:t>Document name</w:t>
          </w:r>
        </w:p>
      </w:docPartBody>
    </w:docPart>
    <w:docPart>
      <w:docPartPr>
        <w:name w:val="0BDADD18C90A43A99EF2E79CC83B233E"/>
        <w:category>
          <w:name w:val="General"/>
          <w:gallery w:val="placeholder"/>
        </w:category>
        <w:types>
          <w:type w:val="bbPlcHdr"/>
        </w:types>
        <w:behaviors>
          <w:behavior w:val="content"/>
        </w:behaviors>
        <w:guid w:val="{517C7F47-DCE6-4C63-A519-75A35CF73158}"/>
      </w:docPartPr>
      <w:docPartBody>
        <w:p w:rsidR="00DE1721" w:rsidRDefault="00DE1721">
          <w:pPr>
            <w:pStyle w:val="0BDADD18C90A43A99EF2E79CC83B233E"/>
          </w:pPr>
          <w:r w:rsidRPr="00F038A5">
            <w:rPr>
              <w:rStyle w:val="PlaceholderText"/>
            </w:rPr>
            <w:t>Click or tap here to enter text.</w:t>
          </w:r>
        </w:p>
      </w:docPartBody>
    </w:docPart>
    <w:docPart>
      <w:docPartPr>
        <w:name w:val="2E63E84DD89A49C1BE9943E0652617B3"/>
        <w:category>
          <w:name w:val="General"/>
          <w:gallery w:val="placeholder"/>
        </w:category>
        <w:types>
          <w:type w:val="bbPlcHdr"/>
        </w:types>
        <w:behaviors>
          <w:behavior w:val="content"/>
        </w:behaviors>
        <w:guid w:val="{614C2815-8698-4D7D-ACD0-3B0594464FDF}"/>
      </w:docPartPr>
      <w:docPartBody>
        <w:p w:rsidR="00DE1721" w:rsidRDefault="00DE1721">
          <w:pPr>
            <w:pStyle w:val="2E63E84DD89A49C1BE9943E0652617B3"/>
          </w:pPr>
          <w:r w:rsidRPr="00F038A5">
            <w:rPr>
              <w:rStyle w:val="PlaceholderText"/>
            </w:rPr>
            <w:t>Click or tap here to enter text.</w:t>
          </w:r>
        </w:p>
      </w:docPartBody>
    </w:docPart>
    <w:docPart>
      <w:docPartPr>
        <w:name w:val="60D2F86ACDC0426DA70AAE03499DB393"/>
        <w:category>
          <w:name w:val="General"/>
          <w:gallery w:val="placeholder"/>
        </w:category>
        <w:types>
          <w:type w:val="bbPlcHdr"/>
        </w:types>
        <w:behaviors>
          <w:behavior w:val="content"/>
        </w:behaviors>
        <w:guid w:val="{9E21DEB5-FE9E-4A9E-98D9-F73E682683D6}"/>
      </w:docPartPr>
      <w:docPartBody>
        <w:p w:rsidR="00DE1721" w:rsidRDefault="00DE1721">
          <w:pPr>
            <w:pStyle w:val="60D2F86ACDC0426DA70AAE03499DB393"/>
          </w:pPr>
          <w:r w:rsidRPr="00F038A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21"/>
    <w:rsid w:val="00DE1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7D6182EF44472B6E1F175003BF0F9">
    <w:name w:val="0F37D6182EF44472B6E1F175003BF0F9"/>
  </w:style>
  <w:style w:type="paragraph" w:styleId="Subtitle">
    <w:name w:val="Subtitle"/>
    <w:basedOn w:val="Normal"/>
    <w:next w:val="BodyText"/>
    <w:link w:val="SubtitleChar"/>
    <w:uiPriority w:val="1"/>
    <w:qFormat/>
    <w:pPr>
      <w:numPr>
        <w:ilvl w:val="1"/>
      </w:numPr>
      <w:spacing w:before="120" w:after="360" w:line="264" w:lineRule="auto"/>
    </w:pPr>
    <w:rPr>
      <w:rFonts w:asciiTheme="majorHAnsi" w:hAnsiTheme="majorHAnsi"/>
      <w:color w:val="5B9BD5" w:themeColor="accent1"/>
      <w:spacing w:val="15"/>
      <w:sz w:val="28"/>
      <w:lang w:eastAsia="en-US"/>
    </w:rPr>
  </w:style>
  <w:style w:type="character" w:customStyle="1" w:styleId="SubtitleChar">
    <w:name w:val="Subtitle Char"/>
    <w:basedOn w:val="DefaultParagraphFont"/>
    <w:link w:val="Subtitle"/>
    <w:uiPriority w:val="1"/>
    <w:rPr>
      <w:rFonts w:asciiTheme="majorHAnsi" w:hAnsiTheme="majorHAnsi"/>
      <w:color w:val="5B9BD5" w:themeColor="accent1"/>
      <w:spacing w:val="15"/>
      <w:sz w:val="28"/>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10F748C505EE4A67B3EF6539F6816422">
    <w:name w:val="10F748C505EE4A67B3EF6539F6816422"/>
  </w:style>
  <w:style w:type="paragraph" w:customStyle="1" w:styleId="68D35D85EBE840D5A517DB58AE4B4198">
    <w:name w:val="68D35D85EBE840D5A517DB58AE4B4198"/>
  </w:style>
  <w:style w:type="character" w:styleId="PlaceholderText">
    <w:name w:val="Placeholder Text"/>
    <w:basedOn w:val="DefaultParagraphFont"/>
    <w:uiPriority w:val="99"/>
    <w:semiHidden/>
    <w:rPr>
      <w:color w:val="7F7F7F" w:themeColor="text1" w:themeTint="80"/>
    </w:rPr>
  </w:style>
  <w:style w:type="paragraph" w:customStyle="1" w:styleId="0BDADD18C90A43A99EF2E79CC83B233E">
    <w:name w:val="0BDADD18C90A43A99EF2E79CC83B233E"/>
  </w:style>
  <w:style w:type="paragraph" w:customStyle="1" w:styleId="2E63E84DD89A49C1BE9943E0652617B3">
    <w:name w:val="2E63E84DD89A49C1BE9943E0652617B3"/>
  </w:style>
  <w:style w:type="paragraph" w:customStyle="1" w:styleId="60D2F86ACDC0426DA70AAE03499DB393">
    <w:name w:val="60D2F86ACDC0426DA70AAE03499DB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710a584d-b494-4e90-bb0e-8d2ba517c0e5" xsi:nil="true"/>
    <NonRecordJustification xmlns="685f9fda-bd71-4433-b331-92feb9553089">None</NonRecordJustification>
    <ShareHubID xmlns="710a584d-b494-4e90-bb0e-8d2ba517c0e5">PDOC24-60701</ShareHubID>
    <TaxCatchAll xmlns="710a584d-b494-4e90-bb0e-8d2ba517c0e5">
      <Value>1</Value>
    </TaxCatchAll>
    <jd1c641577414dfdab1686c9d5d0dbd0 xmlns="710a584d-b494-4e90-bb0e-8d2ba517c0e5">
      <Terms xmlns="http://schemas.microsoft.com/office/infopath/2007/PartnerControls"/>
    </jd1c641577414dfdab1686c9d5d0dbd0>
    <SharedWithUsers xmlns="710a584d-b494-4e90-bb0e-8d2ba517c0e5">
      <UserInfo>
        <DisplayName/>
        <AccountId xsi:nil="true"/>
        <AccountType/>
      </UserInfo>
    </SharedWithUsers>
  </documentManagement>
</p:properties>
</file>

<file path=customXml/item4.xml><?xml version="1.0" encoding="utf-8"?>
<root>
  <Name/>
  <Classification>OFFICIAL</Classification>
  <DLM/>
  <SectionName/>
  <DH>Children &amp; Schooling Education Engagement &amp; Attainment Initiatives</DH>
  <Byline>Operational Framework 2024</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9E201FF5-2A93-4191-9984-C101C5F7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E446C-1B78-4646-A944-4F8B3A80DB23}">
  <ds:schemaRefs>
    <ds:schemaRef ds:uri="http://schemas.microsoft.com/sharepoint/v3/contenttype/forms"/>
  </ds:schemaRefs>
</ds:datastoreItem>
</file>

<file path=customXml/itemProps3.xml><?xml version="1.0" encoding="utf-8"?>
<ds:datastoreItem xmlns:ds="http://schemas.openxmlformats.org/officeDocument/2006/customXml" ds:itemID="{46765D20-37E0-455C-A0C9-123DFF2D49A3}">
  <ds:schemaRefs>
    <ds:schemaRef ds:uri="http://purl.org/dc/elements/1.1/"/>
    <ds:schemaRef ds:uri="710a584d-b494-4e90-bb0e-8d2ba517c0e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685f9fda-bd71-4433-b331-92feb9553089"/>
    <ds:schemaRef ds:uri="http://www.w3.org/XML/1998/namespace"/>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7A243FDC-F7DF-4B83-97D6-1932C41A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8970</Words>
  <Characters>51133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2024-04-05T02:26:00Z</dcterms:created>
  <dcterms:modified xsi:type="dcterms:W3CDTF">2024-04-05T02:26:00Z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HPRMSecurityCaveat">
    <vt:lpwstr/>
  </property>
</Properties>
</file>