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355A" w14:textId="19D89869" w:rsidR="004163FA" w:rsidRDefault="00B5598E" w:rsidP="0061255F">
      <w:pPr>
        <w:pStyle w:val="ProtectiveMarking"/>
        <w:spacing w:before="600" w:after="240"/>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11D5F">
            <w:t xml:space="preserve">     </w:t>
          </w:r>
        </w:sdtContent>
      </w:sdt>
    </w:p>
    <w:p w14:paraId="5D83870C" w14:textId="77777777" w:rsidR="00E578B7" w:rsidRPr="004D1065" w:rsidRDefault="00BE6762" w:rsidP="00B11C21">
      <w:pPr>
        <w:pStyle w:val="Title"/>
        <w:tabs>
          <w:tab w:val="left" w:pos="7501"/>
        </w:tabs>
        <w:rPr>
          <w:sz w:val="56"/>
          <w:szCs w:val="56"/>
        </w:rPr>
      </w:pPr>
      <w:r>
        <w:t>Budget 2024–25</w:t>
      </w:r>
      <w:r w:rsidR="00B11C21">
        <w:tab/>
      </w:r>
    </w:p>
    <w:p w14:paraId="19E0D0E5" w14:textId="77777777" w:rsidR="00437572" w:rsidRDefault="00BE6762" w:rsidP="004D1065">
      <w:pPr>
        <w:pStyle w:val="Subtitle"/>
      </w:pPr>
      <w:r w:rsidRPr="00BE6762">
        <w:t>Delivering better outcomes for First Nations people</w:t>
      </w:r>
      <w:r w:rsidR="004A43AD">
        <w:t>s</w:t>
      </w:r>
    </w:p>
    <w:p w14:paraId="60BAAC7E" w14:textId="77777777" w:rsidR="00E23B5C" w:rsidRDefault="00E23B5C" w:rsidP="00BE6762">
      <w:pPr>
        <w:pStyle w:val="BodyText"/>
        <w:sectPr w:rsidR="00E23B5C" w:rsidSect="004E0845">
          <w:headerReference w:type="even" r:id="rId9"/>
          <w:headerReference w:type="default" r:id="rId10"/>
          <w:footerReference w:type="even" r:id="rId11"/>
          <w:footerReference w:type="default" r:id="rId12"/>
          <w:headerReference w:type="first" r:id="rId13"/>
          <w:footerReference w:type="first" r:id="rId14"/>
          <w:pgSz w:w="11906" w:h="16838" w:code="9"/>
          <w:pgMar w:top="1702" w:right="851" w:bottom="1701" w:left="851" w:header="567" w:footer="57" w:gutter="0"/>
          <w:cols w:space="708"/>
          <w:titlePg/>
          <w:docGrid w:linePitch="360"/>
        </w:sectPr>
      </w:pPr>
    </w:p>
    <w:p w14:paraId="74784CAA" w14:textId="77777777" w:rsidR="00BE6762" w:rsidRDefault="00F12B56" w:rsidP="00BE6762">
      <w:pPr>
        <w:pStyle w:val="BodyText"/>
        <w:spacing w:line="288" w:lineRule="auto"/>
      </w:pPr>
      <w:r w:rsidRPr="00F12B56">
        <w:t xml:space="preserve">The Government is </w:t>
      </w:r>
      <w:r w:rsidR="008F073E">
        <w:t>investing in better outcomes for Aboriginal and Torres Strait Islander people</w:t>
      </w:r>
      <w:r w:rsidR="004A43AD">
        <w:t>s</w:t>
      </w:r>
      <w:r w:rsidR="008F073E">
        <w:t xml:space="preserve"> in health, </w:t>
      </w:r>
      <w:r w:rsidR="00C84F38">
        <w:t>housing</w:t>
      </w:r>
      <w:r w:rsidR="008F073E">
        <w:t xml:space="preserve">, jobs, education and justice. This is part of a commitment </w:t>
      </w:r>
      <w:r w:rsidRPr="00F12B56">
        <w:t xml:space="preserve">to the National Agreement on Closing the Gap and </w:t>
      </w:r>
      <w:r w:rsidR="008F073E">
        <w:t>to listening</w:t>
      </w:r>
      <w:r w:rsidRPr="00F12B56">
        <w:t xml:space="preserve"> to and work</w:t>
      </w:r>
      <w:r w:rsidR="008F073E">
        <w:t xml:space="preserve">ing </w:t>
      </w:r>
      <w:r w:rsidRPr="00F12B56">
        <w:t>with First</w:t>
      </w:r>
      <w:r w:rsidR="00FD724C">
        <w:t> </w:t>
      </w:r>
      <w:r w:rsidRPr="00F12B56">
        <w:t xml:space="preserve">Nations </w:t>
      </w:r>
      <w:r w:rsidR="004A43AD">
        <w:t>peoples</w:t>
      </w:r>
      <w:r w:rsidRPr="00F12B56">
        <w:t xml:space="preserve"> to create new opportunities, accelerate progress and achieve bet</w:t>
      </w:r>
      <w:r>
        <w:t>ter outcomes</w:t>
      </w:r>
      <w:r w:rsidR="004B033A">
        <w:t>.</w:t>
      </w:r>
      <w:r>
        <w:t xml:space="preserve"> </w:t>
      </w:r>
    </w:p>
    <w:p w14:paraId="46220F5E" w14:textId="77777777" w:rsidR="00BE6762" w:rsidRDefault="00BE6762" w:rsidP="00BE6762">
      <w:pPr>
        <w:pStyle w:val="BodyText"/>
        <w:spacing w:line="288" w:lineRule="auto"/>
      </w:pPr>
      <w:r>
        <w:t xml:space="preserve">This Budget </w:t>
      </w:r>
      <w:r w:rsidRPr="003F7091">
        <w:t>invests $2.</w:t>
      </w:r>
      <w:r w:rsidR="009F7B2E" w:rsidRPr="003F7091">
        <w:t>4</w:t>
      </w:r>
      <w:r w:rsidRPr="003F7091">
        <w:t xml:space="preserve"> billion in </w:t>
      </w:r>
      <w:r w:rsidR="00AE4FCE" w:rsidRPr="003F7091">
        <w:t>real</w:t>
      </w:r>
      <w:r w:rsidR="00AE4FCE">
        <w:t xml:space="preserve"> </w:t>
      </w:r>
      <w:r>
        <w:t>actions that will make a tangible dif</w:t>
      </w:r>
      <w:r w:rsidR="004A43AD">
        <w:t>ference to First Nations people</w:t>
      </w:r>
      <w:r>
        <w:t>s</w:t>
      </w:r>
      <w:r w:rsidR="004A43AD">
        <w:t>’</w:t>
      </w:r>
      <w:r>
        <w:t xml:space="preserve"> lives</w:t>
      </w:r>
      <w:r w:rsidR="004B033A">
        <w:t xml:space="preserve">. </w:t>
      </w:r>
      <w:r>
        <w:t>The Government has listened to First</w:t>
      </w:r>
      <w:r w:rsidR="00FD724C">
        <w:t> </w:t>
      </w:r>
      <w:r w:rsidR="004A43AD">
        <w:t>Nations peoples and is focus</w:t>
      </w:r>
      <w:r>
        <w:t>ing this Budget on:</w:t>
      </w:r>
    </w:p>
    <w:p w14:paraId="23B45B7F" w14:textId="77777777" w:rsidR="00BE6762" w:rsidRDefault="00BE6762" w:rsidP="007A4253">
      <w:pPr>
        <w:pStyle w:val="BulletedListlvl1"/>
        <w:ind w:left="284"/>
      </w:pPr>
      <w:r>
        <w:t>Supporting real jobs</w:t>
      </w:r>
      <w:r w:rsidR="00456B36">
        <w:t xml:space="preserve"> and economic development</w:t>
      </w:r>
      <w:r>
        <w:t>, particularly in remote communities</w:t>
      </w:r>
      <w:r w:rsidR="00D4638C">
        <w:t>.</w:t>
      </w:r>
    </w:p>
    <w:p w14:paraId="5926E283" w14:textId="77777777" w:rsidR="00BE6762" w:rsidRDefault="00BE6762" w:rsidP="007A4253">
      <w:pPr>
        <w:pStyle w:val="BulletedListlvl1"/>
        <w:ind w:left="284"/>
      </w:pPr>
      <w:r>
        <w:t>Building and maintaining housing and critical infrastructure in the Northern Territory</w:t>
      </w:r>
      <w:r w:rsidR="00AE4FCE">
        <w:t xml:space="preserve"> (NT)</w:t>
      </w:r>
      <w:r w:rsidR="00D4638C">
        <w:t>.</w:t>
      </w:r>
    </w:p>
    <w:p w14:paraId="43CCB174" w14:textId="77777777" w:rsidR="00BE6762" w:rsidRDefault="00BE6762" w:rsidP="007A4253">
      <w:pPr>
        <w:pStyle w:val="BulletedListlvl1"/>
        <w:ind w:left="284"/>
      </w:pPr>
      <w:r>
        <w:t xml:space="preserve">Ensuring First Nations students are educated in culturally competent ways and supported </w:t>
      </w:r>
      <w:r w:rsidR="006E623D">
        <w:t xml:space="preserve">when </w:t>
      </w:r>
      <w:r>
        <w:t>living away from home</w:t>
      </w:r>
      <w:r w:rsidR="00D4638C">
        <w:t>.</w:t>
      </w:r>
    </w:p>
    <w:p w14:paraId="1EC07E44" w14:textId="77777777" w:rsidR="00BE6762" w:rsidRDefault="00BE6762" w:rsidP="007A4253">
      <w:pPr>
        <w:pStyle w:val="BulletedListlvl1"/>
        <w:ind w:left="284"/>
      </w:pPr>
      <w:r>
        <w:t>Investing in mental health, suicide prevention, and family wellbeing that build</w:t>
      </w:r>
      <w:r w:rsidR="000F68D3">
        <w:t>s</w:t>
      </w:r>
      <w:r>
        <w:t xml:space="preserve"> on the cultural strengths in First Nations communities</w:t>
      </w:r>
      <w:r w:rsidR="00D4638C">
        <w:t>.</w:t>
      </w:r>
    </w:p>
    <w:p w14:paraId="59B8C959" w14:textId="77777777" w:rsidR="00BE6762" w:rsidRDefault="00BE6762" w:rsidP="007A4253">
      <w:pPr>
        <w:pStyle w:val="BulletedListlvl1"/>
        <w:ind w:left="284"/>
      </w:pPr>
      <w:r>
        <w:t>Supporting th</w:t>
      </w:r>
      <w:r w:rsidR="006B0DD7">
        <w:t xml:space="preserve">e </w:t>
      </w:r>
      <w:r w:rsidR="004574A0">
        <w:t xml:space="preserve">health, </w:t>
      </w:r>
      <w:r w:rsidR="006B0DD7">
        <w:t>wellbeing and safety of First </w:t>
      </w:r>
      <w:r>
        <w:t>Nations women and children</w:t>
      </w:r>
      <w:r w:rsidR="00D4638C">
        <w:t>.</w:t>
      </w:r>
    </w:p>
    <w:p w14:paraId="21114296" w14:textId="77777777" w:rsidR="00BE6762" w:rsidRDefault="00BE6762" w:rsidP="007A4253">
      <w:pPr>
        <w:pStyle w:val="BulletedListlvl1"/>
        <w:ind w:left="284"/>
      </w:pPr>
      <w:r>
        <w:t>Improving access to critical medicines and preventing communicable diseases</w:t>
      </w:r>
      <w:r w:rsidR="00D4638C">
        <w:t>.</w:t>
      </w:r>
    </w:p>
    <w:p w14:paraId="2E343382" w14:textId="77777777" w:rsidR="00BE6762" w:rsidRDefault="00BE6762" w:rsidP="007A4253">
      <w:pPr>
        <w:pStyle w:val="BulletedListlvl1"/>
        <w:ind w:left="284"/>
      </w:pPr>
      <w:r>
        <w:t>Supporting and celebrating strong First Nations cultures, language and history</w:t>
      </w:r>
      <w:r w:rsidR="00D4638C">
        <w:t>.</w:t>
      </w:r>
    </w:p>
    <w:p w14:paraId="23A8D2DA" w14:textId="77777777" w:rsidR="00AE4FCE" w:rsidRDefault="00AE4FCE" w:rsidP="00AE4FCE">
      <w:pPr>
        <w:pStyle w:val="BulletedListlvl1"/>
        <w:ind w:left="284"/>
      </w:pPr>
      <w:r>
        <w:t>Investing in justice reinvestment, a community</w:t>
      </w:r>
      <w:r>
        <w:noBreakHyphen/>
        <w:t>led</w:t>
      </w:r>
      <w:r w:rsidRPr="0091738F">
        <w:t xml:space="preserve"> approac</w:t>
      </w:r>
      <w:r w:rsidR="004A43AD">
        <w:t>h to supporting at-</w:t>
      </w:r>
      <w:r>
        <w:t>risk young people and improving community safety.</w:t>
      </w:r>
    </w:p>
    <w:p w14:paraId="1EADB9C2" w14:textId="77777777" w:rsidR="00BE6762" w:rsidRDefault="00F12B56" w:rsidP="00BE6762">
      <w:pPr>
        <w:pStyle w:val="BodyText"/>
      </w:pPr>
      <w:r>
        <w:t>Since the 2022–</w:t>
      </w:r>
      <w:r w:rsidR="00BE6762" w:rsidRPr="003F7091">
        <w:t>23 October Budget, the Government has invested more than $5.</w:t>
      </w:r>
      <w:r w:rsidR="00B325F5" w:rsidRPr="003F7091">
        <w:t>7</w:t>
      </w:r>
      <w:r w:rsidR="00BE6762" w:rsidRPr="003F7091">
        <w:t xml:space="preserve"> billion in initiative</w:t>
      </w:r>
      <w:r w:rsidR="006B0DD7" w:rsidRPr="003F7091">
        <w:t>s</w:t>
      </w:r>
      <w:r w:rsidR="00BE6762">
        <w:t xml:space="preserve"> for First Nations </w:t>
      </w:r>
      <w:r w:rsidR="004A43AD">
        <w:t>peoples</w:t>
      </w:r>
      <w:r w:rsidR="00BE6762">
        <w:t xml:space="preserve"> and communities.</w:t>
      </w:r>
    </w:p>
    <w:p w14:paraId="09BC02AC" w14:textId="77777777" w:rsidR="00085BB3" w:rsidRPr="00085BB3" w:rsidRDefault="00085BB3" w:rsidP="00EB0DAF">
      <w:pPr>
        <w:pStyle w:val="PanelHeading"/>
        <w:pBdr>
          <w:bottom w:val="none" w:sz="0" w:space="0" w:color="auto"/>
        </w:pBdr>
        <w:spacing w:before="0" w:after="0" w:line="240" w:lineRule="auto"/>
        <w:rPr>
          <w:sz w:val="4"/>
          <w:szCs w:val="4"/>
        </w:rPr>
      </w:pPr>
    </w:p>
    <w:p w14:paraId="0CBF46FF" w14:textId="77777777" w:rsidR="0007634F" w:rsidRDefault="006C1CF4" w:rsidP="00EB0DAF">
      <w:pPr>
        <w:pStyle w:val="PanelHeading"/>
        <w:pBdr>
          <w:bottom w:val="none" w:sz="0" w:space="0" w:color="auto"/>
        </w:pBdr>
      </w:pPr>
      <w:r>
        <w:rPr>
          <w:noProof/>
          <w:lang w:val="en-AU" w:eastAsia="en-AU"/>
        </w:rPr>
        <w:drawing>
          <wp:anchor distT="0" distB="0" distL="114300" distR="114300" simplePos="0" relativeHeight="251658240" behindDoc="0" locked="0" layoutInCell="1" allowOverlap="1" wp14:anchorId="65A5DC10" wp14:editId="26F83039">
            <wp:simplePos x="0" y="0"/>
            <wp:positionH relativeFrom="column">
              <wp:posOffset>2012315</wp:posOffset>
            </wp:positionH>
            <wp:positionV relativeFrom="paragraph">
              <wp:posOffset>123825</wp:posOffset>
            </wp:positionV>
            <wp:extent cx="1009650" cy="1127125"/>
            <wp:effectExtent l="0" t="0" r="0" b="0"/>
            <wp:wrapSquare wrapText="bothSides"/>
            <wp:docPr id="4" name="Picture 4" descr="Linda Burney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M_web_cabinet_12_LindaBurne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9650" cy="1127125"/>
                    </a:xfrm>
                    <a:prstGeom prst="rect">
                      <a:avLst/>
                    </a:prstGeom>
                  </pic:spPr>
                </pic:pic>
              </a:graphicData>
            </a:graphic>
            <wp14:sizeRelH relativeFrom="page">
              <wp14:pctWidth>0</wp14:pctWidth>
            </wp14:sizeRelH>
            <wp14:sizeRelV relativeFrom="page">
              <wp14:pctHeight>0</wp14:pctHeight>
            </wp14:sizeRelV>
          </wp:anchor>
        </w:drawing>
      </w:r>
      <w:r w:rsidR="00BE6762">
        <w:t>Minister’s statement</w:t>
      </w:r>
    </w:p>
    <w:p w14:paraId="21135531" w14:textId="77777777" w:rsidR="003C3230" w:rsidRPr="00CF2F01" w:rsidRDefault="003C3230" w:rsidP="00EB0DAF">
      <w:pPr>
        <w:pStyle w:val="PanelBody"/>
        <w:pBdr>
          <w:bottom w:val="none" w:sz="0" w:space="0" w:color="auto"/>
        </w:pBdr>
      </w:pPr>
      <w:r w:rsidRPr="00CF2F01">
        <w:t xml:space="preserve">The Albanese Labor Government is investing to close the gap. </w:t>
      </w:r>
    </w:p>
    <w:p w14:paraId="7DB8073F" w14:textId="77777777" w:rsidR="008B185C" w:rsidRPr="00CF2F01" w:rsidRDefault="008B185C" w:rsidP="00EB0DAF">
      <w:pPr>
        <w:pStyle w:val="PanelBody"/>
        <w:pBdr>
          <w:bottom w:val="none" w:sz="0" w:space="0" w:color="auto"/>
        </w:pBdr>
      </w:pPr>
      <w:r w:rsidRPr="00CF2F01">
        <w:t>This Budget delivers on the commitments made in the Commonwealth’s 2024 Closing the Gap Implementation Plan.</w:t>
      </w:r>
    </w:p>
    <w:p w14:paraId="17FB02E9" w14:textId="77777777" w:rsidR="00E149DD" w:rsidRDefault="003C3230" w:rsidP="00EB0DAF">
      <w:pPr>
        <w:pStyle w:val="PanelBody"/>
        <w:pBdr>
          <w:bottom w:val="none" w:sz="0" w:space="0" w:color="auto"/>
        </w:pBdr>
      </w:pPr>
      <w:r w:rsidRPr="00CF2F01">
        <w:t xml:space="preserve">This </w:t>
      </w:r>
      <w:r w:rsidR="008B185C" w:rsidRPr="00CF2F01">
        <w:t>includes investing</w:t>
      </w:r>
      <w:r w:rsidR="00582D17" w:rsidRPr="00CF2F01">
        <w:t xml:space="preserve"> an additional </w:t>
      </w:r>
      <w:r w:rsidR="00582D17" w:rsidRPr="003F7091">
        <w:t>$2.</w:t>
      </w:r>
      <w:r w:rsidR="00FF743F" w:rsidRPr="003F7091">
        <w:t>4</w:t>
      </w:r>
      <w:r w:rsidRPr="003F7091">
        <w:t xml:space="preserve"> billion</w:t>
      </w:r>
      <w:r w:rsidRPr="00CF2F01">
        <w:t xml:space="preserve"> to improve housing, and develop a new approach to remote jo</w:t>
      </w:r>
      <w:r w:rsidR="006F5B46" w:rsidRPr="00CF2F01">
        <w:t xml:space="preserve">bs and economic development. </w:t>
      </w:r>
    </w:p>
    <w:p w14:paraId="13AB6469" w14:textId="77777777" w:rsidR="001131DC" w:rsidRPr="00CF2F01" w:rsidRDefault="00C372B3" w:rsidP="00EB0DAF">
      <w:pPr>
        <w:pStyle w:val="PanelBody"/>
        <w:pBdr>
          <w:bottom w:val="none" w:sz="0" w:space="0" w:color="auto"/>
        </w:pBdr>
      </w:pPr>
      <w:r w:rsidRPr="00CF2F01">
        <w:t>We are</w:t>
      </w:r>
      <w:r w:rsidR="006F5B46" w:rsidRPr="00CF2F01">
        <w:t xml:space="preserve"> investing in better outcomes in ment</w:t>
      </w:r>
      <w:r w:rsidR="00947986" w:rsidRPr="00CF2F01">
        <w:t xml:space="preserve">al health and family wellbeing. </w:t>
      </w:r>
    </w:p>
    <w:p w14:paraId="3137D9BA" w14:textId="77777777" w:rsidR="00223745" w:rsidRDefault="00582D17" w:rsidP="00EB0DAF">
      <w:pPr>
        <w:pStyle w:val="PanelBody"/>
        <w:pBdr>
          <w:bottom w:val="none" w:sz="0" w:space="0" w:color="auto"/>
        </w:pBdr>
      </w:pPr>
      <w:r w:rsidRPr="00CF2F01">
        <w:t>We will continue</w:t>
      </w:r>
      <w:r w:rsidR="001131DC" w:rsidRPr="00CF2F01">
        <w:t xml:space="preserve"> </w:t>
      </w:r>
      <w:r w:rsidRPr="00CF2F01">
        <w:t xml:space="preserve">to implement the </w:t>
      </w:r>
      <w:r w:rsidR="008F073E" w:rsidRPr="00CF2F01">
        <w:t xml:space="preserve">Aboriginal and </w:t>
      </w:r>
      <w:r w:rsidRPr="00CF2F01">
        <w:t>Torres Strait Islander Action Plan, under the National Plan to End Violence against Women and Children 2022–2032.</w:t>
      </w:r>
    </w:p>
    <w:p w14:paraId="46A87648" w14:textId="77777777" w:rsidR="002F126D" w:rsidRDefault="00C372B3" w:rsidP="00223745">
      <w:pPr>
        <w:pStyle w:val="PanelBody"/>
        <w:pBdr>
          <w:top w:val="none" w:sz="0" w:space="0" w:color="auto"/>
          <w:bottom w:val="none" w:sz="0" w:space="0" w:color="auto"/>
        </w:pBdr>
      </w:pPr>
      <w:r w:rsidRPr="00CF2F01">
        <w:t xml:space="preserve">In </w:t>
      </w:r>
      <w:r w:rsidR="00947986" w:rsidRPr="00CF2F01">
        <w:t>the NT</w:t>
      </w:r>
      <w:r w:rsidR="006F5B46" w:rsidRPr="00CF2F01">
        <w:t xml:space="preserve">, our ongoing commitment to delivering </w:t>
      </w:r>
      <w:r w:rsidR="00EB3E38" w:rsidRPr="00EB3E38">
        <w:rPr>
          <w:i/>
        </w:rPr>
        <w:t>A </w:t>
      </w:r>
      <w:r w:rsidR="006F5B46" w:rsidRPr="00E149DD">
        <w:rPr>
          <w:i/>
        </w:rPr>
        <w:t>Better Safer Future for Central Australia</w:t>
      </w:r>
      <w:r w:rsidR="006F5B46" w:rsidRPr="00CF2F01">
        <w:t xml:space="preserve"> </w:t>
      </w:r>
      <w:r w:rsidR="00582D17" w:rsidRPr="00CF2F01">
        <w:t xml:space="preserve">will see </w:t>
      </w:r>
      <w:r w:rsidR="00947986" w:rsidRPr="00CF2F01">
        <w:t xml:space="preserve">$18 million invested </w:t>
      </w:r>
      <w:r w:rsidR="00C84F38">
        <w:t>to</w:t>
      </w:r>
      <w:r w:rsidR="00C84F38" w:rsidRPr="00CF2F01">
        <w:t xml:space="preserve"> </w:t>
      </w:r>
      <w:r w:rsidR="00947986" w:rsidRPr="00CF2F01">
        <w:t>build new and upgrade</w:t>
      </w:r>
      <w:r w:rsidR="006F5B46" w:rsidRPr="00CF2F01">
        <w:t xml:space="preserve"> </w:t>
      </w:r>
      <w:r w:rsidR="00C84F38">
        <w:t xml:space="preserve">existing </w:t>
      </w:r>
      <w:r w:rsidR="006F5B46" w:rsidRPr="00CF2F01">
        <w:t>boarding f</w:t>
      </w:r>
      <w:r w:rsidR="00582D17" w:rsidRPr="00CF2F01">
        <w:t>acilities in Central Australia.</w:t>
      </w:r>
    </w:p>
    <w:p w14:paraId="47CE8D76" w14:textId="77777777" w:rsidR="00097321" w:rsidRDefault="00AE4FCE" w:rsidP="00AE4FCE">
      <w:pPr>
        <w:pStyle w:val="PanelBody"/>
        <w:pBdr>
          <w:top w:val="none" w:sz="0" w:space="0" w:color="auto"/>
          <w:bottom w:val="none" w:sz="0" w:space="0" w:color="auto"/>
        </w:pBdr>
      </w:pPr>
      <w:r>
        <w:t>I know the last year has been tough for Indigenous Australians, but together we’re making progress to deliver a better future for our peoples and our communities.</w:t>
      </w:r>
    </w:p>
    <w:p w14:paraId="5A15B185" w14:textId="77777777" w:rsidR="004218CC" w:rsidRDefault="00DE60C0" w:rsidP="00EB0DAF">
      <w:pPr>
        <w:pStyle w:val="PanelBody"/>
        <w:pBdr>
          <w:top w:val="none" w:sz="0" w:space="0" w:color="auto"/>
          <w:bottom w:val="single" w:sz="8" w:space="1" w:color="DD7500"/>
        </w:pBdr>
      </w:pPr>
      <w:r>
        <w:rPr>
          <w:noProof/>
          <w:lang w:val="en-AU" w:eastAsia="en-AU"/>
        </w:rPr>
        <w:drawing>
          <wp:inline distT="0" distB="0" distL="0" distR="0" wp14:anchorId="1A5ECF74" wp14:editId="42495953">
            <wp:extent cx="2117090" cy="70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ney electronic signa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1756" cy="707105"/>
                    </a:xfrm>
                    <a:prstGeom prst="rect">
                      <a:avLst/>
                    </a:prstGeom>
                  </pic:spPr>
                </pic:pic>
              </a:graphicData>
            </a:graphic>
          </wp:inline>
        </w:drawing>
      </w:r>
    </w:p>
    <w:p w14:paraId="0D482A5D" w14:textId="77777777" w:rsidR="00BE6762" w:rsidRPr="00582D17" w:rsidRDefault="00BE6762" w:rsidP="00EB0DAF">
      <w:pPr>
        <w:pStyle w:val="PanelBody"/>
        <w:pBdr>
          <w:top w:val="none" w:sz="0" w:space="0" w:color="auto"/>
          <w:bottom w:val="single" w:sz="8" w:space="1" w:color="DD7500"/>
        </w:pBdr>
        <w:rPr>
          <w:b/>
        </w:rPr>
      </w:pPr>
      <w:r w:rsidRPr="00582D17">
        <w:rPr>
          <w:b/>
        </w:rPr>
        <w:t>The Hon Linda Burney MP</w:t>
      </w:r>
      <w:r w:rsidR="00096150" w:rsidRPr="00582D17">
        <w:rPr>
          <w:b/>
        </w:rPr>
        <w:br/>
      </w:r>
      <w:r w:rsidRPr="00582D17">
        <w:rPr>
          <w:b/>
        </w:rPr>
        <w:t>Minister for Indigenous Australians</w:t>
      </w:r>
      <w:r w:rsidRPr="00582D17">
        <w:rPr>
          <w:b/>
        </w:rPr>
        <w:br/>
        <w:t>May 2024</w:t>
      </w:r>
    </w:p>
    <w:p w14:paraId="248DEC9B" w14:textId="77777777" w:rsidR="00BE6762" w:rsidRPr="00E23B5C" w:rsidRDefault="00BE6762" w:rsidP="00E23B5C">
      <w:pPr>
        <w:pStyle w:val="Heading1"/>
      </w:pPr>
      <w:r w:rsidRPr="00E23B5C">
        <w:lastRenderedPageBreak/>
        <w:t>Delivering real jobs and economic development</w:t>
      </w:r>
    </w:p>
    <w:p w14:paraId="73BAC056" w14:textId="77777777" w:rsidR="00BE6762" w:rsidRDefault="005F4C5A" w:rsidP="00852A16">
      <w:pPr>
        <w:pStyle w:val="BodyText"/>
      </w:pPr>
      <w:r>
        <w:t xml:space="preserve">Jobs and economic </w:t>
      </w:r>
      <w:r w:rsidR="00AE4FCE">
        <w:t xml:space="preserve">development </w:t>
      </w:r>
      <w:r>
        <w:t>are</w:t>
      </w:r>
      <w:r w:rsidR="00BE6762">
        <w:t xml:space="preserve"> crucial to self</w:t>
      </w:r>
      <w:r w:rsidR="00BE02CF">
        <w:noBreakHyphen/>
      </w:r>
      <w:r w:rsidR="00BE6762">
        <w:t>determination a</w:t>
      </w:r>
      <w:r w:rsidR="001F5E13">
        <w:t>nd improving outcomes for First </w:t>
      </w:r>
      <w:r w:rsidR="00BE6762">
        <w:t xml:space="preserve">Nations </w:t>
      </w:r>
      <w:r w:rsidR="004A43AD">
        <w:t>peoples</w:t>
      </w:r>
      <w:r w:rsidR="00BE6762">
        <w:t xml:space="preserve"> and communities. </w:t>
      </w:r>
    </w:p>
    <w:p w14:paraId="5E718EC3" w14:textId="77777777" w:rsidR="00BF0EE9" w:rsidRDefault="00AE4FCE" w:rsidP="00852A16">
      <w:pPr>
        <w:pStyle w:val="BodyText"/>
      </w:pPr>
      <w:r>
        <w:t>In February, t</w:t>
      </w:r>
      <w:r w:rsidR="00BE6762">
        <w:t>he Government announce</w:t>
      </w:r>
      <w:r w:rsidR="001F5E13">
        <w:t xml:space="preserve">d </w:t>
      </w:r>
      <w:r w:rsidR="00517D85">
        <w:t xml:space="preserve">the </w:t>
      </w:r>
      <w:r w:rsidR="00BE6762">
        <w:t xml:space="preserve">new Remote </w:t>
      </w:r>
      <w:r w:rsidR="00BE6762" w:rsidRPr="003F7091">
        <w:t>Jobs and Economic Development Program that will help close the gap in employment outcomes</w:t>
      </w:r>
      <w:r w:rsidR="00BF0EE9" w:rsidRPr="003F7091">
        <w:t>. $777.4 m</w:t>
      </w:r>
      <w:r w:rsidR="00D110C4">
        <w:t>illion over 5 years from 2023-24 (and $255.5 </w:t>
      </w:r>
      <w:r w:rsidR="00BF0EE9" w:rsidRPr="003F7091">
        <w:t>million per year ongoing) will</w:t>
      </w:r>
      <w:r w:rsidR="00BF0EE9">
        <w:t xml:space="preserve"> fund</w:t>
      </w:r>
      <w:r w:rsidR="002661E7">
        <w:t xml:space="preserve"> the</w:t>
      </w:r>
      <w:r w:rsidR="00BF0EE9">
        <w:t>:</w:t>
      </w:r>
      <w:r w:rsidR="00BE6762">
        <w:t xml:space="preserve"> </w:t>
      </w:r>
    </w:p>
    <w:p w14:paraId="457EC1DB" w14:textId="77777777" w:rsidR="00BF0EE9" w:rsidRDefault="002661E7" w:rsidP="00BF0EE9">
      <w:pPr>
        <w:pStyle w:val="BulletedListlvl1"/>
        <w:ind w:left="284" w:hanging="284"/>
      </w:pPr>
      <w:r>
        <w:t>C</w:t>
      </w:r>
      <w:r w:rsidR="00BF0EE9">
        <w:t xml:space="preserve">reation of 3,000 real jobs, with proper wages and decent conditions in remote Australia. </w:t>
      </w:r>
    </w:p>
    <w:p w14:paraId="2ADFC16E" w14:textId="77777777" w:rsidR="00BF0EE9" w:rsidRDefault="00BF0EE9" w:rsidP="00BF0EE9">
      <w:pPr>
        <w:pStyle w:val="BulletedListlvl1"/>
        <w:ind w:left="284" w:hanging="284"/>
      </w:pPr>
      <w:r>
        <w:t>C</w:t>
      </w:r>
      <w:r w:rsidRPr="003369AE">
        <w:t xml:space="preserve">ommunity Jobs and Business Fund, </w:t>
      </w:r>
      <w:r>
        <w:t xml:space="preserve">to </w:t>
      </w:r>
      <w:r w:rsidRPr="003369AE">
        <w:t xml:space="preserve">support community development and creation of employment opportunities through </w:t>
      </w:r>
      <w:r>
        <w:t xml:space="preserve">capital and </w:t>
      </w:r>
      <w:r w:rsidRPr="003369AE">
        <w:t>equipment</w:t>
      </w:r>
      <w:r w:rsidRPr="00BF0EE9">
        <w:t xml:space="preserve"> </w:t>
      </w:r>
      <w:r w:rsidRPr="003369AE">
        <w:t>funding, and capacity building</w:t>
      </w:r>
      <w:r>
        <w:t>.</w:t>
      </w:r>
    </w:p>
    <w:p w14:paraId="650C6EC0" w14:textId="77777777" w:rsidR="00BF0EE9" w:rsidRDefault="002661E7" w:rsidP="00BF0EE9">
      <w:pPr>
        <w:pStyle w:val="BulletedListlvl1"/>
        <w:ind w:left="284" w:hanging="284"/>
      </w:pPr>
      <w:r>
        <w:t>E</w:t>
      </w:r>
      <w:r w:rsidR="00BF0EE9">
        <w:t>xtension of</w:t>
      </w:r>
      <w:r w:rsidR="00BF0EE9" w:rsidRPr="003369AE">
        <w:t xml:space="preserve"> current </w:t>
      </w:r>
      <w:r w:rsidR="00BF0EE9" w:rsidRPr="00BF0EE9">
        <w:rPr>
          <w:iCs/>
        </w:rPr>
        <w:t>Community Development Program</w:t>
      </w:r>
      <w:r w:rsidR="00BF0EE9" w:rsidRPr="00BF0EE9">
        <w:t xml:space="preserve"> provider arrangements</w:t>
      </w:r>
      <w:r w:rsidR="00BF0EE9">
        <w:t xml:space="preserve"> from 31 October 2024 to 30 June 2025</w:t>
      </w:r>
      <w:r w:rsidR="00117A8D">
        <w:t xml:space="preserve">, while work on </w:t>
      </w:r>
      <w:r w:rsidR="0063551C">
        <w:t xml:space="preserve">the </w:t>
      </w:r>
      <w:r w:rsidR="00117A8D">
        <w:t xml:space="preserve">design of </w:t>
      </w:r>
      <w:r w:rsidR="0063551C">
        <w:t xml:space="preserve">the </w:t>
      </w:r>
      <w:r w:rsidR="00117A8D">
        <w:t>new program gets underway</w:t>
      </w:r>
      <w:r w:rsidR="0063551C">
        <w:t>.</w:t>
      </w:r>
    </w:p>
    <w:p w14:paraId="2901BB21" w14:textId="77777777" w:rsidR="00BF0EE9" w:rsidRDefault="002661E7" w:rsidP="00BF0EE9">
      <w:pPr>
        <w:pStyle w:val="BulletedListlvl1"/>
        <w:ind w:left="284" w:hanging="284"/>
      </w:pPr>
      <w:r>
        <w:t>E</w:t>
      </w:r>
      <w:r w:rsidR="00BF0EE9">
        <w:t xml:space="preserve">xpansion of the New Jobs Program Trial, to support current demand until the Remote Jobs and Economic Development Program commences </w:t>
      </w:r>
      <w:r w:rsidR="004A43AD">
        <w:t>this year</w:t>
      </w:r>
      <w:r w:rsidR="00BF0EE9">
        <w:t>.</w:t>
      </w:r>
    </w:p>
    <w:p w14:paraId="4274B2BC" w14:textId="77777777" w:rsidR="00BE6762" w:rsidRPr="003F7091" w:rsidRDefault="00BE6762" w:rsidP="00BF0EE9">
      <w:pPr>
        <w:pStyle w:val="BodyText"/>
      </w:pPr>
      <w:r>
        <w:t xml:space="preserve">The Government is building on this investment and </w:t>
      </w:r>
      <w:r w:rsidRPr="003F7091">
        <w:t>supporting First Nations economic development with an additional:</w:t>
      </w:r>
    </w:p>
    <w:p w14:paraId="11F9B6A8" w14:textId="77777777" w:rsidR="00BE6762" w:rsidRPr="003F7091" w:rsidRDefault="00BE6762" w:rsidP="00C36A7A">
      <w:pPr>
        <w:pStyle w:val="BulletedListlvl1"/>
        <w:ind w:left="284"/>
      </w:pPr>
      <w:r w:rsidRPr="003F7091">
        <w:t>$</w:t>
      </w:r>
      <w:r w:rsidR="002F126D" w:rsidRPr="003F7091">
        <w:t>6</w:t>
      </w:r>
      <w:r w:rsidRPr="003F7091">
        <w:t xml:space="preserve">8.0 million over </w:t>
      </w:r>
      <w:r w:rsidR="002F126D" w:rsidRPr="003F7091">
        <w:t>4</w:t>
      </w:r>
      <w:r w:rsidRPr="003F7091">
        <w:t xml:space="preserve"> years from 202</w:t>
      </w:r>
      <w:r w:rsidR="002F126D" w:rsidRPr="003F7091">
        <w:t>3</w:t>
      </w:r>
      <w:r w:rsidR="002F126D" w:rsidRPr="003F7091">
        <w:noBreakHyphen/>
      </w:r>
      <w:r w:rsidRPr="003F7091">
        <w:t>2</w:t>
      </w:r>
      <w:r w:rsidR="002F126D" w:rsidRPr="003F7091">
        <w:t>4</w:t>
      </w:r>
      <w:r w:rsidRPr="003F7091">
        <w:t xml:space="preserve"> for First</w:t>
      </w:r>
      <w:r w:rsidR="00BB6F83" w:rsidRPr="003F7091">
        <w:t> </w:t>
      </w:r>
      <w:r w:rsidRPr="003F7091">
        <w:t xml:space="preserve">Nations Digital Inclusion measures to deliver </w:t>
      </w:r>
      <w:r w:rsidR="002F126D" w:rsidRPr="003F7091">
        <w:t>free</w:t>
      </w:r>
      <w:r w:rsidRPr="003F7091">
        <w:t xml:space="preserve"> community Wi-Fi in remote communities, establish a First Nations Digital Support Hub and a network of digital mentors to provide culturally competent support, and to improve the national collection of data on First Nations digital inclusion.</w:t>
      </w:r>
    </w:p>
    <w:p w14:paraId="33E11523" w14:textId="58646E5E" w:rsidR="00BE6762" w:rsidRPr="003F7091" w:rsidRDefault="00BE6762" w:rsidP="00C36A7A">
      <w:pPr>
        <w:pStyle w:val="BulletedListlvl1"/>
        <w:ind w:left="284"/>
      </w:pPr>
      <w:r w:rsidRPr="003F7091">
        <w:t>$20.2 million</w:t>
      </w:r>
      <w:r w:rsidR="009F7B2E" w:rsidRPr="003F7091">
        <w:t xml:space="preserve"> over 4 years from 2024</w:t>
      </w:r>
      <w:r w:rsidR="009F7B2E" w:rsidRPr="003F7091">
        <w:noBreakHyphen/>
        <w:t>25 (and $3.6 million</w:t>
      </w:r>
      <w:r w:rsidR="004020B3" w:rsidRPr="003F7091">
        <w:t xml:space="preserve"> per year</w:t>
      </w:r>
      <w:r w:rsidR="009F7B2E" w:rsidRPr="003F7091">
        <w:t xml:space="preserve"> ongoing)</w:t>
      </w:r>
      <w:r w:rsidRPr="003F7091">
        <w:t xml:space="preserve"> for the Federal Court and National Native Title Tri</w:t>
      </w:r>
      <w:r w:rsidR="00F11D5F">
        <w:t>bunal to reduce the backlog of N</w:t>
      </w:r>
      <w:r w:rsidRPr="003F7091">
        <w:t>a</w:t>
      </w:r>
      <w:r w:rsidR="001F5E13" w:rsidRPr="003F7091">
        <w:t xml:space="preserve">tive </w:t>
      </w:r>
      <w:r w:rsidR="00F11D5F">
        <w:t>T</w:t>
      </w:r>
      <w:r w:rsidR="001F5E13" w:rsidRPr="003F7091">
        <w:t>itle claims, resolve post</w:t>
      </w:r>
      <w:r w:rsidR="009F7B2E" w:rsidRPr="003F7091">
        <w:noBreakHyphen/>
      </w:r>
      <w:r w:rsidRPr="003F7091">
        <w:t>determination disputes and preserve culturall</w:t>
      </w:r>
      <w:r w:rsidR="00F11D5F">
        <w:t>y and historically significant Native T</w:t>
      </w:r>
      <w:r w:rsidRPr="003F7091">
        <w:t>itle records that underpin the resolution of future claims. The Governmen</w:t>
      </w:r>
      <w:r w:rsidR="009F7B2E" w:rsidRPr="003F7091">
        <w:t>t will also provide $0.5 </w:t>
      </w:r>
      <w:r w:rsidRPr="003F7091">
        <w:t xml:space="preserve">million </w:t>
      </w:r>
      <w:r w:rsidR="009F7B2E" w:rsidRPr="003F7091">
        <w:t>over 2 years from 2024</w:t>
      </w:r>
      <w:r w:rsidR="009F7B2E" w:rsidRPr="003F7091">
        <w:noBreakHyphen/>
        <w:t xml:space="preserve">25 </w:t>
      </w:r>
      <w:r w:rsidRPr="003F7091">
        <w:t>to</w:t>
      </w:r>
      <w:r>
        <w:t xml:space="preserve"> the Australian Law Reform Commission to </w:t>
      </w:r>
      <w:r w:rsidR="00F11D5F">
        <w:br/>
      </w:r>
      <w:r>
        <w:t xml:space="preserve">review the </w:t>
      </w:r>
      <w:r w:rsidRPr="003F7091">
        <w:t xml:space="preserve">future acts regime within the </w:t>
      </w:r>
      <w:r w:rsidR="00F11D5F">
        <w:br/>
      </w:r>
      <w:r w:rsidRPr="00F11D5F">
        <w:rPr>
          <w:i/>
        </w:rPr>
        <w:t>Native Title Act</w:t>
      </w:r>
      <w:r w:rsidR="00F11D5F" w:rsidRPr="00F11D5F">
        <w:rPr>
          <w:i/>
        </w:rPr>
        <w:t xml:space="preserve"> 1993</w:t>
      </w:r>
      <w:r w:rsidRPr="003F7091">
        <w:t>.</w:t>
      </w:r>
    </w:p>
    <w:p w14:paraId="5CF4ABD7" w14:textId="77777777" w:rsidR="00BE6762" w:rsidRPr="003F7091" w:rsidRDefault="00BE6762" w:rsidP="00287CED">
      <w:pPr>
        <w:pStyle w:val="BulletedListlvl1"/>
        <w:ind w:left="284"/>
      </w:pPr>
      <w:r w:rsidRPr="003F7091">
        <w:t>$15</w:t>
      </w:r>
      <w:r w:rsidR="00F70B53" w:rsidRPr="003F7091">
        <w:t>.0</w:t>
      </w:r>
      <w:r w:rsidRPr="003F7091">
        <w:t xml:space="preserve"> million over 4 years </w:t>
      </w:r>
      <w:r w:rsidR="002F126D" w:rsidRPr="003F7091">
        <w:t>from 2024–25</w:t>
      </w:r>
      <w:r w:rsidR="00A22414" w:rsidRPr="003F7091">
        <w:t xml:space="preserve"> to </w:t>
      </w:r>
      <w:r w:rsidR="002F126D" w:rsidRPr="003F7091">
        <w:t xml:space="preserve">work with </w:t>
      </w:r>
      <w:r w:rsidR="00A22414" w:rsidRPr="003F7091">
        <w:t>First</w:t>
      </w:r>
      <w:r w:rsidR="002F126D" w:rsidRPr="003F7091">
        <w:t xml:space="preserve"> </w:t>
      </w:r>
      <w:r w:rsidRPr="003F7091">
        <w:t xml:space="preserve">Nations </w:t>
      </w:r>
      <w:r w:rsidR="002F126D" w:rsidRPr="003F7091">
        <w:t xml:space="preserve">peoples and </w:t>
      </w:r>
      <w:r w:rsidRPr="003F7091">
        <w:t xml:space="preserve">communities to </w:t>
      </w:r>
      <w:r w:rsidR="002F126D" w:rsidRPr="003F7091">
        <w:t xml:space="preserve">support </w:t>
      </w:r>
      <w:r w:rsidRPr="003F7091">
        <w:t xml:space="preserve">connection to </w:t>
      </w:r>
      <w:r w:rsidR="004A43AD">
        <w:t>C</w:t>
      </w:r>
      <w:r w:rsidR="002F126D" w:rsidRPr="003F7091">
        <w:t>ountry through management of drought and climate risks.</w:t>
      </w:r>
    </w:p>
    <w:p w14:paraId="317145ED" w14:textId="6F2AFA3E" w:rsidR="00BE6762" w:rsidRPr="003F7091" w:rsidRDefault="00BE6762" w:rsidP="00287CED">
      <w:pPr>
        <w:pStyle w:val="BulletedListlvl1"/>
        <w:ind w:left="284"/>
      </w:pPr>
      <w:r w:rsidRPr="003F7091">
        <w:t>$1</w:t>
      </w:r>
      <w:r w:rsidR="00F70B53" w:rsidRPr="003F7091">
        <w:t>1.8</w:t>
      </w:r>
      <w:r w:rsidRPr="003F7091">
        <w:t xml:space="preserve"> millio</w:t>
      </w:r>
      <w:r w:rsidR="00A22414" w:rsidRPr="003F7091">
        <w:t>n over 4 years</w:t>
      </w:r>
      <w:r w:rsidR="009F7B2E" w:rsidRPr="003F7091">
        <w:t xml:space="preserve"> from 2024</w:t>
      </w:r>
      <w:r w:rsidR="009F7B2E" w:rsidRPr="003F7091">
        <w:noBreakHyphen/>
        <w:t>25</w:t>
      </w:r>
      <w:r w:rsidR="00A22414" w:rsidRPr="003F7091">
        <w:t xml:space="preserve"> to support First </w:t>
      </w:r>
      <w:r w:rsidRPr="003F7091">
        <w:t>Nations groups to participate in upfront consent processes for Australian Carbon Credit U</w:t>
      </w:r>
      <w:r w:rsidR="00F11D5F">
        <w:t>nit Scheme projects on Native T</w:t>
      </w:r>
      <w:r w:rsidRPr="003F7091">
        <w:t>itle lands.</w:t>
      </w:r>
    </w:p>
    <w:p w14:paraId="6194615F" w14:textId="6F6E1A41" w:rsidR="00BE6762" w:rsidRDefault="00BE6762" w:rsidP="00287CED">
      <w:pPr>
        <w:pStyle w:val="BulletedListlvl1"/>
        <w:ind w:left="284"/>
      </w:pPr>
      <w:r w:rsidRPr="003F7091">
        <w:t>$2</w:t>
      </w:r>
      <w:r w:rsidR="001F5E13" w:rsidRPr="003F7091">
        <w:t>.</w:t>
      </w:r>
      <w:r w:rsidR="00BF0EE9" w:rsidRPr="003F7091">
        <w:t>7</w:t>
      </w:r>
      <w:r w:rsidR="00F11D5F">
        <w:t xml:space="preserve"> million over 4 years from 2024-25</w:t>
      </w:r>
      <w:r w:rsidRPr="003F7091">
        <w:t>, as part of the Future Made in Australia – Making Australia</w:t>
      </w:r>
      <w:r>
        <w:t xml:space="preserve"> a Renewable Energy Superpower measure, to expand the First Nations Renewable Hydrogen Engagement Fund. </w:t>
      </w:r>
    </w:p>
    <w:p w14:paraId="14687645" w14:textId="77777777" w:rsidR="00DE60C0" w:rsidRDefault="00DE60C0" w:rsidP="00DE60C0">
      <w:pPr>
        <w:pStyle w:val="BulletedListlvl1"/>
        <w:numPr>
          <w:ilvl w:val="0"/>
          <w:numId w:val="0"/>
        </w:numPr>
        <w:ind w:left="284"/>
      </w:pPr>
    </w:p>
    <w:p w14:paraId="068DF91B" w14:textId="77777777" w:rsidR="00A243F3" w:rsidRPr="00A243F3" w:rsidRDefault="004A43AD" w:rsidP="00D032A9">
      <w:pPr>
        <w:pStyle w:val="PanelBody"/>
        <w:pBdr>
          <w:left w:val="single" w:sz="8" w:space="4" w:color="DD7500"/>
          <w:right w:val="single" w:sz="8" w:space="4" w:color="DD7500"/>
        </w:pBdr>
        <w:rPr>
          <w:rFonts w:asciiTheme="majorHAnsi" w:hAnsiTheme="majorHAnsi"/>
          <w:b/>
          <w:color w:val="2A4055" w:themeColor="accent1"/>
        </w:rPr>
      </w:pPr>
      <w:r>
        <w:rPr>
          <w:rFonts w:asciiTheme="majorHAnsi" w:hAnsiTheme="majorHAnsi"/>
          <w:b/>
          <w:color w:val="2A4055" w:themeColor="accent1"/>
        </w:rPr>
        <w:t>Indigenous r</w:t>
      </w:r>
      <w:r w:rsidR="00A243F3" w:rsidRPr="00A243F3">
        <w:rPr>
          <w:rFonts w:asciiTheme="majorHAnsi" w:hAnsiTheme="majorHAnsi"/>
          <w:b/>
          <w:color w:val="2A4055" w:themeColor="accent1"/>
        </w:rPr>
        <w:t>angers</w:t>
      </w:r>
    </w:p>
    <w:p w14:paraId="0F9A3197" w14:textId="77777777" w:rsidR="00D032A9" w:rsidRDefault="00D032A9" w:rsidP="00D032A9">
      <w:pPr>
        <w:pStyle w:val="PanelBody"/>
        <w:pBdr>
          <w:left w:val="single" w:sz="8" w:space="4" w:color="DD7500"/>
          <w:right w:val="single" w:sz="8" w:space="4" w:color="DD7500"/>
        </w:pBdr>
      </w:pPr>
      <w:r w:rsidRPr="00D032A9">
        <w:t xml:space="preserve">Indigenous rangers use traditional knowledge and cultural practices to manage land, river and sea Country </w:t>
      </w:r>
      <w:r w:rsidR="001D7426">
        <w:t xml:space="preserve">across Australia </w:t>
      </w:r>
      <w:r w:rsidRPr="00D032A9">
        <w:t xml:space="preserve">and deliver </w:t>
      </w:r>
      <w:r w:rsidR="001D7426">
        <w:t xml:space="preserve">positive </w:t>
      </w:r>
      <w:r w:rsidRPr="00D032A9">
        <w:t>environmental, cultural, social and economic development outcomes</w:t>
      </w:r>
      <w:r w:rsidR="001D7426">
        <w:t xml:space="preserve"> to rangers and their communities</w:t>
      </w:r>
      <w:r w:rsidRPr="00D032A9">
        <w:t>.</w:t>
      </w:r>
    </w:p>
    <w:p w14:paraId="296D2AD9" w14:textId="77777777" w:rsidR="00DB4380" w:rsidRDefault="00E433CB" w:rsidP="00D032A9">
      <w:pPr>
        <w:pStyle w:val="PanelBody"/>
        <w:pBdr>
          <w:left w:val="single" w:sz="8" w:space="4" w:color="DD7500"/>
          <w:right w:val="single" w:sz="8" w:space="4" w:color="DD7500"/>
        </w:pBdr>
      </w:pPr>
      <w:r w:rsidRPr="00D032A9">
        <w:t xml:space="preserve">The Government </w:t>
      </w:r>
      <w:r>
        <w:t xml:space="preserve">is delivering on its election commitment to double the number of Indigenous rangers to 3,800 by 2030. Up to 1,000 new ranger jobs will be delivered through a recent funding round which is expected to </w:t>
      </w:r>
      <w:r>
        <w:rPr>
          <w:rStyle w:val="ui-provider"/>
        </w:rPr>
        <w:t>increase the number of women rangers and support new Indigenous Rangers Groups to manage Country.</w:t>
      </w:r>
    </w:p>
    <w:p w14:paraId="5C119B20" w14:textId="77777777" w:rsidR="00BE6762" w:rsidRDefault="00975050" w:rsidP="00E23B5C">
      <w:pPr>
        <w:pStyle w:val="Heading1"/>
      </w:pPr>
      <w:r>
        <w:t>Housing and essential services</w:t>
      </w:r>
    </w:p>
    <w:p w14:paraId="2A7901BA" w14:textId="77777777" w:rsidR="003C349E" w:rsidRDefault="003C349E" w:rsidP="00DB6978">
      <w:pPr>
        <w:pStyle w:val="BodyText"/>
        <w:spacing w:after="0" w:line="240" w:lineRule="auto"/>
      </w:pPr>
      <w:r>
        <w:rPr>
          <w:noProof/>
          <w:lang w:eastAsia="en-AU"/>
        </w:rPr>
        <w:drawing>
          <wp:inline distT="0" distB="0" distL="0" distR="0" wp14:anchorId="12F4AA3C" wp14:editId="4F33748C">
            <wp:extent cx="2879677" cy="1609624"/>
            <wp:effectExtent l="0" t="0" r="0" b="0"/>
            <wp:docPr id="1" name="Picture 1" descr="Four homes under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irrkala - WTD Construction - 8 homes - May 202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9440" cy="1626261"/>
                    </a:xfrm>
                    <a:prstGeom prst="rect">
                      <a:avLst/>
                    </a:prstGeom>
                  </pic:spPr>
                </pic:pic>
              </a:graphicData>
            </a:graphic>
          </wp:inline>
        </w:drawing>
      </w:r>
    </w:p>
    <w:p w14:paraId="7F441402" w14:textId="77777777" w:rsidR="003C349E" w:rsidRPr="003C349E" w:rsidRDefault="00651566" w:rsidP="00DB6978">
      <w:pPr>
        <w:pStyle w:val="BodyText"/>
        <w:spacing w:before="0" w:line="240" w:lineRule="auto"/>
        <w:rPr>
          <w:i/>
        </w:rPr>
      </w:pPr>
      <w:r>
        <w:rPr>
          <w:i/>
        </w:rPr>
        <w:t>New homes under construction in</w:t>
      </w:r>
      <w:r w:rsidR="003C349E" w:rsidRPr="003C349E">
        <w:rPr>
          <w:i/>
        </w:rPr>
        <w:t xml:space="preserve"> Yirrkala</w:t>
      </w:r>
      <w:r w:rsidR="003C349E">
        <w:rPr>
          <w:i/>
        </w:rPr>
        <w:t xml:space="preserve"> (NT)</w:t>
      </w:r>
    </w:p>
    <w:p w14:paraId="71C08FF4" w14:textId="77777777" w:rsidR="00BE6762" w:rsidRDefault="00BE02CF" w:rsidP="00FA2849">
      <w:pPr>
        <w:pStyle w:val="BodyText"/>
      </w:pPr>
      <w:r>
        <w:t>D</w:t>
      </w:r>
      <w:r w:rsidR="00BE6762">
        <w:t xml:space="preserve">elivery of much-needed housing across remote </w:t>
      </w:r>
      <w:r w:rsidR="00AE4FCE">
        <w:t>NT</w:t>
      </w:r>
      <w:r w:rsidR="00BE6762">
        <w:t xml:space="preserve"> communities has accelerated significantly, with Commonwealth-funded delivery </w:t>
      </w:r>
      <w:r w:rsidR="00857818">
        <w:t>more than doubling</w:t>
      </w:r>
      <w:r w:rsidR="00BE6762">
        <w:t xml:space="preserve"> between 2021</w:t>
      </w:r>
      <w:r w:rsidR="002F126D">
        <w:noBreakHyphen/>
      </w:r>
      <w:r w:rsidR="00BE6762">
        <w:t>22 and 2022</w:t>
      </w:r>
      <w:r w:rsidR="002F126D">
        <w:noBreakHyphen/>
      </w:r>
      <w:r w:rsidR="00BE6762">
        <w:t>23. Despite this, th</w:t>
      </w:r>
      <w:r w:rsidR="00A22414">
        <w:t>e </w:t>
      </w:r>
      <w:r w:rsidR="00BE6762">
        <w:t>problem of overcrowding remains acute and more needs to be done.</w:t>
      </w:r>
    </w:p>
    <w:p w14:paraId="035F6DF8" w14:textId="77777777" w:rsidR="00DD40F4" w:rsidRDefault="00DD40F4" w:rsidP="00FA2849">
      <w:pPr>
        <w:pStyle w:val="BodyText"/>
      </w:pPr>
      <w:r>
        <w:t xml:space="preserve">In March, </w:t>
      </w:r>
      <w:r w:rsidRPr="003F7091">
        <w:t xml:space="preserve">the Federal and </w:t>
      </w:r>
      <w:r w:rsidR="00AE4FCE" w:rsidRPr="003F7091">
        <w:t>NT</w:t>
      </w:r>
      <w:r w:rsidR="004A43AD">
        <w:t xml:space="preserve"> g</w:t>
      </w:r>
      <w:r w:rsidRPr="003F7091">
        <w:t>overnments announced a joint $4</w:t>
      </w:r>
      <w:r w:rsidR="001F1A76" w:rsidRPr="003F7091">
        <w:t>.0</w:t>
      </w:r>
      <w:r w:rsidR="00D110C4">
        <w:t> billion investment over 10 </w:t>
      </w:r>
      <w:r w:rsidRPr="003F7091">
        <w:t>years for housing and h</w:t>
      </w:r>
      <w:r>
        <w:t xml:space="preserve">omelands in remote communities across the </w:t>
      </w:r>
      <w:r w:rsidR="00AE4FCE">
        <w:t>NT</w:t>
      </w:r>
      <w:r>
        <w:t xml:space="preserve">. </w:t>
      </w:r>
    </w:p>
    <w:p w14:paraId="7F0A6CFA" w14:textId="77777777" w:rsidR="00BE6762" w:rsidRDefault="00BE6762" w:rsidP="00C36A7A">
      <w:pPr>
        <w:pStyle w:val="BodyText"/>
      </w:pPr>
      <w:r>
        <w:t>The investment will see up to 270 houses built each year, with the aim of halving overcrowding</w:t>
      </w:r>
      <w:r w:rsidR="006A5226">
        <w:t xml:space="preserve"> within a decade</w:t>
      </w:r>
      <w:r>
        <w:t xml:space="preserve">. It will also continue support </w:t>
      </w:r>
      <w:r w:rsidR="001D237C">
        <w:t>for repairs and maintenance,</w:t>
      </w:r>
      <w:r>
        <w:t xml:space="preserve"> create local employment opportunities and support the sustainability of Aboriginal Business Enterprises.</w:t>
      </w:r>
    </w:p>
    <w:p w14:paraId="4E03A144" w14:textId="77777777" w:rsidR="00BE6762" w:rsidRPr="003F7091" w:rsidRDefault="00A764E7" w:rsidP="00C36A7A">
      <w:pPr>
        <w:pStyle w:val="BodyText"/>
      </w:pPr>
      <w:r>
        <w:t xml:space="preserve">Additional </w:t>
      </w:r>
      <w:r w:rsidR="002B03DA">
        <w:t>investment</w:t>
      </w:r>
      <w:r w:rsidR="006A5226">
        <w:t xml:space="preserve"> </w:t>
      </w:r>
      <w:r w:rsidR="00BE6762">
        <w:t>to suppo</w:t>
      </w:r>
      <w:r w:rsidR="001D237C">
        <w:t xml:space="preserve">rt </w:t>
      </w:r>
      <w:r w:rsidR="00D757D9">
        <w:t xml:space="preserve">remote </w:t>
      </w:r>
      <w:r w:rsidR="00AE4FCE">
        <w:t>NT</w:t>
      </w:r>
      <w:r w:rsidR="00D757D9">
        <w:t xml:space="preserve"> communities </w:t>
      </w:r>
      <w:r w:rsidR="00D757D9" w:rsidRPr="003F7091">
        <w:t>and homelands</w:t>
      </w:r>
      <w:r w:rsidRPr="003F7091">
        <w:t xml:space="preserve"> includes</w:t>
      </w:r>
      <w:r w:rsidR="002B03DA" w:rsidRPr="003F7091">
        <w:t>:</w:t>
      </w:r>
    </w:p>
    <w:p w14:paraId="7C4E7DA6" w14:textId="77777777" w:rsidR="00BE6762" w:rsidRPr="003F7091" w:rsidRDefault="00BE6762" w:rsidP="00C93597">
      <w:pPr>
        <w:pStyle w:val="BulletedListlvl1"/>
        <w:ind w:left="284"/>
      </w:pPr>
      <w:r w:rsidRPr="003F7091">
        <w:t>$120</w:t>
      </w:r>
      <w:r w:rsidR="001D237C" w:rsidRPr="003F7091">
        <w:t>.0</w:t>
      </w:r>
      <w:r w:rsidRPr="003F7091">
        <w:t xml:space="preserve"> million over 3 years </w:t>
      </w:r>
      <w:r w:rsidR="001F1A76" w:rsidRPr="003F7091">
        <w:t>from 2024</w:t>
      </w:r>
      <w:r w:rsidR="001F1A76" w:rsidRPr="003F7091">
        <w:noBreakHyphen/>
        <w:t xml:space="preserve">25 </w:t>
      </w:r>
      <w:r w:rsidR="00D757D9" w:rsidRPr="003F7091">
        <w:t>to continue delivering</w:t>
      </w:r>
      <w:r w:rsidRPr="003F7091">
        <w:t xml:space="preserve"> repair</w:t>
      </w:r>
      <w:r w:rsidR="00D757D9" w:rsidRPr="003F7091">
        <w:t xml:space="preserve">s </w:t>
      </w:r>
      <w:r w:rsidRPr="003F7091">
        <w:t>and upgrad</w:t>
      </w:r>
      <w:r w:rsidR="00D757D9" w:rsidRPr="003F7091">
        <w:t>es to</w:t>
      </w:r>
      <w:r w:rsidRPr="003F7091">
        <w:t xml:space="preserve"> housing and essential infrastructure on </w:t>
      </w:r>
      <w:r w:rsidR="00AE4FCE" w:rsidRPr="003F7091">
        <w:t>NT</w:t>
      </w:r>
      <w:r w:rsidRPr="003F7091">
        <w:t xml:space="preserve"> homelands. </w:t>
      </w:r>
    </w:p>
    <w:p w14:paraId="6A37423D" w14:textId="77777777" w:rsidR="00343DBA" w:rsidRDefault="00343DBA" w:rsidP="00C93597">
      <w:pPr>
        <w:pStyle w:val="BulletedListlvl1"/>
        <w:ind w:left="284"/>
      </w:pPr>
      <w:r w:rsidRPr="003F7091">
        <w:t>$</w:t>
      </w:r>
      <w:r w:rsidR="008D7C53" w:rsidRPr="003F7091">
        <w:t xml:space="preserve">20.0 million in 2023-24 </w:t>
      </w:r>
      <w:r w:rsidR="00A764E7" w:rsidRPr="003F7091">
        <w:t>to deliver an additional 49 houses under</w:t>
      </w:r>
      <w:r w:rsidR="00A764E7">
        <w:t xml:space="preserve"> the existing Remote Housing Norther</w:t>
      </w:r>
      <w:r w:rsidR="0098228B">
        <w:t>n</w:t>
      </w:r>
      <w:r w:rsidR="00A764E7">
        <w:t xml:space="preserve"> Territory Federation Funding Agreement, in partnership with and jointly funded by </w:t>
      </w:r>
      <w:r w:rsidR="00BB4937">
        <w:t xml:space="preserve">the NT Government, </w:t>
      </w:r>
      <w:r w:rsidR="00A764E7">
        <w:t>delivering a total</w:t>
      </w:r>
      <w:r w:rsidR="00C03814">
        <w:t xml:space="preserve"> of 206 </w:t>
      </w:r>
      <w:r w:rsidR="00A764E7">
        <w:t>houses under the one-year agreement</w:t>
      </w:r>
      <w:r>
        <w:t>.</w:t>
      </w:r>
    </w:p>
    <w:p w14:paraId="64F4FE97" w14:textId="77777777" w:rsidR="00DE60C0" w:rsidRDefault="00DE60C0" w:rsidP="00DE60C0">
      <w:pPr>
        <w:pStyle w:val="BulletedListlvl1"/>
        <w:numPr>
          <w:ilvl w:val="0"/>
          <w:numId w:val="0"/>
        </w:numPr>
        <w:ind w:left="284"/>
      </w:pPr>
    </w:p>
    <w:p w14:paraId="25D7DE4B" w14:textId="77777777" w:rsidR="00BE6762" w:rsidRPr="003F7091" w:rsidRDefault="00BE6762" w:rsidP="00C93597">
      <w:pPr>
        <w:pStyle w:val="BulletedListlvl1"/>
        <w:ind w:left="284"/>
      </w:pPr>
      <w:r w:rsidRPr="003F7091">
        <w:t>$1</w:t>
      </w:r>
      <w:r w:rsidR="001D237C" w:rsidRPr="003F7091">
        <w:t>.0</w:t>
      </w:r>
      <w:r w:rsidRPr="003F7091">
        <w:t xml:space="preserve"> million to Aboriginal Housi</w:t>
      </w:r>
      <w:r w:rsidR="0079736F" w:rsidRPr="003F7091">
        <w:t>ng NT over 2 </w:t>
      </w:r>
      <w:r w:rsidR="001D237C" w:rsidRPr="003F7091">
        <w:t>years</w:t>
      </w:r>
      <w:r w:rsidRPr="003F7091">
        <w:t xml:space="preserve"> </w:t>
      </w:r>
      <w:r w:rsidR="001F1A76" w:rsidRPr="003F7091">
        <w:t>from 2024</w:t>
      </w:r>
      <w:r w:rsidR="001F1A76" w:rsidRPr="003F7091">
        <w:noBreakHyphen/>
        <w:t xml:space="preserve">25 </w:t>
      </w:r>
      <w:r w:rsidRPr="003F7091">
        <w:t>to support their partnership role and development of a Com</w:t>
      </w:r>
      <w:r w:rsidR="001D237C" w:rsidRPr="003F7091">
        <w:t>munity-</w:t>
      </w:r>
      <w:r w:rsidR="00975050" w:rsidRPr="003F7091">
        <w:t>Controlled Housing Model.</w:t>
      </w:r>
    </w:p>
    <w:p w14:paraId="6577AB40" w14:textId="77777777" w:rsidR="00975050" w:rsidRPr="003F7091" w:rsidRDefault="00975050" w:rsidP="00852A16">
      <w:pPr>
        <w:pStyle w:val="BodyText"/>
      </w:pPr>
      <w:r w:rsidRPr="003F7091">
        <w:t xml:space="preserve">Improving Closing the Gap outcomes in remote </w:t>
      </w:r>
      <w:r w:rsidR="00AE4FCE" w:rsidRPr="003F7091">
        <w:t>NT</w:t>
      </w:r>
      <w:r w:rsidRPr="003F7091">
        <w:t xml:space="preserve"> communities relies on the delivery of essential services, including health, education and community safety.</w:t>
      </w:r>
    </w:p>
    <w:p w14:paraId="3AF1A572" w14:textId="77777777" w:rsidR="00BE6762" w:rsidRDefault="00975050" w:rsidP="00C36A7A">
      <w:pPr>
        <w:pStyle w:val="BodyText"/>
      </w:pPr>
      <w:r w:rsidRPr="003F7091">
        <w:t xml:space="preserve">The Government is investing </w:t>
      </w:r>
      <w:r w:rsidR="00BE6762" w:rsidRPr="003F7091">
        <w:t xml:space="preserve">$111.1 million </w:t>
      </w:r>
      <w:r w:rsidR="0079736F" w:rsidRPr="003F7091">
        <w:t>in 2024</w:t>
      </w:r>
      <w:r w:rsidR="0079736F" w:rsidRPr="003F7091">
        <w:noBreakHyphen/>
      </w:r>
      <w:r w:rsidRPr="003F7091">
        <w:t xml:space="preserve">25 </w:t>
      </w:r>
      <w:r w:rsidR="00BE6762" w:rsidRPr="003F7091">
        <w:t xml:space="preserve">to </w:t>
      </w:r>
      <w:r w:rsidRPr="003F7091">
        <w:t>continue these critical services under</w:t>
      </w:r>
      <w:r w:rsidR="0079736F" w:rsidRPr="003F7091">
        <w:t xml:space="preserve"> the National Partnership on</w:t>
      </w:r>
      <w:r w:rsidR="00BE6762" w:rsidRPr="003F7091">
        <w:t xml:space="preserve"> </w:t>
      </w:r>
      <w:r w:rsidR="00AE4FCE" w:rsidRPr="003F7091">
        <w:t>NT</w:t>
      </w:r>
      <w:r w:rsidR="00BE6762" w:rsidRPr="003F7091">
        <w:t xml:space="preserve"> Remote Aboriginal</w:t>
      </w:r>
      <w:r w:rsidR="00BE6762">
        <w:t xml:space="preserve"> Investment</w:t>
      </w:r>
      <w:r>
        <w:t>.</w:t>
      </w:r>
      <w:r w:rsidR="00BE6762">
        <w:t xml:space="preserve"> </w:t>
      </w:r>
      <w:r w:rsidR="00CF2F01" w:rsidRPr="00CF2F01">
        <w:t xml:space="preserve">This will support the </w:t>
      </w:r>
      <w:r w:rsidR="00AE4FCE">
        <w:t>NT</w:t>
      </w:r>
      <w:r w:rsidR="00CF2F01" w:rsidRPr="00CF2F01">
        <w:t xml:space="preserve"> to improve schooling for First</w:t>
      </w:r>
      <w:r w:rsidR="00C93597">
        <w:t> </w:t>
      </w:r>
      <w:r w:rsidR="00CF2F01" w:rsidRPr="00CF2F01">
        <w:t>Nations children through programs including Families as First Teachers, make communities healthier and safer by maintaining 19</w:t>
      </w:r>
      <w:r w:rsidR="00EA0222">
        <w:t> </w:t>
      </w:r>
      <w:r w:rsidR="00CF2F01" w:rsidRPr="00CF2F01">
        <w:t>women’s safe houses and remote family support services across 23</w:t>
      </w:r>
      <w:r w:rsidR="00C93597">
        <w:t> </w:t>
      </w:r>
      <w:r w:rsidR="00CF2F01" w:rsidRPr="00CF2F01">
        <w:t>communities, and increase access to interpreter services and job o</w:t>
      </w:r>
      <w:r w:rsidR="001B4B59">
        <w:t>pportunities for First </w:t>
      </w:r>
      <w:r w:rsidR="00CF2F01" w:rsidRPr="00CF2F01">
        <w:t>Nations Australians.</w:t>
      </w:r>
    </w:p>
    <w:p w14:paraId="6364CF2B" w14:textId="77777777" w:rsidR="00DE60C0" w:rsidRDefault="00DE60C0" w:rsidP="00C36A7A">
      <w:pPr>
        <w:pStyle w:val="BodyText"/>
      </w:pPr>
    </w:p>
    <w:p w14:paraId="2D6C8CC6" w14:textId="77777777" w:rsidR="00A243F3" w:rsidRPr="00A243F3" w:rsidRDefault="004A43AD" w:rsidP="00A243F3">
      <w:pPr>
        <w:pStyle w:val="PanelBody"/>
        <w:pBdr>
          <w:left w:val="single" w:sz="8" w:space="4" w:color="DD7500"/>
          <w:right w:val="single" w:sz="8" w:space="4" w:color="DD7500"/>
        </w:pBdr>
        <w:rPr>
          <w:rFonts w:asciiTheme="majorHAnsi" w:hAnsiTheme="majorHAnsi"/>
          <w:b/>
          <w:color w:val="2A4055" w:themeColor="accent1"/>
        </w:rPr>
      </w:pPr>
      <w:r>
        <w:rPr>
          <w:rFonts w:asciiTheme="majorHAnsi" w:hAnsiTheme="majorHAnsi"/>
          <w:b/>
          <w:color w:val="2A4055" w:themeColor="accent1"/>
        </w:rPr>
        <w:t>Investing in First Nations w</w:t>
      </w:r>
      <w:r w:rsidR="004F32DA">
        <w:rPr>
          <w:rFonts w:asciiTheme="majorHAnsi" w:hAnsiTheme="majorHAnsi"/>
          <w:b/>
          <w:color w:val="2A4055" w:themeColor="accent1"/>
        </w:rPr>
        <w:t>ater</w:t>
      </w:r>
    </w:p>
    <w:p w14:paraId="38614DD7" w14:textId="77777777" w:rsidR="007154FF" w:rsidRDefault="007154FF" w:rsidP="007154FF">
      <w:pPr>
        <w:pStyle w:val="PanelBody"/>
        <w:pBdr>
          <w:left w:val="single" w:sz="8" w:space="4" w:color="DD7500"/>
          <w:right w:val="single" w:sz="8" w:space="4" w:color="DD7500"/>
        </w:pBdr>
      </w:pPr>
      <w:r>
        <w:t>The Government is delivering on its $150</w:t>
      </w:r>
      <w:r w:rsidR="004A43AD">
        <w:t>.0</w:t>
      </w:r>
      <w:r>
        <w:t xml:space="preserve"> million commitment to support water infrastructure for First</w:t>
      </w:r>
      <w:r w:rsidR="00DB6AFD">
        <w:t> </w:t>
      </w:r>
      <w:r>
        <w:t>Nations communities in regional and remote Australia.</w:t>
      </w:r>
    </w:p>
    <w:p w14:paraId="07F3F6A5" w14:textId="77777777" w:rsidR="007154FF" w:rsidRDefault="007154FF" w:rsidP="007154FF">
      <w:pPr>
        <w:pStyle w:val="PanelBody"/>
        <w:pBdr>
          <w:left w:val="single" w:sz="8" w:space="4" w:color="DD7500"/>
          <w:right w:val="single" w:sz="8" w:space="4" w:color="DD7500"/>
        </w:pBdr>
      </w:pPr>
      <w:r>
        <w:t>Clean and reliable drinking water is something that many Australians t</w:t>
      </w:r>
      <w:r w:rsidR="00DB6AFD">
        <w:t>ake for granted. For many First </w:t>
      </w:r>
      <w:r>
        <w:t xml:space="preserve">Nations </w:t>
      </w:r>
      <w:r w:rsidR="004A43AD">
        <w:t>peoples</w:t>
      </w:r>
      <w:r>
        <w:t xml:space="preserve"> living in remote Australia, reliable drinking water isn’t a given.</w:t>
      </w:r>
    </w:p>
    <w:p w14:paraId="3549BAA2" w14:textId="77777777" w:rsidR="007154FF" w:rsidRDefault="00DB6AFD" w:rsidP="007154FF">
      <w:pPr>
        <w:pStyle w:val="PanelBody"/>
        <w:pBdr>
          <w:left w:val="single" w:sz="8" w:space="4" w:color="DD7500"/>
          <w:right w:val="single" w:sz="8" w:space="4" w:color="DD7500"/>
        </w:pBdr>
      </w:pPr>
      <w:r>
        <w:t>T</w:t>
      </w:r>
      <w:r w:rsidR="007154FF">
        <w:t xml:space="preserve">he Government has already commenced upgrading water infrastructure in communities in the </w:t>
      </w:r>
      <w:r w:rsidR="00B11C21">
        <w:t>NT</w:t>
      </w:r>
      <w:r w:rsidR="007154FF">
        <w:t xml:space="preserve"> (Maningrida, Yirrkala, Gunyangara, Numbulwar, Yue</w:t>
      </w:r>
      <w:r>
        <w:t>ndumu and Milin</w:t>
      </w:r>
      <w:r w:rsidR="00B11C21">
        <w:t>gimbi) and South Australia (Iga </w:t>
      </w:r>
      <w:r>
        <w:t>Warta).</w:t>
      </w:r>
    </w:p>
    <w:p w14:paraId="6889B683" w14:textId="77777777" w:rsidR="007154FF" w:rsidRDefault="00DB6AFD" w:rsidP="007154FF">
      <w:pPr>
        <w:pStyle w:val="PanelBody"/>
        <w:pBdr>
          <w:left w:val="single" w:sz="8" w:space="4" w:color="DD7500"/>
          <w:right w:val="single" w:sz="8" w:space="4" w:color="DD7500"/>
        </w:pBdr>
      </w:pPr>
      <w:r>
        <w:t>The Government continues to</w:t>
      </w:r>
      <w:r w:rsidR="007154FF">
        <w:t xml:space="preserve"> work closely with </w:t>
      </w:r>
      <w:r>
        <w:t>s</w:t>
      </w:r>
      <w:r w:rsidR="007154FF">
        <w:t>tate and territory partners and First Nations communities to plan and deliver water security projects.</w:t>
      </w:r>
    </w:p>
    <w:p w14:paraId="062B9B61" w14:textId="77777777" w:rsidR="00BE6762" w:rsidRDefault="00BE6762" w:rsidP="00E23B5C">
      <w:pPr>
        <w:pStyle w:val="Heading1"/>
      </w:pPr>
      <w:r>
        <w:t>Supporting First Nations students to achieve their full learning potential</w:t>
      </w:r>
    </w:p>
    <w:p w14:paraId="51F49F45" w14:textId="77777777" w:rsidR="00BE6762" w:rsidRDefault="00BE6762" w:rsidP="00852A16">
      <w:pPr>
        <w:pStyle w:val="BodyText"/>
      </w:pPr>
      <w:r>
        <w:t>The Government</w:t>
      </w:r>
      <w:r w:rsidR="00750045">
        <w:t xml:space="preserve"> is committed to ensuring First </w:t>
      </w:r>
      <w:r>
        <w:t xml:space="preserve">Nations people have equal access to education and the opportunity to fulfil their potential. </w:t>
      </w:r>
    </w:p>
    <w:p w14:paraId="308EFB66" w14:textId="77777777" w:rsidR="00DD40F4" w:rsidRDefault="00DD40F4" w:rsidP="00BE6762">
      <w:pPr>
        <w:pStyle w:val="BodyText"/>
        <w:spacing w:line="288" w:lineRule="auto"/>
      </w:pPr>
      <w:r>
        <w:rPr>
          <w:noProof/>
          <w:lang w:eastAsia="en-AU"/>
        </w:rPr>
        <w:drawing>
          <wp:inline distT="0" distB="0" distL="0" distR="0" wp14:anchorId="040AF3E8" wp14:editId="333BC4FA">
            <wp:extent cx="2924175" cy="1950402"/>
            <wp:effectExtent l="0" t="0" r="0" b="0"/>
            <wp:docPr id="7" name="Picture 7" descr="Female and male students walking and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dent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44846" cy="1964189"/>
                    </a:xfrm>
                    <a:prstGeom prst="rect">
                      <a:avLst/>
                    </a:prstGeom>
                  </pic:spPr>
                </pic:pic>
              </a:graphicData>
            </a:graphic>
          </wp:inline>
        </w:drawing>
      </w:r>
    </w:p>
    <w:p w14:paraId="784F5004" w14:textId="77777777" w:rsidR="00242A35" w:rsidRDefault="00BE6762" w:rsidP="008D7C53">
      <w:pPr>
        <w:pStyle w:val="BodyText"/>
      </w:pPr>
      <w:r>
        <w:t xml:space="preserve">The Government </w:t>
      </w:r>
      <w:r w:rsidR="009B36EF">
        <w:t>will invest to</w:t>
      </w:r>
      <w:r w:rsidR="009B36EF" w:rsidRPr="009B36EF">
        <w:t xml:space="preserve"> </w:t>
      </w:r>
      <w:r w:rsidR="009B36EF">
        <w:t>accelerate action and deliver against the Closing the Gap Priority Reforms, by supporting First Nations education partnership, policy development and program delivery.</w:t>
      </w:r>
      <w:r w:rsidR="009B36EF" w:rsidDel="009B36EF">
        <w:t xml:space="preserve"> </w:t>
      </w:r>
    </w:p>
    <w:p w14:paraId="15BDB319" w14:textId="77777777" w:rsidR="00E62B69" w:rsidRPr="003F7091" w:rsidRDefault="00242A35" w:rsidP="008D7C53">
      <w:pPr>
        <w:pStyle w:val="BodyText"/>
      </w:pPr>
      <w:r w:rsidRPr="003F7091">
        <w:t>Education i</w:t>
      </w:r>
      <w:r w:rsidR="00E62B69" w:rsidRPr="003F7091">
        <w:t xml:space="preserve">nvestment of </w:t>
      </w:r>
      <w:r w:rsidR="00BE6762" w:rsidRPr="003F7091">
        <w:t>$</w:t>
      </w:r>
      <w:r w:rsidR="009F185F" w:rsidRPr="003F7091">
        <w:t xml:space="preserve">110.0 </w:t>
      </w:r>
      <w:r w:rsidR="00BE6762" w:rsidRPr="003F7091">
        <w:t xml:space="preserve">million over 4 years </w:t>
      </w:r>
      <w:r w:rsidR="00901703" w:rsidRPr="003F7091">
        <w:t>(and $11.0</w:t>
      </w:r>
      <w:r w:rsidR="00C93597" w:rsidRPr="003F7091">
        <w:t> </w:t>
      </w:r>
      <w:r w:rsidR="00901703" w:rsidRPr="003F7091">
        <w:t>million per year ongoing)</w:t>
      </w:r>
      <w:r w:rsidR="00E61E48" w:rsidRPr="003F7091">
        <w:t xml:space="preserve"> </w:t>
      </w:r>
      <w:r w:rsidR="00E62B69" w:rsidRPr="003F7091">
        <w:t>will provide:</w:t>
      </w:r>
    </w:p>
    <w:p w14:paraId="298C937C" w14:textId="3A02732D" w:rsidR="00E62B69" w:rsidRPr="003F7091" w:rsidRDefault="00E62B69" w:rsidP="00242A35">
      <w:pPr>
        <w:pStyle w:val="BulletedListlvl1"/>
        <w:ind w:left="284"/>
      </w:pPr>
      <w:r w:rsidRPr="003F7091">
        <w:t xml:space="preserve">$18.2 million over </w:t>
      </w:r>
      <w:r w:rsidR="00D66B24" w:rsidRPr="003F7091">
        <w:t>4</w:t>
      </w:r>
      <w:r w:rsidR="00F11D5F">
        <w:t xml:space="preserve"> years from 2024</w:t>
      </w:r>
      <w:r w:rsidR="00F11D5F">
        <w:noBreakHyphen/>
        <w:t>25 (and $2.2 </w:t>
      </w:r>
      <w:r w:rsidRPr="003F7091">
        <w:t>million per year ongoing) to develop a new National First Nations Education Policy. The Government will work with First Nations peak organisations and stakeholders to develop the policy to drive stronger education outcomes.</w:t>
      </w:r>
    </w:p>
    <w:p w14:paraId="1102C7E1" w14:textId="2435202A" w:rsidR="00E62B69" w:rsidRPr="003F7091" w:rsidRDefault="00E62B69" w:rsidP="00242A35">
      <w:pPr>
        <w:pStyle w:val="BulletedListlvl1"/>
        <w:ind w:left="284"/>
      </w:pPr>
      <w:r w:rsidRPr="003F7091">
        <w:t xml:space="preserve">$29.1 million over </w:t>
      </w:r>
      <w:r w:rsidR="00D66B24" w:rsidRPr="003F7091">
        <w:t>4</w:t>
      </w:r>
      <w:r w:rsidRPr="003F7091">
        <w:t xml:space="preserve"> years from 2024-25 (and $8.7</w:t>
      </w:r>
      <w:r w:rsidR="00F11D5F">
        <w:t> </w:t>
      </w:r>
      <w:r w:rsidRPr="003F7091">
        <w:t>million per year ongoing) to support national</w:t>
      </w:r>
      <w:r>
        <w:t xml:space="preserve"> First Nations peak organisations National Aboriginal and Torres Strait Islander Education Corporation and SNAICC - National Voice for our Children to partner with Government on matters affecting First </w:t>
      </w:r>
      <w:r w:rsidRPr="003F7091">
        <w:t>Nations children</w:t>
      </w:r>
      <w:r w:rsidR="00242A35" w:rsidRPr="003F7091">
        <w:t xml:space="preserve"> in early childhood education.</w:t>
      </w:r>
    </w:p>
    <w:p w14:paraId="32BAAF52" w14:textId="12FC9742" w:rsidR="00E62B69" w:rsidRPr="003F7091" w:rsidRDefault="00E62B69" w:rsidP="00242A35">
      <w:pPr>
        <w:pStyle w:val="BulletedListlvl1"/>
        <w:ind w:left="284"/>
      </w:pPr>
      <w:r w:rsidRPr="003F7091">
        <w:t xml:space="preserve">$27.5 million over </w:t>
      </w:r>
      <w:r w:rsidR="00D66B24" w:rsidRPr="003F7091">
        <w:t>4</w:t>
      </w:r>
      <w:r w:rsidRPr="003F7091">
        <w:t xml:space="preserve"> years from 2024-25 to extend the existing programs</w:t>
      </w:r>
      <w:r w:rsidR="004A43AD">
        <w:t xml:space="preserve"> which aim to improve educational outcomes of First Nations students. These include:</w:t>
      </w:r>
      <w:r w:rsidRPr="003F7091">
        <w:t xml:space="preserve"> Australian Indigenous Education</w:t>
      </w:r>
      <w:r w:rsidR="004A43AD">
        <w:t xml:space="preserve"> Foundation Scholarship Program;</w:t>
      </w:r>
      <w:r w:rsidRPr="003F7091">
        <w:t xml:space="preserve"> Australian Institute for Teaching and School Leadership’s Indigenous Cultural Responsiveness Initiative</w:t>
      </w:r>
      <w:r w:rsidR="004A43AD">
        <w:t>;</w:t>
      </w:r>
      <w:r w:rsidRPr="003F7091">
        <w:t xml:space="preserve"> and English Language Learning for Indigenous Children</w:t>
      </w:r>
      <w:r w:rsidR="004A43AD">
        <w:t>.</w:t>
      </w:r>
    </w:p>
    <w:p w14:paraId="3EE4B98D" w14:textId="390BD934" w:rsidR="00E62B69" w:rsidRPr="003F7091" w:rsidRDefault="00E62B69" w:rsidP="00E62B69">
      <w:pPr>
        <w:pStyle w:val="BulletedListlvl1"/>
        <w:ind w:left="284"/>
      </w:pPr>
      <w:r w:rsidRPr="003F7091">
        <w:t>$2.</w:t>
      </w:r>
      <w:r w:rsidR="00F70B53" w:rsidRPr="003F7091">
        <w:t>4</w:t>
      </w:r>
      <w:r w:rsidRPr="003F7091">
        <w:t xml:space="preserve"> million over 3 years for the First Nations Teacher Strategy to increase the number of First Nations teachers, helping to ensure students are taught in a culturally appropriate way to achieve their full learning potential. </w:t>
      </w:r>
    </w:p>
    <w:p w14:paraId="67AF2B1D" w14:textId="77777777" w:rsidR="00E62B69" w:rsidRDefault="00E62B69" w:rsidP="00E62B69">
      <w:pPr>
        <w:pStyle w:val="BulletedListlvl1"/>
        <w:ind w:left="284"/>
      </w:pPr>
      <w:r w:rsidRPr="003F7091">
        <w:t>$32.8 million to support</w:t>
      </w:r>
      <w:r>
        <w:t xml:space="preserve"> the Clontarf Foundation in the 2025 school year to continue its school engagement programs for First Nations boys.</w:t>
      </w:r>
    </w:p>
    <w:p w14:paraId="4615F005" w14:textId="77777777" w:rsidR="00BE6762" w:rsidRDefault="00DA7E42" w:rsidP="00E23B5C">
      <w:pPr>
        <w:pStyle w:val="Heading1"/>
      </w:pPr>
      <w:r>
        <w:t>Strengthening health and w</w:t>
      </w:r>
      <w:r w:rsidR="00BE6762">
        <w:t>ellbeing</w:t>
      </w:r>
    </w:p>
    <w:p w14:paraId="52A5CCA7" w14:textId="77777777" w:rsidR="00AA5CA9" w:rsidRPr="003F7091" w:rsidRDefault="002B03DA" w:rsidP="00852A16">
      <w:pPr>
        <w:pStyle w:val="BodyText"/>
      </w:pPr>
      <w:r>
        <w:t>Access to affordable and</w:t>
      </w:r>
      <w:r w:rsidR="00BE6762">
        <w:t xml:space="preserve"> culturally appropriate </w:t>
      </w:r>
      <w:r w:rsidR="00B711F9">
        <w:t xml:space="preserve">health </w:t>
      </w:r>
      <w:r w:rsidR="00BE6762" w:rsidRPr="003F7091">
        <w:t xml:space="preserve">services </w:t>
      </w:r>
      <w:r w:rsidRPr="003F7091">
        <w:t>is</w:t>
      </w:r>
      <w:r w:rsidR="00B711F9" w:rsidRPr="003F7091">
        <w:t xml:space="preserve"> essential to closing the gap</w:t>
      </w:r>
      <w:r w:rsidR="00BE6762" w:rsidRPr="003F7091">
        <w:t xml:space="preserve"> in life expectancy. This Budget provides</w:t>
      </w:r>
      <w:r w:rsidR="00AA5CA9" w:rsidRPr="003F7091">
        <w:t>:</w:t>
      </w:r>
    </w:p>
    <w:p w14:paraId="3DA8FE88" w14:textId="77777777" w:rsidR="00BE6762" w:rsidRPr="003F7091" w:rsidRDefault="00BE6762" w:rsidP="00500128">
      <w:pPr>
        <w:pStyle w:val="BulletedListlvl1"/>
        <w:ind w:left="284"/>
      </w:pPr>
      <w:r w:rsidRPr="003F7091">
        <w:t>$11.1 million over 5 years</w:t>
      </w:r>
      <w:r w:rsidR="000031F8" w:rsidRPr="003F7091">
        <w:t xml:space="preserve"> </w:t>
      </w:r>
      <w:r w:rsidR="00AA5CA9" w:rsidRPr="003F7091">
        <w:t>from 2023</w:t>
      </w:r>
      <w:r w:rsidR="00AA5CA9" w:rsidRPr="003F7091">
        <w:noBreakHyphen/>
        <w:t>24 (and $2.8 </w:t>
      </w:r>
      <w:r w:rsidR="000031F8" w:rsidRPr="003F7091">
        <w:t>million per year ongoing)</w:t>
      </w:r>
      <w:r w:rsidRPr="003F7091">
        <w:t xml:space="preserve"> to expand coverage of the Closing</w:t>
      </w:r>
      <w:r>
        <w:t xml:space="preserve"> the Gap Pharmaceutical Benefits Scheme (PBS) Co-payment Program to all PBS medicines for </w:t>
      </w:r>
      <w:r w:rsidR="00F81998">
        <w:t xml:space="preserve">eligible </w:t>
      </w:r>
      <w:r>
        <w:t xml:space="preserve">First Nations </w:t>
      </w:r>
      <w:r w:rsidR="004A43AD">
        <w:t>peoples</w:t>
      </w:r>
      <w:r>
        <w:t>.</w:t>
      </w:r>
      <w:r w:rsidR="00F81998">
        <w:t xml:space="preserve"> There are over 660,000 First Nations patients registered under </w:t>
      </w:r>
      <w:r w:rsidR="003559C8">
        <w:t xml:space="preserve">the </w:t>
      </w:r>
      <w:r w:rsidR="00F81998">
        <w:t xml:space="preserve">co-payment program, with benefits to be </w:t>
      </w:r>
      <w:r w:rsidR="00F81998" w:rsidRPr="003F7091">
        <w:t>extended to an additional 1,315 PBS medicines.</w:t>
      </w:r>
    </w:p>
    <w:p w14:paraId="17397569" w14:textId="77777777" w:rsidR="00BE6762" w:rsidRPr="003F7091" w:rsidRDefault="00BE6762" w:rsidP="00500128">
      <w:pPr>
        <w:pStyle w:val="BulletedListlvl1"/>
        <w:ind w:left="284"/>
      </w:pPr>
      <w:r w:rsidRPr="003F7091">
        <w:t>$</w:t>
      </w:r>
      <w:r w:rsidR="00CF521D" w:rsidRPr="003F7091">
        <w:t>94.9</w:t>
      </w:r>
      <w:r w:rsidRPr="003F7091">
        <w:t xml:space="preserve"> million over </w:t>
      </w:r>
      <w:r w:rsidR="00CF521D" w:rsidRPr="003F7091">
        <w:t>2</w:t>
      </w:r>
      <w:r w:rsidRPr="003F7091">
        <w:t xml:space="preserve"> years</w:t>
      </w:r>
      <w:r w:rsidR="00CF521D" w:rsidRPr="003F7091">
        <w:t xml:space="preserve"> </w:t>
      </w:r>
      <w:r w:rsidR="00AA5CA9" w:rsidRPr="003F7091">
        <w:t>to</w:t>
      </w:r>
      <w:r w:rsidR="00CF521D" w:rsidRPr="003F7091">
        <w:t xml:space="preserve"> </w:t>
      </w:r>
      <w:r w:rsidR="00AA5CA9" w:rsidRPr="003F7091">
        <w:t>continue and expand national strategies for</w:t>
      </w:r>
      <w:r w:rsidR="00287AF6" w:rsidRPr="003F7091">
        <w:t xml:space="preserve"> First Nations vaccination uptake, sexually transmissible infection </w:t>
      </w:r>
      <w:r w:rsidR="00AA5CA9" w:rsidRPr="003F7091">
        <w:t>testing and culturally safe sexual health services</w:t>
      </w:r>
      <w:r w:rsidR="00287AF6" w:rsidRPr="003F7091">
        <w:t>,</w:t>
      </w:r>
      <w:r w:rsidR="00AA5CA9" w:rsidRPr="003F7091">
        <w:t xml:space="preserve"> and</w:t>
      </w:r>
      <w:r w:rsidR="00287AF6" w:rsidRPr="003F7091">
        <w:t xml:space="preserve"> communicable disease molecular point of care testing</w:t>
      </w:r>
      <w:r w:rsidR="00CF521D" w:rsidRPr="003F7091">
        <w:t>.</w:t>
      </w:r>
    </w:p>
    <w:p w14:paraId="1259F3FF" w14:textId="77777777" w:rsidR="00AA5CA9" w:rsidRPr="003F7091" w:rsidRDefault="00AA5CA9" w:rsidP="00500128">
      <w:pPr>
        <w:pStyle w:val="BulletedListlvl1"/>
        <w:ind w:left="284"/>
      </w:pPr>
      <w:r w:rsidRPr="003F7091">
        <w:t>$10.0 million in 2024</w:t>
      </w:r>
      <w:r w:rsidRPr="003F7091">
        <w:noBreakHyphen/>
        <w:t xml:space="preserve">25 to deliver targeted and culturally appropriate mental health supports for First Nations </w:t>
      </w:r>
      <w:r w:rsidR="004A43AD">
        <w:t>peoples</w:t>
      </w:r>
      <w:r w:rsidRPr="003F7091">
        <w:t>.</w:t>
      </w:r>
    </w:p>
    <w:p w14:paraId="1FF22F9E" w14:textId="77777777" w:rsidR="00AA5CA9" w:rsidRPr="003F7091" w:rsidRDefault="00AA5CA9" w:rsidP="00500128">
      <w:pPr>
        <w:pStyle w:val="BulletedListlvl1"/>
        <w:ind w:left="284"/>
      </w:pPr>
      <w:r w:rsidRPr="003F7091">
        <w:t xml:space="preserve">$4.7 million over 5 years from 2023–24 for the </w:t>
      </w:r>
      <w:r w:rsidR="00AE4FCE" w:rsidRPr="003F7091">
        <w:t>NT Medical P</w:t>
      </w:r>
      <w:r w:rsidRPr="003F7091">
        <w:t xml:space="preserve">rogram to increase the number of First Nations medical practitioners and address recruitment and retention challenges. </w:t>
      </w:r>
    </w:p>
    <w:p w14:paraId="291979CC" w14:textId="77777777" w:rsidR="00AA5CA9" w:rsidRPr="003F7091" w:rsidRDefault="00AA5CA9" w:rsidP="00500128">
      <w:pPr>
        <w:pStyle w:val="BulletedListlvl1"/>
        <w:ind w:left="284"/>
      </w:pPr>
      <w:r w:rsidRPr="003F7091">
        <w:t>$4.0 million over 4 years from 2024–25 to the Australian Indigenous Doctors’ Association to continue to support First Nations doctors to become medical specialists.</w:t>
      </w:r>
    </w:p>
    <w:p w14:paraId="51623FD4" w14:textId="77777777" w:rsidR="00AA5CA9" w:rsidRPr="003F7091" w:rsidRDefault="00BE6762" w:rsidP="00352CEC">
      <w:pPr>
        <w:pStyle w:val="BodyText"/>
      </w:pPr>
      <w:r w:rsidRPr="003F7091">
        <w:t>The Government is focused on supporting the health and wellbeing of more First Nat</w:t>
      </w:r>
      <w:r w:rsidR="00815D15" w:rsidRPr="003F7091">
        <w:t>ions women in this Budget</w:t>
      </w:r>
      <w:r w:rsidR="00352CEC" w:rsidRPr="003F7091">
        <w:t xml:space="preserve">. </w:t>
      </w:r>
    </w:p>
    <w:p w14:paraId="4137951D" w14:textId="77777777" w:rsidR="00352CEC" w:rsidRDefault="00BE6762" w:rsidP="00500128">
      <w:pPr>
        <w:pStyle w:val="BulletedListlvl1"/>
        <w:ind w:left="284"/>
      </w:pPr>
      <w:r w:rsidRPr="003F7091">
        <w:t>$12.</w:t>
      </w:r>
      <w:r w:rsidR="008556C9" w:rsidRPr="003F7091">
        <w:t>5</w:t>
      </w:r>
      <w:r w:rsidRPr="003F7091">
        <w:t xml:space="preserve"> million over 4 years</w:t>
      </w:r>
      <w:r w:rsidR="00815D15" w:rsidRPr="003F7091">
        <w:t xml:space="preserve"> from 2024</w:t>
      </w:r>
      <w:r w:rsidR="00815D15" w:rsidRPr="003F7091">
        <w:noBreakHyphen/>
        <w:t>25</w:t>
      </w:r>
      <w:r w:rsidR="00352CEC" w:rsidRPr="003F7091">
        <w:t xml:space="preserve"> will be provided</w:t>
      </w:r>
      <w:r w:rsidRPr="003F7091">
        <w:t xml:space="preserve"> to </w:t>
      </w:r>
      <w:r w:rsidR="00D45583" w:rsidRPr="003F7091">
        <w:t xml:space="preserve">the National </w:t>
      </w:r>
      <w:r w:rsidR="00D45583" w:rsidRPr="003F7091">
        <w:rPr>
          <w:szCs w:val="22"/>
        </w:rPr>
        <w:t>Aboriginal</w:t>
      </w:r>
      <w:r w:rsidR="00D45583" w:rsidRPr="003F7091">
        <w:t xml:space="preserve"> Community</w:t>
      </w:r>
      <w:r w:rsidR="00D45583">
        <w:t xml:space="preserve"> Controlled Health Organisation</w:t>
      </w:r>
      <w:r>
        <w:t xml:space="preserve"> to facilitate community-led distribution of menstrual products in regional and remote First Nations communities where menstrual products are expensive and hard for First Nations women and girls to access</w:t>
      </w:r>
      <w:r w:rsidR="00715BA2">
        <w:t xml:space="preserve">. Improved </w:t>
      </w:r>
      <w:r w:rsidR="009F725F">
        <w:t xml:space="preserve">access </w:t>
      </w:r>
      <w:r w:rsidR="00715BA2">
        <w:t xml:space="preserve">is </w:t>
      </w:r>
      <w:r w:rsidR="00C95E1B">
        <w:t>expected to benefit 12,500</w:t>
      </w:r>
      <w:r w:rsidR="0063551C">
        <w:t> </w:t>
      </w:r>
      <w:r w:rsidR="00C95E1B">
        <w:t>First Nations women and girls each year.</w:t>
      </w:r>
    </w:p>
    <w:p w14:paraId="0C603EFF" w14:textId="77777777" w:rsidR="00A243F3" w:rsidRPr="00A243F3" w:rsidRDefault="00A243F3" w:rsidP="00EA200A">
      <w:pPr>
        <w:pStyle w:val="PanelBody"/>
        <w:pBdr>
          <w:left w:val="single" w:sz="8" w:space="4" w:color="DD7500"/>
          <w:right w:val="single" w:sz="8" w:space="4" w:color="DD7500"/>
        </w:pBdr>
        <w:rPr>
          <w:rFonts w:asciiTheme="majorHAnsi" w:hAnsiTheme="majorHAnsi"/>
          <w:b/>
          <w:color w:val="2A4055" w:themeColor="accent1"/>
        </w:rPr>
      </w:pPr>
      <w:r w:rsidRPr="00A243F3">
        <w:rPr>
          <w:rFonts w:asciiTheme="majorHAnsi" w:hAnsiTheme="majorHAnsi"/>
          <w:b/>
          <w:color w:val="2A4055" w:themeColor="accent1"/>
        </w:rPr>
        <w:t>Birthing on Country</w:t>
      </w:r>
    </w:p>
    <w:p w14:paraId="635D7EB9" w14:textId="77777777" w:rsidR="00BE6762" w:rsidRDefault="00352CEC" w:rsidP="00EA200A">
      <w:pPr>
        <w:pStyle w:val="PanelBody"/>
        <w:pBdr>
          <w:left w:val="single" w:sz="8" w:space="4" w:color="DD7500"/>
          <w:right w:val="single" w:sz="8" w:space="4" w:color="DD7500"/>
        </w:pBdr>
      </w:pPr>
      <w:r>
        <w:t>Birthing on Country will be supported through the measure</w:t>
      </w:r>
      <w:r w:rsidRPr="007E5DC6">
        <w:rPr>
          <w:i/>
        </w:rPr>
        <w:t xml:space="preserve"> Women’s Health</w:t>
      </w:r>
      <w:r>
        <w:t xml:space="preserve">. The Midwife Professional Indemnity Scheme will </w:t>
      </w:r>
      <w:r w:rsidRPr="00EA200A">
        <w:rPr>
          <w:rStyle w:val="normaltextrun"/>
          <w:color w:val="000000"/>
          <w:shd w:val="clear" w:color="auto" w:fill="FFFFFF"/>
        </w:rPr>
        <w:t>expand</w:t>
      </w:r>
      <w:r>
        <w:t xml:space="preserve"> to cover privately practicing midwifes providing low-risk homebirths, including </w:t>
      </w:r>
      <w:r w:rsidRPr="00E03683">
        <w:t>Birthing on Country</w:t>
      </w:r>
      <w:r w:rsidR="008965BB">
        <w:t xml:space="preserve"> </w:t>
      </w:r>
      <w:r w:rsidRPr="00E03683">
        <w:t>mod</w:t>
      </w:r>
      <w:r w:rsidR="008965BB">
        <w:t>els of care</w:t>
      </w:r>
      <w:r w:rsidR="00BE6762">
        <w:t>.</w:t>
      </w:r>
    </w:p>
    <w:p w14:paraId="14D360FE" w14:textId="77777777" w:rsidR="00BE6762" w:rsidRDefault="00DA7E42" w:rsidP="00E23B5C">
      <w:pPr>
        <w:pStyle w:val="Heading1"/>
      </w:pPr>
      <w:r>
        <w:t>Stronger f</w:t>
      </w:r>
      <w:r w:rsidR="00BE6762">
        <w:t>amilies</w:t>
      </w:r>
    </w:p>
    <w:p w14:paraId="0C3CA553" w14:textId="77777777" w:rsidR="0075158E" w:rsidRDefault="0075158E" w:rsidP="00BE6762">
      <w:pPr>
        <w:pStyle w:val="BodyText"/>
        <w:spacing w:line="288" w:lineRule="auto"/>
      </w:pPr>
      <w:r>
        <w:rPr>
          <w:noProof/>
          <w:lang w:eastAsia="en-AU"/>
        </w:rPr>
        <w:drawing>
          <wp:inline distT="0" distB="0" distL="0" distR="0" wp14:anchorId="17007F6B" wp14:editId="0924E21F">
            <wp:extent cx="3121152" cy="2081784"/>
            <wp:effectExtent l="0" t="0" r="3175" b="0"/>
            <wp:docPr id="6" name="Picture 6" descr="Male and female adult with two young children smiling, representing a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mily.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21152" cy="2081784"/>
                    </a:xfrm>
                    <a:prstGeom prst="rect">
                      <a:avLst/>
                    </a:prstGeom>
                  </pic:spPr>
                </pic:pic>
              </a:graphicData>
            </a:graphic>
          </wp:inline>
        </w:drawing>
      </w:r>
    </w:p>
    <w:p w14:paraId="0D9F2BB6" w14:textId="77777777" w:rsidR="00975050" w:rsidRPr="003F7091" w:rsidRDefault="00975050" w:rsidP="00852A16">
      <w:pPr>
        <w:pStyle w:val="BodyText"/>
      </w:pPr>
      <w:r>
        <w:t>The Government is working together</w:t>
      </w:r>
      <w:r w:rsidR="00BA645E">
        <w:t xml:space="preserve"> with</w:t>
      </w:r>
      <w:r w:rsidR="00135E75">
        <w:t xml:space="preserve"> First </w:t>
      </w:r>
      <w:r>
        <w:t>Nations organisation</w:t>
      </w:r>
      <w:r w:rsidR="00973F0B">
        <w:t>s</w:t>
      </w:r>
      <w:r>
        <w:t xml:space="preserve"> and communities </w:t>
      </w:r>
      <w:r w:rsidR="001B45AC">
        <w:t xml:space="preserve">in this Budget </w:t>
      </w:r>
      <w:r>
        <w:t>to create real change for child</w:t>
      </w:r>
      <w:r w:rsidR="00BA645E">
        <w:t xml:space="preserve">ren and families in </w:t>
      </w:r>
      <w:r w:rsidR="00BA645E" w:rsidRPr="003F7091">
        <w:t xml:space="preserve">Australia. </w:t>
      </w:r>
    </w:p>
    <w:p w14:paraId="2E5C8E54" w14:textId="06FFAA70" w:rsidR="00AC121A" w:rsidRPr="003F7091" w:rsidRDefault="00AC121A">
      <w:pPr>
        <w:pStyle w:val="BulletedListlvl1"/>
        <w:ind w:left="284" w:hanging="284"/>
        <w:rPr>
          <w:szCs w:val="22"/>
        </w:rPr>
      </w:pPr>
      <w:r w:rsidRPr="003F7091">
        <w:rPr>
          <w:szCs w:val="22"/>
        </w:rPr>
        <w:t>$5.9 million over 2 years from 2024-25 to establish an interim National Commissioner for Aboriginal and Torres</w:t>
      </w:r>
      <w:r w:rsidRPr="00AC121A">
        <w:rPr>
          <w:szCs w:val="22"/>
        </w:rPr>
        <w:t xml:space="preserve"> Strait Islander Children and Young People. The interim National Commissioner will work in partnership with First Nations </w:t>
      </w:r>
      <w:r w:rsidR="004A43AD">
        <w:rPr>
          <w:szCs w:val="22"/>
        </w:rPr>
        <w:t>peoples</w:t>
      </w:r>
      <w:r w:rsidRPr="00AC121A">
        <w:rPr>
          <w:szCs w:val="22"/>
        </w:rPr>
        <w:t xml:space="preserve"> and communities, states and territories and </w:t>
      </w:r>
      <w:r w:rsidR="004A43AD">
        <w:rPr>
          <w:szCs w:val="22"/>
        </w:rPr>
        <w:t>other</w:t>
      </w:r>
      <w:r w:rsidRPr="00AC121A">
        <w:rPr>
          <w:szCs w:val="22"/>
        </w:rPr>
        <w:t xml:space="preserve"> stakeholders, to design the specific powers, roles, and functions of the legislated ind</w:t>
      </w:r>
      <w:r w:rsidR="00F11D5F">
        <w:rPr>
          <w:szCs w:val="22"/>
        </w:rPr>
        <w:t xml:space="preserve">ependent National Commissioner. </w:t>
      </w:r>
      <w:r w:rsidRPr="00AC121A">
        <w:rPr>
          <w:szCs w:val="22"/>
        </w:rPr>
        <w:t>The</w:t>
      </w:r>
      <w:r w:rsidR="00F11D5F">
        <w:rPr>
          <w:szCs w:val="22"/>
        </w:rPr>
        <w:t xml:space="preserve"> </w:t>
      </w:r>
      <w:r w:rsidRPr="00AC121A">
        <w:rPr>
          <w:szCs w:val="22"/>
        </w:rPr>
        <w:t>National</w:t>
      </w:r>
      <w:r w:rsidR="00F11D5F">
        <w:rPr>
          <w:szCs w:val="22"/>
        </w:rPr>
        <w:t xml:space="preserve"> </w:t>
      </w:r>
      <w:r w:rsidRPr="003F7091">
        <w:rPr>
          <w:szCs w:val="22"/>
        </w:rPr>
        <w:t>Commissioner will work to protect and promote the rights, interests and wellbeing of First Nations children and young people. </w:t>
      </w:r>
    </w:p>
    <w:p w14:paraId="2FCD029C" w14:textId="77777777" w:rsidR="00BE6762" w:rsidRPr="003F7091" w:rsidRDefault="00BE6762" w:rsidP="00852A16">
      <w:pPr>
        <w:pStyle w:val="BodyText"/>
      </w:pPr>
      <w:r w:rsidRPr="003F7091">
        <w:t>The Government is investing in several additional measures to support First Nations families.</w:t>
      </w:r>
    </w:p>
    <w:p w14:paraId="66E9E932" w14:textId="77777777" w:rsidR="00BA645E" w:rsidRDefault="00BA645E" w:rsidP="00C93597">
      <w:pPr>
        <w:pStyle w:val="BulletedListlvl1"/>
        <w:ind w:left="284" w:hanging="284"/>
        <w:rPr>
          <w:rFonts w:ascii="Times New Roman" w:hAnsi="Times New Roman" w:cs="Times New Roman"/>
          <w:sz w:val="24"/>
          <w:szCs w:val="24"/>
          <w:lang w:eastAsia="en-AU"/>
        </w:rPr>
      </w:pPr>
      <w:r w:rsidRPr="003F7091">
        <w:t xml:space="preserve">$12.8 million over 4 years </w:t>
      </w:r>
      <w:r w:rsidR="007E5DC6" w:rsidRPr="003F7091">
        <w:t>from 2024</w:t>
      </w:r>
      <w:r w:rsidR="007E5DC6" w:rsidRPr="003F7091">
        <w:noBreakHyphen/>
        <w:t xml:space="preserve">25 </w:t>
      </w:r>
      <w:r w:rsidRPr="003F7091">
        <w:t>to continue the Indigenous Youth</w:t>
      </w:r>
      <w:r>
        <w:t xml:space="preserve"> Connection to Culture Program in 12 communities, a place-based initiative, </w:t>
      </w:r>
      <w:r w:rsidRPr="00C93597">
        <w:rPr>
          <w:szCs w:val="22"/>
        </w:rPr>
        <w:t>designed</w:t>
      </w:r>
      <w:r>
        <w:t xml:space="preserve"> with First Nations Elders that responds to an immediate need for </w:t>
      </w:r>
      <w:r w:rsidR="00135E75">
        <w:t xml:space="preserve">cultural and community based </w:t>
      </w:r>
      <w:r>
        <w:t>suicide prevention activities to support First</w:t>
      </w:r>
      <w:r w:rsidR="00D66805">
        <w:t> </w:t>
      </w:r>
      <w:r>
        <w:t>Nations youth.</w:t>
      </w:r>
      <w:r>
        <w:rPr>
          <w:rFonts w:ascii="Times New Roman" w:hAnsi="Times New Roman" w:cs="Times New Roman"/>
          <w:sz w:val="24"/>
          <w:szCs w:val="24"/>
          <w:lang w:eastAsia="en-AU"/>
        </w:rPr>
        <w:t xml:space="preserve"> </w:t>
      </w:r>
    </w:p>
    <w:p w14:paraId="36A40ACA" w14:textId="77777777" w:rsidR="00BE6762" w:rsidRPr="003F7091" w:rsidRDefault="00BE6762" w:rsidP="00C93597">
      <w:pPr>
        <w:pStyle w:val="BulletedListlvl1"/>
        <w:ind w:left="284" w:hanging="284"/>
      </w:pPr>
      <w:r w:rsidRPr="003F7091">
        <w:t>$11.</w:t>
      </w:r>
      <w:r w:rsidR="007E5DC6" w:rsidRPr="003F7091">
        <w:t>7</w:t>
      </w:r>
      <w:r w:rsidRPr="003F7091">
        <w:t xml:space="preserve"> million over 2 years </w:t>
      </w:r>
      <w:r w:rsidR="007E5DC6" w:rsidRPr="003F7091">
        <w:t>from 2024</w:t>
      </w:r>
      <w:r w:rsidR="007E5DC6" w:rsidRPr="003F7091">
        <w:noBreakHyphen/>
        <w:t xml:space="preserve">25 </w:t>
      </w:r>
      <w:r w:rsidRPr="003F7091">
        <w:t xml:space="preserve">for the First Nations Family Dispute Resolution Pilot to continue to support Aboriginal and Torres Strait Islander families to resolve disputes around separation in a culturally safe setting. </w:t>
      </w:r>
    </w:p>
    <w:p w14:paraId="4E3EC93D" w14:textId="77777777" w:rsidR="00BE6762" w:rsidRDefault="00975050" w:rsidP="00C93597">
      <w:pPr>
        <w:pStyle w:val="BulletedListlvl1"/>
        <w:ind w:left="284" w:hanging="284"/>
      </w:pPr>
      <w:r w:rsidRPr="003F7091">
        <w:t>$9</w:t>
      </w:r>
      <w:r w:rsidR="007E5DC6" w:rsidRPr="003F7091">
        <w:t>6.9</w:t>
      </w:r>
      <w:r w:rsidR="00BE6762" w:rsidRPr="003F7091">
        <w:t xml:space="preserve"> </w:t>
      </w:r>
      <w:r w:rsidR="00BE6762" w:rsidRPr="003F7091">
        <w:rPr>
          <w:szCs w:val="22"/>
        </w:rPr>
        <w:t>million</w:t>
      </w:r>
      <w:r w:rsidR="00BE6762" w:rsidRPr="003F7091">
        <w:t xml:space="preserve"> over </w:t>
      </w:r>
      <w:r w:rsidR="007E5DC6" w:rsidRPr="003F7091">
        <w:t xml:space="preserve">4 </w:t>
      </w:r>
      <w:r w:rsidR="00BE6762" w:rsidRPr="003F7091">
        <w:t>years</w:t>
      </w:r>
      <w:r w:rsidR="00CF2F01" w:rsidRPr="003F7091">
        <w:t xml:space="preserve"> from 2023-24</w:t>
      </w:r>
      <w:r w:rsidR="00BE6762" w:rsidRPr="003F7091">
        <w:t xml:space="preserve"> </w:t>
      </w:r>
      <w:r w:rsidR="00122CF5" w:rsidRPr="003F7091">
        <w:t>for</w:t>
      </w:r>
      <w:r w:rsidR="00155B1A">
        <w:t xml:space="preserve"> the</w:t>
      </w:r>
      <w:r w:rsidR="00122CF5" w:rsidRPr="003F7091">
        <w:t xml:space="preserve"> </w:t>
      </w:r>
      <w:r w:rsidR="00BE6762">
        <w:t xml:space="preserve">Youpla </w:t>
      </w:r>
      <w:r w:rsidR="00155B1A">
        <w:t xml:space="preserve">resolution. </w:t>
      </w:r>
      <w:r w:rsidR="00911619">
        <w:t xml:space="preserve">Those receiving resolution payments </w:t>
      </w:r>
      <w:r w:rsidR="00155B1A">
        <w:t xml:space="preserve">will </w:t>
      </w:r>
      <w:r w:rsidR="00122CF5">
        <w:t xml:space="preserve">have the choice </w:t>
      </w:r>
      <w:r w:rsidR="00911619">
        <w:t>between</w:t>
      </w:r>
      <w:r w:rsidR="00122CF5">
        <w:t xml:space="preserve"> a </w:t>
      </w:r>
      <w:r w:rsidR="006476B7">
        <w:t>funeral bond or a cash payment</w:t>
      </w:r>
      <w:r w:rsidR="00BE6762">
        <w:t>.</w:t>
      </w:r>
    </w:p>
    <w:p w14:paraId="59BB0B8A" w14:textId="77777777" w:rsidR="00BE6762" w:rsidRDefault="00DA7E42" w:rsidP="00E23B5C">
      <w:pPr>
        <w:pStyle w:val="Heading1"/>
      </w:pPr>
      <w:r>
        <w:t>Justice support s</w:t>
      </w:r>
      <w:r w:rsidR="00BE6762">
        <w:t>ervices</w:t>
      </w:r>
    </w:p>
    <w:p w14:paraId="77B699ED" w14:textId="77777777" w:rsidR="00BE6762" w:rsidRPr="003F7091" w:rsidRDefault="00BE6762" w:rsidP="00852A16">
      <w:pPr>
        <w:pStyle w:val="BodyText"/>
      </w:pPr>
      <w:r>
        <w:t xml:space="preserve">The Government is committed to working in partnership with communities to prevent crime, improve community safety and reduce the number of Aboriginal and Torres Strait Islander adults and </w:t>
      </w:r>
      <w:r w:rsidRPr="003F7091">
        <w:t xml:space="preserve">children in </w:t>
      </w:r>
      <w:r w:rsidR="00BA645E" w:rsidRPr="003F7091">
        <w:t>the criminal justice system</w:t>
      </w:r>
      <w:r w:rsidRPr="003F7091">
        <w:t xml:space="preserve">. </w:t>
      </w:r>
    </w:p>
    <w:p w14:paraId="333C0F69" w14:textId="20A16E05" w:rsidR="00AE4FCE" w:rsidRDefault="00BE6762" w:rsidP="00852A16">
      <w:pPr>
        <w:pStyle w:val="BodyText"/>
      </w:pPr>
      <w:r w:rsidRPr="003F7091">
        <w:t>The Government is</w:t>
      </w:r>
      <w:r w:rsidR="00A2444D" w:rsidRPr="003F7091">
        <w:t xml:space="preserve"> providing $</w:t>
      </w:r>
      <w:r w:rsidR="00194FB2" w:rsidRPr="003F7091">
        <w:t>76.2</w:t>
      </w:r>
      <w:r w:rsidR="00A2444D" w:rsidRPr="003F7091">
        <w:t xml:space="preserve"> million over </w:t>
      </w:r>
      <w:r w:rsidR="00305011" w:rsidRPr="003F7091">
        <w:t>5 </w:t>
      </w:r>
      <w:r w:rsidR="00A521FA" w:rsidRPr="003F7091">
        <w:t>years</w:t>
      </w:r>
      <w:r w:rsidR="00305011" w:rsidRPr="003F7091">
        <w:t xml:space="preserve"> from 2023-24</w:t>
      </w:r>
      <w:r w:rsidRPr="003F7091">
        <w:t xml:space="preserve"> </w:t>
      </w:r>
      <w:r w:rsidR="00305011" w:rsidRPr="003F7091">
        <w:t xml:space="preserve">(and $18.7 million per year ongoing) </w:t>
      </w:r>
      <w:r w:rsidRPr="003F7091">
        <w:t xml:space="preserve">to establish a new </w:t>
      </w:r>
      <w:r w:rsidR="00A96649" w:rsidRPr="003F7091">
        <w:t>evidence</w:t>
      </w:r>
      <w:r w:rsidR="00A96649" w:rsidRPr="003F7091">
        <w:noBreakHyphen/>
      </w:r>
      <w:r w:rsidR="00CE5FF2" w:rsidRPr="003F7091">
        <w:t>led</w:t>
      </w:r>
      <w:r w:rsidR="00A96649" w:rsidRPr="003F7091">
        <w:t xml:space="preserve"> </w:t>
      </w:r>
      <w:r w:rsidRPr="003F7091">
        <w:t>First</w:t>
      </w:r>
      <w:r w:rsidR="00A96649" w:rsidRPr="003F7091">
        <w:t> </w:t>
      </w:r>
      <w:r w:rsidRPr="003F7091">
        <w:t xml:space="preserve">Nations </w:t>
      </w:r>
      <w:r w:rsidR="00194FB2" w:rsidRPr="003F7091">
        <w:t>prison to employment program that is personalised</w:t>
      </w:r>
      <w:r w:rsidR="00194FB2">
        <w:t xml:space="preserve"> and holistic.</w:t>
      </w:r>
      <w:r w:rsidR="0030368A">
        <w:t xml:space="preserve"> The new program is expected to</w:t>
      </w:r>
      <w:r w:rsidR="00852A16">
        <w:t xml:space="preserve"> support 3,400 </w:t>
      </w:r>
      <w:r w:rsidR="0030368A">
        <w:t xml:space="preserve">First Nations </w:t>
      </w:r>
      <w:r w:rsidR="00F11D5F">
        <w:t>people</w:t>
      </w:r>
      <w:r w:rsidR="00852A16">
        <w:t xml:space="preserve"> in 2025-26, and 6,000 </w:t>
      </w:r>
      <w:r w:rsidR="0030368A">
        <w:t>people annually from 1</w:t>
      </w:r>
      <w:r w:rsidR="00D66805">
        <w:t> </w:t>
      </w:r>
      <w:r w:rsidR="0030368A">
        <w:t>Ju</w:t>
      </w:r>
      <w:r w:rsidR="00791319">
        <w:t>ly </w:t>
      </w:r>
      <w:r w:rsidR="0030368A">
        <w:t>2026</w:t>
      </w:r>
      <w:r w:rsidR="00CF2F01">
        <w:t>.</w:t>
      </w:r>
      <w:r w:rsidR="00194FB2">
        <w:t xml:space="preserve"> </w:t>
      </w:r>
    </w:p>
    <w:p w14:paraId="222801CB" w14:textId="77777777" w:rsidR="00BE6762" w:rsidRDefault="00194FB2" w:rsidP="00852A16">
      <w:pPr>
        <w:pStyle w:val="BodyText"/>
      </w:pPr>
      <w:r>
        <w:t xml:space="preserve">The program will provide mentoring and </w:t>
      </w:r>
      <w:r w:rsidR="00A96649">
        <w:rPr>
          <w:rStyle w:val="normaltextrun"/>
          <w:color w:val="000000"/>
        </w:rPr>
        <w:t>help</w:t>
      </w:r>
      <w:r>
        <w:rPr>
          <w:rStyle w:val="normaltextrun"/>
          <w:color w:val="000000"/>
        </w:rPr>
        <w:t xml:space="preserve"> to </w:t>
      </w:r>
      <w:r w:rsidR="00A96649">
        <w:rPr>
          <w:rStyle w:val="normaltextrun"/>
          <w:color w:val="000000"/>
        </w:rPr>
        <w:t>reconnect with health, housing and other social</w:t>
      </w:r>
      <w:r>
        <w:rPr>
          <w:rStyle w:val="normaltextrun"/>
          <w:color w:val="000000"/>
        </w:rPr>
        <w:t xml:space="preserve"> services</w:t>
      </w:r>
      <w:r w:rsidR="00A96649">
        <w:rPr>
          <w:rStyle w:val="normaltextrun"/>
          <w:color w:val="000000"/>
        </w:rPr>
        <w:t>, and</w:t>
      </w:r>
      <w:r>
        <w:rPr>
          <w:rStyle w:val="normaltextrun"/>
          <w:color w:val="000000"/>
        </w:rPr>
        <w:t xml:space="preserve"> to </w:t>
      </w:r>
      <w:r w:rsidR="00A96649">
        <w:rPr>
          <w:rStyle w:val="normaltextrun"/>
          <w:color w:val="000000"/>
        </w:rPr>
        <w:t>better connect</w:t>
      </w:r>
      <w:r>
        <w:rPr>
          <w:rStyle w:val="normaltextrun"/>
          <w:color w:val="000000"/>
        </w:rPr>
        <w:t xml:space="preserve"> to </w:t>
      </w:r>
      <w:r w:rsidR="00A96649">
        <w:rPr>
          <w:rStyle w:val="normaltextrun"/>
          <w:color w:val="000000"/>
        </w:rPr>
        <w:t>employment opportunities</w:t>
      </w:r>
      <w:r w:rsidR="00117A8D">
        <w:t>, reducing the risk of re-offending</w:t>
      </w:r>
      <w:r w:rsidR="0063551C">
        <w:t>.</w:t>
      </w:r>
    </w:p>
    <w:p w14:paraId="73D989A2" w14:textId="77777777" w:rsidR="00BE6762" w:rsidRPr="003F7091" w:rsidRDefault="00BE6762" w:rsidP="00852A16">
      <w:pPr>
        <w:pStyle w:val="BodyText"/>
      </w:pPr>
      <w:r>
        <w:t>In addition, the Government is investing</w:t>
      </w:r>
      <w:r w:rsidR="00A2444D">
        <w:t xml:space="preserve"> to improve Closing the G</w:t>
      </w:r>
      <w:r>
        <w:t xml:space="preserve">ap justice outcomes and support family and </w:t>
      </w:r>
      <w:r w:rsidRPr="003F7091">
        <w:t xml:space="preserve">community safety. </w:t>
      </w:r>
    </w:p>
    <w:p w14:paraId="7B81F13A" w14:textId="77777777" w:rsidR="00BE6762" w:rsidRDefault="00BE6762" w:rsidP="00C93597">
      <w:pPr>
        <w:pStyle w:val="BulletedListlvl1"/>
        <w:ind w:left="284" w:hanging="284"/>
      </w:pPr>
      <w:r w:rsidRPr="003F7091">
        <w:t>$10.7 million</w:t>
      </w:r>
      <w:r w:rsidR="00305011" w:rsidRPr="003F7091">
        <w:t xml:space="preserve"> over 4 years from 2024</w:t>
      </w:r>
      <w:r w:rsidR="00305011" w:rsidRPr="003F7091">
        <w:noBreakHyphen/>
        <w:t>25</w:t>
      </w:r>
      <w:r w:rsidRPr="003F7091">
        <w:t xml:space="preserve"> to provide the next stage of funding for the </w:t>
      </w:r>
      <w:r w:rsidRPr="003F7091">
        <w:rPr>
          <w:szCs w:val="22"/>
        </w:rPr>
        <w:t>First</w:t>
      </w:r>
      <w:r w:rsidR="005A2093" w:rsidRPr="003F7091">
        <w:rPr>
          <w:szCs w:val="22"/>
        </w:rPr>
        <w:t> </w:t>
      </w:r>
      <w:r w:rsidRPr="003F7091">
        <w:t>Nations</w:t>
      </w:r>
      <w:r>
        <w:t xml:space="preserve"> Justice Policy Partnership to continue its work. The partnership will focus on implementing its </w:t>
      </w:r>
      <w:r w:rsidR="004A43AD">
        <w:t>strategic f</w:t>
      </w:r>
      <w:r>
        <w:t>ramework, improving justice outcomes on the ground and transforming the justice system to reduce the rates of adult and youth incarceration.</w:t>
      </w:r>
    </w:p>
    <w:p w14:paraId="43103522" w14:textId="77777777" w:rsidR="00BE6762" w:rsidRPr="003F7091" w:rsidRDefault="00BE6762" w:rsidP="00D06055">
      <w:pPr>
        <w:pStyle w:val="BulletedListlvl1"/>
        <w:ind w:left="284" w:hanging="284"/>
      </w:pPr>
      <w:r w:rsidRPr="003F7091">
        <w:t>$</w:t>
      </w:r>
      <w:r w:rsidR="00D06055" w:rsidRPr="003F7091">
        <w:t>24.0</w:t>
      </w:r>
      <w:r w:rsidRPr="003F7091">
        <w:t xml:space="preserve"> million in 2024</w:t>
      </w:r>
      <w:r w:rsidR="00305011" w:rsidRPr="003F7091">
        <w:noBreakHyphen/>
      </w:r>
      <w:r w:rsidRPr="003F7091">
        <w:t xml:space="preserve">25 </w:t>
      </w:r>
      <w:r w:rsidR="00D06055" w:rsidRPr="003F7091">
        <w:t xml:space="preserve">under the National Legal Assistance Partnership </w:t>
      </w:r>
      <w:r w:rsidRPr="003F7091">
        <w:t xml:space="preserve">to </w:t>
      </w:r>
      <w:r w:rsidR="00D06055" w:rsidRPr="003F7091">
        <w:t xml:space="preserve">Aboriginal and Torres Strait Islander Legal Services, and National </w:t>
      </w:r>
      <w:r w:rsidRPr="003F7091">
        <w:t xml:space="preserve">Family Violence Prevention </w:t>
      </w:r>
      <w:r w:rsidRPr="003F7091">
        <w:rPr>
          <w:szCs w:val="22"/>
        </w:rPr>
        <w:t>Legal</w:t>
      </w:r>
      <w:r w:rsidRPr="003F7091">
        <w:t xml:space="preserve"> Service (FVPLS) providers </w:t>
      </w:r>
      <w:r w:rsidR="002B0023" w:rsidRPr="003F7091">
        <w:t xml:space="preserve">as a first step towards </w:t>
      </w:r>
      <w:r w:rsidRPr="003F7091">
        <w:t>address</w:t>
      </w:r>
      <w:r w:rsidR="002B0023" w:rsidRPr="003F7091">
        <w:t>ing</w:t>
      </w:r>
      <w:r w:rsidRPr="003F7091">
        <w:t xml:space="preserve"> the pay disparity between FVPLS and the broader community legal assistance sector.</w:t>
      </w:r>
    </w:p>
    <w:p w14:paraId="5FD324F4" w14:textId="77777777" w:rsidR="00BE6762" w:rsidRDefault="00BE6762" w:rsidP="00C93597">
      <w:pPr>
        <w:pStyle w:val="BulletedListlvl1"/>
        <w:ind w:left="284" w:hanging="284"/>
      </w:pPr>
      <w:r w:rsidRPr="003F7091">
        <w:t xml:space="preserve">$4.6 million </w:t>
      </w:r>
      <w:r w:rsidR="00305011" w:rsidRPr="003F7091">
        <w:t>in 2024</w:t>
      </w:r>
      <w:r w:rsidR="00305011" w:rsidRPr="003F7091">
        <w:noBreakHyphen/>
        <w:t xml:space="preserve">25 </w:t>
      </w:r>
      <w:r w:rsidRPr="003F7091">
        <w:t xml:space="preserve">to ensure service continuity for the Custody </w:t>
      </w:r>
      <w:r w:rsidRPr="003F7091">
        <w:rPr>
          <w:szCs w:val="22"/>
        </w:rPr>
        <w:t>Notification</w:t>
      </w:r>
      <w:r>
        <w:t xml:space="preserve"> Service </w:t>
      </w:r>
      <w:r w:rsidR="0009231D">
        <w:t xml:space="preserve">(CNS) </w:t>
      </w:r>
      <w:r>
        <w:t xml:space="preserve">while future </w:t>
      </w:r>
      <w:r w:rsidR="00082ED5">
        <w:t xml:space="preserve">funding mechanisms are </w:t>
      </w:r>
      <w:r>
        <w:t>design</w:t>
      </w:r>
      <w:r w:rsidR="00082ED5">
        <w:t xml:space="preserve">ed in collaboration </w:t>
      </w:r>
      <w:r>
        <w:t>with First Nations stakeholders</w:t>
      </w:r>
      <w:r w:rsidR="00BA645E">
        <w:t xml:space="preserve"> and state and territor</w:t>
      </w:r>
      <w:r w:rsidR="001B11FB">
        <w:t>y governments</w:t>
      </w:r>
      <w:r w:rsidR="00082ED5">
        <w:t>, informed by the National Legal Partnership Review and the CNS Evaluation</w:t>
      </w:r>
      <w:r>
        <w:t>.</w:t>
      </w:r>
    </w:p>
    <w:p w14:paraId="423D890B" w14:textId="77777777" w:rsidR="00BE6762" w:rsidRDefault="00BE6762" w:rsidP="00E23B5C">
      <w:pPr>
        <w:pStyle w:val="Heading1"/>
      </w:pPr>
      <w:r>
        <w:t>Preserving and celebrating First Nations cultural heritage and language</w:t>
      </w:r>
    </w:p>
    <w:p w14:paraId="4DBF541F" w14:textId="77777777" w:rsidR="00BE6762" w:rsidRDefault="00BE6762" w:rsidP="00852A16">
      <w:pPr>
        <w:pStyle w:val="BodyText"/>
      </w:pPr>
      <w:r>
        <w:t>Strong First Nations cultures, languages and connection to Country are fundamental to improved life outcomes. This Budget provides:</w:t>
      </w:r>
    </w:p>
    <w:p w14:paraId="400AFD08" w14:textId="77777777" w:rsidR="009F6CE6" w:rsidRPr="003F7091" w:rsidRDefault="00BE6762" w:rsidP="00C93597">
      <w:pPr>
        <w:pStyle w:val="BulletedListlvl1"/>
        <w:ind w:left="284" w:hanging="284"/>
      </w:pPr>
      <w:r w:rsidRPr="003F7091">
        <w:t>$53.8 million over 4 years from 2024–25</w:t>
      </w:r>
      <w:r w:rsidR="000038B7" w:rsidRPr="003F7091">
        <w:t xml:space="preserve"> </w:t>
      </w:r>
      <w:r w:rsidR="00D66805" w:rsidRPr="003F7091">
        <w:t>(</w:t>
      </w:r>
      <w:r w:rsidR="000038B7" w:rsidRPr="003F7091">
        <w:t>and $17.8 </w:t>
      </w:r>
      <w:r w:rsidRPr="003F7091">
        <w:t xml:space="preserve">million per </w:t>
      </w:r>
      <w:r w:rsidR="003559C8" w:rsidRPr="003F7091">
        <w:rPr>
          <w:szCs w:val="22"/>
        </w:rPr>
        <w:t>year</w:t>
      </w:r>
      <w:r w:rsidR="003559C8" w:rsidRPr="003F7091">
        <w:t xml:space="preserve"> </w:t>
      </w:r>
      <w:r w:rsidRPr="003F7091">
        <w:t>ongoing from 2028</w:t>
      </w:r>
      <w:r w:rsidR="000038B7" w:rsidRPr="003F7091">
        <w:noBreakHyphen/>
      </w:r>
      <w:r w:rsidRPr="003F7091">
        <w:t>29</w:t>
      </w:r>
      <w:r w:rsidR="00D66805" w:rsidRPr="003F7091">
        <w:t>)</w:t>
      </w:r>
      <w:r w:rsidRPr="003F7091">
        <w:t xml:space="preserve"> to increase the number of First Nations language speakers through enhanced support for community language learning and new language centres.</w:t>
      </w:r>
      <w:r w:rsidR="009F6CE6" w:rsidRPr="003F7091">
        <w:rPr>
          <w:noProof/>
          <w:lang w:eastAsia="en-AU"/>
        </w:rPr>
        <w:t xml:space="preserve"> </w:t>
      </w:r>
    </w:p>
    <w:p w14:paraId="0099F899" w14:textId="517163DE" w:rsidR="00BE6762" w:rsidRPr="003F7091" w:rsidRDefault="00BE6762" w:rsidP="00C93597">
      <w:pPr>
        <w:pStyle w:val="BulletedListlvl1"/>
        <w:ind w:left="284" w:hanging="284"/>
      </w:pPr>
      <w:r w:rsidRPr="003F7091">
        <w:t>$10.</w:t>
      </w:r>
      <w:r w:rsidR="00305011" w:rsidRPr="003F7091">
        <w:t>3</w:t>
      </w:r>
      <w:r w:rsidRPr="003F7091">
        <w:t xml:space="preserve"> million ove</w:t>
      </w:r>
      <w:r w:rsidR="000038B7" w:rsidRPr="003F7091">
        <w:t xml:space="preserve">r 4 years from 2024–25 </w:t>
      </w:r>
      <w:r w:rsidR="00D66805" w:rsidRPr="003F7091">
        <w:t>(</w:t>
      </w:r>
      <w:r w:rsidR="000038B7" w:rsidRPr="003F7091">
        <w:t>and $2.7 </w:t>
      </w:r>
      <w:r w:rsidRPr="003F7091">
        <w:t>million in ongoing funding from 2028–29</w:t>
      </w:r>
      <w:r w:rsidR="00D66805" w:rsidRPr="003F7091">
        <w:t>)</w:t>
      </w:r>
      <w:r w:rsidRPr="003F7091">
        <w:t xml:space="preserve"> to support the Australian Institute of Aboriginal and Torres Strait Islander Studies (AIATSIS)</w:t>
      </w:r>
      <w:r w:rsidR="00013240" w:rsidRPr="003F7091">
        <w:t xml:space="preserve"> in the Return of Cultural Heritage program</w:t>
      </w:r>
      <w:r w:rsidR="00013240">
        <w:t xml:space="preserve"> to facilitate</w:t>
      </w:r>
      <w:r>
        <w:t xml:space="preserve"> the return of historic cultural materials held in </w:t>
      </w:r>
      <w:r w:rsidR="00F11D5F">
        <w:t>overseas collections to T</w:t>
      </w:r>
      <w:r w:rsidRPr="003F7091">
        <w:t>radi</w:t>
      </w:r>
      <w:r w:rsidR="00F11D5F">
        <w:t>tional Owners and C</w:t>
      </w:r>
      <w:r w:rsidRPr="003F7091">
        <w:t>ustodians.</w:t>
      </w:r>
      <w:bookmarkStart w:id="0" w:name="_GoBack"/>
      <w:bookmarkEnd w:id="0"/>
    </w:p>
    <w:p w14:paraId="2DE2AD25" w14:textId="77777777" w:rsidR="00D06055" w:rsidRDefault="00DF240D" w:rsidP="00C93597">
      <w:pPr>
        <w:pStyle w:val="BulletedListlvl1"/>
        <w:ind w:left="284" w:hanging="284"/>
      </w:pPr>
      <w:r w:rsidRPr="003F7091">
        <w:t>$</w:t>
      </w:r>
      <w:r w:rsidR="00C10204" w:rsidRPr="003F7091">
        <w:t>7.3</w:t>
      </w:r>
      <w:r w:rsidRPr="003F7091">
        <w:t xml:space="preserve"> </w:t>
      </w:r>
      <w:r w:rsidRPr="003F7091">
        <w:rPr>
          <w:szCs w:val="22"/>
        </w:rPr>
        <w:t>million</w:t>
      </w:r>
      <w:r w:rsidRPr="003F7091">
        <w:t xml:space="preserve"> in 2024–25 for</w:t>
      </w:r>
      <w:r w:rsidR="009D6DE5" w:rsidRPr="003F7091">
        <w:t xml:space="preserve"> AIATSI</w:t>
      </w:r>
      <w:r w:rsidR="009D6DE5">
        <w:t>S to support</w:t>
      </w:r>
      <w:r w:rsidR="00013240">
        <w:t xml:space="preserve"> and enhance</w:t>
      </w:r>
      <w:r>
        <w:t xml:space="preserve"> </w:t>
      </w:r>
      <w:r w:rsidR="00013240">
        <w:t xml:space="preserve">its ongoing role in facilitating Aboriginal and Torres Strait Islander cultural heritage activities and for </w:t>
      </w:r>
      <w:r>
        <w:t xml:space="preserve">urgent </w:t>
      </w:r>
      <w:r w:rsidR="009D6DE5">
        <w:t xml:space="preserve">capital </w:t>
      </w:r>
      <w:r>
        <w:t xml:space="preserve">repairs and maintenance at </w:t>
      </w:r>
      <w:r w:rsidR="000038B7">
        <w:t>AIATSIS</w:t>
      </w:r>
      <w:r>
        <w:t>’ facilities.</w:t>
      </w:r>
    </w:p>
    <w:p w14:paraId="6C193AAF" w14:textId="77777777" w:rsidR="009D6DE5" w:rsidRDefault="009D6DE5" w:rsidP="00C93597">
      <w:pPr>
        <w:pStyle w:val="BulletedListlvl1"/>
        <w:ind w:left="284" w:hanging="284"/>
      </w:pPr>
      <w:r w:rsidRPr="003F7091">
        <w:t>$3.6 million over 2 years from 2026</w:t>
      </w:r>
      <w:r w:rsidRPr="003F7091">
        <w:noBreakHyphen/>
        <w:t>27 for performing arts training organisations to support First</w:t>
      </w:r>
      <w:r>
        <w:t xml:space="preserve"> Nations students and workers.</w:t>
      </w:r>
    </w:p>
    <w:p w14:paraId="1EED338A" w14:textId="77777777" w:rsidR="00D250C7" w:rsidRDefault="00D250C7" w:rsidP="00D250C7">
      <w:pPr>
        <w:pStyle w:val="BodyText"/>
        <w:rPr>
          <w:color w:val="auto"/>
        </w:rPr>
      </w:pPr>
      <w:r>
        <w:t xml:space="preserve">Cultural heritage reform delivers on an election commitment to improve and streamline the </w:t>
      </w:r>
      <w:r w:rsidRPr="00BE6762">
        <w:rPr>
          <w:i/>
        </w:rPr>
        <w:t>Aboriginal and Torres Strait Islander Heritage Protection Act 1984</w:t>
      </w:r>
      <w:r>
        <w:rPr>
          <w:i/>
        </w:rPr>
        <w:t xml:space="preserve"> </w:t>
      </w:r>
      <w:r>
        <w:t>(ATSHIP Act).</w:t>
      </w:r>
      <w:r w:rsidRPr="00BE6762">
        <w:rPr>
          <w:i/>
        </w:rPr>
        <w:t xml:space="preserve"> </w:t>
      </w:r>
      <w:r>
        <w:t xml:space="preserve">To improve </w:t>
      </w:r>
      <w:r w:rsidRPr="003F7091">
        <w:t xml:space="preserve">outcomes and confidence in the cultural heritage protection system, the Government will provide $17.7 </w:t>
      </w:r>
      <w:r w:rsidRPr="003F7091">
        <w:rPr>
          <w:szCs w:val="22"/>
        </w:rPr>
        <w:t>million</w:t>
      </w:r>
      <w:r w:rsidRPr="003F7091">
        <w:t xml:space="preserve"> over 3 </w:t>
      </w:r>
      <w:r w:rsidRPr="003F7091">
        <w:rPr>
          <w:color w:val="auto"/>
        </w:rPr>
        <w:t>years from 2024</w:t>
      </w:r>
      <w:r w:rsidRPr="003F7091">
        <w:rPr>
          <w:color w:val="auto"/>
        </w:rPr>
        <w:noBreakHyphen/>
        <w:t xml:space="preserve">25 </w:t>
      </w:r>
      <w:r w:rsidRPr="003F7091">
        <w:rPr>
          <w:color w:val="auto"/>
          <w:lang w:val="en-US"/>
        </w:rPr>
        <w:t xml:space="preserve">to </w:t>
      </w:r>
      <w:r w:rsidRPr="003F7091">
        <w:t>reduce</w:t>
      </w:r>
      <w:r w:rsidRPr="00437106">
        <w:rPr>
          <w:color w:val="auto"/>
          <w:lang w:val="en-US"/>
        </w:rPr>
        <w:t xml:space="preserve"> the backlog, support administration of complex applications under the ATSHIP Act</w:t>
      </w:r>
      <w:r w:rsidRPr="00437106">
        <w:rPr>
          <w:i/>
          <w:color w:val="auto"/>
          <w:lang w:val="en-US"/>
        </w:rPr>
        <w:t xml:space="preserve"> </w:t>
      </w:r>
      <w:r w:rsidRPr="00437106">
        <w:rPr>
          <w:color w:val="auto"/>
          <w:lang w:val="en-US"/>
        </w:rPr>
        <w:t>and progress the reform of Australia’s cultural heritage laws</w:t>
      </w:r>
      <w:r w:rsidRPr="00437106">
        <w:rPr>
          <w:color w:val="auto"/>
        </w:rPr>
        <w:t xml:space="preserve">. </w:t>
      </w:r>
    </w:p>
    <w:p w14:paraId="0CDEFCD8" w14:textId="77777777" w:rsidR="00A243F3" w:rsidRPr="00A243F3" w:rsidRDefault="00FD4224" w:rsidP="00AB5882">
      <w:pPr>
        <w:pStyle w:val="PanelBody"/>
        <w:pBdr>
          <w:left w:val="single" w:sz="8" w:space="4" w:color="DD7500"/>
          <w:right w:val="single" w:sz="8" w:space="4" w:color="DD7500"/>
        </w:pBdr>
        <w:rPr>
          <w:rFonts w:asciiTheme="majorHAnsi" w:hAnsiTheme="majorHAnsi"/>
          <w:b/>
          <w:color w:val="2A4055" w:themeColor="accent1"/>
        </w:rPr>
      </w:pPr>
      <w:r>
        <w:rPr>
          <w:rFonts w:asciiTheme="majorHAnsi" w:hAnsiTheme="majorHAnsi"/>
          <w:b/>
          <w:color w:val="2A4055" w:themeColor="accent1"/>
        </w:rPr>
        <w:t>First Nations</w:t>
      </w:r>
      <w:r w:rsidR="00A243F3" w:rsidRPr="00A243F3">
        <w:rPr>
          <w:rFonts w:asciiTheme="majorHAnsi" w:hAnsiTheme="majorHAnsi"/>
          <w:b/>
          <w:color w:val="2A4055" w:themeColor="accent1"/>
        </w:rPr>
        <w:t xml:space="preserve"> land and water resources</w:t>
      </w:r>
    </w:p>
    <w:p w14:paraId="6196976D" w14:textId="77777777" w:rsidR="00AB5882" w:rsidRPr="00AB5882" w:rsidRDefault="00AB5882" w:rsidP="00AB5882">
      <w:pPr>
        <w:pStyle w:val="PanelBody"/>
        <w:pBdr>
          <w:left w:val="single" w:sz="8" w:space="4" w:color="DD7500"/>
          <w:right w:val="single" w:sz="8" w:space="4" w:color="DD7500"/>
        </w:pBdr>
        <w:rPr>
          <w:rStyle w:val="normaltextrun"/>
          <w:color w:val="000000"/>
          <w:shd w:val="clear" w:color="auto" w:fill="FFFFFF"/>
        </w:rPr>
      </w:pPr>
      <w:r>
        <w:rPr>
          <w:rStyle w:val="normaltextrun"/>
          <w:color w:val="000000"/>
          <w:shd w:val="clear" w:color="auto" w:fill="FFFFFF"/>
        </w:rPr>
        <w:t xml:space="preserve">The 35-year </w:t>
      </w:r>
      <w:r w:rsidRPr="00AB5882">
        <w:rPr>
          <w:rStyle w:val="normaltextrun"/>
          <w:color w:val="000000"/>
          <w:shd w:val="clear" w:color="auto" w:fill="FFFFFF"/>
        </w:rPr>
        <w:t>Resourcing Australia’s Prosperity</w:t>
      </w:r>
      <w:r>
        <w:rPr>
          <w:rStyle w:val="normaltextrun"/>
          <w:color w:val="000000"/>
          <w:shd w:val="clear" w:color="auto" w:fill="FFFFFF"/>
        </w:rPr>
        <w:t xml:space="preserve"> initiative will support First Nations peoples to manage their land and water resources, and be more fully informed about potential mining projects. It will include national data collection programs and resource potential assessments along with partnerships and co-design of regional projects to understand resource potential, sustainable management of groundwater, and build First Nations peoples’ expertise in applications of geoscience to care for Country.</w:t>
      </w:r>
      <w:r w:rsidRPr="00AB5882">
        <w:rPr>
          <w:rStyle w:val="normaltextrun"/>
        </w:rPr>
        <w:t> </w:t>
      </w:r>
    </w:p>
    <w:p w14:paraId="693C09D6" w14:textId="77777777" w:rsidR="00AB5882" w:rsidRDefault="00AB5882" w:rsidP="00AB5882">
      <w:pPr>
        <w:pStyle w:val="BodyText"/>
      </w:pPr>
      <w:r w:rsidRPr="003F7091">
        <w:t>The Government will also invest $12.9 million over 2 years from 2024-25 for the Indigenous</w:t>
      </w:r>
      <w:r w:rsidRPr="00D06055">
        <w:t xml:space="preserve"> Electoral Participation Program</w:t>
      </w:r>
      <w:r>
        <w:t xml:space="preserve"> to support First Nations people</w:t>
      </w:r>
      <w:r w:rsidR="004A43AD">
        <w:t>s</w:t>
      </w:r>
      <w:r>
        <w:t>’ enrolment and participation in the electoral process.</w:t>
      </w:r>
    </w:p>
    <w:p w14:paraId="3F523D65" w14:textId="77777777" w:rsidR="009F6CE6" w:rsidRDefault="009F6CE6" w:rsidP="009F6CE6">
      <w:pPr>
        <w:pStyle w:val="BulletedListlvl1"/>
        <w:numPr>
          <w:ilvl w:val="0"/>
          <w:numId w:val="0"/>
        </w:numPr>
        <w:ind w:left="568" w:hanging="284"/>
      </w:pPr>
    </w:p>
    <w:p w14:paraId="510A1FAF" w14:textId="77777777" w:rsidR="00A416ED" w:rsidRPr="00305011" w:rsidRDefault="00A416ED" w:rsidP="0063551C">
      <w:pPr>
        <w:pStyle w:val="BodyText"/>
        <w:rPr>
          <w:b/>
          <w:sz w:val="4"/>
          <w:szCs w:val="4"/>
        </w:rPr>
        <w:sectPr w:rsidR="00A416ED" w:rsidRPr="00305011" w:rsidSect="00D3356F">
          <w:type w:val="continuous"/>
          <w:pgSz w:w="11906" w:h="16838" w:code="9"/>
          <w:pgMar w:top="1418" w:right="851" w:bottom="1701" w:left="851" w:header="567" w:footer="57" w:gutter="0"/>
          <w:cols w:num="2" w:space="566"/>
          <w:titlePg/>
          <w:docGrid w:linePitch="360"/>
        </w:sectPr>
      </w:pPr>
    </w:p>
    <w:p w14:paraId="0C6E6E2B" w14:textId="77777777" w:rsidR="00BE6762" w:rsidRDefault="00BE6762" w:rsidP="00A416ED">
      <w:pPr>
        <w:pStyle w:val="Heading1"/>
      </w:pPr>
      <w:r>
        <w:t>Central Australia</w:t>
      </w:r>
    </w:p>
    <w:p w14:paraId="03852930" w14:textId="77777777" w:rsidR="00BE6762" w:rsidRDefault="00BE6762" w:rsidP="00861D34">
      <w:pPr>
        <w:pStyle w:val="BodyText"/>
      </w:pPr>
      <w:r>
        <w:t>The Government continues to work in partnership with local communities in Cen</w:t>
      </w:r>
      <w:r w:rsidR="00AC66CC">
        <w:t xml:space="preserve">tral Australia and the </w:t>
      </w:r>
      <w:r w:rsidR="00AE4FCE">
        <w:t>NT</w:t>
      </w:r>
      <w:r>
        <w:t xml:space="preserve"> Government to deliver the plan for </w:t>
      </w:r>
      <w:r w:rsidRPr="00D66805">
        <w:rPr>
          <w:i/>
        </w:rPr>
        <w:t>A Better, Safer Future for Central Australia</w:t>
      </w:r>
      <w:r>
        <w:t xml:space="preserve">. </w:t>
      </w:r>
    </w:p>
    <w:p w14:paraId="2689C771" w14:textId="77777777" w:rsidR="00861D34" w:rsidRPr="00861D34" w:rsidRDefault="00861D34" w:rsidP="00861D34">
      <w:pPr>
        <w:pStyle w:val="BodyText"/>
      </w:pPr>
      <w:r w:rsidRPr="00861D34">
        <w:t xml:space="preserve">From establishing the Central Australia Plan Aboriginal Leadership Group for independent advice and guidance, to delivering stronger health services and infrastructure including the Todd Street Health hub, the Government’s investment is backing more services and support where they're needed most. </w:t>
      </w:r>
    </w:p>
    <w:p w14:paraId="0EB50BF3" w14:textId="77777777" w:rsidR="00861D34" w:rsidRDefault="00861D34" w:rsidP="00861D34">
      <w:pPr>
        <w:pStyle w:val="BodyText"/>
      </w:pPr>
      <w:r w:rsidRPr="00861D34">
        <w:t xml:space="preserve">The </w:t>
      </w:r>
      <w:r>
        <w:t>P</w:t>
      </w:r>
      <w:r w:rsidRPr="00861D34">
        <w:t>lan has already delivered a range of initiatives, including:</w:t>
      </w:r>
    </w:p>
    <w:p w14:paraId="52983135" w14:textId="155E3E7B" w:rsidR="00861D34" w:rsidRPr="00C93597" w:rsidRDefault="00861D34" w:rsidP="00C93597">
      <w:pPr>
        <w:pStyle w:val="BulletedListlvl1"/>
        <w:ind w:left="284" w:hanging="284"/>
        <w:rPr>
          <w:szCs w:val="22"/>
        </w:rPr>
      </w:pPr>
      <w:r>
        <w:t xml:space="preserve">Increasing funding for police, domestic violence services and youth </w:t>
      </w:r>
      <w:r w:rsidRPr="00C93597">
        <w:rPr>
          <w:szCs w:val="22"/>
        </w:rPr>
        <w:t>services</w:t>
      </w:r>
    </w:p>
    <w:p w14:paraId="33A4A67B" w14:textId="77777777" w:rsidR="00861D34" w:rsidRPr="00C93597" w:rsidRDefault="00861D34" w:rsidP="00C93597">
      <w:pPr>
        <w:pStyle w:val="BulletedListlvl1"/>
        <w:ind w:left="284" w:hanging="284"/>
        <w:rPr>
          <w:szCs w:val="22"/>
        </w:rPr>
      </w:pPr>
      <w:r w:rsidRPr="00C93597">
        <w:rPr>
          <w:szCs w:val="22"/>
        </w:rPr>
        <w:t xml:space="preserve">Expanding </w:t>
      </w:r>
      <w:r w:rsidR="00E56157">
        <w:rPr>
          <w:szCs w:val="22"/>
        </w:rPr>
        <w:t>domestic violence</w:t>
      </w:r>
      <w:r w:rsidRPr="00C93597">
        <w:rPr>
          <w:szCs w:val="22"/>
        </w:rPr>
        <w:t xml:space="preserve"> services in remote communities</w:t>
      </w:r>
    </w:p>
    <w:p w14:paraId="4E93898F" w14:textId="77777777" w:rsidR="00861D34" w:rsidRPr="00C93597" w:rsidRDefault="00861D34" w:rsidP="00C93597">
      <w:pPr>
        <w:pStyle w:val="BulletedListlvl1"/>
        <w:ind w:left="284" w:hanging="284"/>
        <w:rPr>
          <w:szCs w:val="22"/>
        </w:rPr>
      </w:pPr>
      <w:r w:rsidRPr="00C93597">
        <w:rPr>
          <w:szCs w:val="22"/>
        </w:rPr>
        <w:t>Delivering Traditional Owner community night patrols in Alice Springs</w:t>
      </w:r>
    </w:p>
    <w:p w14:paraId="0D111ABA" w14:textId="3999F535" w:rsidR="00861D34" w:rsidRPr="00C93597" w:rsidRDefault="00861D34" w:rsidP="00C93597">
      <w:pPr>
        <w:pStyle w:val="BulletedListlvl1"/>
        <w:ind w:left="284" w:hanging="284"/>
        <w:rPr>
          <w:szCs w:val="22"/>
        </w:rPr>
      </w:pPr>
      <w:r w:rsidRPr="00C93597">
        <w:rPr>
          <w:szCs w:val="22"/>
        </w:rPr>
        <w:t xml:space="preserve">Improving access to preventative health services for children and families with early intervention, </w:t>
      </w:r>
      <w:r w:rsidR="00F11D5F">
        <w:rPr>
          <w:szCs w:val="22"/>
        </w:rPr>
        <w:t>f</w:t>
      </w:r>
      <w:r w:rsidR="004A43AD">
        <w:rPr>
          <w:szCs w:val="22"/>
        </w:rPr>
        <w:t>etal alcohol spectrum disorder and a</w:t>
      </w:r>
      <w:r w:rsidRPr="00C93597">
        <w:rPr>
          <w:szCs w:val="22"/>
        </w:rPr>
        <w:t>utism diagnosis and support</w:t>
      </w:r>
    </w:p>
    <w:p w14:paraId="643B1B00" w14:textId="77777777" w:rsidR="00861D34" w:rsidRPr="00C93597" w:rsidRDefault="00861D34" w:rsidP="00C93597">
      <w:pPr>
        <w:pStyle w:val="BulletedListlvl1"/>
        <w:ind w:left="284" w:hanging="284"/>
        <w:rPr>
          <w:szCs w:val="22"/>
        </w:rPr>
      </w:pPr>
      <w:r w:rsidRPr="00C93597">
        <w:rPr>
          <w:szCs w:val="22"/>
        </w:rPr>
        <w:t>Supporting more alcohol and other drugs treatment and rehabilitation services</w:t>
      </w:r>
    </w:p>
    <w:p w14:paraId="4A87A923" w14:textId="77777777" w:rsidR="00861D34" w:rsidRPr="00C93597" w:rsidRDefault="00861D34" w:rsidP="00C93597">
      <w:pPr>
        <w:pStyle w:val="BulletedListlvl1"/>
        <w:ind w:left="284" w:hanging="284"/>
        <w:rPr>
          <w:szCs w:val="22"/>
        </w:rPr>
      </w:pPr>
      <w:r w:rsidRPr="00C93597">
        <w:rPr>
          <w:szCs w:val="22"/>
        </w:rPr>
        <w:t>Increasing funding for every school in Central Australia, getting more kids to school and keeping them there</w:t>
      </w:r>
    </w:p>
    <w:p w14:paraId="51709142" w14:textId="77777777" w:rsidR="00861D34" w:rsidRPr="00C93597" w:rsidRDefault="00861D34" w:rsidP="00C93597">
      <w:pPr>
        <w:pStyle w:val="BulletedListlvl1"/>
        <w:ind w:left="284" w:hanging="284"/>
        <w:rPr>
          <w:szCs w:val="22"/>
        </w:rPr>
      </w:pPr>
      <w:r w:rsidRPr="00C93597">
        <w:rPr>
          <w:szCs w:val="22"/>
        </w:rPr>
        <w:t>Upgrading Wi-Fi in 4 Town Camps</w:t>
      </w:r>
    </w:p>
    <w:p w14:paraId="6681803E" w14:textId="77777777" w:rsidR="00861D34" w:rsidRPr="00C93597" w:rsidRDefault="00861D34" w:rsidP="00C93597">
      <w:pPr>
        <w:pStyle w:val="BulletedListlvl1"/>
        <w:ind w:left="284" w:hanging="284"/>
        <w:rPr>
          <w:szCs w:val="22"/>
        </w:rPr>
      </w:pPr>
      <w:r w:rsidRPr="00C93597">
        <w:rPr>
          <w:szCs w:val="22"/>
        </w:rPr>
        <w:t>Funding the construction of 20 beds to provide safe short-term accommodation in Alice Springs</w:t>
      </w:r>
    </w:p>
    <w:p w14:paraId="1121C09D" w14:textId="77777777" w:rsidR="00861D34" w:rsidRPr="003F7091" w:rsidRDefault="00861D34" w:rsidP="00C93597">
      <w:pPr>
        <w:pStyle w:val="BulletedListlvl1"/>
        <w:ind w:left="284" w:hanging="284"/>
        <w:rPr>
          <w:szCs w:val="22"/>
        </w:rPr>
      </w:pPr>
      <w:r w:rsidRPr="00C93597">
        <w:rPr>
          <w:szCs w:val="22"/>
        </w:rPr>
        <w:t xml:space="preserve">Improving lighting and safety measures at </w:t>
      </w:r>
      <w:r w:rsidRPr="003F7091">
        <w:rPr>
          <w:szCs w:val="22"/>
        </w:rPr>
        <w:t>community spaces across Alice Springs</w:t>
      </w:r>
    </w:p>
    <w:p w14:paraId="56E704B3" w14:textId="77777777" w:rsidR="00861D34" w:rsidRPr="003F7091" w:rsidRDefault="00861D34" w:rsidP="00C93597">
      <w:pPr>
        <w:pStyle w:val="BulletedListlvl1"/>
        <w:ind w:left="284" w:hanging="284"/>
        <w:rPr>
          <w:szCs w:val="22"/>
        </w:rPr>
      </w:pPr>
      <w:r w:rsidRPr="003F7091">
        <w:rPr>
          <w:szCs w:val="22"/>
        </w:rPr>
        <w:t xml:space="preserve">Building better health infrastructure, such as the Todd Street Health hub </w:t>
      </w:r>
    </w:p>
    <w:p w14:paraId="77AC33AC" w14:textId="77777777" w:rsidR="00861D34" w:rsidRPr="003F7091" w:rsidRDefault="00861D34" w:rsidP="00C93597">
      <w:pPr>
        <w:pStyle w:val="BulletedListlvl1"/>
        <w:ind w:left="284" w:hanging="284"/>
      </w:pPr>
      <w:r w:rsidRPr="003F7091">
        <w:rPr>
          <w:szCs w:val="22"/>
        </w:rPr>
        <w:t>Backing more youth programs and activities in Town Camps with a new purpose</w:t>
      </w:r>
      <w:r w:rsidRPr="003F7091">
        <w:t xml:space="preserve"> built Mobile Youth Hub Bus.</w:t>
      </w:r>
    </w:p>
    <w:p w14:paraId="244735DD" w14:textId="77777777" w:rsidR="00BE6762" w:rsidRDefault="00BE6762" w:rsidP="00861D34">
      <w:pPr>
        <w:pStyle w:val="BodyText"/>
      </w:pPr>
      <w:r w:rsidRPr="003F7091">
        <w:t xml:space="preserve">In addition to the $250 million Plan, the Government will increase its support </w:t>
      </w:r>
      <w:r w:rsidR="00AC66CC" w:rsidRPr="003F7091">
        <w:t>by investing $18</w:t>
      </w:r>
      <w:r w:rsidR="00A32AD1" w:rsidRPr="003F7091">
        <w:t>.0</w:t>
      </w:r>
      <w:r w:rsidR="00AC66CC" w:rsidRPr="003F7091">
        <w:t> million over 2 </w:t>
      </w:r>
      <w:r w:rsidRPr="003F7091">
        <w:t xml:space="preserve">years </w:t>
      </w:r>
      <w:r w:rsidR="00A32AD1" w:rsidRPr="003F7091">
        <w:t>from 2024</w:t>
      </w:r>
      <w:r w:rsidR="00A32AD1" w:rsidRPr="003F7091">
        <w:noBreakHyphen/>
        <w:t xml:space="preserve">25 </w:t>
      </w:r>
      <w:r w:rsidRPr="003F7091">
        <w:t>to build new and improve existing boarding facilities in Central Australia fo</w:t>
      </w:r>
      <w:r w:rsidR="00AC66CC" w:rsidRPr="003F7091">
        <w:t xml:space="preserve">r students from remote </w:t>
      </w:r>
      <w:r w:rsidR="00AE4FCE" w:rsidRPr="003F7091">
        <w:t>NT</w:t>
      </w:r>
      <w:r w:rsidRPr="003F7091">
        <w:t xml:space="preserve"> communities. The Gov</w:t>
      </w:r>
      <w:r w:rsidR="00AC66CC" w:rsidRPr="003F7091">
        <w:t>ernment will also provide $14.2 </w:t>
      </w:r>
      <w:r w:rsidRPr="003F7091">
        <w:t xml:space="preserve">million over </w:t>
      </w:r>
      <w:r w:rsidR="00861D34" w:rsidRPr="003F7091">
        <w:t>18 months</w:t>
      </w:r>
      <w:r w:rsidRPr="003F7091">
        <w:t xml:space="preserve"> in additional funding to deliver policing and other community safety support in Alice Springs</w:t>
      </w:r>
      <w:r w:rsidR="000F3819" w:rsidRPr="003F7091">
        <w:t>.</w:t>
      </w:r>
    </w:p>
    <w:p w14:paraId="5AEA13CF" w14:textId="470F107D" w:rsidR="001C18AB" w:rsidRDefault="00BE6762" w:rsidP="00861D34">
      <w:pPr>
        <w:pStyle w:val="BodyText"/>
      </w:pPr>
      <w:r>
        <w:t>This investment extends the National Partnership agreement betwee</w:t>
      </w:r>
      <w:r w:rsidR="00AC66CC">
        <w:t xml:space="preserve">n the Commonwealth and </w:t>
      </w:r>
      <w:r w:rsidR="00AE4FCE">
        <w:t>NT</w:t>
      </w:r>
      <w:r w:rsidR="00AC66CC">
        <w:t xml:space="preserve"> </w:t>
      </w:r>
      <w:r w:rsidR="00F11D5F">
        <w:t>g</w:t>
      </w:r>
      <w:r>
        <w:t>overnments to ensure a joint approach to building a better, safer future for Central Australia.</w:t>
      </w:r>
    </w:p>
    <w:p w14:paraId="6106D2B3" w14:textId="77777777" w:rsidR="00A416ED" w:rsidRDefault="001C18AB" w:rsidP="00861D34">
      <w:pPr>
        <w:pStyle w:val="BodyText"/>
        <w:jc w:val="center"/>
        <w:rPr>
          <w:sz w:val="4"/>
          <w:szCs w:val="4"/>
        </w:rPr>
      </w:pPr>
      <w:r w:rsidRPr="00634EC9">
        <w:rPr>
          <w:noProof/>
          <w:lang w:eastAsia="en-AU"/>
        </w:rPr>
        <w:drawing>
          <wp:inline distT="0" distB="0" distL="0" distR="0" wp14:anchorId="67038637" wp14:editId="0D40ECB6">
            <wp:extent cx="4868467" cy="2736000"/>
            <wp:effectExtent l="0" t="0" r="8890" b="7620"/>
            <wp:docPr id="3076" name="Picture 4" descr="The skyline of Alice Springs, with shops in the centre and ranges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The skyline of Alice Springs, with Harvey Norman in the cent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8467" cy="2736000"/>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p w14:paraId="5DCE0972" w14:textId="77777777" w:rsidR="002A5F9A" w:rsidRPr="008D57C4" w:rsidRDefault="002A5F9A" w:rsidP="00861D34">
      <w:pPr>
        <w:pStyle w:val="BodyText"/>
        <w:jc w:val="center"/>
        <w:rPr>
          <w:sz w:val="4"/>
          <w:szCs w:val="4"/>
        </w:rPr>
        <w:sectPr w:rsidR="002A5F9A" w:rsidRPr="008D57C4" w:rsidSect="00A416ED">
          <w:headerReference w:type="first" r:id="rId21"/>
          <w:type w:val="continuous"/>
          <w:pgSz w:w="11906" w:h="16838" w:code="9"/>
          <w:pgMar w:top="1702" w:right="851" w:bottom="1701" w:left="851" w:header="567" w:footer="57" w:gutter="0"/>
          <w:cols w:space="708"/>
          <w:titlePg/>
          <w:docGrid w:linePitch="360"/>
        </w:sectPr>
      </w:pPr>
    </w:p>
    <w:p w14:paraId="444D543F" w14:textId="77777777" w:rsidR="00BA3CC7" w:rsidRPr="008D57C4" w:rsidRDefault="00BA3CC7" w:rsidP="00721853">
      <w:pPr>
        <w:pStyle w:val="BodyText"/>
        <w:jc w:val="center"/>
        <w:rPr>
          <w:sz w:val="4"/>
          <w:szCs w:val="4"/>
        </w:rPr>
      </w:pPr>
    </w:p>
    <w:sectPr w:rsidR="00BA3CC7" w:rsidRPr="008D57C4" w:rsidSect="00A416ED">
      <w:headerReference w:type="first" r:id="rId22"/>
      <w:type w:val="continuous"/>
      <w:pgSz w:w="11906" w:h="16838" w:code="9"/>
      <w:pgMar w:top="1702" w:right="851" w:bottom="1701" w:left="851" w:header="567" w:footer="5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13DE9" w14:textId="77777777" w:rsidR="00B5598E" w:rsidRDefault="00B5598E" w:rsidP="00B95533">
      <w:pPr>
        <w:spacing w:after="0" w:line="240" w:lineRule="auto"/>
      </w:pPr>
      <w:r>
        <w:separator/>
      </w:r>
    </w:p>
  </w:endnote>
  <w:endnote w:type="continuationSeparator" w:id="0">
    <w:p w14:paraId="7BDC1940" w14:textId="77777777" w:rsidR="00B5598E" w:rsidRDefault="00B5598E" w:rsidP="00B95533">
      <w:pPr>
        <w:spacing w:after="0" w:line="240" w:lineRule="auto"/>
      </w:pPr>
      <w:r>
        <w:continuationSeparator/>
      </w:r>
    </w:p>
  </w:endnote>
  <w:endnote w:type="continuationNotice" w:id="1">
    <w:p w14:paraId="32EA8557" w14:textId="77777777" w:rsidR="00B5598E" w:rsidRDefault="00B55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BA54" w14:textId="77777777" w:rsidR="00D3610C" w:rsidRDefault="00D3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71FA" w14:textId="284FDEAD" w:rsidR="00DB6AFD" w:rsidRPr="0040648D" w:rsidRDefault="00DB6AFD" w:rsidP="00206976">
    <w:pPr>
      <w:pStyle w:val="Footer"/>
      <w:pBdr>
        <w:top w:val="single" w:sz="24" w:space="7" w:color="auto"/>
      </w:pBdr>
      <w:tabs>
        <w:tab w:val="clear" w:pos="4513"/>
        <w:tab w:val="clear" w:pos="9026"/>
        <w:tab w:val="right" w:pos="13435"/>
      </w:tabs>
      <w:rPr>
        <w:color w:val="2A4055" w:themeColor="accent1"/>
      </w:rPr>
    </w:pPr>
    <w:r w:rsidRPr="00074021">
      <w:rPr>
        <w:color w:val="2A4055" w:themeColor="accent1"/>
      </w:rPr>
      <w:t>Budget 2024–25</w:t>
    </w:r>
    <w:r>
      <w:rPr>
        <w:color w:val="2A4055" w:themeColor="accent1"/>
      </w:rPr>
      <w:tab/>
    </w:r>
    <w:r w:rsidRPr="00153AF7">
      <w:rPr>
        <w:color w:val="2A4055" w:themeColor="accent1"/>
      </w:rPr>
      <w:fldChar w:fldCharType="begin"/>
    </w:r>
    <w:r w:rsidRPr="00153AF7">
      <w:rPr>
        <w:color w:val="2A4055" w:themeColor="accent1"/>
      </w:rPr>
      <w:instrText xml:space="preserve"> PAGE   \* MERGEFORMAT </w:instrText>
    </w:r>
    <w:r w:rsidRPr="00153AF7">
      <w:rPr>
        <w:color w:val="2A4055" w:themeColor="accent1"/>
      </w:rPr>
      <w:fldChar w:fldCharType="separate"/>
    </w:r>
    <w:r w:rsidR="004879D8">
      <w:rPr>
        <w:noProof/>
        <w:color w:val="2A4055" w:themeColor="accent1"/>
      </w:rPr>
      <w:t>6</w:t>
    </w:r>
    <w:r w:rsidRPr="00153AF7">
      <w:rPr>
        <w:noProof/>
        <w:color w:val="2A4055" w:themeColor="accent1"/>
      </w:rPr>
      <w:fldChar w:fldCharType="end"/>
    </w:r>
    <w:r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6A1A1217" w14:textId="32E5D844" w:rsidR="00DB6AFD" w:rsidRPr="00B87E45" w:rsidRDefault="00F11D5F" w:rsidP="00730910">
        <w:pPr>
          <w:pStyle w:val="ProtectiveMarking"/>
          <w:spacing w:after="240"/>
        </w:pPr>
        <w:r>
          <w:t xml:space="preserve">     </w:t>
        </w:r>
      </w:p>
    </w:sdtContent>
  </w:sdt>
  <w:p w14:paraId="0534FB4A" w14:textId="106E40CC" w:rsidR="00DB6AFD" w:rsidRPr="0040648D" w:rsidRDefault="00DB6AFD" w:rsidP="00153AF7">
    <w:pPr>
      <w:pStyle w:val="Footer"/>
      <w:pBdr>
        <w:top w:val="single" w:sz="24" w:space="7" w:color="2A4055" w:themeColor="accent1"/>
      </w:pBdr>
      <w:tabs>
        <w:tab w:val="clear" w:pos="4513"/>
        <w:tab w:val="clear" w:pos="9026"/>
        <w:tab w:val="left" w:pos="10065"/>
      </w:tabs>
      <w:rPr>
        <w:color w:val="2A4055" w:themeColor="accent1"/>
      </w:rPr>
    </w:pPr>
    <w:r>
      <w:rPr>
        <w:noProof/>
        <w:color w:val="2A4055" w:themeColor="accent1"/>
        <w:lang w:eastAsia="en-AU"/>
      </w:rPr>
      <w:drawing>
        <wp:anchor distT="0" distB="0" distL="114300" distR="114300" simplePos="0" relativeHeight="251658240" behindDoc="1" locked="0" layoutInCell="1" allowOverlap="1" wp14:anchorId="77371120" wp14:editId="1698E6D9">
          <wp:simplePos x="0" y="0"/>
          <wp:positionH relativeFrom="page">
            <wp:posOffset>1</wp:posOffset>
          </wp:positionH>
          <wp:positionV relativeFrom="paragraph">
            <wp:posOffset>-134477</wp:posOffset>
          </wp:positionV>
          <wp:extent cx="10674000" cy="717542"/>
          <wp:effectExtent l="0" t="0" r="0" b="6985"/>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3_Word_Template_Footer_A4_Portrait.png"/>
                  <pic:cNvPicPr/>
                </pic:nvPicPr>
                <pic:blipFill rotWithShape="1">
                  <a:blip r:embed="rId1"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2A4055" w:themeColor="accent1"/>
      </w:rPr>
      <w:tab/>
    </w:r>
    <w:r w:rsidRPr="00153AF7">
      <w:rPr>
        <w:color w:val="2A4055" w:themeColor="accent1"/>
      </w:rPr>
      <w:fldChar w:fldCharType="begin"/>
    </w:r>
    <w:r w:rsidRPr="00153AF7">
      <w:rPr>
        <w:color w:val="2A4055" w:themeColor="accent1"/>
      </w:rPr>
      <w:instrText xml:space="preserve"> PAGE   \* MERGEFORMAT </w:instrText>
    </w:r>
    <w:r w:rsidRPr="00153AF7">
      <w:rPr>
        <w:color w:val="2A4055" w:themeColor="accent1"/>
      </w:rPr>
      <w:fldChar w:fldCharType="separate"/>
    </w:r>
    <w:r w:rsidR="00B5598E">
      <w:rPr>
        <w:noProof/>
        <w:color w:val="2A4055" w:themeColor="accent1"/>
      </w:rPr>
      <w:t>1</w:t>
    </w:r>
    <w:r w:rsidRPr="00153AF7">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D4F7" w14:textId="77777777" w:rsidR="00B5598E" w:rsidRPr="007A6FC6" w:rsidRDefault="00B5598E" w:rsidP="00B95533">
      <w:pPr>
        <w:spacing w:after="0" w:line="240" w:lineRule="auto"/>
        <w:rPr>
          <w:color w:val="00948D" w:themeColor="accent2"/>
        </w:rPr>
      </w:pPr>
      <w:r w:rsidRPr="007A6FC6">
        <w:rPr>
          <w:color w:val="00948D" w:themeColor="accent2"/>
        </w:rPr>
        <w:separator/>
      </w:r>
    </w:p>
  </w:footnote>
  <w:footnote w:type="continuationSeparator" w:id="0">
    <w:p w14:paraId="4ACFFEC5" w14:textId="77777777" w:rsidR="00B5598E" w:rsidRPr="007A6FC6" w:rsidRDefault="00B5598E" w:rsidP="00B95533">
      <w:pPr>
        <w:spacing w:after="0" w:line="240" w:lineRule="auto"/>
        <w:rPr>
          <w:color w:val="00948D" w:themeColor="accent2"/>
        </w:rPr>
      </w:pPr>
      <w:r w:rsidRPr="007A6FC6">
        <w:rPr>
          <w:color w:val="00948D" w:themeColor="accent2"/>
        </w:rPr>
        <w:continuationSeparator/>
      </w:r>
    </w:p>
  </w:footnote>
  <w:footnote w:type="continuationNotice" w:id="1">
    <w:p w14:paraId="10F3BE04" w14:textId="77777777" w:rsidR="00B5598E" w:rsidRDefault="00B55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1CDA" w14:textId="77777777" w:rsidR="00D3610C" w:rsidRDefault="00D36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BA0F" w14:textId="336367EB" w:rsidR="00DB6AFD" w:rsidRDefault="00B5598E" w:rsidP="007757C9">
    <w:pPr>
      <w:pStyle w:val="ProtectiveMarking"/>
    </w:pPr>
    <w:sdt>
      <w:sdtPr>
        <w:alias w:val="Classification"/>
        <w:tag w:val="Classification"/>
        <w:id w:val="405574941"/>
        <w:showingPlcHdr/>
        <w:dataBinding w:xpath="/root[1]/Classification[1]" w:storeItemID="{F533AE62-A212-4B26-92DA-A3B336E8AE06}"/>
        <w:text/>
      </w:sdtPr>
      <w:sdtEndPr/>
      <w:sdtContent>
        <w:r w:rsidR="00F11D5F">
          <w:t xml:space="preserve">     </w:t>
        </w:r>
      </w:sdtContent>
    </w:sdt>
  </w:p>
  <w:p w14:paraId="3089A6CB" w14:textId="77777777" w:rsidR="00DB6AFD" w:rsidRDefault="00DB6AFD">
    <w:pPr>
      <w:pStyle w:val="Header"/>
    </w:pPr>
  </w:p>
  <w:p w14:paraId="2BD08F51" w14:textId="77777777" w:rsidR="00DB6AFD" w:rsidRDefault="00DB6AFD">
    <w:pPr>
      <w:pStyle w:val="Header"/>
    </w:pPr>
  </w:p>
  <w:p w14:paraId="7B16DA88" w14:textId="77777777" w:rsidR="00DB6AFD" w:rsidRDefault="00DB6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D934" w14:textId="77777777" w:rsidR="00DB6AFD" w:rsidRDefault="00687C14" w:rsidP="002B5D09">
    <w:pPr>
      <w:pStyle w:val="Header"/>
      <w:tabs>
        <w:tab w:val="clear" w:pos="4513"/>
        <w:tab w:val="clear" w:pos="9026"/>
        <w:tab w:val="left" w:pos="4100"/>
      </w:tabs>
    </w:pPr>
    <w:r>
      <w:rPr>
        <w:noProof/>
        <w:lang w:eastAsia="en-AU"/>
      </w:rPr>
      <w:drawing>
        <wp:anchor distT="0" distB="0" distL="114300" distR="114300" simplePos="0" relativeHeight="251659267" behindDoc="1" locked="0" layoutInCell="1" allowOverlap="1" wp14:anchorId="45415B8A" wp14:editId="77619FA9">
          <wp:simplePos x="0" y="0"/>
          <wp:positionH relativeFrom="column">
            <wp:posOffset>-635635</wp:posOffset>
          </wp:positionH>
          <wp:positionV relativeFrom="paragraph">
            <wp:posOffset>-385445</wp:posOffset>
          </wp:positionV>
          <wp:extent cx="7713845" cy="1468080"/>
          <wp:effectExtent l="0" t="0" r="1905" b="0"/>
          <wp:wrapNone/>
          <wp:docPr id="2" name="Picture 2"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Gov-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3845" cy="146808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402" w14:textId="77777777" w:rsidR="00FB477F" w:rsidRDefault="00FB477F" w:rsidP="002B5D09">
    <w:pPr>
      <w:pStyle w:val="Header"/>
      <w:tabs>
        <w:tab w:val="clear" w:pos="4513"/>
        <w:tab w:val="clear" w:pos="9026"/>
        <w:tab w:val="left" w:pos="410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BB40" w14:textId="77777777" w:rsidR="00DB6AFD" w:rsidRDefault="00DB6AFD" w:rsidP="002B5D09">
    <w:pPr>
      <w:pStyle w:val="Header"/>
      <w:tabs>
        <w:tab w:val="clear" w:pos="4513"/>
        <w:tab w:val="clear" w:pos="9026"/>
        <w:tab w:val="left" w:pos="4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8A67E97"/>
    <w:multiLevelType w:val="hybridMultilevel"/>
    <w:tmpl w:val="7834C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16BA5"/>
    <w:multiLevelType w:val="hybridMultilevel"/>
    <w:tmpl w:val="CF5C9B40"/>
    <w:lvl w:ilvl="0" w:tplc="0C090003">
      <w:start w:val="1"/>
      <w:numFmt w:val="bullet"/>
      <w:lvlText w:val="o"/>
      <w:lvlJc w:val="left"/>
      <w:pPr>
        <w:ind w:left="1097" w:hanging="360"/>
      </w:pPr>
      <w:rPr>
        <w:rFonts w:ascii="Courier New" w:hAnsi="Courier New" w:cs="Courier New" w:hint="default"/>
      </w:rPr>
    </w:lvl>
    <w:lvl w:ilvl="1" w:tplc="0C090003">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 w15:restartNumberingAfterBreak="0">
    <w:nsid w:val="0C69371C"/>
    <w:multiLevelType w:val="multilevel"/>
    <w:tmpl w:val="B2D40500"/>
    <w:lvl w:ilvl="0">
      <w:start w:val="1"/>
      <w:numFmt w:val="decimal"/>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437344DE"/>
    <w:multiLevelType w:val="hybridMultilevel"/>
    <w:tmpl w:val="132A6F68"/>
    <w:lvl w:ilvl="0" w:tplc="5FDE4CB4">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1A9C3E20"/>
    <w:lvl w:ilvl="0">
      <w:start w:val="1"/>
      <w:numFmt w:val="bullet"/>
      <w:pStyle w:val="BulletedListlvl1"/>
      <w:lvlText w:val=""/>
      <w:lvlJc w:val="left"/>
      <w:pPr>
        <w:ind w:left="1843"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49F7A3A"/>
    <w:multiLevelType w:val="hybridMultilevel"/>
    <w:tmpl w:val="CBA61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2EF1E09"/>
    <w:multiLevelType w:val="multilevel"/>
    <w:tmpl w:val="3E9C3620"/>
    <w:lvl w:ilvl="0">
      <w:start w:val="1"/>
      <w:numFmt w:val="decimal"/>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C3BECF7C"/>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4"/>
  </w:num>
  <w:num w:numId="2">
    <w:abstractNumId w:val="8"/>
  </w:num>
  <w:num w:numId="3">
    <w:abstractNumId w:val="5"/>
  </w:num>
  <w:num w:numId="4">
    <w:abstractNumId w:val="12"/>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3"/>
  </w:num>
  <w:num w:numId="18">
    <w:abstractNumId w:val="3"/>
    <w:lvlOverride w:ilvl="0">
      <w:lvl w:ilvl="0">
        <w:start w:val="1"/>
        <w:numFmt w:val="decimal"/>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7"/>
  </w:num>
  <w:num w:numId="20">
    <w:abstractNumId w:val="13"/>
  </w:num>
  <w:num w:numId="21">
    <w:abstractNumId w:val="0"/>
  </w:num>
  <w:num w:numId="22">
    <w:abstractNumId w:val="11"/>
  </w:num>
  <w:num w:numId="23">
    <w:abstractNumId w:val="11"/>
    <w:lvlOverride w:ilvl="0">
      <w:lvl w:ilvl="0">
        <w:start w:val="1"/>
        <w:numFmt w:val="decimal"/>
        <w:lvlText w:val="%1."/>
        <w:lvlJc w:val="left"/>
        <w:pPr>
          <w:ind w:left="567" w:hanging="283"/>
        </w:pPr>
        <w:rPr>
          <w:rFonts w:hint="default"/>
        </w:rPr>
      </w:lvl>
    </w:lvlOverride>
    <w:lvlOverride w:ilvl="1">
      <w:lvl w:ilvl="1">
        <w:start w:val="1"/>
        <w:numFmt w:val="lowerLetter"/>
        <w:lvlText w:val="%2."/>
        <w:lvlJc w:val="left"/>
        <w:pPr>
          <w:ind w:left="1021" w:hanging="283"/>
        </w:pPr>
        <w:rPr>
          <w:rFonts w:hint="default"/>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6"/>
  </w:num>
  <w:num w:numId="28">
    <w:abstractNumId w:val="10"/>
  </w:num>
  <w:num w:numId="29">
    <w:abstractNumId w:val="1"/>
  </w:num>
  <w:num w:numId="30">
    <w:abstractNumId w:val="2"/>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2"/>
    <w:rsid w:val="000021B8"/>
    <w:rsid w:val="000021DE"/>
    <w:rsid w:val="00002208"/>
    <w:rsid w:val="00002CFF"/>
    <w:rsid w:val="00002F73"/>
    <w:rsid w:val="000031F8"/>
    <w:rsid w:val="000038B7"/>
    <w:rsid w:val="00007EB1"/>
    <w:rsid w:val="00010FC5"/>
    <w:rsid w:val="0001233A"/>
    <w:rsid w:val="00013240"/>
    <w:rsid w:val="00014206"/>
    <w:rsid w:val="00015EA2"/>
    <w:rsid w:val="000230F3"/>
    <w:rsid w:val="00023AC4"/>
    <w:rsid w:val="000277A1"/>
    <w:rsid w:val="000304B2"/>
    <w:rsid w:val="00031070"/>
    <w:rsid w:val="00031B5C"/>
    <w:rsid w:val="00034193"/>
    <w:rsid w:val="00034729"/>
    <w:rsid w:val="00034FEC"/>
    <w:rsid w:val="0004082F"/>
    <w:rsid w:val="00042E89"/>
    <w:rsid w:val="00044BF9"/>
    <w:rsid w:val="000503A6"/>
    <w:rsid w:val="00053CD9"/>
    <w:rsid w:val="00055821"/>
    <w:rsid w:val="00057B46"/>
    <w:rsid w:val="00063034"/>
    <w:rsid w:val="00067064"/>
    <w:rsid w:val="00073D52"/>
    <w:rsid w:val="00074021"/>
    <w:rsid w:val="0007634F"/>
    <w:rsid w:val="00076AD1"/>
    <w:rsid w:val="00077841"/>
    <w:rsid w:val="000803CA"/>
    <w:rsid w:val="00082ED5"/>
    <w:rsid w:val="000835A1"/>
    <w:rsid w:val="00085BB3"/>
    <w:rsid w:val="00091BCD"/>
    <w:rsid w:val="0009231D"/>
    <w:rsid w:val="0009265A"/>
    <w:rsid w:val="00092801"/>
    <w:rsid w:val="00092FB5"/>
    <w:rsid w:val="00093EEF"/>
    <w:rsid w:val="00094313"/>
    <w:rsid w:val="00094B02"/>
    <w:rsid w:val="0009590F"/>
    <w:rsid w:val="00095BF3"/>
    <w:rsid w:val="00096150"/>
    <w:rsid w:val="00097321"/>
    <w:rsid w:val="000A0224"/>
    <w:rsid w:val="000A041E"/>
    <w:rsid w:val="000A08CA"/>
    <w:rsid w:val="000A0E4C"/>
    <w:rsid w:val="000A5FD9"/>
    <w:rsid w:val="000A780E"/>
    <w:rsid w:val="000B1F28"/>
    <w:rsid w:val="000C29C5"/>
    <w:rsid w:val="000D0AA3"/>
    <w:rsid w:val="000D106A"/>
    <w:rsid w:val="000D113F"/>
    <w:rsid w:val="000D2E56"/>
    <w:rsid w:val="000E351D"/>
    <w:rsid w:val="000E60F7"/>
    <w:rsid w:val="000F0F45"/>
    <w:rsid w:val="000F1B86"/>
    <w:rsid w:val="000F23B0"/>
    <w:rsid w:val="000F3819"/>
    <w:rsid w:val="000F4D62"/>
    <w:rsid w:val="000F5917"/>
    <w:rsid w:val="000F68D3"/>
    <w:rsid w:val="00100554"/>
    <w:rsid w:val="001007B9"/>
    <w:rsid w:val="0010143D"/>
    <w:rsid w:val="0010485A"/>
    <w:rsid w:val="001051BD"/>
    <w:rsid w:val="00105ECB"/>
    <w:rsid w:val="001104BB"/>
    <w:rsid w:val="00111736"/>
    <w:rsid w:val="00111DC0"/>
    <w:rsid w:val="001131DC"/>
    <w:rsid w:val="00117A8D"/>
    <w:rsid w:val="00122510"/>
    <w:rsid w:val="00122CF5"/>
    <w:rsid w:val="001249EF"/>
    <w:rsid w:val="0012653E"/>
    <w:rsid w:val="00131315"/>
    <w:rsid w:val="00132268"/>
    <w:rsid w:val="00132FD5"/>
    <w:rsid w:val="001336CF"/>
    <w:rsid w:val="001337DB"/>
    <w:rsid w:val="001357A3"/>
    <w:rsid w:val="00135E75"/>
    <w:rsid w:val="00137246"/>
    <w:rsid w:val="001416F3"/>
    <w:rsid w:val="00143288"/>
    <w:rsid w:val="00143881"/>
    <w:rsid w:val="00153427"/>
    <w:rsid w:val="00153AF7"/>
    <w:rsid w:val="0015537B"/>
    <w:rsid w:val="00155B1A"/>
    <w:rsid w:val="0016463D"/>
    <w:rsid w:val="0016781C"/>
    <w:rsid w:val="001727AF"/>
    <w:rsid w:val="00176EA5"/>
    <w:rsid w:val="00177611"/>
    <w:rsid w:val="0017798C"/>
    <w:rsid w:val="001809C6"/>
    <w:rsid w:val="00181839"/>
    <w:rsid w:val="00181C56"/>
    <w:rsid w:val="00183FA2"/>
    <w:rsid w:val="001850CB"/>
    <w:rsid w:val="00191145"/>
    <w:rsid w:val="001912A0"/>
    <w:rsid w:val="00193036"/>
    <w:rsid w:val="00194FB2"/>
    <w:rsid w:val="001953CF"/>
    <w:rsid w:val="00195BA8"/>
    <w:rsid w:val="001A1957"/>
    <w:rsid w:val="001A20FF"/>
    <w:rsid w:val="001A2F86"/>
    <w:rsid w:val="001A599E"/>
    <w:rsid w:val="001A67DE"/>
    <w:rsid w:val="001B0144"/>
    <w:rsid w:val="001B10ED"/>
    <w:rsid w:val="001B11FB"/>
    <w:rsid w:val="001B45AC"/>
    <w:rsid w:val="001B4B59"/>
    <w:rsid w:val="001B6E60"/>
    <w:rsid w:val="001C18AB"/>
    <w:rsid w:val="001C2FC8"/>
    <w:rsid w:val="001C63DF"/>
    <w:rsid w:val="001D237C"/>
    <w:rsid w:val="001D283B"/>
    <w:rsid w:val="001D4159"/>
    <w:rsid w:val="001D7426"/>
    <w:rsid w:val="001E4245"/>
    <w:rsid w:val="001E53DF"/>
    <w:rsid w:val="001F0654"/>
    <w:rsid w:val="001F1A76"/>
    <w:rsid w:val="001F3722"/>
    <w:rsid w:val="001F3F81"/>
    <w:rsid w:val="001F5E13"/>
    <w:rsid w:val="001F738E"/>
    <w:rsid w:val="001F7942"/>
    <w:rsid w:val="0020007C"/>
    <w:rsid w:val="0020255B"/>
    <w:rsid w:val="00206976"/>
    <w:rsid w:val="00206DEC"/>
    <w:rsid w:val="00212214"/>
    <w:rsid w:val="0021247A"/>
    <w:rsid w:val="0021554D"/>
    <w:rsid w:val="002229A5"/>
    <w:rsid w:val="00223745"/>
    <w:rsid w:val="002317BD"/>
    <w:rsid w:val="00231B22"/>
    <w:rsid w:val="00233C3E"/>
    <w:rsid w:val="00234705"/>
    <w:rsid w:val="00237365"/>
    <w:rsid w:val="00242A35"/>
    <w:rsid w:val="00244238"/>
    <w:rsid w:val="00250BE6"/>
    <w:rsid w:val="00252F38"/>
    <w:rsid w:val="002572AB"/>
    <w:rsid w:val="00257544"/>
    <w:rsid w:val="00260C56"/>
    <w:rsid w:val="00264A5E"/>
    <w:rsid w:val="002660C8"/>
    <w:rsid w:val="002661E7"/>
    <w:rsid w:val="002667E2"/>
    <w:rsid w:val="00271572"/>
    <w:rsid w:val="00272241"/>
    <w:rsid w:val="00275B46"/>
    <w:rsid w:val="00277016"/>
    <w:rsid w:val="0027769C"/>
    <w:rsid w:val="00281E3E"/>
    <w:rsid w:val="00284131"/>
    <w:rsid w:val="00284710"/>
    <w:rsid w:val="00287AF6"/>
    <w:rsid w:val="00287CED"/>
    <w:rsid w:val="00292432"/>
    <w:rsid w:val="0029329D"/>
    <w:rsid w:val="00294D1D"/>
    <w:rsid w:val="002952F9"/>
    <w:rsid w:val="002955DD"/>
    <w:rsid w:val="002A0289"/>
    <w:rsid w:val="002A371E"/>
    <w:rsid w:val="002A52DC"/>
    <w:rsid w:val="002A5F9A"/>
    <w:rsid w:val="002B0023"/>
    <w:rsid w:val="002B03DA"/>
    <w:rsid w:val="002B1318"/>
    <w:rsid w:val="002B3AEE"/>
    <w:rsid w:val="002B4B0A"/>
    <w:rsid w:val="002B5D09"/>
    <w:rsid w:val="002C0866"/>
    <w:rsid w:val="002C0B0E"/>
    <w:rsid w:val="002C0F71"/>
    <w:rsid w:val="002C29A9"/>
    <w:rsid w:val="002C5F5B"/>
    <w:rsid w:val="002C777D"/>
    <w:rsid w:val="002D0640"/>
    <w:rsid w:val="002D40B1"/>
    <w:rsid w:val="002D45CD"/>
    <w:rsid w:val="002D75F9"/>
    <w:rsid w:val="002E07AC"/>
    <w:rsid w:val="002E0CD0"/>
    <w:rsid w:val="002E24A0"/>
    <w:rsid w:val="002E4459"/>
    <w:rsid w:val="002E6AA1"/>
    <w:rsid w:val="002E6E95"/>
    <w:rsid w:val="002F126D"/>
    <w:rsid w:val="002F57C6"/>
    <w:rsid w:val="003003DA"/>
    <w:rsid w:val="0030368A"/>
    <w:rsid w:val="00304F67"/>
    <w:rsid w:val="00305011"/>
    <w:rsid w:val="00307A69"/>
    <w:rsid w:val="00312E4A"/>
    <w:rsid w:val="0031546F"/>
    <w:rsid w:val="00316B0D"/>
    <w:rsid w:val="00317427"/>
    <w:rsid w:val="003224FE"/>
    <w:rsid w:val="003273B5"/>
    <w:rsid w:val="003300DB"/>
    <w:rsid w:val="0033088D"/>
    <w:rsid w:val="00335425"/>
    <w:rsid w:val="003371F0"/>
    <w:rsid w:val="00340FD9"/>
    <w:rsid w:val="00343DBA"/>
    <w:rsid w:val="00345B55"/>
    <w:rsid w:val="003500C6"/>
    <w:rsid w:val="0035262A"/>
    <w:rsid w:val="00352CEC"/>
    <w:rsid w:val="003559C8"/>
    <w:rsid w:val="0035600D"/>
    <w:rsid w:val="00356103"/>
    <w:rsid w:val="00357154"/>
    <w:rsid w:val="003572C1"/>
    <w:rsid w:val="00363AE5"/>
    <w:rsid w:val="0036510D"/>
    <w:rsid w:val="003732F8"/>
    <w:rsid w:val="00374A65"/>
    <w:rsid w:val="00376D8B"/>
    <w:rsid w:val="00380B31"/>
    <w:rsid w:val="00380E7E"/>
    <w:rsid w:val="003848EF"/>
    <w:rsid w:val="00385B65"/>
    <w:rsid w:val="00391929"/>
    <w:rsid w:val="00391CEF"/>
    <w:rsid w:val="003A3E57"/>
    <w:rsid w:val="003A77F5"/>
    <w:rsid w:val="003A7DE7"/>
    <w:rsid w:val="003B2135"/>
    <w:rsid w:val="003C3230"/>
    <w:rsid w:val="003C349E"/>
    <w:rsid w:val="003C6961"/>
    <w:rsid w:val="003D21A3"/>
    <w:rsid w:val="003D26F0"/>
    <w:rsid w:val="003D33F7"/>
    <w:rsid w:val="003D3D32"/>
    <w:rsid w:val="003E63B7"/>
    <w:rsid w:val="003E6B8B"/>
    <w:rsid w:val="003F017E"/>
    <w:rsid w:val="003F0725"/>
    <w:rsid w:val="003F17BC"/>
    <w:rsid w:val="003F1A1E"/>
    <w:rsid w:val="003F23FE"/>
    <w:rsid w:val="003F5F4B"/>
    <w:rsid w:val="003F7091"/>
    <w:rsid w:val="003F7E70"/>
    <w:rsid w:val="004020B3"/>
    <w:rsid w:val="0040648D"/>
    <w:rsid w:val="00406711"/>
    <w:rsid w:val="004130FE"/>
    <w:rsid w:val="00414CEB"/>
    <w:rsid w:val="004163FA"/>
    <w:rsid w:val="004218CC"/>
    <w:rsid w:val="00423E92"/>
    <w:rsid w:val="004257F1"/>
    <w:rsid w:val="00425CAD"/>
    <w:rsid w:val="00431B00"/>
    <w:rsid w:val="004366AE"/>
    <w:rsid w:val="00437106"/>
    <w:rsid w:val="00437572"/>
    <w:rsid w:val="00442A4F"/>
    <w:rsid w:val="0044371A"/>
    <w:rsid w:val="0044511D"/>
    <w:rsid w:val="00445E13"/>
    <w:rsid w:val="00445FB2"/>
    <w:rsid w:val="00446A9A"/>
    <w:rsid w:val="00451804"/>
    <w:rsid w:val="00452FE9"/>
    <w:rsid w:val="00454696"/>
    <w:rsid w:val="00456B36"/>
    <w:rsid w:val="004574A0"/>
    <w:rsid w:val="00461132"/>
    <w:rsid w:val="004616FF"/>
    <w:rsid w:val="004759ED"/>
    <w:rsid w:val="00475A2A"/>
    <w:rsid w:val="00476768"/>
    <w:rsid w:val="00476B36"/>
    <w:rsid w:val="00477122"/>
    <w:rsid w:val="00483708"/>
    <w:rsid w:val="00486059"/>
    <w:rsid w:val="0048698D"/>
    <w:rsid w:val="00486D32"/>
    <w:rsid w:val="004879D8"/>
    <w:rsid w:val="00490DEC"/>
    <w:rsid w:val="004945F7"/>
    <w:rsid w:val="004957BB"/>
    <w:rsid w:val="00496A1B"/>
    <w:rsid w:val="00497F14"/>
    <w:rsid w:val="004A35E2"/>
    <w:rsid w:val="004A43AD"/>
    <w:rsid w:val="004B033A"/>
    <w:rsid w:val="004B199A"/>
    <w:rsid w:val="004B2CB0"/>
    <w:rsid w:val="004B7B8B"/>
    <w:rsid w:val="004B7D8C"/>
    <w:rsid w:val="004C0CB2"/>
    <w:rsid w:val="004C18F6"/>
    <w:rsid w:val="004C2EEA"/>
    <w:rsid w:val="004C6518"/>
    <w:rsid w:val="004D0B40"/>
    <w:rsid w:val="004D1065"/>
    <w:rsid w:val="004D24EB"/>
    <w:rsid w:val="004D2EA5"/>
    <w:rsid w:val="004D3E17"/>
    <w:rsid w:val="004D688C"/>
    <w:rsid w:val="004E0845"/>
    <w:rsid w:val="004E192B"/>
    <w:rsid w:val="004E513C"/>
    <w:rsid w:val="004E54F0"/>
    <w:rsid w:val="004E55E2"/>
    <w:rsid w:val="004E58AE"/>
    <w:rsid w:val="004E5E9B"/>
    <w:rsid w:val="004F085F"/>
    <w:rsid w:val="004F0BD7"/>
    <w:rsid w:val="004F20A9"/>
    <w:rsid w:val="004F23CA"/>
    <w:rsid w:val="004F32DA"/>
    <w:rsid w:val="004F579A"/>
    <w:rsid w:val="004F73E8"/>
    <w:rsid w:val="00500128"/>
    <w:rsid w:val="00501372"/>
    <w:rsid w:val="00503B0C"/>
    <w:rsid w:val="0050562E"/>
    <w:rsid w:val="00505887"/>
    <w:rsid w:val="0051316F"/>
    <w:rsid w:val="00517D85"/>
    <w:rsid w:val="00523958"/>
    <w:rsid w:val="0053301E"/>
    <w:rsid w:val="00534F51"/>
    <w:rsid w:val="005350C9"/>
    <w:rsid w:val="005350E4"/>
    <w:rsid w:val="005370B2"/>
    <w:rsid w:val="005400C8"/>
    <w:rsid w:val="00543E44"/>
    <w:rsid w:val="00543FDE"/>
    <w:rsid w:val="00552F1C"/>
    <w:rsid w:val="00562166"/>
    <w:rsid w:val="0057315D"/>
    <w:rsid w:val="00574F28"/>
    <w:rsid w:val="00576C8D"/>
    <w:rsid w:val="00582D17"/>
    <w:rsid w:val="005845DA"/>
    <w:rsid w:val="00585956"/>
    <w:rsid w:val="00587167"/>
    <w:rsid w:val="0058793B"/>
    <w:rsid w:val="0059011F"/>
    <w:rsid w:val="005917FA"/>
    <w:rsid w:val="00596D03"/>
    <w:rsid w:val="005A0614"/>
    <w:rsid w:val="005A0DE7"/>
    <w:rsid w:val="005A2093"/>
    <w:rsid w:val="005A355D"/>
    <w:rsid w:val="005A6271"/>
    <w:rsid w:val="005B210C"/>
    <w:rsid w:val="005B241C"/>
    <w:rsid w:val="005B27D0"/>
    <w:rsid w:val="005B4715"/>
    <w:rsid w:val="005B4FED"/>
    <w:rsid w:val="005B58CA"/>
    <w:rsid w:val="005B6545"/>
    <w:rsid w:val="005C7655"/>
    <w:rsid w:val="005C7C79"/>
    <w:rsid w:val="005D1BC5"/>
    <w:rsid w:val="005D2D7A"/>
    <w:rsid w:val="005D6425"/>
    <w:rsid w:val="005D7026"/>
    <w:rsid w:val="005E40D4"/>
    <w:rsid w:val="005E47E5"/>
    <w:rsid w:val="005F3D48"/>
    <w:rsid w:val="005F4C5A"/>
    <w:rsid w:val="005F79CC"/>
    <w:rsid w:val="00602577"/>
    <w:rsid w:val="00603EA6"/>
    <w:rsid w:val="00603FC1"/>
    <w:rsid w:val="006066AC"/>
    <w:rsid w:val="00607805"/>
    <w:rsid w:val="00611057"/>
    <w:rsid w:val="00611873"/>
    <w:rsid w:val="00612051"/>
    <w:rsid w:val="0061255F"/>
    <w:rsid w:val="0061381E"/>
    <w:rsid w:val="006159CC"/>
    <w:rsid w:val="006173D0"/>
    <w:rsid w:val="006201D7"/>
    <w:rsid w:val="006208C6"/>
    <w:rsid w:val="00622E45"/>
    <w:rsid w:val="006267BF"/>
    <w:rsid w:val="00626CA4"/>
    <w:rsid w:val="0062796C"/>
    <w:rsid w:val="0063328F"/>
    <w:rsid w:val="0063451F"/>
    <w:rsid w:val="00634EC9"/>
    <w:rsid w:val="0063551C"/>
    <w:rsid w:val="00637CDB"/>
    <w:rsid w:val="006427AA"/>
    <w:rsid w:val="006429D7"/>
    <w:rsid w:val="00644FC1"/>
    <w:rsid w:val="006454DC"/>
    <w:rsid w:val="006476B7"/>
    <w:rsid w:val="00651566"/>
    <w:rsid w:val="00652D62"/>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1BE"/>
    <w:rsid w:val="0068575D"/>
    <w:rsid w:val="00685BF1"/>
    <w:rsid w:val="00687BCE"/>
    <w:rsid w:val="00687C14"/>
    <w:rsid w:val="0069266F"/>
    <w:rsid w:val="00692AC4"/>
    <w:rsid w:val="00692AE7"/>
    <w:rsid w:val="00696014"/>
    <w:rsid w:val="00696E9D"/>
    <w:rsid w:val="00697A16"/>
    <w:rsid w:val="00697F67"/>
    <w:rsid w:val="006A131D"/>
    <w:rsid w:val="006A2795"/>
    <w:rsid w:val="006A3962"/>
    <w:rsid w:val="006A39D8"/>
    <w:rsid w:val="006A5226"/>
    <w:rsid w:val="006A72D0"/>
    <w:rsid w:val="006B0488"/>
    <w:rsid w:val="006B089B"/>
    <w:rsid w:val="006B0DD7"/>
    <w:rsid w:val="006B3301"/>
    <w:rsid w:val="006B5284"/>
    <w:rsid w:val="006B56FC"/>
    <w:rsid w:val="006C0869"/>
    <w:rsid w:val="006C1CF4"/>
    <w:rsid w:val="006C668F"/>
    <w:rsid w:val="006C6A72"/>
    <w:rsid w:val="006C7B63"/>
    <w:rsid w:val="006D16B9"/>
    <w:rsid w:val="006D19D9"/>
    <w:rsid w:val="006D5D19"/>
    <w:rsid w:val="006E086B"/>
    <w:rsid w:val="006E0D17"/>
    <w:rsid w:val="006E2EA3"/>
    <w:rsid w:val="006E350F"/>
    <w:rsid w:val="006E55ED"/>
    <w:rsid w:val="006E623D"/>
    <w:rsid w:val="006E6AE6"/>
    <w:rsid w:val="006E70FF"/>
    <w:rsid w:val="006F173B"/>
    <w:rsid w:val="006F33DB"/>
    <w:rsid w:val="006F40F0"/>
    <w:rsid w:val="006F5B46"/>
    <w:rsid w:val="006F7986"/>
    <w:rsid w:val="00711110"/>
    <w:rsid w:val="00714E79"/>
    <w:rsid w:val="007154FF"/>
    <w:rsid w:val="00715BA2"/>
    <w:rsid w:val="00721853"/>
    <w:rsid w:val="00722560"/>
    <w:rsid w:val="007239F8"/>
    <w:rsid w:val="00727A8E"/>
    <w:rsid w:val="00727FEF"/>
    <w:rsid w:val="00730910"/>
    <w:rsid w:val="00731B24"/>
    <w:rsid w:val="00733BDA"/>
    <w:rsid w:val="00737149"/>
    <w:rsid w:val="00737A8E"/>
    <w:rsid w:val="00744CB1"/>
    <w:rsid w:val="0074650B"/>
    <w:rsid w:val="00750045"/>
    <w:rsid w:val="007512E0"/>
    <w:rsid w:val="0075158E"/>
    <w:rsid w:val="00753B4D"/>
    <w:rsid w:val="00754949"/>
    <w:rsid w:val="007550E9"/>
    <w:rsid w:val="007633A2"/>
    <w:rsid w:val="007660B9"/>
    <w:rsid w:val="00770E50"/>
    <w:rsid w:val="00772CF2"/>
    <w:rsid w:val="007749B6"/>
    <w:rsid w:val="007757C9"/>
    <w:rsid w:val="00780AC4"/>
    <w:rsid w:val="00781479"/>
    <w:rsid w:val="00781797"/>
    <w:rsid w:val="007836C4"/>
    <w:rsid w:val="0078689C"/>
    <w:rsid w:val="00791319"/>
    <w:rsid w:val="007929A4"/>
    <w:rsid w:val="007956C4"/>
    <w:rsid w:val="0079736F"/>
    <w:rsid w:val="007A229E"/>
    <w:rsid w:val="007A27C5"/>
    <w:rsid w:val="007A4253"/>
    <w:rsid w:val="007A52E1"/>
    <w:rsid w:val="007A6297"/>
    <w:rsid w:val="007A62AF"/>
    <w:rsid w:val="007A6FC6"/>
    <w:rsid w:val="007B329A"/>
    <w:rsid w:val="007C234B"/>
    <w:rsid w:val="007C3F60"/>
    <w:rsid w:val="007C544A"/>
    <w:rsid w:val="007C5C8F"/>
    <w:rsid w:val="007D02C4"/>
    <w:rsid w:val="007D5DBC"/>
    <w:rsid w:val="007D6014"/>
    <w:rsid w:val="007D680C"/>
    <w:rsid w:val="007E24B7"/>
    <w:rsid w:val="007E2DFE"/>
    <w:rsid w:val="007E569D"/>
    <w:rsid w:val="007E5DC6"/>
    <w:rsid w:val="007F0C62"/>
    <w:rsid w:val="007F7FED"/>
    <w:rsid w:val="00803395"/>
    <w:rsid w:val="0080402F"/>
    <w:rsid w:val="008051C4"/>
    <w:rsid w:val="00805B42"/>
    <w:rsid w:val="00806393"/>
    <w:rsid w:val="0080697E"/>
    <w:rsid w:val="0081512D"/>
    <w:rsid w:val="00815D15"/>
    <w:rsid w:val="00817B50"/>
    <w:rsid w:val="00820E0F"/>
    <w:rsid w:val="00825410"/>
    <w:rsid w:val="00825715"/>
    <w:rsid w:val="008275B9"/>
    <w:rsid w:val="00830A0C"/>
    <w:rsid w:val="0083261D"/>
    <w:rsid w:val="00832D89"/>
    <w:rsid w:val="0083503B"/>
    <w:rsid w:val="00840865"/>
    <w:rsid w:val="00841D41"/>
    <w:rsid w:val="008427A8"/>
    <w:rsid w:val="008435CC"/>
    <w:rsid w:val="008436AB"/>
    <w:rsid w:val="00844739"/>
    <w:rsid w:val="0084486B"/>
    <w:rsid w:val="008517B4"/>
    <w:rsid w:val="00852A16"/>
    <w:rsid w:val="008533D5"/>
    <w:rsid w:val="00853CDF"/>
    <w:rsid w:val="008556C9"/>
    <w:rsid w:val="00856BF8"/>
    <w:rsid w:val="00857818"/>
    <w:rsid w:val="0086151D"/>
    <w:rsid w:val="00861D34"/>
    <w:rsid w:val="0086672B"/>
    <w:rsid w:val="008668C0"/>
    <w:rsid w:val="008678C1"/>
    <w:rsid w:val="0087021D"/>
    <w:rsid w:val="00873DED"/>
    <w:rsid w:val="00874FF1"/>
    <w:rsid w:val="00877425"/>
    <w:rsid w:val="008777F4"/>
    <w:rsid w:val="00880786"/>
    <w:rsid w:val="00887813"/>
    <w:rsid w:val="008965BB"/>
    <w:rsid w:val="008A2626"/>
    <w:rsid w:val="008A376F"/>
    <w:rsid w:val="008A3B64"/>
    <w:rsid w:val="008A4924"/>
    <w:rsid w:val="008A6759"/>
    <w:rsid w:val="008A67E3"/>
    <w:rsid w:val="008B0415"/>
    <w:rsid w:val="008B13B1"/>
    <w:rsid w:val="008B185C"/>
    <w:rsid w:val="008B2202"/>
    <w:rsid w:val="008B3EF8"/>
    <w:rsid w:val="008B4303"/>
    <w:rsid w:val="008B493F"/>
    <w:rsid w:val="008C115E"/>
    <w:rsid w:val="008C5D4E"/>
    <w:rsid w:val="008C6A11"/>
    <w:rsid w:val="008D0504"/>
    <w:rsid w:val="008D1256"/>
    <w:rsid w:val="008D275A"/>
    <w:rsid w:val="008D57C4"/>
    <w:rsid w:val="008D695D"/>
    <w:rsid w:val="008D7C53"/>
    <w:rsid w:val="008E109E"/>
    <w:rsid w:val="008E66E6"/>
    <w:rsid w:val="008F073E"/>
    <w:rsid w:val="008F112A"/>
    <w:rsid w:val="00900D4B"/>
    <w:rsid w:val="009014BC"/>
    <w:rsid w:val="00901703"/>
    <w:rsid w:val="00902CAC"/>
    <w:rsid w:val="0090306A"/>
    <w:rsid w:val="009036CA"/>
    <w:rsid w:val="00903C31"/>
    <w:rsid w:val="00911619"/>
    <w:rsid w:val="00917F95"/>
    <w:rsid w:val="00923EDF"/>
    <w:rsid w:val="009242E7"/>
    <w:rsid w:val="00926323"/>
    <w:rsid w:val="00930F23"/>
    <w:rsid w:val="00935AD4"/>
    <w:rsid w:val="0093769D"/>
    <w:rsid w:val="00937CE1"/>
    <w:rsid w:val="00944029"/>
    <w:rsid w:val="0094513B"/>
    <w:rsid w:val="0094688C"/>
    <w:rsid w:val="00947986"/>
    <w:rsid w:val="009513E0"/>
    <w:rsid w:val="00963FB3"/>
    <w:rsid w:val="00966803"/>
    <w:rsid w:val="009672EB"/>
    <w:rsid w:val="00973090"/>
    <w:rsid w:val="00973F0B"/>
    <w:rsid w:val="00975050"/>
    <w:rsid w:val="0098228B"/>
    <w:rsid w:val="00985BE9"/>
    <w:rsid w:val="00993C79"/>
    <w:rsid w:val="0099436F"/>
    <w:rsid w:val="00995154"/>
    <w:rsid w:val="009956DE"/>
    <w:rsid w:val="009959E0"/>
    <w:rsid w:val="00996328"/>
    <w:rsid w:val="00996BEA"/>
    <w:rsid w:val="009A33FB"/>
    <w:rsid w:val="009A5056"/>
    <w:rsid w:val="009B185E"/>
    <w:rsid w:val="009B1A44"/>
    <w:rsid w:val="009B300F"/>
    <w:rsid w:val="009B36EF"/>
    <w:rsid w:val="009B4379"/>
    <w:rsid w:val="009B5590"/>
    <w:rsid w:val="009C4D8A"/>
    <w:rsid w:val="009C580F"/>
    <w:rsid w:val="009D161E"/>
    <w:rsid w:val="009D6DE5"/>
    <w:rsid w:val="009D7919"/>
    <w:rsid w:val="009E0BD1"/>
    <w:rsid w:val="009E1B26"/>
    <w:rsid w:val="009F08CB"/>
    <w:rsid w:val="009F185F"/>
    <w:rsid w:val="009F3DD8"/>
    <w:rsid w:val="009F6CE6"/>
    <w:rsid w:val="009F725F"/>
    <w:rsid w:val="009F751D"/>
    <w:rsid w:val="009F7B2E"/>
    <w:rsid w:val="00A00EF2"/>
    <w:rsid w:val="00A01346"/>
    <w:rsid w:val="00A018DD"/>
    <w:rsid w:val="00A04AE7"/>
    <w:rsid w:val="00A069F9"/>
    <w:rsid w:val="00A07F0E"/>
    <w:rsid w:val="00A10AC2"/>
    <w:rsid w:val="00A12AE4"/>
    <w:rsid w:val="00A173EC"/>
    <w:rsid w:val="00A17F9A"/>
    <w:rsid w:val="00A20161"/>
    <w:rsid w:val="00A20B8E"/>
    <w:rsid w:val="00A22414"/>
    <w:rsid w:val="00A243F3"/>
    <w:rsid w:val="00A2444D"/>
    <w:rsid w:val="00A26D78"/>
    <w:rsid w:val="00A3076D"/>
    <w:rsid w:val="00A316E1"/>
    <w:rsid w:val="00A32AD1"/>
    <w:rsid w:val="00A346CA"/>
    <w:rsid w:val="00A35D72"/>
    <w:rsid w:val="00A416ED"/>
    <w:rsid w:val="00A451DD"/>
    <w:rsid w:val="00A46AB8"/>
    <w:rsid w:val="00A47428"/>
    <w:rsid w:val="00A477A0"/>
    <w:rsid w:val="00A47C07"/>
    <w:rsid w:val="00A503A1"/>
    <w:rsid w:val="00A50BDE"/>
    <w:rsid w:val="00A521FA"/>
    <w:rsid w:val="00A5524F"/>
    <w:rsid w:val="00A61711"/>
    <w:rsid w:val="00A62C59"/>
    <w:rsid w:val="00A62F19"/>
    <w:rsid w:val="00A63A3E"/>
    <w:rsid w:val="00A63F48"/>
    <w:rsid w:val="00A66C34"/>
    <w:rsid w:val="00A675E2"/>
    <w:rsid w:val="00A72CC9"/>
    <w:rsid w:val="00A73497"/>
    <w:rsid w:val="00A73CFD"/>
    <w:rsid w:val="00A764E7"/>
    <w:rsid w:val="00A77E87"/>
    <w:rsid w:val="00A80863"/>
    <w:rsid w:val="00A81616"/>
    <w:rsid w:val="00A8365E"/>
    <w:rsid w:val="00A9488D"/>
    <w:rsid w:val="00A94E35"/>
    <w:rsid w:val="00A95355"/>
    <w:rsid w:val="00A96649"/>
    <w:rsid w:val="00AA1316"/>
    <w:rsid w:val="00AA3E95"/>
    <w:rsid w:val="00AA44A0"/>
    <w:rsid w:val="00AA4D84"/>
    <w:rsid w:val="00AA5243"/>
    <w:rsid w:val="00AA5CA9"/>
    <w:rsid w:val="00AA64CB"/>
    <w:rsid w:val="00AB350C"/>
    <w:rsid w:val="00AB3C78"/>
    <w:rsid w:val="00AB5882"/>
    <w:rsid w:val="00AC121A"/>
    <w:rsid w:val="00AC1AA3"/>
    <w:rsid w:val="00AC4EB2"/>
    <w:rsid w:val="00AC66CC"/>
    <w:rsid w:val="00AC7D7D"/>
    <w:rsid w:val="00AC7F21"/>
    <w:rsid w:val="00AD0F94"/>
    <w:rsid w:val="00AD64FB"/>
    <w:rsid w:val="00AD7918"/>
    <w:rsid w:val="00AE0E38"/>
    <w:rsid w:val="00AE11C4"/>
    <w:rsid w:val="00AE1640"/>
    <w:rsid w:val="00AE297B"/>
    <w:rsid w:val="00AE4FCE"/>
    <w:rsid w:val="00AE58D5"/>
    <w:rsid w:val="00AE6686"/>
    <w:rsid w:val="00AF1171"/>
    <w:rsid w:val="00AF7794"/>
    <w:rsid w:val="00B0259B"/>
    <w:rsid w:val="00B06546"/>
    <w:rsid w:val="00B11714"/>
    <w:rsid w:val="00B11C21"/>
    <w:rsid w:val="00B13055"/>
    <w:rsid w:val="00B151CC"/>
    <w:rsid w:val="00B24D0A"/>
    <w:rsid w:val="00B325F5"/>
    <w:rsid w:val="00B32F6A"/>
    <w:rsid w:val="00B3317D"/>
    <w:rsid w:val="00B34E2E"/>
    <w:rsid w:val="00B36583"/>
    <w:rsid w:val="00B376F2"/>
    <w:rsid w:val="00B37705"/>
    <w:rsid w:val="00B42E70"/>
    <w:rsid w:val="00B455C1"/>
    <w:rsid w:val="00B53058"/>
    <w:rsid w:val="00B5598E"/>
    <w:rsid w:val="00B663B0"/>
    <w:rsid w:val="00B711F9"/>
    <w:rsid w:val="00B83B2F"/>
    <w:rsid w:val="00B87E45"/>
    <w:rsid w:val="00B95533"/>
    <w:rsid w:val="00BA2BE7"/>
    <w:rsid w:val="00BA3CC7"/>
    <w:rsid w:val="00BA4BFE"/>
    <w:rsid w:val="00BA645E"/>
    <w:rsid w:val="00BB0F68"/>
    <w:rsid w:val="00BB1FFF"/>
    <w:rsid w:val="00BB2567"/>
    <w:rsid w:val="00BB4937"/>
    <w:rsid w:val="00BB4DE6"/>
    <w:rsid w:val="00BB662C"/>
    <w:rsid w:val="00BB6F83"/>
    <w:rsid w:val="00BC24CA"/>
    <w:rsid w:val="00BC281F"/>
    <w:rsid w:val="00BC3367"/>
    <w:rsid w:val="00BC5B1A"/>
    <w:rsid w:val="00BC66E2"/>
    <w:rsid w:val="00BD113A"/>
    <w:rsid w:val="00BD2076"/>
    <w:rsid w:val="00BD2B9F"/>
    <w:rsid w:val="00BD2EA0"/>
    <w:rsid w:val="00BD35B3"/>
    <w:rsid w:val="00BD3DA8"/>
    <w:rsid w:val="00BD45D5"/>
    <w:rsid w:val="00BD51BF"/>
    <w:rsid w:val="00BD6753"/>
    <w:rsid w:val="00BE02CF"/>
    <w:rsid w:val="00BE112A"/>
    <w:rsid w:val="00BE446D"/>
    <w:rsid w:val="00BE64F3"/>
    <w:rsid w:val="00BE6762"/>
    <w:rsid w:val="00BF0EE9"/>
    <w:rsid w:val="00BF115D"/>
    <w:rsid w:val="00BF4522"/>
    <w:rsid w:val="00BF5183"/>
    <w:rsid w:val="00C00697"/>
    <w:rsid w:val="00C0095A"/>
    <w:rsid w:val="00C03814"/>
    <w:rsid w:val="00C03D6D"/>
    <w:rsid w:val="00C10204"/>
    <w:rsid w:val="00C10C00"/>
    <w:rsid w:val="00C11633"/>
    <w:rsid w:val="00C14887"/>
    <w:rsid w:val="00C17CE9"/>
    <w:rsid w:val="00C36A7A"/>
    <w:rsid w:val="00C371D3"/>
    <w:rsid w:val="00C372B3"/>
    <w:rsid w:val="00C464A7"/>
    <w:rsid w:val="00C50411"/>
    <w:rsid w:val="00C511C3"/>
    <w:rsid w:val="00C51C42"/>
    <w:rsid w:val="00C52329"/>
    <w:rsid w:val="00C56526"/>
    <w:rsid w:val="00C5657E"/>
    <w:rsid w:val="00C57F4E"/>
    <w:rsid w:val="00C66A73"/>
    <w:rsid w:val="00C66EF9"/>
    <w:rsid w:val="00C67AA6"/>
    <w:rsid w:val="00C76497"/>
    <w:rsid w:val="00C767CB"/>
    <w:rsid w:val="00C77D56"/>
    <w:rsid w:val="00C80CAE"/>
    <w:rsid w:val="00C84F38"/>
    <w:rsid w:val="00C856C9"/>
    <w:rsid w:val="00C86AD9"/>
    <w:rsid w:val="00C86F22"/>
    <w:rsid w:val="00C90CAA"/>
    <w:rsid w:val="00C91A83"/>
    <w:rsid w:val="00C92248"/>
    <w:rsid w:val="00C926AD"/>
    <w:rsid w:val="00C93597"/>
    <w:rsid w:val="00C9378A"/>
    <w:rsid w:val="00C95E1B"/>
    <w:rsid w:val="00C9650F"/>
    <w:rsid w:val="00C9741E"/>
    <w:rsid w:val="00CA33C7"/>
    <w:rsid w:val="00CA5C56"/>
    <w:rsid w:val="00CB2C58"/>
    <w:rsid w:val="00CB38A3"/>
    <w:rsid w:val="00CB3B70"/>
    <w:rsid w:val="00CC1475"/>
    <w:rsid w:val="00CC1CCB"/>
    <w:rsid w:val="00CC3DCB"/>
    <w:rsid w:val="00CC68C2"/>
    <w:rsid w:val="00CC6B7E"/>
    <w:rsid w:val="00CD26DA"/>
    <w:rsid w:val="00CD645D"/>
    <w:rsid w:val="00CD730D"/>
    <w:rsid w:val="00CE1635"/>
    <w:rsid w:val="00CE215C"/>
    <w:rsid w:val="00CE5FF2"/>
    <w:rsid w:val="00CF0D33"/>
    <w:rsid w:val="00CF1778"/>
    <w:rsid w:val="00CF2F01"/>
    <w:rsid w:val="00CF505D"/>
    <w:rsid w:val="00CF521D"/>
    <w:rsid w:val="00CF6177"/>
    <w:rsid w:val="00CF68E9"/>
    <w:rsid w:val="00CF7819"/>
    <w:rsid w:val="00D008B8"/>
    <w:rsid w:val="00D032A9"/>
    <w:rsid w:val="00D06055"/>
    <w:rsid w:val="00D110C4"/>
    <w:rsid w:val="00D12647"/>
    <w:rsid w:val="00D171A8"/>
    <w:rsid w:val="00D2011B"/>
    <w:rsid w:val="00D24EC1"/>
    <w:rsid w:val="00D250C7"/>
    <w:rsid w:val="00D303B7"/>
    <w:rsid w:val="00D3356F"/>
    <w:rsid w:val="00D3610C"/>
    <w:rsid w:val="00D379BE"/>
    <w:rsid w:val="00D45583"/>
    <w:rsid w:val="00D4602A"/>
    <w:rsid w:val="00D4638C"/>
    <w:rsid w:val="00D4643A"/>
    <w:rsid w:val="00D46EB7"/>
    <w:rsid w:val="00D475BD"/>
    <w:rsid w:val="00D51A5E"/>
    <w:rsid w:val="00D52159"/>
    <w:rsid w:val="00D54C52"/>
    <w:rsid w:val="00D54CE5"/>
    <w:rsid w:val="00D551A8"/>
    <w:rsid w:val="00D55E22"/>
    <w:rsid w:val="00D611A9"/>
    <w:rsid w:val="00D620F7"/>
    <w:rsid w:val="00D621F3"/>
    <w:rsid w:val="00D66805"/>
    <w:rsid w:val="00D66B24"/>
    <w:rsid w:val="00D70252"/>
    <w:rsid w:val="00D757D9"/>
    <w:rsid w:val="00D822F9"/>
    <w:rsid w:val="00D8333A"/>
    <w:rsid w:val="00D85825"/>
    <w:rsid w:val="00D9012E"/>
    <w:rsid w:val="00D90897"/>
    <w:rsid w:val="00D93BE5"/>
    <w:rsid w:val="00D97F22"/>
    <w:rsid w:val="00DA3036"/>
    <w:rsid w:val="00DA54EE"/>
    <w:rsid w:val="00DA7E42"/>
    <w:rsid w:val="00DB015B"/>
    <w:rsid w:val="00DB07A9"/>
    <w:rsid w:val="00DB1A17"/>
    <w:rsid w:val="00DB20CE"/>
    <w:rsid w:val="00DB24D3"/>
    <w:rsid w:val="00DB35E7"/>
    <w:rsid w:val="00DB3BFC"/>
    <w:rsid w:val="00DB4380"/>
    <w:rsid w:val="00DB5E67"/>
    <w:rsid w:val="00DB6978"/>
    <w:rsid w:val="00DB6AFD"/>
    <w:rsid w:val="00DB6F16"/>
    <w:rsid w:val="00DB7D77"/>
    <w:rsid w:val="00DC3380"/>
    <w:rsid w:val="00DD40F4"/>
    <w:rsid w:val="00DD619D"/>
    <w:rsid w:val="00DD6C35"/>
    <w:rsid w:val="00DE193D"/>
    <w:rsid w:val="00DE31BD"/>
    <w:rsid w:val="00DE46E7"/>
    <w:rsid w:val="00DE60C0"/>
    <w:rsid w:val="00DE710F"/>
    <w:rsid w:val="00DE7EED"/>
    <w:rsid w:val="00DF240D"/>
    <w:rsid w:val="00E02E5D"/>
    <w:rsid w:val="00E05E36"/>
    <w:rsid w:val="00E05F1D"/>
    <w:rsid w:val="00E149DD"/>
    <w:rsid w:val="00E14B89"/>
    <w:rsid w:val="00E14B90"/>
    <w:rsid w:val="00E1630B"/>
    <w:rsid w:val="00E21FA3"/>
    <w:rsid w:val="00E23731"/>
    <w:rsid w:val="00E23B18"/>
    <w:rsid w:val="00E23B5C"/>
    <w:rsid w:val="00E401B3"/>
    <w:rsid w:val="00E433CB"/>
    <w:rsid w:val="00E46F31"/>
    <w:rsid w:val="00E50185"/>
    <w:rsid w:val="00E539C5"/>
    <w:rsid w:val="00E56157"/>
    <w:rsid w:val="00E578B7"/>
    <w:rsid w:val="00E61E48"/>
    <w:rsid w:val="00E62B69"/>
    <w:rsid w:val="00E63231"/>
    <w:rsid w:val="00E67DCA"/>
    <w:rsid w:val="00E7329A"/>
    <w:rsid w:val="00E73F85"/>
    <w:rsid w:val="00E76451"/>
    <w:rsid w:val="00E8016F"/>
    <w:rsid w:val="00E80254"/>
    <w:rsid w:val="00E80E52"/>
    <w:rsid w:val="00E816CE"/>
    <w:rsid w:val="00E81F7C"/>
    <w:rsid w:val="00E859E2"/>
    <w:rsid w:val="00E87451"/>
    <w:rsid w:val="00E90908"/>
    <w:rsid w:val="00E90FB5"/>
    <w:rsid w:val="00E92954"/>
    <w:rsid w:val="00E96158"/>
    <w:rsid w:val="00EA0222"/>
    <w:rsid w:val="00EA0688"/>
    <w:rsid w:val="00EA19B4"/>
    <w:rsid w:val="00EA200A"/>
    <w:rsid w:val="00EB0DAF"/>
    <w:rsid w:val="00EB13FF"/>
    <w:rsid w:val="00EB25EA"/>
    <w:rsid w:val="00EB3E38"/>
    <w:rsid w:val="00EC0059"/>
    <w:rsid w:val="00EC68DB"/>
    <w:rsid w:val="00ED0BBC"/>
    <w:rsid w:val="00ED0CB2"/>
    <w:rsid w:val="00ED334F"/>
    <w:rsid w:val="00EE08F2"/>
    <w:rsid w:val="00EE1DD7"/>
    <w:rsid w:val="00EE76B9"/>
    <w:rsid w:val="00EF125F"/>
    <w:rsid w:val="00EF2497"/>
    <w:rsid w:val="00EF38A6"/>
    <w:rsid w:val="00EF53E7"/>
    <w:rsid w:val="00F017E0"/>
    <w:rsid w:val="00F01B39"/>
    <w:rsid w:val="00F03B20"/>
    <w:rsid w:val="00F065A0"/>
    <w:rsid w:val="00F11D5F"/>
    <w:rsid w:val="00F12B56"/>
    <w:rsid w:val="00F16558"/>
    <w:rsid w:val="00F21C70"/>
    <w:rsid w:val="00F21EA2"/>
    <w:rsid w:val="00F26B56"/>
    <w:rsid w:val="00F26D11"/>
    <w:rsid w:val="00F27CBE"/>
    <w:rsid w:val="00F30A0B"/>
    <w:rsid w:val="00F3603A"/>
    <w:rsid w:val="00F4121E"/>
    <w:rsid w:val="00F4212B"/>
    <w:rsid w:val="00F4644C"/>
    <w:rsid w:val="00F46711"/>
    <w:rsid w:val="00F468E5"/>
    <w:rsid w:val="00F46D66"/>
    <w:rsid w:val="00F4704F"/>
    <w:rsid w:val="00F50EE3"/>
    <w:rsid w:val="00F5373A"/>
    <w:rsid w:val="00F54523"/>
    <w:rsid w:val="00F55678"/>
    <w:rsid w:val="00F651C4"/>
    <w:rsid w:val="00F70B53"/>
    <w:rsid w:val="00F716DB"/>
    <w:rsid w:val="00F73931"/>
    <w:rsid w:val="00F7682E"/>
    <w:rsid w:val="00F81998"/>
    <w:rsid w:val="00F85973"/>
    <w:rsid w:val="00F92C57"/>
    <w:rsid w:val="00F9344F"/>
    <w:rsid w:val="00F93C63"/>
    <w:rsid w:val="00F96B16"/>
    <w:rsid w:val="00F97B14"/>
    <w:rsid w:val="00FA2849"/>
    <w:rsid w:val="00FA3079"/>
    <w:rsid w:val="00FA6B33"/>
    <w:rsid w:val="00FB1D0E"/>
    <w:rsid w:val="00FB20C4"/>
    <w:rsid w:val="00FB3C96"/>
    <w:rsid w:val="00FB477F"/>
    <w:rsid w:val="00FB4BCE"/>
    <w:rsid w:val="00FB55EF"/>
    <w:rsid w:val="00FB5ED3"/>
    <w:rsid w:val="00FB60EF"/>
    <w:rsid w:val="00FC36E0"/>
    <w:rsid w:val="00FC3D4F"/>
    <w:rsid w:val="00FC49FB"/>
    <w:rsid w:val="00FC5756"/>
    <w:rsid w:val="00FC7B15"/>
    <w:rsid w:val="00FD1894"/>
    <w:rsid w:val="00FD228D"/>
    <w:rsid w:val="00FD4224"/>
    <w:rsid w:val="00FD60DD"/>
    <w:rsid w:val="00FD659E"/>
    <w:rsid w:val="00FD724C"/>
    <w:rsid w:val="00FE46B9"/>
    <w:rsid w:val="00FE6A0D"/>
    <w:rsid w:val="00FE7253"/>
    <w:rsid w:val="00FF2D86"/>
    <w:rsid w:val="00FF5459"/>
    <w:rsid w:val="00FF6000"/>
    <w:rsid w:val="00FF6161"/>
    <w:rsid w:val="00FF7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0097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AF1171"/>
    <w:pPr>
      <w:keepNext/>
      <w:keepLines/>
      <w:spacing w:before="360" w:after="0"/>
      <w:outlineLvl w:val="0"/>
    </w:pPr>
    <w:rPr>
      <w:rFonts w:asciiTheme="majorHAnsi" w:hAnsiTheme="majorHAnsi"/>
      <w:b/>
      <w:color w:val="2A4055" w:themeColor="accent1"/>
      <w:sz w:val="40"/>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AF1171"/>
    <w:rPr>
      <w:rFonts w:asciiTheme="majorHAnsi" w:hAnsiTheme="majorHAnsi"/>
      <w:b/>
      <w:color w:val="2A4055" w:themeColor="accent1"/>
      <w:sz w:val="40"/>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contextualSpacing/>
    </w:pPr>
    <w:rPr>
      <w:sz w:val="22"/>
    </w:rPr>
  </w:style>
  <w:style w:type="paragraph" w:customStyle="1" w:styleId="NumberedListlevel2">
    <w:name w:val="Numbered List level 2"/>
    <w:basedOn w:val="NumberedListlevel1"/>
    <w:uiPriority w:val="9"/>
    <w:rsid w:val="00DB24D3"/>
    <w:pPr>
      <w:spacing w:before="0"/>
      <w:ind w:left="1021"/>
    </w:pPr>
  </w:style>
  <w:style w:type="paragraph" w:styleId="BodyText">
    <w:name w:val="Body Text"/>
    <w:basedOn w:val="Normal"/>
    <w:link w:val="BodyTextChar"/>
    <w:qFormat/>
    <w:rsid w:val="00AF1171"/>
    <w:pPr>
      <w:spacing w:before="120"/>
    </w:pPr>
    <w:rPr>
      <w:sz w:val="22"/>
    </w:rPr>
  </w:style>
  <w:style w:type="character" w:customStyle="1" w:styleId="BodyTextChar">
    <w:name w:val="Body Text Char"/>
    <w:basedOn w:val="DefaultParagraphFont"/>
    <w:link w:val="BodyText"/>
    <w:rsid w:val="00AF1171"/>
    <w:rPr>
      <w:sz w:val="22"/>
    </w:rPr>
  </w:style>
  <w:style w:type="paragraph" w:customStyle="1" w:styleId="BulletedListlvl2">
    <w:name w:val="Bulleted List lvl2"/>
    <w:basedOn w:val="BulletedListlvl1"/>
    <w:uiPriority w:val="10"/>
    <w:rsid w:val="00DB24D3"/>
    <w:pPr>
      <w:numPr>
        <w:ilvl w:val="1"/>
        <w:numId w:val="14"/>
      </w:numPr>
      <w:spacing w:before="0"/>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spacing w:before="0"/>
      <w:ind w:left="1702"/>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4E0845"/>
    <w:pPr>
      <w:spacing w:before="240" w:after="240"/>
      <w:ind w:left="567" w:right="567"/>
    </w:pPr>
    <w:rPr>
      <w:rFonts w:asciiTheme="majorHAnsi" w:eastAsia="Times New Roman" w:hAnsiTheme="majorHAnsi" w:cs="Times New Roman"/>
      <w:b/>
      <w:bCs/>
      <w:color w:val="DD761C" w:themeColor="accent3"/>
      <w:sz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spacing w:line="324" w:lineRule="auto"/>
      <w:ind w:left="567" w:hanging="283"/>
    </w:pPr>
    <w:rPr>
      <w:color w:val="464E52"/>
      <w:sz w:val="18"/>
      <w:szCs w:val="18"/>
    </w:rPr>
  </w:style>
  <w:style w:type="paragraph" w:customStyle="1" w:styleId="PanelHeading">
    <w:name w:val="Panel Heading"/>
    <w:basedOn w:val="Normal"/>
    <w:uiPriority w:val="11"/>
    <w:qFormat/>
    <w:rsid w:val="00D3356F"/>
    <w:pPr>
      <w:keepLines/>
      <w:pBdr>
        <w:top w:val="single" w:sz="8" w:space="8" w:color="DD7500"/>
        <w:bottom w:val="single" w:sz="8" w:space="8" w:color="DD7500"/>
      </w:pBdr>
      <w:shd w:val="clear" w:color="auto" w:fill="FFFFFF" w:themeFill="background1"/>
      <w:spacing w:before="60" w:after="60" w:line="240" w:lineRule="atLeast"/>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D3356F"/>
    <w:pPr>
      <w:keepLines/>
      <w:pBdr>
        <w:top w:val="single" w:sz="8" w:space="8" w:color="DD7500"/>
        <w:bottom w:val="single" w:sz="8" w:space="8" w:color="DD7500"/>
      </w:pBdr>
      <w:shd w:val="clear" w:color="auto" w:fill="FFFFFF" w:themeFill="background1"/>
      <w:spacing w:before="120"/>
    </w:pPr>
    <w:rPr>
      <w:rFonts w:eastAsia="Times New Roman" w:cstheme="minorHAnsi"/>
      <w:sz w:val="22"/>
      <w:szCs w:val="22"/>
      <w:lang w:val="en-US"/>
    </w:rPr>
  </w:style>
  <w:style w:type="paragraph" w:customStyle="1" w:styleId="PanelBullet">
    <w:name w:val="Panel Bullet"/>
    <w:uiPriority w:val="11"/>
    <w:qFormat/>
    <w:rsid w:val="008A67E3"/>
    <w:pPr>
      <w:keepLines/>
      <w:pBdr>
        <w:top w:val="single" w:sz="8" w:space="8" w:color="DD7500"/>
        <w:bottom w:val="single" w:sz="8" w:space="8" w:color="DD7500"/>
      </w:pBdr>
      <w:shd w:val="clear" w:color="auto" w:fill="FFFFFF" w:themeFill="background1"/>
      <w:spacing w:before="120"/>
      <w:ind w:left="567" w:right="215" w:hanging="369"/>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4E0845"/>
    <w:rPr>
      <w:rFonts w:asciiTheme="majorHAnsi" w:eastAsia="Times New Roman" w:hAnsiTheme="majorHAnsi" w:cs="Times New Roman"/>
      <w:b/>
      <w:bCs/>
      <w:color w:val="DD761C" w:themeColor="accent3"/>
      <w:sz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A645E"/>
    <w:pPr>
      <w:spacing w:after="160" w:line="240" w:lineRule="auto"/>
    </w:pPr>
    <w:rPr>
      <w:color w:val="auto"/>
    </w:rPr>
  </w:style>
  <w:style w:type="character" w:customStyle="1" w:styleId="CommentTextChar">
    <w:name w:val="Comment Text Char"/>
    <w:basedOn w:val="DefaultParagraphFont"/>
    <w:link w:val="CommentText"/>
    <w:uiPriority w:val="99"/>
    <w:semiHidden/>
    <w:rsid w:val="00BA645E"/>
    <w:rPr>
      <w:color w:val="auto"/>
    </w:rPr>
  </w:style>
  <w:style w:type="character" w:styleId="CommentReference">
    <w:name w:val="annotation reference"/>
    <w:basedOn w:val="DefaultParagraphFont"/>
    <w:uiPriority w:val="99"/>
    <w:semiHidden/>
    <w:unhideWhenUsed/>
    <w:rsid w:val="00BA645E"/>
    <w:rPr>
      <w:sz w:val="16"/>
      <w:szCs w:val="16"/>
    </w:rPr>
  </w:style>
  <w:style w:type="paragraph" w:styleId="CommentSubject">
    <w:name w:val="annotation subject"/>
    <w:basedOn w:val="CommentText"/>
    <w:next w:val="CommentText"/>
    <w:link w:val="CommentSubjectChar"/>
    <w:uiPriority w:val="99"/>
    <w:semiHidden/>
    <w:unhideWhenUsed/>
    <w:rsid w:val="00002208"/>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002208"/>
    <w:rPr>
      <w:b/>
      <w:bCs/>
      <w:color w:val="auto"/>
    </w:rPr>
  </w:style>
  <w:style w:type="paragraph" w:styleId="Revision">
    <w:name w:val="Revision"/>
    <w:hidden/>
    <w:uiPriority w:val="99"/>
    <w:semiHidden/>
    <w:rsid w:val="008F073E"/>
    <w:pPr>
      <w:spacing w:after="0" w:line="240" w:lineRule="auto"/>
    </w:pPr>
  </w:style>
  <w:style w:type="character" w:customStyle="1" w:styleId="normaltextrun">
    <w:name w:val="normaltextrun"/>
    <w:basedOn w:val="DefaultParagraphFont"/>
    <w:rsid w:val="00292432"/>
  </w:style>
  <w:style w:type="character" w:customStyle="1" w:styleId="eop">
    <w:name w:val="eop"/>
    <w:basedOn w:val="DefaultParagraphFont"/>
    <w:rsid w:val="009F08CB"/>
  </w:style>
  <w:style w:type="character" w:customStyle="1" w:styleId="ui-provider">
    <w:name w:val="ui-provider"/>
    <w:basedOn w:val="DefaultParagraphFont"/>
    <w:rsid w:val="00B4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7352">
      <w:bodyDiv w:val="1"/>
      <w:marLeft w:val="0"/>
      <w:marRight w:val="0"/>
      <w:marTop w:val="0"/>
      <w:marBottom w:val="0"/>
      <w:divBdr>
        <w:top w:val="none" w:sz="0" w:space="0" w:color="auto"/>
        <w:left w:val="none" w:sz="0" w:space="0" w:color="auto"/>
        <w:bottom w:val="none" w:sz="0" w:space="0" w:color="auto"/>
        <w:right w:val="none" w:sz="0" w:space="0" w:color="auto"/>
      </w:divBdr>
    </w:div>
    <w:div w:id="265500572">
      <w:bodyDiv w:val="1"/>
      <w:marLeft w:val="0"/>
      <w:marRight w:val="0"/>
      <w:marTop w:val="0"/>
      <w:marBottom w:val="0"/>
      <w:divBdr>
        <w:top w:val="none" w:sz="0" w:space="0" w:color="auto"/>
        <w:left w:val="none" w:sz="0" w:space="0" w:color="auto"/>
        <w:bottom w:val="none" w:sz="0" w:space="0" w:color="auto"/>
        <w:right w:val="none" w:sz="0" w:space="0" w:color="auto"/>
      </w:divBdr>
    </w:div>
    <w:div w:id="323824737">
      <w:bodyDiv w:val="1"/>
      <w:marLeft w:val="0"/>
      <w:marRight w:val="0"/>
      <w:marTop w:val="0"/>
      <w:marBottom w:val="0"/>
      <w:divBdr>
        <w:top w:val="none" w:sz="0" w:space="0" w:color="auto"/>
        <w:left w:val="none" w:sz="0" w:space="0" w:color="auto"/>
        <w:bottom w:val="none" w:sz="0" w:space="0" w:color="auto"/>
        <w:right w:val="none" w:sz="0" w:space="0" w:color="auto"/>
      </w:divBdr>
    </w:div>
    <w:div w:id="343022478">
      <w:bodyDiv w:val="1"/>
      <w:marLeft w:val="0"/>
      <w:marRight w:val="0"/>
      <w:marTop w:val="0"/>
      <w:marBottom w:val="0"/>
      <w:divBdr>
        <w:top w:val="none" w:sz="0" w:space="0" w:color="auto"/>
        <w:left w:val="none" w:sz="0" w:space="0" w:color="auto"/>
        <w:bottom w:val="none" w:sz="0" w:space="0" w:color="auto"/>
        <w:right w:val="none" w:sz="0" w:space="0" w:color="auto"/>
      </w:divBdr>
    </w:div>
    <w:div w:id="661086112">
      <w:bodyDiv w:val="1"/>
      <w:marLeft w:val="0"/>
      <w:marRight w:val="0"/>
      <w:marTop w:val="0"/>
      <w:marBottom w:val="0"/>
      <w:divBdr>
        <w:top w:val="none" w:sz="0" w:space="0" w:color="auto"/>
        <w:left w:val="none" w:sz="0" w:space="0" w:color="auto"/>
        <w:bottom w:val="none" w:sz="0" w:space="0" w:color="auto"/>
        <w:right w:val="none" w:sz="0" w:space="0" w:color="auto"/>
      </w:divBdr>
    </w:div>
    <w:div w:id="769275448">
      <w:bodyDiv w:val="1"/>
      <w:marLeft w:val="0"/>
      <w:marRight w:val="0"/>
      <w:marTop w:val="0"/>
      <w:marBottom w:val="0"/>
      <w:divBdr>
        <w:top w:val="none" w:sz="0" w:space="0" w:color="auto"/>
        <w:left w:val="none" w:sz="0" w:space="0" w:color="auto"/>
        <w:bottom w:val="none" w:sz="0" w:space="0" w:color="auto"/>
        <w:right w:val="none" w:sz="0" w:space="0" w:color="auto"/>
      </w:divBdr>
    </w:div>
    <w:div w:id="836504299">
      <w:bodyDiv w:val="1"/>
      <w:marLeft w:val="0"/>
      <w:marRight w:val="0"/>
      <w:marTop w:val="0"/>
      <w:marBottom w:val="0"/>
      <w:divBdr>
        <w:top w:val="none" w:sz="0" w:space="0" w:color="auto"/>
        <w:left w:val="none" w:sz="0" w:space="0" w:color="auto"/>
        <w:bottom w:val="none" w:sz="0" w:space="0" w:color="auto"/>
        <w:right w:val="none" w:sz="0" w:space="0" w:color="auto"/>
      </w:divBdr>
    </w:div>
    <w:div w:id="870453444">
      <w:bodyDiv w:val="1"/>
      <w:marLeft w:val="0"/>
      <w:marRight w:val="0"/>
      <w:marTop w:val="0"/>
      <w:marBottom w:val="0"/>
      <w:divBdr>
        <w:top w:val="none" w:sz="0" w:space="0" w:color="auto"/>
        <w:left w:val="none" w:sz="0" w:space="0" w:color="auto"/>
        <w:bottom w:val="none" w:sz="0" w:space="0" w:color="auto"/>
        <w:right w:val="none" w:sz="0" w:space="0" w:color="auto"/>
      </w:divBdr>
    </w:div>
    <w:div w:id="1244682439">
      <w:bodyDiv w:val="1"/>
      <w:marLeft w:val="0"/>
      <w:marRight w:val="0"/>
      <w:marTop w:val="0"/>
      <w:marBottom w:val="0"/>
      <w:divBdr>
        <w:top w:val="none" w:sz="0" w:space="0" w:color="auto"/>
        <w:left w:val="none" w:sz="0" w:space="0" w:color="auto"/>
        <w:bottom w:val="none" w:sz="0" w:space="0" w:color="auto"/>
        <w:right w:val="none" w:sz="0" w:space="0" w:color="auto"/>
      </w:divBdr>
    </w:div>
    <w:div w:id="1561134344">
      <w:bodyDiv w:val="1"/>
      <w:marLeft w:val="0"/>
      <w:marRight w:val="0"/>
      <w:marTop w:val="0"/>
      <w:marBottom w:val="0"/>
      <w:divBdr>
        <w:top w:val="none" w:sz="0" w:space="0" w:color="auto"/>
        <w:left w:val="none" w:sz="0" w:space="0" w:color="auto"/>
        <w:bottom w:val="none" w:sz="0" w:space="0" w:color="auto"/>
        <w:right w:val="none" w:sz="0" w:space="0" w:color="auto"/>
      </w:divBdr>
    </w:div>
    <w:div w:id="1983535107">
      <w:bodyDiv w:val="1"/>
      <w:marLeft w:val="0"/>
      <w:marRight w:val="0"/>
      <w:marTop w:val="0"/>
      <w:marBottom w:val="0"/>
      <w:divBdr>
        <w:top w:val="none" w:sz="0" w:space="0" w:color="auto"/>
        <w:left w:val="none" w:sz="0" w:space="0" w:color="auto"/>
        <w:bottom w:val="none" w:sz="0" w:space="0" w:color="auto"/>
        <w:right w:val="none" w:sz="0" w:space="0" w:color="auto"/>
      </w:divBdr>
    </w:div>
    <w:div w:id="21472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A82D7151-A529-46EC-BDAA-537CF337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3038</Words>
  <Characters>17319</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Delivering real jobs and economic development</vt:lpstr>
      <vt:lpstr>Housing and essential services</vt:lpstr>
      <vt:lpstr>Supporting First Nations students to achieve their full learning potential</vt:lpstr>
      <vt:lpstr>Strengthening health and wellbeing</vt:lpstr>
      <vt:lpstr>Stronger families</vt:lpstr>
      <vt:lpstr>Justice support services</vt:lpstr>
      <vt:lpstr>Preserving and celebrating First Nations cultural heritage and language</vt:lpstr>
      <vt:lpstr>Central Australia</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2024-05-14T10:03:00Z</dcterms:created>
  <dcterms:modified xsi:type="dcterms:W3CDTF">2024-06-04T01:39:00Z</dcterms:modified>
</cp:coreProperties>
</file>