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5A02" w14:textId="77777777" w:rsidR="002157BE" w:rsidRPr="00653D60" w:rsidRDefault="002157BE" w:rsidP="002157BE">
      <w:pPr>
        <w:pStyle w:val="ProtectiveMarking"/>
        <w:spacing w:before="60" w:after="60" w:line="264" w:lineRule="auto"/>
        <w:rPr>
          <w:caps w:val="0"/>
          <w:noProof w:val="0"/>
          <w:color w:val="191919" w:themeColor="text1" w:themeTint="E6"/>
        </w:rPr>
      </w:pPr>
    </w:p>
    <w:p w14:paraId="1BD4BB1F" w14:textId="77777777" w:rsidR="002157BE" w:rsidRDefault="002157BE" w:rsidP="002157BE">
      <w:pPr>
        <w:pStyle w:val="Heading1"/>
        <w:spacing w:after="0" w:line="288" w:lineRule="auto"/>
        <w:rPr>
          <w:color w:val="auto"/>
          <w:sz w:val="48"/>
          <w:szCs w:val="48"/>
        </w:rPr>
      </w:pPr>
      <w:bookmarkStart w:id="0" w:name="_Attachment_A:_Agency"/>
      <w:bookmarkEnd w:id="0"/>
      <w:r w:rsidRPr="00D4086C">
        <w:rPr>
          <w:color w:val="auto"/>
          <w:sz w:val="48"/>
          <w:szCs w:val="48"/>
        </w:rPr>
        <w:t xml:space="preserve">Closing the Gap </w:t>
      </w:r>
    </w:p>
    <w:p w14:paraId="45351886" w14:textId="77777777" w:rsidR="00E0692E" w:rsidRPr="005F2641" w:rsidRDefault="00E0692E" w:rsidP="00E0692E">
      <w:pPr>
        <w:pStyle w:val="Heading1"/>
        <w:spacing w:after="0" w:line="288" w:lineRule="auto"/>
        <w:rPr>
          <w:color w:val="auto"/>
          <w:sz w:val="48"/>
          <w:szCs w:val="48"/>
        </w:rPr>
      </w:pPr>
      <w:r>
        <w:rPr>
          <w:color w:val="auto"/>
          <w:sz w:val="48"/>
          <w:szCs w:val="48"/>
        </w:rPr>
        <w:t xml:space="preserve">Grants Prioritisation </w:t>
      </w:r>
      <w:r w:rsidRPr="005F2641">
        <w:rPr>
          <w:color w:val="auto"/>
          <w:sz w:val="48"/>
          <w:szCs w:val="48"/>
        </w:rPr>
        <w:t xml:space="preserve">Guide </w:t>
      </w:r>
    </w:p>
    <w:p w14:paraId="72EC14B0" w14:textId="77777777" w:rsidR="002157BE" w:rsidRDefault="002157BE" w:rsidP="002157BE">
      <w:pPr>
        <w:pStyle w:val="Heading2"/>
        <w:spacing w:before="240" w:line="288" w:lineRule="auto"/>
        <w:rPr>
          <w:color w:val="auto"/>
        </w:rPr>
      </w:pPr>
      <w:r w:rsidRPr="00172880">
        <w:rPr>
          <w:color w:val="auto"/>
        </w:rPr>
        <w:t>Purpose</w:t>
      </w:r>
    </w:p>
    <w:p w14:paraId="591A38D0" w14:textId="4676713D" w:rsidR="00E0692E" w:rsidRDefault="002157BE" w:rsidP="002157BE">
      <w:pPr>
        <w:pStyle w:val="BodyText"/>
        <w:spacing w:after="240"/>
        <w:rPr>
          <w:rStyle w:val="Heading4Char"/>
          <w:b w:val="0"/>
          <w:color w:val="auto"/>
        </w:rPr>
      </w:pPr>
      <w:r w:rsidRPr="00172880">
        <w:rPr>
          <w:rStyle w:val="Heading4Char"/>
          <w:b w:val="0"/>
          <w:color w:val="auto"/>
        </w:rPr>
        <w:t xml:space="preserve">All Commonwealth agencies are committed to implementing the </w:t>
      </w:r>
      <w:hyperlink r:id="rId9" w:history="1">
        <w:r w:rsidRPr="005A5D04">
          <w:rPr>
            <w:rStyle w:val="Hyperlink"/>
            <w:color w:val="015E8A" w:themeColor="text2" w:themeTint="E6"/>
          </w:rPr>
          <w:t>National Agreement on Closing the Gap (National Agreement</w:t>
        </w:r>
      </w:hyperlink>
      <w:r w:rsidR="006358D9" w:rsidRPr="005A5D04">
        <w:rPr>
          <w:rStyle w:val="Hyperlink"/>
          <w:color w:val="015E8A" w:themeColor="text2" w:themeTint="E6"/>
        </w:rPr>
        <w:t>)</w:t>
      </w:r>
      <w:r>
        <w:rPr>
          <w:rStyle w:val="Heading4Char"/>
          <w:b w:val="0"/>
          <w:color w:val="auto"/>
        </w:rPr>
        <w:t xml:space="preserve">. </w:t>
      </w:r>
      <w:r w:rsidR="00E0692E" w:rsidRPr="00E0692E">
        <w:rPr>
          <w:rStyle w:val="Heading4Char"/>
          <w:b w:val="0"/>
          <w:color w:val="auto"/>
        </w:rPr>
        <w:t>The National Agreement represents a fundamentally new way of developing and implementing polic</w:t>
      </w:r>
      <w:r w:rsidR="00FF1E28">
        <w:rPr>
          <w:rStyle w:val="Heading4Char"/>
          <w:b w:val="0"/>
          <w:color w:val="auto"/>
        </w:rPr>
        <w:t xml:space="preserve">ies and programs that impact </w:t>
      </w:r>
      <w:r w:rsidR="00E0692E" w:rsidRPr="00E0692E">
        <w:rPr>
          <w:rStyle w:val="Heading4Char"/>
          <w:b w:val="0"/>
          <w:color w:val="auto"/>
        </w:rPr>
        <w:t xml:space="preserve">the lives of Aboriginal and Torres Strait Islander people. This </w:t>
      </w:r>
      <w:r w:rsidR="0062647D">
        <w:rPr>
          <w:rStyle w:val="Heading4Char"/>
          <w:b w:val="0"/>
          <w:color w:val="auto"/>
        </w:rPr>
        <w:t xml:space="preserve">Grants Prioritisation </w:t>
      </w:r>
      <w:r w:rsidR="0062647D" w:rsidRPr="00172880">
        <w:rPr>
          <w:rStyle w:val="Heading4Char"/>
          <w:b w:val="0"/>
          <w:color w:val="auto"/>
        </w:rPr>
        <w:t xml:space="preserve">Guide </w:t>
      </w:r>
      <w:r w:rsidR="00FF1E28">
        <w:rPr>
          <w:rStyle w:val="Heading4Char"/>
          <w:b w:val="0"/>
          <w:color w:val="auto"/>
        </w:rPr>
        <w:t>(GPG</w:t>
      </w:r>
      <w:r w:rsidR="0062647D">
        <w:rPr>
          <w:rStyle w:val="Heading4Char"/>
          <w:b w:val="0"/>
          <w:color w:val="auto"/>
        </w:rPr>
        <w:t>) is an example of how</w:t>
      </w:r>
      <w:r w:rsidR="00E0692E" w:rsidRPr="00E0692E">
        <w:rPr>
          <w:rStyle w:val="Heading4Char"/>
          <w:b w:val="0"/>
          <w:color w:val="auto"/>
        </w:rPr>
        <w:t xml:space="preserve"> to position Aboriginal </w:t>
      </w:r>
      <w:r w:rsidR="00EC07E9">
        <w:rPr>
          <w:rStyle w:val="Heading4Char"/>
          <w:b w:val="0"/>
          <w:color w:val="auto"/>
        </w:rPr>
        <w:t>people and Aboriginal c</w:t>
      </w:r>
      <w:r w:rsidR="006E1487">
        <w:rPr>
          <w:rStyle w:val="Heading4Char"/>
          <w:b w:val="0"/>
          <w:color w:val="auto"/>
        </w:rPr>
        <w:t>ommunity-</w:t>
      </w:r>
      <w:r w:rsidR="00EC07E9">
        <w:rPr>
          <w:rStyle w:val="Heading4Char"/>
          <w:b w:val="0"/>
          <w:color w:val="auto"/>
        </w:rPr>
        <w:t>controlled o</w:t>
      </w:r>
      <w:r w:rsidR="00E0692E" w:rsidRPr="00E0692E">
        <w:rPr>
          <w:rStyle w:val="Heading4Char"/>
          <w:b w:val="0"/>
          <w:color w:val="auto"/>
        </w:rPr>
        <w:t>rganisations</w:t>
      </w:r>
      <w:r w:rsidR="00EC07E9">
        <w:rPr>
          <w:rStyle w:val="Heading4Char"/>
          <w:b w:val="0"/>
          <w:color w:val="auto"/>
        </w:rPr>
        <w:t xml:space="preserve"> (ACCOs)</w:t>
      </w:r>
      <w:r w:rsidR="00E0692E" w:rsidRPr="00E0692E">
        <w:rPr>
          <w:rStyle w:val="Heading4Char"/>
          <w:b w:val="0"/>
          <w:color w:val="auto"/>
        </w:rPr>
        <w:t xml:space="preserve"> as equal partners.</w:t>
      </w:r>
    </w:p>
    <w:p w14:paraId="65E29EBE" w14:textId="4A4B2D60" w:rsidR="002157BE" w:rsidRPr="00172880" w:rsidRDefault="002157BE" w:rsidP="002157BE">
      <w:pPr>
        <w:pStyle w:val="BodyText"/>
        <w:spacing w:after="240"/>
        <w:rPr>
          <w:rStyle w:val="Heading4Char"/>
          <w:b w:val="0"/>
          <w:color w:val="auto"/>
        </w:rPr>
      </w:pPr>
      <w:r w:rsidRPr="00172880">
        <w:rPr>
          <w:rStyle w:val="Heading4Char"/>
          <w:b w:val="0"/>
          <w:color w:val="auto"/>
        </w:rPr>
        <w:t>The</w:t>
      </w:r>
      <w:r w:rsidR="0062647D">
        <w:rPr>
          <w:rStyle w:val="Heading4Char"/>
          <w:b w:val="0"/>
          <w:color w:val="auto"/>
        </w:rPr>
        <w:t xml:space="preserve"> </w:t>
      </w:r>
      <w:r w:rsidR="00EC07E9">
        <w:rPr>
          <w:rStyle w:val="Heading4Char"/>
          <w:b w:val="0"/>
          <w:color w:val="auto"/>
        </w:rPr>
        <w:t>g</w:t>
      </w:r>
      <w:r>
        <w:rPr>
          <w:rStyle w:val="Heading4Char"/>
          <w:b w:val="0"/>
          <w:color w:val="auto"/>
        </w:rPr>
        <w:t xml:space="preserve">uide demonstrates practices that can be applied by all APS employees that design and administer Commonwealth competitive </w:t>
      </w:r>
      <w:r w:rsidRPr="00172880">
        <w:rPr>
          <w:rStyle w:val="Heading4Char"/>
          <w:b w:val="0"/>
          <w:color w:val="auto"/>
        </w:rPr>
        <w:t>grant</w:t>
      </w:r>
      <w:r>
        <w:rPr>
          <w:rStyle w:val="Heading4Char"/>
          <w:b w:val="0"/>
          <w:color w:val="auto"/>
        </w:rPr>
        <w:t xml:space="preserve"> opportunities that</w:t>
      </w:r>
      <w:r w:rsidRPr="00172880">
        <w:rPr>
          <w:rStyle w:val="Heading4Char"/>
          <w:b w:val="0"/>
          <w:color w:val="auto"/>
        </w:rPr>
        <w:t xml:space="preserve"> prioritise funding to Aboriginal and Torres Strait Islander organisations, particularly community-controlled organisations.</w:t>
      </w:r>
      <w:r>
        <w:rPr>
          <w:rStyle w:val="Heading4Char"/>
          <w:b w:val="0"/>
          <w:color w:val="auto"/>
        </w:rPr>
        <w:t xml:space="preserve"> </w:t>
      </w:r>
    </w:p>
    <w:p w14:paraId="41F0D423" w14:textId="77777777" w:rsidR="002157BE" w:rsidRPr="00172880" w:rsidRDefault="002157BE" w:rsidP="002157BE">
      <w:pPr>
        <w:pStyle w:val="Heading2"/>
        <w:spacing w:before="240" w:line="288" w:lineRule="auto"/>
        <w:rPr>
          <w:color w:val="auto"/>
        </w:rPr>
      </w:pPr>
      <w:r w:rsidRPr="00172880">
        <w:rPr>
          <w:color w:val="auto"/>
        </w:rPr>
        <w:t>National Agreement</w:t>
      </w:r>
      <w:r>
        <w:rPr>
          <w:color w:val="auto"/>
        </w:rPr>
        <w:t xml:space="preserve"> on Closing the Gap</w:t>
      </w:r>
      <w:r w:rsidRPr="00172880">
        <w:rPr>
          <w:color w:val="auto"/>
        </w:rPr>
        <w:t xml:space="preserve"> – Priority Reform Two</w:t>
      </w:r>
    </w:p>
    <w:p w14:paraId="4F0718E2" w14:textId="77777777" w:rsidR="002157BE" w:rsidRDefault="002157BE" w:rsidP="002157BE">
      <w:pPr>
        <w:pStyle w:val="BodyText"/>
        <w:spacing w:before="0" w:after="240" w:line="288" w:lineRule="auto"/>
        <w:rPr>
          <w:rStyle w:val="Heading4Char"/>
          <w:color w:val="auto"/>
        </w:rPr>
      </w:pPr>
      <w:r>
        <w:rPr>
          <w:rStyle w:val="Heading4Char"/>
          <w:color w:val="auto"/>
        </w:rPr>
        <w:t>Priority Reform Two commits all governments, including all Commonwealth agencies, to building formal Aboriginal and Torres Strait Islander community-controlled sectors to deliver services to support Closing the Gap.</w:t>
      </w:r>
    </w:p>
    <w:p w14:paraId="5E526B98" w14:textId="75D793BE" w:rsidR="002157BE" w:rsidRDefault="002157BE" w:rsidP="002157BE">
      <w:pPr>
        <w:spacing w:after="0" w:line="288" w:lineRule="auto"/>
        <w:rPr>
          <w:rFonts w:asciiTheme="majorHAnsi" w:hAnsiTheme="majorHAnsi"/>
          <w:i/>
          <w:color w:val="auto"/>
          <w:sz w:val="22"/>
          <w:szCs w:val="22"/>
        </w:rPr>
      </w:pPr>
      <w:r w:rsidRPr="00A87367">
        <w:rPr>
          <w:rFonts w:asciiTheme="majorHAnsi" w:hAnsiTheme="majorHAnsi"/>
          <w:i/>
          <w:color w:val="auto"/>
          <w:sz w:val="22"/>
          <w:szCs w:val="22"/>
        </w:rPr>
        <w:t xml:space="preserve">“Aboriginal and Torres Strait Island community-controlled services are better for Aboriginal and Torres Strait Islander people, achieve better results, employ more Aboriginal and Torres Strait Islander people and are often preferred over </w:t>
      </w:r>
      <w:r w:rsidR="009438D9" w:rsidRPr="0057189A">
        <w:rPr>
          <w:rFonts w:asciiTheme="majorHAnsi" w:hAnsiTheme="majorHAnsi"/>
          <w:i/>
          <w:color w:val="auto"/>
          <w:sz w:val="22"/>
          <w:szCs w:val="22"/>
        </w:rPr>
        <w:t>mainstream</w:t>
      </w:r>
      <w:r w:rsidRPr="00A87367">
        <w:rPr>
          <w:rFonts w:asciiTheme="majorHAnsi" w:hAnsiTheme="majorHAnsi"/>
          <w:i/>
          <w:color w:val="auto"/>
          <w:sz w:val="22"/>
          <w:szCs w:val="22"/>
        </w:rPr>
        <w:t xml:space="preserve"> services”. </w:t>
      </w:r>
    </w:p>
    <w:p w14:paraId="1AF689BA" w14:textId="77777777" w:rsidR="002157BE" w:rsidRPr="00A87367" w:rsidRDefault="002157BE" w:rsidP="002157BE">
      <w:pPr>
        <w:spacing w:after="0" w:line="288" w:lineRule="auto"/>
        <w:rPr>
          <w:rFonts w:asciiTheme="majorHAnsi" w:hAnsiTheme="majorHAnsi"/>
          <w:i/>
          <w:color w:val="auto"/>
          <w:sz w:val="22"/>
          <w:szCs w:val="22"/>
        </w:rPr>
      </w:pPr>
    </w:p>
    <w:p w14:paraId="7F0E606F" w14:textId="77777777" w:rsidR="002157BE" w:rsidRPr="00172880" w:rsidRDefault="002157BE" w:rsidP="002157BE">
      <w:pPr>
        <w:pStyle w:val="BodyText"/>
        <w:spacing w:before="0" w:line="288" w:lineRule="auto"/>
        <w:rPr>
          <w:rStyle w:val="Heading4Char"/>
          <w:b w:val="0"/>
          <w:bCs/>
          <w:color w:val="auto"/>
        </w:rPr>
      </w:pPr>
      <w:r w:rsidRPr="00172880">
        <w:rPr>
          <w:rStyle w:val="Heading4Char"/>
          <w:color w:val="auto"/>
        </w:rPr>
        <w:t>Outcome</w:t>
      </w:r>
      <w:r w:rsidRPr="00172880">
        <w:rPr>
          <w:rStyle w:val="Heading4Char"/>
          <w:b w:val="0"/>
          <w:bCs/>
          <w:color w:val="auto"/>
        </w:rPr>
        <w:t xml:space="preserve"> - Building the community-controlled sector: There is a strong and sustainable Aboriginal and Torres Strait Islander community-controlled sector delivering high quality services to meet the needs of Aboriginal and Torres Strait Islander people across the country.</w:t>
      </w:r>
    </w:p>
    <w:p w14:paraId="6596878B" w14:textId="77777777" w:rsidR="002157BE" w:rsidRPr="00172880" w:rsidRDefault="002157BE" w:rsidP="002157BE">
      <w:pPr>
        <w:pStyle w:val="BodyText"/>
        <w:spacing w:before="0" w:line="288" w:lineRule="auto"/>
        <w:rPr>
          <w:rStyle w:val="Heading4Char"/>
          <w:bCs/>
          <w:color w:val="auto"/>
        </w:rPr>
      </w:pPr>
    </w:p>
    <w:p w14:paraId="5ADADE33" w14:textId="19491179" w:rsidR="002157BE" w:rsidRPr="00172880" w:rsidRDefault="002157BE" w:rsidP="002157BE">
      <w:pPr>
        <w:pStyle w:val="BodyText"/>
        <w:spacing w:before="0" w:line="288" w:lineRule="auto"/>
        <w:rPr>
          <w:rStyle w:val="Heading4Char"/>
          <w:b w:val="0"/>
          <w:bCs/>
          <w:color w:val="auto"/>
        </w:rPr>
      </w:pPr>
      <w:r w:rsidRPr="00172880">
        <w:rPr>
          <w:rStyle w:val="Heading4Char"/>
          <w:bCs/>
          <w:color w:val="auto"/>
        </w:rPr>
        <w:t xml:space="preserve">Target </w:t>
      </w:r>
      <w:r w:rsidRPr="00172880">
        <w:rPr>
          <w:rStyle w:val="Heading4Char"/>
          <w:b w:val="0"/>
          <w:bCs/>
          <w:color w:val="auto"/>
        </w:rPr>
        <w:t>-</w:t>
      </w:r>
      <w:r w:rsidRPr="00172880">
        <w:rPr>
          <w:rStyle w:val="Heading4Char"/>
          <w:bCs/>
          <w:color w:val="auto"/>
        </w:rPr>
        <w:t xml:space="preserve"> </w:t>
      </w:r>
      <w:r w:rsidRPr="00172880">
        <w:rPr>
          <w:rStyle w:val="Heading4Char"/>
          <w:b w:val="0"/>
          <w:bCs/>
          <w:color w:val="auto"/>
        </w:rPr>
        <w:t xml:space="preserve">Increase the amount of government funding for Aboriginal and Torres Strait Islander programs and services going through ACCOs. </w:t>
      </w:r>
    </w:p>
    <w:p w14:paraId="198B2A4A" w14:textId="77777777" w:rsidR="002157BE" w:rsidRPr="00D4086C" w:rsidRDefault="002157BE" w:rsidP="002157BE">
      <w:pPr>
        <w:pStyle w:val="BodyText"/>
        <w:spacing w:before="0" w:line="288" w:lineRule="auto"/>
        <w:rPr>
          <w:rStyle w:val="Heading4Char"/>
          <w:b w:val="0"/>
          <w:bCs/>
          <w:color w:val="auto"/>
        </w:rPr>
      </w:pPr>
    </w:p>
    <w:p w14:paraId="0AE2119B" w14:textId="77777777" w:rsidR="002157BE" w:rsidRPr="00D4086C" w:rsidRDefault="002157BE" w:rsidP="002157BE">
      <w:pPr>
        <w:pStyle w:val="BodyText"/>
        <w:spacing w:before="0" w:line="288" w:lineRule="auto"/>
        <w:rPr>
          <w:rStyle w:val="Heading4Char"/>
          <w:color w:val="auto"/>
        </w:rPr>
      </w:pP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rStyle w:val="Heading4Char"/>
          <w:color w:val="auto"/>
          <w:szCs w:val="20"/>
        </w:rPr>
        <w:t>Clause 55</w:t>
      </w:r>
      <w:r w:rsidRPr="00D4086C">
        <w:rPr>
          <w:rStyle w:val="Heading4Char"/>
          <w:color w:val="auto"/>
        </w:rPr>
        <w:t xml:space="preserve"> </w:t>
      </w:r>
    </w:p>
    <w:p w14:paraId="1DCA2E0B" w14:textId="77777777" w:rsidR="002157BE" w:rsidRPr="00172880" w:rsidRDefault="002157BE" w:rsidP="002157BE">
      <w:pPr>
        <w:pStyle w:val="BodyText"/>
        <w:spacing w:before="0" w:line="288" w:lineRule="auto"/>
        <w:rPr>
          <w:color w:val="auto"/>
        </w:rPr>
      </w:pPr>
      <w:r w:rsidRPr="00172880">
        <w:rPr>
          <w:color w:val="auto"/>
        </w:rPr>
        <w:t>Clause 55 of the National Agreement commits all Governments to implement measures to increase the proportion of services delivered by Aboriginal and Torres Strait Islander organisations, particularly community-controlled organisations.</w:t>
      </w:r>
    </w:p>
    <w:p w14:paraId="70552174" w14:textId="77777777" w:rsidR="002157BE" w:rsidRPr="00172880" w:rsidRDefault="002157BE" w:rsidP="002157BE">
      <w:pPr>
        <w:pStyle w:val="BodyText"/>
        <w:spacing w:before="0" w:line="288" w:lineRule="auto"/>
        <w:rPr>
          <w:color w:val="auto"/>
        </w:rPr>
      </w:pPr>
    </w:p>
    <w:p w14:paraId="0CF14798" w14:textId="31D20355" w:rsidR="002157BE" w:rsidRDefault="002157BE" w:rsidP="002157BE">
      <w:pPr>
        <w:pStyle w:val="BodyText"/>
        <w:spacing w:before="0" w:line="288" w:lineRule="auto"/>
        <w:rPr>
          <w:color w:val="auto"/>
        </w:rPr>
      </w:pPr>
      <w:r w:rsidRPr="00D4086C">
        <w:rPr>
          <w:b/>
          <w:color w:val="auto"/>
        </w:rPr>
        <w:lastRenderedPageBreak/>
        <w:t>Clause 55(a)</w:t>
      </w:r>
    </w:p>
    <w:p w14:paraId="1F544DCA" w14:textId="52C53851" w:rsidR="002157BE" w:rsidRDefault="002157BE" w:rsidP="002157BE">
      <w:pPr>
        <w:pStyle w:val="BodyText"/>
        <w:spacing w:before="0" w:line="288" w:lineRule="auto"/>
        <w:rPr>
          <w:color w:val="auto"/>
        </w:rPr>
      </w:pPr>
      <w:r w:rsidRPr="00172880">
        <w:rPr>
          <w:color w:val="auto"/>
        </w:rPr>
        <w:t>Under Clause 55(a)</w:t>
      </w:r>
      <w:r w:rsidR="00EC07E9">
        <w:rPr>
          <w:color w:val="auto"/>
        </w:rPr>
        <w:t xml:space="preserve"> </w:t>
      </w:r>
      <w:r w:rsidRPr="00172880">
        <w:rPr>
          <w:color w:val="auto"/>
        </w:rPr>
        <w:t>of the National Agreement, Governments agree to implement funding prioritisation policies across a</w:t>
      </w:r>
      <w:r w:rsidR="00313795">
        <w:rPr>
          <w:color w:val="auto"/>
        </w:rPr>
        <w:t>ll Closing the Gap outcomes requiring</w:t>
      </w:r>
      <w:r w:rsidRPr="00172880">
        <w:rPr>
          <w:color w:val="auto"/>
        </w:rPr>
        <w:t xml:space="preserve"> decisions about the provision of services to Aboriginal and Torres Strait Islander people and communities</w:t>
      </w:r>
      <w:r w:rsidR="00313795">
        <w:rPr>
          <w:color w:val="auto"/>
        </w:rPr>
        <w:t>,</w:t>
      </w:r>
      <w:r w:rsidRPr="00172880">
        <w:rPr>
          <w:color w:val="auto"/>
        </w:rPr>
        <w:t xml:space="preserve"> to preference Aboriginal and Torres Strait Islander community-controlled organisations and other Aboriginal and Torres Strait Islander organisations. </w:t>
      </w:r>
    </w:p>
    <w:p w14:paraId="2DADE5E7" w14:textId="3A33AE7A" w:rsidR="00E0692E" w:rsidRDefault="00E0692E" w:rsidP="002157BE">
      <w:pPr>
        <w:pStyle w:val="BodyText"/>
        <w:spacing w:before="0" w:line="288" w:lineRule="auto"/>
        <w:rPr>
          <w:color w:val="auto"/>
        </w:rPr>
      </w:pPr>
    </w:p>
    <w:p w14:paraId="05E5F8D9" w14:textId="77777777" w:rsidR="00E0692E" w:rsidRPr="0062647D" w:rsidRDefault="00E0692E" w:rsidP="00E0692E">
      <w:pPr>
        <w:pStyle w:val="BodyText"/>
        <w:spacing w:before="0" w:line="288" w:lineRule="auto"/>
        <w:rPr>
          <w:b/>
          <w:color w:val="auto"/>
        </w:rPr>
      </w:pPr>
      <w:r w:rsidRPr="0062647D">
        <w:rPr>
          <w:b/>
          <w:color w:val="auto"/>
        </w:rPr>
        <w:t xml:space="preserve">Clause 118 (d) </w:t>
      </w:r>
    </w:p>
    <w:p w14:paraId="6288625D" w14:textId="5DEE7080" w:rsidR="00E0692E" w:rsidRPr="00172880" w:rsidRDefault="00EC07E9" w:rsidP="00E0692E">
      <w:pPr>
        <w:pStyle w:val="BodyText"/>
        <w:spacing w:before="0" w:line="288" w:lineRule="auto"/>
        <w:rPr>
          <w:color w:val="auto"/>
        </w:rPr>
      </w:pPr>
      <w:r>
        <w:rPr>
          <w:color w:val="auto"/>
        </w:rPr>
        <w:t xml:space="preserve">Requires Governments </w:t>
      </w:r>
      <w:r w:rsidR="00E0692E">
        <w:rPr>
          <w:color w:val="auto"/>
        </w:rPr>
        <w:t>to</w:t>
      </w:r>
      <w:r w:rsidR="00E0692E" w:rsidRPr="00130597">
        <w:rPr>
          <w:color w:val="auto"/>
        </w:rPr>
        <w:t xml:space="preserve"> list the number of Aboriginal and Torres Strait Islander community-controlled organisations and other Aboriginal and Torres Strait Islander organisations that have been allocated funding for the purposes of 55a and 55b</w:t>
      </w:r>
      <w:r w:rsidR="00E0692E">
        <w:rPr>
          <w:color w:val="auto"/>
        </w:rPr>
        <w:t xml:space="preserve"> </w:t>
      </w:r>
      <w:r w:rsidR="00E0692E" w:rsidRPr="00130597">
        <w:rPr>
          <w:color w:val="auto"/>
        </w:rPr>
        <w:t>of th</w:t>
      </w:r>
      <w:r w:rsidR="00E0692E">
        <w:rPr>
          <w:color w:val="auto"/>
        </w:rPr>
        <w:t xml:space="preserve">e National </w:t>
      </w:r>
      <w:r w:rsidR="00E0692E" w:rsidRPr="00130597">
        <w:rPr>
          <w:color w:val="auto"/>
        </w:rPr>
        <w:t>Agreement; and subject to confidentiality requirements, also list the names of the organisations and the amount allocated.</w:t>
      </w:r>
    </w:p>
    <w:p w14:paraId="6BB94B0C" w14:textId="77777777" w:rsidR="00E0692E" w:rsidRPr="00172880" w:rsidRDefault="00E0692E" w:rsidP="002157BE">
      <w:pPr>
        <w:pStyle w:val="BodyText"/>
        <w:spacing w:before="0" w:line="288" w:lineRule="auto"/>
        <w:rPr>
          <w:color w:val="auto"/>
        </w:rPr>
      </w:pPr>
    </w:p>
    <w:p w14:paraId="0039015F" w14:textId="77777777" w:rsidR="002157BE" w:rsidRPr="00172880" w:rsidRDefault="002157BE" w:rsidP="002157BE">
      <w:pPr>
        <w:pStyle w:val="Heading2"/>
        <w:spacing w:before="240" w:line="288" w:lineRule="auto"/>
        <w:rPr>
          <w:color w:val="auto"/>
        </w:rPr>
      </w:pPr>
      <w:r w:rsidRPr="00172880">
        <w:rPr>
          <w:color w:val="auto"/>
        </w:rPr>
        <w:t>Aligning Competitive Grants with Closing the Gap</w:t>
      </w:r>
    </w:p>
    <w:p w14:paraId="49E47C42" w14:textId="299F3B5B" w:rsidR="00A61FCF" w:rsidRDefault="00A61FCF" w:rsidP="00A61FCF">
      <w:pPr>
        <w:pStyle w:val="BodyText"/>
        <w:spacing w:before="0"/>
        <w:rPr>
          <w:color w:val="auto"/>
        </w:rPr>
      </w:pPr>
      <w:r w:rsidRPr="00B438E7">
        <w:rPr>
          <w:color w:val="auto"/>
        </w:rPr>
        <w:t xml:space="preserve">All agencies are accountable for delivering on the National Agreement and should consider </w:t>
      </w:r>
      <w:r>
        <w:rPr>
          <w:color w:val="auto"/>
        </w:rPr>
        <w:t>e</w:t>
      </w:r>
      <w:r w:rsidRPr="00B438E7">
        <w:rPr>
          <w:color w:val="auto"/>
        </w:rPr>
        <w:t>mbed</w:t>
      </w:r>
      <w:r>
        <w:rPr>
          <w:color w:val="auto"/>
        </w:rPr>
        <w:t>ding</w:t>
      </w:r>
      <w:r w:rsidRPr="00B438E7">
        <w:rPr>
          <w:color w:val="auto"/>
        </w:rPr>
        <w:t xml:space="preserve"> the Closing the Gap Priority Reforms in their ways of working. This guide provides agencies </w:t>
      </w:r>
      <w:r>
        <w:rPr>
          <w:color w:val="auto"/>
        </w:rPr>
        <w:t xml:space="preserve">practical prioritisation methods </w:t>
      </w:r>
      <w:r w:rsidRPr="00B438E7">
        <w:rPr>
          <w:color w:val="auto"/>
        </w:rPr>
        <w:t xml:space="preserve">to embed </w:t>
      </w:r>
      <w:r>
        <w:rPr>
          <w:color w:val="auto"/>
        </w:rPr>
        <w:t xml:space="preserve">practices </w:t>
      </w:r>
      <w:r w:rsidRPr="00B438E7">
        <w:rPr>
          <w:color w:val="auto"/>
        </w:rPr>
        <w:t xml:space="preserve">in </w:t>
      </w:r>
      <w:r>
        <w:rPr>
          <w:color w:val="auto"/>
        </w:rPr>
        <w:t xml:space="preserve">competitive </w:t>
      </w:r>
      <w:r w:rsidRPr="00B438E7">
        <w:rPr>
          <w:color w:val="auto"/>
        </w:rPr>
        <w:t>grant opportunities</w:t>
      </w:r>
      <w:r w:rsidR="00254CF2">
        <w:rPr>
          <w:color w:val="auto"/>
        </w:rPr>
        <w:t>,</w:t>
      </w:r>
      <w:r>
        <w:rPr>
          <w:color w:val="auto"/>
        </w:rPr>
        <w:t xml:space="preserve"> to achieve</w:t>
      </w:r>
      <w:r w:rsidRPr="00B438E7">
        <w:rPr>
          <w:color w:val="auto"/>
        </w:rPr>
        <w:t xml:space="preserve"> </w:t>
      </w:r>
      <w:r>
        <w:rPr>
          <w:color w:val="auto"/>
        </w:rPr>
        <w:t xml:space="preserve">the </w:t>
      </w:r>
      <w:r w:rsidRPr="00B438E7">
        <w:rPr>
          <w:color w:val="auto"/>
        </w:rPr>
        <w:t xml:space="preserve">Closing the Gap Priority Reforms and/or socio-economic targets. </w:t>
      </w:r>
    </w:p>
    <w:p w14:paraId="5D7FC8D7" w14:textId="77777777" w:rsidR="00A61FCF" w:rsidRDefault="00A61FCF" w:rsidP="00A61FCF">
      <w:pPr>
        <w:pStyle w:val="BodyText"/>
        <w:spacing w:before="0"/>
        <w:rPr>
          <w:color w:val="auto"/>
        </w:rPr>
      </w:pPr>
    </w:p>
    <w:p w14:paraId="0A48CA48" w14:textId="543E979D" w:rsidR="00A61FCF" w:rsidRPr="002D2872" w:rsidRDefault="00A61FCF" w:rsidP="00A61FCF">
      <w:pPr>
        <w:pStyle w:val="BodyText"/>
        <w:spacing w:before="0"/>
        <w:rPr>
          <w:color w:val="auto"/>
        </w:rPr>
      </w:pPr>
      <w:r>
        <w:rPr>
          <w:color w:val="auto"/>
        </w:rPr>
        <w:t xml:space="preserve">This guide should be used </w:t>
      </w:r>
      <w:r w:rsidR="00860CDB">
        <w:rPr>
          <w:color w:val="auto"/>
        </w:rPr>
        <w:t>for all competitive</w:t>
      </w:r>
      <w:r w:rsidR="00860CDB" w:rsidRPr="002D2872">
        <w:rPr>
          <w:color w:val="auto"/>
        </w:rPr>
        <w:t xml:space="preserve"> </w:t>
      </w:r>
      <w:r w:rsidRPr="002D2872">
        <w:rPr>
          <w:color w:val="auto"/>
        </w:rPr>
        <w:t>grant round</w:t>
      </w:r>
      <w:r>
        <w:rPr>
          <w:color w:val="auto"/>
        </w:rPr>
        <w:t>s</w:t>
      </w:r>
      <w:r w:rsidR="00860CDB">
        <w:rPr>
          <w:color w:val="auto"/>
        </w:rPr>
        <w:t xml:space="preserve"> (All population and Indigenous specific)</w:t>
      </w:r>
      <w:r w:rsidR="00E93267">
        <w:rPr>
          <w:color w:val="auto"/>
        </w:rPr>
        <w:t xml:space="preserve"> </w:t>
      </w:r>
      <w:r w:rsidR="00860CDB">
        <w:rPr>
          <w:color w:val="auto"/>
        </w:rPr>
        <w:t>where programs deliver</w:t>
      </w:r>
      <w:r w:rsidR="00E93267">
        <w:rPr>
          <w:color w:val="auto"/>
        </w:rPr>
        <w:t xml:space="preserve"> </w:t>
      </w:r>
      <w:r w:rsidRPr="002D2872">
        <w:rPr>
          <w:color w:val="auto"/>
        </w:rPr>
        <w:t>services to Aboriginal and Torres Strait Islander people</w:t>
      </w:r>
      <w:r>
        <w:rPr>
          <w:color w:val="auto"/>
        </w:rPr>
        <w:t xml:space="preserve">. </w:t>
      </w:r>
      <w:r w:rsidRPr="002D2872">
        <w:rPr>
          <w:color w:val="auto"/>
        </w:rPr>
        <w:t xml:space="preserve"> </w:t>
      </w:r>
    </w:p>
    <w:p w14:paraId="2584EE65" w14:textId="41118086" w:rsidR="00A61FCF" w:rsidRDefault="00A61FCF" w:rsidP="00A61FCF">
      <w:pPr>
        <w:pStyle w:val="BodyText"/>
        <w:spacing w:before="0"/>
        <w:rPr>
          <w:color w:val="auto"/>
        </w:rPr>
      </w:pPr>
    </w:p>
    <w:p w14:paraId="6BBF5BE1" w14:textId="36A07F6E" w:rsidR="00E0692E" w:rsidRPr="002D2872" w:rsidRDefault="00E0692E" w:rsidP="00E0692E">
      <w:pPr>
        <w:pStyle w:val="BodyText"/>
        <w:spacing w:before="0"/>
        <w:rPr>
          <w:color w:val="auto"/>
        </w:rPr>
      </w:pPr>
      <w:r>
        <w:rPr>
          <w:color w:val="auto"/>
        </w:rPr>
        <w:t>This guide also provides advice regarding identifying and leveraging opportunities to work in partnership with Aboriginal people and organisations</w:t>
      </w:r>
      <w:r w:rsidR="00AD1C86">
        <w:rPr>
          <w:color w:val="auto"/>
        </w:rPr>
        <w:t>,</w:t>
      </w:r>
      <w:r>
        <w:rPr>
          <w:color w:val="auto"/>
        </w:rPr>
        <w:t xml:space="preserve"> ensuring agencies have access to the knowledge and expertise of ACCO’s to achieve the outcomes of the National Agreement and the grant opportunity. </w:t>
      </w:r>
    </w:p>
    <w:p w14:paraId="3996F972" w14:textId="77777777" w:rsidR="00E0692E" w:rsidRDefault="00E0692E" w:rsidP="00A61FCF">
      <w:pPr>
        <w:pStyle w:val="BodyText"/>
        <w:spacing w:before="0"/>
        <w:rPr>
          <w:color w:val="auto"/>
        </w:rPr>
      </w:pPr>
    </w:p>
    <w:p w14:paraId="77BA620B" w14:textId="5DACA346" w:rsidR="00A61FCF" w:rsidRDefault="00E0692E" w:rsidP="00A61FCF">
      <w:pPr>
        <w:pStyle w:val="BodyText"/>
        <w:spacing w:before="0"/>
        <w:rPr>
          <w:color w:val="auto"/>
        </w:rPr>
      </w:pPr>
      <w:r>
        <w:rPr>
          <w:color w:val="auto"/>
        </w:rPr>
        <w:t>P</w:t>
      </w:r>
      <w:r w:rsidR="00A61FCF" w:rsidRPr="00AA1974">
        <w:rPr>
          <w:color w:val="auto"/>
        </w:rPr>
        <w:t>ortfolio</w:t>
      </w:r>
      <w:r w:rsidR="00A61FCF">
        <w:rPr>
          <w:color w:val="auto"/>
        </w:rPr>
        <w:t xml:space="preserve"> agencies which </w:t>
      </w:r>
      <w:r w:rsidR="00A61FCF" w:rsidRPr="00AA1974">
        <w:rPr>
          <w:color w:val="auto"/>
        </w:rPr>
        <w:t>have specif</w:t>
      </w:r>
      <w:r w:rsidR="00A61FCF">
        <w:rPr>
          <w:color w:val="auto"/>
        </w:rPr>
        <w:t xml:space="preserve">ic responsibilities under the </w:t>
      </w:r>
      <w:r w:rsidR="00A61FCF" w:rsidRPr="00172880">
        <w:rPr>
          <w:color w:val="auto"/>
        </w:rPr>
        <w:t>s</w:t>
      </w:r>
      <w:r w:rsidR="00A61FCF">
        <w:rPr>
          <w:color w:val="auto"/>
        </w:rPr>
        <w:t>ocio-economic</w:t>
      </w:r>
      <w:r w:rsidR="00A61FCF" w:rsidRPr="00AA1974">
        <w:rPr>
          <w:color w:val="auto"/>
        </w:rPr>
        <w:t xml:space="preserve"> targets</w:t>
      </w:r>
      <w:r w:rsidR="00A61FCF">
        <w:rPr>
          <w:color w:val="auto"/>
        </w:rPr>
        <w:t xml:space="preserve">, </w:t>
      </w:r>
      <w:r w:rsidR="00A61FCF" w:rsidRPr="00AA1974">
        <w:rPr>
          <w:color w:val="auto"/>
        </w:rPr>
        <w:t>grant pr</w:t>
      </w:r>
      <w:r w:rsidR="00A61FCF">
        <w:rPr>
          <w:color w:val="auto"/>
        </w:rPr>
        <w:t xml:space="preserve">ioritisation </w:t>
      </w:r>
      <w:r w:rsidR="00A61FCF" w:rsidRPr="00AA1974">
        <w:rPr>
          <w:color w:val="auto"/>
        </w:rPr>
        <w:t>should be a high priority.</w:t>
      </w:r>
    </w:p>
    <w:p w14:paraId="5A7B5786" w14:textId="77777777" w:rsidR="002157BE" w:rsidRPr="003432B5" w:rsidRDefault="002157BE" w:rsidP="002157BE">
      <w:pPr>
        <w:pStyle w:val="Heading2"/>
        <w:spacing w:before="240" w:line="288" w:lineRule="auto"/>
        <w:rPr>
          <w:color w:val="auto"/>
        </w:rPr>
      </w:pPr>
      <w:r>
        <w:rPr>
          <w:color w:val="auto"/>
        </w:rPr>
        <w:t>Prior Policy</w:t>
      </w:r>
    </w:p>
    <w:p w14:paraId="10C7A280" w14:textId="08808E45" w:rsidR="00A61FCF" w:rsidRDefault="00A61FCF" w:rsidP="00A61FCF">
      <w:pPr>
        <w:pStyle w:val="BodyText"/>
        <w:spacing w:before="0"/>
        <w:rPr>
          <w:color w:val="auto"/>
        </w:rPr>
      </w:pPr>
      <w:r w:rsidRPr="00172880">
        <w:rPr>
          <w:color w:val="auto"/>
        </w:rPr>
        <w:t>A trial commenced by the National Indigenous Australians Agency (NIAA) in 2018 demonstrated that implementing a prioritisation strategy resulted in increased allocation of grants to Aboriginal and Torres Strait Islander organisations. As at May 2023, 75 per cent of 2022</w:t>
      </w:r>
      <w:r w:rsidRPr="00172880">
        <w:rPr>
          <w:color w:val="auto"/>
        </w:rPr>
        <w:noBreakHyphen/>
        <w:t>23 Indigenous Advancement Strategy (IAS) funding is provided to Aboriginal and Torres Strait Islander organisations, increasing from 35 per cent in 2014. This practice can be applied for all Commonwealth grants subject to policy design</w:t>
      </w:r>
      <w:r>
        <w:rPr>
          <w:color w:val="auto"/>
        </w:rPr>
        <w:t>, program implementation</w:t>
      </w:r>
      <w:r w:rsidRPr="00172880">
        <w:rPr>
          <w:color w:val="auto"/>
        </w:rPr>
        <w:t xml:space="preserve"> and </w:t>
      </w:r>
      <w:r w:rsidR="00254CF2">
        <w:rPr>
          <w:color w:val="auto"/>
        </w:rPr>
        <w:t xml:space="preserve">the </w:t>
      </w:r>
      <w:r w:rsidRPr="00172880">
        <w:rPr>
          <w:color w:val="auto"/>
        </w:rPr>
        <w:t>applicable legislative authority under which the program is developed.</w:t>
      </w:r>
    </w:p>
    <w:p w14:paraId="03885761" w14:textId="5846D8E1" w:rsidR="00254CF2" w:rsidRDefault="002157BE" w:rsidP="00D00EA9">
      <w:pPr>
        <w:pStyle w:val="Heading2"/>
        <w:spacing w:before="240" w:line="288" w:lineRule="auto"/>
        <w:rPr>
          <w:color w:val="auto"/>
        </w:rPr>
      </w:pPr>
      <w:r w:rsidRPr="002D2872">
        <w:rPr>
          <w:color w:val="auto"/>
        </w:rPr>
        <w:lastRenderedPageBreak/>
        <w:t>Grants Administration Considerations</w:t>
      </w:r>
    </w:p>
    <w:p w14:paraId="60ADBB09" w14:textId="7370ADE6" w:rsidR="00D00EA9" w:rsidRDefault="00D00EA9" w:rsidP="00D00EA9">
      <w:pPr>
        <w:pStyle w:val="BodyText"/>
        <w:rPr>
          <w:color w:val="auto"/>
        </w:rPr>
      </w:pPr>
      <w:r w:rsidRPr="00172880">
        <w:rPr>
          <w:color w:val="auto"/>
        </w:rPr>
        <w:t>Commonwealth agencies may choose to prioritise Aboriginal and Torres Strait Islander organisations, particularly ACCOs, during the grant administration process by implementing funding prioritisation within internal policies</w:t>
      </w:r>
      <w:r>
        <w:rPr>
          <w:color w:val="auto"/>
        </w:rPr>
        <w:t xml:space="preserve"> and</w:t>
      </w:r>
      <w:r w:rsidRPr="00172880">
        <w:rPr>
          <w:color w:val="auto"/>
        </w:rPr>
        <w:t xml:space="preserve"> practices </w:t>
      </w:r>
      <w:r>
        <w:rPr>
          <w:color w:val="auto"/>
        </w:rPr>
        <w:t>which are reflected in the</w:t>
      </w:r>
      <w:r w:rsidRPr="00172880">
        <w:rPr>
          <w:color w:val="auto"/>
        </w:rPr>
        <w:t xml:space="preserve"> Grant Opportunity Guidelines (</w:t>
      </w:r>
      <w:r w:rsidRPr="00430FF2">
        <w:rPr>
          <w:color w:val="auto"/>
        </w:rPr>
        <w:t xml:space="preserve">GOGs). </w:t>
      </w:r>
      <w:r w:rsidRPr="00172880">
        <w:rPr>
          <w:color w:val="auto"/>
        </w:rPr>
        <w:t xml:space="preserve">This approach could include updating program guidelines in funding processes where relevant value for money is demonstrated. </w:t>
      </w:r>
    </w:p>
    <w:p w14:paraId="03ED4208" w14:textId="77777777" w:rsidR="00D00EA9" w:rsidRDefault="00D00EA9" w:rsidP="00D00EA9">
      <w:pPr>
        <w:pStyle w:val="BodyText"/>
        <w:rPr>
          <w:color w:val="auto"/>
        </w:rPr>
      </w:pPr>
    </w:p>
    <w:p w14:paraId="400AE6C0" w14:textId="763C04DE" w:rsidR="00D00EA9" w:rsidRPr="00172880" w:rsidRDefault="00D00EA9" w:rsidP="00D00EA9">
      <w:pPr>
        <w:pStyle w:val="BodyText"/>
        <w:rPr>
          <w:color w:val="auto"/>
        </w:rPr>
      </w:pPr>
      <w:r>
        <w:rPr>
          <w:color w:val="auto"/>
        </w:rPr>
        <w:t xml:space="preserve">When designing grant opportunities that either target and/or impact the lives of Aboriginal and Torres Strait Islander people, leveraging the cultural expertise and working in partnership with relevant ACCOs is best practice. </w:t>
      </w:r>
    </w:p>
    <w:p w14:paraId="7D433647" w14:textId="061D6C4A" w:rsidR="00D00EA9" w:rsidRDefault="00D00EA9" w:rsidP="00D00EA9">
      <w:pPr>
        <w:pStyle w:val="BodyText"/>
        <w:rPr>
          <w:color w:val="auto"/>
        </w:rPr>
      </w:pPr>
      <w:r>
        <w:rPr>
          <w:color w:val="auto"/>
        </w:rPr>
        <w:t>All Commonwealth agencies</w:t>
      </w:r>
      <w:r w:rsidRPr="00172880">
        <w:rPr>
          <w:color w:val="auto"/>
        </w:rPr>
        <w:t xml:space="preserve"> </w:t>
      </w:r>
      <w:r>
        <w:rPr>
          <w:color w:val="auto"/>
        </w:rPr>
        <w:t xml:space="preserve">must </w:t>
      </w:r>
      <w:r w:rsidRPr="00172880">
        <w:rPr>
          <w:color w:val="auto"/>
        </w:rPr>
        <w:t xml:space="preserve">administer grants </w:t>
      </w:r>
      <w:r>
        <w:rPr>
          <w:color w:val="auto"/>
        </w:rPr>
        <w:t>in accordance with the</w:t>
      </w:r>
      <w:r w:rsidRPr="00172880">
        <w:rPr>
          <w:color w:val="auto"/>
        </w:rPr>
        <w:t xml:space="preserve"> legislative, policy, and legal authority aligned with their agency goals</w:t>
      </w:r>
      <w:r>
        <w:rPr>
          <w:color w:val="auto"/>
        </w:rPr>
        <w:t>. Key grants legislation includes</w:t>
      </w:r>
      <w:r w:rsidRPr="00172880">
        <w:rPr>
          <w:color w:val="auto"/>
        </w:rPr>
        <w:t xml:space="preserve"> the </w:t>
      </w:r>
      <w:hyperlink r:id="rId10" w:history="1">
        <w:r w:rsidR="00895087" w:rsidRPr="005A5D04">
          <w:rPr>
            <w:rStyle w:val="Hyperlink"/>
            <w:i/>
            <w:color w:val="015E8A" w:themeColor="text2" w:themeTint="E6"/>
          </w:rPr>
          <w:t>Commonwealth Grants Rules and Principles (2024)</w:t>
        </w:r>
      </w:hyperlink>
      <w:r w:rsidRPr="00172880">
        <w:t xml:space="preserve"> </w:t>
      </w:r>
      <w:r w:rsidRPr="00172880">
        <w:rPr>
          <w:color w:val="auto"/>
        </w:rPr>
        <w:t>(CGR</w:t>
      </w:r>
      <w:r w:rsidR="00F270F6">
        <w:rPr>
          <w:color w:val="auto"/>
        </w:rPr>
        <w:t>P</w:t>
      </w:r>
      <w:r w:rsidRPr="00172880">
        <w:rPr>
          <w:color w:val="auto"/>
        </w:rPr>
        <w:t>s)</w:t>
      </w:r>
      <w:r>
        <w:rPr>
          <w:color w:val="auto"/>
        </w:rPr>
        <w:t xml:space="preserve"> </w:t>
      </w:r>
      <w:r w:rsidRPr="007B45D0">
        <w:rPr>
          <w:color w:val="auto"/>
        </w:rPr>
        <w:t>and the Public Governance, Performance and Accountability Act 2013 (</w:t>
      </w:r>
      <w:hyperlink r:id="rId11" w:history="1">
        <w:r w:rsidRPr="005A5D04">
          <w:rPr>
            <w:rStyle w:val="Hyperlink"/>
            <w:color w:val="015E8A" w:themeColor="text2" w:themeTint="E6"/>
          </w:rPr>
          <w:t>PGPA Act</w:t>
        </w:r>
      </w:hyperlink>
      <w:r w:rsidRPr="007B45D0">
        <w:rPr>
          <w:rStyle w:val="Hyperlink"/>
          <w:color w:val="auto"/>
        </w:rPr>
        <w:t>)</w:t>
      </w:r>
      <w:r>
        <w:rPr>
          <w:color w:val="auto"/>
        </w:rPr>
        <w:t>. This guide support</w:t>
      </w:r>
      <w:r w:rsidRPr="00614765">
        <w:rPr>
          <w:color w:val="auto"/>
        </w:rPr>
        <w:t>s agencies to pri</w:t>
      </w:r>
      <w:r>
        <w:rPr>
          <w:color w:val="auto"/>
        </w:rPr>
        <w:t>oritise funding to achieve the G</w:t>
      </w:r>
      <w:r w:rsidRPr="00614765">
        <w:rPr>
          <w:color w:val="auto"/>
        </w:rPr>
        <w:t xml:space="preserve">overnment’s Closing the Gap objectives and complies with the </w:t>
      </w:r>
      <w:hyperlink r:id="rId12" w:history="1">
        <w:r w:rsidR="00E53F84" w:rsidRPr="005A5D04">
          <w:rPr>
            <w:rStyle w:val="Hyperlink"/>
            <w:color w:val="015E8A" w:themeColor="text2" w:themeTint="E6"/>
          </w:rPr>
          <w:t>CGRPs</w:t>
        </w:r>
      </w:hyperlink>
      <w:r w:rsidRPr="00614765">
        <w:rPr>
          <w:color w:val="auto"/>
        </w:rPr>
        <w:t xml:space="preserve">. </w:t>
      </w:r>
    </w:p>
    <w:p w14:paraId="443BECBB" w14:textId="5A347A8E" w:rsidR="00A61FCF" w:rsidRDefault="00A61FCF" w:rsidP="00A61FCF">
      <w:pPr>
        <w:pStyle w:val="BodyText"/>
        <w:rPr>
          <w:color w:val="auto"/>
        </w:rPr>
      </w:pPr>
    </w:p>
    <w:p w14:paraId="75541E7E" w14:textId="14460C76" w:rsidR="00E0692E" w:rsidRDefault="00E0692E" w:rsidP="00E0692E">
      <w:pPr>
        <w:pStyle w:val="BodyText"/>
        <w:numPr>
          <w:ilvl w:val="0"/>
          <w:numId w:val="32"/>
        </w:numPr>
        <w:rPr>
          <w:color w:val="auto"/>
        </w:rPr>
      </w:pPr>
      <w:r w:rsidRPr="00172880">
        <w:rPr>
          <w:color w:val="auto"/>
        </w:rPr>
        <w:t xml:space="preserve">The </w:t>
      </w:r>
      <w:hyperlink r:id="rId13" w:history="1">
        <w:r w:rsidR="00A24057" w:rsidRPr="005A5D04">
          <w:rPr>
            <w:rStyle w:val="Hyperlink"/>
            <w:color w:val="015E8A" w:themeColor="text2" w:themeTint="E6"/>
          </w:rPr>
          <w:t>CGRPs</w:t>
        </w:r>
      </w:hyperlink>
      <w:r w:rsidRPr="00172880">
        <w:rPr>
          <w:color w:val="auto"/>
        </w:rPr>
        <w:t xml:space="preserve"> establish the Government’s grants policy framework. </w:t>
      </w:r>
    </w:p>
    <w:p w14:paraId="6FBBDD36" w14:textId="0C491621" w:rsidR="00A61FCF" w:rsidRDefault="00A61FCF" w:rsidP="00A61FCF">
      <w:pPr>
        <w:pStyle w:val="BodyText"/>
        <w:numPr>
          <w:ilvl w:val="0"/>
          <w:numId w:val="32"/>
        </w:numPr>
        <w:rPr>
          <w:color w:val="auto"/>
        </w:rPr>
      </w:pPr>
      <w:r w:rsidRPr="00172880">
        <w:rPr>
          <w:color w:val="auto"/>
        </w:rPr>
        <w:t xml:space="preserve">The </w:t>
      </w:r>
      <w:hyperlink r:id="rId14" w:history="1">
        <w:r w:rsidR="00D64BA9" w:rsidRPr="005A5D04">
          <w:rPr>
            <w:rStyle w:val="Hyperlink"/>
            <w:color w:val="015E8A" w:themeColor="text2" w:themeTint="E6"/>
          </w:rPr>
          <w:t>CGRPs</w:t>
        </w:r>
      </w:hyperlink>
      <w:r w:rsidRPr="00172880">
        <w:rPr>
          <w:color w:val="auto"/>
        </w:rPr>
        <w:t xml:space="preserve"> apply to all non</w:t>
      </w:r>
      <w:r w:rsidRPr="00172880">
        <w:rPr>
          <w:color w:val="auto"/>
        </w:rPr>
        <w:noBreakHyphen/>
        <w:t>corporate Commonwealth entities when they make financial arrangements that meet the definition of a grant.</w:t>
      </w:r>
      <w:r w:rsidRPr="00172880">
        <w:rPr>
          <w:rFonts w:ascii="Arial" w:hAnsi="Arial" w:cs="Arial"/>
          <w:color w:val="auto"/>
        </w:rPr>
        <w:t> </w:t>
      </w:r>
      <w:r w:rsidRPr="00172880">
        <w:rPr>
          <w:color w:val="auto"/>
        </w:rPr>
        <w:t xml:space="preserve"> </w:t>
      </w:r>
    </w:p>
    <w:p w14:paraId="06DE110C" w14:textId="77777777" w:rsidR="00C94823" w:rsidRPr="006A3C9D" w:rsidRDefault="00C94823" w:rsidP="00C94823">
      <w:pPr>
        <w:pStyle w:val="BodyText"/>
        <w:numPr>
          <w:ilvl w:val="0"/>
          <w:numId w:val="32"/>
        </w:numPr>
        <w:rPr>
          <w:color w:val="auto"/>
        </w:rPr>
      </w:pPr>
      <w:r>
        <w:rPr>
          <w:color w:val="auto"/>
        </w:rPr>
        <w:t>Please ensure</w:t>
      </w:r>
      <w:r w:rsidRPr="006A3C9D">
        <w:rPr>
          <w:color w:val="auto"/>
        </w:rPr>
        <w:t xml:space="preserve"> prioritisation </w:t>
      </w:r>
      <w:r>
        <w:rPr>
          <w:color w:val="auto"/>
        </w:rPr>
        <w:t>does not conflict with the constitutional and/or legislative authority for the grant opportunity</w:t>
      </w:r>
      <w:r w:rsidRPr="006A3C9D">
        <w:rPr>
          <w:color w:val="auto"/>
        </w:rPr>
        <w:t>.</w:t>
      </w:r>
    </w:p>
    <w:p w14:paraId="5E573E98" w14:textId="0E75A030" w:rsidR="00A61FCF" w:rsidRPr="003432B5" w:rsidRDefault="0008082C" w:rsidP="00C94823">
      <w:pPr>
        <w:pStyle w:val="BodyText"/>
        <w:numPr>
          <w:ilvl w:val="0"/>
          <w:numId w:val="32"/>
        </w:numPr>
        <w:rPr>
          <w:color w:val="auto"/>
        </w:rPr>
      </w:pPr>
      <w:r>
        <w:rPr>
          <w:color w:val="auto"/>
        </w:rPr>
        <w:t xml:space="preserve">This guide is for future grant opportunities and shouldn’t </w:t>
      </w:r>
      <w:r w:rsidR="00C94823">
        <w:rPr>
          <w:color w:val="auto"/>
        </w:rPr>
        <w:t>be applied retrospectively.</w:t>
      </w:r>
    </w:p>
    <w:p w14:paraId="77B7DA49" w14:textId="77777777" w:rsidR="002157BE" w:rsidRPr="00545550" w:rsidRDefault="002157BE" w:rsidP="002157BE">
      <w:pPr>
        <w:pStyle w:val="Heading2"/>
        <w:spacing w:before="240" w:line="288" w:lineRule="auto"/>
        <w:rPr>
          <w:color w:val="auto"/>
        </w:rPr>
      </w:pPr>
      <w:r w:rsidRPr="00545550">
        <w:rPr>
          <w:color w:val="auto"/>
        </w:rPr>
        <w:t>Using this guide</w:t>
      </w:r>
    </w:p>
    <w:p w14:paraId="077F3DB7" w14:textId="6C5F86F3" w:rsidR="00A61FCF" w:rsidRDefault="00A61FCF" w:rsidP="00A61FCF">
      <w:pPr>
        <w:rPr>
          <w:rFonts w:asciiTheme="majorHAnsi" w:hAnsiTheme="majorHAnsi"/>
          <w:b/>
          <w:sz w:val="22"/>
          <w:szCs w:val="22"/>
        </w:rPr>
      </w:pPr>
      <w:r w:rsidRPr="00E30287">
        <w:rPr>
          <w:rFonts w:asciiTheme="majorHAnsi" w:hAnsiTheme="majorHAnsi"/>
          <w:color w:val="auto"/>
          <w:sz w:val="22"/>
          <w:szCs w:val="22"/>
        </w:rPr>
        <w:t xml:space="preserve">The </w:t>
      </w:r>
      <w:hyperlink r:id="rId15" w:history="1">
        <w:r w:rsidR="000F4DC9" w:rsidRPr="005A5D04">
          <w:rPr>
            <w:rStyle w:val="Hyperlink"/>
            <w:rFonts w:asciiTheme="majorHAnsi" w:hAnsiTheme="majorHAnsi"/>
            <w:color w:val="015E8A" w:themeColor="text2" w:themeTint="E6"/>
            <w:sz w:val="22"/>
            <w:szCs w:val="22"/>
          </w:rPr>
          <w:t>CGRPs</w:t>
        </w:r>
      </w:hyperlink>
      <w:r w:rsidRPr="00E30287">
        <w:rPr>
          <w:rFonts w:asciiTheme="majorHAnsi" w:hAnsiTheme="majorHAnsi"/>
          <w:color w:val="auto"/>
          <w:sz w:val="22"/>
          <w:szCs w:val="22"/>
        </w:rPr>
        <w:t xml:space="preserve"> are largely</w:t>
      </w:r>
      <w:r w:rsidRPr="00E30287">
        <w:rPr>
          <w:rFonts w:ascii="Arial" w:hAnsi="Arial" w:cs="Arial"/>
          <w:color w:val="auto"/>
          <w:sz w:val="22"/>
          <w:szCs w:val="22"/>
        </w:rPr>
        <w:t> </w:t>
      </w:r>
      <w:r w:rsidRPr="00E30287">
        <w:rPr>
          <w:rFonts w:asciiTheme="majorHAnsi" w:hAnsiTheme="majorHAnsi"/>
          <w:color w:val="auto"/>
          <w:sz w:val="22"/>
          <w:szCs w:val="22"/>
        </w:rPr>
        <w:t xml:space="preserve">principles-based, with a small number of mandatory requirements, providing agencies with flexibility in how they design their grants processes to achieve government objectives. This guide outlines the ability to prioritise particular applicants (where consistent with the policy and legal authority) through a variety of prioritisation practices. </w:t>
      </w:r>
      <w:r w:rsidR="0067322F">
        <w:rPr>
          <w:rFonts w:asciiTheme="majorHAnsi" w:hAnsiTheme="majorHAnsi"/>
          <w:color w:val="auto"/>
          <w:sz w:val="22"/>
          <w:szCs w:val="22"/>
        </w:rPr>
        <w:t>Any prioritisation practice that is applied need</w:t>
      </w:r>
      <w:r w:rsidR="00AD1C86">
        <w:rPr>
          <w:rFonts w:asciiTheme="majorHAnsi" w:hAnsiTheme="majorHAnsi"/>
          <w:color w:val="auto"/>
          <w:sz w:val="22"/>
          <w:szCs w:val="22"/>
        </w:rPr>
        <w:t>s</w:t>
      </w:r>
      <w:r w:rsidR="0067322F">
        <w:rPr>
          <w:rFonts w:asciiTheme="majorHAnsi" w:hAnsiTheme="majorHAnsi"/>
          <w:color w:val="auto"/>
          <w:sz w:val="22"/>
          <w:szCs w:val="22"/>
        </w:rPr>
        <w:t xml:space="preserve"> to be outlined in the</w:t>
      </w:r>
      <w:r w:rsidR="0067322F" w:rsidRPr="0067322F">
        <w:rPr>
          <w:rFonts w:asciiTheme="majorHAnsi" w:hAnsiTheme="majorHAnsi"/>
          <w:color w:val="auto"/>
          <w:sz w:val="22"/>
          <w:szCs w:val="22"/>
        </w:rPr>
        <w:t xml:space="preserve"> GOGs in accordance with </w:t>
      </w:r>
      <w:r w:rsidR="00777560">
        <w:rPr>
          <w:rFonts w:asciiTheme="majorHAnsi" w:hAnsiTheme="majorHAnsi"/>
          <w:color w:val="auto"/>
          <w:sz w:val="22"/>
          <w:szCs w:val="22"/>
        </w:rPr>
        <w:t>section 13</w:t>
      </w:r>
      <w:r w:rsidR="0067322F" w:rsidRPr="0067322F">
        <w:rPr>
          <w:rFonts w:asciiTheme="majorHAnsi" w:hAnsiTheme="majorHAnsi"/>
          <w:color w:val="auto"/>
          <w:sz w:val="22"/>
          <w:szCs w:val="22"/>
        </w:rPr>
        <w:t xml:space="preserve"> of the CGR</w:t>
      </w:r>
      <w:r w:rsidR="00777560">
        <w:rPr>
          <w:rFonts w:asciiTheme="majorHAnsi" w:hAnsiTheme="majorHAnsi"/>
          <w:color w:val="auto"/>
          <w:sz w:val="22"/>
          <w:szCs w:val="22"/>
        </w:rPr>
        <w:t>P</w:t>
      </w:r>
      <w:r w:rsidR="0067322F" w:rsidRPr="0067322F">
        <w:rPr>
          <w:rFonts w:asciiTheme="majorHAnsi" w:hAnsiTheme="majorHAnsi"/>
          <w:color w:val="auto"/>
          <w:sz w:val="22"/>
          <w:szCs w:val="22"/>
        </w:rPr>
        <w:t>s.</w:t>
      </w:r>
    </w:p>
    <w:p w14:paraId="376F497B" w14:textId="506B1048" w:rsidR="00A61FCF" w:rsidRDefault="00A61FCF" w:rsidP="00A61FCF">
      <w:pPr>
        <w:spacing w:before="240"/>
        <w:rPr>
          <w:rFonts w:asciiTheme="majorHAnsi" w:hAnsiTheme="majorHAnsi"/>
          <w:sz w:val="22"/>
          <w:szCs w:val="22"/>
        </w:rPr>
      </w:pPr>
      <w:r w:rsidRPr="00A03B1F">
        <w:rPr>
          <w:rFonts w:asciiTheme="majorHAnsi" w:hAnsiTheme="majorHAnsi"/>
          <w:b/>
          <w:sz w:val="22"/>
          <w:szCs w:val="22"/>
        </w:rPr>
        <w:t xml:space="preserve">Structure of </w:t>
      </w:r>
      <w:r>
        <w:rPr>
          <w:rFonts w:asciiTheme="majorHAnsi" w:hAnsiTheme="majorHAnsi"/>
          <w:b/>
          <w:sz w:val="22"/>
          <w:szCs w:val="22"/>
        </w:rPr>
        <w:t>g</w:t>
      </w:r>
      <w:r w:rsidRPr="00A03B1F">
        <w:rPr>
          <w:rFonts w:asciiTheme="majorHAnsi" w:hAnsiTheme="majorHAnsi"/>
          <w:b/>
          <w:sz w:val="22"/>
          <w:szCs w:val="22"/>
        </w:rPr>
        <w:t xml:space="preserve">rant round: </w:t>
      </w:r>
      <w:r w:rsidR="0067322F" w:rsidRPr="006A3C9D">
        <w:rPr>
          <w:rFonts w:asciiTheme="majorHAnsi" w:hAnsiTheme="majorHAnsi"/>
          <w:sz w:val="22"/>
          <w:szCs w:val="22"/>
        </w:rPr>
        <w:t xml:space="preserve">This assessment needs to be undertaken as outlined in the </w:t>
      </w:r>
      <w:r w:rsidR="0067322F">
        <w:rPr>
          <w:rFonts w:asciiTheme="majorHAnsi" w:hAnsiTheme="majorHAnsi"/>
          <w:sz w:val="22"/>
          <w:szCs w:val="22"/>
        </w:rPr>
        <w:t xml:space="preserve">relevant GOGs and the </w:t>
      </w:r>
      <w:hyperlink r:id="rId16" w:history="1">
        <w:r w:rsidR="002C4C94" w:rsidRPr="005A5D04">
          <w:rPr>
            <w:rStyle w:val="Hyperlink"/>
            <w:rFonts w:asciiTheme="majorHAnsi" w:hAnsiTheme="majorHAnsi"/>
            <w:color w:val="015E8A" w:themeColor="text2" w:themeTint="E6"/>
            <w:sz w:val="22"/>
            <w:szCs w:val="22"/>
          </w:rPr>
          <w:t>CGRPs</w:t>
        </w:r>
      </w:hyperlink>
      <w:r w:rsidR="0067322F" w:rsidRPr="006A3C9D">
        <w:rPr>
          <w:rStyle w:val="Hyperlink"/>
          <w:rFonts w:asciiTheme="majorHAnsi" w:hAnsiTheme="majorHAnsi"/>
          <w:sz w:val="22"/>
          <w:szCs w:val="22"/>
        </w:rPr>
        <w:t xml:space="preserve"> </w:t>
      </w:r>
      <w:r w:rsidR="0067322F" w:rsidRPr="006A3C9D">
        <w:rPr>
          <w:rFonts w:asciiTheme="majorHAnsi" w:hAnsiTheme="majorHAnsi"/>
          <w:sz w:val="22"/>
          <w:szCs w:val="22"/>
        </w:rPr>
        <w:t xml:space="preserve">and relevant consultation and considerations applied. </w:t>
      </w:r>
      <w:r w:rsidR="0067322F">
        <w:rPr>
          <w:rFonts w:asciiTheme="majorHAnsi" w:hAnsiTheme="majorHAnsi"/>
          <w:sz w:val="22"/>
          <w:szCs w:val="22"/>
        </w:rPr>
        <w:t xml:space="preserve">The relevant GOGs must clearly outline how prioritisation is to be applied. </w:t>
      </w:r>
      <w:r w:rsidRPr="00A03B1F">
        <w:rPr>
          <w:rFonts w:asciiTheme="majorHAnsi" w:hAnsiTheme="majorHAnsi"/>
          <w:sz w:val="22"/>
          <w:szCs w:val="22"/>
        </w:rPr>
        <w:t xml:space="preserve">Agencies </w:t>
      </w:r>
      <w:r>
        <w:rPr>
          <w:rFonts w:asciiTheme="majorHAnsi" w:hAnsiTheme="majorHAnsi"/>
          <w:sz w:val="22"/>
          <w:szCs w:val="22"/>
        </w:rPr>
        <w:t>should consider how to structure the grant funding. For example, choosing a target amount or percentage to</w:t>
      </w:r>
      <w:r w:rsidRPr="00A03B1F">
        <w:rPr>
          <w:rFonts w:asciiTheme="majorHAnsi" w:hAnsiTheme="majorHAnsi"/>
          <w:sz w:val="22"/>
          <w:szCs w:val="22"/>
        </w:rPr>
        <w:t xml:space="preserve"> set aside</w:t>
      </w:r>
      <w:r>
        <w:rPr>
          <w:rFonts w:asciiTheme="majorHAnsi" w:hAnsiTheme="majorHAnsi"/>
          <w:sz w:val="22"/>
          <w:szCs w:val="22"/>
        </w:rPr>
        <w:t xml:space="preserve"> </w:t>
      </w:r>
      <w:r w:rsidRPr="00A03B1F">
        <w:rPr>
          <w:rFonts w:asciiTheme="majorHAnsi" w:hAnsiTheme="majorHAnsi"/>
          <w:sz w:val="22"/>
          <w:szCs w:val="22"/>
        </w:rPr>
        <w:t>of the total grant</w:t>
      </w:r>
      <w:r>
        <w:rPr>
          <w:rFonts w:asciiTheme="majorHAnsi" w:hAnsiTheme="majorHAnsi"/>
          <w:sz w:val="22"/>
          <w:szCs w:val="22"/>
        </w:rPr>
        <w:t>,</w:t>
      </w:r>
      <w:r w:rsidRPr="00A03B1F">
        <w:rPr>
          <w:rFonts w:asciiTheme="majorHAnsi" w:hAnsiTheme="majorHAnsi"/>
          <w:sz w:val="22"/>
          <w:szCs w:val="22"/>
        </w:rPr>
        <w:t xml:space="preserve"> or select regions</w:t>
      </w:r>
      <w:r>
        <w:rPr>
          <w:rFonts w:asciiTheme="majorHAnsi" w:hAnsiTheme="majorHAnsi"/>
          <w:sz w:val="22"/>
          <w:szCs w:val="22"/>
        </w:rPr>
        <w:t xml:space="preserve"> based on localised priorities. For both </w:t>
      </w:r>
      <w:r w:rsidR="00BE7FDA">
        <w:rPr>
          <w:rFonts w:asciiTheme="majorHAnsi" w:hAnsiTheme="majorHAnsi"/>
          <w:sz w:val="22"/>
          <w:szCs w:val="22"/>
        </w:rPr>
        <w:t>All Population</w:t>
      </w:r>
      <w:r>
        <w:rPr>
          <w:rFonts w:asciiTheme="majorHAnsi" w:hAnsiTheme="majorHAnsi"/>
          <w:sz w:val="22"/>
          <w:szCs w:val="22"/>
        </w:rPr>
        <w:t xml:space="preserve"> and </w:t>
      </w:r>
      <w:r w:rsidR="00BE7FDA">
        <w:rPr>
          <w:rFonts w:asciiTheme="majorHAnsi" w:hAnsiTheme="majorHAnsi"/>
          <w:sz w:val="22"/>
          <w:szCs w:val="22"/>
        </w:rPr>
        <w:t>Indigenous Specific</w:t>
      </w:r>
      <w:r>
        <w:rPr>
          <w:rFonts w:asciiTheme="majorHAnsi" w:hAnsiTheme="majorHAnsi"/>
          <w:sz w:val="22"/>
          <w:szCs w:val="22"/>
        </w:rPr>
        <w:t xml:space="preserve"> grants, considerations to help inform this decision include; </w:t>
      </w:r>
    </w:p>
    <w:p w14:paraId="4362CFC5"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t xml:space="preserve">Who are the intended beneficiaries? </w:t>
      </w:r>
    </w:p>
    <w:p w14:paraId="40C99B79"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t>Where will the grants be delivered</w:t>
      </w:r>
      <w:r>
        <w:rPr>
          <w:rFonts w:asciiTheme="majorHAnsi" w:hAnsiTheme="majorHAnsi"/>
          <w:sz w:val="22"/>
          <w:szCs w:val="22"/>
        </w:rPr>
        <w:t xml:space="preserve"> and for what purpose</w:t>
      </w:r>
      <w:r w:rsidRPr="00D96BE8">
        <w:rPr>
          <w:rFonts w:asciiTheme="majorHAnsi" w:hAnsiTheme="majorHAnsi"/>
          <w:sz w:val="22"/>
          <w:szCs w:val="22"/>
        </w:rPr>
        <w:t>?</w:t>
      </w:r>
    </w:p>
    <w:p w14:paraId="115E41CF"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lastRenderedPageBreak/>
        <w:t>What are the characteristics of the First Nations population where each of the grant activities will be delivered?</w:t>
      </w:r>
    </w:p>
    <w:p w14:paraId="1C8F4839" w14:textId="75E37A8B" w:rsidR="00E0692E" w:rsidRPr="00D96BE8" w:rsidRDefault="003205F4" w:rsidP="003205F4">
      <w:pPr>
        <w:pStyle w:val="ListParagraph"/>
        <w:numPr>
          <w:ilvl w:val="1"/>
          <w:numId w:val="43"/>
        </w:numPr>
        <w:spacing w:before="240"/>
        <w:rPr>
          <w:rFonts w:asciiTheme="majorHAnsi" w:hAnsiTheme="majorHAnsi"/>
          <w:sz w:val="22"/>
          <w:szCs w:val="22"/>
        </w:rPr>
      </w:pPr>
      <w:r>
        <w:rPr>
          <w:rFonts w:asciiTheme="majorHAnsi" w:hAnsiTheme="majorHAnsi"/>
          <w:sz w:val="22"/>
          <w:szCs w:val="22"/>
        </w:rPr>
        <w:t xml:space="preserve">Have you considered the </w:t>
      </w:r>
      <w:r w:rsidRPr="003205F4">
        <w:rPr>
          <w:rFonts w:asciiTheme="majorHAnsi" w:hAnsiTheme="majorHAnsi"/>
          <w:sz w:val="22"/>
          <w:szCs w:val="22"/>
        </w:rPr>
        <w:t xml:space="preserve">expertise </w:t>
      </w:r>
      <w:r>
        <w:rPr>
          <w:rFonts w:asciiTheme="majorHAnsi" w:hAnsiTheme="majorHAnsi"/>
          <w:sz w:val="22"/>
          <w:szCs w:val="22"/>
        </w:rPr>
        <w:t>and</w:t>
      </w:r>
      <w:r w:rsidRPr="003205F4">
        <w:rPr>
          <w:rFonts w:asciiTheme="majorHAnsi" w:hAnsiTheme="majorHAnsi"/>
          <w:sz w:val="22"/>
          <w:szCs w:val="22"/>
        </w:rPr>
        <w:t xml:space="preserve"> knowledge </w:t>
      </w:r>
      <w:r>
        <w:rPr>
          <w:rFonts w:asciiTheme="majorHAnsi" w:hAnsiTheme="majorHAnsi"/>
          <w:sz w:val="22"/>
          <w:szCs w:val="22"/>
        </w:rPr>
        <w:t xml:space="preserve">of </w:t>
      </w:r>
      <w:r w:rsidR="00E0692E">
        <w:rPr>
          <w:rFonts w:asciiTheme="majorHAnsi" w:hAnsiTheme="majorHAnsi"/>
          <w:sz w:val="22"/>
          <w:szCs w:val="22"/>
        </w:rPr>
        <w:t>Aboriginal and Torres Strait Islander organisation</w:t>
      </w:r>
      <w:r>
        <w:rPr>
          <w:rFonts w:asciiTheme="majorHAnsi" w:hAnsiTheme="majorHAnsi"/>
          <w:sz w:val="22"/>
          <w:szCs w:val="22"/>
        </w:rPr>
        <w:t>s</w:t>
      </w:r>
      <w:r w:rsidR="00E0692E" w:rsidRPr="00D96BE8">
        <w:rPr>
          <w:rFonts w:asciiTheme="majorHAnsi" w:hAnsiTheme="majorHAnsi"/>
          <w:sz w:val="22"/>
          <w:szCs w:val="22"/>
        </w:rPr>
        <w:t xml:space="preserve"> </w:t>
      </w:r>
      <w:r>
        <w:rPr>
          <w:rFonts w:asciiTheme="majorHAnsi" w:hAnsiTheme="majorHAnsi"/>
          <w:sz w:val="22"/>
          <w:szCs w:val="22"/>
        </w:rPr>
        <w:t>to maximise better</w:t>
      </w:r>
      <w:r w:rsidR="00E0692E" w:rsidRPr="00D96BE8">
        <w:rPr>
          <w:rFonts w:asciiTheme="majorHAnsi" w:hAnsiTheme="majorHAnsi"/>
          <w:sz w:val="22"/>
          <w:szCs w:val="22"/>
        </w:rPr>
        <w:t xml:space="preserve"> outcomes for the grant</w:t>
      </w:r>
      <w:r w:rsidR="00E0692E">
        <w:rPr>
          <w:rFonts w:asciiTheme="majorHAnsi" w:hAnsiTheme="majorHAnsi"/>
          <w:sz w:val="22"/>
          <w:szCs w:val="22"/>
        </w:rPr>
        <w:t>?</w:t>
      </w:r>
    </w:p>
    <w:p w14:paraId="2F48402B" w14:textId="77777777" w:rsidR="00A61FCF" w:rsidRDefault="00A61FCF" w:rsidP="00A61FCF">
      <w:pPr>
        <w:pStyle w:val="ListParagraph"/>
        <w:numPr>
          <w:ilvl w:val="1"/>
          <w:numId w:val="43"/>
        </w:numPr>
        <w:spacing w:before="240"/>
        <w:rPr>
          <w:rFonts w:asciiTheme="majorHAnsi" w:hAnsiTheme="majorHAnsi"/>
          <w:sz w:val="22"/>
          <w:szCs w:val="22"/>
        </w:rPr>
      </w:pPr>
      <w:r>
        <w:rPr>
          <w:rFonts w:asciiTheme="majorHAnsi" w:hAnsiTheme="majorHAnsi"/>
          <w:sz w:val="22"/>
          <w:szCs w:val="22"/>
        </w:rPr>
        <w:t>Is the organisation culturally safe to deliver the service?</w:t>
      </w:r>
    </w:p>
    <w:p w14:paraId="01D27942" w14:textId="77777777" w:rsidR="00A61FCF" w:rsidRDefault="00A61FCF" w:rsidP="00A61FCF">
      <w:pPr>
        <w:pStyle w:val="ListParagraph"/>
        <w:spacing w:line="288" w:lineRule="auto"/>
        <w:ind w:left="0"/>
        <w:rPr>
          <w:rFonts w:asciiTheme="majorHAnsi" w:hAnsiTheme="majorHAnsi"/>
          <w:b/>
          <w:sz w:val="22"/>
          <w:szCs w:val="22"/>
        </w:rPr>
      </w:pPr>
    </w:p>
    <w:p w14:paraId="02827EF8" w14:textId="14CC4473" w:rsidR="00A61FCF" w:rsidRPr="00D96BE8" w:rsidRDefault="00A61FCF" w:rsidP="00A61FCF">
      <w:pPr>
        <w:pStyle w:val="ListParagraph"/>
        <w:spacing w:line="288" w:lineRule="auto"/>
        <w:ind w:left="0"/>
        <w:rPr>
          <w:rFonts w:asciiTheme="majorHAnsi" w:hAnsiTheme="majorHAnsi"/>
          <w:sz w:val="22"/>
          <w:szCs w:val="22"/>
        </w:rPr>
      </w:pPr>
      <w:r>
        <w:rPr>
          <w:rFonts w:asciiTheme="majorHAnsi" w:hAnsiTheme="majorHAnsi"/>
          <w:b/>
          <w:sz w:val="22"/>
          <w:szCs w:val="22"/>
        </w:rPr>
        <w:t>G</w:t>
      </w:r>
      <w:r w:rsidRPr="00816291">
        <w:rPr>
          <w:rFonts w:asciiTheme="majorHAnsi" w:hAnsiTheme="majorHAnsi"/>
          <w:b/>
          <w:sz w:val="22"/>
          <w:szCs w:val="22"/>
        </w:rPr>
        <w:t>rant selection type:</w:t>
      </w:r>
      <w:r>
        <w:rPr>
          <w:rFonts w:asciiTheme="majorHAnsi" w:hAnsiTheme="majorHAnsi"/>
          <w:sz w:val="22"/>
          <w:szCs w:val="22"/>
        </w:rPr>
        <w:t xml:space="preserve"> </w:t>
      </w:r>
      <w:r w:rsidRPr="00D96BE8">
        <w:rPr>
          <w:rFonts w:asciiTheme="majorHAnsi" w:hAnsiTheme="majorHAnsi"/>
          <w:sz w:val="22"/>
          <w:szCs w:val="22"/>
        </w:rPr>
        <w:t>Using</w:t>
      </w:r>
      <w:r>
        <w:rPr>
          <w:rFonts w:asciiTheme="majorHAnsi" w:hAnsiTheme="majorHAnsi"/>
          <w:sz w:val="22"/>
          <w:szCs w:val="22"/>
        </w:rPr>
        <w:t xml:space="preserve"> grant selection processes can allow prioritisation</w:t>
      </w:r>
      <w:r w:rsidRPr="00D96BE8">
        <w:rPr>
          <w:rFonts w:asciiTheme="majorHAnsi" w:hAnsiTheme="majorHAnsi"/>
          <w:sz w:val="22"/>
          <w:szCs w:val="22"/>
        </w:rPr>
        <w:t xml:space="preserve"> or inadvertently exclude it.</w:t>
      </w:r>
      <w:r w:rsidR="0067322F" w:rsidRPr="0067322F">
        <w:t xml:space="preserve"> </w:t>
      </w:r>
      <w:r w:rsidR="0067322F" w:rsidRPr="0067322F">
        <w:rPr>
          <w:rFonts w:asciiTheme="majorHAnsi" w:hAnsiTheme="majorHAnsi"/>
          <w:sz w:val="22"/>
          <w:szCs w:val="22"/>
        </w:rPr>
        <w:t>Officials should be guided by paragraph 11</w:t>
      </w:r>
      <w:r w:rsidR="009352B1">
        <w:rPr>
          <w:rFonts w:asciiTheme="majorHAnsi" w:hAnsiTheme="majorHAnsi"/>
          <w:sz w:val="22"/>
          <w:szCs w:val="22"/>
        </w:rPr>
        <w:t>.3</w:t>
      </w:r>
      <w:r w:rsidR="0067322F" w:rsidRPr="0067322F">
        <w:rPr>
          <w:rFonts w:asciiTheme="majorHAnsi" w:hAnsiTheme="majorHAnsi"/>
          <w:sz w:val="22"/>
          <w:szCs w:val="22"/>
        </w:rPr>
        <w:t xml:space="preserve"> of the CGR</w:t>
      </w:r>
      <w:r w:rsidR="009352B1">
        <w:rPr>
          <w:rFonts w:asciiTheme="majorHAnsi" w:hAnsiTheme="majorHAnsi"/>
          <w:sz w:val="22"/>
          <w:szCs w:val="22"/>
        </w:rPr>
        <w:t>P</w:t>
      </w:r>
      <w:r w:rsidR="00275007">
        <w:rPr>
          <w:rFonts w:asciiTheme="majorHAnsi" w:hAnsiTheme="majorHAnsi"/>
          <w:sz w:val="22"/>
          <w:szCs w:val="22"/>
        </w:rPr>
        <w:t>s</w:t>
      </w:r>
      <w:r w:rsidR="0067322F" w:rsidRPr="0067322F">
        <w:rPr>
          <w:rFonts w:asciiTheme="majorHAnsi" w:hAnsiTheme="majorHAnsi"/>
          <w:sz w:val="22"/>
          <w:szCs w:val="22"/>
        </w:rPr>
        <w:t xml:space="preserve"> when deciding on selection processes.</w:t>
      </w:r>
      <w:r>
        <w:rPr>
          <w:rFonts w:asciiTheme="majorHAnsi" w:hAnsiTheme="majorHAnsi"/>
          <w:sz w:val="22"/>
          <w:szCs w:val="22"/>
        </w:rPr>
        <w:t xml:space="preserve"> For example</w:t>
      </w:r>
      <w:r w:rsidRPr="00D96BE8">
        <w:rPr>
          <w:rFonts w:asciiTheme="majorHAnsi" w:hAnsiTheme="majorHAnsi"/>
          <w:sz w:val="22"/>
          <w:szCs w:val="22"/>
        </w:rPr>
        <w:t>:</w:t>
      </w:r>
    </w:p>
    <w:p w14:paraId="634DA717" w14:textId="77777777" w:rsidR="00A61FCF" w:rsidRPr="00D96BE8" w:rsidRDefault="00A61FCF" w:rsidP="00A61FCF">
      <w:pPr>
        <w:pStyle w:val="ListParagraph"/>
        <w:numPr>
          <w:ilvl w:val="1"/>
          <w:numId w:val="43"/>
        </w:numPr>
        <w:spacing w:line="288" w:lineRule="auto"/>
        <w:rPr>
          <w:rFonts w:asciiTheme="majorHAnsi" w:hAnsiTheme="majorHAnsi"/>
          <w:sz w:val="22"/>
          <w:szCs w:val="22"/>
        </w:rPr>
      </w:pPr>
      <w:r w:rsidRPr="00D96BE8">
        <w:rPr>
          <w:rFonts w:asciiTheme="majorHAnsi" w:hAnsiTheme="majorHAnsi"/>
          <w:sz w:val="22"/>
          <w:szCs w:val="22"/>
        </w:rPr>
        <w:t xml:space="preserve">Open competitive processes may be better for prioritisation, as they allow the market to consider the grant opportunity </w:t>
      </w:r>
      <w:r>
        <w:rPr>
          <w:rFonts w:asciiTheme="majorHAnsi" w:hAnsiTheme="majorHAnsi"/>
          <w:sz w:val="22"/>
          <w:szCs w:val="22"/>
        </w:rPr>
        <w:t xml:space="preserve">and </w:t>
      </w:r>
      <w:r w:rsidRPr="00D96BE8">
        <w:rPr>
          <w:rFonts w:asciiTheme="majorHAnsi" w:hAnsiTheme="majorHAnsi"/>
          <w:sz w:val="22"/>
          <w:szCs w:val="22"/>
        </w:rPr>
        <w:t xml:space="preserve">determine if they want to apply. </w:t>
      </w:r>
    </w:p>
    <w:p w14:paraId="35101AA2" w14:textId="77777777" w:rsidR="00A61FCF" w:rsidRPr="00A87367" w:rsidRDefault="00A61FCF" w:rsidP="00A61FCF">
      <w:pPr>
        <w:pStyle w:val="ListParagraph"/>
        <w:numPr>
          <w:ilvl w:val="1"/>
          <w:numId w:val="43"/>
        </w:numPr>
        <w:spacing w:line="288" w:lineRule="auto"/>
        <w:rPr>
          <w:rFonts w:asciiTheme="majorHAnsi" w:hAnsiTheme="majorHAnsi"/>
          <w:color w:val="auto"/>
          <w:sz w:val="22"/>
          <w:szCs w:val="22"/>
        </w:rPr>
      </w:pPr>
      <w:r w:rsidRPr="00A87367">
        <w:rPr>
          <w:rFonts w:asciiTheme="majorHAnsi" w:hAnsiTheme="majorHAnsi"/>
          <w:sz w:val="22"/>
          <w:szCs w:val="22"/>
        </w:rPr>
        <w:t xml:space="preserve">Grant rounds which are closed non-competitive may inadvertently exclude </w:t>
      </w:r>
      <w:r>
        <w:rPr>
          <w:rFonts w:asciiTheme="majorHAnsi" w:hAnsiTheme="majorHAnsi"/>
          <w:sz w:val="22"/>
          <w:szCs w:val="22"/>
        </w:rPr>
        <w:t>Aboriginal and Torres Strait Islander</w:t>
      </w:r>
      <w:r w:rsidRPr="00A87367">
        <w:rPr>
          <w:rFonts w:asciiTheme="majorHAnsi" w:hAnsiTheme="majorHAnsi"/>
          <w:sz w:val="22"/>
          <w:szCs w:val="22"/>
        </w:rPr>
        <w:t xml:space="preserve"> organisations if they are </w:t>
      </w:r>
      <w:r>
        <w:rPr>
          <w:rFonts w:asciiTheme="majorHAnsi" w:hAnsiTheme="majorHAnsi"/>
          <w:sz w:val="22"/>
          <w:szCs w:val="22"/>
        </w:rPr>
        <w:t>unknown</w:t>
      </w:r>
      <w:r w:rsidRPr="00A87367">
        <w:rPr>
          <w:rFonts w:asciiTheme="majorHAnsi" w:hAnsiTheme="majorHAnsi"/>
          <w:sz w:val="22"/>
          <w:szCs w:val="22"/>
        </w:rPr>
        <w:t xml:space="preserve"> to the agency.</w:t>
      </w:r>
    </w:p>
    <w:p w14:paraId="45DA7FA9" w14:textId="77777777" w:rsidR="00A61FCF" w:rsidRDefault="00A61FCF" w:rsidP="00A61FCF">
      <w:pPr>
        <w:spacing w:before="240" w:line="288" w:lineRule="auto"/>
        <w:rPr>
          <w:rFonts w:asciiTheme="majorHAnsi" w:hAnsiTheme="majorHAnsi"/>
          <w:sz w:val="22"/>
          <w:szCs w:val="22"/>
        </w:rPr>
      </w:pPr>
      <w:r>
        <w:rPr>
          <w:rFonts w:asciiTheme="majorHAnsi" w:hAnsiTheme="majorHAnsi"/>
          <w:sz w:val="22"/>
          <w:szCs w:val="22"/>
        </w:rPr>
        <w:t xml:space="preserve">Below are current prioritisation practices used by grant teams, including design considerations and approaches when administrating grants; </w:t>
      </w:r>
    </w:p>
    <w:p w14:paraId="6A6042D2" w14:textId="7363991F" w:rsidR="00A61FCF" w:rsidRDefault="00A61FCF" w:rsidP="0067322F">
      <w:pPr>
        <w:pStyle w:val="ListParagraph"/>
        <w:numPr>
          <w:ilvl w:val="0"/>
          <w:numId w:val="43"/>
        </w:numPr>
        <w:spacing w:line="288" w:lineRule="auto"/>
        <w:rPr>
          <w:rFonts w:asciiTheme="majorHAnsi" w:hAnsiTheme="majorHAnsi"/>
          <w:sz w:val="22"/>
          <w:szCs w:val="22"/>
        </w:rPr>
      </w:pPr>
      <w:r w:rsidRPr="00AA1EF6">
        <w:rPr>
          <w:rFonts w:asciiTheme="majorHAnsi" w:hAnsiTheme="majorHAnsi"/>
          <w:sz w:val="22"/>
          <w:szCs w:val="22"/>
        </w:rPr>
        <w:t xml:space="preserve">Use of Eligibility: </w:t>
      </w:r>
      <w:r w:rsidRPr="00D96BE8">
        <w:rPr>
          <w:rFonts w:asciiTheme="majorHAnsi" w:hAnsiTheme="majorHAnsi"/>
          <w:sz w:val="22"/>
          <w:szCs w:val="22"/>
        </w:rPr>
        <w:t>Grant rounds intended to benefit Aboriginal and Torres Strait Islander peoples</w:t>
      </w:r>
      <w:r w:rsidRPr="00AA1EF6">
        <w:rPr>
          <w:rFonts w:asciiTheme="majorHAnsi" w:hAnsiTheme="majorHAnsi"/>
          <w:sz w:val="22"/>
          <w:szCs w:val="22"/>
        </w:rPr>
        <w:t xml:space="preserve"> may identify restricting eligibility </w:t>
      </w:r>
      <w:r>
        <w:rPr>
          <w:rFonts w:asciiTheme="majorHAnsi" w:hAnsiTheme="majorHAnsi"/>
          <w:sz w:val="22"/>
          <w:szCs w:val="22"/>
        </w:rPr>
        <w:t xml:space="preserve">of the application </w:t>
      </w:r>
      <w:r w:rsidRPr="00AA1EF6">
        <w:rPr>
          <w:rFonts w:asciiTheme="majorHAnsi" w:hAnsiTheme="majorHAnsi"/>
          <w:sz w:val="22"/>
          <w:szCs w:val="22"/>
        </w:rPr>
        <w:t xml:space="preserve">to certain types of organisations, i.e. </w:t>
      </w:r>
      <w:r w:rsidR="00A51EF4">
        <w:rPr>
          <w:rFonts w:asciiTheme="majorHAnsi" w:hAnsiTheme="majorHAnsi"/>
          <w:sz w:val="22"/>
          <w:szCs w:val="22"/>
        </w:rPr>
        <w:t>Aboriginal community-controlled organisations (</w:t>
      </w:r>
      <w:r w:rsidRPr="00AA1EF6">
        <w:rPr>
          <w:rFonts w:asciiTheme="majorHAnsi" w:hAnsiTheme="majorHAnsi"/>
          <w:sz w:val="22"/>
          <w:szCs w:val="22"/>
        </w:rPr>
        <w:t>ACCOs)</w:t>
      </w:r>
      <w:r w:rsidRPr="00D96BE8">
        <w:rPr>
          <w:rFonts w:asciiTheme="majorHAnsi" w:hAnsiTheme="majorHAnsi"/>
          <w:sz w:val="22"/>
          <w:szCs w:val="22"/>
        </w:rPr>
        <w:t xml:space="preserve"> </w:t>
      </w:r>
      <w:r w:rsidRPr="00AA1EF6">
        <w:rPr>
          <w:rFonts w:asciiTheme="majorHAnsi" w:hAnsiTheme="majorHAnsi"/>
          <w:sz w:val="22"/>
          <w:szCs w:val="22"/>
        </w:rPr>
        <w:t>will deliver the best policy outcomes.</w:t>
      </w:r>
      <w:r w:rsidRPr="00D96BE8">
        <w:rPr>
          <w:rFonts w:asciiTheme="majorHAnsi" w:hAnsiTheme="majorHAnsi"/>
          <w:sz w:val="22"/>
          <w:szCs w:val="22"/>
        </w:rPr>
        <w:t xml:space="preserve"> Eligibility can also be used to ensure that an applicant has the support of the local community in the design and implementation of the grant activity. For example, requiring a letter of support from the local community</w:t>
      </w:r>
      <w:r>
        <w:rPr>
          <w:rFonts w:asciiTheme="majorHAnsi" w:hAnsiTheme="majorHAnsi"/>
          <w:sz w:val="22"/>
          <w:szCs w:val="22"/>
        </w:rPr>
        <w:t xml:space="preserve"> or local stakeholders</w:t>
      </w:r>
      <w:r w:rsidRPr="00D96BE8">
        <w:rPr>
          <w:rFonts w:asciiTheme="majorHAnsi" w:hAnsiTheme="majorHAnsi"/>
          <w:sz w:val="22"/>
          <w:szCs w:val="22"/>
        </w:rPr>
        <w:t xml:space="preserve"> for any non-Indigenous organisation.</w:t>
      </w:r>
      <w:r w:rsidDel="00A87367">
        <w:rPr>
          <w:rFonts w:asciiTheme="majorHAnsi" w:hAnsiTheme="majorHAnsi"/>
          <w:sz w:val="22"/>
          <w:szCs w:val="22"/>
        </w:rPr>
        <w:t xml:space="preserve"> </w:t>
      </w:r>
      <w:r w:rsidR="0067322F" w:rsidRPr="0067322F">
        <w:rPr>
          <w:rFonts w:asciiTheme="majorHAnsi" w:hAnsiTheme="majorHAnsi"/>
          <w:sz w:val="22"/>
          <w:szCs w:val="22"/>
        </w:rPr>
        <w:t xml:space="preserve">Officials should be guided by paragraphs 7.5, </w:t>
      </w:r>
      <w:r w:rsidR="00FC33C4">
        <w:rPr>
          <w:rFonts w:asciiTheme="majorHAnsi" w:hAnsiTheme="majorHAnsi"/>
          <w:sz w:val="22"/>
          <w:szCs w:val="22"/>
        </w:rPr>
        <w:t>13.2</w:t>
      </w:r>
      <w:r w:rsidR="0067322F" w:rsidRPr="0067322F">
        <w:rPr>
          <w:rFonts w:asciiTheme="majorHAnsi" w:hAnsiTheme="majorHAnsi"/>
          <w:sz w:val="22"/>
          <w:szCs w:val="22"/>
        </w:rPr>
        <w:t xml:space="preserve">, </w:t>
      </w:r>
      <w:r w:rsidR="00565AE9">
        <w:rPr>
          <w:rFonts w:asciiTheme="majorHAnsi" w:hAnsiTheme="majorHAnsi"/>
          <w:sz w:val="22"/>
          <w:szCs w:val="22"/>
        </w:rPr>
        <w:t>13.4</w:t>
      </w:r>
      <w:r w:rsidR="0067322F" w:rsidRPr="0067322F">
        <w:rPr>
          <w:rFonts w:asciiTheme="majorHAnsi" w:hAnsiTheme="majorHAnsi"/>
          <w:sz w:val="22"/>
          <w:szCs w:val="22"/>
        </w:rPr>
        <w:t>, 11</w:t>
      </w:r>
      <w:r w:rsidR="00241CFE">
        <w:rPr>
          <w:rFonts w:asciiTheme="majorHAnsi" w:hAnsiTheme="majorHAnsi"/>
          <w:sz w:val="22"/>
          <w:szCs w:val="22"/>
        </w:rPr>
        <w:t>.3</w:t>
      </w:r>
      <w:r w:rsidR="0067322F" w:rsidRPr="0067322F">
        <w:rPr>
          <w:rFonts w:asciiTheme="majorHAnsi" w:hAnsiTheme="majorHAnsi"/>
          <w:sz w:val="22"/>
          <w:szCs w:val="22"/>
        </w:rPr>
        <w:t xml:space="preserve"> and 13.</w:t>
      </w:r>
      <w:r w:rsidR="00065D1A">
        <w:rPr>
          <w:rFonts w:asciiTheme="majorHAnsi" w:hAnsiTheme="majorHAnsi"/>
          <w:sz w:val="22"/>
          <w:szCs w:val="22"/>
        </w:rPr>
        <w:t>9</w:t>
      </w:r>
      <w:r w:rsidR="0067322F" w:rsidRPr="0067322F">
        <w:rPr>
          <w:rFonts w:asciiTheme="majorHAnsi" w:hAnsiTheme="majorHAnsi"/>
          <w:sz w:val="22"/>
          <w:szCs w:val="22"/>
        </w:rPr>
        <w:t xml:space="preserve"> of the CGR</w:t>
      </w:r>
      <w:r w:rsidR="00266F0F">
        <w:rPr>
          <w:rFonts w:asciiTheme="majorHAnsi" w:hAnsiTheme="majorHAnsi"/>
          <w:sz w:val="22"/>
          <w:szCs w:val="22"/>
        </w:rPr>
        <w:t>P</w:t>
      </w:r>
      <w:r w:rsidR="0067322F" w:rsidRPr="0067322F">
        <w:rPr>
          <w:rFonts w:asciiTheme="majorHAnsi" w:hAnsiTheme="majorHAnsi"/>
          <w:sz w:val="22"/>
          <w:szCs w:val="22"/>
        </w:rPr>
        <w:t>s when deciding on eligibility criteria.</w:t>
      </w:r>
    </w:p>
    <w:p w14:paraId="3680825C" w14:textId="77777777" w:rsidR="00BC37C6" w:rsidRDefault="00BC37C6" w:rsidP="00BC37C6">
      <w:pPr>
        <w:pStyle w:val="ListParagraph"/>
        <w:spacing w:line="288" w:lineRule="auto"/>
        <w:ind w:left="360"/>
        <w:rPr>
          <w:rFonts w:asciiTheme="majorHAnsi" w:hAnsiTheme="majorHAnsi"/>
          <w:sz w:val="22"/>
          <w:szCs w:val="22"/>
        </w:rPr>
      </w:pPr>
    </w:p>
    <w:p w14:paraId="679334A8" w14:textId="480B6869" w:rsidR="00802DEB" w:rsidRPr="00D96BE8" w:rsidRDefault="00802DEB" w:rsidP="00802DEB">
      <w:pPr>
        <w:pStyle w:val="ListParagraph"/>
        <w:numPr>
          <w:ilvl w:val="0"/>
          <w:numId w:val="43"/>
        </w:numPr>
        <w:spacing w:line="288" w:lineRule="auto"/>
        <w:rPr>
          <w:rFonts w:asciiTheme="majorHAnsi" w:hAnsiTheme="majorHAnsi"/>
          <w:sz w:val="22"/>
          <w:szCs w:val="22"/>
        </w:rPr>
      </w:pPr>
      <w:r w:rsidRPr="00AA1EF6">
        <w:rPr>
          <w:rFonts w:asciiTheme="majorHAnsi" w:hAnsiTheme="majorHAnsi"/>
          <w:sz w:val="22"/>
          <w:szCs w:val="22"/>
        </w:rPr>
        <w:t xml:space="preserve">Assessment Criteria: The assessment criteria </w:t>
      </w:r>
      <w:r>
        <w:rPr>
          <w:rFonts w:asciiTheme="majorHAnsi" w:hAnsiTheme="majorHAnsi"/>
          <w:sz w:val="22"/>
          <w:szCs w:val="22"/>
        </w:rPr>
        <w:t>outlines</w:t>
      </w:r>
      <w:r w:rsidRPr="00D96BE8">
        <w:rPr>
          <w:rFonts w:asciiTheme="majorHAnsi" w:hAnsiTheme="majorHAnsi"/>
          <w:sz w:val="22"/>
          <w:szCs w:val="22"/>
        </w:rPr>
        <w:t xml:space="preserve"> </w:t>
      </w:r>
      <w:r>
        <w:rPr>
          <w:rFonts w:asciiTheme="majorHAnsi" w:hAnsiTheme="majorHAnsi"/>
          <w:sz w:val="22"/>
          <w:szCs w:val="22"/>
        </w:rPr>
        <w:t xml:space="preserve">how the grant opportunity and the organisation is best placed to service </w:t>
      </w:r>
      <w:r w:rsidR="00E63215" w:rsidRPr="006A3C9D">
        <w:rPr>
          <w:rFonts w:asciiTheme="majorHAnsi" w:hAnsiTheme="majorHAnsi"/>
          <w:sz w:val="22"/>
          <w:szCs w:val="22"/>
        </w:rPr>
        <w:t>Aboriginal and Torres Strait Islander</w:t>
      </w:r>
      <w:r>
        <w:rPr>
          <w:rFonts w:asciiTheme="majorHAnsi" w:hAnsiTheme="majorHAnsi"/>
          <w:sz w:val="22"/>
          <w:szCs w:val="22"/>
        </w:rPr>
        <w:t xml:space="preserve"> communities and/or people. Example of criteria some grants use</w:t>
      </w:r>
      <w:r w:rsidRPr="00D96BE8">
        <w:rPr>
          <w:rFonts w:asciiTheme="majorHAnsi" w:hAnsiTheme="majorHAnsi"/>
          <w:sz w:val="22"/>
          <w:szCs w:val="22"/>
        </w:rPr>
        <w:t xml:space="preserve"> are:</w:t>
      </w:r>
    </w:p>
    <w:p w14:paraId="15581223" w14:textId="6861DA9F" w:rsidR="00802DEB" w:rsidRPr="006A3C9D" w:rsidRDefault="00802DEB" w:rsidP="00802DEB">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t>organisations that are</w:t>
      </w:r>
      <w:r w:rsidRPr="006A3C9D">
        <w:rPr>
          <w:rFonts w:asciiTheme="majorHAnsi" w:hAnsiTheme="majorHAnsi"/>
          <w:sz w:val="22"/>
          <w:szCs w:val="22"/>
        </w:rPr>
        <w:t xml:space="preserve"> committed to designing and delivering grant activities in partnership or with the support of local Aboriginal and Torres Strait Islander communities and stakeholders;</w:t>
      </w:r>
    </w:p>
    <w:p w14:paraId="6EBC7AEA" w14:textId="77777777" w:rsidR="00802DEB" w:rsidRPr="001544A6" w:rsidRDefault="00802DEB" w:rsidP="00802DEB">
      <w:pPr>
        <w:pStyle w:val="ListParagraph"/>
        <w:numPr>
          <w:ilvl w:val="1"/>
          <w:numId w:val="43"/>
        </w:numPr>
        <w:spacing w:line="288" w:lineRule="auto"/>
        <w:rPr>
          <w:rFonts w:asciiTheme="majorHAnsi" w:hAnsiTheme="majorHAnsi"/>
          <w:sz w:val="22"/>
          <w:szCs w:val="22"/>
        </w:rPr>
      </w:pPr>
      <w:r w:rsidRPr="001544A6">
        <w:rPr>
          <w:rFonts w:asciiTheme="majorHAnsi" w:hAnsiTheme="majorHAnsi"/>
          <w:sz w:val="22"/>
          <w:szCs w:val="22"/>
        </w:rPr>
        <w:t>culturally safe; and</w:t>
      </w:r>
    </w:p>
    <w:p w14:paraId="4FC457AC" w14:textId="77777777" w:rsidR="00802DEB" w:rsidRPr="009F5E91" w:rsidRDefault="00802DEB" w:rsidP="00802DEB">
      <w:pPr>
        <w:pStyle w:val="ListParagraph"/>
        <w:numPr>
          <w:ilvl w:val="1"/>
          <w:numId w:val="43"/>
        </w:numPr>
        <w:spacing w:after="0" w:line="288" w:lineRule="auto"/>
        <w:ind w:left="1077" w:hanging="357"/>
        <w:rPr>
          <w:rFonts w:asciiTheme="majorHAnsi" w:hAnsiTheme="majorHAnsi"/>
          <w:sz w:val="22"/>
          <w:szCs w:val="22"/>
        </w:rPr>
      </w:pPr>
      <w:r w:rsidRPr="00D96BE8">
        <w:rPr>
          <w:rFonts w:asciiTheme="majorHAnsi" w:hAnsiTheme="majorHAnsi"/>
          <w:sz w:val="22"/>
          <w:szCs w:val="22"/>
        </w:rPr>
        <w:t xml:space="preserve">committed to economic empowerment of </w:t>
      </w:r>
      <w:r>
        <w:rPr>
          <w:rFonts w:asciiTheme="majorHAnsi" w:hAnsiTheme="majorHAnsi"/>
          <w:sz w:val="22"/>
          <w:szCs w:val="22"/>
        </w:rPr>
        <w:t>Aboriginal and Torres Strait Islander</w:t>
      </w:r>
      <w:r w:rsidRPr="00D96BE8">
        <w:rPr>
          <w:rFonts w:asciiTheme="majorHAnsi" w:hAnsiTheme="majorHAnsi"/>
          <w:sz w:val="22"/>
          <w:szCs w:val="22"/>
        </w:rPr>
        <w:t xml:space="preserve"> peoples through Indigenous </w:t>
      </w:r>
      <w:r w:rsidRPr="009F5E91">
        <w:rPr>
          <w:rFonts w:asciiTheme="majorHAnsi" w:hAnsiTheme="majorHAnsi"/>
          <w:sz w:val="22"/>
          <w:szCs w:val="22"/>
        </w:rPr>
        <w:t>employment and use of Aboriginal and Torres Strait Islander organisations in their supply chain or subcontracting arrangements.</w:t>
      </w:r>
    </w:p>
    <w:p w14:paraId="40154275" w14:textId="77777777" w:rsidR="00A61FCF" w:rsidRPr="00D96BE8" w:rsidRDefault="00A61FCF" w:rsidP="00A61FCF">
      <w:pPr>
        <w:pStyle w:val="ListParagraph"/>
        <w:spacing w:line="288" w:lineRule="auto"/>
        <w:ind w:left="1080"/>
        <w:rPr>
          <w:rFonts w:asciiTheme="majorHAnsi" w:hAnsiTheme="majorHAnsi"/>
          <w:sz w:val="22"/>
          <w:szCs w:val="22"/>
        </w:rPr>
      </w:pPr>
    </w:p>
    <w:p w14:paraId="0AA35D19" w14:textId="5C23467C" w:rsidR="00A61FCF" w:rsidRPr="00D96BE8" w:rsidRDefault="00A61FCF" w:rsidP="0067322F">
      <w:pPr>
        <w:pStyle w:val="ListParagraph"/>
        <w:numPr>
          <w:ilvl w:val="0"/>
          <w:numId w:val="43"/>
        </w:numPr>
        <w:spacing w:line="288" w:lineRule="auto"/>
        <w:rPr>
          <w:rFonts w:asciiTheme="majorHAnsi" w:hAnsiTheme="majorHAnsi"/>
          <w:sz w:val="22"/>
          <w:szCs w:val="22"/>
        </w:rPr>
      </w:pPr>
      <w:r w:rsidRPr="00D96BE8">
        <w:rPr>
          <w:rFonts w:asciiTheme="majorHAnsi" w:hAnsiTheme="majorHAnsi"/>
          <w:sz w:val="22"/>
          <w:szCs w:val="22"/>
        </w:rPr>
        <w:t>Funding prioritisation</w:t>
      </w:r>
      <w:r>
        <w:rPr>
          <w:rFonts w:asciiTheme="majorHAnsi" w:hAnsiTheme="majorHAnsi"/>
          <w:sz w:val="22"/>
          <w:szCs w:val="22"/>
        </w:rPr>
        <w:t xml:space="preserve"> assessment</w:t>
      </w:r>
      <w:r w:rsidRPr="00D96BE8">
        <w:rPr>
          <w:rFonts w:asciiTheme="majorHAnsi" w:hAnsiTheme="majorHAnsi"/>
          <w:sz w:val="22"/>
          <w:szCs w:val="22"/>
        </w:rPr>
        <w:t xml:space="preserve"> policies: Grants can apply prioritisation to applications which are found to meet eligibility and assessment criteria. Prioritisation policies could include a single prioritisation approach</w:t>
      </w:r>
      <w:r>
        <w:rPr>
          <w:rFonts w:asciiTheme="majorHAnsi" w:hAnsiTheme="majorHAnsi"/>
          <w:sz w:val="22"/>
          <w:szCs w:val="22"/>
        </w:rPr>
        <w:t>,</w:t>
      </w:r>
      <w:r w:rsidRPr="00D96BE8">
        <w:rPr>
          <w:rFonts w:asciiTheme="majorHAnsi" w:hAnsiTheme="majorHAnsi"/>
          <w:sz w:val="22"/>
          <w:szCs w:val="22"/>
        </w:rPr>
        <w:t xml:space="preserve"> i.e. any </w:t>
      </w:r>
      <w:r>
        <w:rPr>
          <w:rFonts w:asciiTheme="majorHAnsi" w:hAnsiTheme="majorHAnsi"/>
          <w:sz w:val="22"/>
          <w:szCs w:val="22"/>
        </w:rPr>
        <w:t>Aboriginal and Torres Strait Islander</w:t>
      </w:r>
      <w:r w:rsidRPr="00D96BE8">
        <w:rPr>
          <w:rFonts w:asciiTheme="majorHAnsi" w:hAnsiTheme="majorHAnsi"/>
          <w:sz w:val="22"/>
          <w:szCs w:val="22"/>
        </w:rPr>
        <w:t xml:space="preserve"> organisation</w:t>
      </w:r>
      <w:r>
        <w:rPr>
          <w:rFonts w:asciiTheme="majorHAnsi" w:hAnsiTheme="majorHAnsi"/>
          <w:sz w:val="22"/>
          <w:szCs w:val="22"/>
        </w:rPr>
        <w:t>,</w:t>
      </w:r>
      <w:r w:rsidRPr="00D96BE8">
        <w:rPr>
          <w:rFonts w:asciiTheme="majorHAnsi" w:hAnsiTheme="majorHAnsi"/>
          <w:sz w:val="22"/>
          <w:szCs w:val="22"/>
        </w:rPr>
        <w:t xml:space="preserve"> or multiple tiers. </w:t>
      </w:r>
      <w:r w:rsidR="0067322F" w:rsidRPr="0067322F">
        <w:rPr>
          <w:rFonts w:asciiTheme="majorHAnsi" w:hAnsiTheme="majorHAnsi"/>
          <w:sz w:val="22"/>
          <w:szCs w:val="22"/>
        </w:rPr>
        <w:t>Achieving value with relevant money should be a prime consideration in all phases of grants administration.</w:t>
      </w:r>
      <w:r w:rsidR="0067322F">
        <w:rPr>
          <w:rFonts w:asciiTheme="majorHAnsi" w:hAnsiTheme="majorHAnsi"/>
          <w:sz w:val="22"/>
          <w:szCs w:val="22"/>
        </w:rPr>
        <w:t xml:space="preserve"> </w:t>
      </w:r>
      <w:r w:rsidRPr="00D96BE8">
        <w:rPr>
          <w:rFonts w:asciiTheme="majorHAnsi" w:hAnsiTheme="majorHAnsi"/>
          <w:sz w:val="22"/>
          <w:szCs w:val="22"/>
        </w:rPr>
        <w:t>Prioritisation occur after eligibility and assessment process, as follows:</w:t>
      </w:r>
    </w:p>
    <w:p w14:paraId="38372C59" w14:textId="3263727A" w:rsidR="00A61FCF" w:rsidRPr="00D96BE8" w:rsidRDefault="00A61FCF" w:rsidP="0008082C">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lastRenderedPageBreak/>
        <w:t>O</w:t>
      </w:r>
      <w:r w:rsidRPr="00D96BE8">
        <w:rPr>
          <w:rFonts w:asciiTheme="majorHAnsi" w:hAnsiTheme="majorHAnsi"/>
          <w:sz w:val="22"/>
          <w:szCs w:val="22"/>
        </w:rPr>
        <w:t>pen competitive – eligible applica</w:t>
      </w:r>
      <w:r>
        <w:rPr>
          <w:rFonts w:asciiTheme="majorHAnsi" w:hAnsiTheme="majorHAnsi"/>
          <w:sz w:val="22"/>
          <w:szCs w:val="22"/>
        </w:rPr>
        <w:t>n</w:t>
      </w:r>
      <w:r w:rsidRPr="00D96BE8">
        <w:rPr>
          <w:rFonts w:asciiTheme="majorHAnsi" w:hAnsiTheme="majorHAnsi"/>
          <w:sz w:val="22"/>
          <w:szCs w:val="22"/>
        </w:rPr>
        <w:t>ts are ranked in order of merit against the assessment scoring. Applicants are then grouped either by using categories i.e. full meet</w:t>
      </w:r>
      <w:r w:rsidR="00A51EF4">
        <w:rPr>
          <w:rFonts w:asciiTheme="majorHAnsi" w:hAnsiTheme="majorHAnsi"/>
          <w:sz w:val="22"/>
          <w:szCs w:val="22"/>
        </w:rPr>
        <w:t>s,</w:t>
      </w:r>
      <w:r w:rsidRPr="00D96BE8">
        <w:rPr>
          <w:rFonts w:asciiTheme="majorHAnsi" w:hAnsiTheme="majorHAnsi"/>
          <w:sz w:val="22"/>
          <w:szCs w:val="22"/>
        </w:rPr>
        <w:t xml:space="preserve"> do</w:t>
      </w:r>
      <w:r w:rsidR="00A51EF4">
        <w:rPr>
          <w:rFonts w:asciiTheme="majorHAnsi" w:hAnsiTheme="majorHAnsi"/>
          <w:sz w:val="22"/>
          <w:szCs w:val="22"/>
        </w:rPr>
        <w:t>es</w:t>
      </w:r>
      <w:r w:rsidRPr="00D96BE8">
        <w:rPr>
          <w:rFonts w:asciiTheme="majorHAnsi" w:hAnsiTheme="majorHAnsi"/>
          <w:sz w:val="22"/>
          <w:szCs w:val="22"/>
        </w:rPr>
        <w:t xml:space="preserve"> not meet or a scoring matrix with prioritisation applied to applications within each category.</w:t>
      </w:r>
      <w:r w:rsidR="00D50245">
        <w:rPr>
          <w:rFonts w:asciiTheme="majorHAnsi" w:hAnsiTheme="majorHAnsi"/>
          <w:sz w:val="22"/>
          <w:szCs w:val="22"/>
        </w:rPr>
        <w:t xml:space="preserve"> </w:t>
      </w:r>
      <w:r w:rsidR="00D50245" w:rsidRPr="00D50245">
        <w:rPr>
          <w:rFonts w:asciiTheme="majorHAnsi" w:hAnsiTheme="majorHAnsi"/>
          <w:sz w:val="22"/>
          <w:szCs w:val="22"/>
        </w:rPr>
        <w:t>The Commonwealth is only applying bandwidth prioritisation to a group of applications which all meet the assessment criteria and demonstrate value for money.</w:t>
      </w:r>
      <w:r w:rsidR="0008082C">
        <w:rPr>
          <w:rFonts w:asciiTheme="majorHAnsi" w:hAnsiTheme="majorHAnsi"/>
          <w:sz w:val="22"/>
          <w:szCs w:val="22"/>
        </w:rPr>
        <w:t xml:space="preserve"> </w:t>
      </w:r>
    </w:p>
    <w:p w14:paraId="37AD28E0" w14:textId="77777777" w:rsidR="00A61FCF" w:rsidRDefault="00A61FCF" w:rsidP="00A61FCF">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t>N</w:t>
      </w:r>
      <w:r w:rsidRPr="00D96BE8">
        <w:rPr>
          <w:rFonts w:asciiTheme="majorHAnsi" w:hAnsiTheme="majorHAnsi"/>
          <w:sz w:val="22"/>
          <w:szCs w:val="22"/>
        </w:rPr>
        <w:t xml:space="preserve">on-competitive – funding recommendations can consider support for Closing the Gap objectives by prioritising ACCOs and/or Aboriginal and Torres Strait Islander </w:t>
      </w:r>
      <w:r>
        <w:rPr>
          <w:rFonts w:asciiTheme="majorHAnsi" w:hAnsiTheme="majorHAnsi"/>
          <w:sz w:val="22"/>
          <w:szCs w:val="22"/>
        </w:rPr>
        <w:t xml:space="preserve">organisations </w:t>
      </w:r>
      <w:r w:rsidRPr="00D96BE8">
        <w:rPr>
          <w:rFonts w:asciiTheme="majorHAnsi" w:hAnsiTheme="majorHAnsi"/>
          <w:sz w:val="22"/>
          <w:szCs w:val="22"/>
        </w:rPr>
        <w:t>that meet the assessment criteria</w:t>
      </w:r>
      <w:r>
        <w:rPr>
          <w:rFonts w:asciiTheme="majorHAnsi" w:hAnsiTheme="majorHAnsi"/>
          <w:sz w:val="22"/>
          <w:szCs w:val="22"/>
        </w:rPr>
        <w:t>.</w:t>
      </w:r>
    </w:p>
    <w:p w14:paraId="0905EB5A" w14:textId="77777777" w:rsidR="00A61FCF" w:rsidRPr="00A87367" w:rsidRDefault="00A61FCF" w:rsidP="00A61FCF">
      <w:pPr>
        <w:pStyle w:val="ListParagraph"/>
        <w:numPr>
          <w:ilvl w:val="1"/>
          <w:numId w:val="43"/>
        </w:numPr>
        <w:spacing w:line="288" w:lineRule="auto"/>
        <w:rPr>
          <w:rFonts w:asciiTheme="majorHAnsi" w:hAnsiTheme="majorHAnsi"/>
          <w:sz w:val="22"/>
          <w:szCs w:val="22"/>
        </w:rPr>
      </w:pPr>
      <w:r w:rsidRPr="00A87367">
        <w:rPr>
          <w:rFonts w:asciiTheme="majorHAnsi" w:hAnsiTheme="majorHAnsi"/>
          <w:sz w:val="22"/>
          <w:szCs w:val="22"/>
        </w:rPr>
        <w:t>Closed – agencies may wish to only invite ACCOs and/or Aboriginal and Torres Strait Islander organisations to apply, or ensure they are included in the list of invitees. Rounds where non-Indigenous and Aboriginal and Torres Strait Islander organisations are invited to apply, agencies could then apply the methods outlined in the open competitive and open non-competitive rounds.</w:t>
      </w:r>
    </w:p>
    <w:p w14:paraId="4322843B" w14:textId="4C8D5F84" w:rsidR="00A61FCF" w:rsidRPr="00D96BE8" w:rsidRDefault="00A61FCF" w:rsidP="00A61FCF">
      <w:pPr>
        <w:spacing w:line="288" w:lineRule="auto"/>
        <w:rPr>
          <w:rFonts w:asciiTheme="majorHAnsi" w:hAnsiTheme="majorHAnsi"/>
          <w:sz w:val="22"/>
          <w:szCs w:val="22"/>
        </w:rPr>
      </w:pPr>
      <w:r>
        <w:rPr>
          <w:rFonts w:asciiTheme="majorHAnsi" w:hAnsiTheme="majorHAnsi"/>
          <w:sz w:val="22"/>
          <w:szCs w:val="22"/>
        </w:rPr>
        <w:t>When</w:t>
      </w:r>
      <w:r w:rsidRPr="00D96BE8">
        <w:rPr>
          <w:rFonts w:asciiTheme="majorHAnsi" w:hAnsiTheme="majorHAnsi"/>
          <w:sz w:val="22"/>
          <w:szCs w:val="22"/>
        </w:rPr>
        <w:t xml:space="preserve"> designing grants, agencies should consider how grant</w:t>
      </w:r>
      <w:r>
        <w:rPr>
          <w:rFonts w:asciiTheme="majorHAnsi" w:hAnsiTheme="majorHAnsi"/>
          <w:sz w:val="22"/>
          <w:szCs w:val="22"/>
        </w:rPr>
        <w:t xml:space="preserve">s </w:t>
      </w:r>
      <w:r w:rsidRPr="00D96BE8">
        <w:rPr>
          <w:rFonts w:asciiTheme="majorHAnsi" w:hAnsiTheme="majorHAnsi"/>
          <w:sz w:val="22"/>
          <w:szCs w:val="22"/>
        </w:rPr>
        <w:t xml:space="preserve">contribute to Closing the Gap </w:t>
      </w:r>
      <w:r>
        <w:rPr>
          <w:rFonts w:asciiTheme="majorHAnsi" w:hAnsiTheme="majorHAnsi"/>
          <w:sz w:val="22"/>
          <w:szCs w:val="22"/>
        </w:rPr>
        <w:t xml:space="preserve">targets and outcomes, and </w:t>
      </w:r>
      <w:r w:rsidRPr="00D96BE8">
        <w:rPr>
          <w:rFonts w:asciiTheme="majorHAnsi" w:hAnsiTheme="majorHAnsi"/>
          <w:sz w:val="22"/>
          <w:szCs w:val="22"/>
        </w:rPr>
        <w:t>consider applying one/or more prioritisation practices. To give effect to this, agencies need to ensure</w:t>
      </w:r>
      <w:r>
        <w:rPr>
          <w:rFonts w:asciiTheme="majorHAnsi" w:hAnsiTheme="majorHAnsi"/>
          <w:sz w:val="22"/>
          <w:szCs w:val="22"/>
        </w:rPr>
        <w:t>;</w:t>
      </w:r>
    </w:p>
    <w:p w14:paraId="1E37AF8A" w14:textId="77777777" w:rsidR="00A61FCF"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GOGs include relevant</w:t>
      </w:r>
      <w:r>
        <w:rPr>
          <w:rFonts w:asciiTheme="majorHAnsi" w:hAnsiTheme="majorHAnsi"/>
          <w:sz w:val="22"/>
          <w:szCs w:val="22"/>
        </w:rPr>
        <w:t>:</w:t>
      </w:r>
      <w:r w:rsidRPr="00D96BE8">
        <w:rPr>
          <w:rFonts w:asciiTheme="majorHAnsi" w:hAnsiTheme="majorHAnsi"/>
          <w:sz w:val="22"/>
          <w:szCs w:val="22"/>
        </w:rPr>
        <w:t xml:space="preserve"> </w:t>
      </w:r>
    </w:p>
    <w:p w14:paraId="59560E62" w14:textId="77777777" w:rsidR="00A61FCF" w:rsidRDefault="00A61FCF" w:rsidP="00A61FCF">
      <w:pPr>
        <w:pStyle w:val="ListParagraph"/>
        <w:numPr>
          <w:ilvl w:val="1"/>
          <w:numId w:val="47"/>
        </w:numPr>
        <w:spacing w:after="60" w:line="288" w:lineRule="auto"/>
        <w:rPr>
          <w:rFonts w:asciiTheme="majorHAnsi" w:hAnsiTheme="majorHAnsi"/>
          <w:sz w:val="22"/>
          <w:szCs w:val="22"/>
        </w:rPr>
      </w:pPr>
      <w:r w:rsidRPr="00D96BE8">
        <w:rPr>
          <w:rFonts w:asciiTheme="majorHAnsi" w:hAnsiTheme="majorHAnsi"/>
          <w:sz w:val="22"/>
          <w:szCs w:val="22"/>
        </w:rPr>
        <w:t xml:space="preserve">details about Closing the Gap and how the grant will contribute to </w:t>
      </w:r>
      <w:r>
        <w:rPr>
          <w:rFonts w:asciiTheme="majorHAnsi" w:hAnsiTheme="majorHAnsi"/>
          <w:sz w:val="22"/>
          <w:szCs w:val="22"/>
        </w:rPr>
        <w:t>targets and outcomes, and</w:t>
      </w:r>
    </w:p>
    <w:p w14:paraId="5572A9DB" w14:textId="46525CA9" w:rsidR="00A61FCF" w:rsidRPr="00D96BE8" w:rsidRDefault="00A61FCF" w:rsidP="00A61FCF">
      <w:pPr>
        <w:pStyle w:val="ListParagraph"/>
        <w:numPr>
          <w:ilvl w:val="1"/>
          <w:numId w:val="47"/>
        </w:numPr>
        <w:spacing w:after="60" w:line="288" w:lineRule="auto"/>
        <w:rPr>
          <w:rFonts w:asciiTheme="majorHAnsi" w:hAnsiTheme="majorHAnsi"/>
          <w:sz w:val="22"/>
          <w:szCs w:val="22"/>
        </w:rPr>
      </w:pPr>
      <w:r w:rsidRPr="00D96BE8">
        <w:rPr>
          <w:rFonts w:asciiTheme="majorHAnsi" w:hAnsiTheme="majorHAnsi"/>
          <w:sz w:val="22"/>
          <w:szCs w:val="22"/>
        </w:rPr>
        <w:t>prioritisation approach</w:t>
      </w:r>
      <w:r w:rsidR="00155B7D">
        <w:rPr>
          <w:rFonts w:asciiTheme="majorHAnsi" w:hAnsiTheme="majorHAnsi"/>
          <w:sz w:val="22"/>
          <w:szCs w:val="22"/>
        </w:rPr>
        <w:t>es</w:t>
      </w:r>
      <w:r>
        <w:rPr>
          <w:rFonts w:asciiTheme="majorHAnsi" w:hAnsiTheme="majorHAnsi"/>
          <w:sz w:val="22"/>
          <w:szCs w:val="22"/>
        </w:rPr>
        <w:t xml:space="preserve"> </w:t>
      </w:r>
      <w:r w:rsidRPr="00D96BE8">
        <w:rPr>
          <w:rFonts w:asciiTheme="majorHAnsi" w:hAnsiTheme="majorHAnsi"/>
          <w:sz w:val="22"/>
          <w:szCs w:val="22"/>
        </w:rPr>
        <w:t>i.e</w:t>
      </w:r>
      <w:r w:rsidRPr="00A87367">
        <w:rPr>
          <w:rFonts w:asciiTheme="majorHAnsi" w:hAnsiTheme="majorHAnsi"/>
          <w:sz w:val="22"/>
          <w:szCs w:val="22"/>
        </w:rPr>
        <w:t>.</w:t>
      </w:r>
      <w:r w:rsidRPr="00D96BE8">
        <w:rPr>
          <w:rFonts w:asciiTheme="majorHAnsi" w:hAnsiTheme="majorHAnsi"/>
          <w:sz w:val="22"/>
          <w:szCs w:val="22"/>
        </w:rPr>
        <w:t xml:space="preserve"> eligibility, assessment criteria, funding prioritisation policies and include how </w:t>
      </w:r>
      <w:r>
        <w:rPr>
          <w:rFonts w:asciiTheme="majorHAnsi" w:hAnsiTheme="majorHAnsi"/>
          <w:sz w:val="22"/>
          <w:szCs w:val="22"/>
        </w:rPr>
        <w:t>it</w:t>
      </w:r>
      <w:r w:rsidRPr="00D96BE8">
        <w:rPr>
          <w:rFonts w:asciiTheme="majorHAnsi" w:hAnsiTheme="majorHAnsi"/>
          <w:sz w:val="22"/>
          <w:szCs w:val="22"/>
        </w:rPr>
        <w:t xml:space="preserve"> will be applied to the grant. </w:t>
      </w:r>
    </w:p>
    <w:p w14:paraId="2AEB11BF" w14:textId="23734858"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 xml:space="preserve">Application forms capture all required information to report against Closing the Gap measures </w:t>
      </w:r>
      <w:r w:rsidR="00E0692E">
        <w:rPr>
          <w:rFonts w:asciiTheme="majorHAnsi" w:hAnsiTheme="majorHAnsi"/>
          <w:sz w:val="22"/>
          <w:szCs w:val="22"/>
        </w:rPr>
        <w:t>(i</w:t>
      </w:r>
      <w:r w:rsidR="00E63215">
        <w:rPr>
          <w:rFonts w:asciiTheme="majorHAnsi" w:hAnsiTheme="majorHAnsi"/>
          <w:sz w:val="22"/>
          <w:szCs w:val="22"/>
        </w:rPr>
        <w:t>ncluding C</w:t>
      </w:r>
      <w:r w:rsidR="00E0692E">
        <w:rPr>
          <w:rFonts w:asciiTheme="majorHAnsi" w:hAnsiTheme="majorHAnsi"/>
          <w:sz w:val="22"/>
          <w:szCs w:val="22"/>
        </w:rPr>
        <w:t>lause 118(d))</w:t>
      </w:r>
      <w:r w:rsidR="00E0692E" w:rsidRPr="00D96BE8">
        <w:rPr>
          <w:rFonts w:asciiTheme="majorHAnsi" w:hAnsiTheme="majorHAnsi"/>
          <w:sz w:val="22"/>
          <w:szCs w:val="22"/>
        </w:rPr>
        <w:t xml:space="preserve"> </w:t>
      </w:r>
      <w:r w:rsidRPr="00D96BE8">
        <w:rPr>
          <w:rFonts w:asciiTheme="majorHAnsi" w:hAnsiTheme="majorHAnsi"/>
          <w:sz w:val="22"/>
          <w:szCs w:val="22"/>
        </w:rPr>
        <w:t>and the selected prioritisation approach. This includes consideration of how the agency will validate an organisational status (see verification of organisation for more details).</w:t>
      </w:r>
    </w:p>
    <w:p w14:paraId="1714A867" w14:textId="77777777"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Eligibility checks and assessment plans include clear and concise processes for how to implement any prioritisation approach.</w:t>
      </w:r>
    </w:p>
    <w:p w14:paraId="0E8D2CFF" w14:textId="77777777"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 xml:space="preserve">Grant agreements include relevant details to continue to manage prioritisation approaches, to reduce the likelihood of unintended consequences. </w:t>
      </w:r>
    </w:p>
    <w:p w14:paraId="5903E13E" w14:textId="56585158" w:rsidR="00A61FCF" w:rsidRDefault="00A61FCF" w:rsidP="00A61FCF">
      <w:pPr>
        <w:pStyle w:val="ListParagraph"/>
        <w:numPr>
          <w:ilvl w:val="0"/>
          <w:numId w:val="47"/>
        </w:numPr>
        <w:spacing w:after="60" w:line="288" w:lineRule="auto"/>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 xml:space="preserve">Grant agreement best </w:t>
      </w:r>
      <w:r w:rsidR="00EC5EAE">
        <w:rPr>
          <w:rFonts w:asciiTheme="majorHAnsi" w:hAnsiTheme="majorHAnsi" w:cstheme="minorHAnsi"/>
          <w:color w:val="auto"/>
          <w:sz w:val="22"/>
          <w:szCs w:val="22"/>
          <w:lang w:val="en-US"/>
        </w:rPr>
        <w:t>practice</w:t>
      </w:r>
      <w:r w:rsidRPr="003902B9">
        <w:rPr>
          <w:rFonts w:asciiTheme="majorHAnsi" w:hAnsiTheme="majorHAnsi" w:cstheme="minorHAnsi"/>
          <w:color w:val="auto"/>
          <w:sz w:val="22"/>
          <w:szCs w:val="22"/>
          <w:lang w:val="en-US"/>
        </w:rPr>
        <w:t xml:space="preserve"> assist</w:t>
      </w:r>
      <w:r w:rsidR="00EC5EAE">
        <w:rPr>
          <w:rFonts w:asciiTheme="majorHAnsi" w:hAnsiTheme="majorHAnsi" w:cstheme="minorHAnsi"/>
          <w:color w:val="auto"/>
          <w:sz w:val="22"/>
          <w:szCs w:val="22"/>
          <w:lang w:val="en-US"/>
        </w:rPr>
        <w:t>s</w:t>
      </w:r>
      <w:r w:rsidRPr="003902B9">
        <w:rPr>
          <w:rFonts w:asciiTheme="majorHAnsi" w:hAnsiTheme="majorHAnsi" w:cstheme="minorHAnsi"/>
          <w:color w:val="auto"/>
          <w:sz w:val="22"/>
          <w:szCs w:val="22"/>
          <w:lang w:val="en-US"/>
        </w:rPr>
        <w:t xml:space="preserve"> with managing the grant activity, i.e. reporting, quality and risks</w:t>
      </w:r>
      <w:r>
        <w:rPr>
          <w:rFonts w:asciiTheme="majorHAnsi" w:hAnsiTheme="majorHAnsi" w:cstheme="minorHAnsi"/>
          <w:color w:val="auto"/>
          <w:sz w:val="22"/>
          <w:szCs w:val="22"/>
          <w:lang w:val="en-US"/>
        </w:rPr>
        <w:t>.</w:t>
      </w:r>
    </w:p>
    <w:p w14:paraId="04E4E09E" w14:textId="3D43177F" w:rsidR="00A61FCF" w:rsidRPr="003902B9" w:rsidRDefault="00EC5EAE" w:rsidP="00A61FCF">
      <w:pPr>
        <w:pStyle w:val="ListParagraph"/>
        <w:numPr>
          <w:ilvl w:val="0"/>
          <w:numId w:val="47"/>
        </w:numPr>
        <w:spacing w:after="60" w:line="288" w:lineRule="auto"/>
        <w:rPr>
          <w:rFonts w:asciiTheme="majorHAnsi" w:hAnsiTheme="majorHAnsi" w:cstheme="minorHAnsi"/>
          <w:color w:val="auto"/>
          <w:sz w:val="22"/>
          <w:szCs w:val="22"/>
          <w:lang w:val="en-US"/>
        </w:rPr>
      </w:pPr>
      <w:r>
        <w:rPr>
          <w:rFonts w:asciiTheme="majorHAnsi" w:hAnsiTheme="majorHAnsi"/>
          <w:sz w:val="22"/>
          <w:szCs w:val="22"/>
        </w:rPr>
        <w:t>Consideration of h</w:t>
      </w:r>
      <w:r w:rsidR="00A61FCF" w:rsidRPr="00A03B1F">
        <w:rPr>
          <w:rFonts w:asciiTheme="majorHAnsi" w:hAnsiTheme="majorHAnsi"/>
          <w:sz w:val="22"/>
          <w:szCs w:val="22"/>
        </w:rPr>
        <w:t>ow probity will be managed throug</w:t>
      </w:r>
      <w:r w:rsidR="00A61FCF">
        <w:rPr>
          <w:rFonts w:asciiTheme="majorHAnsi" w:hAnsiTheme="majorHAnsi"/>
          <w:sz w:val="22"/>
          <w:szCs w:val="22"/>
        </w:rPr>
        <w:t>hout the consultation phase and grants administration</w:t>
      </w:r>
      <w:r>
        <w:rPr>
          <w:rFonts w:asciiTheme="majorHAnsi" w:hAnsiTheme="majorHAnsi"/>
          <w:sz w:val="22"/>
          <w:szCs w:val="22"/>
        </w:rPr>
        <w:t>,</w:t>
      </w:r>
      <w:r w:rsidR="00A61FCF">
        <w:rPr>
          <w:rFonts w:asciiTheme="majorHAnsi" w:hAnsiTheme="majorHAnsi"/>
          <w:sz w:val="22"/>
          <w:szCs w:val="22"/>
        </w:rPr>
        <w:t xml:space="preserve"> outlined in the assessment plan</w:t>
      </w:r>
      <w:r w:rsidR="00A61FCF" w:rsidRPr="00A03B1F">
        <w:rPr>
          <w:rFonts w:asciiTheme="majorHAnsi" w:hAnsiTheme="majorHAnsi"/>
          <w:sz w:val="22"/>
          <w:szCs w:val="22"/>
        </w:rPr>
        <w:t xml:space="preserve">.  </w:t>
      </w:r>
    </w:p>
    <w:p w14:paraId="5B89BFC0" w14:textId="77777777" w:rsidR="00A61FCF" w:rsidRDefault="00A61FCF" w:rsidP="00A61FCF">
      <w:pPr>
        <w:pStyle w:val="BodyText"/>
      </w:pPr>
      <w:r w:rsidRPr="00172880">
        <w:rPr>
          <w:color w:val="auto"/>
        </w:rPr>
        <w:t xml:space="preserve">Attachment A: </w:t>
      </w:r>
      <w:hyperlink w:anchor="_Attachment_B:_Aligning" w:history="1">
        <w:r w:rsidRPr="005A5D04">
          <w:rPr>
            <w:rStyle w:val="Hyperlink"/>
            <w:color w:val="015E8A" w:themeColor="text2" w:themeTint="E6"/>
          </w:rPr>
          <w:t>Prioritisation steps</w:t>
        </w:r>
      </w:hyperlink>
      <w:r w:rsidRPr="00172880">
        <w:t xml:space="preserve"> </w:t>
      </w:r>
      <w:r>
        <w:t xml:space="preserve">and </w:t>
      </w:r>
      <w:r w:rsidRPr="00172880">
        <w:rPr>
          <w:color w:val="auto"/>
        </w:rPr>
        <w:t>Attachment B:</w:t>
      </w:r>
      <w:r w:rsidRPr="00172880">
        <w:rPr>
          <w:color w:val="262626" w:themeColor="text1" w:themeTint="D9"/>
        </w:rPr>
        <w:t xml:space="preserve"> </w:t>
      </w:r>
      <w:hyperlink w:anchor="_Examples_of_Preferenced" w:history="1">
        <w:r w:rsidRPr="005A5D04">
          <w:rPr>
            <w:rStyle w:val="Hyperlink"/>
            <w:color w:val="015E8A" w:themeColor="text2" w:themeTint="E6"/>
          </w:rPr>
          <w:t>Examples of prioritised grants</w:t>
        </w:r>
      </w:hyperlink>
      <w:r>
        <w:rPr>
          <w:color w:val="262626" w:themeColor="text1" w:themeTint="D9"/>
        </w:rPr>
        <w:t>, will provide assistance when developing standard terminology in your GOGs.</w:t>
      </w:r>
    </w:p>
    <w:p w14:paraId="6AA70B34" w14:textId="77777777" w:rsidR="002157BE" w:rsidRPr="002D2872" w:rsidRDefault="002157BE" w:rsidP="002157BE">
      <w:pPr>
        <w:pStyle w:val="Heading2"/>
        <w:spacing w:before="240" w:line="288" w:lineRule="auto"/>
        <w:rPr>
          <w:color w:val="auto"/>
        </w:rPr>
      </w:pPr>
      <w:r w:rsidRPr="00D4086C">
        <w:rPr>
          <w:color w:val="auto"/>
        </w:rPr>
        <w:t>Verification of Organisations</w:t>
      </w:r>
    </w:p>
    <w:p w14:paraId="0190CD27" w14:textId="77777777" w:rsidR="00A61FCF" w:rsidRPr="00172880" w:rsidRDefault="00A61FCF" w:rsidP="00A61FCF">
      <w:pPr>
        <w:spacing w:before="240" w:after="60"/>
        <w:rPr>
          <w:rFonts w:asciiTheme="majorHAnsi" w:hAnsiTheme="majorHAnsi"/>
          <w:color w:val="auto"/>
          <w:sz w:val="22"/>
          <w:szCs w:val="22"/>
        </w:rPr>
      </w:pPr>
      <w:r w:rsidRPr="00172880">
        <w:rPr>
          <w:rFonts w:asciiTheme="majorHAnsi" w:hAnsiTheme="majorHAnsi"/>
          <w:color w:val="auto"/>
          <w:sz w:val="22"/>
          <w:szCs w:val="22"/>
        </w:rPr>
        <w:t>Agencies will need to determine</w:t>
      </w:r>
      <w:r>
        <w:rPr>
          <w:rFonts w:asciiTheme="majorHAnsi" w:hAnsiTheme="majorHAnsi"/>
          <w:color w:val="auto"/>
          <w:sz w:val="22"/>
          <w:szCs w:val="22"/>
        </w:rPr>
        <w:t>,</w:t>
      </w:r>
      <w:r w:rsidRPr="00172880">
        <w:rPr>
          <w:rFonts w:asciiTheme="majorHAnsi" w:hAnsiTheme="majorHAnsi"/>
          <w:color w:val="auto"/>
          <w:sz w:val="22"/>
          <w:szCs w:val="22"/>
        </w:rPr>
        <w:t xml:space="preserve"> based on an assessment of administrative effort, the intent of the grant, and associated risks:</w:t>
      </w:r>
    </w:p>
    <w:p w14:paraId="37ED6A2B" w14:textId="1F884786" w:rsidR="00D50245" w:rsidRDefault="00A61FCF" w:rsidP="00A61FCF">
      <w:pPr>
        <w:pStyle w:val="ListParagraph"/>
        <w:numPr>
          <w:ilvl w:val="0"/>
          <w:numId w:val="17"/>
        </w:numPr>
        <w:spacing w:after="60"/>
        <w:rPr>
          <w:rFonts w:asciiTheme="majorHAnsi" w:hAnsiTheme="majorHAnsi"/>
          <w:color w:val="auto"/>
          <w:sz w:val="22"/>
          <w:szCs w:val="22"/>
        </w:rPr>
      </w:pPr>
      <w:r w:rsidRPr="00172880">
        <w:rPr>
          <w:rFonts w:asciiTheme="majorHAnsi" w:hAnsiTheme="majorHAnsi"/>
          <w:color w:val="auto"/>
          <w:sz w:val="22"/>
          <w:szCs w:val="22"/>
        </w:rPr>
        <w:lastRenderedPageBreak/>
        <w:t xml:space="preserve">the type of organisations being prioritised (e.g. ACCOs, other Aboriginal and Torres Strait Islander organisation, </w:t>
      </w:r>
      <w:r w:rsidR="00E63215">
        <w:rPr>
          <w:rFonts w:asciiTheme="majorHAnsi" w:hAnsiTheme="majorHAnsi"/>
          <w:color w:val="auto"/>
          <w:sz w:val="22"/>
          <w:szCs w:val="22"/>
        </w:rPr>
        <w:t xml:space="preserve">or </w:t>
      </w:r>
      <w:r w:rsidRPr="00172880">
        <w:rPr>
          <w:rFonts w:asciiTheme="majorHAnsi" w:hAnsiTheme="majorHAnsi"/>
          <w:color w:val="auto"/>
          <w:sz w:val="22"/>
          <w:szCs w:val="22"/>
        </w:rPr>
        <w:t>other arrangements like joint ventures)</w:t>
      </w:r>
      <w:r>
        <w:rPr>
          <w:rFonts w:asciiTheme="majorHAnsi" w:hAnsiTheme="majorHAnsi"/>
          <w:color w:val="auto"/>
          <w:sz w:val="22"/>
          <w:szCs w:val="22"/>
        </w:rPr>
        <w:t xml:space="preserve">; </w:t>
      </w:r>
    </w:p>
    <w:p w14:paraId="2B1B119C" w14:textId="4C536465" w:rsidR="00A61FCF" w:rsidRPr="00172880" w:rsidRDefault="00D50245" w:rsidP="00D50245">
      <w:pPr>
        <w:pStyle w:val="ListParagraph"/>
        <w:numPr>
          <w:ilvl w:val="0"/>
          <w:numId w:val="17"/>
        </w:numPr>
        <w:spacing w:after="60"/>
        <w:rPr>
          <w:rFonts w:asciiTheme="majorHAnsi" w:hAnsiTheme="majorHAnsi"/>
          <w:color w:val="auto"/>
          <w:sz w:val="22"/>
          <w:szCs w:val="22"/>
        </w:rPr>
      </w:pPr>
      <w:r w:rsidRPr="00D50245">
        <w:rPr>
          <w:rFonts w:asciiTheme="majorHAnsi" w:hAnsiTheme="majorHAnsi"/>
          <w:color w:val="auto"/>
          <w:sz w:val="22"/>
          <w:szCs w:val="22"/>
        </w:rPr>
        <w:t xml:space="preserve">GOGs </w:t>
      </w:r>
      <w:r>
        <w:rPr>
          <w:rFonts w:asciiTheme="majorHAnsi" w:hAnsiTheme="majorHAnsi"/>
          <w:color w:val="auto"/>
          <w:sz w:val="22"/>
          <w:szCs w:val="22"/>
        </w:rPr>
        <w:t xml:space="preserve">will </w:t>
      </w:r>
      <w:r w:rsidRPr="00D50245">
        <w:rPr>
          <w:rFonts w:asciiTheme="majorHAnsi" w:hAnsiTheme="majorHAnsi"/>
          <w:color w:val="auto"/>
          <w:sz w:val="22"/>
          <w:szCs w:val="22"/>
        </w:rPr>
        <w:t>need to include a clear definition</w:t>
      </w:r>
      <w:r>
        <w:rPr>
          <w:rFonts w:asciiTheme="majorHAnsi" w:hAnsiTheme="majorHAnsi"/>
          <w:color w:val="auto"/>
          <w:sz w:val="22"/>
          <w:szCs w:val="22"/>
        </w:rPr>
        <w:t>s</w:t>
      </w:r>
      <w:r w:rsidRPr="00D50245">
        <w:rPr>
          <w:rFonts w:asciiTheme="majorHAnsi" w:hAnsiTheme="majorHAnsi"/>
          <w:color w:val="auto"/>
          <w:sz w:val="22"/>
          <w:szCs w:val="22"/>
        </w:rPr>
        <w:t xml:space="preserve"> of eligible organisations </w:t>
      </w:r>
      <w:r w:rsidR="0008082C" w:rsidRPr="00D50245">
        <w:rPr>
          <w:rFonts w:asciiTheme="majorHAnsi" w:hAnsiTheme="majorHAnsi"/>
          <w:color w:val="auto"/>
          <w:sz w:val="22"/>
          <w:szCs w:val="22"/>
        </w:rPr>
        <w:t>e.g.</w:t>
      </w:r>
      <w:r w:rsidRPr="00D50245">
        <w:rPr>
          <w:rFonts w:asciiTheme="majorHAnsi" w:hAnsiTheme="majorHAnsi"/>
          <w:color w:val="auto"/>
          <w:sz w:val="22"/>
          <w:szCs w:val="22"/>
        </w:rPr>
        <w:t xml:space="preserve"> definition of ACCO</w:t>
      </w:r>
      <w:r>
        <w:rPr>
          <w:rFonts w:asciiTheme="majorHAnsi" w:hAnsiTheme="majorHAnsi"/>
          <w:color w:val="auto"/>
          <w:sz w:val="22"/>
          <w:szCs w:val="22"/>
        </w:rPr>
        <w:t>;</w:t>
      </w:r>
      <w:r w:rsidRPr="00D50245">
        <w:rPr>
          <w:rFonts w:asciiTheme="majorHAnsi" w:hAnsiTheme="majorHAnsi"/>
          <w:color w:val="auto"/>
          <w:sz w:val="22"/>
          <w:szCs w:val="22"/>
        </w:rPr>
        <w:t xml:space="preserve"> </w:t>
      </w:r>
      <w:r w:rsidR="00A61FCF">
        <w:rPr>
          <w:rFonts w:asciiTheme="majorHAnsi" w:hAnsiTheme="majorHAnsi"/>
          <w:color w:val="auto"/>
          <w:sz w:val="22"/>
          <w:szCs w:val="22"/>
        </w:rPr>
        <w:t>and</w:t>
      </w:r>
    </w:p>
    <w:p w14:paraId="487F493E" w14:textId="77777777" w:rsidR="00A61FCF" w:rsidRPr="00172880" w:rsidRDefault="00A61FCF" w:rsidP="00A61FCF">
      <w:pPr>
        <w:pStyle w:val="ListParagraph"/>
        <w:numPr>
          <w:ilvl w:val="0"/>
          <w:numId w:val="17"/>
        </w:numPr>
        <w:spacing w:after="60"/>
        <w:rPr>
          <w:rFonts w:asciiTheme="majorHAnsi" w:hAnsiTheme="majorHAnsi"/>
          <w:color w:val="auto"/>
          <w:sz w:val="22"/>
          <w:szCs w:val="22"/>
        </w:rPr>
      </w:pPr>
      <w:r w:rsidRPr="00172880">
        <w:rPr>
          <w:rFonts w:asciiTheme="majorHAnsi" w:hAnsiTheme="majorHAnsi"/>
          <w:color w:val="auto"/>
          <w:sz w:val="22"/>
          <w:szCs w:val="22"/>
        </w:rPr>
        <w:t>whether to verify the organisational type.</w:t>
      </w:r>
    </w:p>
    <w:p w14:paraId="56299E03" w14:textId="77777777" w:rsidR="00A61FCF" w:rsidRPr="00172880" w:rsidRDefault="00A61FCF" w:rsidP="00A61FCF">
      <w:pPr>
        <w:spacing w:after="0"/>
        <w:rPr>
          <w:rFonts w:asciiTheme="majorHAnsi" w:hAnsiTheme="majorHAnsi"/>
          <w:color w:val="auto"/>
          <w:sz w:val="22"/>
          <w:szCs w:val="22"/>
        </w:rPr>
      </w:pPr>
    </w:p>
    <w:p w14:paraId="159FAA04" w14:textId="77777777" w:rsidR="00A61FCF" w:rsidRDefault="00A61FCF" w:rsidP="00A61FCF">
      <w:pPr>
        <w:spacing w:after="60"/>
        <w:rPr>
          <w:rFonts w:asciiTheme="majorHAnsi" w:hAnsiTheme="majorHAnsi"/>
          <w:color w:val="auto"/>
          <w:sz w:val="22"/>
          <w:szCs w:val="22"/>
        </w:rPr>
      </w:pPr>
      <w:r w:rsidRPr="00172880">
        <w:rPr>
          <w:rFonts w:asciiTheme="majorHAnsi" w:hAnsiTheme="majorHAnsi"/>
          <w:color w:val="auto"/>
          <w:sz w:val="22"/>
          <w:szCs w:val="22"/>
        </w:rPr>
        <w:t>If verification is undertaken, the agency must decide both when and how the verification will be undertaken</w:t>
      </w:r>
      <w:r>
        <w:rPr>
          <w:rFonts w:asciiTheme="majorHAnsi" w:hAnsiTheme="majorHAnsi"/>
          <w:color w:val="auto"/>
          <w:sz w:val="22"/>
          <w:szCs w:val="22"/>
        </w:rPr>
        <w:t>. Agencies use a range of different practices to verify organisational status, including;</w:t>
      </w:r>
    </w:p>
    <w:p w14:paraId="294A1586"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S</w:t>
      </w:r>
      <w:r w:rsidRPr="009D3BAF">
        <w:rPr>
          <w:rFonts w:asciiTheme="majorHAnsi" w:hAnsiTheme="majorHAnsi"/>
          <w:color w:val="auto"/>
          <w:sz w:val="22"/>
          <w:szCs w:val="22"/>
        </w:rPr>
        <w:t>elf-declaration</w:t>
      </w:r>
      <w:r>
        <w:rPr>
          <w:rFonts w:asciiTheme="majorHAnsi" w:hAnsiTheme="majorHAnsi"/>
          <w:color w:val="auto"/>
          <w:sz w:val="22"/>
          <w:szCs w:val="22"/>
        </w:rPr>
        <w:t>;</w:t>
      </w:r>
      <w:r w:rsidRPr="009D3BAF">
        <w:rPr>
          <w:rFonts w:asciiTheme="majorHAnsi" w:hAnsiTheme="majorHAnsi"/>
          <w:color w:val="auto"/>
          <w:sz w:val="22"/>
          <w:szCs w:val="22"/>
        </w:rPr>
        <w:t xml:space="preserve">  </w:t>
      </w:r>
    </w:p>
    <w:p w14:paraId="1A2886C1"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D</w:t>
      </w:r>
      <w:r w:rsidRPr="009D3BAF">
        <w:rPr>
          <w:rFonts w:asciiTheme="majorHAnsi" w:hAnsiTheme="majorHAnsi"/>
          <w:color w:val="auto"/>
          <w:sz w:val="22"/>
          <w:szCs w:val="22"/>
        </w:rPr>
        <w:t>esktop review</w:t>
      </w:r>
      <w:r>
        <w:rPr>
          <w:rFonts w:asciiTheme="majorHAnsi" w:hAnsiTheme="majorHAnsi"/>
          <w:color w:val="auto"/>
          <w:sz w:val="22"/>
          <w:szCs w:val="22"/>
        </w:rPr>
        <w:t xml:space="preserve">; </w:t>
      </w:r>
    </w:p>
    <w:p w14:paraId="1FC6621F"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 xml:space="preserve">Use </w:t>
      </w:r>
      <w:r w:rsidRPr="009D3BAF">
        <w:rPr>
          <w:rFonts w:asciiTheme="majorHAnsi" w:hAnsiTheme="majorHAnsi"/>
          <w:color w:val="auto"/>
          <w:sz w:val="22"/>
          <w:szCs w:val="22"/>
        </w:rPr>
        <w:t xml:space="preserve">registers such as </w:t>
      </w:r>
      <w:hyperlink r:id="rId17" w:history="1">
        <w:r w:rsidRPr="005A5D04">
          <w:rPr>
            <w:rStyle w:val="Hyperlink"/>
            <w:rFonts w:asciiTheme="majorHAnsi" w:hAnsiTheme="majorHAnsi"/>
            <w:color w:val="015E8A" w:themeColor="text2" w:themeTint="E6"/>
            <w:sz w:val="22"/>
            <w:szCs w:val="22"/>
            <w:lang w:val="en-US"/>
          </w:rPr>
          <w:t>Office of the Registrar of Indigenous Corporations</w:t>
        </w:r>
      </w:hyperlink>
      <w:r w:rsidRPr="00172880">
        <w:rPr>
          <w:rFonts w:asciiTheme="majorHAnsi" w:hAnsiTheme="majorHAnsi"/>
          <w:color w:val="auto"/>
          <w:sz w:val="22"/>
          <w:szCs w:val="22"/>
          <w:lang w:val="en-US"/>
        </w:rPr>
        <w:t xml:space="preserve"> </w:t>
      </w:r>
      <w:r>
        <w:rPr>
          <w:rFonts w:asciiTheme="majorHAnsi" w:hAnsiTheme="majorHAnsi"/>
          <w:color w:val="auto"/>
          <w:sz w:val="22"/>
          <w:szCs w:val="22"/>
          <w:lang w:val="en-US"/>
        </w:rPr>
        <w:t>(</w:t>
      </w:r>
      <w:r w:rsidRPr="009D3BAF">
        <w:rPr>
          <w:rFonts w:asciiTheme="majorHAnsi" w:hAnsiTheme="majorHAnsi"/>
          <w:color w:val="auto"/>
          <w:sz w:val="22"/>
          <w:szCs w:val="22"/>
        </w:rPr>
        <w:t>ORIC</w:t>
      </w:r>
      <w:r>
        <w:rPr>
          <w:rFonts w:asciiTheme="majorHAnsi" w:hAnsiTheme="majorHAnsi"/>
          <w:color w:val="auto"/>
          <w:sz w:val="22"/>
          <w:szCs w:val="22"/>
        </w:rPr>
        <w:t>),</w:t>
      </w:r>
      <w:r w:rsidRPr="009D3BAF">
        <w:rPr>
          <w:rFonts w:asciiTheme="majorHAnsi" w:hAnsiTheme="majorHAnsi"/>
          <w:color w:val="auto"/>
          <w:sz w:val="22"/>
          <w:szCs w:val="22"/>
        </w:rPr>
        <w:t xml:space="preserve"> Supply Nation</w:t>
      </w:r>
      <w:r>
        <w:rPr>
          <w:rFonts w:asciiTheme="majorHAnsi" w:hAnsiTheme="majorHAnsi"/>
          <w:color w:val="auto"/>
          <w:sz w:val="22"/>
          <w:szCs w:val="22"/>
        </w:rPr>
        <w:t>,</w:t>
      </w:r>
      <w:r w:rsidRPr="009D3BAF">
        <w:rPr>
          <w:rFonts w:asciiTheme="majorHAnsi" w:hAnsiTheme="majorHAnsi"/>
          <w:color w:val="auto"/>
          <w:sz w:val="22"/>
          <w:szCs w:val="22"/>
        </w:rPr>
        <w:t xml:space="preserve"> or </w:t>
      </w:r>
      <w:r>
        <w:rPr>
          <w:rFonts w:asciiTheme="majorHAnsi" w:hAnsiTheme="majorHAnsi"/>
          <w:color w:val="auto"/>
          <w:sz w:val="22"/>
          <w:szCs w:val="22"/>
        </w:rPr>
        <w:t>member of the Coalition of Peaks; or</w:t>
      </w:r>
    </w:p>
    <w:p w14:paraId="18AF0818" w14:textId="326FE624" w:rsidR="00A61FCF" w:rsidRPr="00DA40F1" w:rsidRDefault="002A27AA"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D</w:t>
      </w:r>
      <w:r w:rsidR="00A61FCF" w:rsidRPr="00DA40F1">
        <w:rPr>
          <w:rFonts w:asciiTheme="majorHAnsi" w:hAnsiTheme="majorHAnsi"/>
          <w:color w:val="auto"/>
          <w:sz w:val="22"/>
          <w:szCs w:val="22"/>
        </w:rPr>
        <w:t>ocumentation such as Register of Shareholders, Shareholders Agreement, Register of Officeholders, Register of Members, Constitution, Rule Book, Trust Deed, Partnership Agreement</w:t>
      </w:r>
      <w:r w:rsidR="00A61FCF">
        <w:rPr>
          <w:rFonts w:asciiTheme="majorHAnsi" w:hAnsiTheme="majorHAnsi"/>
          <w:color w:val="auto"/>
          <w:sz w:val="22"/>
          <w:szCs w:val="22"/>
        </w:rPr>
        <w:t>,</w:t>
      </w:r>
      <w:r w:rsidR="00A61FCF" w:rsidRPr="00DA40F1">
        <w:rPr>
          <w:rFonts w:asciiTheme="majorHAnsi" w:hAnsiTheme="majorHAnsi"/>
          <w:color w:val="auto"/>
          <w:sz w:val="22"/>
          <w:szCs w:val="22"/>
        </w:rPr>
        <w:t xml:space="preserve"> </w:t>
      </w:r>
      <w:r w:rsidR="00A61FCF">
        <w:rPr>
          <w:rFonts w:asciiTheme="majorHAnsi" w:hAnsiTheme="majorHAnsi"/>
          <w:color w:val="auto"/>
          <w:sz w:val="22"/>
          <w:szCs w:val="22"/>
        </w:rPr>
        <w:t xml:space="preserve">or </w:t>
      </w:r>
      <w:r w:rsidR="00A61FCF" w:rsidRPr="00DA40F1">
        <w:rPr>
          <w:rFonts w:asciiTheme="majorHAnsi" w:hAnsiTheme="majorHAnsi"/>
          <w:color w:val="auto"/>
          <w:sz w:val="22"/>
          <w:szCs w:val="22"/>
        </w:rPr>
        <w:t>ABN Registration</w:t>
      </w:r>
      <w:r w:rsidR="00A61FCF">
        <w:rPr>
          <w:rFonts w:asciiTheme="majorHAnsi" w:hAnsiTheme="majorHAnsi"/>
          <w:color w:val="auto"/>
          <w:sz w:val="22"/>
          <w:szCs w:val="22"/>
        </w:rPr>
        <w:t>.</w:t>
      </w:r>
    </w:p>
    <w:p w14:paraId="0DD6497A" w14:textId="77777777" w:rsidR="00A61FCF" w:rsidRDefault="00A61FCF" w:rsidP="00A61FCF">
      <w:pPr>
        <w:spacing w:after="60"/>
        <w:rPr>
          <w:rFonts w:asciiTheme="majorHAnsi" w:hAnsiTheme="majorHAnsi"/>
          <w:color w:val="auto"/>
          <w:sz w:val="22"/>
          <w:szCs w:val="22"/>
          <w:lang w:val="en-US"/>
        </w:rPr>
      </w:pPr>
    </w:p>
    <w:p w14:paraId="70CD8F1B" w14:textId="69CFE99F" w:rsidR="00A61FCF" w:rsidRPr="00172880" w:rsidRDefault="00A61FCF" w:rsidP="00A61FCF">
      <w:pPr>
        <w:spacing w:after="60"/>
        <w:rPr>
          <w:rFonts w:asciiTheme="majorHAnsi" w:hAnsiTheme="majorHAnsi"/>
          <w:color w:val="auto"/>
          <w:sz w:val="22"/>
          <w:szCs w:val="22"/>
          <w:lang w:val="en-US"/>
        </w:rPr>
      </w:pPr>
      <w:r w:rsidRPr="00172880">
        <w:rPr>
          <w:rFonts w:asciiTheme="majorHAnsi" w:hAnsiTheme="majorHAnsi"/>
          <w:color w:val="auto"/>
          <w:sz w:val="22"/>
          <w:szCs w:val="22"/>
          <w:lang w:val="en-US"/>
        </w:rPr>
        <w:t xml:space="preserve">Currently, there is no single authoritative source to accurately confirm the status of ACCOs and other Aboriginal and Torres Strait Islander organisations. Agencies must determine if the source they use is a reliable indication that the applicant has the required organisational status. For example, </w:t>
      </w:r>
      <w:hyperlink r:id="rId18" w:history="1">
        <w:r w:rsidRPr="005A5D04">
          <w:rPr>
            <w:rStyle w:val="Hyperlink"/>
            <w:rFonts w:asciiTheme="majorHAnsi" w:hAnsiTheme="majorHAnsi"/>
            <w:color w:val="015E8A" w:themeColor="text2" w:themeTint="E6"/>
            <w:sz w:val="22"/>
            <w:szCs w:val="22"/>
            <w:lang w:val="en-US"/>
          </w:rPr>
          <w:t>Office of the Registrar of Indigenous Corporation</w:t>
        </w:r>
      </w:hyperlink>
      <w:r w:rsidRPr="00172880">
        <w:rPr>
          <w:rFonts w:asciiTheme="majorHAnsi" w:hAnsiTheme="majorHAnsi"/>
          <w:color w:val="auto"/>
          <w:sz w:val="22"/>
          <w:szCs w:val="22"/>
          <w:lang w:val="en-US"/>
        </w:rPr>
        <w:t xml:space="preserve">’s (ORIC) Register provides details of organisations that are over 51 per cent owned and controlled by Aboriginal and Torres Strait Islander people that voluntarily register with them. </w:t>
      </w:r>
    </w:p>
    <w:p w14:paraId="18F7EB15" w14:textId="5CA32203" w:rsidR="00A61FCF" w:rsidRPr="00172880" w:rsidRDefault="00A61FCF" w:rsidP="00055102">
      <w:pPr>
        <w:pStyle w:val="ListParagraph"/>
        <w:numPr>
          <w:ilvl w:val="0"/>
          <w:numId w:val="18"/>
        </w:numPr>
        <w:spacing w:after="60"/>
        <w:rPr>
          <w:rFonts w:asciiTheme="majorHAnsi" w:hAnsiTheme="majorHAnsi" w:cstheme="minorHAnsi"/>
          <w:color w:val="293F54" w:themeColor="accent5" w:themeTint="E6"/>
          <w:sz w:val="22"/>
          <w:szCs w:val="22"/>
        </w:rPr>
      </w:pPr>
      <w:r w:rsidRPr="00172880">
        <w:rPr>
          <w:rFonts w:asciiTheme="majorHAnsi" w:hAnsiTheme="majorHAnsi"/>
          <w:color w:val="auto"/>
          <w:sz w:val="22"/>
          <w:szCs w:val="22"/>
          <w:lang w:val="en-US"/>
        </w:rPr>
        <w:t>Additional registers available to verify an organisations status include</w:t>
      </w:r>
      <w:r w:rsidRPr="00D50245">
        <w:rPr>
          <w:rFonts w:asciiTheme="majorHAnsi" w:hAnsiTheme="majorHAnsi"/>
          <w:color w:val="auto"/>
          <w:sz w:val="22"/>
          <w:szCs w:val="22"/>
          <w:lang w:val="en-US"/>
        </w:rPr>
        <w:t xml:space="preserve">; </w:t>
      </w:r>
      <w:hyperlink r:id="rId19" w:history="1">
        <w:r w:rsidRPr="005A5D04">
          <w:rPr>
            <w:rStyle w:val="Hyperlink"/>
            <w:rFonts w:asciiTheme="majorHAnsi" w:hAnsiTheme="majorHAnsi"/>
            <w:color w:val="015E8A" w:themeColor="text2" w:themeTint="E6"/>
            <w:sz w:val="22"/>
            <w:szCs w:val="22"/>
          </w:rPr>
          <w:t>Supply Nation</w:t>
        </w:r>
      </w:hyperlink>
      <w:r w:rsidRPr="00D50245">
        <w:rPr>
          <w:rFonts w:asciiTheme="majorHAnsi" w:hAnsiTheme="majorHAnsi"/>
          <w:color w:val="auto"/>
          <w:sz w:val="22"/>
          <w:szCs w:val="22"/>
        </w:rPr>
        <w:t xml:space="preserve">,  </w:t>
      </w:r>
      <w:hyperlink r:id="rId20">
        <w:r w:rsidR="00750EA8" w:rsidRPr="005A5D04">
          <w:rPr>
            <w:rStyle w:val="Hyperlink"/>
            <w:rFonts w:asciiTheme="majorHAnsi" w:hAnsiTheme="majorHAnsi"/>
            <w:color w:val="015E8A" w:themeColor="text2" w:themeTint="E6"/>
            <w:sz w:val="22"/>
            <w:szCs w:val="22"/>
          </w:rPr>
          <w:t>Aboriginal Business Directory WA</w:t>
        </w:r>
      </w:hyperlink>
      <w:r w:rsidRPr="00172880">
        <w:rPr>
          <w:rFonts w:asciiTheme="majorHAnsi" w:hAnsiTheme="majorHAnsi"/>
          <w:sz w:val="22"/>
          <w:szCs w:val="22"/>
        </w:rPr>
        <w:t xml:space="preserve">, </w:t>
      </w:r>
      <w:hyperlink r:id="rId21">
        <w:r w:rsidRPr="005A5D04">
          <w:rPr>
            <w:rStyle w:val="Hyperlink"/>
            <w:rFonts w:asciiTheme="majorHAnsi" w:hAnsiTheme="majorHAnsi"/>
            <w:color w:val="015E8A" w:themeColor="text2" w:themeTint="E6"/>
            <w:sz w:val="22"/>
            <w:szCs w:val="22"/>
          </w:rPr>
          <w:t>Northern Territory Indigenous Business Network</w:t>
        </w:r>
      </w:hyperlink>
      <w:r w:rsidRPr="005A5D04">
        <w:rPr>
          <w:rStyle w:val="Hyperlink"/>
          <w:rFonts w:asciiTheme="majorHAnsi" w:hAnsiTheme="majorHAnsi"/>
          <w:color w:val="015E8A" w:themeColor="text2" w:themeTint="E6"/>
          <w:sz w:val="22"/>
          <w:szCs w:val="22"/>
        </w:rPr>
        <w:t>,</w:t>
      </w:r>
      <w:r w:rsidRPr="00172880">
        <w:rPr>
          <w:rFonts w:asciiTheme="majorHAnsi" w:hAnsiTheme="majorHAnsi"/>
          <w:sz w:val="22"/>
          <w:szCs w:val="22"/>
        </w:rPr>
        <w:t xml:space="preserve"> </w:t>
      </w:r>
      <w:hyperlink r:id="rId22" w:history="1">
        <w:r w:rsidRPr="005A5D04">
          <w:rPr>
            <w:rStyle w:val="Hyperlink"/>
            <w:rFonts w:asciiTheme="majorHAnsi" w:hAnsiTheme="majorHAnsi"/>
            <w:color w:val="015E8A" w:themeColor="text2" w:themeTint="E6"/>
            <w:sz w:val="22"/>
            <w:szCs w:val="22"/>
          </w:rPr>
          <w:t>NSW Indigenous Chamber of Commerce</w:t>
        </w:r>
      </w:hyperlink>
      <w:r w:rsidRPr="00172880">
        <w:rPr>
          <w:rFonts w:asciiTheme="majorHAnsi" w:hAnsiTheme="majorHAnsi"/>
          <w:sz w:val="22"/>
          <w:szCs w:val="22"/>
        </w:rPr>
        <w:t xml:space="preserve">, </w:t>
      </w:r>
      <w:hyperlink r:id="rId23" w:history="1">
        <w:r w:rsidRPr="005A5D04">
          <w:rPr>
            <w:rStyle w:val="Hyperlink"/>
            <w:rFonts w:asciiTheme="majorHAnsi" w:hAnsiTheme="majorHAnsi"/>
            <w:color w:val="015E8A" w:themeColor="text2" w:themeTint="E6"/>
            <w:sz w:val="22"/>
            <w:szCs w:val="22"/>
          </w:rPr>
          <w:t>First Nations Chamber of Commerce and Industry</w:t>
        </w:r>
      </w:hyperlink>
      <w:r w:rsidR="00055102" w:rsidRPr="005A5D04">
        <w:rPr>
          <w:rStyle w:val="Hyperlink"/>
          <w:rFonts w:asciiTheme="majorHAnsi" w:hAnsiTheme="majorHAnsi"/>
          <w:color w:val="015E8A" w:themeColor="text2" w:themeTint="E6"/>
          <w:sz w:val="22"/>
          <w:szCs w:val="22"/>
        </w:rPr>
        <w:t xml:space="preserve">, </w:t>
      </w:r>
      <w:hyperlink r:id="rId24" w:history="1">
        <w:r w:rsidR="00055102" w:rsidRPr="005A5D04">
          <w:rPr>
            <w:rStyle w:val="Hyperlink"/>
            <w:rFonts w:asciiTheme="majorHAnsi" w:hAnsiTheme="majorHAnsi"/>
            <w:color w:val="015E8A" w:themeColor="text2" w:themeTint="E6"/>
            <w:sz w:val="22"/>
            <w:szCs w:val="22"/>
          </w:rPr>
          <w:t>Queensland Indigenous Business Network</w:t>
        </w:r>
      </w:hyperlink>
      <w:r w:rsidRPr="00172880">
        <w:rPr>
          <w:rFonts w:asciiTheme="majorHAnsi" w:hAnsiTheme="majorHAnsi"/>
          <w:sz w:val="22"/>
          <w:szCs w:val="22"/>
        </w:rPr>
        <w:t xml:space="preserve"> </w:t>
      </w:r>
      <w:r w:rsidRPr="00172880">
        <w:rPr>
          <w:rFonts w:asciiTheme="majorHAnsi" w:hAnsiTheme="majorHAnsi"/>
          <w:color w:val="auto"/>
          <w:sz w:val="22"/>
          <w:szCs w:val="22"/>
        </w:rPr>
        <w:t>and</w:t>
      </w:r>
      <w:r w:rsidRPr="00172880">
        <w:rPr>
          <w:rFonts w:asciiTheme="majorHAnsi" w:hAnsiTheme="majorHAnsi"/>
          <w:sz w:val="22"/>
          <w:szCs w:val="22"/>
        </w:rPr>
        <w:t xml:space="preserve"> </w:t>
      </w:r>
      <w:hyperlink r:id="rId25">
        <w:r w:rsidRPr="005A5D04">
          <w:rPr>
            <w:rStyle w:val="Hyperlink"/>
            <w:rFonts w:asciiTheme="majorHAnsi" w:hAnsiTheme="majorHAnsi"/>
            <w:color w:val="015E8A" w:themeColor="text2" w:themeTint="E6"/>
            <w:sz w:val="22"/>
            <w:szCs w:val="22"/>
          </w:rPr>
          <w:t>Black Business Finder</w:t>
        </w:r>
      </w:hyperlink>
      <w:r w:rsidRPr="00172880">
        <w:rPr>
          <w:rFonts w:asciiTheme="majorHAnsi" w:hAnsiTheme="majorHAnsi"/>
          <w:sz w:val="22"/>
          <w:szCs w:val="22"/>
        </w:rPr>
        <w:t>.</w:t>
      </w:r>
    </w:p>
    <w:p w14:paraId="7A024A3C" w14:textId="4F18BB28" w:rsidR="00A61FCF" w:rsidRPr="00172880" w:rsidRDefault="00A61FCF" w:rsidP="00A61FCF">
      <w:pPr>
        <w:pStyle w:val="ListParagraph"/>
        <w:numPr>
          <w:ilvl w:val="0"/>
          <w:numId w:val="18"/>
        </w:numPr>
        <w:spacing w:after="60"/>
        <w:rPr>
          <w:rFonts w:asciiTheme="majorHAnsi" w:hAnsiTheme="majorHAnsi" w:cstheme="minorHAnsi"/>
          <w:color w:val="auto"/>
          <w:sz w:val="22"/>
          <w:szCs w:val="22"/>
        </w:rPr>
      </w:pPr>
      <w:r w:rsidRPr="00172880">
        <w:rPr>
          <w:rFonts w:asciiTheme="majorHAnsi" w:hAnsiTheme="majorHAnsi"/>
          <w:color w:val="auto"/>
          <w:sz w:val="22"/>
          <w:szCs w:val="22"/>
          <w:lang w:val="en-US"/>
        </w:rPr>
        <w:t>The verification process must be outlined in the GOG.</w:t>
      </w:r>
      <w:r w:rsidRPr="00172880">
        <w:rPr>
          <w:rFonts w:asciiTheme="majorHAnsi" w:hAnsiTheme="majorHAnsi" w:cstheme="minorHAnsi"/>
          <w:color w:val="auto"/>
          <w:sz w:val="22"/>
          <w:szCs w:val="22"/>
          <w:lang w:val="en-US"/>
        </w:rPr>
        <w:t xml:space="preserve"> </w:t>
      </w:r>
    </w:p>
    <w:p w14:paraId="44E6D62F" w14:textId="77777777" w:rsidR="00A61FCF" w:rsidRPr="00172880" w:rsidRDefault="00A61FCF" w:rsidP="00A61FCF">
      <w:pPr>
        <w:pStyle w:val="ListParagraph"/>
        <w:numPr>
          <w:ilvl w:val="0"/>
          <w:numId w:val="18"/>
        </w:numPr>
        <w:spacing w:after="60"/>
        <w:rPr>
          <w:rStyle w:val="Hyperlink"/>
          <w:rFonts w:asciiTheme="majorHAnsi" w:hAnsiTheme="majorHAnsi" w:cstheme="minorHAnsi"/>
          <w:color w:val="auto"/>
          <w:sz w:val="22"/>
          <w:szCs w:val="22"/>
          <w:u w:val="none"/>
        </w:rPr>
      </w:pPr>
      <w:r w:rsidRPr="00172880">
        <w:rPr>
          <w:rFonts w:asciiTheme="majorHAnsi" w:hAnsiTheme="majorHAnsi"/>
          <w:color w:val="auto"/>
          <w:sz w:val="22"/>
          <w:szCs w:val="22"/>
        </w:rPr>
        <w:t>Limited methods exist to check if an organisation is an ACCO. For example, the</w:t>
      </w:r>
      <w:r w:rsidRPr="00172880">
        <w:rPr>
          <w:rFonts w:asciiTheme="majorHAnsi" w:hAnsiTheme="majorHAnsi"/>
          <w:color w:val="293F54" w:themeColor="accent5" w:themeTint="E6"/>
          <w:sz w:val="22"/>
          <w:szCs w:val="22"/>
        </w:rPr>
        <w:t xml:space="preserve"> </w:t>
      </w:r>
      <w:hyperlink r:id="rId26" w:history="1">
        <w:r w:rsidRPr="005A5D04">
          <w:rPr>
            <w:rStyle w:val="Hyperlink"/>
            <w:rFonts w:asciiTheme="majorHAnsi" w:hAnsiTheme="majorHAnsi"/>
            <w:color w:val="015E8A" w:themeColor="text2" w:themeTint="E6"/>
            <w:sz w:val="22"/>
            <w:szCs w:val="22"/>
          </w:rPr>
          <w:t>NSW Department of Communities and Justice</w:t>
        </w:r>
      </w:hyperlink>
      <w:r w:rsidRPr="00172880">
        <w:rPr>
          <w:rFonts w:asciiTheme="majorHAnsi" w:hAnsiTheme="majorHAnsi"/>
          <w:color w:val="293F54" w:themeColor="accent5" w:themeTint="E6"/>
          <w:sz w:val="22"/>
          <w:szCs w:val="22"/>
        </w:rPr>
        <w:t xml:space="preserve"> provides </w:t>
      </w:r>
      <w:r w:rsidRPr="00172880">
        <w:rPr>
          <w:rFonts w:asciiTheme="majorHAnsi" w:hAnsiTheme="majorHAnsi"/>
          <w:color w:val="auto"/>
          <w:sz w:val="22"/>
          <w:szCs w:val="22"/>
        </w:rPr>
        <w:t>material on community-control, and the requirements for reporting on community-control.</w:t>
      </w:r>
    </w:p>
    <w:p w14:paraId="4E357497" w14:textId="7FA79AC2" w:rsidR="002157BE" w:rsidRDefault="002157BE" w:rsidP="002157BE">
      <w:pPr>
        <w:pStyle w:val="BodyText"/>
        <w:spacing w:after="60"/>
        <w:rPr>
          <w:bCs/>
        </w:rPr>
      </w:pPr>
    </w:p>
    <w:p w14:paraId="5BE90221" w14:textId="77777777" w:rsidR="00972F8F" w:rsidRDefault="00972F8F" w:rsidP="002157BE">
      <w:pPr>
        <w:pStyle w:val="BodyText"/>
        <w:spacing w:after="60"/>
        <w:rPr>
          <w:bCs/>
        </w:rPr>
      </w:pPr>
    </w:p>
    <w:p w14:paraId="73C6B073" w14:textId="77777777" w:rsidR="002157BE" w:rsidRPr="00D4086C" w:rsidRDefault="002157BE" w:rsidP="002157BE">
      <w:pPr>
        <w:pStyle w:val="Heading2"/>
        <w:spacing w:after="0"/>
        <w:rPr>
          <w:color w:val="auto"/>
        </w:rPr>
      </w:pPr>
      <w:r w:rsidRPr="00D4086C">
        <w:rPr>
          <w:color w:val="auto"/>
        </w:rPr>
        <w:t xml:space="preserve">Reporting </w:t>
      </w:r>
    </w:p>
    <w:p w14:paraId="2249FF9F" w14:textId="77777777" w:rsidR="00A61FCF" w:rsidRPr="00F42EC3" w:rsidRDefault="00A61FCF" w:rsidP="00A61FCF">
      <w:pPr>
        <w:pStyle w:val="NoSpacing"/>
        <w:rPr>
          <w:color w:val="auto"/>
        </w:rPr>
      </w:pPr>
      <w:r>
        <w:rPr>
          <w:color w:val="auto"/>
        </w:rPr>
        <w:t xml:space="preserve">Agencies are </w:t>
      </w:r>
      <w:r w:rsidRPr="00F42EC3">
        <w:rPr>
          <w:color w:val="auto"/>
        </w:rPr>
        <w:t xml:space="preserve">advised to establish their own recording and reporting practices to track </w:t>
      </w:r>
      <w:r>
        <w:rPr>
          <w:color w:val="auto"/>
        </w:rPr>
        <w:t>prioritisation efforts</w:t>
      </w:r>
      <w:r w:rsidRPr="00F42EC3">
        <w:rPr>
          <w:color w:val="auto"/>
        </w:rPr>
        <w:t xml:space="preserve"> and</w:t>
      </w:r>
      <w:r>
        <w:rPr>
          <w:color w:val="auto"/>
        </w:rPr>
        <w:t xml:space="preserve"> report on the</w:t>
      </w:r>
      <w:r w:rsidRPr="00F42EC3">
        <w:rPr>
          <w:color w:val="auto"/>
        </w:rPr>
        <w:t xml:space="preserve"> types of </w:t>
      </w:r>
      <w:r>
        <w:rPr>
          <w:color w:val="auto"/>
        </w:rPr>
        <w:t>organisations grants are awarded.</w:t>
      </w:r>
    </w:p>
    <w:p w14:paraId="0BE04CDC" w14:textId="77777777" w:rsidR="00A61FCF" w:rsidRDefault="00A61FCF" w:rsidP="00A61FCF">
      <w:pPr>
        <w:pStyle w:val="NoSpacing"/>
        <w:spacing w:before="0"/>
        <w:rPr>
          <w:color w:val="auto"/>
        </w:rPr>
      </w:pPr>
    </w:p>
    <w:p w14:paraId="36F13C16" w14:textId="2D550C87" w:rsidR="00A61FCF" w:rsidRDefault="00A61FCF" w:rsidP="00A61FCF">
      <w:pPr>
        <w:pStyle w:val="NoSpacing"/>
        <w:spacing w:before="0"/>
        <w:rPr>
          <w:color w:val="auto"/>
        </w:rPr>
      </w:pPr>
      <w:r>
        <w:rPr>
          <w:color w:val="auto"/>
        </w:rPr>
        <w:t>All a</w:t>
      </w:r>
      <w:r w:rsidRPr="00172880">
        <w:rPr>
          <w:color w:val="auto"/>
        </w:rPr>
        <w:t xml:space="preserve">gencies </w:t>
      </w:r>
      <w:r>
        <w:rPr>
          <w:color w:val="auto"/>
        </w:rPr>
        <w:t>are required to</w:t>
      </w:r>
      <w:r w:rsidRPr="00172880">
        <w:rPr>
          <w:color w:val="auto"/>
        </w:rPr>
        <w:t xml:space="preserve"> report their </w:t>
      </w:r>
      <w:r>
        <w:rPr>
          <w:color w:val="auto"/>
        </w:rPr>
        <w:t>Closing the Gap activities quarterly</w:t>
      </w:r>
      <w:r w:rsidRPr="00172880">
        <w:rPr>
          <w:color w:val="auto"/>
        </w:rPr>
        <w:t xml:space="preserve"> to the NIAA Clo</w:t>
      </w:r>
      <w:r>
        <w:rPr>
          <w:color w:val="auto"/>
        </w:rPr>
        <w:t>sing the Gap Branch and through their annual report. An email is sent quarterly to all Commonwealth agencies asking for their action items. When reporting prioritising actions, p</w:t>
      </w:r>
      <w:r w:rsidRPr="00172880">
        <w:rPr>
          <w:color w:val="auto"/>
        </w:rPr>
        <w:t>lease ensure the action details refers to ‘Funding Prioritisation Action’ or Clause 55(a)</w:t>
      </w:r>
      <w:r>
        <w:rPr>
          <w:color w:val="auto"/>
        </w:rPr>
        <w:t xml:space="preserve"> which is on the </w:t>
      </w:r>
      <w:hyperlink r:id="rId27" w:history="1">
        <w:r w:rsidRPr="005A5D04">
          <w:rPr>
            <w:rStyle w:val="Hyperlink"/>
            <w:color w:val="015E8A" w:themeColor="text2" w:themeTint="E6"/>
          </w:rPr>
          <w:t>Closing the Gap Actions Table</w:t>
        </w:r>
      </w:hyperlink>
      <w:r w:rsidRPr="00172880">
        <w:rPr>
          <w:color w:val="auto"/>
        </w:rPr>
        <w:t xml:space="preserve">. </w:t>
      </w:r>
    </w:p>
    <w:p w14:paraId="5F9AD941" w14:textId="77777777" w:rsidR="00A61FCF" w:rsidRDefault="00A61FCF" w:rsidP="00A61FCF">
      <w:pPr>
        <w:pStyle w:val="NoSpacing"/>
        <w:spacing w:before="0"/>
        <w:rPr>
          <w:color w:val="auto"/>
        </w:rPr>
      </w:pPr>
    </w:p>
    <w:p w14:paraId="528D7478" w14:textId="77777777" w:rsidR="00A61FCF" w:rsidRPr="00172880" w:rsidRDefault="00A61FCF" w:rsidP="00A61FCF">
      <w:pPr>
        <w:pStyle w:val="NoSpacing"/>
        <w:spacing w:before="0"/>
      </w:pPr>
      <w:r w:rsidRPr="00172880">
        <w:rPr>
          <w:color w:val="auto"/>
        </w:rPr>
        <w:lastRenderedPageBreak/>
        <w:t xml:space="preserve">For further information please contact </w:t>
      </w:r>
      <w:hyperlink r:id="rId28" w:history="1">
        <w:r w:rsidRPr="005A5D04">
          <w:rPr>
            <w:rStyle w:val="Hyperlink"/>
            <w:color w:val="015E8A" w:themeColor="text2" w:themeTint="E6"/>
          </w:rPr>
          <w:t>IA-IDC@niaa.gov.au</w:t>
        </w:r>
      </w:hyperlink>
      <w:r w:rsidRPr="005A5D04">
        <w:rPr>
          <w:rStyle w:val="Hyperlink"/>
          <w:color w:val="015E8A" w:themeColor="text2" w:themeTint="E6"/>
        </w:rPr>
        <w:t>.</w:t>
      </w:r>
      <w:r w:rsidRPr="00172880">
        <w:t xml:space="preserve"> </w:t>
      </w:r>
    </w:p>
    <w:p w14:paraId="1E7CC38D" w14:textId="77777777" w:rsidR="002157BE" w:rsidRPr="009D3A52" w:rsidRDefault="002157BE" w:rsidP="002157BE">
      <w:pPr>
        <w:pStyle w:val="BodyText"/>
        <w:spacing w:after="60"/>
        <w:rPr>
          <w:bCs/>
        </w:rPr>
      </w:pPr>
    </w:p>
    <w:p w14:paraId="3366C374" w14:textId="77777777" w:rsidR="002157BE" w:rsidRPr="00232FDF" w:rsidRDefault="002157BE" w:rsidP="002157BE">
      <w:pPr>
        <w:pStyle w:val="Heading2"/>
        <w:spacing w:after="0"/>
        <w:rPr>
          <w:color w:val="auto"/>
        </w:rPr>
      </w:pPr>
      <w:r w:rsidRPr="00232FDF">
        <w:rPr>
          <w:color w:val="auto"/>
        </w:rPr>
        <w:t>Supporting documents</w:t>
      </w:r>
    </w:p>
    <w:p w14:paraId="086511B6" w14:textId="77777777" w:rsidR="002157BE" w:rsidRPr="00232FDF" w:rsidRDefault="002157BE" w:rsidP="002157BE">
      <w:pPr>
        <w:pStyle w:val="Heading2"/>
        <w:spacing w:after="0"/>
        <w:rPr>
          <w:color w:val="auto"/>
          <w:sz w:val="22"/>
          <w:szCs w:val="22"/>
        </w:rPr>
      </w:pPr>
    </w:p>
    <w:p w14:paraId="2B4B2095" w14:textId="77777777" w:rsidR="00A61FCF" w:rsidRPr="00172880" w:rsidRDefault="00A61FCF" w:rsidP="00A61FCF">
      <w:pPr>
        <w:pStyle w:val="Heading3"/>
        <w:rPr>
          <w:rFonts w:eastAsiaTheme="minorHAnsi" w:cstheme="minorBidi"/>
          <w:b w:val="0"/>
          <w:color w:val="auto"/>
          <w:sz w:val="22"/>
          <w:szCs w:val="22"/>
        </w:rPr>
      </w:pPr>
      <w:r w:rsidRPr="00172880">
        <w:rPr>
          <w:rFonts w:eastAsiaTheme="minorHAnsi" w:cstheme="minorBidi"/>
          <w:b w:val="0"/>
          <w:color w:val="auto"/>
          <w:sz w:val="22"/>
          <w:szCs w:val="22"/>
        </w:rPr>
        <w:t>Further information on how to apply prioritisation practice</w:t>
      </w:r>
      <w:r>
        <w:rPr>
          <w:rFonts w:eastAsiaTheme="minorHAnsi" w:cstheme="minorBidi"/>
          <w:b w:val="0"/>
          <w:color w:val="auto"/>
          <w:sz w:val="22"/>
          <w:szCs w:val="22"/>
        </w:rPr>
        <w:t>s</w:t>
      </w:r>
      <w:r w:rsidRPr="00172880">
        <w:rPr>
          <w:rFonts w:eastAsiaTheme="minorHAnsi" w:cstheme="minorBidi"/>
          <w:b w:val="0"/>
          <w:color w:val="auto"/>
          <w:sz w:val="22"/>
          <w:szCs w:val="22"/>
        </w:rPr>
        <w:t>, including key considerations, risks and options in verifying applicants</w:t>
      </w:r>
      <w:r>
        <w:rPr>
          <w:rFonts w:eastAsiaTheme="minorHAnsi" w:cstheme="minorBidi"/>
          <w:b w:val="0"/>
          <w:color w:val="auto"/>
          <w:sz w:val="22"/>
          <w:szCs w:val="22"/>
        </w:rPr>
        <w:t>,</w:t>
      </w:r>
      <w:r w:rsidRPr="00172880">
        <w:rPr>
          <w:rFonts w:eastAsiaTheme="minorHAnsi" w:cstheme="minorBidi"/>
          <w:b w:val="0"/>
          <w:color w:val="auto"/>
          <w:sz w:val="22"/>
          <w:szCs w:val="22"/>
        </w:rPr>
        <w:t xml:space="preserve"> refer to:</w:t>
      </w:r>
    </w:p>
    <w:p w14:paraId="7C2DCD97" w14:textId="77777777" w:rsidR="00A61FCF" w:rsidRPr="00172880" w:rsidRDefault="00A61FCF" w:rsidP="00A61FCF">
      <w:pPr>
        <w:pStyle w:val="BodyText"/>
        <w:numPr>
          <w:ilvl w:val="0"/>
          <w:numId w:val="14"/>
        </w:numPr>
        <w:spacing w:before="0" w:line="312" w:lineRule="auto"/>
      </w:pPr>
      <w:r w:rsidRPr="00172880">
        <w:rPr>
          <w:color w:val="auto"/>
        </w:rPr>
        <w:t xml:space="preserve">Attachment A: </w:t>
      </w:r>
      <w:hyperlink w:anchor="_Attachment_B:_Aligning" w:history="1">
        <w:r w:rsidRPr="005A5D04">
          <w:rPr>
            <w:rStyle w:val="Hyperlink"/>
            <w:color w:val="015E8A" w:themeColor="text2" w:themeTint="E6"/>
          </w:rPr>
          <w:t>Prioritisation steps</w:t>
        </w:r>
      </w:hyperlink>
      <w:r w:rsidRPr="00172880">
        <w:t xml:space="preserve"> </w:t>
      </w:r>
    </w:p>
    <w:p w14:paraId="0435156B" w14:textId="77777777" w:rsidR="00A61FCF" w:rsidRPr="009D3BAF" w:rsidRDefault="00A61FCF" w:rsidP="00A61FCF">
      <w:pPr>
        <w:pStyle w:val="BodyText"/>
        <w:numPr>
          <w:ilvl w:val="0"/>
          <w:numId w:val="14"/>
        </w:numPr>
        <w:spacing w:before="0" w:line="312" w:lineRule="auto"/>
        <w:rPr>
          <w:rFonts w:asciiTheme="minorHAnsi" w:hAnsiTheme="minorHAnsi"/>
        </w:rPr>
      </w:pPr>
      <w:r w:rsidRPr="00172880">
        <w:rPr>
          <w:color w:val="auto"/>
        </w:rPr>
        <w:t>Attachment B:</w:t>
      </w:r>
      <w:r w:rsidRPr="00172880">
        <w:rPr>
          <w:color w:val="262626" w:themeColor="text1" w:themeTint="D9"/>
        </w:rPr>
        <w:t xml:space="preserve"> </w:t>
      </w:r>
      <w:hyperlink w:anchor="_Examples_of_Preferenced" w:history="1">
        <w:r w:rsidRPr="005A5D04">
          <w:rPr>
            <w:rStyle w:val="Hyperlink"/>
            <w:color w:val="015E8A" w:themeColor="text2" w:themeTint="E6"/>
          </w:rPr>
          <w:t>Examples of prioritised grants</w:t>
        </w:r>
      </w:hyperlink>
      <w:r w:rsidRPr="00172880">
        <w:rPr>
          <w:color w:val="262626" w:themeColor="text1" w:themeTint="D9"/>
        </w:rPr>
        <w:t xml:space="preserve"> </w:t>
      </w:r>
    </w:p>
    <w:p w14:paraId="03834B38" w14:textId="3738778B" w:rsidR="00A61FCF" w:rsidRDefault="00A61FCF" w:rsidP="00A61FCF">
      <w:pPr>
        <w:pStyle w:val="BodyText"/>
        <w:numPr>
          <w:ilvl w:val="0"/>
          <w:numId w:val="14"/>
        </w:numPr>
        <w:spacing w:before="0" w:line="312" w:lineRule="auto"/>
        <w:rPr>
          <w:color w:val="auto"/>
        </w:rPr>
      </w:pPr>
      <w:r w:rsidRPr="009D3BAF">
        <w:rPr>
          <w:color w:val="auto"/>
        </w:rPr>
        <w:t>Attachment C:</w:t>
      </w:r>
      <w:r>
        <w:rPr>
          <w:color w:val="auto"/>
        </w:rPr>
        <w:t xml:space="preserve"> </w:t>
      </w:r>
      <w:hyperlink w:anchor="_Attachment_C:_Grant" w:history="1">
        <w:r w:rsidRPr="005A5D04">
          <w:rPr>
            <w:rStyle w:val="Hyperlink"/>
            <w:color w:val="015E8A" w:themeColor="text2" w:themeTint="E6"/>
          </w:rPr>
          <w:t>Grant Prioritisation Scenario</w:t>
        </w:r>
      </w:hyperlink>
    </w:p>
    <w:p w14:paraId="5EE9504D" w14:textId="77777777" w:rsidR="00A61FCF" w:rsidRPr="00E20385" w:rsidRDefault="00A61FCF" w:rsidP="00A61FCF">
      <w:pPr>
        <w:pStyle w:val="BodyText"/>
        <w:numPr>
          <w:ilvl w:val="0"/>
          <w:numId w:val="14"/>
        </w:numPr>
        <w:spacing w:before="0" w:line="312" w:lineRule="auto"/>
        <w:rPr>
          <w:lang w:eastAsia="en-AU"/>
        </w:rPr>
      </w:pPr>
      <w:r w:rsidRPr="00E20385">
        <w:rPr>
          <w:color w:val="auto"/>
        </w:rPr>
        <w:t xml:space="preserve">Attachment D: </w:t>
      </w:r>
      <w:hyperlink w:anchor="_Attachment_D:_Examples" w:history="1">
        <w:r w:rsidRPr="005A5D04">
          <w:rPr>
            <w:rStyle w:val="Hyperlink"/>
            <w:color w:val="015E8A" w:themeColor="text2" w:themeTint="E6"/>
          </w:rPr>
          <w:t>Examples of Prioritisation of First Nations Funding</w:t>
        </w:r>
      </w:hyperlink>
    </w:p>
    <w:p w14:paraId="37BA7337" w14:textId="77777777" w:rsidR="00A61FCF" w:rsidRPr="00E20385" w:rsidRDefault="00A61FCF" w:rsidP="00A61FCF">
      <w:pPr>
        <w:pStyle w:val="BodyText"/>
        <w:numPr>
          <w:ilvl w:val="0"/>
          <w:numId w:val="14"/>
        </w:numPr>
        <w:spacing w:before="0" w:line="312" w:lineRule="auto"/>
        <w:rPr>
          <w:lang w:eastAsia="en-AU"/>
        </w:rPr>
      </w:pPr>
      <w:r w:rsidRPr="00232FDF">
        <w:rPr>
          <w:color w:val="auto"/>
        </w:rPr>
        <w:t xml:space="preserve">Attachment E: </w:t>
      </w:r>
      <w:hyperlink w:anchor="_Attachment_E:_How" w:history="1">
        <w:r w:rsidRPr="005A5D04">
          <w:rPr>
            <w:rStyle w:val="Hyperlink"/>
            <w:color w:val="015E8A" w:themeColor="text2" w:themeTint="E6"/>
          </w:rPr>
          <w:t>How Grant Prioritisation aligns to Closing the Gap?</w:t>
        </w:r>
      </w:hyperlink>
      <w:r w:rsidRPr="00E20385">
        <w:rPr>
          <w:rStyle w:val="Hyperlink"/>
        </w:rPr>
        <w:t xml:space="preserve"> </w:t>
      </w:r>
    </w:p>
    <w:p w14:paraId="06E2C546" w14:textId="77777777" w:rsidR="00A61FCF" w:rsidRPr="00172880" w:rsidRDefault="00A61FCF" w:rsidP="00A61FCF">
      <w:pPr>
        <w:spacing w:after="0"/>
        <w:rPr>
          <w:sz w:val="22"/>
          <w:szCs w:val="22"/>
        </w:rPr>
      </w:pPr>
    </w:p>
    <w:p w14:paraId="44B6BC10" w14:textId="77777777" w:rsidR="00A61FCF" w:rsidRPr="005A5D04" w:rsidRDefault="00A61FCF" w:rsidP="00A61FCF">
      <w:pPr>
        <w:pStyle w:val="BodyText"/>
        <w:spacing w:before="0" w:line="288" w:lineRule="auto"/>
        <w:rPr>
          <w:rStyle w:val="Hyperlink"/>
          <w:b/>
          <w:color w:val="015E8A" w:themeColor="text2" w:themeTint="E6"/>
        </w:rPr>
      </w:pPr>
      <w:r w:rsidRPr="00172880">
        <w:rPr>
          <w:color w:val="auto"/>
        </w:rPr>
        <w:t xml:space="preserve">More information on Closing the Gap is available at </w:t>
      </w:r>
      <w:hyperlink r:id="rId29" w:history="1">
        <w:r w:rsidRPr="005A5D04">
          <w:rPr>
            <w:rStyle w:val="Hyperlink"/>
            <w:color w:val="015E8A" w:themeColor="text2" w:themeTint="E6"/>
          </w:rPr>
          <w:t>www.closingthegap.gov.au</w:t>
        </w:r>
      </w:hyperlink>
      <w:r w:rsidRPr="00172880">
        <w:t xml:space="preserve"> or </w:t>
      </w:r>
      <w:r w:rsidRPr="00172880">
        <w:rPr>
          <w:color w:val="auto"/>
        </w:rPr>
        <w:t>please contact the NIAA Closing the Gap Branch at</w:t>
      </w:r>
      <w:r w:rsidRPr="00172880">
        <w:t xml:space="preserve"> </w:t>
      </w:r>
      <w:hyperlink r:id="rId30" w:history="1">
        <w:r w:rsidRPr="005A5D04">
          <w:rPr>
            <w:rStyle w:val="Hyperlink"/>
            <w:color w:val="015E8A" w:themeColor="text2" w:themeTint="E6"/>
          </w:rPr>
          <w:t>IA-IDC@niaa.gov.au</w:t>
        </w:r>
      </w:hyperlink>
      <w:r w:rsidRPr="005A5D04">
        <w:rPr>
          <w:rStyle w:val="Hyperlink"/>
          <w:color w:val="015E8A" w:themeColor="text2" w:themeTint="E6"/>
        </w:rPr>
        <w:t>.</w:t>
      </w:r>
    </w:p>
    <w:p w14:paraId="592E0D4D" w14:textId="77777777" w:rsidR="002157BE" w:rsidRPr="00172880" w:rsidRDefault="002157BE" w:rsidP="002157BE">
      <w:pPr>
        <w:rPr>
          <w:rFonts w:asciiTheme="majorHAnsi" w:hAnsiTheme="majorHAnsi"/>
          <w:color w:val="293F54" w:themeColor="accent5" w:themeTint="E6"/>
          <w:sz w:val="22"/>
          <w:szCs w:val="22"/>
        </w:rPr>
      </w:pPr>
      <w:r w:rsidRPr="00172880">
        <w:rPr>
          <w:sz w:val="22"/>
          <w:szCs w:val="22"/>
        </w:rPr>
        <w:br w:type="page"/>
      </w:r>
    </w:p>
    <w:p w14:paraId="56C12B6C" w14:textId="77777777" w:rsidR="002157BE" w:rsidRPr="00172880" w:rsidRDefault="002157BE" w:rsidP="002157BE">
      <w:pPr>
        <w:pStyle w:val="Heading2"/>
        <w:rPr>
          <w:color w:val="auto"/>
          <w:sz w:val="36"/>
        </w:rPr>
      </w:pPr>
      <w:bookmarkStart w:id="1" w:name="_Attachment_A:_Examples"/>
      <w:bookmarkStart w:id="2" w:name="_Attachment_B:_Scenarios:"/>
      <w:bookmarkEnd w:id="1"/>
      <w:bookmarkEnd w:id="2"/>
      <w:r w:rsidRPr="00172880">
        <w:rPr>
          <w:color w:val="auto"/>
          <w:sz w:val="36"/>
        </w:rPr>
        <w:lastRenderedPageBreak/>
        <w:t>Glossary of terms</w:t>
      </w:r>
    </w:p>
    <w:tbl>
      <w:tblPr>
        <w:tblStyle w:val="TableGrid1"/>
        <w:tblW w:w="0" w:type="auto"/>
        <w:tblLook w:val="04A0" w:firstRow="1" w:lastRow="0" w:firstColumn="1" w:lastColumn="0" w:noHBand="0" w:noVBand="1"/>
        <w:tblCaption w:val="Glossary of Terms"/>
        <w:tblDescription w:val="The glossary of terms provides a definition of common terms used within this document."/>
      </w:tblPr>
      <w:tblGrid>
        <w:gridCol w:w="1959"/>
        <w:gridCol w:w="8235"/>
      </w:tblGrid>
      <w:tr w:rsidR="002157BE" w:rsidRPr="00D50245" w14:paraId="69066333" w14:textId="77777777" w:rsidTr="00C94823">
        <w:trPr>
          <w:tblHeader/>
        </w:trPr>
        <w:tc>
          <w:tcPr>
            <w:tcW w:w="1959" w:type="dxa"/>
          </w:tcPr>
          <w:p w14:paraId="4BABB004" w14:textId="77777777" w:rsidR="002157BE" w:rsidRPr="00D50245" w:rsidRDefault="002157BE" w:rsidP="00C94823">
            <w:pPr>
              <w:rPr>
                <w:rFonts w:asciiTheme="majorHAnsi" w:hAnsiTheme="majorHAnsi"/>
                <w:b/>
              </w:rPr>
            </w:pPr>
            <w:r w:rsidRPr="00D50245">
              <w:rPr>
                <w:rFonts w:asciiTheme="majorHAnsi" w:hAnsiTheme="majorHAnsi"/>
                <w:b/>
              </w:rPr>
              <w:t>Term</w:t>
            </w:r>
          </w:p>
        </w:tc>
        <w:tc>
          <w:tcPr>
            <w:tcW w:w="8235" w:type="dxa"/>
          </w:tcPr>
          <w:p w14:paraId="148C64DE" w14:textId="77777777" w:rsidR="002157BE" w:rsidRPr="00D50245" w:rsidRDefault="002157BE" w:rsidP="00C94823">
            <w:pPr>
              <w:rPr>
                <w:rFonts w:asciiTheme="majorHAnsi" w:eastAsia="Times New Roman" w:hAnsiTheme="majorHAnsi" w:cstheme="majorBidi"/>
                <w:b/>
                <w:bCs/>
              </w:rPr>
            </w:pPr>
            <w:r w:rsidRPr="00D50245">
              <w:rPr>
                <w:rFonts w:asciiTheme="majorHAnsi" w:eastAsia="Times New Roman" w:hAnsiTheme="majorHAnsi" w:cstheme="majorBidi"/>
                <w:b/>
                <w:bCs/>
              </w:rPr>
              <w:t>Term description</w:t>
            </w:r>
          </w:p>
        </w:tc>
      </w:tr>
      <w:tr w:rsidR="00FE0EBC" w:rsidRPr="00D50245" w14:paraId="67D41816" w14:textId="77777777" w:rsidTr="00C94823">
        <w:tc>
          <w:tcPr>
            <w:tcW w:w="1959" w:type="dxa"/>
          </w:tcPr>
          <w:p w14:paraId="35189177" w14:textId="75046FDA" w:rsidR="00FE0EBC" w:rsidRPr="00D50245" w:rsidRDefault="00FE0EBC" w:rsidP="00FE0EBC">
            <w:pPr>
              <w:spacing w:after="120"/>
              <w:rPr>
                <w:rFonts w:asciiTheme="majorHAnsi" w:hAnsiTheme="majorHAnsi"/>
                <w:b/>
              </w:rPr>
            </w:pPr>
            <w:r w:rsidRPr="00D50245">
              <w:rPr>
                <w:rFonts w:asciiTheme="majorHAnsi" w:hAnsiTheme="majorHAnsi"/>
              </w:rPr>
              <w:t xml:space="preserve">Aboriginal community-controlled organisations (ACCOs) </w:t>
            </w:r>
          </w:p>
        </w:tc>
        <w:tc>
          <w:tcPr>
            <w:tcW w:w="8235" w:type="dxa"/>
          </w:tcPr>
          <w:p w14:paraId="359B0DCF" w14:textId="73D8C377" w:rsidR="00FE0EBC" w:rsidRPr="00D50245" w:rsidRDefault="00224473" w:rsidP="00FE0EBC">
            <w:pPr>
              <w:rPr>
                <w:rFonts w:asciiTheme="majorHAnsi" w:eastAsia="Times New Roman" w:hAnsiTheme="majorHAnsi" w:cstheme="majorBidi"/>
                <w:bCs/>
              </w:rPr>
            </w:pPr>
            <w:r>
              <w:rPr>
                <w:rFonts w:asciiTheme="majorHAnsi" w:eastAsia="Times New Roman" w:hAnsiTheme="majorHAnsi" w:cstheme="majorBidi"/>
                <w:bCs/>
              </w:rPr>
              <w:t>Under C</w:t>
            </w:r>
            <w:r w:rsidR="00FE0EBC" w:rsidRPr="00D50245">
              <w:rPr>
                <w:rFonts w:asciiTheme="majorHAnsi" w:eastAsia="Times New Roman" w:hAnsiTheme="majorHAnsi" w:cstheme="majorBidi"/>
                <w:bCs/>
              </w:rPr>
              <w:t>lause 44 of the National Agreement, Aboriginal and Torres Strait Islander community control is an act of self-determination. An Aboriginal and/or Torres Strait Islander community-controlled organisation delivers services, including land and resource management, that builds the strength and empowerment of Aboriginal and Torres Strait Islander communities and people and is</w:t>
            </w:r>
            <w:r w:rsidR="00313F68">
              <w:rPr>
                <w:rFonts w:asciiTheme="majorHAnsi" w:eastAsia="Times New Roman" w:hAnsiTheme="majorHAnsi" w:cstheme="majorBidi"/>
                <w:bCs/>
              </w:rPr>
              <w:t xml:space="preserve"> </w:t>
            </w:r>
            <w:r w:rsidR="00313F68" w:rsidRPr="00313F68">
              <w:rPr>
                <w:rFonts w:asciiTheme="majorHAnsi" w:eastAsia="Times New Roman" w:hAnsiTheme="majorHAnsi" w:cstheme="majorBidi"/>
                <w:bCs/>
                <w:i/>
              </w:rPr>
              <w:t>(all of the following)</w:t>
            </w:r>
            <w:r w:rsidR="00313F68">
              <w:rPr>
                <w:rFonts w:asciiTheme="majorHAnsi" w:eastAsia="Times New Roman" w:hAnsiTheme="majorHAnsi" w:cstheme="majorBidi"/>
                <w:bCs/>
              </w:rPr>
              <w:t xml:space="preserve"> </w:t>
            </w:r>
            <w:r w:rsidR="00FE0EBC" w:rsidRPr="00D50245">
              <w:rPr>
                <w:rFonts w:asciiTheme="majorHAnsi" w:eastAsia="Times New Roman" w:hAnsiTheme="majorHAnsi" w:cstheme="majorBidi"/>
                <w:bCs/>
              </w:rPr>
              <w:t>:</w:t>
            </w:r>
          </w:p>
          <w:p w14:paraId="186D86E2" w14:textId="77777777" w:rsidR="00FE0EBC" w:rsidRPr="00D50245" w:rsidRDefault="00FE0EBC" w:rsidP="00FE0EBC">
            <w:pPr>
              <w:numPr>
                <w:ilvl w:val="0"/>
                <w:numId w:val="15"/>
              </w:numPr>
              <w:spacing w:before="240"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incorporated under relevant legislation and not-for-profit</w:t>
            </w:r>
          </w:p>
          <w:p w14:paraId="3CDC46EC" w14:textId="77777777" w:rsidR="00FE0EBC" w:rsidRPr="00D50245" w:rsidRDefault="00FE0EBC" w:rsidP="00FE0EBC">
            <w:pPr>
              <w:numPr>
                <w:ilvl w:val="0"/>
                <w:numId w:val="15"/>
              </w:numPr>
              <w:spacing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 xml:space="preserve">controlled and operated by Aboriginal and/or Torres Strait Islander people </w:t>
            </w:r>
          </w:p>
          <w:p w14:paraId="699995C3" w14:textId="77777777" w:rsidR="00FE0EBC" w:rsidRPr="00D50245" w:rsidRDefault="00FE0EBC" w:rsidP="00FE0EBC">
            <w:pPr>
              <w:numPr>
                <w:ilvl w:val="0"/>
                <w:numId w:val="15"/>
              </w:numPr>
              <w:spacing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connected to the community, or communities, in which they deliver the services</w:t>
            </w:r>
          </w:p>
          <w:p w14:paraId="2CE1A718" w14:textId="4413455D" w:rsidR="00FE0EBC" w:rsidRPr="00D50245" w:rsidRDefault="00FE0EBC" w:rsidP="00FE0EBC">
            <w:pPr>
              <w:numPr>
                <w:ilvl w:val="0"/>
                <w:numId w:val="15"/>
              </w:numPr>
              <w:spacing w:after="120" w:line="259" w:lineRule="auto"/>
              <w:rPr>
                <w:rFonts w:asciiTheme="majorHAnsi" w:eastAsia="Times New Roman" w:hAnsiTheme="majorHAnsi" w:cstheme="majorBidi"/>
                <w:b/>
                <w:bCs/>
              </w:rPr>
            </w:pPr>
            <w:r w:rsidRPr="00D50245">
              <w:rPr>
                <w:rFonts w:asciiTheme="majorHAnsi" w:eastAsia="Times New Roman" w:hAnsiTheme="majorHAnsi" w:cstheme="majorBidi"/>
                <w:bCs/>
              </w:rPr>
              <w:t>governed by a majority Aboriginal and/or Torres Strait Islander governing body.</w:t>
            </w:r>
          </w:p>
        </w:tc>
      </w:tr>
      <w:tr w:rsidR="00FE0EBC" w:rsidRPr="00D50245" w14:paraId="3483A898" w14:textId="77777777" w:rsidTr="00C94823">
        <w:trPr>
          <w:trHeight w:val="1065"/>
        </w:trPr>
        <w:tc>
          <w:tcPr>
            <w:tcW w:w="1959" w:type="dxa"/>
          </w:tcPr>
          <w:p w14:paraId="4EACF210" w14:textId="41159D40" w:rsidR="00FE0EBC" w:rsidRPr="0057189A" w:rsidRDefault="00FE0EBC" w:rsidP="00FE0EBC">
            <w:pPr>
              <w:rPr>
                <w:rFonts w:asciiTheme="majorHAnsi" w:eastAsiaTheme="majorEastAsia" w:hAnsiTheme="majorHAnsi" w:cstheme="majorBidi"/>
                <w:bCs/>
              </w:rPr>
            </w:pPr>
            <w:r w:rsidRPr="0057189A">
              <w:rPr>
                <w:rFonts w:asciiTheme="majorHAnsi" w:eastAsiaTheme="majorEastAsia" w:hAnsiTheme="majorHAnsi" w:cstheme="majorBidi"/>
                <w:bCs/>
              </w:rPr>
              <w:t>Aboriginal and Torres Strait Islander organisations (other than an ACCOs)</w:t>
            </w:r>
          </w:p>
        </w:tc>
        <w:tc>
          <w:tcPr>
            <w:tcW w:w="8235" w:type="dxa"/>
          </w:tcPr>
          <w:p w14:paraId="5BCF2322" w14:textId="78491CC0" w:rsidR="00FE0EBC" w:rsidRPr="0057189A" w:rsidRDefault="00FE0EBC" w:rsidP="00FE0EBC">
            <w:pPr>
              <w:spacing w:after="120"/>
              <w:rPr>
                <w:rFonts w:asciiTheme="majorHAnsi" w:hAnsiTheme="majorHAnsi"/>
                <w:b/>
              </w:rPr>
            </w:pPr>
            <w:r w:rsidRPr="0057189A">
              <w:rPr>
                <w:rFonts w:asciiTheme="majorHAnsi" w:hAnsiTheme="majorHAnsi"/>
              </w:rPr>
              <w:t xml:space="preserve">As per Chapter 12 of the National Agreement, a business, charity, not-for-profit organisation, incorporated under Commonwealth, state or territory legislation that has at least 51 per cent Aboriginal and/or Torres Strait Islander ownership and/or directorship and is operated for the benefit of Aboriginal and Torres Strait Islander communities. </w:t>
            </w:r>
          </w:p>
        </w:tc>
      </w:tr>
      <w:tr w:rsidR="00FE0EBC" w:rsidRPr="00D50245" w14:paraId="5DEE4FEF" w14:textId="77777777" w:rsidTr="00C94823">
        <w:tc>
          <w:tcPr>
            <w:tcW w:w="1959" w:type="dxa"/>
          </w:tcPr>
          <w:p w14:paraId="39E78F82" w14:textId="12BFC1E3" w:rsidR="00FE0EBC" w:rsidRPr="00D50245" w:rsidRDefault="00FE0EBC" w:rsidP="00FE0EBC">
            <w:pPr>
              <w:rPr>
                <w:rFonts w:asciiTheme="majorHAnsi" w:eastAsiaTheme="majorEastAsia" w:hAnsiTheme="majorHAnsi" w:cstheme="majorBidi"/>
                <w:bCs/>
              </w:rPr>
            </w:pPr>
            <w:r w:rsidRPr="00D50245">
              <w:rPr>
                <w:rFonts w:asciiTheme="majorHAnsi" w:eastAsiaTheme="majorEastAsia" w:hAnsiTheme="majorHAnsi" w:cstheme="majorBidi"/>
                <w:bCs/>
              </w:rPr>
              <w:t xml:space="preserve">Commonwealth Grant Rules and </w:t>
            </w:r>
            <w:r w:rsidR="00AE73D6">
              <w:rPr>
                <w:rFonts w:asciiTheme="majorHAnsi" w:eastAsiaTheme="majorEastAsia" w:hAnsiTheme="majorHAnsi" w:cstheme="majorBidi"/>
                <w:bCs/>
              </w:rPr>
              <w:t>Principles</w:t>
            </w:r>
            <w:r w:rsidRPr="00D50245">
              <w:rPr>
                <w:rFonts w:asciiTheme="majorHAnsi" w:eastAsiaTheme="majorEastAsia" w:hAnsiTheme="majorHAnsi" w:cstheme="majorBidi"/>
                <w:bCs/>
              </w:rPr>
              <w:t xml:space="preserve"> 20</w:t>
            </w:r>
            <w:r w:rsidR="00A576BB">
              <w:rPr>
                <w:rFonts w:asciiTheme="majorHAnsi" w:eastAsiaTheme="majorEastAsia" w:hAnsiTheme="majorHAnsi" w:cstheme="majorBidi"/>
                <w:bCs/>
              </w:rPr>
              <w:t>24</w:t>
            </w:r>
            <w:r w:rsidRPr="00D50245">
              <w:rPr>
                <w:rFonts w:asciiTheme="majorHAnsi" w:eastAsiaTheme="majorEastAsia" w:hAnsiTheme="majorHAnsi" w:cstheme="majorBidi"/>
                <w:bCs/>
                <w:color w:val="262626" w:themeColor="text1" w:themeTint="D9"/>
              </w:rPr>
              <w:t xml:space="preserve"> (CGR</w:t>
            </w:r>
            <w:r w:rsidR="00AE73D6">
              <w:rPr>
                <w:rFonts w:asciiTheme="majorHAnsi" w:eastAsiaTheme="majorEastAsia" w:hAnsiTheme="majorHAnsi" w:cstheme="majorBidi"/>
                <w:bCs/>
                <w:color w:val="262626" w:themeColor="text1" w:themeTint="D9"/>
              </w:rPr>
              <w:t>P</w:t>
            </w:r>
            <w:r w:rsidRPr="00D50245">
              <w:rPr>
                <w:rFonts w:asciiTheme="majorHAnsi" w:eastAsiaTheme="majorEastAsia" w:hAnsiTheme="majorHAnsi" w:cstheme="majorBidi"/>
                <w:bCs/>
                <w:color w:val="262626" w:themeColor="text1" w:themeTint="D9"/>
              </w:rPr>
              <w:t>s)</w:t>
            </w:r>
          </w:p>
        </w:tc>
        <w:tc>
          <w:tcPr>
            <w:tcW w:w="8235" w:type="dxa"/>
          </w:tcPr>
          <w:p w14:paraId="0379423A" w14:textId="34226A6E" w:rsidR="00FE0EBC" w:rsidRPr="00D50245" w:rsidRDefault="00FE0EBC" w:rsidP="00FE0EBC">
            <w:pPr>
              <w:spacing w:after="120"/>
              <w:rPr>
                <w:rFonts w:asciiTheme="majorHAnsi" w:hAnsiTheme="majorHAnsi"/>
              </w:rPr>
            </w:pPr>
            <w:r w:rsidRPr="00D50245">
              <w:rPr>
                <w:rFonts w:asciiTheme="majorHAnsi" w:hAnsiTheme="majorHAnsi"/>
                <w:color w:val="262626" w:themeColor="text1" w:themeTint="D9"/>
              </w:rPr>
              <w:t>The CGR</w:t>
            </w:r>
            <w:r w:rsidR="00AE73D6">
              <w:rPr>
                <w:rFonts w:asciiTheme="majorHAnsi" w:hAnsiTheme="majorHAnsi"/>
                <w:color w:val="262626" w:themeColor="text1" w:themeTint="D9"/>
              </w:rPr>
              <w:t>P</w:t>
            </w:r>
            <w:r w:rsidRPr="00D50245">
              <w:rPr>
                <w:rFonts w:asciiTheme="majorHAnsi" w:hAnsiTheme="majorHAnsi"/>
                <w:color w:val="262626" w:themeColor="text1" w:themeTint="D9"/>
              </w:rPr>
              <w:t>s provide the legislative framework for grants administration. The CGR</w:t>
            </w:r>
            <w:r w:rsidR="00AE73D6">
              <w:rPr>
                <w:rFonts w:asciiTheme="majorHAnsi" w:hAnsiTheme="majorHAnsi"/>
                <w:color w:val="262626" w:themeColor="text1" w:themeTint="D9"/>
              </w:rPr>
              <w:t>P</w:t>
            </w:r>
            <w:r w:rsidRPr="00D50245">
              <w:rPr>
                <w:rFonts w:asciiTheme="majorHAnsi" w:hAnsiTheme="majorHAnsi"/>
                <w:color w:val="262626" w:themeColor="text1" w:themeTint="D9"/>
              </w:rPr>
              <w:t xml:space="preserve">s are issued by the Finance Minister under section 105C of the PGPA Act. </w:t>
            </w:r>
          </w:p>
        </w:tc>
      </w:tr>
      <w:tr w:rsidR="00FE0EBC" w:rsidRPr="00D50245" w14:paraId="5FF55CCB" w14:textId="77777777" w:rsidTr="00C94823">
        <w:tc>
          <w:tcPr>
            <w:tcW w:w="1959" w:type="dxa"/>
          </w:tcPr>
          <w:p w14:paraId="1A7D6BC1" w14:textId="26514F9E" w:rsidR="00FE0EBC" w:rsidRPr="00D50245" w:rsidRDefault="00FE0EBC" w:rsidP="00FE0EBC">
            <w:pPr>
              <w:rPr>
                <w:rFonts w:asciiTheme="majorHAnsi" w:eastAsiaTheme="majorEastAsia" w:hAnsiTheme="majorHAnsi" w:cstheme="majorBidi"/>
                <w:bCs/>
              </w:rPr>
            </w:pPr>
            <w:r w:rsidRPr="00D50245">
              <w:rPr>
                <w:rFonts w:asciiTheme="majorHAnsi" w:eastAsiaTheme="majorEastAsia" w:hAnsiTheme="majorHAnsi" w:cstheme="majorBidi"/>
                <w:bCs/>
                <w:color w:val="262626" w:themeColor="text1" w:themeTint="D9"/>
              </w:rPr>
              <w:t>Grant Opportunity Guidelines (GOGs)</w:t>
            </w:r>
          </w:p>
        </w:tc>
        <w:tc>
          <w:tcPr>
            <w:tcW w:w="8235" w:type="dxa"/>
          </w:tcPr>
          <w:p w14:paraId="589B7C1D" w14:textId="6DF73137" w:rsidR="00FE0EBC" w:rsidRPr="00D50245" w:rsidRDefault="00FE0EBC" w:rsidP="00FE0EBC">
            <w:pPr>
              <w:spacing w:after="120"/>
              <w:rPr>
                <w:rFonts w:asciiTheme="majorHAnsi" w:hAnsiTheme="majorHAnsi"/>
              </w:rPr>
            </w:pPr>
            <w:r w:rsidRPr="00D50245">
              <w:rPr>
                <w:rFonts w:asciiTheme="majorHAnsi" w:hAnsiTheme="majorHAnsi"/>
                <w:color w:val="262626" w:themeColor="text1" w:themeTint="D9"/>
              </w:rPr>
              <w:t>The authoritative documents which inform stakeholders, including potential applicants, of the purpose of a grant opportunity and include all the information required to apply for and understand a grant opportunity. These also explain how value for money will be determined in order to make a recommendation to the grant decision-maker.</w:t>
            </w:r>
          </w:p>
        </w:tc>
      </w:tr>
    </w:tbl>
    <w:p w14:paraId="0B4EB2FB" w14:textId="0ABA644B" w:rsidR="009761EB" w:rsidRDefault="009761EB" w:rsidP="002157BE">
      <w:pPr>
        <w:pStyle w:val="Heading1"/>
        <w:rPr>
          <w:color w:val="auto"/>
        </w:rPr>
      </w:pPr>
      <w:bookmarkStart w:id="3" w:name="_Attachment_B:_Aligning"/>
      <w:bookmarkEnd w:id="3"/>
    </w:p>
    <w:p w14:paraId="2BA64506" w14:textId="77777777" w:rsidR="009761EB" w:rsidRDefault="009761EB">
      <w:pPr>
        <w:rPr>
          <w:rFonts w:asciiTheme="majorHAnsi" w:hAnsiTheme="majorHAnsi"/>
          <w:b/>
          <w:color w:val="auto"/>
          <w:sz w:val="36"/>
          <w:szCs w:val="36"/>
        </w:rPr>
      </w:pPr>
      <w:r>
        <w:rPr>
          <w:color w:val="auto"/>
        </w:rPr>
        <w:br w:type="page"/>
      </w:r>
    </w:p>
    <w:p w14:paraId="72D9A5CC" w14:textId="7556502D" w:rsidR="002157BE" w:rsidRPr="00D4086C" w:rsidRDefault="002157BE" w:rsidP="002157BE">
      <w:pPr>
        <w:pStyle w:val="Heading1"/>
        <w:rPr>
          <w:color w:val="auto"/>
        </w:rPr>
      </w:pPr>
      <w:r w:rsidRPr="00D4086C">
        <w:rPr>
          <w:color w:val="auto"/>
        </w:rPr>
        <w:lastRenderedPageBreak/>
        <w:t xml:space="preserve">Attachment A: </w:t>
      </w:r>
      <w:bookmarkStart w:id="4" w:name="_Process_Guide"/>
      <w:bookmarkEnd w:id="4"/>
      <w:r>
        <w:rPr>
          <w:color w:val="auto"/>
        </w:rPr>
        <w:t>Prioritisation steps</w:t>
      </w:r>
    </w:p>
    <w:p w14:paraId="22BA6AE3" w14:textId="77777777" w:rsidR="002157BE" w:rsidRPr="003444F8" w:rsidRDefault="002157BE" w:rsidP="002157BE">
      <w:pPr>
        <w:pStyle w:val="BodyText"/>
      </w:pPr>
    </w:p>
    <w:tbl>
      <w:tblPr>
        <w:tblStyle w:val="GridTable5Dark-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ttachment A Prioritisation steps"/>
        <w:tblDescription w:val="Table provides a step by step process for applying prioitisation practices."/>
      </w:tblPr>
      <w:tblGrid>
        <w:gridCol w:w="2546"/>
        <w:gridCol w:w="7648"/>
      </w:tblGrid>
      <w:tr w:rsidR="002157BE" w:rsidRPr="005256C6" w14:paraId="707093F3" w14:textId="77777777" w:rsidTr="005F43F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left w:val="none" w:sz="0" w:space="0" w:color="auto"/>
              <w:right w:val="none" w:sz="0" w:space="0" w:color="auto"/>
            </w:tcBorders>
          </w:tcPr>
          <w:p w14:paraId="64A34FF8" w14:textId="77777777" w:rsidR="002157BE" w:rsidRPr="009B56ED" w:rsidRDefault="002157BE" w:rsidP="00802DEB">
            <w:pPr>
              <w:spacing w:after="60"/>
              <w:rPr>
                <w:rFonts w:asciiTheme="majorHAnsi" w:hAnsiTheme="majorHAnsi" w:cstheme="minorHAnsi"/>
                <w:bCs w:val="0"/>
                <w:color w:val="auto"/>
                <w:sz w:val="22"/>
                <w:szCs w:val="22"/>
              </w:rPr>
            </w:pPr>
            <w:r w:rsidRPr="009B56ED">
              <w:rPr>
                <w:rFonts w:asciiTheme="majorHAnsi" w:hAnsiTheme="majorHAnsi" w:cstheme="minorHAnsi"/>
                <w:bCs w:val="0"/>
                <w:color w:val="auto"/>
                <w:sz w:val="22"/>
                <w:szCs w:val="22"/>
              </w:rPr>
              <w:t>Steps</w:t>
            </w:r>
          </w:p>
        </w:tc>
        <w:tc>
          <w:tcPr>
            <w:tcW w:w="3751" w:type="pct"/>
            <w:tcBorders>
              <w:top w:val="none" w:sz="0" w:space="0" w:color="auto"/>
              <w:left w:val="none" w:sz="0" w:space="0" w:color="auto"/>
              <w:right w:val="none" w:sz="0" w:space="0" w:color="auto"/>
            </w:tcBorders>
          </w:tcPr>
          <w:p w14:paraId="683FBE33" w14:textId="77777777" w:rsidR="002157BE" w:rsidRPr="009B56ED" w:rsidRDefault="002157BE" w:rsidP="00802DEB">
            <w:pPr>
              <w:spacing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9B56ED">
              <w:rPr>
                <w:rFonts w:asciiTheme="majorHAnsi" w:hAnsiTheme="majorHAnsi" w:cstheme="minorHAnsi"/>
                <w:color w:val="auto"/>
                <w:sz w:val="22"/>
                <w:szCs w:val="22"/>
              </w:rPr>
              <w:t>Competitive grant prioritising for Aboriginal and Torres Strait Islander organisations, particularly community-controlled organisations</w:t>
            </w:r>
          </w:p>
        </w:tc>
      </w:tr>
      <w:tr w:rsidR="00C624D6" w:rsidRPr="005256C6" w14:paraId="4A64B9E1" w14:textId="77777777" w:rsidTr="005F43FA">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55CA6F94" w14:textId="77777777" w:rsidR="00C624D6" w:rsidRPr="00C624D6" w:rsidRDefault="00C624D6" w:rsidP="00802DEB">
            <w:pPr>
              <w:pStyle w:val="ListParagraph"/>
              <w:numPr>
                <w:ilvl w:val="0"/>
                <w:numId w:val="20"/>
              </w:numPr>
              <w:spacing w:after="60"/>
              <w:rPr>
                <w:rFonts w:asciiTheme="majorHAnsi" w:hAnsiTheme="majorHAnsi"/>
                <w:b w:val="0"/>
                <w:color w:val="auto"/>
                <w:sz w:val="22"/>
                <w:szCs w:val="22"/>
              </w:rPr>
            </w:pPr>
            <w:r w:rsidRPr="00C624D6">
              <w:rPr>
                <w:rFonts w:asciiTheme="majorHAnsi" w:hAnsiTheme="majorHAnsi"/>
                <w:b w:val="0"/>
                <w:bCs w:val="0"/>
                <w:color w:val="auto"/>
                <w:sz w:val="22"/>
                <w:szCs w:val="22"/>
              </w:rPr>
              <w:t xml:space="preserve">Consider at the design stage whether the grant program is in scope for the prioritisation, and if so, does the agency’s </w:t>
            </w:r>
            <w:r w:rsidRPr="00C624D6">
              <w:rPr>
                <w:rFonts w:asciiTheme="majorHAnsi" w:hAnsiTheme="majorHAnsi"/>
                <w:b w:val="0"/>
                <w:color w:val="auto"/>
                <w:sz w:val="22"/>
                <w:szCs w:val="22"/>
              </w:rPr>
              <w:t xml:space="preserve">policy and legal authority support this </w:t>
            </w:r>
            <w:r w:rsidRPr="00C624D6">
              <w:rPr>
                <w:rFonts w:asciiTheme="majorHAnsi" w:hAnsiTheme="majorHAnsi"/>
                <w:b w:val="0"/>
                <w:bCs w:val="0"/>
                <w:color w:val="auto"/>
                <w:sz w:val="22"/>
                <w:szCs w:val="22"/>
              </w:rPr>
              <w:t xml:space="preserve">prioritisation </w:t>
            </w:r>
            <w:r w:rsidRPr="00C624D6">
              <w:rPr>
                <w:rFonts w:asciiTheme="majorHAnsi" w:hAnsiTheme="majorHAnsi"/>
                <w:b w:val="0"/>
                <w:color w:val="auto"/>
                <w:sz w:val="22"/>
                <w:szCs w:val="22"/>
              </w:rPr>
              <w:t xml:space="preserve">practice. </w:t>
            </w:r>
          </w:p>
          <w:p w14:paraId="613DEA16" w14:textId="77777777" w:rsidR="00C624D6" w:rsidRPr="00C624D6" w:rsidRDefault="00C624D6" w:rsidP="00802DEB">
            <w:pPr>
              <w:spacing w:after="60"/>
              <w:rPr>
                <w:rFonts w:asciiTheme="majorHAnsi" w:hAnsiTheme="majorHAnsi" w:cstheme="minorHAnsi"/>
                <w:b w:val="0"/>
                <w:color w:val="auto"/>
                <w:sz w:val="22"/>
                <w:szCs w:val="22"/>
              </w:rPr>
            </w:pPr>
          </w:p>
        </w:tc>
        <w:tc>
          <w:tcPr>
            <w:tcW w:w="3751" w:type="pct"/>
            <w:hideMark/>
          </w:tcPr>
          <w:p w14:paraId="4A98004F" w14:textId="6A1F0088" w:rsidR="00C624D6"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r w:rsidRPr="000D148E">
              <w:rPr>
                <w:rFonts w:asciiTheme="majorHAnsi" w:hAnsiTheme="majorHAnsi" w:cstheme="minorHAnsi"/>
                <w:color w:val="auto"/>
                <w:sz w:val="22"/>
                <w:szCs w:val="22"/>
                <w:lang w:val="en-US"/>
              </w:rPr>
              <w:t xml:space="preserve">If a grant round (including </w:t>
            </w:r>
            <w:r w:rsidR="00667971">
              <w:rPr>
                <w:rFonts w:asciiTheme="majorHAnsi" w:hAnsiTheme="majorHAnsi" w:cstheme="minorHAnsi"/>
                <w:color w:val="auto"/>
                <w:sz w:val="22"/>
                <w:szCs w:val="22"/>
                <w:lang w:val="en-US"/>
              </w:rPr>
              <w:t>All Population</w:t>
            </w:r>
            <w:r w:rsidR="00667971" w:rsidRPr="000D148E">
              <w:rPr>
                <w:rFonts w:asciiTheme="majorHAnsi" w:hAnsiTheme="majorHAnsi" w:cstheme="minorHAnsi"/>
                <w:color w:val="auto"/>
                <w:sz w:val="22"/>
                <w:szCs w:val="22"/>
                <w:lang w:val="en-US"/>
              </w:rPr>
              <w:t xml:space="preserve"> </w:t>
            </w:r>
            <w:r w:rsidRPr="000D148E">
              <w:rPr>
                <w:rFonts w:asciiTheme="majorHAnsi" w:hAnsiTheme="majorHAnsi" w:cstheme="minorHAnsi"/>
                <w:color w:val="auto"/>
                <w:sz w:val="22"/>
                <w:szCs w:val="22"/>
                <w:lang w:val="en-US"/>
              </w:rPr>
              <w:t xml:space="preserve">programs), provides services </w:t>
            </w:r>
            <w:r>
              <w:rPr>
                <w:rFonts w:asciiTheme="majorHAnsi" w:hAnsiTheme="majorHAnsi" w:cstheme="minorHAnsi"/>
                <w:color w:val="auto"/>
                <w:sz w:val="22"/>
                <w:szCs w:val="22"/>
                <w:lang w:val="en-US"/>
              </w:rPr>
              <w:t xml:space="preserve">for the benefit of </w:t>
            </w:r>
            <w:r w:rsidRPr="000D148E">
              <w:rPr>
                <w:rFonts w:asciiTheme="majorHAnsi" w:hAnsiTheme="majorHAnsi" w:cstheme="minorHAnsi"/>
                <w:color w:val="auto"/>
                <w:sz w:val="22"/>
                <w:szCs w:val="22"/>
                <w:lang w:val="en-US"/>
              </w:rPr>
              <w:t xml:space="preserve">Aboriginal and Torres Strait Islander people, agencies should consider if they will apply prioritisation to all or some of the grant round. </w:t>
            </w:r>
          </w:p>
          <w:p w14:paraId="4450AD8B" w14:textId="77777777" w:rsidR="00C624D6" w:rsidRPr="000D148E"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p>
          <w:p w14:paraId="661E74FA" w14:textId="4A15538B" w:rsidR="00C624D6" w:rsidRDefault="00C624D6" w:rsidP="00802DEB">
            <w:pPr>
              <w:pStyle w:val="BodyText"/>
              <w:cnfStyle w:val="000000100000" w:firstRow="0" w:lastRow="0" w:firstColumn="0" w:lastColumn="0" w:oddVBand="0" w:evenVBand="0" w:oddHBand="1" w:evenHBand="0" w:firstRowFirstColumn="0" w:firstRowLastColumn="0" w:lastRowFirstColumn="0" w:lastRowLastColumn="0"/>
              <w:rPr>
                <w:bCs/>
                <w:color w:val="auto"/>
              </w:rPr>
            </w:pPr>
            <w:r>
              <w:rPr>
                <w:bCs/>
                <w:color w:val="auto"/>
              </w:rPr>
              <w:t>As t</w:t>
            </w:r>
            <w:r w:rsidRPr="008A3716">
              <w:rPr>
                <w:bCs/>
                <w:color w:val="auto"/>
              </w:rPr>
              <w:t>he CGR</w:t>
            </w:r>
            <w:r w:rsidR="00556371">
              <w:rPr>
                <w:bCs/>
                <w:color w:val="auto"/>
              </w:rPr>
              <w:t>P</w:t>
            </w:r>
            <w:r w:rsidRPr="008A3716">
              <w:rPr>
                <w:bCs/>
                <w:color w:val="auto"/>
              </w:rPr>
              <w:t>s are largely</w:t>
            </w:r>
            <w:r w:rsidRPr="008A3716">
              <w:rPr>
                <w:rFonts w:ascii="Arial" w:hAnsi="Arial" w:cs="Arial"/>
                <w:bCs/>
                <w:color w:val="auto"/>
              </w:rPr>
              <w:t> </w:t>
            </w:r>
            <w:r w:rsidRPr="008A3716">
              <w:rPr>
                <w:bCs/>
                <w:color w:val="auto"/>
              </w:rPr>
              <w:t xml:space="preserve">principles-based, with a small number of mandatory requirements, providing </w:t>
            </w:r>
            <w:r>
              <w:rPr>
                <w:bCs/>
                <w:color w:val="auto"/>
              </w:rPr>
              <w:t xml:space="preserve">the </w:t>
            </w:r>
            <w:r w:rsidRPr="007B45D0">
              <w:rPr>
                <w:color w:val="auto"/>
              </w:rPr>
              <w:t>grant opportunit</w:t>
            </w:r>
            <w:r>
              <w:rPr>
                <w:color w:val="auto"/>
              </w:rPr>
              <w:t xml:space="preserve">y is </w:t>
            </w:r>
            <w:r w:rsidRPr="007B45D0">
              <w:rPr>
                <w:color w:val="auto"/>
              </w:rPr>
              <w:t xml:space="preserve">consistent with the </w:t>
            </w:r>
            <w:hyperlink r:id="rId31" w:history="1">
              <w:r w:rsidR="002D6F9E" w:rsidRPr="00680C0C">
                <w:rPr>
                  <w:rStyle w:val="Hyperlink"/>
                  <w:color w:val="014463" w:themeColor="text2"/>
                </w:rPr>
                <w:t>CGRPs</w:t>
              </w:r>
            </w:hyperlink>
            <w:r w:rsidRPr="00680C0C">
              <w:rPr>
                <w:rStyle w:val="Hyperlink"/>
                <w:color w:val="014463" w:themeColor="text2"/>
              </w:rPr>
              <w:t>,</w:t>
            </w:r>
            <w:r w:rsidRPr="007B45D0">
              <w:rPr>
                <w:color w:val="auto"/>
              </w:rPr>
              <w:t xml:space="preserve"> the Public Governance, Performance and Accountability Act 2013 (</w:t>
            </w:r>
            <w:hyperlink r:id="rId32" w:history="1">
              <w:r w:rsidRPr="00680C0C">
                <w:rPr>
                  <w:rStyle w:val="Hyperlink"/>
                  <w:color w:val="014463" w:themeColor="text2"/>
                </w:rPr>
                <w:t>PGPA Act</w:t>
              </w:r>
            </w:hyperlink>
            <w:r w:rsidRPr="007B45D0">
              <w:rPr>
                <w:rStyle w:val="Hyperlink"/>
                <w:color w:val="auto"/>
              </w:rPr>
              <w:t>)</w:t>
            </w:r>
            <w:r>
              <w:rPr>
                <w:rStyle w:val="Hyperlink"/>
                <w:color w:val="auto"/>
              </w:rPr>
              <w:t>,</w:t>
            </w:r>
            <w:r w:rsidRPr="007B45D0">
              <w:rPr>
                <w:color w:val="auto"/>
              </w:rPr>
              <w:t xml:space="preserve"> and other finance law</w:t>
            </w:r>
            <w:r>
              <w:rPr>
                <w:color w:val="auto"/>
              </w:rPr>
              <w:t>, then the</w:t>
            </w:r>
            <w:r w:rsidRPr="000D148E">
              <w:rPr>
                <w:rFonts w:cstheme="minorHAnsi"/>
                <w:color w:val="auto"/>
                <w:lang w:val="en-US"/>
              </w:rPr>
              <w:t xml:space="preserve"> grant </w:t>
            </w:r>
            <w:r w:rsidRPr="000D148E">
              <w:rPr>
                <w:bCs/>
                <w:color w:val="auto"/>
              </w:rPr>
              <w:t>is in</w:t>
            </w:r>
            <w:r>
              <w:rPr>
                <w:bCs/>
                <w:color w:val="auto"/>
              </w:rPr>
              <w:t>-</w:t>
            </w:r>
            <w:r w:rsidRPr="000D148E">
              <w:rPr>
                <w:bCs/>
                <w:color w:val="auto"/>
              </w:rPr>
              <w:t>scope for prioritisation</w:t>
            </w:r>
            <w:r>
              <w:rPr>
                <w:bCs/>
                <w:color w:val="auto"/>
              </w:rPr>
              <w:t>.</w:t>
            </w:r>
          </w:p>
          <w:p w14:paraId="397A7F99" w14:textId="77777777" w:rsidR="00C624D6" w:rsidRPr="00DA36B7" w:rsidRDefault="00C624D6" w:rsidP="00802DEB">
            <w:pPr>
              <w:pStyle w:val="BodyText"/>
              <w:cnfStyle w:val="000000100000" w:firstRow="0" w:lastRow="0" w:firstColumn="0" w:lastColumn="0" w:oddVBand="0" w:evenVBand="0" w:oddHBand="1" w:evenHBand="0" w:firstRowFirstColumn="0" w:firstRowLastColumn="0" w:lastRowFirstColumn="0" w:lastRowLastColumn="0"/>
              <w:rPr>
                <w:bCs/>
                <w:color w:val="auto"/>
              </w:rPr>
            </w:pPr>
          </w:p>
          <w:p w14:paraId="2B7DF630" w14:textId="77777777" w:rsidR="00C624D6" w:rsidRPr="003561E7"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0D148E">
              <w:rPr>
                <w:rFonts w:asciiTheme="majorHAnsi" w:hAnsiTheme="majorHAnsi"/>
                <w:color w:val="auto"/>
                <w:sz w:val="22"/>
                <w:szCs w:val="22"/>
              </w:rPr>
              <w:t xml:space="preserve">If </w:t>
            </w:r>
            <w:r w:rsidRPr="000D148E">
              <w:rPr>
                <w:rFonts w:asciiTheme="majorHAnsi" w:hAnsiTheme="majorHAnsi"/>
                <w:bCs/>
                <w:color w:val="auto"/>
                <w:sz w:val="22"/>
                <w:szCs w:val="22"/>
              </w:rPr>
              <w:t xml:space="preserve">prioritisation </w:t>
            </w:r>
            <w:r>
              <w:rPr>
                <w:rFonts w:asciiTheme="majorHAnsi" w:hAnsiTheme="majorHAnsi"/>
                <w:color w:val="auto"/>
                <w:sz w:val="22"/>
                <w:szCs w:val="22"/>
              </w:rPr>
              <w:t>practices are to be applied</w:t>
            </w:r>
            <w:r w:rsidRPr="000D148E">
              <w:rPr>
                <w:rFonts w:asciiTheme="majorHAnsi" w:hAnsiTheme="majorHAnsi"/>
                <w:color w:val="auto"/>
                <w:sz w:val="22"/>
                <w:szCs w:val="22"/>
              </w:rPr>
              <w:t xml:space="preserve"> </w:t>
            </w:r>
            <w:r>
              <w:rPr>
                <w:rFonts w:asciiTheme="majorHAnsi" w:hAnsiTheme="majorHAnsi"/>
                <w:color w:val="auto"/>
                <w:sz w:val="22"/>
                <w:szCs w:val="22"/>
              </w:rPr>
              <w:t>a risk assessment and associated mitigations need to be applied. T</w:t>
            </w:r>
            <w:r w:rsidRPr="000D148E">
              <w:rPr>
                <w:rFonts w:asciiTheme="majorHAnsi" w:hAnsiTheme="majorHAnsi"/>
                <w:color w:val="auto"/>
                <w:sz w:val="22"/>
                <w:szCs w:val="22"/>
              </w:rPr>
              <w:t>his include</w:t>
            </w:r>
            <w:r>
              <w:rPr>
                <w:rFonts w:asciiTheme="majorHAnsi" w:hAnsiTheme="majorHAnsi"/>
                <w:color w:val="auto"/>
                <w:sz w:val="22"/>
                <w:szCs w:val="22"/>
              </w:rPr>
              <w:t>s</w:t>
            </w:r>
            <w:r w:rsidRPr="000D148E">
              <w:rPr>
                <w:rFonts w:asciiTheme="majorHAnsi" w:hAnsiTheme="majorHAnsi"/>
                <w:color w:val="auto"/>
                <w:sz w:val="22"/>
                <w:szCs w:val="22"/>
              </w:rPr>
              <w:t xml:space="preserve"> risks associated with verification of organisations</w:t>
            </w:r>
            <w:r>
              <w:rPr>
                <w:rFonts w:asciiTheme="majorHAnsi" w:hAnsiTheme="majorHAnsi"/>
                <w:color w:val="auto"/>
                <w:sz w:val="22"/>
                <w:szCs w:val="22"/>
              </w:rPr>
              <w:t>.</w:t>
            </w:r>
          </w:p>
          <w:p w14:paraId="1A5A4E9B" w14:textId="77777777" w:rsidR="00C624D6" w:rsidRPr="000D148E"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r w:rsidRPr="000D148E">
              <w:rPr>
                <w:rFonts w:asciiTheme="majorHAnsi" w:hAnsiTheme="majorHAnsi" w:cstheme="minorHAnsi"/>
                <w:color w:val="auto"/>
                <w:sz w:val="22"/>
                <w:szCs w:val="22"/>
                <w:lang w:val="en-US"/>
              </w:rPr>
              <w:t>Things to consider</w:t>
            </w:r>
            <w:r>
              <w:rPr>
                <w:rFonts w:asciiTheme="majorHAnsi" w:hAnsiTheme="majorHAnsi" w:cstheme="minorHAnsi"/>
                <w:color w:val="auto"/>
                <w:sz w:val="22"/>
                <w:szCs w:val="22"/>
                <w:lang w:val="en-US"/>
              </w:rPr>
              <w:t xml:space="preserve"> include</w:t>
            </w:r>
            <w:r w:rsidRPr="000D148E">
              <w:rPr>
                <w:rFonts w:asciiTheme="majorHAnsi" w:hAnsiTheme="majorHAnsi" w:cstheme="minorHAnsi"/>
                <w:color w:val="auto"/>
                <w:sz w:val="22"/>
                <w:szCs w:val="22"/>
                <w:lang w:val="en-US"/>
              </w:rPr>
              <w:t>:</w:t>
            </w:r>
          </w:p>
          <w:p w14:paraId="15864882" w14:textId="77777777" w:rsidR="00C624D6" w:rsidRPr="008A3716" w:rsidRDefault="00C624D6" w:rsidP="00802DEB">
            <w:pPr>
              <w:pStyle w:val="ListParagraph"/>
              <w:numPr>
                <w:ilvl w:val="0"/>
                <w:numId w:val="19"/>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300232">
              <w:rPr>
                <w:rFonts w:asciiTheme="majorHAnsi" w:hAnsiTheme="majorHAnsi" w:cstheme="minorHAnsi"/>
                <w:color w:val="auto"/>
                <w:sz w:val="22"/>
                <w:szCs w:val="22"/>
              </w:rPr>
              <w:t>Will this grant contribute to achieving the socio-economic targets or deliver</w:t>
            </w:r>
            <w:r>
              <w:rPr>
                <w:rFonts w:asciiTheme="majorHAnsi" w:hAnsiTheme="majorHAnsi" w:cstheme="minorHAnsi"/>
                <w:color w:val="auto"/>
                <w:sz w:val="22"/>
                <w:szCs w:val="22"/>
              </w:rPr>
              <w:t xml:space="preserve"> on</w:t>
            </w:r>
            <w:r w:rsidRPr="00300232">
              <w:rPr>
                <w:rFonts w:asciiTheme="majorHAnsi" w:hAnsiTheme="majorHAnsi" w:cstheme="minorHAnsi"/>
                <w:color w:val="auto"/>
                <w:sz w:val="22"/>
                <w:szCs w:val="22"/>
              </w:rPr>
              <w:t xml:space="preserve"> the Priority Reforms under the National Agreement?</w:t>
            </w:r>
          </w:p>
          <w:p w14:paraId="1CB0EC44" w14:textId="5B985F8B" w:rsidR="00C624D6" w:rsidRPr="00300232" w:rsidRDefault="00C624D6" w:rsidP="00802DEB">
            <w:pPr>
              <w:pStyle w:val="ListParagraph"/>
              <w:numPr>
                <w:ilvl w:val="0"/>
                <w:numId w:val="19"/>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0D148E">
              <w:rPr>
                <w:rFonts w:asciiTheme="majorHAnsi" w:hAnsiTheme="majorHAnsi" w:cstheme="minorHAnsi"/>
                <w:color w:val="auto"/>
                <w:sz w:val="22"/>
                <w:szCs w:val="22"/>
              </w:rPr>
              <w:t>What are the costs</w:t>
            </w:r>
            <w:r>
              <w:rPr>
                <w:rFonts w:asciiTheme="majorHAnsi" w:hAnsiTheme="majorHAnsi" w:cstheme="minorHAnsi"/>
                <w:color w:val="auto"/>
                <w:sz w:val="22"/>
                <w:szCs w:val="22"/>
              </w:rPr>
              <w:t xml:space="preserve">, </w:t>
            </w:r>
            <w:r w:rsidRPr="000D148E">
              <w:rPr>
                <w:rFonts w:asciiTheme="majorHAnsi" w:hAnsiTheme="majorHAnsi" w:cstheme="minorHAnsi"/>
                <w:color w:val="auto"/>
                <w:sz w:val="22"/>
                <w:szCs w:val="22"/>
              </w:rPr>
              <w:t>benefits and associated risks of applying prioritisation practice to this grant round?</w:t>
            </w:r>
          </w:p>
        </w:tc>
      </w:tr>
      <w:tr w:rsidR="00C624D6" w:rsidRPr="005256C6" w14:paraId="697928FD" w14:textId="77777777" w:rsidTr="005F43FA">
        <w:trPr>
          <w:trHeight w:val="2585"/>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tcPr>
          <w:p w14:paraId="7F9639CC" w14:textId="43194803" w:rsidR="00C624D6" w:rsidRPr="00C624D6" w:rsidRDefault="00C624D6" w:rsidP="00802DEB">
            <w:pPr>
              <w:pStyle w:val="ListParagraph"/>
              <w:numPr>
                <w:ilvl w:val="0"/>
                <w:numId w:val="20"/>
              </w:numPr>
              <w:spacing w:after="60"/>
              <w:rPr>
                <w:rFonts w:asciiTheme="majorHAnsi" w:hAnsiTheme="majorHAnsi" w:cstheme="minorHAnsi"/>
                <w:b w:val="0"/>
                <w:color w:val="auto"/>
                <w:sz w:val="22"/>
                <w:szCs w:val="22"/>
              </w:rPr>
            </w:pPr>
            <w:r w:rsidRPr="00C624D6">
              <w:rPr>
                <w:rFonts w:asciiTheme="majorHAnsi" w:hAnsiTheme="majorHAnsi" w:cstheme="minorHAnsi"/>
                <w:b w:val="0"/>
                <w:bCs w:val="0"/>
                <w:color w:val="auto"/>
                <w:sz w:val="22"/>
                <w:szCs w:val="22"/>
              </w:rPr>
              <w:t>Design the Opportunity including consultation and risk assessment</w:t>
            </w:r>
          </w:p>
          <w:p w14:paraId="0356D793" w14:textId="77777777" w:rsidR="00C624D6" w:rsidRPr="00C624D6" w:rsidRDefault="00C624D6" w:rsidP="00025C86">
            <w:pPr>
              <w:spacing w:after="60"/>
              <w:rPr>
                <w:rFonts w:asciiTheme="majorHAnsi" w:hAnsiTheme="majorHAnsi" w:cstheme="minorHAnsi"/>
                <w:b w:val="0"/>
                <w:color w:val="auto"/>
                <w:sz w:val="22"/>
                <w:szCs w:val="22"/>
              </w:rPr>
            </w:pPr>
          </w:p>
        </w:tc>
        <w:tc>
          <w:tcPr>
            <w:tcW w:w="3751" w:type="pct"/>
            <w:shd w:val="clear" w:color="auto" w:fill="F3C7A2" w:themeFill="accent3" w:themeFillTint="66"/>
          </w:tcPr>
          <w:p w14:paraId="0D786644" w14:textId="1ADF3956"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In order to design a grant opportunity, consultation should be undertaken early </w:t>
            </w:r>
            <w:r>
              <w:rPr>
                <w:rFonts w:asciiTheme="majorHAnsi" w:hAnsiTheme="majorHAnsi" w:cstheme="minorHAnsi"/>
                <w:color w:val="auto"/>
                <w:sz w:val="22"/>
                <w:szCs w:val="22"/>
                <w:lang w:val="en-US"/>
              </w:rPr>
              <w:t xml:space="preserve">with stakeholders </w:t>
            </w:r>
            <w:r w:rsidRPr="00F655DC">
              <w:rPr>
                <w:rFonts w:asciiTheme="majorHAnsi" w:hAnsiTheme="majorHAnsi" w:cstheme="minorHAnsi"/>
                <w:color w:val="auto"/>
                <w:sz w:val="22"/>
                <w:szCs w:val="22"/>
                <w:lang w:val="en-US"/>
              </w:rPr>
              <w:t xml:space="preserve">to identify </w:t>
            </w:r>
            <w:r>
              <w:rPr>
                <w:rFonts w:asciiTheme="majorHAnsi" w:hAnsiTheme="majorHAnsi" w:cstheme="minorHAnsi"/>
                <w:color w:val="auto"/>
                <w:sz w:val="22"/>
                <w:szCs w:val="22"/>
                <w:lang w:val="en-US"/>
              </w:rPr>
              <w:t xml:space="preserve">(or discuss the delivery of the grant opportunity) </w:t>
            </w:r>
            <w:r w:rsidRPr="00F655DC">
              <w:rPr>
                <w:rFonts w:asciiTheme="majorHAnsi" w:hAnsiTheme="majorHAnsi" w:cstheme="minorHAnsi"/>
                <w:color w:val="auto"/>
                <w:sz w:val="22"/>
                <w:szCs w:val="22"/>
                <w:lang w:val="en-US"/>
              </w:rPr>
              <w:t>outcome</w:t>
            </w:r>
            <w:r>
              <w:rPr>
                <w:rFonts w:asciiTheme="majorHAnsi" w:hAnsiTheme="majorHAnsi" w:cstheme="minorHAnsi"/>
                <w:color w:val="auto"/>
                <w:sz w:val="22"/>
                <w:szCs w:val="22"/>
                <w:lang w:val="en-US"/>
              </w:rPr>
              <w:t>s</w:t>
            </w:r>
            <w:r w:rsidRPr="00F655DC">
              <w:rPr>
                <w:rFonts w:asciiTheme="majorHAnsi" w:hAnsiTheme="majorHAnsi" w:cstheme="minorHAnsi"/>
                <w:color w:val="auto"/>
                <w:sz w:val="22"/>
                <w:szCs w:val="22"/>
                <w:lang w:val="en-US"/>
              </w:rPr>
              <w:t xml:space="preserve">/priorities as well as prioritisation options for eligible applicants. </w:t>
            </w:r>
          </w:p>
          <w:p w14:paraId="5EF7FBFE" w14:textId="2F32D9C2" w:rsidR="00C624D6" w:rsidRPr="00EC0820" w:rsidRDefault="00C624D6" w:rsidP="00802DEB">
            <w:p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b/>
                <w:sz w:val="22"/>
                <w:szCs w:val="22"/>
              </w:rPr>
              <w:t xml:space="preserve">Structure of grant round: </w:t>
            </w:r>
            <w:r w:rsidRPr="00EC0820">
              <w:rPr>
                <w:rFonts w:asciiTheme="majorHAnsi" w:hAnsiTheme="majorHAnsi"/>
                <w:sz w:val="22"/>
                <w:szCs w:val="22"/>
              </w:rPr>
              <w:t>This assessment needs to be undertaken as outlined in the CGR</w:t>
            </w:r>
            <w:r w:rsidR="00F31D2D">
              <w:rPr>
                <w:rFonts w:asciiTheme="majorHAnsi" w:hAnsiTheme="majorHAnsi"/>
                <w:sz w:val="22"/>
                <w:szCs w:val="22"/>
              </w:rPr>
              <w:t>P</w:t>
            </w:r>
            <w:r w:rsidRPr="00EC0820">
              <w:rPr>
                <w:rFonts w:asciiTheme="majorHAnsi" w:hAnsiTheme="majorHAnsi"/>
                <w:sz w:val="22"/>
                <w:szCs w:val="22"/>
              </w:rPr>
              <w:t xml:space="preserve">s and relevant consultation and considerations applied. Agencies should consider how to structure the grant funding. For example, choosing a target amount or percentage to set aside of the total grant, or select regions based on localised priorities. Considerations to help inform this decision include; </w:t>
            </w:r>
          </w:p>
          <w:p w14:paraId="6A8B2F70"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 xml:space="preserve">Who are the intended beneficiaries? </w:t>
            </w:r>
          </w:p>
          <w:p w14:paraId="78A7D8AA"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Where will the grants be delivered?</w:t>
            </w:r>
          </w:p>
          <w:p w14:paraId="5A2FF10F"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What are the characteristics of the First Nations population where each of the grant activities will be delivered?</w:t>
            </w:r>
          </w:p>
          <w:p w14:paraId="7C3FBDAA" w14:textId="51E33F50" w:rsidR="00C624D6" w:rsidRPr="00FA24AD" w:rsidRDefault="00FA24AD"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 xml:space="preserve">Have you considered the </w:t>
            </w:r>
            <w:r w:rsidRPr="003205F4">
              <w:rPr>
                <w:rFonts w:asciiTheme="majorHAnsi" w:hAnsiTheme="majorHAnsi"/>
                <w:sz w:val="22"/>
                <w:szCs w:val="22"/>
              </w:rPr>
              <w:t xml:space="preserve">expertise </w:t>
            </w:r>
            <w:r>
              <w:rPr>
                <w:rFonts w:asciiTheme="majorHAnsi" w:hAnsiTheme="majorHAnsi"/>
                <w:sz w:val="22"/>
                <w:szCs w:val="22"/>
              </w:rPr>
              <w:t>and</w:t>
            </w:r>
            <w:r w:rsidRPr="003205F4">
              <w:rPr>
                <w:rFonts w:asciiTheme="majorHAnsi" w:hAnsiTheme="majorHAnsi"/>
                <w:sz w:val="22"/>
                <w:szCs w:val="22"/>
              </w:rPr>
              <w:t xml:space="preserve"> knowledge </w:t>
            </w:r>
            <w:r>
              <w:rPr>
                <w:rFonts w:asciiTheme="majorHAnsi" w:hAnsiTheme="majorHAnsi"/>
                <w:sz w:val="22"/>
                <w:szCs w:val="22"/>
              </w:rPr>
              <w:t>of Aboriginal and Torres Strait Islander organisations</w:t>
            </w:r>
            <w:r w:rsidRPr="00D96BE8">
              <w:rPr>
                <w:rFonts w:asciiTheme="majorHAnsi" w:hAnsiTheme="majorHAnsi"/>
                <w:sz w:val="22"/>
                <w:szCs w:val="22"/>
              </w:rPr>
              <w:t xml:space="preserve"> </w:t>
            </w:r>
            <w:r>
              <w:rPr>
                <w:rFonts w:asciiTheme="majorHAnsi" w:hAnsiTheme="majorHAnsi"/>
                <w:sz w:val="22"/>
                <w:szCs w:val="22"/>
              </w:rPr>
              <w:t>to maximise better</w:t>
            </w:r>
            <w:r w:rsidRPr="00D96BE8">
              <w:rPr>
                <w:rFonts w:asciiTheme="majorHAnsi" w:hAnsiTheme="majorHAnsi"/>
                <w:sz w:val="22"/>
                <w:szCs w:val="22"/>
              </w:rPr>
              <w:t xml:space="preserve"> outcomes for the grant</w:t>
            </w:r>
            <w:r>
              <w:rPr>
                <w:rFonts w:asciiTheme="majorHAnsi" w:hAnsiTheme="majorHAnsi"/>
                <w:sz w:val="22"/>
                <w:szCs w:val="22"/>
              </w:rPr>
              <w:t>?</w:t>
            </w:r>
          </w:p>
          <w:p w14:paraId="0DF3998B" w14:textId="77777777" w:rsidR="00224473" w:rsidRDefault="00224473"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345C0E35" w14:textId="29DC92AC"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Some prioritisation options to consider during the design phase of </w:t>
            </w:r>
            <w:r>
              <w:rPr>
                <w:rFonts w:asciiTheme="majorHAnsi" w:hAnsiTheme="majorHAnsi" w:cstheme="minorHAnsi"/>
                <w:color w:val="auto"/>
                <w:sz w:val="22"/>
                <w:szCs w:val="22"/>
                <w:lang w:val="en-US"/>
              </w:rPr>
              <w:t>a</w:t>
            </w:r>
            <w:r w:rsidRPr="00F655DC">
              <w:rPr>
                <w:rFonts w:asciiTheme="majorHAnsi" w:hAnsiTheme="majorHAnsi" w:cstheme="minorHAnsi"/>
                <w:color w:val="auto"/>
                <w:sz w:val="22"/>
                <w:szCs w:val="22"/>
                <w:lang w:val="en-US"/>
              </w:rPr>
              <w:t xml:space="preserve"> grant opportunit</w:t>
            </w:r>
            <w:r>
              <w:rPr>
                <w:rFonts w:asciiTheme="majorHAnsi" w:hAnsiTheme="majorHAnsi" w:cstheme="minorHAnsi"/>
                <w:color w:val="auto"/>
                <w:sz w:val="22"/>
                <w:szCs w:val="22"/>
                <w:lang w:val="en-US"/>
              </w:rPr>
              <w:t>y</w:t>
            </w:r>
            <w:r w:rsidRPr="00F655DC">
              <w:rPr>
                <w:rFonts w:asciiTheme="majorHAnsi" w:hAnsiTheme="majorHAnsi" w:cstheme="minorHAnsi"/>
                <w:color w:val="auto"/>
                <w:sz w:val="22"/>
                <w:szCs w:val="22"/>
                <w:lang w:val="en-US"/>
              </w:rPr>
              <w:t xml:space="preserve"> are outlined here. </w:t>
            </w:r>
          </w:p>
          <w:p w14:paraId="4A99CD03"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095ACA0E" w14:textId="77777777" w:rsidR="00C624D6" w:rsidRPr="004625D9"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b/>
                <w:color w:val="auto"/>
                <w:sz w:val="22"/>
                <w:szCs w:val="22"/>
                <w:lang w:val="en-US"/>
              </w:rPr>
              <w:lastRenderedPageBreak/>
              <w:t>Grant selection type:</w:t>
            </w:r>
            <w:r w:rsidRPr="004625D9">
              <w:rPr>
                <w:rFonts w:asciiTheme="majorHAnsi" w:hAnsiTheme="majorHAnsi" w:cstheme="minorHAnsi"/>
                <w:color w:val="auto"/>
                <w:sz w:val="22"/>
                <w:szCs w:val="22"/>
                <w:lang w:val="en-US"/>
              </w:rPr>
              <w:t xml:space="preserve"> Using grant selection processes can allow prioritisation or inadvertently exclude it. For example:</w:t>
            </w:r>
          </w:p>
          <w:p w14:paraId="7B062604"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color w:val="auto"/>
                <w:sz w:val="22"/>
                <w:szCs w:val="22"/>
                <w:lang w:val="en-US"/>
              </w:rPr>
              <w:t xml:space="preserve">Open competitive processes may be better for prioritisation, as they allow the market to consider the grant opportunity and determine if they want to apply. </w:t>
            </w:r>
          </w:p>
          <w:p w14:paraId="35ED6ABA" w14:textId="3CF3903A" w:rsidR="00C624D6" w:rsidRPr="00EC0820"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color w:val="auto"/>
                <w:sz w:val="22"/>
                <w:szCs w:val="22"/>
                <w:lang w:val="en-US"/>
              </w:rPr>
              <w:t>Grant rounds which are closed non-competitive may inadvertently exclude Aboriginal and Torres Strait Islander organisations if they are unknown to the agency.</w:t>
            </w:r>
          </w:p>
          <w:p w14:paraId="70244466"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3A60ED4C"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How should the opportunity</w:t>
            </w:r>
            <w:r w:rsidRPr="00F655DC">
              <w:rPr>
                <w:rFonts w:asciiTheme="majorHAnsi" w:hAnsiTheme="majorHAnsi" w:cstheme="minorHAnsi"/>
                <w:color w:val="auto"/>
                <w:sz w:val="22"/>
                <w:szCs w:val="22"/>
                <w:lang w:val="en-US"/>
              </w:rPr>
              <w:t xml:space="preserve"> be open to applicants:  </w:t>
            </w:r>
          </w:p>
          <w:p w14:paraId="337C5A59"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O</w:t>
            </w:r>
            <w:r w:rsidRPr="00F655DC">
              <w:rPr>
                <w:rFonts w:asciiTheme="majorHAnsi" w:hAnsiTheme="majorHAnsi" w:cstheme="minorHAnsi"/>
                <w:color w:val="auto"/>
                <w:sz w:val="22"/>
                <w:szCs w:val="22"/>
                <w:lang w:val="en-US"/>
              </w:rPr>
              <w:t>pen</w:t>
            </w:r>
          </w:p>
          <w:p w14:paraId="44A2C4B9" w14:textId="1BE9B9F0" w:rsidR="00C624D6" w:rsidRDefault="00FF1E28"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Targeted</w:t>
            </w:r>
          </w:p>
          <w:p w14:paraId="3361D67B"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R</w:t>
            </w:r>
            <w:r w:rsidRPr="00F655DC">
              <w:rPr>
                <w:rFonts w:asciiTheme="majorHAnsi" w:hAnsiTheme="majorHAnsi" w:cstheme="minorHAnsi"/>
                <w:color w:val="auto"/>
                <w:sz w:val="22"/>
                <w:szCs w:val="22"/>
                <w:lang w:val="en-US"/>
              </w:rPr>
              <w:t>estricted</w:t>
            </w:r>
            <w:r>
              <w:rPr>
                <w:rFonts w:asciiTheme="majorHAnsi" w:hAnsiTheme="majorHAnsi" w:cstheme="minorHAnsi"/>
                <w:color w:val="auto"/>
                <w:sz w:val="22"/>
                <w:szCs w:val="22"/>
                <w:lang w:val="en-US"/>
              </w:rPr>
              <w:t xml:space="preserve"> </w:t>
            </w:r>
          </w:p>
          <w:p w14:paraId="4B6E0E64"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Demand driven,</w:t>
            </w:r>
            <w:r w:rsidRPr="00F655DC">
              <w:rPr>
                <w:rFonts w:asciiTheme="majorHAnsi" w:hAnsiTheme="majorHAnsi" w:cstheme="minorHAnsi"/>
                <w:color w:val="auto"/>
                <w:sz w:val="22"/>
                <w:szCs w:val="22"/>
                <w:lang w:val="en-US"/>
              </w:rPr>
              <w:t xml:space="preserve"> or </w:t>
            </w:r>
          </w:p>
          <w:p w14:paraId="582AE6C5" w14:textId="7B1A13A3"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C</w:t>
            </w:r>
            <w:r w:rsidRPr="00F655DC">
              <w:rPr>
                <w:rFonts w:asciiTheme="majorHAnsi" w:hAnsiTheme="majorHAnsi" w:cstheme="minorHAnsi"/>
                <w:color w:val="auto"/>
                <w:sz w:val="22"/>
                <w:szCs w:val="22"/>
                <w:lang w:val="en-US"/>
              </w:rPr>
              <w:t xml:space="preserve">losed? </w:t>
            </w:r>
          </w:p>
          <w:p w14:paraId="3270517F" w14:textId="2FBA3F40" w:rsidR="00D50245" w:rsidRDefault="00D50245" w:rsidP="00802DEB">
            <w:pPr>
              <w:spacing w:after="60"/>
              <w:cnfStyle w:val="000000000000" w:firstRow="0" w:lastRow="0" w:firstColumn="0" w:lastColumn="0" w:oddVBand="0" w:evenVBand="0" w:oddHBand="0" w:evenHBand="0" w:firstRowFirstColumn="0" w:firstRowLastColumn="0" w:lastRowFirstColumn="0" w:lastRowLastColumn="0"/>
              <w:rPr>
                <w:lang w:val="en-US"/>
              </w:rPr>
            </w:pPr>
          </w:p>
          <w:p w14:paraId="171937FE" w14:textId="2FA2F2F3" w:rsidR="00D50245" w:rsidRPr="00D50245" w:rsidRDefault="00D50245"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D50245">
              <w:rPr>
                <w:rFonts w:asciiTheme="majorHAnsi" w:hAnsiTheme="majorHAnsi" w:cstheme="minorHAnsi"/>
                <w:color w:val="auto"/>
                <w:sz w:val="22"/>
                <w:szCs w:val="22"/>
                <w:lang w:val="en-US"/>
              </w:rPr>
              <w:t>Delegates making funding decisions must do so based on the relevant GOGs and the principle of achieving value for money (paragraph 4.5 of the CGR</w:t>
            </w:r>
            <w:r w:rsidR="00B16D97">
              <w:rPr>
                <w:rFonts w:asciiTheme="majorHAnsi" w:hAnsiTheme="majorHAnsi" w:cstheme="minorHAnsi"/>
                <w:color w:val="auto"/>
                <w:sz w:val="22"/>
                <w:szCs w:val="22"/>
                <w:lang w:val="en-US"/>
              </w:rPr>
              <w:t>P</w:t>
            </w:r>
            <w:r w:rsidRPr="00D50245">
              <w:rPr>
                <w:rFonts w:asciiTheme="majorHAnsi" w:hAnsiTheme="majorHAnsi" w:cstheme="minorHAnsi"/>
                <w:color w:val="auto"/>
                <w:sz w:val="22"/>
                <w:szCs w:val="22"/>
                <w:lang w:val="en-US"/>
              </w:rPr>
              <w:t>s). All factors which inform a delegate’s funding decision should be articulated in the GOGs. This will also increase transparency in the process, consistent with the CGR</w:t>
            </w:r>
            <w:r w:rsidR="0029274D">
              <w:rPr>
                <w:rFonts w:asciiTheme="majorHAnsi" w:hAnsiTheme="majorHAnsi" w:cstheme="minorHAnsi"/>
                <w:color w:val="auto"/>
                <w:sz w:val="22"/>
                <w:szCs w:val="22"/>
                <w:lang w:val="en-US"/>
              </w:rPr>
              <w:t>P</w:t>
            </w:r>
            <w:r w:rsidRPr="00D50245">
              <w:rPr>
                <w:rFonts w:asciiTheme="majorHAnsi" w:hAnsiTheme="majorHAnsi" w:cstheme="minorHAnsi"/>
                <w:color w:val="auto"/>
                <w:sz w:val="22"/>
                <w:szCs w:val="22"/>
                <w:lang w:val="en-US"/>
              </w:rPr>
              <w:t>s, and reduce the likelihood of any complaints.</w:t>
            </w:r>
          </w:p>
          <w:p w14:paraId="00E4089C"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472AF182" w14:textId="77777777" w:rsidR="00C624D6" w:rsidRPr="00253C1D"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b/>
                <w:color w:val="auto"/>
                <w:sz w:val="22"/>
                <w:szCs w:val="22"/>
                <w:lang w:val="en-US"/>
              </w:rPr>
              <w:t>Competitive round</w:t>
            </w:r>
            <w:r>
              <w:rPr>
                <w:rFonts w:asciiTheme="majorHAnsi" w:hAnsiTheme="majorHAnsi" w:cstheme="minorHAnsi"/>
                <w:color w:val="auto"/>
                <w:sz w:val="22"/>
                <w:szCs w:val="22"/>
                <w:lang w:val="en-US"/>
              </w:rPr>
              <w:t xml:space="preserve">, </w:t>
            </w:r>
            <w:r w:rsidRPr="00253C1D">
              <w:rPr>
                <w:rFonts w:asciiTheme="majorHAnsi" w:hAnsiTheme="majorHAnsi" w:cstheme="minorHAnsi"/>
                <w:color w:val="auto"/>
                <w:sz w:val="22"/>
                <w:szCs w:val="22"/>
                <w:lang w:val="en-US"/>
              </w:rPr>
              <w:t xml:space="preserve">in order to determine the most meritorious, </w:t>
            </w:r>
            <w:r>
              <w:rPr>
                <w:rFonts w:asciiTheme="majorHAnsi" w:hAnsiTheme="majorHAnsi" w:cstheme="minorHAnsi"/>
                <w:color w:val="auto"/>
                <w:sz w:val="22"/>
                <w:szCs w:val="22"/>
                <w:lang w:val="en-US"/>
              </w:rPr>
              <w:t xml:space="preserve">there may be </w:t>
            </w:r>
            <w:r w:rsidRPr="00253C1D">
              <w:rPr>
                <w:rFonts w:asciiTheme="majorHAnsi" w:hAnsiTheme="majorHAnsi" w:cstheme="minorHAnsi"/>
                <w:color w:val="auto"/>
                <w:sz w:val="22"/>
                <w:szCs w:val="22"/>
                <w:lang w:val="en-US"/>
              </w:rPr>
              <w:t xml:space="preserve">factors beyond the selection criteria </w:t>
            </w:r>
            <w:r>
              <w:rPr>
                <w:rFonts w:asciiTheme="majorHAnsi" w:hAnsiTheme="majorHAnsi" w:cstheme="minorHAnsi"/>
                <w:color w:val="auto"/>
                <w:sz w:val="22"/>
                <w:szCs w:val="22"/>
                <w:lang w:val="en-US"/>
              </w:rPr>
              <w:t>that should</w:t>
            </w:r>
            <w:r w:rsidRPr="00253C1D">
              <w:rPr>
                <w:rFonts w:asciiTheme="majorHAnsi" w:hAnsiTheme="majorHAnsi" w:cstheme="minorHAnsi"/>
                <w:color w:val="auto"/>
                <w:sz w:val="22"/>
                <w:szCs w:val="22"/>
                <w:lang w:val="en-US"/>
              </w:rPr>
              <w:t xml:space="preserve"> be considered in </w:t>
            </w:r>
            <w:r>
              <w:rPr>
                <w:rFonts w:asciiTheme="majorHAnsi" w:hAnsiTheme="majorHAnsi" w:cstheme="minorHAnsi"/>
                <w:color w:val="auto"/>
                <w:sz w:val="22"/>
                <w:szCs w:val="22"/>
                <w:lang w:val="en-US"/>
              </w:rPr>
              <w:t xml:space="preserve">the </w:t>
            </w:r>
            <w:r w:rsidRPr="00253C1D">
              <w:rPr>
                <w:rFonts w:asciiTheme="majorHAnsi" w:hAnsiTheme="majorHAnsi" w:cstheme="minorHAnsi"/>
                <w:color w:val="auto"/>
                <w:sz w:val="22"/>
                <w:szCs w:val="22"/>
                <w:lang w:val="en-US"/>
              </w:rPr>
              <w:t>overall ranking of applications</w:t>
            </w:r>
            <w:r>
              <w:rPr>
                <w:rFonts w:asciiTheme="majorHAnsi" w:hAnsiTheme="majorHAnsi" w:cstheme="minorHAnsi"/>
                <w:color w:val="auto"/>
                <w:sz w:val="22"/>
                <w:szCs w:val="22"/>
                <w:lang w:val="en-US"/>
              </w:rPr>
              <w:t>. Agencies will need to i</w:t>
            </w:r>
            <w:r w:rsidRPr="00253C1D">
              <w:rPr>
                <w:rFonts w:asciiTheme="majorHAnsi" w:hAnsiTheme="majorHAnsi" w:cstheme="minorHAnsi"/>
                <w:color w:val="auto"/>
                <w:sz w:val="22"/>
                <w:szCs w:val="22"/>
                <w:lang w:val="en-US"/>
              </w:rPr>
              <w:t xml:space="preserve">dentify what these </w:t>
            </w:r>
            <w:r>
              <w:rPr>
                <w:rFonts w:asciiTheme="majorHAnsi" w:hAnsiTheme="majorHAnsi" w:cstheme="minorHAnsi"/>
                <w:color w:val="auto"/>
                <w:sz w:val="22"/>
                <w:szCs w:val="22"/>
                <w:lang w:val="en-US"/>
              </w:rPr>
              <w:t xml:space="preserve">factors </w:t>
            </w:r>
            <w:r w:rsidRPr="00253C1D">
              <w:rPr>
                <w:rFonts w:asciiTheme="majorHAnsi" w:hAnsiTheme="majorHAnsi" w:cstheme="minorHAnsi"/>
                <w:color w:val="auto"/>
                <w:sz w:val="22"/>
                <w:szCs w:val="22"/>
                <w:lang w:val="en-US"/>
              </w:rPr>
              <w:t xml:space="preserve">are and how they will impact ranking and recommendations. </w:t>
            </w:r>
          </w:p>
          <w:p w14:paraId="557FE1D7" w14:textId="1B789F91"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For example, if the grant round (or a portion) contributes towards a Closing the Ga</w:t>
            </w:r>
            <w:r w:rsidR="00FA24AD">
              <w:rPr>
                <w:rFonts w:asciiTheme="majorHAnsi" w:hAnsiTheme="majorHAnsi" w:cstheme="minorHAnsi"/>
                <w:color w:val="auto"/>
                <w:sz w:val="22"/>
                <w:szCs w:val="22"/>
                <w:lang w:val="en-US"/>
              </w:rPr>
              <w:t>p target and relates to media, C</w:t>
            </w:r>
            <w:r>
              <w:rPr>
                <w:rFonts w:asciiTheme="majorHAnsi" w:hAnsiTheme="majorHAnsi" w:cstheme="minorHAnsi"/>
                <w:color w:val="auto"/>
                <w:sz w:val="22"/>
                <w:szCs w:val="22"/>
                <w:lang w:val="en-US"/>
              </w:rPr>
              <w:t>lause 24 of the National Agreement states “</w:t>
            </w:r>
            <w:r w:rsidRPr="00EA0152">
              <w:rPr>
                <w:rFonts w:asciiTheme="majorHAnsi" w:hAnsiTheme="majorHAnsi" w:cstheme="minorHAnsi"/>
                <w:color w:val="auto"/>
                <w:sz w:val="22"/>
                <w:szCs w:val="22"/>
                <w:lang w:val="en-US"/>
              </w:rPr>
              <w:t>Aboriginal and Torres Strait Islander media, in particular community-controlled media, have a central role in communicating activities under this Agreement to allow culturally relevant messages to be developed and shared by Aboriginal and Torres Strait Islander organisations and communities for Aboriginal and Torres Strait Islander people</w:t>
            </w:r>
            <w:r>
              <w:rPr>
                <w:rFonts w:asciiTheme="majorHAnsi" w:hAnsiTheme="majorHAnsi" w:cstheme="minorHAnsi"/>
                <w:color w:val="auto"/>
                <w:sz w:val="22"/>
                <w:szCs w:val="22"/>
                <w:lang w:val="en-US"/>
              </w:rPr>
              <w:t xml:space="preserve">”. This is a factor that would support prioritisation of </w:t>
            </w:r>
            <w:r w:rsidRPr="00EA0152">
              <w:rPr>
                <w:rFonts w:asciiTheme="majorHAnsi" w:hAnsiTheme="majorHAnsi" w:cstheme="minorHAnsi"/>
                <w:color w:val="auto"/>
                <w:sz w:val="22"/>
                <w:szCs w:val="22"/>
                <w:lang w:val="en-US"/>
              </w:rPr>
              <w:t>Aboriginal and Torres Strait Islander media, in particular community-controlled media</w:t>
            </w:r>
            <w:r>
              <w:rPr>
                <w:rFonts w:asciiTheme="majorHAnsi" w:hAnsiTheme="majorHAnsi" w:cstheme="minorHAnsi"/>
                <w:color w:val="auto"/>
                <w:sz w:val="22"/>
                <w:szCs w:val="22"/>
                <w:lang w:val="en-US"/>
              </w:rPr>
              <w:t xml:space="preserve"> organisations in this grant process.</w:t>
            </w:r>
          </w:p>
          <w:p w14:paraId="2607E3B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17B727C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b/>
                <w:color w:val="auto"/>
                <w:sz w:val="22"/>
                <w:szCs w:val="22"/>
                <w:lang w:val="en-US"/>
              </w:rPr>
              <w:t>Non-competitive round</w:t>
            </w:r>
            <w:r w:rsidRPr="00253C1D">
              <w:rPr>
                <w:rFonts w:asciiTheme="majorHAnsi" w:hAnsiTheme="majorHAnsi" w:cstheme="minorHAnsi"/>
                <w:color w:val="auto"/>
                <w:sz w:val="22"/>
                <w:szCs w:val="22"/>
                <w:lang w:val="en-US"/>
              </w:rPr>
              <w:t xml:space="preserve">, each application is assessed on its own merits </w:t>
            </w:r>
            <w:r>
              <w:rPr>
                <w:rFonts w:asciiTheme="majorHAnsi" w:hAnsiTheme="majorHAnsi" w:cstheme="minorHAnsi"/>
                <w:color w:val="auto"/>
                <w:sz w:val="22"/>
                <w:szCs w:val="22"/>
                <w:lang w:val="en-US"/>
              </w:rPr>
              <w:t>against the assessment criteria. W</w:t>
            </w:r>
            <w:r w:rsidRPr="00253C1D">
              <w:rPr>
                <w:rFonts w:asciiTheme="majorHAnsi" w:hAnsiTheme="majorHAnsi" w:cstheme="minorHAnsi"/>
                <w:color w:val="auto"/>
                <w:sz w:val="22"/>
                <w:szCs w:val="22"/>
                <w:lang w:val="en-US"/>
              </w:rPr>
              <w:t>hat determine</w:t>
            </w:r>
            <w:r>
              <w:rPr>
                <w:rFonts w:asciiTheme="majorHAnsi" w:hAnsiTheme="majorHAnsi" w:cstheme="minorHAnsi"/>
                <w:color w:val="auto"/>
                <w:sz w:val="22"/>
                <w:szCs w:val="22"/>
                <w:lang w:val="en-US"/>
              </w:rPr>
              <w:t>s</w:t>
            </w:r>
            <w:r w:rsidRPr="00253C1D">
              <w:rPr>
                <w:rFonts w:asciiTheme="majorHAnsi" w:hAnsiTheme="majorHAnsi" w:cstheme="minorHAnsi"/>
                <w:color w:val="auto"/>
                <w:sz w:val="22"/>
                <w:szCs w:val="22"/>
                <w:lang w:val="en-US"/>
              </w:rPr>
              <w:t xml:space="preserve"> the worthiness for recommendation? Are there minimum standards or benchmarks for each criteria? Must all criteria assessment pass a minimum threshold to be recommended for funding?   </w:t>
            </w:r>
          </w:p>
          <w:p w14:paraId="687D4698"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3FB2A821" w14:textId="00D4D59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lang w:val="en-US"/>
              </w:rPr>
              <w:lastRenderedPageBreak/>
              <w:t xml:space="preserve">For example, a number of applications may be meritorious, however there are limited funds. </w:t>
            </w:r>
            <w:r>
              <w:rPr>
                <w:rFonts w:asciiTheme="majorHAnsi" w:hAnsiTheme="majorHAnsi" w:cstheme="minorHAnsi"/>
                <w:color w:val="auto"/>
                <w:sz w:val="22"/>
                <w:szCs w:val="22"/>
              </w:rPr>
              <w:t>There are</w:t>
            </w:r>
            <w:r w:rsidRPr="00D339F5">
              <w:rPr>
                <w:rFonts w:asciiTheme="majorHAnsi" w:hAnsiTheme="majorHAnsi" w:cstheme="minorHAnsi"/>
                <w:color w:val="auto"/>
                <w:sz w:val="22"/>
                <w:szCs w:val="22"/>
              </w:rPr>
              <w:t xml:space="preserve"> var</w:t>
            </w:r>
            <w:r>
              <w:rPr>
                <w:rFonts w:asciiTheme="majorHAnsi" w:hAnsiTheme="majorHAnsi" w:cstheme="minorHAnsi"/>
                <w:color w:val="auto"/>
                <w:sz w:val="22"/>
                <w:szCs w:val="22"/>
              </w:rPr>
              <w:t>ious ways of prioritisation</w:t>
            </w:r>
            <w:r w:rsidR="00986D4A">
              <w:rPr>
                <w:rFonts w:asciiTheme="majorHAnsi" w:hAnsiTheme="majorHAnsi" w:cstheme="minorHAnsi"/>
                <w:color w:val="auto"/>
                <w:sz w:val="22"/>
                <w:szCs w:val="22"/>
              </w:rPr>
              <w:t xml:space="preserve"> funding in these cases</w:t>
            </w:r>
            <w:r>
              <w:rPr>
                <w:rFonts w:asciiTheme="majorHAnsi" w:hAnsiTheme="majorHAnsi" w:cstheme="minorHAnsi"/>
                <w:color w:val="auto"/>
                <w:sz w:val="22"/>
                <w:szCs w:val="22"/>
              </w:rPr>
              <w:t xml:space="preserve"> including:</w:t>
            </w:r>
          </w:p>
          <w:p w14:paraId="43E8C8AA" w14:textId="6919D69C" w:rsidR="00C624D6" w:rsidRDefault="00C624D6"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A1EF6">
              <w:rPr>
                <w:rFonts w:asciiTheme="majorHAnsi" w:hAnsiTheme="majorHAnsi"/>
                <w:sz w:val="22"/>
                <w:szCs w:val="22"/>
              </w:rPr>
              <w:t>Use of Eligibility</w:t>
            </w:r>
          </w:p>
          <w:p w14:paraId="66F35F52" w14:textId="77777777" w:rsidR="0001677D" w:rsidRPr="00300232" w:rsidRDefault="0001677D" w:rsidP="00FA24AD">
            <w:pPr>
              <w:pStyle w:val="ListParagraph"/>
              <w:numPr>
                <w:ilvl w:val="0"/>
                <w:numId w:val="21"/>
              </w:numPr>
              <w:spacing w:line="288" w:lineRule="auto"/>
              <w:cnfStyle w:val="000000000000" w:firstRow="0" w:lastRow="0" w:firstColumn="0" w:lastColumn="0" w:oddVBand="0" w:evenVBand="0" w:oddHBand="0" w:evenHBand="0" w:firstRowFirstColumn="0" w:firstRowLastColumn="0" w:lastRowFirstColumn="0" w:lastRowLastColumn="0"/>
              <w:rPr>
                <w:color w:val="auto"/>
              </w:rPr>
            </w:pPr>
            <w:r w:rsidRPr="00AA1EF6">
              <w:rPr>
                <w:rFonts w:asciiTheme="majorHAnsi" w:hAnsiTheme="majorHAnsi"/>
                <w:sz w:val="22"/>
                <w:szCs w:val="22"/>
              </w:rPr>
              <w:t xml:space="preserve">Assessment Criteria </w:t>
            </w:r>
          </w:p>
          <w:p w14:paraId="0C36C09F" w14:textId="7F197A52" w:rsidR="00C624D6" w:rsidRPr="00300232" w:rsidRDefault="00C624D6"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AA1EF6">
              <w:rPr>
                <w:rFonts w:asciiTheme="majorHAnsi" w:hAnsiTheme="majorHAnsi"/>
                <w:sz w:val="22"/>
                <w:szCs w:val="22"/>
              </w:rPr>
              <w:t>Priori</w:t>
            </w:r>
            <w:r>
              <w:rPr>
                <w:rFonts w:asciiTheme="majorHAnsi" w:hAnsiTheme="majorHAnsi"/>
                <w:sz w:val="22"/>
                <w:szCs w:val="22"/>
              </w:rPr>
              <w:t>tisation following assessment</w:t>
            </w:r>
          </w:p>
          <w:p w14:paraId="2B885088"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p>
          <w:p w14:paraId="278630CC" w14:textId="211DEA24" w:rsidR="00C624D6" w:rsidRDefault="00C624D6" w:rsidP="00802DEB">
            <w:pPr>
              <w:cnfStyle w:val="000000000000" w:firstRow="0" w:lastRow="0" w:firstColumn="0" w:lastColumn="0" w:oddVBand="0" w:evenVBand="0" w:oddHBand="0" w:evenHBand="0" w:firstRowFirstColumn="0" w:firstRowLastColumn="0" w:lastRowFirstColumn="0" w:lastRowLastColumn="0"/>
              <w:rPr>
                <w:color w:val="auto"/>
              </w:rPr>
            </w:pPr>
            <w:r w:rsidRPr="00EC0820">
              <w:rPr>
                <w:rFonts w:asciiTheme="majorHAnsi" w:hAnsiTheme="majorHAnsi"/>
                <w:b/>
                <w:sz w:val="22"/>
                <w:szCs w:val="22"/>
              </w:rPr>
              <w:t>Use of Eligibility:</w:t>
            </w:r>
            <w:r w:rsidRPr="00EC0820">
              <w:rPr>
                <w:rFonts w:asciiTheme="majorHAnsi" w:hAnsiTheme="majorHAnsi"/>
                <w:sz w:val="22"/>
                <w:szCs w:val="22"/>
              </w:rPr>
              <w:t xml:space="preserve"> Grant rounds intended to benefit Aboriginal and Torres Strait Islander peoples may identify restricting eligibility to certain types of organisations, (i.e. ACCOs) will deliver the best policy outcomes. Eligibility can also be used to ensure that an applicant has the support of the local community in the design and implementation of the grant activity. For example, requiring a letter of support from the local community for any non-Indigenous organisation.</w:t>
            </w:r>
            <w:r w:rsidRPr="00EC0820" w:rsidDel="00A87367">
              <w:rPr>
                <w:rFonts w:asciiTheme="majorHAnsi" w:hAnsiTheme="majorHAnsi"/>
                <w:sz w:val="22"/>
                <w:szCs w:val="22"/>
              </w:rPr>
              <w:t xml:space="preserve"> </w:t>
            </w:r>
            <w:r w:rsidRPr="004625D9">
              <w:rPr>
                <w:rFonts w:asciiTheme="majorHAnsi" w:hAnsiTheme="majorHAnsi" w:cstheme="minorHAnsi"/>
                <w:color w:val="auto"/>
                <w:sz w:val="22"/>
                <w:szCs w:val="22"/>
                <w:lang w:val="en-US"/>
              </w:rPr>
              <w:t xml:space="preserve">This prioritises funding to organisations that have certain objective characteristics. </w:t>
            </w:r>
            <w:r w:rsidRPr="004625D9">
              <w:rPr>
                <w:rFonts w:asciiTheme="majorHAnsi" w:hAnsiTheme="majorHAnsi"/>
                <w:color w:val="auto"/>
                <w:sz w:val="22"/>
                <w:szCs w:val="22"/>
              </w:rPr>
              <w:t>If using specific eligibility criteria, the eligibility needs to be clearly outlined in the GOGs and the application process should capture and test eligibility requirements.</w:t>
            </w:r>
            <w:r>
              <w:rPr>
                <w:color w:val="auto"/>
              </w:rPr>
              <w:t xml:space="preserve"> </w:t>
            </w:r>
          </w:p>
          <w:p w14:paraId="620ACF35" w14:textId="77777777" w:rsidR="00C624D6" w:rsidRDefault="00C624D6" w:rsidP="00802DEB">
            <w:pPr>
              <w:pStyle w:val="Body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Examples of using eligibility include: </w:t>
            </w:r>
          </w:p>
          <w:p w14:paraId="53BC20EF" w14:textId="77777777"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Listing specific ABN/s that can be eligible for the grant, or</w:t>
            </w:r>
          </w:p>
          <w:p w14:paraId="73485440" w14:textId="77777777"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Limited applications to ACCO and/or Aboriginal and Torres Strait Islander Organisations, or</w:t>
            </w:r>
          </w:p>
          <w:p w14:paraId="38D51CE0" w14:textId="3EFF864A"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Located on community full time.</w:t>
            </w:r>
          </w:p>
          <w:p w14:paraId="6BCF9E45" w14:textId="16040F91" w:rsidR="00802DEB" w:rsidRDefault="00802DEB" w:rsidP="00802DEB">
            <w:pPr>
              <w:pStyle w:val="BodyText"/>
              <w:cnfStyle w:val="000000000000" w:firstRow="0" w:lastRow="0" w:firstColumn="0" w:lastColumn="0" w:oddVBand="0" w:evenVBand="0" w:oddHBand="0" w:evenHBand="0" w:firstRowFirstColumn="0" w:firstRowLastColumn="0" w:lastRowFirstColumn="0" w:lastRowLastColumn="0"/>
              <w:rPr>
                <w:color w:val="auto"/>
              </w:rPr>
            </w:pPr>
          </w:p>
          <w:p w14:paraId="054260CF" w14:textId="37365E84" w:rsidR="00802DEB" w:rsidRPr="008A2CB3" w:rsidRDefault="00802DEB"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b/>
                <w:color w:val="auto"/>
                <w:sz w:val="22"/>
                <w:szCs w:val="22"/>
              </w:rPr>
              <w:t>Assessment Criteria</w:t>
            </w:r>
            <w:r w:rsidRPr="008A2CB3">
              <w:rPr>
                <w:rFonts w:asciiTheme="majorHAnsi" w:hAnsiTheme="majorHAnsi"/>
                <w:color w:val="auto"/>
                <w:sz w:val="22"/>
                <w:szCs w:val="22"/>
              </w:rPr>
              <w:t xml:space="preserve">: </w:t>
            </w:r>
            <w:r w:rsidR="00F50F65">
              <w:rPr>
                <w:rFonts w:asciiTheme="majorHAnsi" w:hAnsiTheme="majorHAnsi"/>
                <w:color w:val="auto"/>
                <w:sz w:val="22"/>
                <w:szCs w:val="22"/>
              </w:rPr>
              <w:t xml:space="preserve">The primary consideration is the capacity and prior experiences of the organisations to deliver quality services and provide value for relevant money. </w:t>
            </w:r>
            <w:r w:rsidR="00F50F65" w:rsidRPr="008A2CB3">
              <w:rPr>
                <w:rFonts w:asciiTheme="majorHAnsi" w:hAnsiTheme="majorHAnsi"/>
                <w:color w:val="auto"/>
                <w:sz w:val="22"/>
                <w:szCs w:val="22"/>
              </w:rPr>
              <w:t xml:space="preserve">The assessment criteria </w:t>
            </w:r>
            <w:r w:rsidR="00F50F65">
              <w:rPr>
                <w:rFonts w:asciiTheme="majorHAnsi" w:hAnsiTheme="majorHAnsi"/>
                <w:color w:val="auto"/>
                <w:sz w:val="22"/>
                <w:szCs w:val="22"/>
              </w:rPr>
              <w:t>can be chosen to</w:t>
            </w:r>
            <w:r w:rsidR="00F50F65" w:rsidRPr="008A2CB3">
              <w:rPr>
                <w:rFonts w:asciiTheme="majorHAnsi" w:hAnsiTheme="majorHAnsi"/>
                <w:color w:val="auto"/>
                <w:sz w:val="22"/>
                <w:szCs w:val="22"/>
              </w:rPr>
              <w:t xml:space="preserve"> ensure organisations</w:t>
            </w:r>
            <w:r w:rsidR="00F50F65">
              <w:rPr>
                <w:rFonts w:asciiTheme="majorHAnsi" w:hAnsiTheme="majorHAnsi"/>
                <w:color w:val="auto"/>
                <w:sz w:val="22"/>
                <w:szCs w:val="22"/>
              </w:rPr>
              <w:t xml:space="preserve"> are best suited to deliver services to </w:t>
            </w:r>
            <w:r w:rsidR="00FA24AD" w:rsidRPr="008A2CB3">
              <w:rPr>
                <w:rFonts w:asciiTheme="majorHAnsi" w:hAnsiTheme="majorHAnsi"/>
                <w:color w:val="auto"/>
                <w:sz w:val="22"/>
                <w:szCs w:val="22"/>
              </w:rPr>
              <w:t>Aboriginal and Torres Strait Islande</w:t>
            </w:r>
            <w:r w:rsidR="00FA24AD">
              <w:rPr>
                <w:rFonts w:asciiTheme="majorHAnsi" w:hAnsiTheme="majorHAnsi"/>
                <w:color w:val="auto"/>
                <w:sz w:val="22"/>
                <w:szCs w:val="22"/>
              </w:rPr>
              <w:t>r</w:t>
            </w:r>
            <w:r w:rsidR="00F50F65">
              <w:rPr>
                <w:rFonts w:asciiTheme="majorHAnsi" w:hAnsiTheme="majorHAnsi"/>
                <w:color w:val="auto"/>
                <w:sz w:val="22"/>
                <w:szCs w:val="22"/>
              </w:rPr>
              <w:t xml:space="preserve"> communities and/or people. </w:t>
            </w:r>
            <w:r w:rsidR="001F6F9E" w:rsidRPr="0057189A">
              <w:rPr>
                <w:rFonts w:asciiTheme="majorHAnsi" w:hAnsiTheme="majorHAnsi"/>
                <w:color w:val="auto"/>
                <w:sz w:val="22"/>
                <w:szCs w:val="22"/>
              </w:rPr>
              <w:t xml:space="preserve">Examples of criteria </w:t>
            </w:r>
            <w:r w:rsidR="006A57F3" w:rsidRPr="0057189A">
              <w:rPr>
                <w:rFonts w:asciiTheme="majorHAnsi" w:hAnsiTheme="majorHAnsi"/>
                <w:color w:val="auto"/>
                <w:sz w:val="22"/>
                <w:szCs w:val="22"/>
              </w:rPr>
              <w:t>based on Closing the Gap Priority R</w:t>
            </w:r>
            <w:r w:rsidR="00F50F65" w:rsidRPr="0057189A">
              <w:rPr>
                <w:rFonts w:asciiTheme="majorHAnsi" w:hAnsiTheme="majorHAnsi"/>
                <w:color w:val="auto"/>
                <w:sz w:val="22"/>
                <w:szCs w:val="22"/>
              </w:rPr>
              <w:t>eforms</w:t>
            </w:r>
            <w:r w:rsidR="001F6F9E" w:rsidRPr="0057189A">
              <w:rPr>
                <w:rFonts w:asciiTheme="majorHAnsi" w:hAnsiTheme="majorHAnsi"/>
                <w:color w:val="auto"/>
                <w:sz w:val="22"/>
                <w:szCs w:val="22"/>
              </w:rPr>
              <w:t>, include</w:t>
            </w:r>
            <w:r w:rsidR="0057189A">
              <w:rPr>
                <w:rFonts w:asciiTheme="majorHAnsi" w:hAnsiTheme="majorHAnsi"/>
                <w:color w:val="auto"/>
                <w:sz w:val="22"/>
                <w:szCs w:val="22"/>
              </w:rPr>
              <w:t xml:space="preserve"> o</w:t>
            </w:r>
            <w:r w:rsidR="00FA5AB7" w:rsidRPr="0057189A">
              <w:rPr>
                <w:rFonts w:asciiTheme="majorHAnsi" w:hAnsiTheme="majorHAnsi"/>
                <w:color w:val="auto"/>
                <w:sz w:val="22"/>
                <w:szCs w:val="22"/>
              </w:rPr>
              <w:t>rganisations that are;</w:t>
            </w:r>
          </w:p>
          <w:p w14:paraId="5E889560"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committed to designing and delivering grant activities in partnership or with the support of local communities;</w:t>
            </w:r>
          </w:p>
          <w:p w14:paraId="38D77C36"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culturally competent; and</w:t>
            </w:r>
          </w:p>
          <w:p w14:paraId="3DC4F284"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committed to economic empowerment of Aboriginal and Torres Strait Islander peoples through Indigenous employment and use of Aboriginal and Torres Strait Islander organisations in their supply chain or subcontracting arrangements.</w:t>
            </w:r>
          </w:p>
          <w:p w14:paraId="4798960F" w14:textId="77777777" w:rsidR="00802DEB" w:rsidRDefault="00802DEB" w:rsidP="00802DEB">
            <w:pPr>
              <w:pStyle w:val="BodyText"/>
              <w:spacing w:before="0"/>
              <w:cnfStyle w:val="000000000000" w:firstRow="0" w:lastRow="0" w:firstColumn="0" w:lastColumn="0" w:oddVBand="0" w:evenVBand="0" w:oddHBand="0" w:evenHBand="0" w:firstRowFirstColumn="0" w:firstRowLastColumn="0" w:lastRowFirstColumn="0" w:lastRowLastColumn="0"/>
              <w:rPr>
                <w:lang w:val="en-US"/>
              </w:rPr>
            </w:pPr>
          </w:p>
          <w:p w14:paraId="43C18AB3" w14:textId="77777777" w:rsidR="00802DEB" w:rsidRPr="00300232" w:rsidRDefault="00802DEB" w:rsidP="00802DEB">
            <w:pPr>
              <w:pStyle w:val="BodyText"/>
              <w:spacing w:before="0"/>
              <w:cnfStyle w:val="000000000000" w:firstRow="0" w:lastRow="0" w:firstColumn="0" w:lastColumn="0" w:oddVBand="0" w:evenVBand="0" w:oddHBand="0" w:evenHBand="0" w:firstRowFirstColumn="0" w:firstRowLastColumn="0" w:lastRowFirstColumn="0" w:lastRowLastColumn="0"/>
              <w:rPr>
                <w:rFonts w:cstheme="minorHAnsi"/>
                <w:color w:val="auto"/>
                <w:lang w:val="en-US"/>
              </w:rPr>
            </w:pPr>
            <w:r w:rsidRPr="007E64C8">
              <w:rPr>
                <w:rFonts w:cstheme="minorHAnsi"/>
                <w:color w:val="auto"/>
                <w:lang w:val="en-US"/>
              </w:rPr>
              <w:t xml:space="preserve">The GOGs will need to outline how the criteria will be assessed and what supporting information organisations need to supply. Refer to Attachment B: </w:t>
            </w:r>
            <w:hyperlink w:anchor="_Attachment_B:_Examples" w:history="1">
              <w:r w:rsidRPr="00680C0C">
                <w:rPr>
                  <w:rStyle w:val="Hyperlink"/>
                  <w:rFonts w:cstheme="minorHAnsi"/>
                  <w:color w:val="014463" w:themeColor="text2"/>
                  <w:lang w:val="en-US"/>
                </w:rPr>
                <w:t>Examples of prioritised grants</w:t>
              </w:r>
            </w:hyperlink>
            <w:r w:rsidRPr="007E64C8">
              <w:rPr>
                <w:rFonts w:cstheme="minorHAnsi"/>
                <w:color w:val="auto"/>
                <w:lang w:val="en-US"/>
              </w:rPr>
              <w:t xml:space="preserve"> for more examples.  </w:t>
            </w:r>
          </w:p>
          <w:p w14:paraId="77935061"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697F94F1" w14:textId="01E9DC30"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6E3012">
              <w:rPr>
                <w:rFonts w:asciiTheme="majorHAnsi" w:hAnsiTheme="majorHAnsi" w:cstheme="minorHAnsi"/>
                <w:b/>
                <w:color w:val="auto"/>
                <w:sz w:val="22"/>
                <w:szCs w:val="22"/>
                <w:lang w:val="en-US"/>
              </w:rPr>
              <w:t>Prioritisation:</w:t>
            </w:r>
            <w:r w:rsidRPr="006E3012">
              <w:rPr>
                <w:rFonts w:asciiTheme="majorHAnsi" w:hAnsiTheme="majorHAnsi" w:cstheme="minorHAnsi"/>
                <w:color w:val="auto"/>
                <w:sz w:val="22"/>
                <w:szCs w:val="22"/>
                <w:lang w:val="en-US"/>
              </w:rPr>
              <w:t xml:space="preserve"> </w:t>
            </w:r>
            <w:r w:rsidRPr="006E3012">
              <w:rPr>
                <w:rFonts w:asciiTheme="majorHAnsi" w:hAnsiTheme="majorHAnsi"/>
                <w:sz w:val="22"/>
                <w:szCs w:val="22"/>
              </w:rPr>
              <w:t>Further ranking after assessment could include grouping applications against particular categories, or use of a scoring matrix. Non-competitive grant rounds can include the need for meritorious applications that support</w:t>
            </w:r>
            <w:r w:rsidRPr="006E3012">
              <w:rPr>
                <w:rFonts w:asciiTheme="majorHAnsi" w:hAnsiTheme="majorHAnsi" w:cstheme="minorHAnsi"/>
                <w:color w:val="auto"/>
                <w:sz w:val="22"/>
                <w:szCs w:val="22"/>
                <w:lang w:val="en-US"/>
              </w:rPr>
              <w:t xml:space="preserve"> Closing the Gap objectives to be prioritised.</w:t>
            </w:r>
            <w:r w:rsidR="0008082C">
              <w:rPr>
                <w:rFonts w:asciiTheme="majorHAnsi" w:hAnsiTheme="majorHAnsi" w:cstheme="minorHAnsi"/>
                <w:color w:val="auto"/>
                <w:sz w:val="22"/>
                <w:szCs w:val="22"/>
                <w:lang w:val="en-US"/>
              </w:rPr>
              <w:t xml:space="preserve"> </w:t>
            </w:r>
            <w:r w:rsidR="0008082C">
              <w:rPr>
                <w:rFonts w:asciiTheme="majorHAnsi" w:hAnsiTheme="majorHAnsi"/>
                <w:sz w:val="22"/>
                <w:szCs w:val="22"/>
              </w:rPr>
              <w:lastRenderedPageBreak/>
              <w:t>T</w:t>
            </w:r>
            <w:r w:rsidR="0008082C" w:rsidRPr="00F52E4D">
              <w:rPr>
                <w:rFonts w:asciiTheme="majorHAnsi" w:hAnsiTheme="majorHAnsi"/>
                <w:sz w:val="22"/>
                <w:szCs w:val="22"/>
              </w:rPr>
              <w:t>he Commonwealth is only applying bandwidth prioritisation to a group of applications which all meet the assessment criteria and demonstrate value for money.</w:t>
            </w:r>
            <w:r w:rsidR="0008082C">
              <w:rPr>
                <w:rFonts w:asciiTheme="majorHAnsi" w:hAnsiTheme="majorHAnsi"/>
                <w:sz w:val="22"/>
                <w:szCs w:val="22"/>
              </w:rPr>
              <w:t xml:space="preserve"> </w:t>
            </w:r>
          </w:p>
          <w:p w14:paraId="03B0CC46" w14:textId="77777777" w:rsidR="0008082C" w:rsidRPr="006E3012" w:rsidRDefault="0008082C"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p>
          <w:p w14:paraId="5E81DD8E"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Two options are given as examples below</w:t>
            </w:r>
            <w:r>
              <w:rPr>
                <w:rFonts w:asciiTheme="majorHAnsi" w:hAnsiTheme="majorHAnsi" w:cstheme="minorHAnsi"/>
                <w:color w:val="auto"/>
                <w:sz w:val="22"/>
                <w:szCs w:val="22"/>
                <w:lang w:val="en-US"/>
              </w:rPr>
              <w:t>.</w:t>
            </w:r>
            <w:r w:rsidRPr="00F655DC">
              <w:rPr>
                <w:rFonts w:asciiTheme="majorHAnsi" w:hAnsiTheme="majorHAnsi" w:cstheme="minorHAnsi"/>
                <w:color w:val="auto"/>
                <w:sz w:val="22"/>
                <w:szCs w:val="22"/>
                <w:lang w:val="en-US"/>
              </w:rPr>
              <w:t xml:space="preserve"> </w:t>
            </w:r>
          </w:p>
          <w:p w14:paraId="371D8207"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02122089"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172880">
              <w:rPr>
                <w:rFonts w:asciiTheme="majorHAnsi" w:hAnsiTheme="majorHAnsi" w:cstheme="minorHAnsi"/>
                <w:b/>
                <w:i/>
                <w:color w:val="auto"/>
                <w:sz w:val="22"/>
                <w:szCs w:val="22"/>
                <w:lang w:val="en-US"/>
              </w:rPr>
              <w:t>Option 1:</w:t>
            </w:r>
            <w:r w:rsidRPr="00F655DC">
              <w:rPr>
                <w:rFonts w:asciiTheme="majorHAnsi" w:hAnsiTheme="majorHAnsi" w:cstheme="minorHAnsi"/>
                <w:color w:val="auto"/>
                <w:sz w:val="22"/>
                <w:szCs w:val="22"/>
                <w:lang w:val="en-US"/>
              </w:rPr>
              <w:t xml:space="preserve"> Prioritisation within category. The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applications in each category will be promoted to the top of the list. The categories might be: </w:t>
            </w:r>
          </w:p>
          <w:p w14:paraId="0C76E105"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‘fully meets’: meets all the assessment criteria </w:t>
            </w:r>
          </w:p>
          <w:p w14:paraId="593324EA" w14:textId="71F56375" w:rsidR="00C624D6" w:rsidRPr="002908C2" w:rsidRDefault="0008082C"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 </w:t>
            </w:r>
            <w:r w:rsidR="00C624D6" w:rsidRPr="002908C2">
              <w:rPr>
                <w:rFonts w:asciiTheme="majorHAnsi" w:hAnsiTheme="majorHAnsi" w:cstheme="minorHAnsi"/>
                <w:color w:val="auto"/>
                <w:sz w:val="22"/>
                <w:szCs w:val="22"/>
                <w:lang w:val="en-US"/>
              </w:rPr>
              <w:t xml:space="preserve">‘does not meet’: meets none of the assessment criteria </w:t>
            </w:r>
          </w:p>
          <w:p w14:paraId="1A1BF7BB"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Or  </w:t>
            </w:r>
          </w:p>
          <w:p w14:paraId="3DFB88CA"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‘highly meritorious’: meets all the assessment criteria to a high standard </w:t>
            </w:r>
          </w:p>
          <w:p w14:paraId="75BB8EA3"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‘meritorious’: satisfies the criteria but not to the same degree as above category  </w:t>
            </w:r>
          </w:p>
          <w:p w14:paraId="375BFA94"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‘does not represent value with relevant money’: does not meet minimum standards </w:t>
            </w:r>
          </w:p>
          <w:p w14:paraId="5EA8C0E0" w14:textId="688CC8FD" w:rsidR="00C624D6" w:rsidRPr="00F655DC" w:rsidRDefault="0008082C"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I</w:t>
            </w:r>
            <w:r w:rsidRPr="00A770E3">
              <w:rPr>
                <w:rFonts w:asciiTheme="majorHAnsi" w:hAnsiTheme="majorHAnsi" w:cstheme="minorHAnsi"/>
                <w:color w:val="auto"/>
                <w:sz w:val="22"/>
                <w:szCs w:val="22"/>
                <w:lang w:val="en-US"/>
              </w:rPr>
              <w:t xml:space="preserve">ndividual agencies responsible for determining what ‘prioritisation’ </w:t>
            </w:r>
            <w:r w:rsidR="009D484F" w:rsidRPr="00A770E3">
              <w:rPr>
                <w:rFonts w:asciiTheme="majorHAnsi" w:hAnsiTheme="majorHAnsi" w:cstheme="minorHAnsi"/>
                <w:color w:val="auto"/>
                <w:sz w:val="22"/>
                <w:szCs w:val="22"/>
                <w:lang w:val="en-US"/>
              </w:rPr>
              <w:t>e.g.</w:t>
            </w:r>
            <w:r w:rsidRPr="00A770E3">
              <w:rPr>
                <w:rFonts w:asciiTheme="majorHAnsi" w:hAnsiTheme="majorHAnsi" w:cstheme="minorHAnsi"/>
                <w:color w:val="auto"/>
                <w:sz w:val="22"/>
                <w:szCs w:val="22"/>
                <w:lang w:val="en-US"/>
              </w:rPr>
              <w:t xml:space="preserve"> bandwidths looks like</w:t>
            </w:r>
            <w:r>
              <w:rPr>
                <w:rFonts w:asciiTheme="majorHAnsi" w:hAnsiTheme="majorHAnsi" w:cstheme="minorHAnsi"/>
                <w:color w:val="auto"/>
                <w:sz w:val="22"/>
                <w:szCs w:val="22"/>
                <w:lang w:val="en-US"/>
              </w:rPr>
              <w:t>.</w:t>
            </w:r>
            <w:r w:rsidRPr="00A770E3">
              <w:rPr>
                <w:rFonts w:asciiTheme="majorHAnsi" w:hAnsiTheme="majorHAnsi" w:cstheme="minorHAnsi"/>
                <w:color w:val="auto"/>
                <w:sz w:val="22"/>
                <w:szCs w:val="22"/>
                <w:lang w:val="en-US"/>
              </w:rPr>
              <w:t xml:space="preserve"> </w:t>
            </w:r>
            <w:r w:rsidR="00C624D6" w:rsidRPr="00F655DC">
              <w:rPr>
                <w:rFonts w:asciiTheme="majorHAnsi" w:hAnsiTheme="majorHAnsi" w:cstheme="minorHAnsi"/>
                <w:color w:val="auto"/>
                <w:sz w:val="22"/>
                <w:szCs w:val="22"/>
                <w:lang w:val="en-US"/>
              </w:rPr>
              <w:t xml:space="preserve">For example, an Aboriginal or Torres Strait Islander organisation assessed as ‘fully meets’ with a score of 65 and a non-Aboriginal or Torres Strait Islander organisation is assessed as ‘fully meets’ with a score of 70. After prioritisation is applied, the Aboriginal or Torres Strait Islander organisation would be ranked ahead of the non-Aboriginal or Torres Strait Islander organisation as they are both considered ‘fully meets’. </w:t>
            </w:r>
            <w:r w:rsidR="00C624D6">
              <w:rPr>
                <w:rFonts w:asciiTheme="majorHAnsi" w:hAnsiTheme="majorHAnsi" w:cstheme="minorHAnsi"/>
                <w:color w:val="auto"/>
                <w:sz w:val="22"/>
                <w:szCs w:val="22"/>
                <w:lang w:val="en-US"/>
              </w:rPr>
              <w:t xml:space="preserve">Attachment C: </w:t>
            </w:r>
            <w:hyperlink w:anchor="_Attachment_C:_Grant" w:history="1">
              <w:r w:rsidR="00C624D6" w:rsidRPr="00680C0C">
                <w:rPr>
                  <w:rStyle w:val="Hyperlink"/>
                  <w:rFonts w:asciiTheme="majorHAnsi" w:hAnsiTheme="majorHAnsi" w:cstheme="minorHAnsi"/>
                  <w:color w:val="014463" w:themeColor="text2"/>
                  <w:sz w:val="22"/>
                  <w:szCs w:val="22"/>
                </w:rPr>
                <w:t>Grants Prioritisation Scenario</w:t>
              </w:r>
            </w:hyperlink>
            <w:r w:rsidR="00C624D6" w:rsidRPr="005256C6">
              <w:rPr>
                <w:rFonts w:asciiTheme="majorHAnsi" w:hAnsiTheme="majorHAnsi" w:cstheme="minorHAnsi"/>
                <w:color w:val="293F54" w:themeColor="accent5" w:themeTint="E6"/>
                <w:sz w:val="22"/>
                <w:szCs w:val="22"/>
              </w:rPr>
              <w:t xml:space="preserve"> </w:t>
            </w:r>
            <w:r w:rsidR="00C624D6" w:rsidRPr="006E3012">
              <w:rPr>
                <w:rFonts w:asciiTheme="majorHAnsi" w:hAnsiTheme="majorHAnsi" w:cstheme="minorHAnsi"/>
                <w:color w:val="auto"/>
                <w:sz w:val="22"/>
                <w:szCs w:val="22"/>
                <w:lang w:val="en-US"/>
              </w:rPr>
              <w:t>demonstrates how this can be applied.</w:t>
            </w:r>
          </w:p>
          <w:p w14:paraId="0AFC4BA9"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i/>
                <w:color w:val="auto"/>
                <w:sz w:val="22"/>
                <w:szCs w:val="22"/>
                <w:lang w:val="en-US"/>
              </w:rPr>
            </w:pPr>
          </w:p>
          <w:p w14:paraId="0BEF56A8" w14:textId="7F287611"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172880">
              <w:rPr>
                <w:rFonts w:asciiTheme="majorHAnsi" w:hAnsiTheme="majorHAnsi" w:cstheme="minorHAnsi"/>
                <w:b/>
                <w:i/>
                <w:color w:val="auto"/>
                <w:sz w:val="22"/>
                <w:szCs w:val="22"/>
                <w:lang w:val="en-US"/>
              </w:rPr>
              <w:t>Option 2:</w:t>
            </w:r>
            <w:r w:rsidRPr="00F655DC">
              <w:rPr>
                <w:rFonts w:asciiTheme="majorHAnsi" w:hAnsiTheme="majorHAnsi" w:cstheme="minorHAnsi"/>
                <w:color w:val="auto"/>
                <w:sz w:val="22"/>
                <w:szCs w:val="22"/>
                <w:lang w:val="en-US"/>
              </w:rPr>
              <w:t xml:space="preserve"> </w:t>
            </w:r>
            <w:r>
              <w:rPr>
                <w:rFonts w:asciiTheme="majorHAnsi" w:hAnsiTheme="majorHAnsi" w:cstheme="minorHAnsi"/>
                <w:color w:val="auto"/>
                <w:sz w:val="22"/>
                <w:szCs w:val="22"/>
                <w:lang w:val="en-US"/>
              </w:rPr>
              <w:t>A scoring matrix. This can include awarding</w:t>
            </w:r>
            <w:r w:rsidRPr="00F655DC">
              <w:rPr>
                <w:rFonts w:asciiTheme="majorHAnsi" w:hAnsiTheme="majorHAnsi" w:cstheme="minorHAnsi"/>
                <w:color w:val="auto"/>
                <w:sz w:val="22"/>
                <w:szCs w:val="22"/>
                <w:lang w:val="en-US"/>
              </w:rPr>
              <w:t xml:space="preserve"> additional points to each meritorious application from a</w:t>
            </w:r>
            <w:r>
              <w:rPr>
                <w:rFonts w:asciiTheme="majorHAnsi" w:hAnsiTheme="majorHAnsi" w:cstheme="minorHAnsi"/>
                <w:color w:val="auto"/>
                <w:sz w:val="22"/>
                <w:szCs w:val="22"/>
                <w:lang w:val="en-US"/>
              </w:rPr>
              <w:t>n</w:t>
            </w:r>
            <w:r w:rsidRPr="00F655DC">
              <w:rPr>
                <w:rFonts w:asciiTheme="majorHAnsi" w:hAnsiTheme="majorHAnsi" w:cstheme="minorHAnsi"/>
                <w:color w:val="auto"/>
                <w:sz w:val="22"/>
                <w:szCs w:val="22"/>
                <w:lang w:val="en-US"/>
              </w:rPr>
              <w:t xml:space="preserv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organisation and then consider the rankings. </w:t>
            </w:r>
          </w:p>
          <w:p w14:paraId="77DC30B6" w14:textId="1C04ACD8" w:rsidR="00C624D6" w:rsidRPr="00F655DC"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Example: a</w:t>
            </w:r>
            <w:r>
              <w:rPr>
                <w:rFonts w:asciiTheme="majorHAnsi" w:hAnsiTheme="majorHAnsi" w:cstheme="minorHAnsi"/>
                <w:color w:val="auto"/>
                <w:sz w:val="22"/>
                <w:szCs w:val="22"/>
                <w:lang w:val="en-US"/>
              </w:rPr>
              <w:t>n</w:t>
            </w:r>
            <w:r w:rsidRPr="00F655DC">
              <w:rPr>
                <w:rFonts w:asciiTheme="majorHAnsi" w:hAnsiTheme="majorHAnsi" w:cstheme="minorHAnsi"/>
                <w:color w:val="auto"/>
                <w:sz w:val="22"/>
                <w:szCs w:val="22"/>
                <w:lang w:val="en-US"/>
              </w:rPr>
              <w:t xml:space="preserv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organisation, received an overall assessment of 65/100</w:t>
            </w:r>
            <w:r>
              <w:rPr>
                <w:rFonts w:asciiTheme="majorHAnsi" w:hAnsiTheme="majorHAnsi" w:cstheme="minorHAnsi"/>
                <w:color w:val="auto"/>
                <w:sz w:val="22"/>
                <w:szCs w:val="22"/>
                <w:lang w:val="en-US"/>
              </w:rPr>
              <w:t xml:space="preserve">. The </w:t>
            </w:r>
            <w:r w:rsidRPr="00F655DC">
              <w:rPr>
                <w:rFonts w:asciiTheme="majorHAnsi" w:hAnsiTheme="majorHAnsi" w:cstheme="minorHAnsi"/>
                <w:color w:val="auto"/>
                <w:sz w:val="22"/>
                <w:szCs w:val="22"/>
                <w:lang w:val="en-US"/>
              </w:rPr>
              <w:t xml:space="preserve">prioritisation practice </w:t>
            </w:r>
            <w:r>
              <w:rPr>
                <w:rFonts w:asciiTheme="majorHAnsi" w:hAnsiTheme="majorHAnsi" w:cstheme="minorHAnsi"/>
                <w:color w:val="auto"/>
                <w:sz w:val="22"/>
                <w:szCs w:val="22"/>
                <w:lang w:val="en-US"/>
              </w:rPr>
              <w:t xml:space="preserve">applied to </w:t>
            </w:r>
            <w:r w:rsidRPr="00F655DC">
              <w:rPr>
                <w:rFonts w:asciiTheme="majorHAnsi" w:hAnsiTheme="majorHAnsi" w:cstheme="minorHAnsi"/>
                <w:color w:val="auto"/>
                <w:sz w:val="22"/>
                <w:szCs w:val="22"/>
                <w:lang w:val="en-US"/>
              </w:rPr>
              <w:t xml:space="preserve">that </w:t>
            </w:r>
            <w:r>
              <w:rPr>
                <w:rFonts w:asciiTheme="majorHAnsi" w:hAnsiTheme="majorHAnsi" w:cstheme="minorHAnsi"/>
                <w:color w:val="auto"/>
                <w:sz w:val="22"/>
                <w:szCs w:val="22"/>
                <w:lang w:val="en-US"/>
              </w:rPr>
              <w:t>round included awarding 10 additional points to e</w:t>
            </w:r>
            <w:r w:rsidRPr="00F655DC">
              <w:rPr>
                <w:rFonts w:asciiTheme="majorHAnsi" w:hAnsiTheme="majorHAnsi" w:cstheme="minorHAnsi"/>
                <w:color w:val="auto"/>
                <w:sz w:val="22"/>
                <w:szCs w:val="22"/>
                <w:lang w:val="en-US"/>
              </w:rPr>
              <w:t xml:space="preserve">ach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applicant who received 51/100 or more, </w:t>
            </w:r>
            <w:r>
              <w:rPr>
                <w:rFonts w:asciiTheme="majorHAnsi" w:hAnsiTheme="majorHAnsi" w:cstheme="minorHAnsi"/>
                <w:color w:val="auto"/>
                <w:sz w:val="22"/>
                <w:szCs w:val="22"/>
                <w:lang w:val="en-US"/>
              </w:rPr>
              <w:t>resulting in</w:t>
            </w:r>
            <w:r w:rsidRPr="00F655DC">
              <w:rPr>
                <w:rFonts w:asciiTheme="majorHAnsi" w:hAnsiTheme="majorHAnsi" w:cstheme="minorHAnsi"/>
                <w:color w:val="auto"/>
                <w:sz w:val="22"/>
                <w:szCs w:val="22"/>
                <w:lang w:val="en-US"/>
              </w:rPr>
              <w:t xml:space="preserve"> a final score of 75/100 following prioritisation.   </w:t>
            </w:r>
          </w:p>
          <w:p w14:paraId="5545B379"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6E02FE73" w14:textId="77777777" w:rsidR="00C624D6" w:rsidRPr="00300232"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300232">
              <w:rPr>
                <w:rFonts w:asciiTheme="majorHAnsi" w:hAnsiTheme="majorHAnsi"/>
                <w:sz w:val="22"/>
                <w:szCs w:val="22"/>
              </w:rPr>
              <w:t>For non-competitive grants, funding recommendations can include the need for meritorious applications that support</w:t>
            </w:r>
            <w:r w:rsidRPr="00300232">
              <w:rPr>
                <w:rFonts w:asciiTheme="majorHAnsi" w:hAnsiTheme="majorHAnsi" w:cstheme="minorHAnsi"/>
                <w:color w:val="auto"/>
                <w:sz w:val="22"/>
                <w:szCs w:val="22"/>
                <w:lang w:val="en-US"/>
              </w:rPr>
              <w:t xml:space="preserve"> Closing the Gap objectives will be prioritised.</w:t>
            </w:r>
          </w:p>
          <w:p w14:paraId="03E86549"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05825D6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Regardless of the final design approach decided upon, the risks and benefits of the process should be clearly identified and agreed by the decision maker. </w:t>
            </w:r>
          </w:p>
          <w:p w14:paraId="75457DD2"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05F8DFD9"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r w:rsidRPr="00F655DC">
              <w:rPr>
                <w:rFonts w:asciiTheme="majorHAnsi" w:hAnsiTheme="majorHAnsi" w:cstheme="minorHAnsi"/>
                <w:b/>
                <w:color w:val="auto"/>
                <w:sz w:val="22"/>
                <w:szCs w:val="22"/>
                <w:lang w:val="en-US"/>
              </w:rPr>
              <w:lastRenderedPageBreak/>
              <w:t>Grant Agreements</w:t>
            </w:r>
          </w:p>
          <w:p w14:paraId="37B0335E"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I</w:t>
            </w:r>
            <w:r w:rsidRPr="00F655DC">
              <w:rPr>
                <w:rFonts w:asciiTheme="majorHAnsi" w:hAnsiTheme="majorHAnsi" w:cstheme="minorHAnsi"/>
                <w:color w:val="auto"/>
                <w:sz w:val="22"/>
                <w:szCs w:val="22"/>
                <w:lang w:val="en-US"/>
              </w:rPr>
              <w:t xml:space="preserve">t is better practice to determine the appropriate grant agreement to assist with managing the grant activity, i.e. reporting, quality and risks. Where </w:t>
            </w:r>
            <w:r>
              <w:rPr>
                <w:rFonts w:asciiTheme="majorHAnsi" w:hAnsiTheme="majorHAnsi" w:cstheme="minorHAnsi"/>
                <w:color w:val="auto"/>
                <w:sz w:val="22"/>
                <w:szCs w:val="22"/>
                <w:lang w:val="en-US"/>
              </w:rPr>
              <w:t>prioritisation</w:t>
            </w:r>
            <w:r w:rsidRPr="00F655DC">
              <w:rPr>
                <w:rFonts w:asciiTheme="majorHAnsi" w:hAnsiTheme="majorHAnsi" w:cstheme="minorHAnsi"/>
                <w:color w:val="auto"/>
                <w:sz w:val="22"/>
                <w:szCs w:val="22"/>
                <w:lang w:val="en-US"/>
              </w:rPr>
              <w:t xml:space="preserve"> occurs and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applicants are awarded funding in part due to their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status, it may be appropriate to consider if the ongoing nature of this status should be included in the grant agreement</w:t>
            </w:r>
            <w:r>
              <w:rPr>
                <w:rFonts w:asciiTheme="majorHAnsi" w:hAnsiTheme="majorHAnsi" w:cstheme="minorHAnsi"/>
                <w:color w:val="auto"/>
                <w:sz w:val="22"/>
                <w:szCs w:val="22"/>
                <w:lang w:val="en-US"/>
              </w:rPr>
              <w:t>.</w:t>
            </w:r>
          </w:p>
          <w:p w14:paraId="7DAF6513"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4CC5987E"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r w:rsidRPr="00F655DC">
              <w:rPr>
                <w:rFonts w:asciiTheme="majorHAnsi" w:hAnsiTheme="majorHAnsi" w:cstheme="minorHAnsi"/>
                <w:b/>
                <w:color w:val="auto"/>
                <w:sz w:val="22"/>
                <w:szCs w:val="22"/>
                <w:lang w:val="en-US"/>
              </w:rPr>
              <w:t>Design Decision</w:t>
            </w:r>
          </w:p>
          <w:p w14:paraId="33734DB7" w14:textId="0750D573" w:rsidR="00C624D6" w:rsidRPr="003E4C29"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Documentation to support administration will need to clearly explain how this is to be done, and the GOGs will also need to explain this</w:t>
            </w:r>
            <w:r>
              <w:rPr>
                <w:rFonts w:asciiTheme="majorHAnsi" w:hAnsiTheme="majorHAnsi" w:cstheme="minorHAnsi"/>
                <w:color w:val="auto"/>
                <w:sz w:val="22"/>
                <w:szCs w:val="22"/>
                <w:lang w:val="en-US"/>
              </w:rPr>
              <w:t xml:space="preserve"> to stakeholders. The relevant M</w:t>
            </w:r>
            <w:r w:rsidRPr="00F655DC">
              <w:rPr>
                <w:rFonts w:asciiTheme="majorHAnsi" w:hAnsiTheme="majorHAnsi" w:cstheme="minorHAnsi"/>
                <w:color w:val="auto"/>
                <w:sz w:val="22"/>
                <w:szCs w:val="22"/>
                <w:lang w:val="en-US"/>
              </w:rPr>
              <w:t>in</w:t>
            </w:r>
            <w:r>
              <w:rPr>
                <w:rFonts w:asciiTheme="majorHAnsi" w:hAnsiTheme="majorHAnsi" w:cstheme="minorHAnsi"/>
                <w:color w:val="auto"/>
                <w:sz w:val="22"/>
                <w:szCs w:val="22"/>
                <w:lang w:val="en-US"/>
              </w:rPr>
              <w:t>i</w:t>
            </w:r>
            <w:r w:rsidRPr="00F655DC">
              <w:rPr>
                <w:rFonts w:asciiTheme="majorHAnsi" w:hAnsiTheme="majorHAnsi" w:cstheme="minorHAnsi"/>
                <w:color w:val="auto"/>
                <w:sz w:val="22"/>
                <w:szCs w:val="22"/>
                <w:lang w:val="en-US"/>
              </w:rPr>
              <w:t xml:space="preserve">ster is responsible for releasing the GOGs and </w:t>
            </w:r>
            <w:r>
              <w:rPr>
                <w:rFonts w:asciiTheme="majorHAnsi" w:hAnsiTheme="majorHAnsi" w:cstheme="minorHAnsi"/>
                <w:color w:val="auto"/>
                <w:sz w:val="22"/>
                <w:szCs w:val="22"/>
                <w:lang w:val="en-US"/>
              </w:rPr>
              <w:t xml:space="preserve">noting </w:t>
            </w:r>
            <w:r w:rsidRPr="00F655DC">
              <w:rPr>
                <w:rFonts w:asciiTheme="majorHAnsi" w:hAnsiTheme="majorHAnsi" w:cstheme="minorHAnsi"/>
                <w:color w:val="auto"/>
                <w:sz w:val="22"/>
                <w:szCs w:val="22"/>
                <w:lang w:val="en-US"/>
              </w:rPr>
              <w:t xml:space="preserve">the risks. This includes any risks associated with the decision to prioritise and if verification accompanies the process what </w:t>
            </w:r>
            <w:r>
              <w:rPr>
                <w:rFonts w:asciiTheme="majorHAnsi" w:hAnsiTheme="majorHAnsi" w:cstheme="minorHAnsi"/>
                <w:color w:val="auto"/>
                <w:sz w:val="22"/>
                <w:szCs w:val="22"/>
                <w:lang w:val="en-US"/>
              </w:rPr>
              <w:t>arrangements</w:t>
            </w:r>
            <w:r w:rsidRPr="00F655DC">
              <w:rPr>
                <w:rFonts w:asciiTheme="majorHAnsi" w:hAnsiTheme="majorHAnsi" w:cstheme="minorHAnsi"/>
                <w:color w:val="auto"/>
                <w:sz w:val="22"/>
                <w:szCs w:val="22"/>
                <w:lang w:val="en-US"/>
              </w:rPr>
              <w:t xml:space="preserve"> will be in place for the management of the grant in case this entity type changes.  </w:t>
            </w:r>
          </w:p>
        </w:tc>
      </w:tr>
      <w:tr w:rsidR="009B56ED" w:rsidRPr="005256C6" w14:paraId="661AA9C8" w14:textId="77777777" w:rsidTr="005F43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6233AF01" w14:textId="588DA40C" w:rsidR="009B56ED" w:rsidRPr="009B56ED" w:rsidRDefault="009B56ED" w:rsidP="00802DEB">
            <w:pPr>
              <w:spacing w:after="60"/>
              <w:rPr>
                <w:rFonts w:asciiTheme="majorHAnsi" w:hAnsiTheme="majorHAnsi" w:cstheme="minorHAnsi"/>
                <w:b w:val="0"/>
                <w:color w:val="auto"/>
                <w:sz w:val="22"/>
                <w:szCs w:val="22"/>
              </w:rPr>
            </w:pPr>
            <w:r w:rsidRPr="009B56ED">
              <w:rPr>
                <w:rFonts w:asciiTheme="majorHAnsi" w:hAnsiTheme="majorHAnsi" w:cstheme="minorHAnsi"/>
                <w:b w:val="0"/>
                <w:color w:val="auto"/>
                <w:sz w:val="22"/>
                <w:szCs w:val="22"/>
              </w:rPr>
              <w:lastRenderedPageBreak/>
              <w:t>3. Publish the GOGs, including advice on how prioritisation will be applied.</w:t>
            </w:r>
          </w:p>
          <w:p w14:paraId="23FD8AD7" w14:textId="77777777" w:rsidR="009B56ED" w:rsidRPr="00C624D6" w:rsidRDefault="009B56ED" w:rsidP="00802DEB">
            <w:pPr>
              <w:spacing w:after="60"/>
              <w:rPr>
                <w:rFonts w:asciiTheme="majorHAnsi" w:hAnsiTheme="majorHAnsi" w:cstheme="minorHAnsi"/>
                <w:b w:val="0"/>
                <w:color w:val="auto"/>
                <w:sz w:val="22"/>
                <w:szCs w:val="22"/>
              </w:rPr>
            </w:pPr>
          </w:p>
        </w:tc>
        <w:tc>
          <w:tcPr>
            <w:tcW w:w="3751" w:type="pct"/>
            <w:hideMark/>
          </w:tcPr>
          <w:p w14:paraId="305006AB" w14:textId="77777777"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GOGs provide all information required for applicants to understand the purpose of a grant opportunity and how to apply. If the agency has decided to apply </w:t>
            </w:r>
            <w:r>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rPr>
              <w:t xml:space="preserve"> to </w:t>
            </w:r>
            <w:r>
              <w:rPr>
                <w:rFonts w:asciiTheme="majorHAnsi" w:hAnsiTheme="majorHAnsi" w:cstheme="minorHAnsi"/>
                <w:color w:val="auto"/>
                <w:sz w:val="22"/>
                <w:szCs w:val="22"/>
              </w:rPr>
              <w:t>a</w:t>
            </w:r>
            <w:r w:rsidRPr="00D4086C">
              <w:rPr>
                <w:rFonts w:asciiTheme="majorHAnsi" w:hAnsiTheme="majorHAnsi" w:cstheme="minorHAnsi"/>
                <w:color w:val="auto"/>
                <w:sz w:val="22"/>
                <w:szCs w:val="22"/>
              </w:rPr>
              <w:t xml:space="preserve"> grant opportunity, the details need to be incorporated into the GOGs. Here are four areas GOGs need to be updated to reflect prioritisation practices:</w:t>
            </w:r>
          </w:p>
          <w:p w14:paraId="091C977B" w14:textId="1CD5D343"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D4086C">
              <w:rPr>
                <w:rFonts w:asciiTheme="majorHAnsi" w:hAnsiTheme="majorHAnsi"/>
                <w:b/>
                <w:bCs/>
                <w:color w:val="auto"/>
                <w:sz w:val="22"/>
                <w:szCs w:val="22"/>
                <w:lang w:val="en-US"/>
              </w:rPr>
              <w:t>GOG: About the grant section</w:t>
            </w:r>
            <w:r w:rsidRPr="00D4086C">
              <w:rPr>
                <w:rFonts w:asciiTheme="majorHAnsi" w:hAnsiTheme="majorHAnsi"/>
                <w:color w:val="auto"/>
                <w:sz w:val="22"/>
                <w:szCs w:val="22"/>
                <w:lang w:val="en-US"/>
              </w:rPr>
              <w:t xml:space="preserve"> – </w:t>
            </w:r>
            <w:r w:rsidRPr="00D4086C">
              <w:rPr>
                <w:rFonts w:asciiTheme="majorHAnsi" w:hAnsiTheme="majorHAnsi"/>
                <w:color w:val="auto"/>
                <w:sz w:val="22"/>
                <w:szCs w:val="22"/>
              </w:rPr>
              <w:t>Provide an introduction about C</w:t>
            </w:r>
            <w:r>
              <w:rPr>
                <w:rFonts w:asciiTheme="majorHAnsi" w:hAnsiTheme="majorHAnsi"/>
                <w:color w:val="auto"/>
                <w:sz w:val="22"/>
                <w:szCs w:val="22"/>
              </w:rPr>
              <w:t>losing the Gap</w:t>
            </w:r>
            <w:r w:rsidRPr="00D4086C">
              <w:rPr>
                <w:rFonts w:asciiTheme="majorHAnsi" w:hAnsiTheme="majorHAnsi"/>
                <w:color w:val="auto"/>
                <w:sz w:val="22"/>
                <w:szCs w:val="22"/>
              </w:rPr>
              <w:t xml:space="preserve">, including the </w:t>
            </w:r>
            <w:r>
              <w:rPr>
                <w:rFonts w:asciiTheme="majorHAnsi" w:hAnsiTheme="majorHAnsi"/>
                <w:color w:val="auto"/>
                <w:sz w:val="22"/>
                <w:szCs w:val="22"/>
              </w:rPr>
              <w:t xml:space="preserve">Priority Reforms and socio-economic </w:t>
            </w:r>
            <w:r w:rsidRPr="00D4086C">
              <w:rPr>
                <w:rFonts w:asciiTheme="majorHAnsi" w:hAnsiTheme="majorHAnsi"/>
                <w:color w:val="auto"/>
                <w:sz w:val="22"/>
                <w:szCs w:val="22"/>
              </w:rPr>
              <w:t>target</w:t>
            </w:r>
            <w:r>
              <w:rPr>
                <w:rFonts w:asciiTheme="majorHAnsi" w:hAnsiTheme="majorHAnsi"/>
                <w:color w:val="auto"/>
                <w:sz w:val="22"/>
                <w:szCs w:val="22"/>
              </w:rPr>
              <w:t>/</w:t>
            </w:r>
            <w:r w:rsidRPr="00D4086C">
              <w:rPr>
                <w:rFonts w:asciiTheme="majorHAnsi" w:hAnsiTheme="majorHAnsi"/>
                <w:color w:val="auto"/>
                <w:sz w:val="22"/>
                <w:szCs w:val="22"/>
              </w:rPr>
              <w:t>s the grant supports.</w:t>
            </w:r>
            <w:r w:rsidRPr="00D4086C">
              <w:rPr>
                <w:rFonts w:asciiTheme="majorHAnsi" w:hAnsiTheme="majorHAnsi"/>
                <w:color w:val="auto"/>
                <w:sz w:val="22"/>
                <w:szCs w:val="22"/>
                <w:lang w:val="en-US"/>
              </w:rPr>
              <w:t xml:space="preserve"> The section 'about the grant' should focus on the intended outcomes and objectives of the grant opportunity and provide information on the types of activities associated with it. </w:t>
            </w:r>
            <w:r>
              <w:rPr>
                <w:rFonts w:asciiTheme="majorHAnsi" w:hAnsiTheme="majorHAnsi"/>
                <w:color w:val="auto"/>
                <w:sz w:val="22"/>
                <w:szCs w:val="22"/>
                <w:lang w:val="en-US"/>
              </w:rPr>
              <w:t>I</w:t>
            </w:r>
            <w:r w:rsidRPr="00D4086C">
              <w:rPr>
                <w:rFonts w:asciiTheme="majorHAnsi" w:hAnsiTheme="majorHAnsi"/>
                <w:color w:val="auto"/>
                <w:sz w:val="22"/>
                <w:szCs w:val="22"/>
                <w:lang w:val="en-US"/>
              </w:rPr>
              <w:t>f organisations</w:t>
            </w:r>
            <w:r>
              <w:rPr>
                <w:rFonts w:asciiTheme="majorHAnsi" w:hAnsiTheme="majorHAnsi"/>
                <w:color w:val="auto"/>
                <w:sz w:val="22"/>
                <w:szCs w:val="22"/>
                <w:lang w:val="en-US"/>
              </w:rPr>
              <w:t xml:space="preserve"> may</w:t>
            </w:r>
            <w:r w:rsidRPr="00D4086C">
              <w:rPr>
                <w:rFonts w:asciiTheme="majorHAnsi" w:hAnsiTheme="majorHAnsi"/>
                <w:color w:val="auto"/>
                <w:sz w:val="22"/>
                <w:szCs w:val="22"/>
                <w:lang w:val="en-US"/>
              </w:rPr>
              <w:t xml:space="preserve"> need more information about C</w:t>
            </w:r>
            <w:r>
              <w:rPr>
                <w:rFonts w:asciiTheme="majorHAnsi" w:hAnsiTheme="majorHAnsi"/>
                <w:color w:val="auto"/>
                <w:sz w:val="22"/>
                <w:szCs w:val="22"/>
                <w:lang w:val="en-US"/>
              </w:rPr>
              <w:t xml:space="preserve">losing </w:t>
            </w:r>
            <w:r w:rsidRPr="00D4086C">
              <w:rPr>
                <w:rFonts w:asciiTheme="majorHAnsi" w:hAnsiTheme="majorHAnsi"/>
                <w:color w:val="auto"/>
                <w:sz w:val="22"/>
                <w:szCs w:val="22"/>
                <w:lang w:val="en-US"/>
              </w:rPr>
              <w:t>t</w:t>
            </w:r>
            <w:r>
              <w:rPr>
                <w:rFonts w:asciiTheme="majorHAnsi" w:hAnsiTheme="majorHAnsi"/>
                <w:color w:val="auto"/>
                <w:sz w:val="22"/>
                <w:szCs w:val="22"/>
                <w:lang w:val="en-US"/>
              </w:rPr>
              <w:t xml:space="preserve">he </w:t>
            </w:r>
            <w:r w:rsidRPr="00D4086C">
              <w:rPr>
                <w:rFonts w:asciiTheme="majorHAnsi" w:hAnsiTheme="majorHAnsi"/>
                <w:color w:val="auto"/>
                <w:sz w:val="22"/>
                <w:szCs w:val="22"/>
                <w:lang w:val="en-US"/>
              </w:rPr>
              <w:t>G</w:t>
            </w:r>
            <w:r>
              <w:rPr>
                <w:rFonts w:asciiTheme="majorHAnsi" w:hAnsiTheme="majorHAnsi"/>
                <w:color w:val="auto"/>
                <w:sz w:val="22"/>
                <w:szCs w:val="22"/>
                <w:lang w:val="en-US"/>
              </w:rPr>
              <w:t>ap</w:t>
            </w:r>
            <w:r w:rsidRPr="00D4086C">
              <w:rPr>
                <w:rFonts w:asciiTheme="majorHAnsi" w:hAnsiTheme="majorHAnsi"/>
                <w:color w:val="auto"/>
                <w:sz w:val="22"/>
                <w:szCs w:val="22"/>
                <w:lang w:val="en-US"/>
              </w:rPr>
              <w:t xml:space="preserve"> you </w:t>
            </w:r>
            <w:r w:rsidR="00F21C56">
              <w:rPr>
                <w:rFonts w:asciiTheme="majorHAnsi" w:hAnsiTheme="majorHAnsi"/>
                <w:color w:val="auto"/>
                <w:sz w:val="22"/>
                <w:szCs w:val="22"/>
                <w:lang w:val="en-US"/>
              </w:rPr>
              <w:t>may</w:t>
            </w:r>
            <w:r w:rsidR="00A75F9F">
              <w:rPr>
                <w:rFonts w:asciiTheme="majorHAnsi" w:hAnsiTheme="majorHAnsi"/>
                <w:color w:val="auto"/>
                <w:sz w:val="22"/>
                <w:szCs w:val="22"/>
                <w:lang w:val="en-US"/>
              </w:rPr>
              <w:t xml:space="preserve"> add</w:t>
            </w:r>
            <w:r w:rsidRPr="00D4086C">
              <w:rPr>
                <w:rFonts w:asciiTheme="majorHAnsi" w:hAnsiTheme="majorHAnsi"/>
                <w:color w:val="auto"/>
                <w:sz w:val="22"/>
                <w:szCs w:val="22"/>
                <w:lang w:val="en-US"/>
              </w:rPr>
              <w:t xml:space="preserve"> a</w:t>
            </w:r>
            <w:r>
              <w:rPr>
                <w:rFonts w:asciiTheme="majorHAnsi" w:hAnsiTheme="majorHAnsi"/>
                <w:color w:val="auto"/>
                <w:sz w:val="22"/>
                <w:szCs w:val="22"/>
                <w:lang w:val="en-US"/>
              </w:rPr>
              <w:t xml:space="preserve"> suitable</w:t>
            </w:r>
            <w:r w:rsidRPr="00D4086C">
              <w:rPr>
                <w:rFonts w:asciiTheme="majorHAnsi" w:hAnsiTheme="majorHAnsi"/>
                <w:color w:val="auto"/>
                <w:sz w:val="22"/>
                <w:szCs w:val="22"/>
                <w:lang w:val="en-US"/>
              </w:rPr>
              <w:t xml:space="preserve"> link or attachment </w:t>
            </w:r>
            <w:r>
              <w:rPr>
                <w:rFonts w:asciiTheme="majorHAnsi" w:hAnsiTheme="majorHAnsi"/>
                <w:color w:val="auto"/>
                <w:sz w:val="22"/>
                <w:szCs w:val="22"/>
                <w:lang w:val="en-US"/>
              </w:rPr>
              <w:t>in</w:t>
            </w:r>
            <w:r w:rsidRPr="00D4086C">
              <w:rPr>
                <w:rFonts w:asciiTheme="majorHAnsi" w:hAnsiTheme="majorHAnsi"/>
                <w:color w:val="auto"/>
                <w:sz w:val="22"/>
                <w:szCs w:val="22"/>
                <w:lang w:val="en-US"/>
              </w:rPr>
              <w:t xml:space="preserve"> the GOGs.    </w:t>
            </w:r>
          </w:p>
          <w:p w14:paraId="28EBF67E"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lang w:val="en-US"/>
              </w:rPr>
              <w:t xml:space="preserve">GOG: Grant selection process section </w:t>
            </w:r>
            <w:r w:rsidRPr="00D4086C">
              <w:rPr>
                <w:rFonts w:asciiTheme="majorHAnsi" w:hAnsiTheme="majorHAnsi" w:cstheme="minorHAnsi"/>
                <w:color w:val="auto"/>
                <w:sz w:val="22"/>
                <w:szCs w:val="22"/>
                <w:lang w:val="en-US"/>
              </w:rPr>
              <w:t xml:space="preserve">– </w:t>
            </w:r>
            <w:r w:rsidRPr="00D4086C">
              <w:rPr>
                <w:rFonts w:asciiTheme="majorHAnsi" w:hAnsiTheme="majorHAnsi"/>
                <w:color w:val="auto"/>
                <w:sz w:val="22"/>
                <w:szCs w:val="22"/>
              </w:rPr>
              <w:t>Explain how prioritisation will be applied to the grant process.</w:t>
            </w:r>
          </w:p>
          <w:p w14:paraId="7F5C0B13"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rPr>
              <w:t xml:space="preserve">GOG: </w:t>
            </w:r>
            <w:r w:rsidRPr="00D4086C">
              <w:rPr>
                <w:rFonts w:asciiTheme="majorHAnsi" w:hAnsiTheme="majorHAnsi" w:cstheme="minorHAnsi"/>
                <w:b/>
                <w:color w:val="auto"/>
                <w:sz w:val="22"/>
                <w:szCs w:val="22"/>
                <w:lang w:val="en-US"/>
              </w:rPr>
              <w:t>Grant Agreement</w:t>
            </w:r>
            <w:r w:rsidRPr="00D4086C">
              <w:rPr>
                <w:rFonts w:asciiTheme="majorHAnsi" w:hAnsiTheme="majorHAnsi" w:cstheme="minorHAnsi"/>
                <w:color w:val="auto"/>
                <w:sz w:val="22"/>
                <w:szCs w:val="22"/>
                <w:lang w:val="en-US"/>
              </w:rPr>
              <w:t xml:space="preserve"> – Include any requirements to maintain organisational status for the duration of a grant agreement if </w:t>
            </w:r>
            <w:r w:rsidRPr="00D4086C">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lang w:val="en-US"/>
              </w:rPr>
              <w:t xml:space="preserve"> is applied.  </w:t>
            </w:r>
          </w:p>
          <w:p w14:paraId="0921C6CD"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lang w:val="en-US"/>
              </w:rPr>
              <w:t>Grant Applications</w:t>
            </w:r>
            <w:r w:rsidRPr="00D4086C">
              <w:rPr>
                <w:rFonts w:asciiTheme="majorHAnsi" w:hAnsiTheme="majorHAnsi" w:cstheme="minorHAnsi"/>
                <w:color w:val="auto"/>
                <w:sz w:val="22"/>
                <w:szCs w:val="22"/>
                <w:lang w:val="en-US"/>
              </w:rPr>
              <w:t xml:space="preserve"> –Include questions requiring applicants to confirm their organisational status to identify those that meet </w:t>
            </w:r>
            <w:r w:rsidRPr="00D4086C">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lang w:val="en-US"/>
              </w:rPr>
              <w:t xml:space="preserve"> requirements. </w:t>
            </w:r>
          </w:p>
          <w:p w14:paraId="26174765" w14:textId="194F123F"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u w:val="single"/>
              </w:rPr>
            </w:pPr>
            <w:r w:rsidRPr="00D4086C">
              <w:rPr>
                <w:rFonts w:asciiTheme="majorHAnsi" w:hAnsiTheme="majorHAnsi"/>
                <w:color w:val="auto"/>
                <w:sz w:val="22"/>
                <w:szCs w:val="22"/>
                <w:lang w:val="en-US"/>
              </w:rPr>
              <w:t>All GOGs must be consistent with</w:t>
            </w:r>
            <w:r>
              <w:rPr>
                <w:rFonts w:asciiTheme="majorHAnsi" w:hAnsiTheme="majorHAnsi"/>
                <w:color w:val="auto"/>
                <w:sz w:val="22"/>
                <w:szCs w:val="22"/>
                <w:lang w:val="en-US"/>
              </w:rPr>
              <w:t xml:space="preserve"> the CGR</w:t>
            </w:r>
            <w:r w:rsidR="00631250">
              <w:rPr>
                <w:rFonts w:asciiTheme="majorHAnsi" w:hAnsiTheme="majorHAnsi"/>
                <w:color w:val="auto"/>
                <w:sz w:val="22"/>
                <w:szCs w:val="22"/>
                <w:lang w:val="en-US"/>
              </w:rPr>
              <w:t>P</w:t>
            </w:r>
            <w:r w:rsidRPr="00223E26">
              <w:rPr>
                <w:rFonts w:asciiTheme="majorHAnsi" w:hAnsiTheme="majorHAnsi"/>
                <w:color w:val="auto"/>
                <w:sz w:val="22"/>
                <w:szCs w:val="22"/>
                <w:lang w:val="en-US"/>
              </w:rPr>
              <w:t xml:space="preserve">s </w:t>
            </w:r>
            <w:r w:rsidRPr="00172880">
              <w:rPr>
                <w:rStyle w:val="Hyperlink"/>
                <w:rFonts w:asciiTheme="majorHAnsi" w:hAnsiTheme="majorHAnsi"/>
                <w:color w:val="auto"/>
                <w:sz w:val="22"/>
                <w:szCs w:val="22"/>
                <w:u w:val="none"/>
              </w:rPr>
              <w:t>and the risk rating must be agreed with Finance and PM&amp;C</w:t>
            </w:r>
            <w:r w:rsidRPr="00223E26">
              <w:rPr>
                <w:rStyle w:val="Hyperlink"/>
                <w:rFonts w:asciiTheme="majorHAnsi" w:hAnsiTheme="majorHAnsi"/>
                <w:color w:val="auto"/>
                <w:sz w:val="22"/>
                <w:szCs w:val="22"/>
                <w:u w:val="none"/>
              </w:rPr>
              <w:t xml:space="preserve"> prior to their</w:t>
            </w:r>
            <w:r w:rsidRPr="00D4086C">
              <w:rPr>
                <w:rStyle w:val="Hyperlink"/>
                <w:rFonts w:asciiTheme="majorHAnsi" w:hAnsiTheme="majorHAnsi"/>
                <w:color w:val="auto"/>
                <w:sz w:val="22"/>
                <w:szCs w:val="22"/>
                <w:u w:val="none"/>
              </w:rPr>
              <w:t xml:space="preserve"> release.</w:t>
            </w:r>
          </w:p>
        </w:tc>
      </w:tr>
      <w:tr w:rsidR="009B56ED" w:rsidRPr="005256C6" w14:paraId="7EF60CD0" w14:textId="77777777" w:rsidTr="005F43FA">
        <w:trPr>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27F0516C" w14:textId="2732DD50" w:rsidR="009B56ED" w:rsidRPr="009B56ED" w:rsidRDefault="009B56ED" w:rsidP="00802DEB">
            <w:pPr>
              <w:spacing w:after="60"/>
              <w:rPr>
                <w:rFonts w:asciiTheme="majorHAnsi" w:hAnsiTheme="majorHAnsi" w:cstheme="minorHAnsi"/>
                <w:b w:val="0"/>
                <w:color w:val="auto"/>
                <w:sz w:val="22"/>
                <w:szCs w:val="22"/>
              </w:rPr>
            </w:pPr>
            <w:r w:rsidRPr="009B56ED">
              <w:rPr>
                <w:rFonts w:asciiTheme="majorHAnsi" w:hAnsiTheme="majorHAnsi" w:cstheme="minorHAnsi"/>
                <w:b w:val="0"/>
                <w:color w:val="auto"/>
                <w:sz w:val="22"/>
                <w:szCs w:val="22"/>
              </w:rPr>
              <w:t xml:space="preserve">4. Assess applications as per the criteria (assessment plan) set out in the GOG. Apply prioritisation </w:t>
            </w:r>
          </w:p>
        </w:tc>
        <w:tc>
          <w:tcPr>
            <w:tcW w:w="3751" w:type="pct"/>
            <w:shd w:val="clear" w:color="auto" w:fill="F3C7A2" w:themeFill="accent3" w:themeFillTint="66"/>
          </w:tcPr>
          <w:p w14:paraId="3094CE2C" w14:textId="77777777"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The GOG is published and applications received.  </w:t>
            </w:r>
          </w:p>
          <w:p w14:paraId="57B63BD5" w14:textId="77777777"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Only eligible applications (organisations) will be assessed.</w:t>
            </w:r>
          </w:p>
          <w:p w14:paraId="05225005" w14:textId="4717EA3C" w:rsidR="009B56ED"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Applications are assessed according to the </w:t>
            </w:r>
            <w:r>
              <w:rPr>
                <w:rFonts w:asciiTheme="majorHAnsi" w:hAnsiTheme="majorHAnsi" w:cstheme="minorHAnsi"/>
                <w:color w:val="auto"/>
                <w:sz w:val="22"/>
                <w:szCs w:val="22"/>
              </w:rPr>
              <w:t>GOGs</w:t>
            </w:r>
            <w:r w:rsidRPr="00D4086C">
              <w:rPr>
                <w:rFonts w:asciiTheme="majorHAnsi" w:hAnsiTheme="majorHAnsi" w:cstheme="minorHAnsi"/>
                <w:color w:val="auto"/>
                <w:sz w:val="22"/>
                <w:szCs w:val="22"/>
              </w:rPr>
              <w:t xml:space="preserve">. If an organisation is an ACCO or </w:t>
            </w:r>
            <w:r>
              <w:rPr>
                <w:rFonts w:asciiTheme="majorHAnsi" w:hAnsiTheme="majorHAnsi" w:cstheme="minorHAnsi"/>
                <w:color w:val="auto"/>
                <w:sz w:val="22"/>
                <w:szCs w:val="22"/>
              </w:rPr>
              <w:t xml:space="preserve">other </w:t>
            </w:r>
            <w:r w:rsidRPr="00D4086C">
              <w:rPr>
                <w:rFonts w:asciiTheme="majorHAnsi" w:hAnsiTheme="majorHAnsi" w:cstheme="minorHAnsi"/>
                <w:color w:val="auto"/>
                <w:sz w:val="22"/>
                <w:szCs w:val="22"/>
              </w:rPr>
              <w:t xml:space="preserve">Aboriginal and Torres Strait Islander organisation and considered to meet the assessment criteria and value </w:t>
            </w:r>
            <w:r>
              <w:rPr>
                <w:rFonts w:asciiTheme="majorHAnsi" w:hAnsiTheme="majorHAnsi" w:cstheme="minorHAnsi"/>
                <w:color w:val="auto"/>
                <w:sz w:val="22"/>
                <w:szCs w:val="22"/>
              </w:rPr>
              <w:t>for</w:t>
            </w:r>
            <w:r w:rsidRPr="00D4086C">
              <w:rPr>
                <w:rFonts w:asciiTheme="majorHAnsi" w:hAnsiTheme="majorHAnsi" w:cstheme="minorHAnsi"/>
                <w:color w:val="auto"/>
                <w:sz w:val="22"/>
                <w:szCs w:val="22"/>
              </w:rPr>
              <w:t xml:space="preserve"> money, </w:t>
            </w:r>
            <w:r w:rsidRPr="00D4086C">
              <w:rPr>
                <w:rFonts w:asciiTheme="majorHAnsi" w:hAnsiTheme="majorHAnsi" w:cstheme="minorHAnsi"/>
                <w:color w:val="auto"/>
                <w:sz w:val="22"/>
                <w:szCs w:val="22"/>
              </w:rPr>
              <w:lastRenderedPageBreak/>
              <w:t xml:space="preserve">prioritisation practices should be applied to award the suitable organisation the grant. </w:t>
            </w:r>
            <w:r w:rsidR="0008082C" w:rsidRPr="00A770E3">
              <w:rPr>
                <w:rFonts w:asciiTheme="majorHAnsi" w:hAnsiTheme="majorHAnsi" w:cstheme="minorHAnsi"/>
                <w:color w:val="auto"/>
                <w:sz w:val="22"/>
                <w:szCs w:val="22"/>
              </w:rPr>
              <w:t>The Commonwealth is only applying bandwidth prioritisation to a group of applications which all meet the assessment criteria and demonstrate value for money.</w:t>
            </w:r>
          </w:p>
          <w:p w14:paraId="10648A0A" w14:textId="3B0B72ED" w:rsidR="009B56ED" w:rsidRPr="00860DBD"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60DBD">
              <w:rPr>
                <w:rFonts w:asciiTheme="majorHAnsi" w:hAnsiTheme="majorHAnsi" w:cstheme="minorHAnsi"/>
                <w:color w:val="auto"/>
                <w:sz w:val="22"/>
                <w:szCs w:val="22"/>
              </w:rPr>
              <w:t xml:space="preserve">Attachment C: </w:t>
            </w:r>
            <w:hyperlink w:anchor="_Attachment_C:_Grant" w:history="1">
              <w:r w:rsidRPr="00680C0C">
                <w:rPr>
                  <w:rStyle w:val="Hyperlink"/>
                  <w:rFonts w:asciiTheme="majorHAnsi" w:hAnsiTheme="majorHAnsi" w:cstheme="minorHAnsi"/>
                  <w:color w:val="014463" w:themeColor="text2"/>
                  <w:sz w:val="22"/>
                  <w:szCs w:val="22"/>
                </w:rPr>
                <w:t>Grants Prioritisation Scenario</w:t>
              </w:r>
            </w:hyperlink>
            <w:r w:rsidRPr="005256C6">
              <w:rPr>
                <w:rFonts w:asciiTheme="majorHAnsi" w:hAnsiTheme="majorHAnsi" w:cstheme="minorHAnsi"/>
                <w:color w:val="293F54" w:themeColor="accent5" w:themeTint="E6"/>
                <w:sz w:val="22"/>
                <w:szCs w:val="22"/>
              </w:rPr>
              <w:t xml:space="preserve"> </w:t>
            </w:r>
            <w:r w:rsidRPr="00860DBD">
              <w:rPr>
                <w:rFonts w:asciiTheme="majorHAnsi" w:hAnsiTheme="majorHAnsi" w:cstheme="minorHAnsi"/>
                <w:color w:val="auto"/>
                <w:sz w:val="22"/>
                <w:szCs w:val="22"/>
              </w:rPr>
              <w:t>demonstrates how to prioritise applicants in the highest bandwidth. Where there are no suitable ACCOs or Aboriginal and Torres Strait Islander organisations in the highest bandwidth, alignment is not possible.</w:t>
            </w:r>
          </w:p>
          <w:p w14:paraId="110EC707" w14:textId="27774F88"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60DBD">
              <w:rPr>
                <w:rFonts w:asciiTheme="majorHAnsi" w:hAnsiTheme="majorHAnsi" w:cstheme="minorHAnsi"/>
                <w:color w:val="auto"/>
                <w:sz w:val="22"/>
                <w:szCs w:val="22"/>
              </w:rPr>
              <w:t xml:space="preserve">Depending on how agencies undertake this part of the process, their approach to prioritising may require adjustment, however the concept is the same. </w:t>
            </w:r>
          </w:p>
        </w:tc>
      </w:tr>
      <w:tr w:rsidR="009B56ED" w:rsidRPr="005256C6" w14:paraId="0EAFF607" w14:textId="77777777" w:rsidTr="005F43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40568D62" w14:textId="0AE2522D" w:rsidR="009B56ED" w:rsidRPr="00C624D6" w:rsidRDefault="009B56ED" w:rsidP="00802DEB">
            <w:pPr>
              <w:spacing w:after="60"/>
              <w:rPr>
                <w:rFonts w:asciiTheme="majorHAnsi" w:hAnsiTheme="majorHAnsi" w:cstheme="minorHAnsi"/>
                <w:b w:val="0"/>
                <w:color w:val="auto"/>
                <w:sz w:val="22"/>
                <w:szCs w:val="22"/>
              </w:rPr>
            </w:pPr>
            <w:r w:rsidRPr="00C624D6">
              <w:rPr>
                <w:rFonts w:asciiTheme="majorHAnsi" w:hAnsiTheme="majorHAnsi" w:cstheme="minorHAnsi"/>
                <w:b w:val="0"/>
                <w:color w:val="auto"/>
                <w:sz w:val="22"/>
                <w:szCs w:val="22"/>
              </w:rPr>
              <w:lastRenderedPageBreak/>
              <w:t xml:space="preserve">5. </w:t>
            </w:r>
            <w:r w:rsidRPr="00C624D6">
              <w:rPr>
                <w:rFonts w:asciiTheme="majorHAnsi" w:hAnsiTheme="majorHAnsi" w:cstheme="minorHAnsi"/>
                <w:b w:val="0"/>
                <w:bCs w:val="0"/>
                <w:color w:val="auto"/>
                <w:sz w:val="22"/>
                <w:szCs w:val="22"/>
              </w:rPr>
              <w:t>Brief the Delegate / Decision maker, award grant, and execute agreement</w:t>
            </w:r>
          </w:p>
        </w:tc>
        <w:tc>
          <w:tcPr>
            <w:tcW w:w="3751" w:type="pct"/>
            <w:hideMark/>
          </w:tcPr>
          <w:p w14:paraId="7DF9377A" w14:textId="05F76324" w:rsidR="009B56ED" w:rsidRDefault="009B56ED" w:rsidP="00802DE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If an applicant is awarded a grant due to organisational status (e.g. prioritising an ACCO or </w:t>
            </w:r>
            <w:r>
              <w:rPr>
                <w:rFonts w:asciiTheme="majorHAnsi" w:hAnsiTheme="majorHAnsi" w:cstheme="minorHAnsi"/>
                <w:color w:val="auto"/>
                <w:sz w:val="22"/>
                <w:szCs w:val="22"/>
              </w:rPr>
              <w:t xml:space="preserve">other </w:t>
            </w:r>
            <w:r w:rsidRPr="00D4086C">
              <w:rPr>
                <w:rFonts w:asciiTheme="majorHAnsi" w:hAnsiTheme="majorHAnsi" w:cstheme="minorHAnsi"/>
                <w:color w:val="auto"/>
                <w:sz w:val="22"/>
                <w:szCs w:val="22"/>
              </w:rPr>
              <w:t>Aboriginal and Torres Strait Islander organisation), the agreement should require the applicant to retain that organisational status for the life of the agreement. To monitor this, the agency can request that the applicant notifies them of any change or anticipated changes which impacts their organisational status.</w:t>
            </w:r>
            <w:r w:rsidRPr="00D4086C" w:rsidDel="00F21AAD">
              <w:rPr>
                <w:rFonts w:asciiTheme="majorHAnsi" w:hAnsiTheme="majorHAnsi" w:cstheme="minorHAnsi"/>
                <w:color w:val="auto"/>
                <w:sz w:val="22"/>
                <w:szCs w:val="22"/>
              </w:rPr>
              <w:t xml:space="preserve"> </w:t>
            </w:r>
          </w:p>
          <w:p w14:paraId="5CD231FD" w14:textId="77777777" w:rsidR="009B56ED" w:rsidRPr="00D4086C" w:rsidRDefault="009B56ED" w:rsidP="00802DE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p>
          <w:p w14:paraId="06D49BB1" w14:textId="77777777"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rPr>
              <w:t>Example d</w:t>
            </w:r>
            <w:r w:rsidRPr="00D4086C">
              <w:rPr>
                <w:rFonts w:asciiTheme="majorHAnsi" w:hAnsiTheme="majorHAnsi" w:cstheme="minorHAnsi"/>
                <w:color w:val="auto"/>
                <w:sz w:val="22"/>
                <w:szCs w:val="22"/>
              </w:rPr>
              <w:t xml:space="preserve">etails </w:t>
            </w:r>
            <w:r>
              <w:rPr>
                <w:rFonts w:asciiTheme="majorHAnsi" w:hAnsiTheme="majorHAnsi" w:cstheme="minorHAnsi"/>
                <w:color w:val="auto"/>
                <w:sz w:val="22"/>
                <w:szCs w:val="22"/>
              </w:rPr>
              <w:t xml:space="preserve">for inclusion </w:t>
            </w:r>
            <w:r w:rsidRPr="00D4086C">
              <w:rPr>
                <w:rFonts w:asciiTheme="majorHAnsi" w:hAnsiTheme="majorHAnsi" w:cstheme="minorHAnsi"/>
                <w:color w:val="auto"/>
                <w:sz w:val="22"/>
                <w:szCs w:val="22"/>
              </w:rPr>
              <w:t>in the GOGs</w:t>
            </w:r>
            <w:r>
              <w:rPr>
                <w:rFonts w:asciiTheme="majorHAnsi" w:hAnsiTheme="majorHAnsi" w:cstheme="minorHAnsi"/>
                <w:color w:val="auto"/>
                <w:sz w:val="22"/>
                <w:szCs w:val="22"/>
              </w:rPr>
              <w:t>;</w:t>
            </w:r>
          </w:p>
          <w:p w14:paraId="2565948B" w14:textId="77777777" w:rsidR="009B56ED" w:rsidRPr="00D4086C" w:rsidRDefault="009B56ED" w:rsidP="00802DEB">
            <w:pPr>
              <w:pStyle w:val="ListParagraph"/>
              <w:numPr>
                <w:ilvl w:val="0"/>
                <w:numId w:val="16"/>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bCs/>
                <w:color w:val="auto"/>
                <w:sz w:val="22"/>
                <w:szCs w:val="22"/>
              </w:rPr>
              <w:t>Keeping us informed</w:t>
            </w:r>
            <w:r w:rsidRPr="00D4086C">
              <w:rPr>
                <w:rFonts w:asciiTheme="majorHAnsi" w:hAnsiTheme="majorHAnsi" w:cstheme="minorHAnsi"/>
                <w:bCs/>
                <w:color w:val="auto"/>
                <w:sz w:val="22"/>
                <w:szCs w:val="22"/>
              </w:rPr>
              <w:t xml:space="preserve">: </w:t>
            </w:r>
            <w:r w:rsidRPr="00D4086C">
              <w:rPr>
                <w:rFonts w:asciiTheme="majorHAnsi" w:hAnsiTheme="majorHAnsi" w:cstheme="minorHAnsi"/>
                <w:color w:val="auto"/>
                <w:sz w:val="22"/>
                <w:szCs w:val="22"/>
              </w:rPr>
              <w:t xml:space="preserve">You should let us know if anything is likely to impact your grant activity or organisation by contacting the Agency’s contact officer listed in your grant agreement. We need to know of any key changes to your organisation or its business activities, particularly if they impact your ability to complete your grant activity, carry on business or pay debts due. </w:t>
            </w:r>
          </w:p>
          <w:p w14:paraId="450057A9" w14:textId="77777777" w:rsidR="009B56ED" w:rsidRPr="00D4086C" w:rsidRDefault="009B56ED" w:rsidP="00802DEB">
            <w:pPr>
              <w:pStyle w:val="ListParagraph"/>
              <w:numPr>
                <w:ilvl w:val="0"/>
                <w:numId w:val="16"/>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rPr>
              <w:t>You must also inform us of any of the following changes</w:t>
            </w:r>
            <w:r w:rsidRPr="00D4086C">
              <w:rPr>
                <w:rFonts w:asciiTheme="majorHAnsi" w:hAnsiTheme="majorHAnsi" w:cstheme="minorHAnsi"/>
                <w:color w:val="auto"/>
                <w:sz w:val="22"/>
                <w:szCs w:val="22"/>
              </w:rPr>
              <w:t>: Any instance where your organisation may no longer meet the definition of an ACCO or an Aboriginal and Torres Strait Islander organisation as defined in the glossary. </w:t>
            </w:r>
          </w:p>
          <w:p w14:paraId="1B4A5BC9" w14:textId="3AD4A59D"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Compliance and reporting clauses may be required in the grant agreement to manage organisation structures, subcontracting, joint ventures, and partnerships for the life of the grant.</w:t>
            </w:r>
          </w:p>
        </w:tc>
      </w:tr>
      <w:tr w:rsidR="009B56ED" w:rsidRPr="005256C6" w14:paraId="5F22B2A3" w14:textId="77777777" w:rsidTr="005F43FA">
        <w:trPr>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bottom w:val="none" w:sz="0" w:space="0" w:color="auto"/>
            </w:tcBorders>
            <w:shd w:val="clear" w:color="auto" w:fill="F3C7A2" w:themeFill="accent3" w:themeFillTint="66"/>
            <w:hideMark/>
          </w:tcPr>
          <w:p w14:paraId="0F7E3360" w14:textId="6F556A1C" w:rsidR="009B56ED" w:rsidRPr="00C624D6" w:rsidRDefault="009B56ED" w:rsidP="00802DEB">
            <w:pPr>
              <w:spacing w:after="60"/>
              <w:rPr>
                <w:rFonts w:asciiTheme="majorHAnsi" w:hAnsiTheme="majorHAnsi" w:cstheme="minorHAnsi"/>
                <w:b w:val="0"/>
                <w:color w:val="auto"/>
                <w:sz w:val="22"/>
                <w:szCs w:val="22"/>
              </w:rPr>
            </w:pPr>
            <w:r w:rsidRPr="00C624D6">
              <w:rPr>
                <w:rFonts w:asciiTheme="majorHAnsi" w:hAnsiTheme="majorHAnsi" w:cstheme="minorHAnsi"/>
                <w:b w:val="0"/>
                <w:color w:val="auto"/>
                <w:sz w:val="22"/>
                <w:szCs w:val="22"/>
              </w:rPr>
              <w:t xml:space="preserve">6. </w:t>
            </w:r>
            <w:r w:rsidRPr="00C624D6">
              <w:rPr>
                <w:rFonts w:asciiTheme="majorHAnsi" w:hAnsiTheme="majorHAnsi" w:cstheme="minorHAnsi"/>
                <w:b w:val="0"/>
                <w:bCs w:val="0"/>
                <w:color w:val="auto"/>
                <w:sz w:val="22"/>
                <w:szCs w:val="22"/>
              </w:rPr>
              <w:t>Reporting</w:t>
            </w:r>
          </w:p>
        </w:tc>
        <w:tc>
          <w:tcPr>
            <w:tcW w:w="3751" w:type="pct"/>
            <w:shd w:val="clear" w:color="auto" w:fill="F3C7A2" w:themeFill="accent3" w:themeFillTint="66"/>
            <w:hideMark/>
          </w:tcPr>
          <w:p w14:paraId="7785B2A1" w14:textId="3C95847B" w:rsidR="009B56ED" w:rsidRPr="00D4086C" w:rsidRDefault="009B56ED" w:rsidP="00F7491D">
            <w:pPr>
              <w:pStyle w:val="BodyText"/>
              <w:cnfStyle w:val="000000000000" w:firstRow="0" w:lastRow="0" w:firstColumn="0" w:lastColumn="0" w:oddVBand="0" w:evenVBand="0" w:oddHBand="0" w:evenHBand="0" w:firstRowFirstColumn="0" w:firstRowLastColumn="0" w:lastRowFirstColumn="0" w:lastRowLastColumn="0"/>
              <w:rPr>
                <w:color w:val="auto"/>
              </w:rPr>
            </w:pPr>
            <w:r w:rsidRPr="00D4086C">
              <w:rPr>
                <w:color w:val="auto"/>
              </w:rPr>
              <w:t xml:space="preserve">Agencies may want to consider what their data collection processes are so they can capture data that tracks details such as how many grants they are prioritising (e.g. number of grant rounds and grants activities awarded), type of services provided (e.g. education, employment etc.), and the types of service delivery organisations (e.g. ACCO or </w:t>
            </w:r>
            <w:r>
              <w:rPr>
                <w:color w:val="auto"/>
              </w:rPr>
              <w:t xml:space="preserve">other </w:t>
            </w:r>
            <w:r w:rsidRPr="00D4086C">
              <w:rPr>
                <w:color w:val="auto"/>
              </w:rPr>
              <w:t>Aboriginal and Torres Strait Islander organisation).</w:t>
            </w:r>
            <w:r w:rsidRPr="00D4086C">
              <w:rPr>
                <w:rFonts w:cstheme="minorHAnsi"/>
                <w:color w:val="auto"/>
              </w:rPr>
              <w:t xml:space="preserve">  </w:t>
            </w:r>
          </w:p>
        </w:tc>
      </w:tr>
    </w:tbl>
    <w:p w14:paraId="512C03A3" w14:textId="77777777" w:rsidR="002157BE" w:rsidRPr="003444F8" w:rsidRDefault="002157BE" w:rsidP="002157BE">
      <w:pPr>
        <w:spacing w:after="60"/>
        <w:rPr>
          <w:rFonts w:asciiTheme="majorHAnsi" w:hAnsiTheme="majorHAnsi" w:cstheme="minorHAnsi"/>
          <w:color w:val="293F54" w:themeColor="accent5" w:themeTint="E6"/>
          <w:sz w:val="22"/>
          <w:szCs w:val="22"/>
        </w:rPr>
      </w:pPr>
      <w:bookmarkStart w:id="5" w:name="_Grant_Preferencing_Scenario"/>
      <w:bookmarkEnd w:id="5"/>
      <w:r w:rsidRPr="003444F8">
        <w:rPr>
          <w:rFonts w:eastAsia="Times New Roman"/>
          <w:color w:val="293F54" w:themeColor="accent5" w:themeTint="E6"/>
          <w:lang w:eastAsia="en-AU"/>
        </w:rPr>
        <w:br w:type="page"/>
      </w:r>
    </w:p>
    <w:p w14:paraId="209457B0" w14:textId="77777777" w:rsidR="002157BE" w:rsidRPr="00D4086C" w:rsidRDefault="002157BE" w:rsidP="002157BE">
      <w:pPr>
        <w:pStyle w:val="Heading1"/>
        <w:rPr>
          <w:color w:val="auto"/>
        </w:rPr>
      </w:pPr>
      <w:bookmarkStart w:id="6" w:name="_Examples_of_Preferenced"/>
      <w:bookmarkStart w:id="7" w:name="_Attachment_B:_Examples"/>
      <w:bookmarkEnd w:id="6"/>
      <w:bookmarkEnd w:id="7"/>
      <w:r w:rsidRPr="00D4086C">
        <w:rPr>
          <w:color w:val="auto"/>
          <w:lang w:eastAsia="en-AU"/>
        </w:rPr>
        <w:lastRenderedPageBreak/>
        <w:t xml:space="preserve">Attachment B: Examples of </w:t>
      </w:r>
      <w:r>
        <w:rPr>
          <w:color w:val="auto"/>
          <w:lang w:eastAsia="en-AU"/>
        </w:rPr>
        <w:t>p</w:t>
      </w:r>
      <w:r w:rsidRPr="00D4086C">
        <w:rPr>
          <w:color w:val="auto"/>
          <w:lang w:eastAsia="en-AU"/>
        </w:rPr>
        <w:t>rioritised</w:t>
      </w:r>
      <w:r>
        <w:rPr>
          <w:color w:val="auto"/>
          <w:lang w:eastAsia="en-AU"/>
        </w:rPr>
        <w:t xml:space="preserve"> g</w:t>
      </w:r>
      <w:r w:rsidRPr="00D4086C">
        <w:rPr>
          <w:color w:val="auto"/>
          <w:lang w:eastAsia="en-AU"/>
        </w:rPr>
        <w:t xml:space="preserve">rants </w:t>
      </w:r>
    </w:p>
    <w:p w14:paraId="75F4BBBF" w14:textId="77777777" w:rsidR="002157BE" w:rsidRDefault="002157BE" w:rsidP="002157BE">
      <w:pPr>
        <w:spacing w:after="60"/>
        <w:rPr>
          <w:rFonts w:asciiTheme="majorHAnsi" w:hAnsiTheme="majorHAnsi"/>
          <w:color w:val="auto"/>
          <w:sz w:val="22"/>
          <w:szCs w:val="22"/>
        </w:rPr>
      </w:pPr>
      <w:r w:rsidRPr="00D4086C">
        <w:rPr>
          <w:rFonts w:asciiTheme="majorHAnsi" w:hAnsiTheme="majorHAnsi"/>
          <w:color w:val="auto"/>
          <w:sz w:val="22"/>
          <w:szCs w:val="22"/>
          <w:lang w:eastAsia="en-AU"/>
        </w:rPr>
        <w:t>Below are</w:t>
      </w:r>
      <w:r w:rsidRPr="00D4086C">
        <w:rPr>
          <w:rFonts w:asciiTheme="majorHAnsi" w:hAnsiTheme="majorHAnsi"/>
          <w:color w:val="auto"/>
          <w:sz w:val="22"/>
          <w:szCs w:val="22"/>
        </w:rPr>
        <w:t xml:space="preserve"> </w:t>
      </w:r>
      <w:r>
        <w:rPr>
          <w:rFonts w:asciiTheme="majorHAnsi" w:hAnsiTheme="majorHAnsi"/>
          <w:color w:val="auto"/>
          <w:sz w:val="22"/>
          <w:szCs w:val="22"/>
        </w:rPr>
        <w:t xml:space="preserve">some existing </w:t>
      </w:r>
      <w:r w:rsidRPr="00D4086C">
        <w:rPr>
          <w:rFonts w:asciiTheme="majorHAnsi" w:hAnsiTheme="majorHAnsi"/>
          <w:color w:val="auto"/>
          <w:sz w:val="22"/>
          <w:szCs w:val="22"/>
        </w:rPr>
        <w:t xml:space="preserve">examples of GOGs that use prioritisation. </w:t>
      </w:r>
    </w:p>
    <w:tbl>
      <w:tblPr>
        <w:tblStyle w:val="ListTable6Colorful-Accent3"/>
        <w:tblW w:w="5261" w:type="pct"/>
        <w:tblLayout w:type="fixed"/>
        <w:tblLook w:val="04A0" w:firstRow="1" w:lastRow="0" w:firstColumn="1" w:lastColumn="0" w:noHBand="0" w:noVBand="1"/>
        <w:tblCaption w:val="Attachment B: Examples of prioritised grants"/>
        <w:tblDescription w:val="Below are some existing examples of GoGs that use prioritisation."/>
      </w:tblPr>
      <w:tblGrid>
        <w:gridCol w:w="1134"/>
        <w:gridCol w:w="3401"/>
        <w:gridCol w:w="1875"/>
        <w:gridCol w:w="1924"/>
        <w:gridCol w:w="2403"/>
      </w:tblGrid>
      <w:tr w:rsidR="00802DEB" w:rsidRPr="003902B9" w14:paraId="75B1F714" w14:textId="77777777" w:rsidTr="007B2283">
        <w:trPr>
          <w:cnfStyle w:val="100000000000" w:firstRow="1" w:lastRow="0" w:firstColumn="0" w:lastColumn="0" w:oddVBand="0" w:evenVBand="0" w:oddHBand="0" w:evenHBand="0" w:firstRowFirstColumn="0" w:firstRowLastColumn="0" w:lastRowFirstColumn="0" w:lastRowLastColumn="0"/>
          <w:trHeight w:val="806"/>
          <w:tblHeader/>
        </w:trPr>
        <w:tc>
          <w:tcPr>
            <w:cnfStyle w:val="001000000000" w:firstRow="0" w:lastRow="0" w:firstColumn="1" w:lastColumn="0" w:oddVBand="0" w:evenVBand="0" w:oddHBand="0" w:evenHBand="0" w:firstRowFirstColumn="0" w:firstRowLastColumn="0" w:lastRowFirstColumn="0" w:lastRowLastColumn="0"/>
            <w:tcW w:w="528" w:type="pct"/>
            <w:vAlign w:val="center"/>
            <w:hideMark/>
          </w:tcPr>
          <w:p w14:paraId="64ACD50E" w14:textId="77777777" w:rsidR="00802DEB" w:rsidRPr="004058A6" w:rsidRDefault="00802DEB" w:rsidP="009E46E8">
            <w:pPr>
              <w:jc w:val="center"/>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GOG #</w:t>
            </w:r>
          </w:p>
        </w:tc>
        <w:tc>
          <w:tcPr>
            <w:tcW w:w="1584" w:type="pct"/>
            <w:vAlign w:val="center"/>
            <w:hideMark/>
          </w:tcPr>
          <w:p w14:paraId="55767604"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GOG Name</w:t>
            </w:r>
          </w:p>
        </w:tc>
        <w:tc>
          <w:tcPr>
            <w:tcW w:w="873" w:type="pct"/>
            <w:vAlign w:val="center"/>
            <w:hideMark/>
          </w:tcPr>
          <w:p w14:paraId="3C9A61ED"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Agency</w:t>
            </w:r>
          </w:p>
        </w:tc>
        <w:tc>
          <w:tcPr>
            <w:tcW w:w="896" w:type="pct"/>
          </w:tcPr>
          <w:p w14:paraId="09AB9F36"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Grant Selection Type</w:t>
            </w:r>
          </w:p>
        </w:tc>
        <w:tc>
          <w:tcPr>
            <w:tcW w:w="1119" w:type="pct"/>
          </w:tcPr>
          <w:p w14:paraId="1807937E"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Prioritisation Practice</w:t>
            </w:r>
          </w:p>
        </w:tc>
      </w:tr>
      <w:tr w:rsidR="00802DEB" w:rsidRPr="003902B9" w14:paraId="2E71B735"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47609DD8" w14:textId="77777777" w:rsidR="00802DEB" w:rsidRPr="003902B9" w:rsidRDefault="00802DEB" w:rsidP="009E46E8">
            <w:pPr>
              <w:rPr>
                <w:rFonts w:asciiTheme="majorHAnsi" w:eastAsia="Times New Roman" w:hAnsiTheme="majorHAnsi" w:cstheme="minorHAnsi"/>
                <w:b w:val="0"/>
                <w:color w:val="auto"/>
                <w:sz w:val="22"/>
                <w:szCs w:val="22"/>
                <w:u w:val="single"/>
                <w:lang w:eastAsia="en-AU"/>
              </w:rPr>
            </w:pPr>
            <w:hyperlink r:id="rId33" w:history="1">
              <w:r w:rsidRPr="00687F77">
                <w:rPr>
                  <w:rStyle w:val="Hyperlink"/>
                  <w:rFonts w:asciiTheme="majorHAnsi" w:eastAsia="Times New Roman" w:hAnsiTheme="majorHAnsi" w:cstheme="minorHAnsi"/>
                  <w:color w:val="auto"/>
                  <w:sz w:val="22"/>
                  <w:szCs w:val="22"/>
                  <w:lang w:eastAsia="en-AU"/>
                </w:rPr>
                <w:t>GO4807</w:t>
              </w:r>
            </w:hyperlink>
          </w:p>
        </w:tc>
        <w:tc>
          <w:tcPr>
            <w:tcW w:w="1584" w:type="pct"/>
            <w:vAlign w:val="center"/>
          </w:tcPr>
          <w:p w14:paraId="609450BE"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 xml:space="preserve">Tailored Assistance Employment Grants </w:t>
            </w:r>
          </w:p>
        </w:tc>
        <w:tc>
          <w:tcPr>
            <w:tcW w:w="873" w:type="pct"/>
            <w:vAlign w:val="center"/>
          </w:tcPr>
          <w:p w14:paraId="34EA6ABB"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NIAA</w:t>
            </w:r>
          </w:p>
        </w:tc>
        <w:tc>
          <w:tcPr>
            <w:tcW w:w="896" w:type="pct"/>
          </w:tcPr>
          <w:p w14:paraId="200D5C61" w14:textId="77777777" w:rsidR="00802DEB" w:rsidRPr="009F4D25"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9F4D25">
              <w:rPr>
                <w:rFonts w:asciiTheme="majorHAnsi" w:eastAsia="Times New Roman" w:hAnsiTheme="majorHAnsi" w:cstheme="minorHAnsi"/>
                <w:color w:val="auto"/>
                <w:sz w:val="22"/>
                <w:szCs w:val="22"/>
                <w:lang w:eastAsia="en-AU"/>
              </w:rPr>
              <w:t>Open Competitive</w:t>
            </w:r>
          </w:p>
        </w:tc>
        <w:tc>
          <w:tcPr>
            <w:tcW w:w="1119" w:type="pct"/>
          </w:tcPr>
          <w:p w14:paraId="3B9DC3EA" w14:textId="77777777" w:rsidR="00802DEB" w:rsidRPr="009F4D25"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9F4D25">
              <w:rPr>
                <w:rFonts w:asciiTheme="majorHAnsi" w:eastAsia="Times New Roman" w:hAnsiTheme="majorHAnsi" w:cstheme="minorHAnsi"/>
                <w:color w:val="auto"/>
                <w:sz w:val="22"/>
                <w:szCs w:val="22"/>
                <w:lang w:eastAsia="en-AU"/>
              </w:rPr>
              <w:t>Assessment</w:t>
            </w:r>
          </w:p>
        </w:tc>
      </w:tr>
      <w:tr w:rsidR="00802DEB" w:rsidRPr="003902B9" w14:paraId="5B36844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5B8E45DE" w14:textId="77777777" w:rsidR="00802DEB" w:rsidRPr="003902B9" w:rsidRDefault="00802DEB" w:rsidP="009E46E8">
            <w:pPr>
              <w:rPr>
                <w:rFonts w:asciiTheme="majorHAnsi" w:eastAsia="Times New Roman" w:hAnsiTheme="majorHAnsi" w:cstheme="minorHAnsi"/>
                <w:b w:val="0"/>
                <w:color w:val="auto"/>
                <w:sz w:val="22"/>
                <w:szCs w:val="22"/>
                <w:u w:val="single"/>
                <w:lang w:eastAsia="en-AU"/>
              </w:rPr>
            </w:pPr>
            <w:hyperlink r:id="rId34" w:history="1">
              <w:r w:rsidRPr="00687F77">
                <w:rPr>
                  <w:rFonts w:asciiTheme="majorHAnsi" w:eastAsia="Times New Roman" w:hAnsiTheme="majorHAnsi" w:cstheme="minorHAnsi"/>
                  <w:color w:val="auto"/>
                  <w:sz w:val="22"/>
                  <w:szCs w:val="22"/>
                  <w:u w:val="single"/>
                  <w:lang w:eastAsia="en-AU"/>
                </w:rPr>
                <w:t>GO5529</w:t>
              </w:r>
            </w:hyperlink>
          </w:p>
        </w:tc>
        <w:tc>
          <w:tcPr>
            <w:tcW w:w="1584" w:type="pct"/>
            <w:vAlign w:val="center"/>
          </w:tcPr>
          <w:p w14:paraId="7C1B38C6" w14:textId="77777777" w:rsidR="00802DEB" w:rsidRPr="000A149B"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 xml:space="preserve">IAS Skills and Employment Program </w:t>
            </w:r>
          </w:p>
        </w:tc>
        <w:tc>
          <w:tcPr>
            <w:tcW w:w="873" w:type="pct"/>
            <w:vAlign w:val="center"/>
          </w:tcPr>
          <w:p w14:paraId="3B5E100C"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NIAA</w:t>
            </w:r>
          </w:p>
        </w:tc>
        <w:tc>
          <w:tcPr>
            <w:tcW w:w="896" w:type="pct"/>
          </w:tcPr>
          <w:p w14:paraId="229A699D" w14:textId="77777777" w:rsidR="00802DEB" w:rsidRPr="00F025BE"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025BE">
              <w:rPr>
                <w:rFonts w:asciiTheme="majorHAnsi" w:eastAsia="Times New Roman" w:hAnsiTheme="majorHAnsi" w:cstheme="minorHAnsi"/>
                <w:color w:val="auto"/>
                <w:sz w:val="22"/>
                <w:szCs w:val="22"/>
                <w:lang w:eastAsia="en-AU"/>
              </w:rPr>
              <w:t xml:space="preserve">Open Competitive </w:t>
            </w:r>
          </w:p>
        </w:tc>
        <w:tc>
          <w:tcPr>
            <w:tcW w:w="1119" w:type="pct"/>
          </w:tcPr>
          <w:p w14:paraId="18D269EE" w14:textId="77777777" w:rsidR="00802DEB" w:rsidRPr="00A87764"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A87764">
              <w:rPr>
                <w:rFonts w:asciiTheme="majorHAnsi" w:eastAsia="Times New Roman" w:hAnsiTheme="majorHAnsi" w:cstheme="minorHAnsi"/>
                <w:color w:val="auto"/>
                <w:sz w:val="22"/>
                <w:szCs w:val="22"/>
                <w:lang w:eastAsia="en-AU"/>
              </w:rPr>
              <w:t>Criteria and Assessment</w:t>
            </w:r>
          </w:p>
        </w:tc>
      </w:tr>
      <w:tr w:rsidR="00802DEB" w:rsidRPr="003902B9" w14:paraId="4CAE5476"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hideMark/>
          </w:tcPr>
          <w:p w14:paraId="557DC088" w14:textId="77777777" w:rsidR="00802DEB" w:rsidRPr="003902B9" w:rsidRDefault="00802DEB" w:rsidP="009E46E8">
            <w:pPr>
              <w:rPr>
                <w:rFonts w:asciiTheme="majorHAnsi" w:eastAsia="Times New Roman" w:hAnsiTheme="majorHAnsi" w:cstheme="minorHAnsi"/>
                <w:b w:val="0"/>
                <w:color w:val="auto"/>
                <w:sz w:val="22"/>
                <w:szCs w:val="22"/>
                <w:u w:val="single"/>
                <w:lang w:eastAsia="en-AU"/>
              </w:rPr>
            </w:pPr>
            <w:hyperlink r:id="rId35" w:history="1">
              <w:r w:rsidRPr="00687F77">
                <w:rPr>
                  <w:rFonts w:asciiTheme="majorHAnsi" w:eastAsia="Times New Roman" w:hAnsiTheme="majorHAnsi" w:cstheme="minorHAnsi"/>
                  <w:color w:val="auto"/>
                  <w:sz w:val="22"/>
                  <w:szCs w:val="22"/>
                  <w:u w:val="single"/>
                  <w:lang w:eastAsia="en-AU"/>
                </w:rPr>
                <w:t>GO5695</w:t>
              </w:r>
            </w:hyperlink>
          </w:p>
        </w:tc>
        <w:tc>
          <w:tcPr>
            <w:tcW w:w="1584" w:type="pct"/>
            <w:vAlign w:val="center"/>
          </w:tcPr>
          <w:p w14:paraId="544FFD58"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Indigenous Languages and Arts (ILA) Strategic Projects 2022-23</w:t>
            </w:r>
          </w:p>
        </w:tc>
        <w:tc>
          <w:tcPr>
            <w:tcW w:w="873" w:type="pct"/>
            <w:vAlign w:val="center"/>
          </w:tcPr>
          <w:p w14:paraId="1BB6EDF1"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Department of Infrastructure, Transport, Regional Development, Communications and the Arts (DITRDCA)</w:t>
            </w:r>
          </w:p>
        </w:tc>
        <w:tc>
          <w:tcPr>
            <w:tcW w:w="896" w:type="pct"/>
          </w:tcPr>
          <w:p w14:paraId="53D2E947" w14:textId="37494A59" w:rsidR="00802DEB" w:rsidRPr="00C31E08"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025BE">
              <w:rPr>
                <w:rFonts w:asciiTheme="majorHAnsi" w:eastAsia="Times New Roman" w:hAnsiTheme="majorHAnsi" w:cstheme="minorHAnsi"/>
                <w:color w:val="auto"/>
                <w:sz w:val="22"/>
                <w:szCs w:val="22"/>
                <w:lang w:eastAsia="en-AU"/>
              </w:rPr>
              <w:t>Open Competitive</w:t>
            </w:r>
            <w:r>
              <w:rPr>
                <w:rFonts w:asciiTheme="majorHAnsi" w:eastAsia="Times New Roman" w:hAnsiTheme="majorHAnsi" w:cstheme="minorHAnsi"/>
                <w:color w:val="auto"/>
                <w:sz w:val="22"/>
                <w:szCs w:val="22"/>
                <w:lang w:eastAsia="en-AU"/>
              </w:rPr>
              <w:t xml:space="preserve"> and </w:t>
            </w:r>
            <w:r w:rsidR="00FF1E28">
              <w:rPr>
                <w:rFonts w:asciiTheme="majorHAnsi" w:eastAsia="Times New Roman" w:hAnsiTheme="majorHAnsi" w:cstheme="minorHAnsi"/>
                <w:color w:val="auto"/>
                <w:sz w:val="22"/>
                <w:szCs w:val="22"/>
                <w:lang w:eastAsia="en-AU"/>
              </w:rPr>
              <w:t>Targeted</w:t>
            </w:r>
            <w:r>
              <w:rPr>
                <w:rFonts w:asciiTheme="majorHAnsi" w:eastAsia="Times New Roman" w:hAnsiTheme="majorHAnsi" w:cstheme="minorHAnsi"/>
                <w:color w:val="auto"/>
                <w:sz w:val="22"/>
                <w:szCs w:val="22"/>
                <w:lang w:eastAsia="en-AU"/>
              </w:rPr>
              <w:t xml:space="preserve"> Competitive </w:t>
            </w:r>
          </w:p>
        </w:tc>
        <w:tc>
          <w:tcPr>
            <w:tcW w:w="1119" w:type="pct"/>
          </w:tcPr>
          <w:p w14:paraId="5D4C2182" w14:textId="77777777" w:rsidR="00802DEB" w:rsidRPr="00F4523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4523B">
              <w:rPr>
                <w:rFonts w:asciiTheme="majorHAnsi" w:eastAsia="Times New Roman" w:hAnsiTheme="majorHAnsi" w:cstheme="minorHAnsi"/>
                <w:color w:val="auto"/>
                <w:sz w:val="22"/>
                <w:szCs w:val="22"/>
                <w:lang w:eastAsia="en-AU"/>
              </w:rPr>
              <w:t>Assessment</w:t>
            </w:r>
          </w:p>
        </w:tc>
      </w:tr>
      <w:tr w:rsidR="00802DEB" w:rsidRPr="003902B9" w14:paraId="5CF3E0D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56EB23B5" w14:textId="77777777" w:rsidR="00802DEB" w:rsidRPr="003902B9" w:rsidRDefault="00802DEB" w:rsidP="009E46E8">
            <w:pPr>
              <w:rPr>
                <w:rFonts w:asciiTheme="majorHAnsi" w:eastAsia="Times New Roman" w:hAnsiTheme="majorHAnsi" w:cstheme="minorHAnsi"/>
                <w:b w:val="0"/>
                <w:color w:val="auto"/>
                <w:sz w:val="22"/>
                <w:szCs w:val="22"/>
                <w:u w:val="single"/>
                <w:lang w:eastAsia="en-AU"/>
              </w:rPr>
            </w:pPr>
            <w:hyperlink r:id="rId36" w:history="1">
              <w:r w:rsidRPr="00687F77">
                <w:rPr>
                  <w:rStyle w:val="Hyperlink"/>
                  <w:rFonts w:asciiTheme="majorHAnsi" w:eastAsia="Times New Roman" w:hAnsiTheme="majorHAnsi" w:cstheme="minorHAnsi"/>
                  <w:color w:val="auto"/>
                  <w:sz w:val="22"/>
                  <w:szCs w:val="22"/>
                  <w:lang w:eastAsia="en-AU"/>
                </w:rPr>
                <w:t>GO6053</w:t>
              </w:r>
            </w:hyperlink>
          </w:p>
        </w:tc>
        <w:tc>
          <w:tcPr>
            <w:tcW w:w="1584" w:type="pct"/>
            <w:vAlign w:val="center"/>
          </w:tcPr>
          <w:p w14:paraId="15C5C5BA" w14:textId="77777777" w:rsidR="00802DEB" w:rsidRPr="00A117B7"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2023-24 Indigenous Languages and Arts (ILA) Program Guidelines</w:t>
            </w:r>
          </w:p>
        </w:tc>
        <w:tc>
          <w:tcPr>
            <w:tcW w:w="873" w:type="pct"/>
            <w:tcBorders>
              <w:bottom w:val="nil"/>
            </w:tcBorders>
            <w:vAlign w:val="center"/>
          </w:tcPr>
          <w:p w14:paraId="5F3F246B"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DITRDCA</w:t>
            </w:r>
          </w:p>
        </w:tc>
        <w:tc>
          <w:tcPr>
            <w:tcW w:w="896" w:type="pct"/>
          </w:tcPr>
          <w:p w14:paraId="14651163" w14:textId="1100B25E" w:rsidR="00802DEB" w:rsidRPr="00ED697E"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A27806">
              <w:rPr>
                <w:rFonts w:asciiTheme="majorHAnsi" w:eastAsia="Times New Roman" w:hAnsiTheme="majorHAnsi" w:cstheme="minorHAnsi"/>
                <w:color w:val="auto"/>
                <w:sz w:val="22"/>
                <w:szCs w:val="22"/>
                <w:lang w:eastAsia="en-AU"/>
              </w:rPr>
              <w:t>Open Competitive</w:t>
            </w:r>
            <w:r>
              <w:rPr>
                <w:rFonts w:asciiTheme="majorHAnsi" w:eastAsia="Times New Roman" w:hAnsiTheme="majorHAnsi" w:cstheme="minorHAnsi"/>
                <w:color w:val="auto"/>
                <w:sz w:val="22"/>
                <w:szCs w:val="22"/>
                <w:lang w:eastAsia="en-AU"/>
              </w:rPr>
              <w:t xml:space="preserve"> and </w:t>
            </w:r>
            <w:r w:rsidR="00FF1E28">
              <w:rPr>
                <w:rFonts w:asciiTheme="majorHAnsi" w:eastAsia="Times New Roman" w:hAnsiTheme="majorHAnsi" w:cstheme="minorHAnsi"/>
                <w:color w:val="auto"/>
                <w:sz w:val="22"/>
                <w:szCs w:val="22"/>
                <w:lang w:eastAsia="en-AU"/>
              </w:rPr>
              <w:t>Targeted</w:t>
            </w:r>
            <w:r>
              <w:rPr>
                <w:rFonts w:asciiTheme="majorHAnsi" w:eastAsia="Times New Roman" w:hAnsiTheme="majorHAnsi" w:cstheme="minorHAnsi"/>
                <w:color w:val="auto"/>
                <w:sz w:val="22"/>
                <w:szCs w:val="22"/>
                <w:lang w:eastAsia="en-AU"/>
              </w:rPr>
              <w:t xml:space="preserve"> Competitive</w:t>
            </w:r>
          </w:p>
        </w:tc>
        <w:tc>
          <w:tcPr>
            <w:tcW w:w="1119" w:type="pct"/>
          </w:tcPr>
          <w:p w14:paraId="0458C7C1" w14:textId="77777777" w:rsidR="00802DEB" w:rsidRPr="00C63811"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 xml:space="preserve">Assessment </w:t>
            </w:r>
          </w:p>
        </w:tc>
      </w:tr>
      <w:tr w:rsidR="00802DEB" w:rsidRPr="003902B9" w14:paraId="222BECC9"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1305C558" w14:textId="6B768866" w:rsidR="00802DEB" w:rsidRPr="003902B9" w:rsidRDefault="00802DEB" w:rsidP="009E46E8">
            <w:pPr>
              <w:rPr>
                <w:rFonts w:asciiTheme="majorHAnsi" w:eastAsia="Times New Roman" w:hAnsiTheme="majorHAnsi" w:cstheme="minorHAnsi"/>
                <w:b w:val="0"/>
                <w:color w:val="auto"/>
                <w:sz w:val="22"/>
                <w:szCs w:val="22"/>
                <w:u w:val="single"/>
                <w:lang w:eastAsia="en-AU"/>
              </w:rPr>
            </w:pPr>
            <w:r w:rsidRPr="00A5668C">
              <w:rPr>
                <w:rStyle w:val="Hyperlink"/>
                <w:rFonts w:eastAsia="Times New Roman"/>
                <w:color w:val="auto"/>
                <w:lang w:eastAsia="en-AU"/>
              </w:rPr>
              <w:br/>
            </w:r>
            <w:hyperlink r:id="rId37" w:history="1">
              <w:r w:rsidRPr="00A5668C">
                <w:rPr>
                  <w:rStyle w:val="Hyperlink"/>
                  <w:rFonts w:asciiTheme="majorHAnsi" w:eastAsia="Times New Roman" w:hAnsiTheme="majorHAnsi" w:cstheme="minorHAnsi"/>
                  <w:color w:val="auto"/>
                  <w:sz w:val="22"/>
                  <w:szCs w:val="22"/>
                  <w:lang w:eastAsia="en-AU"/>
                </w:rPr>
                <w:t>GO5472</w:t>
              </w:r>
            </w:hyperlink>
          </w:p>
        </w:tc>
        <w:tc>
          <w:tcPr>
            <w:tcW w:w="1584" w:type="pct"/>
            <w:vAlign w:val="center"/>
          </w:tcPr>
          <w:p w14:paraId="5F7072A5"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National First Nations Flexible Aged Care Program 2021-22 Residential – Expansion Round</w:t>
            </w:r>
          </w:p>
        </w:tc>
        <w:tc>
          <w:tcPr>
            <w:tcW w:w="873" w:type="pct"/>
            <w:tcBorders>
              <w:top w:val="nil"/>
              <w:bottom w:val="nil"/>
            </w:tcBorders>
            <w:vAlign w:val="center"/>
          </w:tcPr>
          <w:p w14:paraId="77EB0E30"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Department of Health and Aged Care (DoHAC)</w:t>
            </w:r>
          </w:p>
        </w:tc>
        <w:tc>
          <w:tcPr>
            <w:tcW w:w="896" w:type="pct"/>
          </w:tcPr>
          <w:p w14:paraId="0F8C3702" w14:textId="182D187D" w:rsidR="00802DEB" w:rsidRPr="00A27806" w:rsidRDefault="00FF1E28"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802DEB">
              <w:rPr>
                <w:rFonts w:asciiTheme="majorHAnsi" w:eastAsia="Times New Roman" w:hAnsiTheme="majorHAnsi" w:cstheme="minorHAnsi"/>
                <w:color w:val="auto"/>
                <w:sz w:val="22"/>
                <w:szCs w:val="22"/>
                <w:lang w:eastAsia="en-AU"/>
              </w:rPr>
              <w:t xml:space="preserve"> Competitive</w:t>
            </w:r>
          </w:p>
        </w:tc>
        <w:tc>
          <w:tcPr>
            <w:tcW w:w="1119" w:type="pct"/>
          </w:tcPr>
          <w:p w14:paraId="11270D0A" w14:textId="77777777" w:rsidR="00802DEB" w:rsidRPr="00DC0322"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Criteria</w:t>
            </w:r>
          </w:p>
        </w:tc>
      </w:tr>
      <w:tr w:rsidR="00802DEB" w:rsidRPr="003902B9" w14:paraId="003A9860"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0A279EAF" w14:textId="653DAB0A" w:rsidR="00802DEB" w:rsidRPr="00A5668C" w:rsidRDefault="00802DEB" w:rsidP="009E46E8">
            <w:pPr>
              <w:rPr>
                <w:rStyle w:val="Hyperlink"/>
                <w:rFonts w:eastAsia="Times New Roman" w:cstheme="minorHAnsi"/>
                <w:color w:val="auto"/>
                <w:lang w:eastAsia="en-AU"/>
              </w:rPr>
            </w:pPr>
            <w:hyperlink r:id="rId38" w:history="1">
              <w:r w:rsidRPr="00A5668C">
                <w:rPr>
                  <w:rStyle w:val="Hyperlink"/>
                  <w:rFonts w:asciiTheme="majorHAnsi" w:eastAsia="Times New Roman" w:hAnsiTheme="majorHAnsi" w:cstheme="minorHAnsi"/>
                  <w:color w:val="auto"/>
                  <w:sz w:val="22"/>
                  <w:szCs w:val="22"/>
                  <w:lang w:eastAsia="en-AU"/>
                </w:rPr>
                <w:t>GO5829</w:t>
              </w:r>
            </w:hyperlink>
          </w:p>
        </w:tc>
        <w:tc>
          <w:tcPr>
            <w:tcW w:w="1584" w:type="pct"/>
            <w:vAlign w:val="center"/>
          </w:tcPr>
          <w:p w14:paraId="2CFF53E0" w14:textId="77777777" w:rsidR="00802DEB" w:rsidRPr="003902B9"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Native Title Anthropologist Grant Program 2022 to 2025</w:t>
            </w:r>
          </w:p>
        </w:tc>
        <w:tc>
          <w:tcPr>
            <w:tcW w:w="873" w:type="pct"/>
            <w:tcBorders>
              <w:top w:val="nil"/>
            </w:tcBorders>
            <w:vAlign w:val="center"/>
          </w:tcPr>
          <w:p w14:paraId="5A4189F8" w14:textId="77777777" w:rsidR="00802DEB" w:rsidRPr="003902B9"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8A2CB3">
              <w:rPr>
                <w:rFonts w:asciiTheme="majorHAnsi" w:hAnsiTheme="majorHAnsi" w:cstheme="minorHAnsi"/>
                <w:color w:val="auto"/>
                <w:sz w:val="22"/>
                <w:szCs w:val="22"/>
              </w:rPr>
              <w:t>Attorney-General’s Department</w:t>
            </w:r>
          </w:p>
        </w:tc>
        <w:tc>
          <w:tcPr>
            <w:tcW w:w="896" w:type="pct"/>
          </w:tcPr>
          <w:p w14:paraId="1F56E7E1" w14:textId="77777777" w:rsidR="00802DEB" w:rsidRPr="000A149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competitive</w:t>
            </w:r>
          </w:p>
        </w:tc>
        <w:tc>
          <w:tcPr>
            <w:tcW w:w="1119" w:type="pct"/>
          </w:tcPr>
          <w:p w14:paraId="640A7515"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EE6F2E">
              <w:rPr>
                <w:rFonts w:asciiTheme="majorHAnsi" w:eastAsia="Times New Roman" w:hAnsiTheme="majorHAnsi" w:cstheme="minorHAnsi"/>
                <w:color w:val="auto"/>
                <w:sz w:val="22"/>
                <w:szCs w:val="22"/>
                <w:lang w:eastAsia="en-AU"/>
              </w:rPr>
              <w:t>Eligibility and Assessment</w:t>
            </w:r>
            <w:r>
              <w:rPr>
                <w:rFonts w:asciiTheme="majorHAnsi" w:eastAsia="Times New Roman" w:hAnsiTheme="majorHAnsi" w:cstheme="minorHAnsi"/>
                <w:color w:val="auto"/>
                <w:sz w:val="22"/>
                <w:szCs w:val="22"/>
                <w:lang w:eastAsia="en-AU"/>
              </w:rPr>
              <w:t xml:space="preserve"> (by panel)</w:t>
            </w:r>
            <w:r w:rsidRPr="00EE6F2E">
              <w:rPr>
                <w:rFonts w:asciiTheme="majorHAnsi" w:eastAsia="Times New Roman" w:hAnsiTheme="majorHAnsi" w:cstheme="minorHAnsi"/>
                <w:color w:val="auto"/>
                <w:sz w:val="22"/>
                <w:szCs w:val="22"/>
                <w:lang w:eastAsia="en-AU"/>
              </w:rPr>
              <w:t xml:space="preserve"> </w:t>
            </w:r>
          </w:p>
        </w:tc>
      </w:tr>
      <w:tr w:rsidR="00802DEB" w:rsidRPr="003902B9" w14:paraId="705AAC2A"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62F44402" w14:textId="75755155" w:rsidR="00802DEB" w:rsidRPr="007556F0" w:rsidRDefault="00802DEB" w:rsidP="009E46E8">
            <w:pPr>
              <w:rPr>
                <w:rStyle w:val="Hyperlink"/>
                <w:rFonts w:eastAsia="Times New Roman" w:cstheme="minorHAnsi"/>
                <w:color w:val="auto"/>
                <w:lang w:eastAsia="en-AU"/>
              </w:rPr>
            </w:pPr>
            <w:hyperlink r:id="rId39" w:history="1">
              <w:r w:rsidRPr="00680C0C">
                <w:rPr>
                  <w:rStyle w:val="Hyperlink"/>
                  <w:rFonts w:asciiTheme="majorHAnsi" w:eastAsia="Times New Roman" w:hAnsiTheme="majorHAnsi" w:cstheme="minorHAnsi"/>
                  <w:color w:val="auto"/>
                  <w:sz w:val="22"/>
                  <w:szCs w:val="22"/>
                  <w:lang w:eastAsia="en-AU"/>
                </w:rPr>
                <w:t>GO1300</w:t>
              </w:r>
            </w:hyperlink>
          </w:p>
        </w:tc>
        <w:tc>
          <w:tcPr>
            <w:tcW w:w="1584" w:type="pct"/>
          </w:tcPr>
          <w:p w14:paraId="4FE1F637" w14:textId="77777777" w:rsidR="00802DEB" w:rsidRPr="00C9325A"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16"/>
                <w:szCs w:val="16"/>
                <w:lang w:eastAsia="en-AU"/>
              </w:rPr>
            </w:pPr>
            <w:r w:rsidRPr="00103447">
              <w:rPr>
                <w:rFonts w:asciiTheme="majorHAnsi" w:eastAsia="Times New Roman" w:hAnsiTheme="majorHAnsi" w:cstheme="minorHAnsi"/>
                <w:color w:val="auto"/>
                <w:sz w:val="22"/>
                <w:szCs w:val="22"/>
                <w:lang w:eastAsia="en-AU"/>
              </w:rPr>
              <w:t>Aboriginal and Torres Strait Islander Health Professional Organisations</w:t>
            </w:r>
          </w:p>
        </w:tc>
        <w:tc>
          <w:tcPr>
            <w:tcW w:w="873" w:type="pct"/>
            <w:vAlign w:val="center"/>
          </w:tcPr>
          <w:p w14:paraId="2AAF7D04" w14:textId="77777777" w:rsidR="00802DEB" w:rsidRPr="008A2CB3"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8A2CB3">
              <w:rPr>
                <w:rFonts w:asciiTheme="majorHAnsi" w:eastAsia="Times New Roman" w:hAnsiTheme="majorHAnsi" w:cstheme="minorHAnsi"/>
                <w:color w:val="auto"/>
                <w:sz w:val="22"/>
                <w:szCs w:val="22"/>
                <w:lang w:eastAsia="en-AU"/>
              </w:rPr>
              <w:t>DoHAC</w:t>
            </w:r>
          </w:p>
        </w:tc>
        <w:tc>
          <w:tcPr>
            <w:tcW w:w="896" w:type="pct"/>
          </w:tcPr>
          <w:p w14:paraId="295BBE8C" w14:textId="77777777" w:rsidR="00802DEB" w:rsidRPr="000A149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Closed Non-Competitive</w:t>
            </w:r>
          </w:p>
        </w:tc>
        <w:tc>
          <w:tcPr>
            <w:tcW w:w="1119" w:type="pct"/>
          </w:tcPr>
          <w:p w14:paraId="3FA9CE43"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r w:rsidR="00802DEB" w:rsidRPr="003902B9" w14:paraId="5C53113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tcPr>
          <w:p w14:paraId="618BC091" w14:textId="405A1D76" w:rsidR="00802DEB" w:rsidRPr="00B01329" w:rsidRDefault="00802DEB" w:rsidP="009E46E8">
            <w:pPr>
              <w:rPr>
                <w:rStyle w:val="Hyperlink"/>
                <w:rFonts w:asciiTheme="majorHAnsi" w:eastAsia="Times New Roman" w:hAnsiTheme="majorHAnsi" w:cstheme="minorHAnsi"/>
                <w:color w:val="auto"/>
                <w:sz w:val="22"/>
                <w:szCs w:val="22"/>
                <w:lang w:eastAsia="en-AU"/>
              </w:rPr>
            </w:pPr>
            <w:hyperlink r:id="rId40" w:history="1">
              <w:r w:rsidRPr="00A91F8D">
                <w:rPr>
                  <w:rStyle w:val="Hyperlink"/>
                  <w:rFonts w:asciiTheme="majorHAnsi" w:eastAsia="Times New Roman" w:hAnsiTheme="majorHAnsi" w:cstheme="minorHAnsi"/>
                  <w:color w:val="auto"/>
                  <w:sz w:val="22"/>
                  <w:szCs w:val="22"/>
                  <w:lang w:eastAsia="en-AU"/>
                </w:rPr>
                <w:t>GO167</w:t>
              </w:r>
            </w:hyperlink>
          </w:p>
        </w:tc>
        <w:tc>
          <w:tcPr>
            <w:tcW w:w="1584" w:type="pct"/>
          </w:tcPr>
          <w:p w14:paraId="49675783" w14:textId="77777777" w:rsidR="00802DEB" w:rsidRPr="00103447"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National Aboriginal and Torres Strait Islander Flexible Aged Care</w:t>
            </w:r>
            <w:r w:rsidRPr="00CD3D83">
              <w:rPr>
                <w:rFonts w:asciiTheme="majorHAnsi" w:hAnsiTheme="majorHAnsi" w:cstheme="minorHAnsi"/>
                <w:color w:val="213242"/>
                <w:sz w:val="22"/>
                <w:szCs w:val="22"/>
                <w:highlight w:val="lightGray"/>
                <w:shd w:val="clear" w:color="auto" w:fill="F3EDD7"/>
              </w:rPr>
              <w:t xml:space="preserve"> </w:t>
            </w:r>
            <w:r w:rsidRPr="00103447">
              <w:rPr>
                <w:rFonts w:asciiTheme="majorHAnsi" w:eastAsia="Times New Roman" w:hAnsiTheme="majorHAnsi" w:cstheme="minorHAnsi"/>
                <w:color w:val="auto"/>
                <w:sz w:val="22"/>
                <w:szCs w:val="22"/>
                <w:lang w:eastAsia="en-AU"/>
              </w:rPr>
              <w:t>Program - Expansion Round</w:t>
            </w:r>
          </w:p>
        </w:tc>
        <w:tc>
          <w:tcPr>
            <w:tcW w:w="873" w:type="pct"/>
            <w:vAlign w:val="center"/>
          </w:tcPr>
          <w:p w14:paraId="1C951874" w14:textId="77777777" w:rsidR="00802DEB" w:rsidRPr="008A2CB3"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hAnsiTheme="majorHAnsi" w:cstheme="minorHAnsi"/>
                <w:color w:val="213242"/>
                <w:sz w:val="22"/>
                <w:szCs w:val="22"/>
                <w:shd w:val="clear" w:color="auto" w:fill="FFFFFF"/>
              </w:rPr>
              <w:t>DoHAC</w:t>
            </w:r>
          </w:p>
        </w:tc>
        <w:tc>
          <w:tcPr>
            <w:tcW w:w="896" w:type="pct"/>
          </w:tcPr>
          <w:p w14:paraId="1ED7E825" w14:textId="5229B4CD" w:rsidR="00802DEB" w:rsidRDefault="00FF1E28"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802DEB">
              <w:rPr>
                <w:rFonts w:asciiTheme="majorHAnsi" w:eastAsia="Times New Roman" w:hAnsiTheme="majorHAnsi" w:cstheme="minorHAnsi"/>
                <w:color w:val="auto"/>
                <w:sz w:val="22"/>
                <w:szCs w:val="22"/>
                <w:lang w:eastAsia="en-AU"/>
              </w:rPr>
              <w:t xml:space="preserve"> or Restricted Competitive </w:t>
            </w:r>
          </w:p>
        </w:tc>
        <w:tc>
          <w:tcPr>
            <w:tcW w:w="1119" w:type="pct"/>
          </w:tcPr>
          <w:p w14:paraId="5BF18A4A" w14:textId="77777777"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Criteria</w:t>
            </w:r>
          </w:p>
        </w:tc>
      </w:tr>
      <w:tr w:rsidR="00802DEB" w:rsidRPr="003902B9" w14:paraId="3AF07980"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79C89776" w14:textId="1F763165" w:rsidR="00802DEB" w:rsidRPr="00DE7984" w:rsidRDefault="00802DEB" w:rsidP="009E46E8">
            <w:pPr>
              <w:rPr>
                <w:rStyle w:val="Hyperlink"/>
                <w:rFonts w:asciiTheme="majorHAnsi" w:eastAsia="Times New Roman" w:hAnsiTheme="majorHAnsi" w:cstheme="minorHAnsi"/>
                <w:color w:val="auto"/>
                <w:sz w:val="22"/>
                <w:szCs w:val="22"/>
                <w:lang w:eastAsia="en-AU"/>
              </w:rPr>
            </w:pPr>
            <w:hyperlink r:id="rId41" w:history="1">
              <w:r w:rsidRPr="00680C0C">
                <w:rPr>
                  <w:rStyle w:val="Hyperlink"/>
                  <w:rFonts w:asciiTheme="majorHAnsi" w:eastAsia="Times New Roman" w:hAnsiTheme="majorHAnsi" w:cstheme="minorHAnsi"/>
                  <w:color w:val="auto"/>
                  <w:sz w:val="22"/>
                  <w:szCs w:val="22"/>
                  <w:lang w:eastAsia="en-AU"/>
                </w:rPr>
                <w:t>GO6469</w:t>
              </w:r>
            </w:hyperlink>
          </w:p>
        </w:tc>
        <w:tc>
          <w:tcPr>
            <w:tcW w:w="1584" w:type="pct"/>
          </w:tcPr>
          <w:p w14:paraId="1F678F51" w14:textId="77777777" w:rsidR="00802DEB" w:rsidRPr="00103447"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Justice Reinvestment in Central Australia Program – Round 1</w:t>
            </w:r>
          </w:p>
        </w:tc>
        <w:tc>
          <w:tcPr>
            <w:tcW w:w="873" w:type="pct"/>
            <w:vAlign w:val="center"/>
          </w:tcPr>
          <w:p w14:paraId="62F1DD3B"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213242"/>
                <w:sz w:val="22"/>
                <w:szCs w:val="22"/>
                <w:shd w:val="clear" w:color="auto" w:fill="FFFFFF"/>
              </w:rPr>
            </w:pPr>
            <w:r w:rsidRPr="008A2CB3">
              <w:rPr>
                <w:rFonts w:asciiTheme="majorHAnsi" w:hAnsiTheme="majorHAnsi" w:cstheme="minorHAnsi"/>
                <w:color w:val="auto"/>
                <w:sz w:val="22"/>
                <w:szCs w:val="22"/>
              </w:rPr>
              <w:t>Attorney-General’s Department</w:t>
            </w:r>
          </w:p>
        </w:tc>
        <w:tc>
          <w:tcPr>
            <w:tcW w:w="896" w:type="pct"/>
          </w:tcPr>
          <w:p w14:paraId="73C11339"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Non-competitive</w:t>
            </w:r>
          </w:p>
        </w:tc>
        <w:tc>
          <w:tcPr>
            <w:tcW w:w="1119" w:type="pct"/>
          </w:tcPr>
          <w:p w14:paraId="510B5609"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 xml:space="preserve">Eligibility </w:t>
            </w:r>
          </w:p>
        </w:tc>
      </w:tr>
      <w:tr w:rsidR="00802DEB" w:rsidRPr="003902B9" w14:paraId="35D4E548"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tcPr>
          <w:p w14:paraId="3672025C" w14:textId="5F8A47FB" w:rsidR="00802DEB" w:rsidRPr="00BE3763" w:rsidRDefault="00802DEB" w:rsidP="009E46E8">
            <w:pPr>
              <w:rPr>
                <w:rStyle w:val="Hyperlink"/>
                <w:rFonts w:asciiTheme="majorHAnsi" w:eastAsia="Times New Roman" w:hAnsiTheme="majorHAnsi" w:cstheme="minorHAnsi"/>
                <w:color w:val="auto"/>
                <w:sz w:val="22"/>
                <w:szCs w:val="22"/>
                <w:lang w:eastAsia="en-AU"/>
              </w:rPr>
            </w:pPr>
            <w:hyperlink r:id="rId42" w:history="1">
              <w:r w:rsidRPr="00A91F8D">
                <w:rPr>
                  <w:rStyle w:val="Hyperlink"/>
                  <w:rFonts w:asciiTheme="majorHAnsi" w:eastAsia="Times New Roman" w:hAnsiTheme="majorHAnsi" w:cstheme="minorHAnsi"/>
                  <w:color w:val="auto"/>
                  <w:sz w:val="22"/>
                  <w:szCs w:val="22"/>
                  <w:lang w:eastAsia="en-AU"/>
                </w:rPr>
                <w:t>GO6470</w:t>
              </w:r>
            </w:hyperlink>
          </w:p>
        </w:tc>
        <w:tc>
          <w:tcPr>
            <w:tcW w:w="1584" w:type="pct"/>
          </w:tcPr>
          <w:p w14:paraId="4ED15B9D" w14:textId="77777777" w:rsidR="00802DEB"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National Justice Reinvestment Program – Round 1</w:t>
            </w:r>
          </w:p>
        </w:tc>
        <w:tc>
          <w:tcPr>
            <w:tcW w:w="873" w:type="pct"/>
            <w:vAlign w:val="center"/>
          </w:tcPr>
          <w:p w14:paraId="50B467DB" w14:textId="77777777" w:rsidR="00802DEB" w:rsidRPr="008A2CB3"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A2CB3">
              <w:rPr>
                <w:rFonts w:asciiTheme="majorHAnsi" w:hAnsiTheme="majorHAnsi" w:cstheme="minorHAnsi"/>
                <w:color w:val="auto"/>
                <w:sz w:val="22"/>
                <w:szCs w:val="22"/>
              </w:rPr>
              <w:t>Attorney-General’s Department</w:t>
            </w:r>
          </w:p>
        </w:tc>
        <w:tc>
          <w:tcPr>
            <w:tcW w:w="896" w:type="pct"/>
          </w:tcPr>
          <w:p w14:paraId="340123E3" w14:textId="77777777"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Non-competitive</w:t>
            </w:r>
          </w:p>
        </w:tc>
        <w:tc>
          <w:tcPr>
            <w:tcW w:w="1119" w:type="pct"/>
          </w:tcPr>
          <w:p w14:paraId="2ACA8173" w14:textId="2DFD7D01"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r w:rsidR="00B66D2E" w:rsidRPr="003902B9" w14:paraId="650EA4ED"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793A6839" w14:textId="1CC59EB2" w:rsidR="00B66D2E" w:rsidRPr="00600D0F" w:rsidRDefault="00600D0F" w:rsidP="009E46E8">
            <w:pPr>
              <w:rPr>
                <w:rStyle w:val="Hyperlink"/>
                <w:rFonts w:asciiTheme="majorHAnsi" w:eastAsia="Times New Roman" w:hAnsiTheme="majorHAnsi" w:cstheme="minorHAnsi"/>
                <w:color w:val="auto"/>
                <w:sz w:val="22"/>
                <w:szCs w:val="22"/>
                <w:lang w:eastAsia="en-AU"/>
              </w:rPr>
            </w:pPr>
            <w:hyperlink r:id="rId43" w:history="1">
              <w:r w:rsidRPr="00600D0F">
                <w:rPr>
                  <w:rStyle w:val="Hyperlink"/>
                  <w:rFonts w:asciiTheme="majorHAnsi" w:eastAsia="Times New Roman" w:hAnsiTheme="majorHAnsi" w:cstheme="minorHAnsi"/>
                  <w:bCs w:val="0"/>
                  <w:color w:val="auto"/>
                  <w:sz w:val="22"/>
                  <w:szCs w:val="22"/>
                  <w:lang w:eastAsia="en-AU"/>
                </w:rPr>
                <w:t>GO</w:t>
              </w:r>
              <w:r w:rsidR="00B66D2E" w:rsidRPr="00600D0F">
                <w:rPr>
                  <w:rStyle w:val="Hyperlink"/>
                  <w:rFonts w:asciiTheme="majorHAnsi" w:eastAsia="Times New Roman" w:hAnsiTheme="majorHAnsi" w:cstheme="minorHAnsi"/>
                  <w:bCs w:val="0"/>
                  <w:color w:val="auto"/>
                  <w:sz w:val="22"/>
                  <w:szCs w:val="22"/>
                  <w:lang w:eastAsia="en-AU"/>
                </w:rPr>
                <w:t>6522</w:t>
              </w:r>
            </w:hyperlink>
          </w:p>
        </w:tc>
        <w:tc>
          <w:tcPr>
            <w:tcW w:w="1584" w:type="pct"/>
          </w:tcPr>
          <w:p w14:paraId="707EB810" w14:textId="77777777" w:rsidR="00B66D2E" w:rsidRDefault="00B66D2E"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B66D2E">
              <w:rPr>
                <w:rFonts w:asciiTheme="majorHAnsi" w:eastAsia="Times New Roman" w:hAnsiTheme="majorHAnsi" w:cstheme="minorHAnsi"/>
                <w:color w:val="auto"/>
                <w:sz w:val="22"/>
                <w:szCs w:val="22"/>
                <w:lang w:eastAsia="en-AU"/>
              </w:rPr>
              <w:t>Indigenous Australians' Health Programme - Closing the Gap - Major Capital Works Program</w:t>
            </w:r>
          </w:p>
          <w:p w14:paraId="50BD5B9A" w14:textId="180B035C" w:rsidR="00B66D2E" w:rsidRDefault="00B66D2E"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B66D2E">
              <w:rPr>
                <w:rFonts w:asciiTheme="majorHAnsi" w:eastAsia="Times New Roman" w:hAnsiTheme="majorHAnsi" w:cstheme="minorHAnsi"/>
                <w:color w:val="auto"/>
                <w:sz w:val="22"/>
                <w:szCs w:val="22"/>
                <w:lang w:eastAsia="en-AU"/>
              </w:rPr>
              <w:t>Round 2</w:t>
            </w:r>
          </w:p>
        </w:tc>
        <w:tc>
          <w:tcPr>
            <w:tcW w:w="873" w:type="pct"/>
            <w:vAlign w:val="center"/>
          </w:tcPr>
          <w:p w14:paraId="0B6FF765" w14:textId="42B407B4" w:rsidR="00B66D2E" w:rsidRPr="008A2CB3" w:rsidRDefault="00B66D2E" w:rsidP="009E46E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rPr>
              <w:t>DoHAC</w:t>
            </w:r>
          </w:p>
        </w:tc>
        <w:tc>
          <w:tcPr>
            <w:tcW w:w="896" w:type="pct"/>
          </w:tcPr>
          <w:p w14:paraId="61728600" w14:textId="0E180040" w:rsidR="00B66D2E" w:rsidRDefault="00FF1E28"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B66D2E">
              <w:rPr>
                <w:rFonts w:asciiTheme="majorHAnsi" w:eastAsia="Times New Roman" w:hAnsiTheme="majorHAnsi" w:cstheme="minorHAnsi"/>
                <w:color w:val="auto"/>
                <w:sz w:val="22"/>
                <w:szCs w:val="22"/>
                <w:lang w:eastAsia="en-AU"/>
              </w:rPr>
              <w:t xml:space="preserve"> or Restricted Competitive</w:t>
            </w:r>
          </w:p>
        </w:tc>
        <w:tc>
          <w:tcPr>
            <w:tcW w:w="1119" w:type="pct"/>
          </w:tcPr>
          <w:p w14:paraId="018BA391" w14:textId="085A8967" w:rsidR="00B66D2E" w:rsidRDefault="00B66D2E"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bl>
    <w:p w14:paraId="1A757749" w14:textId="5E25A7A8" w:rsidR="002157BE" w:rsidRPr="0025002C" w:rsidRDefault="002157BE" w:rsidP="002157BE">
      <w:pPr>
        <w:pStyle w:val="Heading1"/>
        <w:rPr>
          <w:rStyle w:val="Heading1Char"/>
          <w:b/>
          <w:color w:val="auto"/>
        </w:rPr>
      </w:pPr>
      <w:bookmarkStart w:id="8" w:name="_Attachment_C:_Grant"/>
      <w:bookmarkEnd w:id="8"/>
      <w:r w:rsidRPr="0025002C">
        <w:rPr>
          <w:color w:val="auto"/>
        </w:rPr>
        <w:lastRenderedPageBreak/>
        <w:t xml:space="preserve">Attachment </w:t>
      </w:r>
      <w:r w:rsidRPr="0025002C">
        <w:rPr>
          <w:rStyle w:val="Heading1Char"/>
          <w:b/>
          <w:color w:val="auto"/>
        </w:rPr>
        <w:t>C: Grant Prioritisation Scenario</w:t>
      </w:r>
    </w:p>
    <w:p w14:paraId="276DEC09" w14:textId="77777777" w:rsidR="002157BE" w:rsidRPr="0025002C" w:rsidRDefault="002157BE" w:rsidP="002157BE">
      <w:pPr>
        <w:spacing w:after="0"/>
        <w:rPr>
          <w:rFonts w:asciiTheme="majorHAnsi" w:hAnsiTheme="majorHAnsi" w:cstheme="minorHAnsi"/>
          <w:color w:val="auto"/>
          <w:sz w:val="22"/>
          <w:szCs w:val="22"/>
        </w:rPr>
      </w:pPr>
      <w:r w:rsidRPr="0025002C">
        <w:rPr>
          <w:rFonts w:asciiTheme="majorHAnsi" w:hAnsiTheme="majorHAnsi" w:cstheme="minorHAnsi"/>
          <w:color w:val="auto"/>
          <w:sz w:val="22"/>
          <w:szCs w:val="22"/>
        </w:rPr>
        <w:t>One example of how prioritisation is applied in a grant assessment practice if bandwidth assessment is used.</w:t>
      </w:r>
    </w:p>
    <w:p w14:paraId="3F04D7CE" w14:textId="77777777" w:rsidR="002157BE" w:rsidRPr="0025002C" w:rsidRDefault="002157BE" w:rsidP="002157BE">
      <w:pPr>
        <w:spacing w:after="0"/>
        <w:rPr>
          <w:rFonts w:asciiTheme="majorHAnsi" w:hAnsiTheme="majorHAnsi" w:cstheme="minorHAnsi"/>
          <w:color w:val="auto"/>
          <w:sz w:val="16"/>
          <w:szCs w:val="16"/>
        </w:rPr>
      </w:pPr>
    </w:p>
    <w:p w14:paraId="37D7DF11" w14:textId="77777777" w:rsidR="002157BE" w:rsidRPr="0025002C" w:rsidRDefault="002157BE" w:rsidP="002157BE">
      <w:pPr>
        <w:pStyle w:val="ListParagraph"/>
        <w:numPr>
          <w:ilvl w:val="0"/>
          <w:numId w:val="33"/>
        </w:numPr>
        <w:spacing w:after="0"/>
        <w:rPr>
          <w:rFonts w:asciiTheme="majorHAnsi" w:hAnsiTheme="majorHAnsi"/>
          <w:color w:val="auto"/>
          <w:sz w:val="22"/>
          <w:szCs w:val="22"/>
        </w:rPr>
      </w:pPr>
      <w:r w:rsidRPr="0025002C">
        <w:rPr>
          <w:rFonts w:asciiTheme="majorHAnsi" w:hAnsiTheme="majorHAnsi"/>
          <w:color w:val="auto"/>
          <w:sz w:val="22"/>
          <w:szCs w:val="22"/>
        </w:rPr>
        <w:t>All grant applications separated into the bandwidths assessment (e.g. does not meet, partially meets, or fully meets). A</w:t>
      </w:r>
      <w:r w:rsidRPr="0025002C">
        <w:rPr>
          <w:rFonts w:asciiTheme="majorHAnsi" w:hAnsiTheme="majorHAnsi"/>
          <w:bCs/>
          <w:color w:val="auto"/>
          <w:sz w:val="22"/>
          <w:szCs w:val="22"/>
        </w:rPr>
        <w:t>pplicants that ‘fully meet’ the selection criteria (i.e. top bandwidth)</w:t>
      </w:r>
      <w:r w:rsidRPr="0025002C">
        <w:rPr>
          <w:rFonts w:asciiTheme="majorHAnsi" w:hAnsiTheme="majorHAnsi"/>
          <w:color w:val="auto"/>
          <w:sz w:val="22"/>
          <w:szCs w:val="22"/>
        </w:rPr>
        <w:t xml:space="preserve"> are sorted within each bandwidth according to their score. </w:t>
      </w:r>
    </w:p>
    <w:p w14:paraId="6F9551DC" w14:textId="77777777" w:rsidR="002157BE" w:rsidRPr="0025002C" w:rsidRDefault="002157BE" w:rsidP="002157BE">
      <w:pPr>
        <w:pStyle w:val="ListParagraph"/>
        <w:spacing w:after="0"/>
        <w:ind w:left="360"/>
        <w:rPr>
          <w:rFonts w:asciiTheme="majorHAnsi" w:hAnsiTheme="majorHAnsi"/>
          <w:color w:val="auto"/>
          <w:sz w:val="22"/>
          <w:szCs w:val="22"/>
        </w:rPr>
      </w:pPr>
    </w:p>
    <w:p w14:paraId="4E725816" w14:textId="77777777" w:rsidR="002157BE" w:rsidRPr="0025002C" w:rsidRDefault="002157BE" w:rsidP="002157BE">
      <w:pPr>
        <w:pStyle w:val="ListParagraph"/>
        <w:numPr>
          <w:ilvl w:val="0"/>
          <w:numId w:val="33"/>
        </w:numPr>
        <w:spacing w:after="60"/>
        <w:rPr>
          <w:rFonts w:asciiTheme="majorHAnsi" w:hAnsiTheme="majorHAnsi"/>
          <w:color w:val="auto"/>
          <w:sz w:val="22"/>
          <w:szCs w:val="22"/>
        </w:rPr>
      </w:pPr>
      <w:r w:rsidRPr="0025002C">
        <w:rPr>
          <w:rFonts w:asciiTheme="majorHAnsi" w:hAnsiTheme="majorHAnsi"/>
          <w:color w:val="auto"/>
          <w:sz w:val="22"/>
          <w:szCs w:val="22"/>
        </w:rPr>
        <w:t>All applications within the highest bandwidth must be exhausted before moving to the next bandwidth. The following table demonstrates how an ACCO or Aboriginal and Torres Strait Islander organisation may be weighted before and after prioritisation is applied.</w:t>
      </w:r>
    </w:p>
    <w:p w14:paraId="13AA24E1" w14:textId="77777777" w:rsidR="002157BE" w:rsidRPr="0025002C" w:rsidRDefault="002157BE" w:rsidP="002157BE">
      <w:pPr>
        <w:pStyle w:val="ListParagraph"/>
        <w:rPr>
          <w:rFonts w:asciiTheme="majorHAnsi" w:hAnsiTheme="majorHAnsi"/>
          <w:color w:val="auto"/>
          <w:sz w:val="22"/>
          <w:szCs w:val="22"/>
        </w:rPr>
      </w:pPr>
    </w:p>
    <w:p w14:paraId="015579E6" w14:textId="77777777" w:rsidR="002157BE" w:rsidRDefault="002157BE" w:rsidP="002157BE">
      <w:pPr>
        <w:pStyle w:val="ListParagraph"/>
        <w:numPr>
          <w:ilvl w:val="0"/>
          <w:numId w:val="33"/>
        </w:numPr>
        <w:spacing w:after="60"/>
        <w:rPr>
          <w:rFonts w:asciiTheme="majorHAnsi" w:hAnsiTheme="majorHAnsi"/>
          <w:color w:val="auto"/>
          <w:sz w:val="22"/>
          <w:szCs w:val="22"/>
        </w:rPr>
      </w:pPr>
      <w:r w:rsidRPr="0025002C">
        <w:rPr>
          <w:rFonts w:asciiTheme="majorHAnsi" w:hAnsiTheme="majorHAnsi"/>
          <w:color w:val="auto"/>
          <w:sz w:val="22"/>
          <w:szCs w:val="22"/>
        </w:rPr>
        <w:t xml:space="preserve">The table below used three grants in one regional area. It demonstrates both before and after prioritisation was applied. Example, prior to prioritisation A, B and C would have been awarded the grant, versus after prioritisation, where F, D and E organisations were awarded the grants. </w:t>
      </w:r>
    </w:p>
    <w:p w14:paraId="47321BD6" w14:textId="77777777" w:rsidR="002157BE" w:rsidRPr="00964C01" w:rsidRDefault="002157BE" w:rsidP="002157BE">
      <w:pPr>
        <w:pStyle w:val="ListParagraph"/>
        <w:rPr>
          <w:rFonts w:asciiTheme="majorHAnsi" w:hAnsiTheme="majorHAnsi"/>
          <w:color w:val="auto"/>
          <w:sz w:val="22"/>
          <w:szCs w:val="22"/>
        </w:rPr>
      </w:pPr>
    </w:p>
    <w:p w14:paraId="6862ABD2" w14:textId="77777777" w:rsidR="002157BE" w:rsidRDefault="002157BE" w:rsidP="002157BE">
      <w:pPr>
        <w:pStyle w:val="ListParagraph"/>
        <w:numPr>
          <w:ilvl w:val="0"/>
          <w:numId w:val="33"/>
        </w:numPr>
        <w:spacing w:after="60"/>
        <w:rPr>
          <w:rFonts w:asciiTheme="majorHAnsi" w:hAnsiTheme="majorHAnsi"/>
          <w:color w:val="auto"/>
          <w:sz w:val="22"/>
          <w:szCs w:val="22"/>
        </w:rPr>
      </w:pPr>
      <w:r>
        <w:rPr>
          <w:rFonts w:asciiTheme="majorHAnsi" w:hAnsiTheme="majorHAnsi"/>
          <w:color w:val="auto"/>
          <w:sz w:val="22"/>
          <w:szCs w:val="22"/>
        </w:rPr>
        <w:t>How to use this table</w:t>
      </w:r>
    </w:p>
    <w:p w14:paraId="2C667CBE"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 xml:space="preserve">This example has four Individual Selection Criteria (SC), as described in the GOGs. </w:t>
      </w:r>
    </w:p>
    <w:p w14:paraId="72CC5C9D"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 xml:space="preserve">All SCs are weighted equally (25%). </w:t>
      </w:r>
    </w:p>
    <w:p w14:paraId="2509D9D7" w14:textId="77777777" w:rsidR="002157BE"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Organisational Types are either Aboriginal Community Controlled Organisations (ACCOs), First Nations Organisations or Other (non-Indigenous) Organisations.</w:t>
      </w:r>
    </w:p>
    <w:p w14:paraId="05F6C8AD"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There are three categories used to assign to scoring, these are FM - Fully meets (Score &gt; 60 plus), PM - Partially meets (Score 40 - 60) or DM - Does not meet (Score &lt; 40). For this purpose of this example only those in the fully meets category will be prioritised as they meet eligibility requirements. Those that partially or doesn’t meet doesn’t have a new ranking after prioritisation as the practice isn’t applied to these organisations.</w:t>
      </w:r>
    </w:p>
    <w:tbl>
      <w:tblPr>
        <w:tblStyle w:val="GridTable4-Accent3"/>
        <w:tblW w:w="5000" w:type="pct"/>
        <w:tblLayout w:type="fixed"/>
        <w:tblLook w:val="04A0" w:firstRow="1" w:lastRow="0" w:firstColumn="1" w:lastColumn="0" w:noHBand="0" w:noVBand="1"/>
        <w:tblCaption w:val="Attachment C Grant prioritisation scenarios"/>
        <w:tblDescription w:val="The table below provides one example of how prioritisation is applied in a grant assessment practice if bandwidth assessment is used."/>
      </w:tblPr>
      <w:tblGrid>
        <w:gridCol w:w="1118"/>
        <w:gridCol w:w="920"/>
        <w:gridCol w:w="1020"/>
        <w:gridCol w:w="1020"/>
        <w:gridCol w:w="1020"/>
        <w:gridCol w:w="1019"/>
        <w:gridCol w:w="771"/>
        <w:gridCol w:w="962"/>
        <w:gridCol w:w="1121"/>
        <w:gridCol w:w="1223"/>
      </w:tblGrid>
      <w:tr w:rsidR="002157BE" w:rsidRPr="004D692B" w14:paraId="3379B627" w14:textId="77777777" w:rsidTr="00C9482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48" w:type="pct"/>
            <w:vAlign w:val="center"/>
          </w:tcPr>
          <w:p w14:paraId="677D57D5" w14:textId="77777777" w:rsidR="002157BE" w:rsidRPr="0025002C" w:rsidRDefault="002157BE" w:rsidP="00C94823">
            <w:pPr>
              <w:spacing w:after="60"/>
              <w:jc w:val="center"/>
              <w:rPr>
                <w:rFonts w:asciiTheme="majorHAnsi" w:hAnsiTheme="majorHAnsi"/>
                <w:color w:val="auto"/>
                <w:sz w:val="14"/>
                <w:szCs w:val="14"/>
              </w:rPr>
            </w:pPr>
            <w:r>
              <w:rPr>
                <w:rFonts w:asciiTheme="majorHAnsi" w:hAnsiTheme="majorHAnsi"/>
                <w:color w:val="auto"/>
                <w:sz w:val="14"/>
                <w:szCs w:val="14"/>
              </w:rPr>
              <w:t>Organisation ID</w:t>
            </w:r>
          </w:p>
        </w:tc>
        <w:tc>
          <w:tcPr>
            <w:tcW w:w="451" w:type="pct"/>
            <w:vAlign w:val="center"/>
          </w:tcPr>
          <w:p w14:paraId="4E9F6F0E"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 xml:space="preserve">Selection </w:t>
            </w:r>
            <w:r w:rsidRPr="0025002C">
              <w:rPr>
                <w:rFonts w:asciiTheme="majorHAnsi" w:hAnsiTheme="majorHAnsi"/>
                <w:color w:val="auto"/>
                <w:sz w:val="14"/>
                <w:szCs w:val="14"/>
              </w:rPr>
              <w:t xml:space="preserve">Criteria </w:t>
            </w:r>
            <w:r>
              <w:rPr>
                <w:rFonts w:asciiTheme="majorHAnsi" w:hAnsiTheme="majorHAnsi"/>
                <w:color w:val="auto"/>
                <w:sz w:val="14"/>
                <w:szCs w:val="14"/>
              </w:rPr>
              <w:t>One Score</w:t>
            </w:r>
          </w:p>
        </w:tc>
        <w:tc>
          <w:tcPr>
            <w:tcW w:w="500" w:type="pct"/>
            <w:vAlign w:val="center"/>
          </w:tcPr>
          <w:p w14:paraId="55743C68"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 xml:space="preserve">Selection </w:t>
            </w:r>
            <w:r w:rsidRPr="0025002C">
              <w:rPr>
                <w:rFonts w:asciiTheme="majorHAnsi" w:hAnsiTheme="majorHAnsi"/>
                <w:color w:val="auto"/>
                <w:sz w:val="14"/>
                <w:szCs w:val="14"/>
              </w:rPr>
              <w:t xml:space="preserve">Criteria </w:t>
            </w:r>
            <w:r>
              <w:rPr>
                <w:rFonts w:asciiTheme="majorHAnsi" w:hAnsiTheme="majorHAnsi"/>
                <w:color w:val="auto"/>
                <w:sz w:val="14"/>
                <w:szCs w:val="14"/>
              </w:rPr>
              <w:t>Two Score</w:t>
            </w:r>
          </w:p>
        </w:tc>
        <w:tc>
          <w:tcPr>
            <w:tcW w:w="500" w:type="pct"/>
            <w:vAlign w:val="center"/>
          </w:tcPr>
          <w:p w14:paraId="673E5731"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74F87">
              <w:rPr>
                <w:rFonts w:asciiTheme="majorHAnsi" w:hAnsiTheme="majorHAnsi"/>
                <w:color w:val="auto"/>
                <w:sz w:val="14"/>
                <w:szCs w:val="14"/>
              </w:rPr>
              <w:t xml:space="preserve">Selection Criteria </w:t>
            </w:r>
            <w:r>
              <w:rPr>
                <w:rFonts w:asciiTheme="majorHAnsi" w:hAnsiTheme="majorHAnsi"/>
                <w:color w:val="auto"/>
                <w:sz w:val="14"/>
                <w:szCs w:val="14"/>
              </w:rPr>
              <w:t>Three</w:t>
            </w:r>
            <w:r w:rsidRPr="00274F87">
              <w:rPr>
                <w:rFonts w:asciiTheme="majorHAnsi" w:hAnsiTheme="majorHAnsi"/>
                <w:color w:val="auto"/>
                <w:sz w:val="14"/>
                <w:szCs w:val="14"/>
              </w:rPr>
              <w:t xml:space="preserve"> Score</w:t>
            </w:r>
          </w:p>
        </w:tc>
        <w:tc>
          <w:tcPr>
            <w:tcW w:w="500" w:type="pct"/>
            <w:vAlign w:val="center"/>
          </w:tcPr>
          <w:p w14:paraId="5DA3E4D7"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74F87">
              <w:rPr>
                <w:rFonts w:asciiTheme="majorHAnsi" w:hAnsiTheme="majorHAnsi"/>
                <w:color w:val="auto"/>
                <w:sz w:val="14"/>
                <w:szCs w:val="14"/>
              </w:rPr>
              <w:t xml:space="preserve">Selection Criteria </w:t>
            </w:r>
            <w:r>
              <w:rPr>
                <w:rFonts w:asciiTheme="majorHAnsi" w:hAnsiTheme="majorHAnsi"/>
                <w:color w:val="auto"/>
                <w:sz w:val="14"/>
                <w:szCs w:val="14"/>
              </w:rPr>
              <w:t>Four</w:t>
            </w:r>
            <w:r w:rsidRPr="00274F87">
              <w:rPr>
                <w:rFonts w:asciiTheme="majorHAnsi" w:hAnsiTheme="majorHAnsi"/>
                <w:color w:val="auto"/>
                <w:sz w:val="14"/>
                <w:szCs w:val="14"/>
              </w:rPr>
              <w:t xml:space="preserve"> Score</w:t>
            </w:r>
          </w:p>
        </w:tc>
        <w:tc>
          <w:tcPr>
            <w:tcW w:w="500" w:type="pct"/>
            <w:vAlign w:val="center"/>
          </w:tcPr>
          <w:p w14:paraId="738EF77A"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Total Score</w:t>
            </w:r>
          </w:p>
        </w:tc>
        <w:tc>
          <w:tcPr>
            <w:tcW w:w="378" w:type="pct"/>
            <w:vAlign w:val="center"/>
          </w:tcPr>
          <w:p w14:paraId="4EB8E853"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sz w:val="14"/>
                <w:szCs w:val="14"/>
              </w:rPr>
            </w:pPr>
            <w:r>
              <w:rPr>
                <w:rFonts w:asciiTheme="majorHAnsi" w:hAnsiTheme="majorHAnsi"/>
                <w:color w:val="auto"/>
                <w:sz w:val="14"/>
                <w:szCs w:val="14"/>
              </w:rPr>
              <w:t>Org</w:t>
            </w:r>
            <w:r w:rsidRPr="0025002C">
              <w:rPr>
                <w:rFonts w:asciiTheme="majorHAnsi" w:hAnsiTheme="majorHAnsi"/>
                <w:color w:val="auto"/>
                <w:sz w:val="14"/>
                <w:szCs w:val="14"/>
              </w:rPr>
              <w:t xml:space="preserve"> Type</w:t>
            </w:r>
          </w:p>
        </w:tc>
        <w:tc>
          <w:tcPr>
            <w:tcW w:w="472" w:type="pct"/>
            <w:vAlign w:val="center"/>
          </w:tcPr>
          <w:p w14:paraId="26B58C4C"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Category</w:t>
            </w:r>
          </w:p>
        </w:tc>
        <w:tc>
          <w:tcPr>
            <w:tcW w:w="550" w:type="pct"/>
            <w:vAlign w:val="center"/>
          </w:tcPr>
          <w:p w14:paraId="1DD418C7"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sz w:val="14"/>
                <w:szCs w:val="14"/>
              </w:rPr>
            </w:pPr>
            <w:r w:rsidRPr="0025002C">
              <w:rPr>
                <w:rFonts w:asciiTheme="majorHAnsi" w:hAnsiTheme="majorHAnsi"/>
                <w:color w:val="auto"/>
                <w:sz w:val="14"/>
                <w:szCs w:val="14"/>
              </w:rPr>
              <w:t>Rank before prioritisation</w:t>
            </w:r>
          </w:p>
        </w:tc>
        <w:tc>
          <w:tcPr>
            <w:tcW w:w="600" w:type="pct"/>
            <w:vAlign w:val="center"/>
          </w:tcPr>
          <w:p w14:paraId="6CC7439C"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b w:val="0"/>
                <w:bCs w:val="0"/>
              </w:rPr>
            </w:pPr>
            <w:r w:rsidRPr="0025002C">
              <w:rPr>
                <w:rFonts w:asciiTheme="majorHAnsi" w:hAnsiTheme="majorHAnsi"/>
                <w:color w:val="auto"/>
                <w:sz w:val="14"/>
                <w:szCs w:val="14"/>
              </w:rPr>
              <w:t>Rank  after prioritisation</w:t>
            </w:r>
          </w:p>
        </w:tc>
      </w:tr>
      <w:tr w:rsidR="002157BE" w:rsidRPr="004D692B" w14:paraId="67783B55"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5F4DC105"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A</w:t>
            </w:r>
          </w:p>
        </w:tc>
        <w:tc>
          <w:tcPr>
            <w:tcW w:w="451" w:type="pct"/>
            <w:shd w:val="clear" w:color="auto" w:fill="D9D9D9" w:themeFill="background1" w:themeFillShade="D9"/>
            <w:vAlign w:val="center"/>
          </w:tcPr>
          <w:p w14:paraId="44F2C84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30F99E5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733B331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4123AC88"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109EB9A5" w14:textId="097BB6AF" w:rsidR="002157BE" w:rsidRPr="0025002C" w:rsidRDefault="009E1CB1"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70</w:t>
            </w:r>
          </w:p>
        </w:tc>
        <w:tc>
          <w:tcPr>
            <w:tcW w:w="378" w:type="pct"/>
            <w:shd w:val="clear" w:color="auto" w:fill="D9D9D9" w:themeFill="background1" w:themeFillShade="D9"/>
            <w:vAlign w:val="center"/>
          </w:tcPr>
          <w:p w14:paraId="3444B96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4B8A2CD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FM</w:t>
            </w:r>
          </w:p>
        </w:tc>
        <w:tc>
          <w:tcPr>
            <w:tcW w:w="550" w:type="pct"/>
            <w:shd w:val="clear" w:color="auto" w:fill="D9D9D9" w:themeFill="background1" w:themeFillShade="D9"/>
            <w:vAlign w:val="center"/>
          </w:tcPr>
          <w:p w14:paraId="0EE70E5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w:t>
            </w:r>
          </w:p>
        </w:tc>
        <w:tc>
          <w:tcPr>
            <w:tcW w:w="600" w:type="pct"/>
            <w:shd w:val="clear" w:color="auto" w:fill="D9D9D9" w:themeFill="background1" w:themeFillShade="D9"/>
            <w:vAlign w:val="center"/>
          </w:tcPr>
          <w:p w14:paraId="511D2DF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4</w:t>
            </w:r>
          </w:p>
        </w:tc>
      </w:tr>
      <w:tr w:rsidR="002157BE" w:rsidRPr="004D692B" w14:paraId="2B231BA7"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0A892258"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B</w:t>
            </w:r>
          </w:p>
        </w:tc>
        <w:tc>
          <w:tcPr>
            <w:tcW w:w="451" w:type="pct"/>
            <w:shd w:val="clear" w:color="auto" w:fill="D9D9D9" w:themeFill="background1" w:themeFillShade="D9"/>
            <w:vAlign w:val="center"/>
          </w:tcPr>
          <w:p w14:paraId="49F7441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2DFCE49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59D9C5A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128060E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6211369B" w14:textId="6A1C0919"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r w:rsidR="0007482E">
              <w:rPr>
                <w:rFonts w:asciiTheme="majorHAnsi" w:hAnsiTheme="majorHAnsi"/>
                <w:color w:val="auto"/>
                <w:sz w:val="14"/>
                <w:szCs w:val="14"/>
              </w:rPr>
              <w:t>9</w:t>
            </w:r>
          </w:p>
        </w:tc>
        <w:tc>
          <w:tcPr>
            <w:tcW w:w="378" w:type="pct"/>
            <w:shd w:val="clear" w:color="auto" w:fill="D9D9D9" w:themeFill="background1" w:themeFillShade="D9"/>
            <w:vAlign w:val="center"/>
          </w:tcPr>
          <w:p w14:paraId="4968D237"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5555762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D9D9D9" w:themeFill="background1" w:themeFillShade="D9"/>
            <w:vAlign w:val="center"/>
          </w:tcPr>
          <w:p w14:paraId="4AA183E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w:t>
            </w:r>
          </w:p>
        </w:tc>
        <w:tc>
          <w:tcPr>
            <w:tcW w:w="600" w:type="pct"/>
            <w:shd w:val="clear" w:color="auto" w:fill="D9D9D9" w:themeFill="background1" w:themeFillShade="D9"/>
            <w:vAlign w:val="center"/>
          </w:tcPr>
          <w:p w14:paraId="314E7D21"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5</w:t>
            </w:r>
          </w:p>
        </w:tc>
      </w:tr>
      <w:tr w:rsidR="002157BE" w:rsidRPr="004D692B" w14:paraId="0E261D31"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7CE8A623"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C</w:t>
            </w:r>
          </w:p>
        </w:tc>
        <w:tc>
          <w:tcPr>
            <w:tcW w:w="451" w:type="pct"/>
            <w:shd w:val="clear" w:color="auto" w:fill="D9D9D9" w:themeFill="background1" w:themeFillShade="D9"/>
            <w:vAlign w:val="center"/>
          </w:tcPr>
          <w:p w14:paraId="043A901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55B59FA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33BBEFAA"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4BE6269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57638D4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68</w:t>
            </w:r>
          </w:p>
        </w:tc>
        <w:tc>
          <w:tcPr>
            <w:tcW w:w="378" w:type="pct"/>
            <w:shd w:val="clear" w:color="auto" w:fill="D9D9D9" w:themeFill="background1" w:themeFillShade="D9"/>
            <w:vAlign w:val="center"/>
          </w:tcPr>
          <w:p w14:paraId="212ED00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1BEE849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D9D9D9" w:themeFill="background1" w:themeFillShade="D9"/>
            <w:vAlign w:val="center"/>
          </w:tcPr>
          <w:p w14:paraId="2861609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w:t>
            </w:r>
          </w:p>
        </w:tc>
        <w:tc>
          <w:tcPr>
            <w:tcW w:w="600" w:type="pct"/>
            <w:shd w:val="clear" w:color="auto" w:fill="D9D9D9" w:themeFill="background1" w:themeFillShade="D9"/>
            <w:vAlign w:val="center"/>
          </w:tcPr>
          <w:p w14:paraId="3AC40CA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6</w:t>
            </w:r>
          </w:p>
        </w:tc>
      </w:tr>
      <w:tr w:rsidR="002157BE" w:rsidRPr="004D692B" w14:paraId="40F4A8E4"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673A8EF4"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D</w:t>
            </w:r>
          </w:p>
        </w:tc>
        <w:tc>
          <w:tcPr>
            <w:tcW w:w="451" w:type="pct"/>
            <w:shd w:val="clear" w:color="auto" w:fill="BCBCBC" w:themeFill="accent6" w:themeFillShade="E6"/>
            <w:vAlign w:val="center"/>
          </w:tcPr>
          <w:p w14:paraId="4C8B22A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BCBCBC" w:themeFill="accent6" w:themeFillShade="E6"/>
            <w:vAlign w:val="center"/>
          </w:tcPr>
          <w:p w14:paraId="10BD056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shd w:val="clear" w:color="auto" w:fill="BCBCBC" w:themeFill="accent6" w:themeFillShade="E6"/>
            <w:vAlign w:val="center"/>
          </w:tcPr>
          <w:p w14:paraId="3E845A97"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shd w:val="clear" w:color="auto" w:fill="BCBCBC" w:themeFill="accent6" w:themeFillShade="E6"/>
            <w:vAlign w:val="center"/>
          </w:tcPr>
          <w:p w14:paraId="7694327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2E60D061" w14:textId="509606C2"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r w:rsidR="001A7120">
              <w:rPr>
                <w:rFonts w:asciiTheme="majorHAnsi" w:hAnsiTheme="majorHAnsi"/>
                <w:color w:val="auto"/>
                <w:sz w:val="14"/>
                <w:szCs w:val="14"/>
              </w:rPr>
              <w:t>4</w:t>
            </w:r>
          </w:p>
        </w:tc>
        <w:tc>
          <w:tcPr>
            <w:tcW w:w="378" w:type="pct"/>
            <w:shd w:val="clear" w:color="auto" w:fill="BCBCBC" w:themeFill="accent6" w:themeFillShade="E6"/>
            <w:vAlign w:val="center"/>
          </w:tcPr>
          <w:p w14:paraId="5326E84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BCBCBC" w:themeFill="accent6" w:themeFillShade="E6"/>
            <w:vAlign w:val="center"/>
          </w:tcPr>
          <w:p w14:paraId="16AA2A9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192F9B5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4</w:t>
            </w:r>
          </w:p>
        </w:tc>
        <w:tc>
          <w:tcPr>
            <w:tcW w:w="600" w:type="pct"/>
            <w:shd w:val="clear" w:color="auto" w:fill="BCBCBC" w:themeFill="accent6" w:themeFillShade="E6"/>
            <w:vAlign w:val="center"/>
          </w:tcPr>
          <w:p w14:paraId="52667DCB" w14:textId="268E11ED" w:rsidR="002157BE" w:rsidRPr="0025002C" w:rsidRDefault="00532C95"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Pr>
                <w:rFonts w:asciiTheme="majorHAnsi" w:hAnsiTheme="majorHAnsi"/>
                <w:b/>
                <w:color w:val="auto"/>
                <w:sz w:val="14"/>
                <w:szCs w:val="14"/>
              </w:rPr>
              <w:t>1</w:t>
            </w:r>
          </w:p>
        </w:tc>
      </w:tr>
      <w:tr w:rsidR="002157BE" w:rsidRPr="004D692B" w14:paraId="5E098449"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05000BFF"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E</w:t>
            </w:r>
          </w:p>
        </w:tc>
        <w:tc>
          <w:tcPr>
            <w:tcW w:w="451" w:type="pct"/>
            <w:shd w:val="clear" w:color="auto" w:fill="BCBCBC" w:themeFill="accent6" w:themeFillShade="E6"/>
            <w:vAlign w:val="center"/>
          </w:tcPr>
          <w:p w14:paraId="6DD8EEF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3654051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BCBCBC" w:themeFill="accent6" w:themeFillShade="E6"/>
            <w:vAlign w:val="center"/>
          </w:tcPr>
          <w:p w14:paraId="5055411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shd w:val="clear" w:color="auto" w:fill="BCBCBC" w:themeFill="accent6" w:themeFillShade="E6"/>
            <w:vAlign w:val="center"/>
          </w:tcPr>
          <w:p w14:paraId="71AFE0FB"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0356E929" w14:textId="33527595"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r w:rsidR="00207393">
              <w:rPr>
                <w:rFonts w:asciiTheme="majorHAnsi" w:hAnsiTheme="majorHAnsi"/>
                <w:color w:val="auto"/>
                <w:sz w:val="14"/>
                <w:szCs w:val="14"/>
              </w:rPr>
              <w:t>3</w:t>
            </w:r>
          </w:p>
        </w:tc>
        <w:tc>
          <w:tcPr>
            <w:tcW w:w="378" w:type="pct"/>
            <w:shd w:val="clear" w:color="auto" w:fill="BCBCBC" w:themeFill="accent6" w:themeFillShade="E6"/>
            <w:vAlign w:val="center"/>
          </w:tcPr>
          <w:p w14:paraId="383B73A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BCBCBC" w:themeFill="accent6" w:themeFillShade="E6"/>
            <w:vAlign w:val="center"/>
          </w:tcPr>
          <w:p w14:paraId="5BCFC7F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4D3859A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w:t>
            </w:r>
          </w:p>
        </w:tc>
        <w:tc>
          <w:tcPr>
            <w:tcW w:w="600" w:type="pct"/>
            <w:shd w:val="clear" w:color="auto" w:fill="BCBCBC" w:themeFill="accent6" w:themeFillShade="E6"/>
            <w:vAlign w:val="center"/>
          </w:tcPr>
          <w:p w14:paraId="05D52C1A" w14:textId="7D75AFB7" w:rsidR="002157BE" w:rsidRPr="0025002C" w:rsidRDefault="00532C95"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Pr>
                <w:rFonts w:asciiTheme="majorHAnsi" w:hAnsiTheme="majorHAnsi"/>
                <w:b/>
                <w:color w:val="auto"/>
                <w:sz w:val="14"/>
                <w:szCs w:val="14"/>
              </w:rPr>
              <w:t>2</w:t>
            </w:r>
          </w:p>
        </w:tc>
      </w:tr>
      <w:tr w:rsidR="002157BE" w:rsidRPr="004D692B" w14:paraId="3F901907"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2E24D01E"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F</w:t>
            </w:r>
          </w:p>
        </w:tc>
        <w:tc>
          <w:tcPr>
            <w:tcW w:w="451" w:type="pct"/>
            <w:shd w:val="clear" w:color="auto" w:fill="BCBCBC" w:themeFill="accent6" w:themeFillShade="E6"/>
            <w:vAlign w:val="center"/>
          </w:tcPr>
          <w:p w14:paraId="5550E271"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1B0BF73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BCBCBC" w:themeFill="accent6" w:themeFillShade="E6"/>
            <w:vAlign w:val="center"/>
          </w:tcPr>
          <w:p w14:paraId="3517137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shd w:val="clear" w:color="auto" w:fill="BCBCBC" w:themeFill="accent6" w:themeFillShade="E6"/>
            <w:vAlign w:val="center"/>
          </w:tcPr>
          <w:p w14:paraId="51521E42"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17</w:t>
            </w:r>
          </w:p>
        </w:tc>
        <w:tc>
          <w:tcPr>
            <w:tcW w:w="500" w:type="pct"/>
            <w:shd w:val="clear" w:color="auto" w:fill="BCBCBC" w:themeFill="accent6" w:themeFillShade="E6"/>
            <w:vAlign w:val="center"/>
          </w:tcPr>
          <w:p w14:paraId="565FB100" w14:textId="26E2F079"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r w:rsidR="00410F9F">
              <w:rPr>
                <w:rFonts w:asciiTheme="majorHAnsi" w:hAnsiTheme="majorHAnsi"/>
                <w:color w:val="auto"/>
                <w:sz w:val="14"/>
                <w:szCs w:val="14"/>
              </w:rPr>
              <w:t>2</w:t>
            </w:r>
          </w:p>
        </w:tc>
        <w:tc>
          <w:tcPr>
            <w:tcW w:w="378" w:type="pct"/>
            <w:shd w:val="clear" w:color="auto" w:fill="BCBCBC" w:themeFill="accent6" w:themeFillShade="E6"/>
            <w:vAlign w:val="center"/>
          </w:tcPr>
          <w:p w14:paraId="301643D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ACCO</w:t>
            </w:r>
          </w:p>
        </w:tc>
        <w:tc>
          <w:tcPr>
            <w:tcW w:w="472" w:type="pct"/>
            <w:shd w:val="clear" w:color="auto" w:fill="BCBCBC" w:themeFill="accent6" w:themeFillShade="E6"/>
            <w:vAlign w:val="center"/>
          </w:tcPr>
          <w:p w14:paraId="613545B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53C0DA5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600" w:type="pct"/>
            <w:shd w:val="clear" w:color="auto" w:fill="BCBCBC" w:themeFill="accent6" w:themeFillShade="E6"/>
            <w:vAlign w:val="center"/>
          </w:tcPr>
          <w:p w14:paraId="28863446" w14:textId="6B30287F" w:rsidR="002157BE" w:rsidRPr="0025002C" w:rsidRDefault="00532C95"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Pr>
                <w:rFonts w:asciiTheme="majorHAnsi" w:hAnsiTheme="majorHAnsi"/>
                <w:b/>
                <w:color w:val="auto"/>
                <w:sz w:val="14"/>
                <w:szCs w:val="14"/>
              </w:rPr>
              <w:t>3</w:t>
            </w:r>
          </w:p>
        </w:tc>
      </w:tr>
      <w:tr w:rsidR="002157BE" w:rsidRPr="004D692B" w14:paraId="129B366A"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161CF2D8"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G</w:t>
            </w:r>
          </w:p>
        </w:tc>
        <w:tc>
          <w:tcPr>
            <w:tcW w:w="451" w:type="pct"/>
            <w:vAlign w:val="center"/>
          </w:tcPr>
          <w:p w14:paraId="6F9CFF0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vAlign w:val="center"/>
          </w:tcPr>
          <w:p w14:paraId="74F01F48"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vAlign w:val="center"/>
          </w:tcPr>
          <w:p w14:paraId="3AECFD7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vAlign w:val="center"/>
          </w:tcPr>
          <w:p w14:paraId="30C4EF9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vAlign w:val="center"/>
          </w:tcPr>
          <w:p w14:paraId="0E282529" w14:textId="318E8879" w:rsidR="002157BE" w:rsidRPr="0025002C" w:rsidRDefault="009D5169"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52</w:t>
            </w:r>
          </w:p>
        </w:tc>
        <w:tc>
          <w:tcPr>
            <w:tcW w:w="378" w:type="pct"/>
            <w:vAlign w:val="center"/>
          </w:tcPr>
          <w:p w14:paraId="35265D4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vAlign w:val="center"/>
          </w:tcPr>
          <w:p w14:paraId="1BD630C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PM</w:t>
            </w:r>
          </w:p>
        </w:tc>
        <w:tc>
          <w:tcPr>
            <w:tcW w:w="550" w:type="pct"/>
            <w:vAlign w:val="center"/>
          </w:tcPr>
          <w:p w14:paraId="031A526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7</w:t>
            </w:r>
          </w:p>
        </w:tc>
        <w:tc>
          <w:tcPr>
            <w:tcW w:w="600" w:type="pct"/>
            <w:vAlign w:val="center"/>
          </w:tcPr>
          <w:p w14:paraId="23D7386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6F877141"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67834211"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H</w:t>
            </w:r>
          </w:p>
        </w:tc>
        <w:tc>
          <w:tcPr>
            <w:tcW w:w="451" w:type="pct"/>
            <w:vAlign w:val="center"/>
          </w:tcPr>
          <w:p w14:paraId="318A83E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vAlign w:val="center"/>
          </w:tcPr>
          <w:p w14:paraId="29F32D2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vAlign w:val="center"/>
          </w:tcPr>
          <w:p w14:paraId="711905A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vAlign w:val="center"/>
          </w:tcPr>
          <w:p w14:paraId="67FA4CC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vAlign w:val="center"/>
          </w:tcPr>
          <w:p w14:paraId="086147CA" w14:textId="44165902"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w:t>
            </w:r>
            <w:r w:rsidR="005A1C11">
              <w:rPr>
                <w:rFonts w:asciiTheme="majorHAnsi" w:hAnsiTheme="majorHAnsi"/>
                <w:color w:val="auto"/>
                <w:sz w:val="14"/>
                <w:szCs w:val="14"/>
              </w:rPr>
              <w:t>1</w:t>
            </w:r>
          </w:p>
        </w:tc>
        <w:tc>
          <w:tcPr>
            <w:tcW w:w="378" w:type="pct"/>
            <w:vAlign w:val="center"/>
          </w:tcPr>
          <w:p w14:paraId="170BD8C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vAlign w:val="center"/>
          </w:tcPr>
          <w:p w14:paraId="3C879C8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vAlign w:val="center"/>
          </w:tcPr>
          <w:p w14:paraId="398C281B"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600" w:type="pct"/>
            <w:vAlign w:val="center"/>
          </w:tcPr>
          <w:p w14:paraId="50EB577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3CEE6B5C"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3A10C293"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I</w:t>
            </w:r>
          </w:p>
        </w:tc>
        <w:tc>
          <w:tcPr>
            <w:tcW w:w="451" w:type="pct"/>
            <w:vAlign w:val="center"/>
          </w:tcPr>
          <w:p w14:paraId="300553E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vAlign w:val="center"/>
          </w:tcPr>
          <w:p w14:paraId="577077DE"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vAlign w:val="center"/>
          </w:tcPr>
          <w:p w14:paraId="10B36D4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vAlign w:val="center"/>
          </w:tcPr>
          <w:p w14:paraId="4E73BFF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vAlign w:val="center"/>
          </w:tcPr>
          <w:p w14:paraId="49974C27" w14:textId="28616D68"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w:t>
            </w:r>
            <w:r w:rsidR="00417C63">
              <w:rPr>
                <w:rFonts w:asciiTheme="majorHAnsi" w:hAnsiTheme="majorHAnsi"/>
                <w:color w:val="auto"/>
                <w:sz w:val="14"/>
                <w:szCs w:val="14"/>
              </w:rPr>
              <w:t>0</w:t>
            </w:r>
          </w:p>
        </w:tc>
        <w:tc>
          <w:tcPr>
            <w:tcW w:w="378" w:type="pct"/>
            <w:vAlign w:val="center"/>
          </w:tcPr>
          <w:p w14:paraId="4C51589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vAlign w:val="center"/>
          </w:tcPr>
          <w:p w14:paraId="67BFC22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vAlign w:val="center"/>
          </w:tcPr>
          <w:p w14:paraId="4288990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600" w:type="pct"/>
            <w:vAlign w:val="center"/>
          </w:tcPr>
          <w:p w14:paraId="0D637E3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3E66A106"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21997EAB"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J</w:t>
            </w:r>
          </w:p>
        </w:tc>
        <w:tc>
          <w:tcPr>
            <w:tcW w:w="451" w:type="pct"/>
            <w:vAlign w:val="center"/>
          </w:tcPr>
          <w:p w14:paraId="189D1C3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vAlign w:val="center"/>
          </w:tcPr>
          <w:p w14:paraId="5E506FB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vAlign w:val="center"/>
          </w:tcPr>
          <w:p w14:paraId="4EDB152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500" w:type="pct"/>
            <w:vAlign w:val="center"/>
          </w:tcPr>
          <w:p w14:paraId="45C83AA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vAlign w:val="center"/>
          </w:tcPr>
          <w:p w14:paraId="2D80358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45</w:t>
            </w:r>
          </w:p>
        </w:tc>
        <w:tc>
          <w:tcPr>
            <w:tcW w:w="378" w:type="pct"/>
            <w:vAlign w:val="center"/>
          </w:tcPr>
          <w:p w14:paraId="2A92296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ACCO</w:t>
            </w:r>
          </w:p>
        </w:tc>
        <w:tc>
          <w:tcPr>
            <w:tcW w:w="472" w:type="pct"/>
            <w:vAlign w:val="center"/>
          </w:tcPr>
          <w:p w14:paraId="444A1D9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vAlign w:val="center"/>
          </w:tcPr>
          <w:p w14:paraId="6A5E224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600" w:type="pct"/>
            <w:vAlign w:val="center"/>
          </w:tcPr>
          <w:p w14:paraId="38556092"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5156C447"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023C30CF"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N</w:t>
            </w:r>
          </w:p>
        </w:tc>
        <w:tc>
          <w:tcPr>
            <w:tcW w:w="451" w:type="pct"/>
            <w:vAlign w:val="center"/>
          </w:tcPr>
          <w:p w14:paraId="5A292F9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vAlign w:val="center"/>
          </w:tcPr>
          <w:p w14:paraId="7912BA9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vAlign w:val="center"/>
          </w:tcPr>
          <w:p w14:paraId="5E8E5AA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vAlign w:val="center"/>
          </w:tcPr>
          <w:p w14:paraId="163879E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vAlign w:val="center"/>
          </w:tcPr>
          <w:p w14:paraId="0FAA815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38</w:t>
            </w:r>
          </w:p>
        </w:tc>
        <w:tc>
          <w:tcPr>
            <w:tcW w:w="378" w:type="pct"/>
            <w:vAlign w:val="center"/>
          </w:tcPr>
          <w:p w14:paraId="1B2FE2C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vAlign w:val="center"/>
          </w:tcPr>
          <w:p w14:paraId="171CE5A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vAlign w:val="center"/>
          </w:tcPr>
          <w:p w14:paraId="4AA247C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11</w:t>
            </w:r>
          </w:p>
        </w:tc>
        <w:tc>
          <w:tcPr>
            <w:tcW w:w="600" w:type="pct"/>
            <w:vAlign w:val="center"/>
          </w:tcPr>
          <w:p w14:paraId="4EA9560B"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3A789691"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08B4C14C"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O</w:t>
            </w:r>
          </w:p>
        </w:tc>
        <w:tc>
          <w:tcPr>
            <w:tcW w:w="451" w:type="pct"/>
            <w:vAlign w:val="center"/>
          </w:tcPr>
          <w:p w14:paraId="19682A7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vAlign w:val="center"/>
          </w:tcPr>
          <w:p w14:paraId="4C33123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vAlign w:val="center"/>
          </w:tcPr>
          <w:p w14:paraId="5E4EBE2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vAlign w:val="center"/>
          </w:tcPr>
          <w:p w14:paraId="0DE1561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500" w:type="pct"/>
            <w:vAlign w:val="center"/>
          </w:tcPr>
          <w:p w14:paraId="18AFFF6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37</w:t>
            </w:r>
          </w:p>
        </w:tc>
        <w:tc>
          <w:tcPr>
            <w:tcW w:w="378" w:type="pct"/>
            <w:vAlign w:val="center"/>
          </w:tcPr>
          <w:p w14:paraId="32E6E15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vAlign w:val="center"/>
          </w:tcPr>
          <w:p w14:paraId="5E5FEA9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vAlign w:val="center"/>
          </w:tcPr>
          <w:p w14:paraId="20B8C70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12</w:t>
            </w:r>
          </w:p>
        </w:tc>
        <w:tc>
          <w:tcPr>
            <w:tcW w:w="600" w:type="pct"/>
            <w:vAlign w:val="center"/>
          </w:tcPr>
          <w:p w14:paraId="6BB9302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528BBF23"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vAlign w:val="center"/>
          </w:tcPr>
          <w:p w14:paraId="3F350939"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P</w:t>
            </w:r>
          </w:p>
        </w:tc>
        <w:tc>
          <w:tcPr>
            <w:tcW w:w="451" w:type="pct"/>
            <w:vAlign w:val="center"/>
          </w:tcPr>
          <w:p w14:paraId="70AFB3A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vAlign w:val="center"/>
          </w:tcPr>
          <w:p w14:paraId="1F8C401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vAlign w:val="center"/>
          </w:tcPr>
          <w:p w14:paraId="6282DF1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vAlign w:val="center"/>
          </w:tcPr>
          <w:p w14:paraId="51B6169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vAlign w:val="center"/>
          </w:tcPr>
          <w:p w14:paraId="518D0AB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36</w:t>
            </w:r>
          </w:p>
        </w:tc>
        <w:tc>
          <w:tcPr>
            <w:tcW w:w="378" w:type="pct"/>
            <w:vAlign w:val="center"/>
          </w:tcPr>
          <w:p w14:paraId="2AE0543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ACCO</w:t>
            </w:r>
          </w:p>
        </w:tc>
        <w:tc>
          <w:tcPr>
            <w:tcW w:w="472" w:type="pct"/>
            <w:vAlign w:val="center"/>
          </w:tcPr>
          <w:p w14:paraId="7B0A832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vAlign w:val="center"/>
          </w:tcPr>
          <w:p w14:paraId="5D55BD6A"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13</w:t>
            </w:r>
          </w:p>
        </w:tc>
        <w:tc>
          <w:tcPr>
            <w:tcW w:w="600" w:type="pct"/>
            <w:vAlign w:val="center"/>
          </w:tcPr>
          <w:p w14:paraId="3D50745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bl>
    <w:p w14:paraId="56308EE2" w14:textId="77777777" w:rsidR="002157BE" w:rsidRDefault="002157BE" w:rsidP="002157BE">
      <w:pPr>
        <w:rPr>
          <w:rFonts w:asciiTheme="majorHAnsi" w:eastAsia="Times New Roman" w:hAnsiTheme="majorHAnsi"/>
          <w:color w:val="293F54" w:themeColor="accent5" w:themeTint="E6"/>
          <w:lang w:eastAsia="en-AU"/>
        </w:rPr>
      </w:pPr>
      <w:r>
        <w:rPr>
          <w:rFonts w:asciiTheme="majorHAnsi" w:eastAsia="Times New Roman" w:hAnsiTheme="majorHAnsi"/>
          <w:color w:val="293F54" w:themeColor="accent5" w:themeTint="E6"/>
          <w:lang w:eastAsia="en-AU"/>
        </w:rPr>
        <w:br w:type="page"/>
      </w:r>
    </w:p>
    <w:p w14:paraId="1FE666E5" w14:textId="77777777" w:rsidR="002157BE" w:rsidRPr="0025002C" w:rsidRDefault="002157BE" w:rsidP="002157BE">
      <w:pPr>
        <w:pStyle w:val="Heading2"/>
        <w:rPr>
          <w:color w:val="auto"/>
        </w:rPr>
      </w:pPr>
      <w:bookmarkStart w:id="9" w:name="_Attachment_D:_Examples"/>
      <w:bookmarkStart w:id="10" w:name="_Toc120018295"/>
      <w:bookmarkEnd w:id="9"/>
      <w:r w:rsidRPr="0025002C">
        <w:rPr>
          <w:color w:val="auto"/>
        </w:rPr>
        <w:lastRenderedPageBreak/>
        <w:t>Attachment D: Examples of Prioritisation of First Nations Funding</w:t>
      </w:r>
      <w:bookmarkEnd w:id="10"/>
      <w:r w:rsidRPr="0025002C">
        <w:rPr>
          <w:color w:val="auto"/>
        </w:rPr>
        <w:t xml:space="preserve"> </w:t>
      </w:r>
    </w:p>
    <w:p w14:paraId="65061D28" w14:textId="77777777" w:rsidR="002157BE" w:rsidRPr="0025002C" w:rsidRDefault="002157BE" w:rsidP="002157BE">
      <w:pPr>
        <w:rPr>
          <w:rFonts w:asciiTheme="majorHAnsi" w:hAnsiTheme="majorHAnsi"/>
          <w:color w:val="auto"/>
          <w:sz w:val="22"/>
          <w:szCs w:val="22"/>
        </w:rPr>
      </w:pPr>
      <w:r w:rsidRPr="0025002C">
        <w:rPr>
          <w:rFonts w:asciiTheme="majorHAnsi" w:hAnsiTheme="majorHAnsi"/>
          <w:color w:val="auto"/>
          <w:sz w:val="22"/>
          <w:szCs w:val="22"/>
        </w:rPr>
        <w:t xml:space="preserve">There are many options for funding prioritisation which can include using eligibility for organisations which can apply for grants or setting up longer grant periods to stabilise funding models. The below example of how using a range of funding prioritisation practices (including </w:t>
      </w:r>
      <w:r>
        <w:rPr>
          <w:rFonts w:asciiTheme="majorHAnsi" w:hAnsiTheme="majorHAnsi"/>
          <w:color w:val="auto"/>
          <w:sz w:val="22"/>
          <w:szCs w:val="22"/>
        </w:rPr>
        <w:t>prioritising ACCOs</w:t>
      </w:r>
      <w:r w:rsidRPr="0025002C">
        <w:rPr>
          <w:rFonts w:asciiTheme="majorHAnsi" w:hAnsiTheme="majorHAnsi"/>
          <w:color w:val="auto"/>
          <w:sz w:val="22"/>
          <w:szCs w:val="22"/>
        </w:rPr>
        <w:t>).</w:t>
      </w:r>
    </w:p>
    <w:p w14:paraId="369969B0" w14:textId="77777777" w:rsidR="002157BE" w:rsidRPr="0025002C" w:rsidRDefault="002157BE" w:rsidP="002157BE">
      <w:pPr>
        <w:pStyle w:val="Heading4"/>
        <w:rPr>
          <w:color w:val="auto"/>
        </w:rPr>
      </w:pPr>
      <w:r w:rsidRPr="0025002C">
        <w:rPr>
          <w:color w:val="auto"/>
        </w:rPr>
        <w:t xml:space="preserve">The Health Sector </w:t>
      </w:r>
    </w:p>
    <w:p w14:paraId="36785CD4" w14:textId="77777777" w:rsidR="002157BE" w:rsidRPr="0025002C" w:rsidRDefault="002157BE" w:rsidP="002157BE">
      <w:pPr>
        <w:rPr>
          <w:rFonts w:asciiTheme="majorHAnsi" w:hAnsiTheme="majorHAnsi"/>
          <w:color w:val="auto"/>
          <w:sz w:val="22"/>
          <w:szCs w:val="22"/>
        </w:rPr>
      </w:pPr>
      <w:r w:rsidRPr="0025002C">
        <w:rPr>
          <w:rFonts w:asciiTheme="majorHAnsi" w:hAnsiTheme="majorHAnsi"/>
          <w:color w:val="auto"/>
          <w:sz w:val="22"/>
          <w:szCs w:val="22"/>
        </w:rPr>
        <w:t>This case study has been included for agency and staff to see some outcomes that have been achieved.</w:t>
      </w:r>
    </w:p>
    <w:p w14:paraId="428E0D54" w14:textId="0A4950EB" w:rsidR="002157BE" w:rsidRPr="00687F77" w:rsidRDefault="002157BE" w:rsidP="002157BE">
      <w:pPr>
        <w:rPr>
          <w:rFonts w:asciiTheme="majorHAnsi" w:hAnsiTheme="majorHAnsi"/>
          <w:sz w:val="22"/>
          <w:szCs w:val="22"/>
        </w:rPr>
      </w:pPr>
      <w:r w:rsidRPr="0025002C">
        <w:rPr>
          <w:rFonts w:asciiTheme="majorHAnsi" w:hAnsiTheme="majorHAnsi"/>
          <w:color w:val="auto"/>
          <w:sz w:val="22"/>
          <w:szCs w:val="22"/>
        </w:rPr>
        <w:t xml:space="preserve">“Aboriginal Community Controlled Health Organisations </w:t>
      </w:r>
      <w:r w:rsidRPr="00687F77">
        <w:rPr>
          <w:rFonts w:asciiTheme="majorHAnsi" w:hAnsiTheme="majorHAnsi"/>
          <w:sz w:val="22"/>
          <w:szCs w:val="22"/>
        </w:rPr>
        <w:t>(ACCHOs) play a pivotal role in achieving improved health outcomes for First Nations people and communities. The National Aboriginal Community Controlled Health Organisation (NACCHO) is the national leadership body for Aboriginal and Torres Strait Islander health in Australia. NACCHO currently has 143 members that operate ACCHOs in urban, regional, and remote Australia. They range from large multi-functional services employing several medical practitioners and providing a wide range of services, to small services which rely on Aboriginal Health Workers and/or nurses to provide the bulk of primary care services, often with a preventive health and education focus. The ACCHOs are well established and are more effective than other health services at improving Indigenous health outcomes. ACCHOs specialise in providing comprehensive primary care consistent with First Nations community needs, as informed by local communities. This includes home and site visits, public health and health promotion services, allied health, nursing services, assistance with making appointments and transport, assistance accessing childcare or engaging with the justice system, as well as drug and alcohol services. The ACCHOs have also been shown to be more cost effective th</w:t>
      </w:r>
      <w:r>
        <w:rPr>
          <w:rFonts w:asciiTheme="majorHAnsi" w:hAnsiTheme="majorHAnsi"/>
          <w:sz w:val="22"/>
          <w:szCs w:val="22"/>
        </w:rPr>
        <w:t xml:space="preserve">an </w:t>
      </w:r>
      <w:r w:rsidRPr="00687F77">
        <w:rPr>
          <w:rFonts w:asciiTheme="majorHAnsi" w:hAnsiTheme="majorHAnsi"/>
          <w:sz w:val="22"/>
          <w:szCs w:val="22"/>
        </w:rPr>
        <w:t>non-Indigenous service providers and their activities result in greater health benefits per dollar spent, with a return on investment of $1.19 per $1 spent. The lifetime health impact of interventions delivered by Aboriginal controlled health services is also 50 per cent greater than if these same interventions were delivered by non-</w:t>
      </w:r>
      <w:r w:rsidR="00FF1E28">
        <w:rPr>
          <w:rFonts w:asciiTheme="majorHAnsi" w:hAnsiTheme="majorHAnsi"/>
          <w:sz w:val="22"/>
          <w:szCs w:val="22"/>
        </w:rPr>
        <w:t>Targeted</w:t>
      </w:r>
      <w:r w:rsidRPr="00687F77">
        <w:rPr>
          <w:rFonts w:asciiTheme="majorHAnsi" w:hAnsiTheme="majorHAnsi"/>
          <w:sz w:val="22"/>
          <w:szCs w:val="22"/>
        </w:rPr>
        <w:t xml:space="preserve"> health services, primarily du</w:t>
      </w:r>
      <w:r w:rsidR="00F372E4">
        <w:rPr>
          <w:rFonts w:asciiTheme="majorHAnsi" w:hAnsiTheme="majorHAnsi"/>
          <w:sz w:val="22"/>
          <w:szCs w:val="22"/>
        </w:rPr>
        <w:t>e to improved Indigenous access</w:t>
      </w:r>
      <w:r w:rsidRPr="00687F77">
        <w:rPr>
          <w:rFonts w:asciiTheme="majorHAnsi" w:hAnsiTheme="majorHAnsi"/>
          <w:sz w:val="22"/>
          <w:szCs w:val="22"/>
        </w:rPr>
        <w:t>”</w:t>
      </w:r>
      <w:r w:rsidRPr="00687F77">
        <w:rPr>
          <w:rStyle w:val="FootnoteReference"/>
          <w:rFonts w:asciiTheme="majorHAnsi" w:hAnsiTheme="majorHAnsi"/>
          <w:sz w:val="22"/>
          <w:szCs w:val="22"/>
        </w:rPr>
        <w:footnoteReference w:id="2"/>
      </w:r>
      <w:r w:rsidR="00F372E4">
        <w:rPr>
          <w:rFonts w:asciiTheme="majorHAnsi" w:hAnsiTheme="majorHAnsi"/>
          <w:sz w:val="22"/>
          <w:szCs w:val="22"/>
        </w:rPr>
        <w:t>.</w:t>
      </w:r>
    </w:p>
    <w:p w14:paraId="5EA220F6" w14:textId="77777777" w:rsidR="002157BE" w:rsidRPr="00687F77" w:rsidRDefault="002157BE" w:rsidP="002157BE">
      <w:pPr>
        <w:rPr>
          <w:rFonts w:asciiTheme="majorHAnsi" w:hAnsiTheme="majorHAnsi"/>
          <w:sz w:val="22"/>
          <w:szCs w:val="22"/>
        </w:rPr>
      </w:pPr>
      <w:r w:rsidRPr="00687F77">
        <w:rPr>
          <w:rFonts w:asciiTheme="majorHAnsi" w:hAnsiTheme="majorHAnsi"/>
          <w:sz w:val="22"/>
          <w:szCs w:val="22"/>
        </w:rPr>
        <w:t>“The ACCOs play a critical role in facilitating employment pathways for many Indigenous peoples, particularly young people. Like Indigenous businesses, ACCOs are more likely to employ Aboriginal and Torres Strait Islander peoples. In 2019-20, NACCHO employed nearly 7,000 staff (54 per cent of whom identify as Aboriginal and Torres Strait Islander), making them the second largest employer of Aboriginal and Torres Strait Islander people in Australia, behind Coles. In 2019-20, the Aboriginal Legal Service employed 217 staff (45 per cent of whom identify as Aboriginal and Torres Strait Islander). Driving Aboriginal employment is a key focus of the NSW Government and is demonstrated through its commitment to a fifth NSW-specific Closing the Gap Priority Reform, Employment, Business Growth and Economic Prosperity. In 2019-20 NACCHO employed nearly 7,000 staff (54% Identify as Aboriginal and Torres Strait Islander)”</w:t>
      </w:r>
      <w:r w:rsidRPr="00687F77">
        <w:rPr>
          <w:rStyle w:val="FootnoteReference"/>
          <w:rFonts w:asciiTheme="majorHAnsi" w:hAnsiTheme="majorHAnsi"/>
          <w:sz w:val="22"/>
          <w:szCs w:val="22"/>
        </w:rPr>
        <w:footnoteReference w:id="3"/>
      </w:r>
      <w:r w:rsidRPr="00687F77">
        <w:rPr>
          <w:rFonts w:asciiTheme="majorHAnsi" w:hAnsiTheme="majorHAnsi"/>
          <w:sz w:val="22"/>
          <w:szCs w:val="22"/>
        </w:rPr>
        <w:t>.</w:t>
      </w:r>
    </w:p>
    <w:p w14:paraId="0CD76838" w14:textId="77777777" w:rsidR="002157BE" w:rsidRPr="00687F77" w:rsidRDefault="002157BE" w:rsidP="002157BE">
      <w:pPr>
        <w:spacing w:before="240" w:after="240"/>
        <w:rPr>
          <w:rFonts w:asciiTheme="majorHAnsi" w:hAnsiTheme="majorHAnsi"/>
          <w:sz w:val="22"/>
          <w:szCs w:val="22"/>
        </w:rPr>
      </w:pPr>
      <w:r w:rsidRPr="00687F77">
        <w:rPr>
          <w:rFonts w:asciiTheme="majorHAnsi" w:hAnsiTheme="majorHAnsi"/>
          <w:sz w:val="22"/>
          <w:szCs w:val="22"/>
        </w:rPr>
        <w:lastRenderedPageBreak/>
        <w:t>To address seriously deteriorating or non-existent health infrastructure, the Commonwealth has invested new funding of $154.4 million over 2021–25, as well as $100 million over 2021–25 from the First Nations Australian Health Program (IAHP), to deliver new and renovated health clinics and associated housing for health professionals. This work is being co-designed in genuine partnership with the National Aboriginal Community-Controlled Health Organisation (NACCHO) on behalf of the Aboriginal community-controlled health services sector. This includes, establishing the program parameters and structure. NACCHO has also approved the Grant Opportunity Guidelines, Assessment Plans, and communication materials to assist Aboriginal community-controlled health services with their applications, including NACCHO hosted webinars, as well as assessment, decision-making processes and timeframes. NACCHO co-chairs the assessment committee and are also joint decision-makers for grant outcomes. This project comprises two streams of work: an annual Service Maintenance Program (SMP) – minor capital, and the Major Capital Program.  Through the 2021–22 SMP grant opportunity, more than $17 million has gone to 79 projects across Australia.</w:t>
      </w:r>
    </w:p>
    <w:p w14:paraId="3EC5E092" w14:textId="77777777" w:rsidR="002157BE" w:rsidRPr="00043BFD" w:rsidRDefault="002157BE" w:rsidP="002157BE">
      <w:pPr>
        <w:pStyle w:val="Heading4"/>
        <w:rPr>
          <w:color w:val="auto"/>
        </w:rPr>
      </w:pPr>
      <w:r w:rsidRPr="00043BFD">
        <w:rPr>
          <w:color w:val="auto"/>
        </w:rPr>
        <w:t>The Justice Sector</w:t>
      </w:r>
    </w:p>
    <w:p w14:paraId="48450BAB" w14:textId="77777777" w:rsidR="002157BE" w:rsidRPr="00CA52AF" w:rsidRDefault="002157BE" w:rsidP="002157BE">
      <w:pPr>
        <w:spacing w:line="252" w:lineRule="auto"/>
      </w:pPr>
      <w:r w:rsidRPr="00687F77">
        <w:rPr>
          <w:rFonts w:asciiTheme="majorHAnsi" w:hAnsiTheme="majorHAnsi"/>
          <w:sz w:val="22"/>
          <w:szCs w:val="22"/>
        </w:rPr>
        <w:t>The Commonwealth is investing $8.3 million over three years (2021–24) through the Attorney-General’s Department to Aboriginal community-controlled organisations to support culturally safe and tailored models of family dispute resolution. The service delivery model for this measure will be developed with First Nations organisations. The Attorney-General’s Department consulted with the Coalition of Peaks, community organisations, interested community members and Commonwealth entities over a 10 week period between February and April 2022. Over 60 individuals and organisations participated in a number of virtual meetings and workshops and 18 written submissions were received. Feedback was obtained about what culturally safe and appropriate family dispute resolution for First Nations families could look like and how it would best operate. Feedback was also received about the name of the program, the grant selection methodology, the draft Grant Opportunity Guidelines and data and evaluation requirements. The Attorney-General’s Department will engage closely with the Coalition of Peaks throughout the consultation process. Following analysis of feedback from the consultation process, the Grant Opportunity Guidelines will be finalised. The next step is a grant selection process through the Community Grants Hub in the second half of 2022, with the new services anticipated to commence in January 2023. </w:t>
      </w:r>
      <w:r w:rsidRPr="00CA52AF">
        <w:t xml:space="preserve"> </w:t>
      </w:r>
    </w:p>
    <w:p w14:paraId="1BDD75AA" w14:textId="2CF6197D" w:rsidR="002157BE" w:rsidRDefault="002157BE" w:rsidP="002157BE">
      <w:pPr>
        <w:rPr>
          <w:rFonts w:asciiTheme="majorHAnsi" w:eastAsia="Times New Roman" w:hAnsiTheme="majorHAnsi"/>
          <w:color w:val="293F54" w:themeColor="accent5" w:themeTint="E6"/>
          <w:lang w:eastAsia="en-AU"/>
        </w:rPr>
      </w:pPr>
    </w:p>
    <w:p w14:paraId="167EEC65" w14:textId="77777777" w:rsidR="0010216C" w:rsidRDefault="0010216C">
      <w:pPr>
        <w:rPr>
          <w:rFonts w:asciiTheme="majorHAnsi" w:hAnsiTheme="majorHAnsi"/>
          <w:b/>
          <w:color w:val="auto"/>
          <w:sz w:val="36"/>
          <w:szCs w:val="22"/>
        </w:rPr>
      </w:pPr>
      <w:bookmarkStart w:id="11" w:name="_Attachment_E:_How"/>
      <w:bookmarkEnd w:id="11"/>
      <w:r>
        <w:rPr>
          <w:color w:val="auto"/>
          <w:szCs w:val="22"/>
        </w:rPr>
        <w:br w:type="page"/>
      </w:r>
    </w:p>
    <w:p w14:paraId="19F7CCBB" w14:textId="6C3DB613" w:rsidR="002157BE" w:rsidRPr="00043BFD" w:rsidRDefault="002157BE" w:rsidP="002157BE">
      <w:pPr>
        <w:pStyle w:val="Heading1"/>
        <w:rPr>
          <w:color w:val="auto"/>
          <w:lang w:eastAsia="en-AU"/>
        </w:rPr>
      </w:pPr>
      <w:r w:rsidRPr="00043BFD">
        <w:rPr>
          <w:color w:val="auto"/>
          <w:szCs w:val="22"/>
        </w:rPr>
        <w:lastRenderedPageBreak/>
        <w:t xml:space="preserve">Attachment </w:t>
      </w:r>
      <w:bookmarkStart w:id="12" w:name="_NIAA_IAS_Example:"/>
      <w:bookmarkStart w:id="13" w:name="_Competitive_Grants_Preferencing:"/>
      <w:bookmarkStart w:id="14" w:name="_Competitive_Grants_Preferencing"/>
      <w:bookmarkEnd w:id="12"/>
      <w:bookmarkEnd w:id="13"/>
      <w:bookmarkEnd w:id="14"/>
      <w:r w:rsidRPr="00043BFD">
        <w:rPr>
          <w:color w:val="auto"/>
          <w:szCs w:val="22"/>
        </w:rPr>
        <w:t xml:space="preserve">E: How </w:t>
      </w:r>
      <w:r w:rsidRPr="00043BFD">
        <w:rPr>
          <w:color w:val="auto"/>
          <w:lang w:eastAsia="en-AU"/>
        </w:rPr>
        <w:t xml:space="preserve">Grant Prioritisation aligns to Closing the Gap? </w:t>
      </w:r>
    </w:p>
    <w:p w14:paraId="5275F0D5" w14:textId="543730FA" w:rsidR="002157BE" w:rsidRPr="00043BFD" w:rsidRDefault="002157BE" w:rsidP="002157BE">
      <w:p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The Australian Government is committed to working in partnership with Aboriginal and Torres Strait Islander people to achieve outcomes under</w:t>
      </w:r>
      <w:r w:rsidR="0001677D">
        <w:rPr>
          <w:rFonts w:ascii="Century Gothic" w:eastAsia="Times New Roman" w:hAnsi="Century Gothic" w:cs="Times New Roman"/>
          <w:bCs/>
          <w:color w:val="auto"/>
          <w:sz w:val="22"/>
          <w:szCs w:val="22"/>
        </w:rPr>
        <w:t xml:space="preserve"> </w:t>
      </w:r>
      <w:hyperlink r:id="rId44" w:history="1">
        <w:r w:rsidR="0001677D" w:rsidRPr="005A5D04">
          <w:rPr>
            <w:rStyle w:val="Hyperlink"/>
            <w:rFonts w:ascii="Century Gothic" w:eastAsia="Times New Roman" w:hAnsi="Century Gothic" w:cs="Times New Roman"/>
            <w:bCs/>
            <w:color w:val="015E8A" w:themeColor="text2" w:themeTint="E6"/>
            <w:sz w:val="22"/>
            <w:szCs w:val="22"/>
          </w:rPr>
          <w:t>the National Agreement on</w:t>
        </w:r>
        <w:r w:rsidRPr="005A5D04">
          <w:rPr>
            <w:rStyle w:val="Hyperlink"/>
            <w:rFonts w:ascii="Century Gothic" w:eastAsia="Times New Roman" w:hAnsi="Century Gothic" w:cs="Times New Roman"/>
            <w:bCs/>
            <w:color w:val="015E8A" w:themeColor="text2" w:themeTint="E6"/>
            <w:sz w:val="22"/>
            <w:szCs w:val="22"/>
          </w:rPr>
          <w:t xml:space="preserve"> Closing the Gap</w:t>
        </w:r>
      </w:hyperlink>
      <w:r w:rsidRPr="00043BFD">
        <w:rPr>
          <w:rFonts w:ascii="Century Gothic" w:eastAsia="Times New Roman" w:hAnsi="Century Gothic" w:cs="Times New Roman"/>
          <w:bCs/>
          <w:color w:val="auto"/>
          <w:sz w:val="22"/>
          <w:szCs w:val="22"/>
        </w:rPr>
        <w:t>. Prioritisation of grants:</w:t>
      </w:r>
    </w:p>
    <w:p w14:paraId="11A4FF7C" w14:textId="22A9ACFB" w:rsidR="002157BE" w:rsidRPr="00043BFD" w:rsidRDefault="002157BE" w:rsidP="002157BE">
      <w:pPr>
        <w:numPr>
          <w:ilvl w:val="0"/>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ensures better and more suitable service delivery to Aboriginal and Strait Island people</w:t>
      </w:r>
      <w:r w:rsidR="00DD2B43">
        <w:rPr>
          <w:rFonts w:ascii="Century Gothic" w:eastAsia="Calibri" w:hAnsi="Century Gothic" w:cs="Times New Roman"/>
          <w:color w:val="auto"/>
          <w:sz w:val="22"/>
          <w:szCs w:val="22"/>
        </w:rPr>
        <w:t>.</w:t>
      </w:r>
    </w:p>
    <w:p w14:paraId="01EA054D" w14:textId="7C41A4E1" w:rsidR="002157BE" w:rsidRPr="00043BFD" w:rsidRDefault="002157BE" w:rsidP="002157BE">
      <w:pPr>
        <w:numPr>
          <w:ilvl w:val="1"/>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The Clos</w:t>
      </w:r>
      <w:r w:rsidR="00F21C56">
        <w:rPr>
          <w:rFonts w:ascii="Century Gothic" w:eastAsia="Calibri" w:hAnsi="Century Gothic" w:cs="Times New Roman"/>
          <w:color w:val="auto"/>
          <w:sz w:val="22"/>
          <w:szCs w:val="22"/>
        </w:rPr>
        <w:t>ing the Gap National Agreement C</w:t>
      </w:r>
      <w:r w:rsidRPr="00043BFD">
        <w:rPr>
          <w:rFonts w:ascii="Century Gothic" w:eastAsia="Calibri" w:hAnsi="Century Gothic" w:cs="Times New Roman"/>
          <w:color w:val="auto"/>
          <w:sz w:val="22"/>
          <w:szCs w:val="22"/>
        </w:rPr>
        <w:t>lause 43 states</w:t>
      </w:r>
      <w:r w:rsidRPr="00043BFD">
        <w:rPr>
          <w:rFonts w:ascii="Century Gothic" w:eastAsia="Calibri" w:hAnsi="Century Gothic" w:cs="Times New Roman"/>
          <w:i/>
          <w:color w:val="auto"/>
          <w:sz w:val="22"/>
          <w:szCs w:val="22"/>
        </w:rPr>
        <w:t xml:space="preserve">, “The Parties acknowledge that Aboriginal and Torres Strait Islander community-controlled services are better for Aboriginal and Torres Strait Islander people, achieve better results, employ more Aboriginal and Torres Strait Islander people and are often preferred over </w:t>
      </w:r>
      <w:r w:rsidR="00FF1E28">
        <w:rPr>
          <w:rFonts w:ascii="Century Gothic" w:eastAsia="Calibri" w:hAnsi="Century Gothic" w:cs="Times New Roman"/>
          <w:i/>
          <w:color w:val="auto"/>
          <w:sz w:val="22"/>
          <w:szCs w:val="22"/>
        </w:rPr>
        <w:t>Non-Targeted</w:t>
      </w:r>
      <w:r w:rsidRPr="00043BFD">
        <w:rPr>
          <w:rFonts w:ascii="Century Gothic" w:eastAsia="Calibri" w:hAnsi="Century Gothic" w:cs="Times New Roman"/>
          <w:i/>
          <w:color w:val="auto"/>
          <w:sz w:val="22"/>
          <w:szCs w:val="22"/>
        </w:rPr>
        <w:t xml:space="preserve"> services. Priority Reform Two received the strongest </w:t>
      </w:r>
      <w:r w:rsidR="00A51EF4">
        <w:rPr>
          <w:rFonts w:ascii="Century Gothic" w:eastAsia="Calibri" w:hAnsi="Century Gothic" w:cs="Times New Roman"/>
          <w:i/>
          <w:color w:val="auto"/>
          <w:sz w:val="22"/>
          <w:szCs w:val="22"/>
        </w:rPr>
        <w:t>support in the 2019 engagements</w:t>
      </w:r>
      <w:r w:rsidRPr="00043BFD">
        <w:rPr>
          <w:rFonts w:ascii="Century Gothic" w:eastAsia="Calibri" w:hAnsi="Century Gothic" w:cs="Times New Roman"/>
          <w:i/>
          <w:color w:val="auto"/>
          <w:sz w:val="22"/>
          <w:szCs w:val="22"/>
        </w:rPr>
        <w:t>”</w:t>
      </w:r>
      <w:r w:rsidRPr="00043BFD">
        <w:rPr>
          <w:rFonts w:ascii="Century Gothic" w:eastAsia="Calibri" w:hAnsi="Century Gothic" w:cs="Arial"/>
          <w:color w:val="auto"/>
          <w:sz w:val="22"/>
          <w:szCs w:val="22"/>
          <w:vertAlign w:val="superscript"/>
        </w:rPr>
        <w:footnoteReference w:id="4"/>
      </w:r>
      <w:r w:rsidR="00A51EF4">
        <w:rPr>
          <w:rFonts w:ascii="Century Gothic" w:eastAsia="Calibri" w:hAnsi="Century Gothic" w:cs="Times New Roman"/>
          <w:color w:val="auto"/>
          <w:sz w:val="22"/>
          <w:szCs w:val="22"/>
        </w:rPr>
        <w:t>.</w:t>
      </w:r>
    </w:p>
    <w:p w14:paraId="09DA18DE" w14:textId="4BD46F97" w:rsidR="002157BE" w:rsidRDefault="002157BE" w:rsidP="002157BE">
      <w:pPr>
        <w:numPr>
          <w:ilvl w:val="1"/>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 xml:space="preserve">The NACCHO 20-21 Annual Report stated that ACCHOs are 50 per cent better at attracting and retaining Aboriginal clients than </w:t>
      </w:r>
      <w:r w:rsidR="00FF1E28">
        <w:rPr>
          <w:rFonts w:ascii="Century Gothic" w:eastAsia="Calibri" w:hAnsi="Century Gothic" w:cs="Times New Roman"/>
          <w:color w:val="auto"/>
          <w:sz w:val="22"/>
          <w:szCs w:val="22"/>
        </w:rPr>
        <w:t>Non-Targeted</w:t>
      </w:r>
      <w:r w:rsidRPr="00043BFD">
        <w:rPr>
          <w:rFonts w:ascii="Century Gothic" w:eastAsia="Calibri" w:hAnsi="Century Gothic" w:cs="Times New Roman"/>
          <w:color w:val="auto"/>
          <w:sz w:val="22"/>
          <w:szCs w:val="22"/>
        </w:rPr>
        <w:t xml:space="preserve"> providers. The NACCHO Pre Budget 2022/23 paper states </w:t>
      </w:r>
      <w:r w:rsidRPr="00043BFD">
        <w:rPr>
          <w:rFonts w:ascii="Century Gothic" w:eastAsia="Calibri" w:hAnsi="Century Gothic" w:cs="Times New Roman"/>
          <w:i/>
          <w:color w:val="auto"/>
          <w:sz w:val="22"/>
          <w:szCs w:val="22"/>
        </w:rPr>
        <w:t>“ACCHOs are cost-effective. Our activities result in greater health benefits per dollar spent; measured at a value of $1.19: $1”</w:t>
      </w:r>
      <w:r w:rsidRPr="00043BFD">
        <w:rPr>
          <w:rFonts w:ascii="Century Gothic" w:eastAsia="Calibri" w:hAnsi="Century Gothic" w:cs="Times New Roman"/>
          <w:color w:val="auto"/>
          <w:sz w:val="22"/>
          <w:szCs w:val="22"/>
          <w:vertAlign w:val="superscript"/>
        </w:rPr>
        <w:footnoteReference w:id="5"/>
      </w:r>
      <w:r w:rsidRPr="00043BFD">
        <w:rPr>
          <w:rFonts w:ascii="Century Gothic" w:eastAsia="Calibri" w:hAnsi="Century Gothic" w:cs="Times New Roman"/>
          <w:color w:val="auto"/>
          <w:sz w:val="22"/>
          <w:szCs w:val="22"/>
        </w:rPr>
        <w:t>.</w:t>
      </w:r>
    </w:p>
    <w:p w14:paraId="0EF8B17B" w14:textId="77777777" w:rsidR="002157BE" w:rsidRPr="00043BFD" w:rsidRDefault="002157BE" w:rsidP="002157BE">
      <w:pPr>
        <w:spacing w:before="60" w:after="60"/>
        <w:ind w:left="1080"/>
        <w:contextualSpacing/>
        <w:rPr>
          <w:rFonts w:ascii="Century Gothic" w:eastAsia="Calibri" w:hAnsi="Century Gothic" w:cs="Times New Roman"/>
          <w:color w:val="auto"/>
          <w:sz w:val="22"/>
          <w:szCs w:val="22"/>
        </w:rPr>
      </w:pPr>
    </w:p>
    <w:p w14:paraId="75BD61F6" w14:textId="77777777" w:rsidR="002157BE" w:rsidRPr="00043BFD" w:rsidRDefault="002157BE" w:rsidP="002157BE">
      <w:pPr>
        <w:numPr>
          <w:ilvl w:val="0"/>
          <w:numId w:val="41"/>
        </w:num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 xml:space="preserve">increases Commonwealth expenditure to Aboriginal and Torres Strait Islander organisations. </w:t>
      </w:r>
    </w:p>
    <w:p w14:paraId="7D64045A" w14:textId="77777777" w:rsidR="002157BE" w:rsidRPr="00043BFD" w:rsidRDefault="002157BE" w:rsidP="002157BE">
      <w:pPr>
        <w:numPr>
          <w:ilvl w:val="1"/>
          <w:numId w:val="41"/>
        </w:num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 xml:space="preserve">A report from Department of Industry, Science and Resources (2020) found that </w:t>
      </w:r>
      <w:r w:rsidRPr="00043BFD">
        <w:rPr>
          <w:rFonts w:ascii="Century Gothic" w:eastAsia="Times New Roman" w:hAnsi="Century Gothic" w:cs="Times New Roman"/>
          <w:bCs/>
          <w:i/>
          <w:color w:val="auto"/>
          <w:sz w:val="22"/>
          <w:szCs w:val="22"/>
        </w:rPr>
        <w:t>“Indigenous businesses are significantly contributing to the Australian economy and the improved circumstances of Aboriginal and Torres Strait Islander peoples, their families and communities. Yet existing government business support services do not always meet the needs of Indigenous businesses or contribute to business sector growth”</w:t>
      </w:r>
      <w:r w:rsidRPr="00043BFD">
        <w:rPr>
          <w:rFonts w:ascii="Century Gothic" w:eastAsia="Times New Roman" w:hAnsi="Century Gothic" w:cs="Times New Roman"/>
          <w:bCs/>
          <w:color w:val="auto"/>
          <w:sz w:val="22"/>
          <w:szCs w:val="22"/>
          <w:vertAlign w:val="superscript"/>
        </w:rPr>
        <w:footnoteReference w:id="6"/>
      </w:r>
      <w:r w:rsidRPr="00043BFD">
        <w:rPr>
          <w:rFonts w:ascii="Century Gothic" w:eastAsia="Times New Roman" w:hAnsi="Century Gothic" w:cs="Times New Roman"/>
          <w:bCs/>
          <w:color w:val="auto"/>
          <w:sz w:val="22"/>
          <w:szCs w:val="22"/>
        </w:rPr>
        <w:t>.</w:t>
      </w:r>
    </w:p>
    <w:p w14:paraId="0107DB2C" w14:textId="6E35784C" w:rsidR="002157BE" w:rsidRDefault="002157BE" w:rsidP="002157BE">
      <w:pPr>
        <w:numPr>
          <w:ilvl w:val="1"/>
          <w:numId w:val="40"/>
        </w:numPr>
        <w:spacing w:before="60" w:after="60"/>
        <w:rPr>
          <w:rFonts w:ascii="Calibri" w:eastAsia="Calibri" w:hAnsi="Calibri" w:cs="Times New Roman"/>
          <w:color w:val="auto"/>
          <w:sz w:val="22"/>
          <w:szCs w:val="22"/>
        </w:rPr>
      </w:pPr>
      <w:r w:rsidRPr="00043BFD">
        <w:rPr>
          <w:rFonts w:ascii="Century Gothic" w:eastAsia="Calibri" w:hAnsi="Century Gothic" w:cs="Times New Roman"/>
          <w:color w:val="auto"/>
          <w:sz w:val="22"/>
          <w:szCs w:val="22"/>
        </w:rPr>
        <w:t>A review of Department of Industry, Science and Resources grant applicants found that Aboriginal and Torres Strait Islander organisations represented only 0.2 per cent of all applicants to the department’s programs, despite Aboriginal and Torres Strait Islander organisations representing between 0.6 and 0.8 per cent of the 2.1 million businesses in Australia</w:t>
      </w:r>
      <w:r w:rsidRPr="00043BFD">
        <w:rPr>
          <w:rFonts w:ascii="Century Gothic" w:eastAsia="Calibri" w:hAnsi="Century Gothic" w:cs="Times New Roman"/>
          <w:color w:val="auto"/>
          <w:sz w:val="22"/>
          <w:szCs w:val="22"/>
          <w:vertAlign w:val="superscript"/>
        </w:rPr>
        <w:footnoteReference w:id="7"/>
      </w:r>
      <w:r w:rsidR="00F372E4">
        <w:rPr>
          <w:rFonts w:ascii="Century Gothic" w:eastAsia="Calibri" w:hAnsi="Century Gothic" w:cs="Times New Roman"/>
          <w:color w:val="auto"/>
          <w:sz w:val="22"/>
          <w:szCs w:val="22"/>
        </w:rPr>
        <w:t>.</w:t>
      </w:r>
      <w:r w:rsidRPr="00043BFD">
        <w:rPr>
          <w:rFonts w:ascii="Calibri" w:eastAsia="Calibri" w:hAnsi="Calibri" w:cs="Times New Roman"/>
          <w:color w:val="auto"/>
          <w:sz w:val="22"/>
          <w:szCs w:val="22"/>
        </w:rPr>
        <w:t xml:space="preserve"> </w:t>
      </w:r>
    </w:p>
    <w:p w14:paraId="256FDECF" w14:textId="77777777" w:rsidR="002157BE" w:rsidRPr="00043BFD" w:rsidRDefault="002157BE" w:rsidP="002157BE">
      <w:pPr>
        <w:spacing w:before="60" w:after="60"/>
        <w:ind w:left="1080"/>
        <w:rPr>
          <w:rFonts w:ascii="Calibri" w:eastAsia="Calibri" w:hAnsi="Calibri" w:cs="Times New Roman"/>
          <w:color w:val="auto"/>
          <w:sz w:val="22"/>
          <w:szCs w:val="22"/>
        </w:rPr>
      </w:pPr>
    </w:p>
    <w:p w14:paraId="4FC36B0A" w14:textId="5703AE25" w:rsidR="002157BE" w:rsidRPr="00043BFD" w:rsidRDefault="002157BE" w:rsidP="002157BE">
      <w:pPr>
        <w:numPr>
          <w:ilvl w:val="0"/>
          <w:numId w:val="41"/>
        </w:numPr>
        <w:spacing w:before="60" w:after="60"/>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supports increased employment opportunities for Aboriginal and Torres Strait Islander peoples. Research shows that Aboriginal and Torres Strait Islander organisations employ more than 30 times the proportion of Aboriginal and Torres Strait Islander people than othe</w:t>
      </w:r>
      <w:r w:rsidR="00F372E4">
        <w:rPr>
          <w:rFonts w:ascii="Century Gothic" w:eastAsia="Calibri" w:hAnsi="Century Gothic" w:cs="Times New Roman"/>
          <w:color w:val="auto"/>
          <w:sz w:val="22"/>
          <w:szCs w:val="22"/>
        </w:rPr>
        <w:t>r organisations</w:t>
      </w:r>
      <w:r w:rsidRPr="00043BFD">
        <w:rPr>
          <w:rFonts w:ascii="Century Gothic" w:eastAsia="Calibri" w:hAnsi="Century Gothic" w:cs="Times New Roman"/>
          <w:color w:val="auto"/>
          <w:sz w:val="22"/>
          <w:szCs w:val="22"/>
          <w:vertAlign w:val="superscript"/>
        </w:rPr>
        <w:footnoteReference w:id="8"/>
      </w:r>
      <w:r w:rsidR="00F372E4">
        <w:rPr>
          <w:rFonts w:ascii="Century Gothic" w:eastAsia="Calibri" w:hAnsi="Century Gothic" w:cs="Times New Roman"/>
          <w:color w:val="auto"/>
          <w:sz w:val="22"/>
          <w:szCs w:val="22"/>
        </w:rPr>
        <w:t>.</w:t>
      </w:r>
    </w:p>
    <w:p w14:paraId="0024758B" w14:textId="268D0136" w:rsidR="006376C5" w:rsidRDefault="006376C5" w:rsidP="002157BE"/>
    <w:p w14:paraId="0A742B05" w14:textId="7D4DAAD4" w:rsidR="00A211DB" w:rsidRDefault="00A211DB" w:rsidP="002157BE"/>
    <w:p w14:paraId="39C15B67" w14:textId="3F584368" w:rsidR="00A211DB" w:rsidRPr="002157BE" w:rsidRDefault="00A211DB" w:rsidP="002157BE"/>
    <w:sectPr w:rsidR="00A211DB" w:rsidRPr="002157BE" w:rsidSect="00BB7C6F">
      <w:headerReference w:type="even" r:id="rId45"/>
      <w:headerReference w:type="default" r:id="rId46"/>
      <w:footerReference w:type="even" r:id="rId47"/>
      <w:footerReference w:type="default" r:id="rId48"/>
      <w:headerReference w:type="first" r:id="rId49"/>
      <w:footerReference w:type="first" r:id="rId50"/>
      <w:pgSz w:w="11906" w:h="16838" w:code="9"/>
      <w:pgMar w:top="1701" w:right="851" w:bottom="1276" w:left="851"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3817" w14:textId="77777777" w:rsidR="00641C08" w:rsidRDefault="00641C08" w:rsidP="00B95533">
      <w:pPr>
        <w:spacing w:after="0" w:line="240" w:lineRule="auto"/>
      </w:pPr>
      <w:r>
        <w:separator/>
      </w:r>
    </w:p>
  </w:endnote>
  <w:endnote w:type="continuationSeparator" w:id="0">
    <w:p w14:paraId="157221F9" w14:textId="77777777" w:rsidR="00641C08" w:rsidRDefault="00641C08" w:rsidP="00B95533">
      <w:pPr>
        <w:spacing w:after="0" w:line="240" w:lineRule="auto"/>
      </w:pPr>
      <w:r>
        <w:continuationSeparator/>
      </w:r>
    </w:p>
  </w:endnote>
  <w:endnote w:type="continuationNotice" w:id="1">
    <w:p w14:paraId="20E08156" w14:textId="77777777" w:rsidR="00641C08" w:rsidRDefault="00641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54F1" w14:textId="5017E308" w:rsidR="00630863" w:rsidRDefault="00630863">
    <w:pPr>
      <w:pStyle w:val="Footer"/>
    </w:pPr>
    <w:r>
      <w:rPr>
        <w:noProof/>
      </w:rPr>
      <mc:AlternateContent>
        <mc:Choice Requires="wps">
          <w:drawing>
            <wp:anchor distT="0" distB="0" distL="0" distR="0" simplePos="0" relativeHeight="251658246" behindDoc="0" locked="0" layoutInCell="1" allowOverlap="1" wp14:anchorId="3F6D95BA" wp14:editId="6D2FEA5F">
              <wp:simplePos x="635" y="635"/>
              <wp:positionH relativeFrom="page">
                <wp:align>center</wp:align>
              </wp:positionH>
              <wp:positionV relativeFrom="page">
                <wp:align>bottom</wp:align>
              </wp:positionV>
              <wp:extent cx="552450" cy="390525"/>
              <wp:effectExtent l="0" t="0" r="0" b="0"/>
              <wp:wrapNone/>
              <wp:docPr id="13842818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443636FF" w14:textId="6EE89F30"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D95BA" id="_x0000_t202" coordsize="21600,21600" o:spt="202" path="m,l,21600r21600,l21600,xe">
              <v:stroke joinstyle="miter"/>
              <v:path gradientshapeok="t" o:connecttype="rect"/>
            </v:shapetype>
            <v:shape id="Text Box 5" o:spid="_x0000_s1028" type="#_x0000_t202" alt="OFFICIAL" style="position:absolute;margin-left:0;margin-top:0;width:43.5pt;height:30.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" filled="f" stroked="f">
              <v:textbox style="mso-fit-shape-to-text:t" inset="0,0,0,15pt">
                <w:txbxContent>
                  <w:p w14:paraId="443636FF" w14:textId="6EE89F30"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A697" w14:textId="2ECBCA70" w:rsidR="005D14C3" w:rsidRPr="00B663B0" w:rsidRDefault="00630863" w:rsidP="00B663B0">
    <w:pPr>
      <w:pStyle w:val="ProtectiveMarking"/>
      <w:spacing w:after="240"/>
    </w:pPr>
    <w:r>
      <w:rPr>
        <w:lang w:eastAsia="en-AU"/>
      </w:rPr>
      <mc:AlternateContent>
        <mc:Choice Requires="wps">
          <w:drawing>
            <wp:anchor distT="0" distB="0" distL="0" distR="0" simplePos="0" relativeHeight="251658247" behindDoc="0" locked="0" layoutInCell="1" allowOverlap="1" wp14:anchorId="5B21EAAD" wp14:editId="001F1F44">
              <wp:simplePos x="635" y="635"/>
              <wp:positionH relativeFrom="page">
                <wp:align>center</wp:align>
              </wp:positionH>
              <wp:positionV relativeFrom="page">
                <wp:align>bottom</wp:align>
              </wp:positionV>
              <wp:extent cx="552450" cy="390525"/>
              <wp:effectExtent l="0" t="0" r="0" b="0"/>
              <wp:wrapNone/>
              <wp:docPr id="20803945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4ECDB448" w14:textId="448A139C"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1EAAD" id="_x0000_t202" coordsize="21600,21600" o:spt="202" path="m,l,21600r21600,l21600,xe">
              <v:stroke joinstyle="miter"/>
              <v:path gradientshapeok="t" o:connecttype="rect"/>
            </v:shapetype>
            <v:shape id="Text Box 6" o:spid="_x0000_s1029" type="#_x0000_t202" alt="OFFICIAL" style="position:absolute;left:0;text-align:left;margin-left:0;margin-top:0;width:43.5pt;height:30.7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" filled="f" stroked="f">
              <v:textbox style="mso-fit-shape-to-text:t" inset="0,0,0,15pt">
                <w:txbxContent>
                  <w:p w14:paraId="4ECDB448" w14:textId="448A139C"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r w:rsidR="005D14C3">
      <w:rPr>
        <w:lang w:eastAsia="en-AU"/>
      </w:rPr>
      <w:drawing>
        <wp:anchor distT="0" distB="0" distL="114300" distR="114300" simplePos="0" relativeHeight="251658241" behindDoc="1" locked="1" layoutInCell="1" allowOverlap="1" wp14:anchorId="1F869BB9" wp14:editId="1CE16474">
          <wp:simplePos x="0" y="0"/>
          <wp:positionH relativeFrom="page">
            <wp:posOffset>17253</wp:posOffset>
          </wp:positionH>
          <wp:positionV relativeFrom="page">
            <wp:posOffset>9963509</wp:posOffset>
          </wp:positionV>
          <wp:extent cx="7524000" cy="716400"/>
          <wp:effectExtent l="0" t="0" r="1270" b="7620"/>
          <wp:wrapTight wrapText="bothSides">
            <wp:wrapPolygon edited="0">
              <wp:start x="20838" y="5170"/>
              <wp:lineTo x="20455" y="8043"/>
              <wp:lineTo x="19853" y="13787"/>
              <wp:lineTo x="19799" y="21255"/>
              <wp:lineTo x="21549" y="21255"/>
              <wp:lineTo x="21549" y="5170"/>
              <wp:lineTo x="20838" y="5170"/>
            </wp:wrapPolygon>
          </wp:wrapTight>
          <wp:docPr id="10" name="Picture 10"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sidR="005D14C3">
      <w:rPr>
        <w:lang w:eastAsia="en-AU"/>
      </w:rPr>
      <w:t xml:space="preserve"> </w:t>
    </w:r>
  </w:p>
  <w:p w14:paraId="3883E0AC" w14:textId="619075CB" w:rsidR="005D14C3" w:rsidRPr="0040648D" w:rsidRDefault="005D14C3" w:rsidP="00A25195">
    <w:pPr>
      <w:pStyle w:val="Footer"/>
      <w:pBdr>
        <w:top w:val="single" w:sz="24" w:space="7" w:color="2A4055" w:themeColor="accent1"/>
      </w:pBdr>
      <w:tabs>
        <w:tab w:val="clear" w:pos="4513"/>
        <w:tab w:val="clear" w:pos="9026"/>
        <w:tab w:val="left" w:pos="3089"/>
      </w:tabs>
      <w:rPr>
        <w:color w:val="2A4055" w:themeColor="accent1"/>
      </w:rPr>
    </w:pPr>
    <w:r>
      <w:rPr>
        <w:color w:val="2A4055" w:themeColor="accent1"/>
      </w:rPr>
      <w:t>NIAA |</w:t>
    </w:r>
    <w:r w:rsidRPr="00A25195">
      <w:rPr>
        <w:color w:val="2A4055" w:themeColor="accent1"/>
      </w:rPr>
      <w:t xml:space="preserve"> </w:t>
    </w:r>
    <w:r>
      <w:rPr>
        <w:color w:val="2A4055" w:themeColor="accent1"/>
      </w:rPr>
      <w:t>Closing the Gap| Priority Reform Two| Competitive Grants Prioritisation Guide</w:t>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5F43FA">
      <w:rPr>
        <w:noProof/>
        <w:color w:val="2A4055" w:themeColor="accent1"/>
      </w:rPr>
      <w:t>19</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FC19" w14:textId="4E110CFB" w:rsidR="005D14C3" w:rsidRPr="00B87E45" w:rsidRDefault="00630863" w:rsidP="00730910">
    <w:pPr>
      <w:pStyle w:val="ProtectiveMarking"/>
      <w:spacing w:after="240"/>
    </w:pPr>
    <w:r>
      <mc:AlternateContent>
        <mc:Choice Requires="wps">
          <w:drawing>
            <wp:anchor distT="0" distB="0" distL="0" distR="0" simplePos="0" relativeHeight="251658245" behindDoc="0" locked="0" layoutInCell="1" allowOverlap="1" wp14:anchorId="7F2BCCF3" wp14:editId="56EBDE57">
              <wp:simplePos x="635" y="635"/>
              <wp:positionH relativeFrom="page">
                <wp:align>center</wp:align>
              </wp:positionH>
              <wp:positionV relativeFrom="page">
                <wp:align>bottom</wp:align>
              </wp:positionV>
              <wp:extent cx="552450" cy="390525"/>
              <wp:effectExtent l="0" t="0" r="0" b="0"/>
              <wp:wrapNone/>
              <wp:docPr id="203294586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39B48A2A" w14:textId="5E254599"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BCCF3" id="_x0000_t202" coordsize="21600,21600" o:spt="202" path="m,l,21600r21600,l21600,xe">
              <v:stroke joinstyle="miter"/>
              <v:path gradientshapeok="t" o:connecttype="rect"/>
            </v:shapetype>
            <v:shape id="Text Box 4" o:spid="_x0000_s1031" type="#_x0000_t202" alt="OFFICIAL" style="position:absolute;left:0;text-align:left;margin-left:0;margin-top:0;width:43.5pt;height:30.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" filled="f" stroked="f">
              <v:textbox style="mso-fit-shape-to-text:t" inset="0,0,0,15pt">
                <w:txbxContent>
                  <w:p w14:paraId="39B48A2A" w14:textId="5E254599"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p>
  <w:p w14:paraId="118F1BDC" w14:textId="3B613EB6" w:rsidR="005D14C3" w:rsidRPr="0040648D" w:rsidRDefault="00BB7C6F"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8240" behindDoc="1" locked="0" layoutInCell="1" allowOverlap="1" wp14:anchorId="2CF41FB7" wp14:editId="677DCCD9">
          <wp:simplePos x="0" y="0"/>
          <wp:positionH relativeFrom="margin">
            <wp:posOffset>-514506</wp:posOffset>
          </wp:positionH>
          <wp:positionV relativeFrom="paragraph">
            <wp:posOffset>123549</wp:posOffset>
          </wp:positionV>
          <wp:extent cx="7524115" cy="715010"/>
          <wp:effectExtent l="0" t="0" r="635" b="8890"/>
          <wp:wrapTight wrapText="bothSides">
            <wp:wrapPolygon edited="0">
              <wp:start x="20836" y="5179"/>
              <wp:lineTo x="20453" y="8057"/>
              <wp:lineTo x="19852" y="13812"/>
              <wp:lineTo x="19797" y="21293"/>
              <wp:lineTo x="21547" y="21293"/>
              <wp:lineTo x="21547" y="5179"/>
              <wp:lineTo x="20836" y="5179"/>
            </wp:wrapPolygon>
          </wp:wrapTight>
          <wp:docPr id="12" name="Picture 12"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715010"/>
                  </a:xfrm>
                  <a:prstGeom prst="rect">
                    <a:avLst/>
                  </a:prstGeom>
                </pic:spPr>
              </pic:pic>
            </a:graphicData>
          </a:graphic>
          <wp14:sizeRelH relativeFrom="page">
            <wp14:pctWidth>0</wp14:pctWidth>
          </wp14:sizeRelH>
          <wp14:sizeRelV relativeFrom="page">
            <wp14:pctHeight>0</wp14:pctHeight>
          </wp14:sizeRelV>
        </wp:anchor>
      </w:drawing>
    </w:r>
    <w:r w:rsidR="005D14C3">
      <w:rPr>
        <w:color w:val="2A4055" w:themeColor="accent1"/>
      </w:rPr>
      <w:t>Closing the Gap| Priority Reform Two| Aligning to Closing the Gap: Competitive Grants Guidelines| Updated 03 Nov 23</w:t>
    </w:r>
  </w:p>
  <w:p w14:paraId="18A52EE7" w14:textId="77777777" w:rsidR="005D14C3" w:rsidRDefault="005D1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F93F" w14:textId="77777777" w:rsidR="00641C08" w:rsidRPr="007A6FC6" w:rsidRDefault="00641C08" w:rsidP="00B95533">
      <w:pPr>
        <w:spacing w:after="0" w:line="240" w:lineRule="auto"/>
        <w:rPr>
          <w:color w:val="00948D" w:themeColor="accent2"/>
        </w:rPr>
      </w:pPr>
      <w:r w:rsidRPr="007A6FC6">
        <w:rPr>
          <w:color w:val="00948D" w:themeColor="accent2"/>
        </w:rPr>
        <w:separator/>
      </w:r>
    </w:p>
  </w:footnote>
  <w:footnote w:type="continuationSeparator" w:id="0">
    <w:p w14:paraId="3AB80087" w14:textId="77777777" w:rsidR="00641C08" w:rsidRPr="007A6FC6" w:rsidRDefault="00641C08" w:rsidP="00B95533">
      <w:pPr>
        <w:spacing w:after="0" w:line="240" w:lineRule="auto"/>
        <w:rPr>
          <w:color w:val="00948D" w:themeColor="accent2"/>
        </w:rPr>
      </w:pPr>
      <w:r w:rsidRPr="007A6FC6">
        <w:rPr>
          <w:color w:val="00948D" w:themeColor="accent2"/>
        </w:rPr>
        <w:continuationSeparator/>
      </w:r>
    </w:p>
  </w:footnote>
  <w:footnote w:type="continuationNotice" w:id="1">
    <w:p w14:paraId="52BF86F8" w14:textId="77777777" w:rsidR="00641C08" w:rsidRDefault="00641C08">
      <w:pPr>
        <w:spacing w:after="0" w:line="240" w:lineRule="auto"/>
      </w:pPr>
    </w:p>
  </w:footnote>
  <w:footnote w:id="2">
    <w:p w14:paraId="16EE3AAF" w14:textId="084BC924" w:rsidR="005D14C3" w:rsidRDefault="005D14C3" w:rsidP="002157BE">
      <w:pPr>
        <w:pStyle w:val="FootnoteText"/>
      </w:pPr>
      <w:r>
        <w:rPr>
          <w:rStyle w:val="FootnoteReference"/>
        </w:rPr>
        <w:footnoteRef/>
      </w:r>
      <w:r>
        <w:t xml:space="preserve"> National Aboriginal Community Controlled Health Organisation, Annual Report 2019-20. </w:t>
      </w:r>
    </w:p>
  </w:footnote>
  <w:footnote w:id="3">
    <w:p w14:paraId="4C4E17DA" w14:textId="77777777" w:rsidR="005D14C3" w:rsidRDefault="005D14C3" w:rsidP="002157BE">
      <w:pPr>
        <w:pStyle w:val="FootnoteText"/>
      </w:pPr>
      <w:r>
        <w:rPr>
          <w:rStyle w:val="FootnoteReference"/>
        </w:rPr>
        <w:footnoteRef/>
      </w:r>
      <w:r>
        <w:t xml:space="preserve"> Aboriginal Legal Service, Annual Report 2019-20.</w:t>
      </w:r>
    </w:p>
  </w:footnote>
  <w:footnote w:id="4">
    <w:p w14:paraId="6AF5DC96"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1" w:history="1">
        <w:r w:rsidRPr="005A5D04">
          <w:rPr>
            <w:rStyle w:val="Hyperlink1"/>
            <w:color w:val="007BBA"/>
            <w:sz w:val="12"/>
            <w:szCs w:val="12"/>
          </w:rPr>
          <w:t>National Agreement on Closing the Gap | Closing the Gap</w:t>
        </w:r>
      </w:hyperlink>
    </w:p>
  </w:footnote>
  <w:footnote w:id="5">
    <w:p w14:paraId="751C50E3"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2" w:history="1">
        <w:r w:rsidRPr="005A5D04">
          <w:rPr>
            <w:rStyle w:val="Hyperlink1"/>
            <w:color w:val="007BBA"/>
            <w:sz w:val="12"/>
            <w:szCs w:val="12"/>
          </w:rPr>
          <w:t>National Aboriginal Community Controlled Health Organisation - 2022-23 Pre-Budget Submissions (treasury.gov.au)</w:t>
        </w:r>
      </w:hyperlink>
    </w:p>
  </w:footnote>
  <w:footnote w:id="6">
    <w:p w14:paraId="5A5811F8"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3" w:history="1">
        <w:r w:rsidRPr="005A5D04">
          <w:rPr>
            <w:rStyle w:val="Hyperlink1"/>
            <w:color w:val="007BBA"/>
            <w:sz w:val="12"/>
            <w:szCs w:val="12"/>
          </w:rPr>
          <w:t>Supporting Indigenous business project | Department of Industry, Science and Resources</w:t>
        </w:r>
      </w:hyperlink>
    </w:p>
  </w:footnote>
  <w:footnote w:id="7">
    <w:p w14:paraId="7FB63A85" w14:textId="77777777" w:rsidR="005D14C3" w:rsidRPr="005A5D04" w:rsidRDefault="005D14C3" w:rsidP="002157BE">
      <w:pPr>
        <w:pStyle w:val="FootnoteText"/>
        <w:rPr>
          <w:rStyle w:val="Hyperlink1"/>
          <w:color w:val="007BBA"/>
          <w:sz w:val="12"/>
          <w:szCs w:val="12"/>
        </w:rPr>
      </w:pPr>
      <w:r w:rsidRPr="004D6107">
        <w:rPr>
          <w:rStyle w:val="FootnoteReference"/>
          <w:sz w:val="12"/>
          <w:szCs w:val="12"/>
        </w:rPr>
        <w:footnoteRef/>
      </w:r>
      <w:r w:rsidRPr="004D6107">
        <w:rPr>
          <w:sz w:val="12"/>
          <w:szCs w:val="12"/>
        </w:rPr>
        <w:t xml:space="preserve"> </w:t>
      </w:r>
      <w:hyperlink r:id="rId4" w:history="1">
        <w:r w:rsidRPr="005A5D04">
          <w:rPr>
            <w:rStyle w:val="Hyperlink1"/>
            <w:color w:val="007BBA"/>
            <w:sz w:val="12"/>
            <w:szCs w:val="12"/>
          </w:rPr>
          <w:t>Current state of play for Indigenous business | Department of Industry, Science, Energy and Resources</w:t>
        </w:r>
      </w:hyperlink>
      <w:r w:rsidRPr="005A5D04">
        <w:rPr>
          <w:rStyle w:val="Hyperlink1"/>
          <w:color w:val="007BBA"/>
          <w:sz w:val="12"/>
          <w:szCs w:val="12"/>
        </w:rPr>
        <w:t>.</w:t>
      </w:r>
    </w:p>
  </w:footnote>
  <w:footnote w:id="8">
    <w:p w14:paraId="0CF001F2"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5" w:history="1">
        <w:r w:rsidRPr="005A5D04">
          <w:rPr>
            <w:rStyle w:val="Hyperlink1"/>
            <w:color w:val="007BBA"/>
            <w:sz w:val="12"/>
            <w:szCs w:val="12"/>
          </w:rPr>
          <w:t>Sleeping-Giant-Report.pdf (supplynation.org.au)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5FDA" w14:textId="3741987E" w:rsidR="00630863" w:rsidRDefault="00630863">
    <w:pPr>
      <w:pStyle w:val="Header"/>
    </w:pPr>
    <w:r>
      <w:rPr>
        <w:noProof/>
      </w:rPr>
      <mc:AlternateContent>
        <mc:Choice Requires="wps">
          <w:drawing>
            <wp:anchor distT="0" distB="0" distL="0" distR="0" simplePos="0" relativeHeight="251658243" behindDoc="0" locked="0" layoutInCell="1" allowOverlap="1" wp14:anchorId="6A83DD22" wp14:editId="706EF8BF">
              <wp:simplePos x="635" y="635"/>
              <wp:positionH relativeFrom="page">
                <wp:align>center</wp:align>
              </wp:positionH>
              <wp:positionV relativeFrom="page">
                <wp:align>top</wp:align>
              </wp:positionV>
              <wp:extent cx="552450" cy="390525"/>
              <wp:effectExtent l="0" t="0" r="0" b="9525"/>
              <wp:wrapNone/>
              <wp:docPr id="3076546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3221F21C" w14:textId="5B51E946"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3DD22"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" filled="f" stroked="f">
              <v:textbox style="mso-fit-shape-to-text:t" inset="0,15pt,0,0">
                <w:txbxContent>
                  <w:p w14:paraId="3221F21C" w14:textId="5B51E946"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6094" w14:textId="5EC51F43" w:rsidR="005D14C3" w:rsidRDefault="00630863" w:rsidP="007C5662">
    <w:pPr>
      <w:pStyle w:val="ProtectiveMarking"/>
    </w:pPr>
    <w:r>
      <mc:AlternateContent>
        <mc:Choice Requires="wps">
          <w:drawing>
            <wp:anchor distT="0" distB="0" distL="0" distR="0" simplePos="0" relativeHeight="251658244" behindDoc="0" locked="0" layoutInCell="1" allowOverlap="1" wp14:anchorId="4B4D375D" wp14:editId="1061E047">
              <wp:simplePos x="635" y="635"/>
              <wp:positionH relativeFrom="page">
                <wp:align>center</wp:align>
              </wp:positionH>
              <wp:positionV relativeFrom="page">
                <wp:align>top</wp:align>
              </wp:positionV>
              <wp:extent cx="552450" cy="390525"/>
              <wp:effectExtent l="0" t="0" r="0" b="9525"/>
              <wp:wrapNone/>
              <wp:docPr id="10131578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50989B5F" w14:textId="098D64D4"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D375D" id="_x0000_t202" coordsize="21600,21600" o:spt="202" path="m,l,21600r21600,l21600,xe">
              <v:stroke joinstyle="miter"/>
              <v:path gradientshapeok="t" o:connecttype="rect"/>
            </v:shapetype>
            <v:shape id="Text Box 3" o:spid="_x0000_s1027" type="#_x0000_t202" alt="OFFICIAL" style="position:absolute;left:0;text-align:left;margin-left:0;margin-top:0;width:43.5pt;height:30.7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" filled="f" stroked="f">
              <v:textbox style="mso-fit-shape-to-text:t" inset="0,15pt,0,0">
                <w:txbxContent>
                  <w:p w14:paraId="50989B5F" w14:textId="098D64D4"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p>
  <w:p w14:paraId="5377BC38" w14:textId="77777777" w:rsidR="005D14C3" w:rsidRDefault="005D14C3">
    <w:pPr>
      <w:pStyle w:val="Header"/>
    </w:pPr>
  </w:p>
  <w:p w14:paraId="337CA1DC" w14:textId="77777777" w:rsidR="005D14C3" w:rsidRDefault="005D14C3">
    <w:pPr>
      <w:pStyle w:val="Header"/>
    </w:pPr>
  </w:p>
  <w:p w14:paraId="4F5A55E1" w14:textId="77777777" w:rsidR="005D14C3" w:rsidRDefault="005D1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E7A6" w14:textId="0BC0753C" w:rsidR="005D14C3" w:rsidRDefault="00630863" w:rsidP="00BB7C6F">
    <w:pPr>
      <w:pStyle w:val="Header"/>
      <w:tabs>
        <w:tab w:val="clear" w:pos="4513"/>
        <w:tab w:val="clear" w:pos="9026"/>
        <w:tab w:val="left" w:pos="4100"/>
      </w:tabs>
      <w:ind w:left="-851"/>
    </w:pPr>
    <w:r>
      <w:rPr>
        <w:noProof/>
        <w:lang w:eastAsia="en-AU"/>
      </w:rPr>
      <mc:AlternateContent>
        <mc:Choice Requires="wps">
          <w:drawing>
            <wp:anchor distT="0" distB="0" distL="0" distR="0" simplePos="0" relativeHeight="251658242" behindDoc="0" locked="0" layoutInCell="1" allowOverlap="1" wp14:anchorId="715E4693" wp14:editId="179D1720">
              <wp:simplePos x="635" y="635"/>
              <wp:positionH relativeFrom="page">
                <wp:align>center</wp:align>
              </wp:positionH>
              <wp:positionV relativeFrom="page">
                <wp:align>top</wp:align>
              </wp:positionV>
              <wp:extent cx="552450" cy="390525"/>
              <wp:effectExtent l="0" t="0" r="0" b="9525"/>
              <wp:wrapNone/>
              <wp:docPr id="18452073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552450" cy="390525"/>
                      </a:xfrm>
                      <a:prstGeom prst="rect">
                        <a:avLst/>
                      </a:prstGeom>
                      <a:noFill/>
                      <a:ln>
                        <a:noFill/>
                      </a:ln>
                    </wps:spPr>
                    <wps:txbx>
                      <w:txbxContent>
                        <w:p w14:paraId="59C8ADC9" w14:textId="02BFEABD"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E4693" id="_x0000_t202" coordsize="21600,21600" o:spt="202" path="m,l,21600r21600,l21600,xe">
              <v:stroke joinstyle="miter"/>
              <v:path gradientshapeok="t" o:connecttype="rect"/>
            </v:shapetype>
            <v:shape id="Text Box 1" o:spid="_x0000_s1030" type="#_x0000_t202" alt="OFFICIAL" style="position:absolute;left:0;text-align:left;margin-left:0;margin-top:0;width:43.5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" filled="f" stroked="f">
              <v:textbox style="mso-fit-shape-to-text:t" inset="0,15pt,0,0">
                <w:txbxContent>
                  <w:p w14:paraId="59C8ADC9" w14:textId="02BFEABD" w:rsidR="00630863" w:rsidRPr="00630863" w:rsidRDefault="00630863" w:rsidP="00630863">
                    <w:pPr>
                      <w:spacing w:after="0"/>
                      <w:rPr>
                        <w:rFonts w:ascii="Calibri" w:eastAsia="Calibri" w:hAnsi="Calibri" w:cs="Calibri"/>
                        <w:noProof/>
                        <w:color w:val="FF0000"/>
                        <w:sz w:val="24"/>
                        <w:szCs w:val="24"/>
                      </w:rPr>
                    </w:pPr>
                    <w:r w:rsidRPr="00630863">
                      <w:rPr>
                        <w:rFonts w:ascii="Calibri" w:eastAsia="Calibri" w:hAnsi="Calibri" w:cs="Calibri"/>
                        <w:noProof/>
                        <w:color w:val="FF0000"/>
                        <w:sz w:val="24"/>
                        <w:szCs w:val="24"/>
                      </w:rPr>
                      <w:t>OFFICIAL</w:t>
                    </w:r>
                  </w:p>
                </w:txbxContent>
              </v:textbox>
              <w10:wrap anchorx="page" anchory="page"/>
            </v:shape>
          </w:pict>
        </mc:Fallback>
      </mc:AlternateContent>
    </w:r>
    <w:r w:rsidR="00BB7C6F">
      <w:rPr>
        <w:noProof/>
        <w:lang w:eastAsia="en-AU"/>
      </w:rPr>
      <w:drawing>
        <wp:inline distT="0" distB="0" distL="0" distR="0" wp14:anchorId="2ADE3248" wp14:editId="293BCC80">
          <wp:extent cx="7555654" cy="1331347"/>
          <wp:effectExtent l="0" t="0" r="7620" b="2540"/>
          <wp:docPr id="11" name="Picture 11" descr="Australian Government&#10;National indigenous Australians Agency&#10;Working with Aboriginal and Torres Strait Islander peoples" title="Australian Government, National indigenous Australians Agency, 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B5B29"/>
    <w:multiLevelType w:val="hybridMultilevel"/>
    <w:tmpl w:val="AABECFE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0A2C90"/>
    <w:multiLevelType w:val="hybridMultilevel"/>
    <w:tmpl w:val="91E218F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90EA4"/>
    <w:multiLevelType w:val="hybridMultilevel"/>
    <w:tmpl w:val="D130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4D7728"/>
    <w:multiLevelType w:val="hybridMultilevel"/>
    <w:tmpl w:val="A99A05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D6503FB"/>
    <w:multiLevelType w:val="hybridMultilevel"/>
    <w:tmpl w:val="D15AD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E8304F"/>
    <w:multiLevelType w:val="hybridMultilevel"/>
    <w:tmpl w:val="2A62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2C8A2B3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F2765D9"/>
    <w:multiLevelType w:val="hybridMultilevel"/>
    <w:tmpl w:val="EE222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77FFD"/>
    <w:multiLevelType w:val="hybridMultilevel"/>
    <w:tmpl w:val="0AC20AD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24C26B73"/>
    <w:multiLevelType w:val="hybridMultilevel"/>
    <w:tmpl w:val="328A50F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622B13"/>
    <w:multiLevelType w:val="hybridMultilevel"/>
    <w:tmpl w:val="7512A5C6"/>
    <w:lvl w:ilvl="0" w:tplc="178A6294">
      <w:start w:val="1"/>
      <w:numFmt w:val="bullet"/>
      <w:pStyle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2B2681"/>
    <w:multiLevelType w:val="hybridMultilevel"/>
    <w:tmpl w:val="032E7276"/>
    <w:lvl w:ilvl="0" w:tplc="F6862328">
      <w:start w:val="8"/>
      <w:numFmt w:val="bullet"/>
      <w:lvlText w:val="-"/>
      <w:lvlJc w:val="left"/>
      <w:pPr>
        <w:ind w:left="360" w:hanging="360"/>
      </w:pPr>
      <w:rPr>
        <w:rFonts w:ascii="Century Gothic" w:eastAsia="Times New Roman" w:hAnsi="Century Gothic" w:cstheme="majorBidi" w:hint="default"/>
        <w:color w:val="293F54" w:themeColor="accent5" w:themeTint="E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457283"/>
    <w:multiLevelType w:val="hybridMultilevel"/>
    <w:tmpl w:val="3D180B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AF42E1"/>
    <w:multiLevelType w:val="hybridMultilevel"/>
    <w:tmpl w:val="F278A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C73061"/>
    <w:multiLevelType w:val="hybridMultilevel"/>
    <w:tmpl w:val="F8406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F33E6E"/>
    <w:multiLevelType w:val="hybridMultilevel"/>
    <w:tmpl w:val="9A14711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043B39"/>
    <w:multiLevelType w:val="hybridMultilevel"/>
    <w:tmpl w:val="A8902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7E16BA5"/>
    <w:multiLevelType w:val="hybridMultilevel"/>
    <w:tmpl w:val="B1AE1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116C58"/>
    <w:multiLevelType w:val="hybridMultilevel"/>
    <w:tmpl w:val="63EC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2576E"/>
    <w:multiLevelType w:val="hybridMultilevel"/>
    <w:tmpl w:val="AA22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D172C"/>
    <w:multiLevelType w:val="hybridMultilevel"/>
    <w:tmpl w:val="4E7A233A"/>
    <w:lvl w:ilvl="0" w:tplc="E11A438A">
      <w:start w:val="1"/>
      <w:numFmt w:val="lowerLetter"/>
      <w:lvlText w:val="%1."/>
      <w:lvlJc w:val="left"/>
      <w:pPr>
        <w:tabs>
          <w:tab w:val="num" w:pos="360"/>
        </w:tabs>
        <w:ind w:left="360" w:hanging="360"/>
      </w:pPr>
    </w:lvl>
    <w:lvl w:ilvl="1" w:tplc="74508CB4">
      <w:start w:val="1"/>
      <w:numFmt w:val="lowerLetter"/>
      <w:lvlText w:val="%2."/>
      <w:lvlJc w:val="left"/>
      <w:pPr>
        <w:tabs>
          <w:tab w:val="num" w:pos="1080"/>
        </w:tabs>
        <w:ind w:left="1080" w:hanging="360"/>
      </w:pPr>
    </w:lvl>
    <w:lvl w:ilvl="2" w:tplc="6E32E572" w:tentative="1">
      <w:start w:val="1"/>
      <w:numFmt w:val="lowerLetter"/>
      <w:lvlText w:val="%3."/>
      <w:lvlJc w:val="left"/>
      <w:pPr>
        <w:tabs>
          <w:tab w:val="num" w:pos="1800"/>
        </w:tabs>
        <w:ind w:left="1800" w:hanging="360"/>
      </w:pPr>
    </w:lvl>
    <w:lvl w:ilvl="3" w:tplc="071E62F0" w:tentative="1">
      <w:start w:val="1"/>
      <w:numFmt w:val="lowerLetter"/>
      <w:lvlText w:val="%4."/>
      <w:lvlJc w:val="left"/>
      <w:pPr>
        <w:tabs>
          <w:tab w:val="num" w:pos="2520"/>
        </w:tabs>
        <w:ind w:left="2520" w:hanging="360"/>
      </w:pPr>
    </w:lvl>
    <w:lvl w:ilvl="4" w:tplc="E95E4CF0" w:tentative="1">
      <w:start w:val="1"/>
      <w:numFmt w:val="lowerLetter"/>
      <w:lvlText w:val="%5."/>
      <w:lvlJc w:val="left"/>
      <w:pPr>
        <w:tabs>
          <w:tab w:val="num" w:pos="3240"/>
        </w:tabs>
        <w:ind w:left="3240" w:hanging="360"/>
      </w:pPr>
    </w:lvl>
    <w:lvl w:ilvl="5" w:tplc="E6B8C3E0" w:tentative="1">
      <w:start w:val="1"/>
      <w:numFmt w:val="lowerLetter"/>
      <w:lvlText w:val="%6."/>
      <w:lvlJc w:val="left"/>
      <w:pPr>
        <w:tabs>
          <w:tab w:val="num" w:pos="3960"/>
        </w:tabs>
        <w:ind w:left="3960" w:hanging="360"/>
      </w:pPr>
    </w:lvl>
    <w:lvl w:ilvl="6" w:tplc="184EAD5C" w:tentative="1">
      <w:start w:val="1"/>
      <w:numFmt w:val="lowerLetter"/>
      <w:lvlText w:val="%7."/>
      <w:lvlJc w:val="left"/>
      <w:pPr>
        <w:tabs>
          <w:tab w:val="num" w:pos="4680"/>
        </w:tabs>
        <w:ind w:left="4680" w:hanging="360"/>
      </w:pPr>
    </w:lvl>
    <w:lvl w:ilvl="7" w:tplc="2D6272B2" w:tentative="1">
      <w:start w:val="1"/>
      <w:numFmt w:val="lowerLetter"/>
      <w:lvlText w:val="%8."/>
      <w:lvlJc w:val="left"/>
      <w:pPr>
        <w:tabs>
          <w:tab w:val="num" w:pos="5400"/>
        </w:tabs>
        <w:ind w:left="5400" w:hanging="360"/>
      </w:pPr>
    </w:lvl>
    <w:lvl w:ilvl="8" w:tplc="BAA0104C" w:tentative="1">
      <w:start w:val="1"/>
      <w:numFmt w:val="lowerLetter"/>
      <w:lvlText w:val="%9."/>
      <w:lvlJc w:val="left"/>
      <w:pPr>
        <w:tabs>
          <w:tab w:val="num" w:pos="6120"/>
        </w:tabs>
        <w:ind w:left="6120" w:hanging="360"/>
      </w:pPr>
    </w:lvl>
  </w:abstractNum>
  <w:abstractNum w:abstractNumId="24" w15:restartNumberingAfterBreak="0">
    <w:nsid w:val="3C1A716F"/>
    <w:multiLevelType w:val="hybridMultilevel"/>
    <w:tmpl w:val="C0CCE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FF19AC"/>
    <w:multiLevelType w:val="hybridMultilevel"/>
    <w:tmpl w:val="FD289AA2"/>
    <w:lvl w:ilvl="0" w:tplc="2F6EF78C">
      <w:start w:val="1"/>
      <w:numFmt w:val="decimal"/>
      <w:pStyle w:val="List1"/>
      <w:lvlText w:val="%1."/>
      <w:lvlJc w:val="left"/>
      <w:pPr>
        <w:ind w:left="-51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
      <w:lvlText w:val="%2."/>
      <w:lvlJc w:val="left"/>
      <w:pPr>
        <w:ind w:left="0" w:hanging="360"/>
      </w:pPr>
      <w:rPr>
        <w:b w:val="0"/>
      </w:rPr>
    </w:lvl>
    <w:lvl w:ilvl="2" w:tplc="C1CAFE18">
      <w:start w:val="1"/>
      <w:numFmt w:val="lowerRoman"/>
      <w:pStyle w:val="romanlist"/>
      <w:lvlText w:val="%3."/>
      <w:lvlJc w:val="right"/>
      <w:pPr>
        <w:ind w:left="720" w:hanging="180"/>
      </w:pPr>
      <w:rPr>
        <w:b w:val="0"/>
      </w:rPr>
    </w:lvl>
    <w:lvl w:ilvl="3" w:tplc="0C09000F">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6" w15:restartNumberingAfterBreak="0">
    <w:nsid w:val="3F682D0B"/>
    <w:multiLevelType w:val="hybridMultilevel"/>
    <w:tmpl w:val="126870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0832C07"/>
    <w:multiLevelType w:val="hybridMultilevel"/>
    <w:tmpl w:val="9C947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522EBE"/>
    <w:multiLevelType w:val="hybridMultilevel"/>
    <w:tmpl w:val="1FA44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AF2C7B"/>
    <w:multiLevelType w:val="hybridMultilevel"/>
    <w:tmpl w:val="DEBC6D6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522186"/>
    <w:multiLevelType w:val="hybridMultilevel"/>
    <w:tmpl w:val="A3DCB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1D0237"/>
    <w:multiLevelType w:val="hybridMultilevel"/>
    <w:tmpl w:val="4E94D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6A7CB3"/>
    <w:multiLevelType w:val="hybridMultilevel"/>
    <w:tmpl w:val="3C9EE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A70315"/>
    <w:multiLevelType w:val="hybridMultilevel"/>
    <w:tmpl w:val="0D04B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C44C07"/>
    <w:multiLevelType w:val="hybridMultilevel"/>
    <w:tmpl w:val="CF92A670"/>
    <w:lvl w:ilvl="0" w:tplc="0C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lvlText w:val="%2."/>
      <w:lvlJc w:val="left"/>
      <w:pPr>
        <w:ind w:left="873" w:hanging="360"/>
      </w:pPr>
      <w:rPr>
        <w:b w:val="0"/>
      </w:rPr>
    </w:lvl>
    <w:lvl w:ilvl="2" w:tplc="C1CAFE18">
      <w:start w:val="1"/>
      <w:numFmt w:val="lowerRoman"/>
      <w:lvlText w:val="%3."/>
      <w:lvlJc w:val="right"/>
      <w:pPr>
        <w:ind w:left="1593" w:hanging="180"/>
      </w:pPr>
      <w:rPr>
        <w:b w:val="0"/>
      </w:rPr>
    </w:lvl>
    <w:lvl w:ilvl="3" w:tplc="0C09000F">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5" w15:restartNumberingAfterBreak="0">
    <w:nsid w:val="5DB82005"/>
    <w:multiLevelType w:val="hybridMultilevel"/>
    <w:tmpl w:val="3A24C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7"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8" w15:restartNumberingAfterBreak="0">
    <w:nsid w:val="62F52C7D"/>
    <w:multiLevelType w:val="hybridMultilevel"/>
    <w:tmpl w:val="2554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604B65"/>
    <w:multiLevelType w:val="hybridMultilevel"/>
    <w:tmpl w:val="44A019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963EBD"/>
    <w:multiLevelType w:val="hybridMultilevel"/>
    <w:tmpl w:val="70807E1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A73322"/>
    <w:multiLevelType w:val="hybridMultilevel"/>
    <w:tmpl w:val="D562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3"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4" w15:restartNumberingAfterBreak="0">
    <w:nsid w:val="73CE6C6D"/>
    <w:multiLevelType w:val="hybridMultilevel"/>
    <w:tmpl w:val="B7BEA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6D12E6"/>
    <w:multiLevelType w:val="hybridMultilevel"/>
    <w:tmpl w:val="E236D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F43C81"/>
    <w:multiLevelType w:val="hybridMultilevel"/>
    <w:tmpl w:val="A5A40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4152131">
    <w:abstractNumId w:val="36"/>
  </w:num>
  <w:num w:numId="2" w16cid:durableId="549192804">
    <w:abstractNumId w:val="19"/>
  </w:num>
  <w:num w:numId="3" w16cid:durableId="230701290">
    <w:abstractNumId w:val="37"/>
  </w:num>
  <w:num w:numId="4" w16cid:durableId="605503786">
    <w:abstractNumId w:val="3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16cid:durableId="1945649716">
    <w:abstractNumId w:val="5"/>
  </w:num>
  <w:num w:numId="6" w16cid:durableId="2034648897">
    <w:abstractNumId w:val="43"/>
  </w:num>
  <w:num w:numId="7" w16cid:durableId="644552772">
    <w:abstractNumId w:val="42"/>
  </w:num>
  <w:num w:numId="8" w16cid:durableId="519467333">
    <w:abstractNumId w:val="14"/>
  </w:num>
  <w:num w:numId="9" w16cid:durableId="651132830">
    <w:abstractNumId w:val="25"/>
  </w:num>
  <w:num w:numId="10" w16cid:durableId="1662736365">
    <w:abstractNumId w:val="8"/>
  </w:num>
  <w:num w:numId="11" w16cid:durableId="21321873">
    <w:abstractNumId w:val="23"/>
  </w:num>
  <w:num w:numId="12" w16cid:durableId="556598211">
    <w:abstractNumId w:val="12"/>
  </w:num>
  <w:num w:numId="13" w16cid:durableId="626742338">
    <w:abstractNumId w:val="0"/>
  </w:num>
  <w:num w:numId="14" w16cid:durableId="605191919">
    <w:abstractNumId w:val="18"/>
  </w:num>
  <w:num w:numId="15" w16cid:durableId="1101147548">
    <w:abstractNumId w:val="34"/>
  </w:num>
  <w:num w:numId="16" w16cid:durableId="968583686">
    <w:abstractNumId w:val="21"/>
  </w:num>
  <w:num w:numId="17" w16cid:durableId="1589802181">
    <w:abstractNumId w:val="38"/>
  </w:num>
  <w:num w:numId="18" w16cid:durableId="1685282789">
    <w:abstractNumId w:val="2"/>
  </w:num>
  <w:num w:numId="19" w16cid:durableId="1075476668">
    <w:abstractNumId w:val="45"/>
  </w:num>
  <w:num w:numId="20" w16cid:durableId="1446343323">
    <w:abstractNumId w:val="4"/>
  </w:num>
  <w:num w:numId="21" w16cid:durableId="760562367">
    <w:abstractNumId w:val="32"/>
  </w:num>
  <w:num w:numId="22" w16cid:durableId="1732192942">
    <w:abstractNumId w:val="44"/>
  </w:num>
  <w:num w:numId="23" w16cid:durableId="1428118669">
    <w:abstractNumId w:val="30"/>
  </w:num>
  <w:num w:numId="24" w16cid:durableId="384648974">
    <w:abstractNumId w:val="40"/>
  </w:num>
  <w:num w:numId="25" w16cid:durableId="278486759">
    <w:abstractNumId w:val="11"/>
  </w:num>
  <w:num w:numId="26" w16cid:durableId="1711028395">
    <w:abstractNumId w:val="35"/>
  </w:num>
  <w:num w:numId="27" w16cid:durableId="1659191782">
    <w:abstractNumId w:val="3"/>
  </w:num>
  <w:num w:numId="28" w16cid:durableId="1868253625">
    <w:abstractNumId w:val="20"/>
  </w:num>
  <w:num w:numId="29" w16cid:durableId="1903328480">
    <w:abstractNumId w:val="6"/>
  </w:num>
  <w:num w:numId="30" w16cid:durableId="806508430">
    <w:abstractNumId w:val="41"/>
  </w:num>
  <w:num w:numId="31" w16cid:durableId="1474325967">
    <w:abstractNumId w:val="27"/>
  </w:num>
  <w:num w:numId="32" w16cid:durableId="1719164415">
    <w:abstractNumId w:val="24"/>
  </w:num>
  <w:num w:numId="33" w16cid:durableId="536239518">
    <w:abstractNumId w:val="7"/>
  </w:num>
  <w:num w:numId="34" w16cid:durableId="1004942895">
    <w:abstractNumId w:val="28"/>
  </w:num>
  <w:num w:numId="35" w16cid:durableId="207575746">
    <w:abstractNumId w:val="22"/>
  </w:num>
  <w:num w:numId="36" w16cid:durableId="1561746860">
    <w:abstractNumId w:val="15"/>
  </w:num>
  <w:num w:numId="37" w16cid:durableId="1536965403">
    <w:abstractNumId w:val="10"/>
  </w:num>
  <w:num w:numId="38" w16cid:durableId="1191138820">
    <w:abstractNumId w:val="26"/>
  </w:num>
  <w:num w:numId="39" w16cid:durableId="591087730">
    <w:abstractNumId w:val="9"/>
  </w:num>
  <w:num w:numId="40" w16cid:durableId="1062171512">
    <w:abstractNumId w:val="13"/>
  </w:num>
  <w:num w:numId="41" w16cid:durableId="1607234030">
    <w:abstractNumId w:val="33"/>
  </w:num>
  <w:num w:numId="42" w16cid:durableId="610019423">
    <w:abstractNumId w:val="46"/>
  </w:num>
  <w:num w:numId="43" w16cid:durableId="1128936975">
    <w:abstractNumId w:val="16"/>
  </w:num>
  <w:num w:numId="44" w16cid:durableId="2037189362">
    <w:abstractNumId w:val="31"/>
  </w:num>
  <w:num w:numId="45" w16cid:durableId="1794865917">
    <w:abstractNumId w:val="1"/>
  </w:num>
  <w:num w:numId="46" w16cid:durableId="81611959">
    <w:abstractNumId w:val="29"/>
  </w:num>
  <w:num w:numId="47" w16cid:durableId="422068409">
    <w:abstractNumId w:val="39"/>
  </w:num>
  <w:num w:numId="48" w16cid:durableId="18411884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F7"/>
    <w:rsid w:val="0000077F"/>
    <w:rsid w:val="000020ED"/>
    <w:rsid w:val="00002F73"/>
    <w:rsid w:val="0000302F"/>
    <w:rsid w:val="0000345C"/>
    <w:rsid w:val="0000355C"/>
    <w:rsid w:val="00006A6D"/>
    <w:rsid w:val="000078D9"/>
    <w:rsid w:val="00007EB1"/>
    <w:rsid w:val="00010FC5"/>
    <w:rsid w:val="000114E7"/>
    <w:rsid w:val="000118F3"/>
    <w:rsid w:val="00012D58"/>
    <w:rsid w:val="00014206"/>
    <w:rsid w:val="00015250"/>
    <w:rsid w:val="0001677D"/>
    <w:rsid w:val="000200AD"/>
    <w:rsid w:val="00020690"/>
    <w:rsid w:val="0002108C"/>
    <w:rsid w:val="00021545"/>
    <w:rsid w:val="00021D72"/>
    <w:rsid w:val="000230F3"/>
    <w:rsid w:val="00023AC4"/>
    <w:rsid w:val="00025C86"/>
    <w:rsid w:val="0002669B"/>
    <w:rsid w:val="000304B2"/>
    <w:rsid w:val="00031B5C"/>
    <w:rsid w:val="00031E85"/>
    <w:rsid w:val="00034193"/>
    <w:rsid w:val="000347C7"/>
    <w:rsid w:val="00034B09"/>
    <w:rsid w:val="00034FEC"/>
    <w:rsid w:val="000361C1"/>
    <w:rsid w:val="00036B95"/>
    <w:rsid w:val="0004082F"/>
    <w:rsid w:val="00042E89"/>
    <w:rsid w:val="00043BFD"/>
    <w:rsid w:val="00044B10"/>
    <w:rsid w:val="00044BF9"/>
    <w:rsid w:val="00045496"/>
    <w:rsid w:val="000475F4"/>
    <w:rsid w:val="000503A6"/>
    <w:rsid w:val="00051765"/>
    <w:rsid w:val="000519CC"/>
    <w:rsid w:val="00053CD9"/>
    <w:rsid w:val="00055102"/>
    <w:rsid w:val="0005634F"/>
    <w:rsid w:val="00056477"/>
    <w:rsid w:val="0005700E"/>
    <w:rsid w:val="00057447"/>
    <w:rsid w:val="00057B46"/>
    <w:rsid w:val="00063034"/>
    <w:rsid w:val="00064C45"/>
    <w:rsid w:val="00065D1A"/>
    <w:rsid w:val="00066757"/>
    <w:rsid w:val="00070360"/>
    <w:rsid w:val="00073447"/>
    <w:rsid w:val="00073D52"/>
    <w:rsid w:val="0007482E"/>
    <w:rsid w:val="00075453"/>
    <w:rsid w:val="00076618"/>
    <w:rsid w:val="00076AD1"/>
    <w:rsid w:val="00077398"/>
    <w:rsid w:val="00077677"/>
    <w:rsid w:val="00077E0E"/>
    <w:rsid w:val="000803CA"/>
    <w:rsid w:val="0008082C"/>
    <w:rsid w:val="00081965"/>
    <w:rsid w:val="0008230C"/>
    <w:rsid w:val="00082E8C"/>
    <w:rsid w:val="000835A1"/>
    <w:rsid w:val="000847BC"/>
    <w:rsid w:val="00085789"/>
    <w:rsid w:val="00087F93"/>
    <w:rsid w:val="000904E6"/>
    <w:rsid w:val="00091BCD"/>
    <w:rsid w:val="0009265A"/>
    <w:rsid w:val="00093EEF"/>
    <w:rsid w:val="00094B02"/>
    <w:rsid w:val="00094DB3"/>
    <w:rsid w:val="0009590F"/>
    <w:rsid w:val="00095BF3"/>
    <w:rsid w:val="000A041E"/>
    <w:rsid w:val="000A0486"/>
    <w:rsid w:val="000A08CA"/>
    <w:rsid w:val="000A0E4C"/>
    <w:rsid w:val="000A149B"/>
    <w:rsid w:val="000A17B4"/>
    <w:rsid w:val="000A29D1"/>
    <w:rsid w:val="000A464B"/>
    <w:rsid w:val="000A5352"/>
    <w:rsid w:val="000A691A"/>
    <w:rsid w:val="000A6CCF"/>
    <w:rsid w:val="000B12EA"/>
    <w:rsid w:val="000B427C"/>
    <w:rsid w:val="000B496B"/>
    <w:rsid w:val="000B7FBB"/>
    <w:rsid w:val="000C226C"/>
    <w:rsid w:val="000C29C5"/>
    <w:rsid w:val="000C6428"/>
    <w:rsid w:val="000D0102"/>
    <w:rsid w:val="000D0AA1"/>
    <w:rsid w:val="000D1032"/>
    <w:rsid w:val="000D106A"/>
    <w:rsid w:val="000D113F"/>
    <w:rsid w:val="000D148E"/>
    <w:rsid w:val="000D2E56"/>
    <w:rsid w:val="000D350E"/>
    <w:rsid w:val="000D405A"/>
    <w:rsid w:val="000D572E"/>
    <w:rsid w:val="000D70DB"/>
    <w:rsid w:val="000D750A"/>
    <w:rsid w:val="000E20D8"/>
    <w:rsid w:val="000E351D"/>
    <w:rsid w:val="000E3DC5"/>
    <w:rsid w:val="000E4FA9"/>
    <w:rsid w:val="000E60F7"/>
    <w:rsid w:val="000E6F9D"/>
    <w:rsid w:val="000E701D"/>
    <w:rsid w:val="000E7F8E"/>
    <w:rsid w:val="000F1B86"/>
    <w:rsid w:val="000F23B0"/>
    <w:rsid w:val="000F3C80"/>
    <w:rsid w:val="000F4290"/>
    <w:rsid w:val="000F4319"/>
    <w:rsid w:val="000F437E"/>
    <w:rsid w:val="000F4D62"/>
    <w:rsid w:val="000F4DC9"/>
    <w:rsid w:val="000F5917"/>
    <w:rsid w:val="000F5F46"/>
    <w:rsid w:val="001007B9"/>
    <w:rsid w:val="00101005"/>
    <w:rsid w:val="0010143D"/>
    <w:rsid w:val="0010158C"/>
    <w:rsid w:val="0010216C"/>
    <w:rsid w:val="001024E6"/>
    <w:rsid w:val="00102878"/>
    <w:rsid w:val="00103A01"/>
    <w:rsid w:val="00103A43"/>
    <w:rsid w:val="00105ECB"/>
    <w:rsid w:val="00110527"/>
    <w:rsid w:val="00112641"/>
    <w:rsid w:val="0011594B"/>
    <w:rsid w:val="00116AF7"/>
    <w:rsid w:val="00122958"/>
    <w:rsid w:val="0012297D"/>
    <w:rsid w:val="00123CE8"/>
    <w:rsid w:val="001249EF"/>
    <w:rsid w:val="00125357"/>
    <w:rsid w:val="0012620D"/>
    <w:rsid w:val="00131315"/>
    <w:rsid w:val="00132268"/>
    <w:rsid w:val="00132BAF"/>
    <w:rsid w:val="001336CF"/>
    <w:rsid w:val="00135237"/>
    <w:rsid w:val="00135E3D"/>
    <w:rsid w:val="0013620D"/>
    <w:rsid w:val="001368C3"/>
    <w:rsid w:val="00137246"/>
    <w:rsid w:val="00137517"/>
    <w:rsid w:val="00140F31"/>
    <w:rsid w:val="00141213"/>
    <w:rsid w:val="00143288"/>
    <w:rsid w:val="00143979"/>
    <w:rsid w:val="0015024F"/>
    <w:rsid w:val="0015097C"/>
    <w:rsid w:val="001516F6"/>
    <w:rsid w:val="0015537B"/>
    <w:rsid w:val="00155B7D"/>
    <w:rsid w:val="001612E8"/>
    <w:rsid w:val="0016463D"/>
    <w:rsid w:val="0016781C"/>
    <w:rsid w:val="001727AF"/>
    <w:rsid w:val="00172880"/>
    <w:rsid w:val="00173425"/>
    <w:rsid w:val="00176882"/>
    <w:rsid w:val="00176EA5"/>
    <w:rsid w:val="00177611"/>
    <w:rsid w:val="0017798C"/>
    <w:rsid w:val="0018030F"/>
    <w:rsid w:val="001809C6"/>
    <w:rsid w:val="00180F70"/>
    <w:rsid w:val="00181C56"/>
    <w:rsid w:val="00183351"/>
    <w:rsid w:val="00183BA0"/>
    <w:rsid w:val="00183D9A"/>
    <w:rsid w:val="00183FA2"/>
    <w:rsid w:val="00184016"/>
    <w:rsid w:val="001850CB"/>
    <w:rsid w:val="00186791"/>
    <w:rsid w:val="00190D19"/>
    <w:rsid w:val="00190D83"/>
    <w:rsid w:val="0019126E"/>
    <w:rsid w:val="001912A0"/>
    <w:rsid w:val="00193036"/>
    <w:rsid w:val="001953CF"/>
    <w:rsid w:val="00195720"/>
    <w:rsid w:val="00195BA8"/>
    <w:rsid w:val="00195E04"/>
    <w:rsid w:val="00196F95"/>
    <w:rsid w:val="00197B8C"/>
    <w:rsid w:val="001A134A"/>
    <w:rsid w:val="001A1957"/>
    <w:rsid w:val="001A2F86"/>
    <w:rsid w:val="001A7120"/>
    <w:rsid w:val="001A7D7C"/>
    <w:rsid w:val="001B0144"/>
    <w:rsid w:val="001B10ED"/>
    <w:rsid w:val="001B334C"/>
    <w:rsid w:val="001B5848"/>
    <w:rsid w:val="001B6E60"/>
    <w:rsid w:val="001C258A"/>
    <w:rsid w:val="001C2FC8"/>
    <w:rsid w:val="001C63DF"/>
    <w:rsid w:val="001D0929"/>
    <w:rsid w:val="001D0FC8"/>
    <w:rsid w:val="001D2821"/>
    <w:rsid w:val="001D283B"/>
    <w:rsid w:val="001D2DEF"/>
    <w:rsid w:val="001D453A"/>
    <w:rsid w:val="001E0F3B"/>
    <w:rsid w:val="001E4245"/>
    <w:rsid w:val="001E473B"/>
    <w:rsid w:val="001E5227"/>
    <w:rsid w:val="001E6EBD"/>
    <w:rsid w:val="001E7010"/>
    <w:rsid w:val="001F0654"/>
    <w:rsid w:val="001F09A2"/>
    <w:rsid w:val="001F207D"/>
    <w:rsid w:val="001F23C8"/>
    <w:rsid w:val="001F3722"/>
    <w:rsid w:val="001F4209"/>
    <w:rsid w:val="001F6F9E"/>
    <w:rsid w:val="001F738E"/>
    <w:rsid w:val="001F745B"/>
    <w:rsid w:val="001F7942"/>
    <w:rsid w:val="0020007C"/>
    <w:rsid w:val="00200152"/>
    <w:rsid w:val="00203ABD"/>
    <w:rsid w:val="00203D87"/>
    <w:rsid w:val="0020531A"/>
    <w:rsid w:val="00206976"/>
    <w:rsid w:val="00207393"/>
    <w:rsid w:val="00210F06"/>
    <w:rsid w:val="0021247A"/>
    <w:rsid w:val="002157BE"/>
    <w:rsid w:val="00215E17"/>
    <w:rsid w:val="002162C8"/>
    <w:rsid w:val="002208AD"/>
    <w:rsid w:val="00222371"/>
    <w:rsid w:val="002229A5"/>
    <w:rsid w:val="00223E26"/>
    <w:rsid w:val="00224473"/>
    <w:rsid w:val="002252A1"/>
    <w:rsid w:val="002301E1"/>
    <w:rsid w:val="002303FE"/>
    <w:rsid w:val="00230C95"/>
    <w:rsid w:val="00231325"/>
    <w:rsid w:val="002317BD"/>
    <w:rsid w:val="00231B22"/>
    <w:rsid w:val="00232419"/>
    <w:rsid w:val="00232FDF"/>
    <w:rsid w:val="0023351E"/>
    <w:rsid w:val="002338AA"/>
    <w:rsid w:val="00234705"/>
    <w:rsid w:val="0023550D"/>
    <w:rsid w:val="00236D9C"/>
    <w:rsid w:val="00237365"/>
    <w:rsid w:val="00237A59"/>
    <w:rsid w:val="00241CFE"/>
    <w:rsid w:val="002438B6"/>
    <w:rsid w:val="0024504C"/>
    <w:rsid w:val="00247048"/>
    <w:rsid w:val="0025002C"/>
    <w:rsid w:val="00250BE6"/>
    <w:rsid w:val="00252F38"/>
    <w:rsid w:val="00253C1D"/>
    <w:rsid w:val="00254CF2"/>
    <w:rsid w:val="002554DA"/>
    <w:rsid w:val="00255EED"/>
    <w:rsid w:val="00260124"/>
    <w:rsid w:val="00260316"/>
    <w:rsid w:val="00260B46"/>
    <w:rsid w:val="00260C56"/>
    <w:rsid w:val="00263FC7"/>
    <w:rsid w:val="00264607"/>
    <w:rsid w:val="00264A5E"/>
    <w:rsid w:val="002668FF"/>
    <w:rsid w:val="00266A81"/>
    <w:rsid w:val="00266F0F"/>
    <w:rsid w:val="002674EA"/>
    <w:rsid w:val="002677F4"/>
    <w:rsid w:val="00271572"/>
    <w:rsid w:val="00271B6A"/>
    <w:rsid w:val="00275007"/>
    <w:rsid w:val="00277016"/>
    <w:rsid w:val="0027769C"/>
    <w:rsid w:val="002802D0"/>
    <w:rsid w:val="0028162E"/>
    <w:rsid w:val="00281E3E"/>
    <w:rsid w:val="00281F8E"/>
    <w:rsid w:val="00282423"/>
    <w:rsid w:val="00282E32"/>
    <w:rsid w:val="00284131"/>
    <w:rsid w:val="00284710"/>
    <w:rsid w:val="00284CAF"/>
    <w:rsid w:val="0029000D"/>
    <w:rsid w:val="002908C2"/>
    <w:rsid w:val="00291033"/>
    <w:rsid w:val="002912A3"/>
    <w:rsid w:val="0029274D"/>
    <w:rsid w:val="002929D0"/>
    <w:rsid w:val="00293135"/>
    <w:rsid w:val="002948BD"/>
    <w:rsid w:val="00294C0F"/>
    <w:rsid w:val="00294D1D"/>
    <w:rsid w:val="002952F9"/>
    <w:rsid w:val="002955DD"/>
    <w:rsid w:val="002974BC"/>
    <w:rsid w:val="002A0289"/>
    <w:rsid w:val="002A26A1"/>
    <w:rsid w:val="002A27AA"/>
    <w:rsid w:val="002A370A"/>
    <w:rsid w:val="002A371E"/>
    <w:rsid w:val="002A7B39"/>
    <w:rsid w:val="002B11D3"/>
    <w:rsid w:val="002B2B1F"/>
    <w:rsid w:val="002B33CC"/>
    <w:rsid w:val="002B343C"/>
    <w:rsid w:val="002B3ECC"/>
    <w:rsid w:val="002B4B0A"/>
    <w:rsid w:val="002B5D09"/>
    <w:rsid w:val="002C0866"/>
    <w:rsid w:val="002C0B0E"/>
    <w:rsid w:val="002C1E00"/>
    <w:rsid w:val="002C2E41"/>
    <w:rsid w:val="002C4C94"/>
    <w:rsid w:val="002C4DD9"/>
    <w:rsid w:val="002C5995"/>
    <w:rsid w:val="002C5F5B"/>
    <w:rsid w:val="002C777D"/>
    <w:rsid w:val="002D1B77"/>
    <w:rsid w:val="002D2872"/>
    <w:rsid w:val="002D3011"/>
    <w:rsid w:val="002D40B1"/>
    <w:rsid w:val="002D4435"/>
    <w:rsid w:val="002D45CD"/>
    <w:rsid w:val="002D4B1D"/>
    <w:rsid w:val="002D673C"/>
    <w:rsid w:val="002D6F9E"/>
    <w:rsid w:val="002D75F9"/>
    <w:rsid w:val="002D7C1E"/>
    <w:rsid w:val="002E07AC"/>
    <w:rsid w:val="002E22BE"/>
    <w:rsid w:val="002E27B2"/>
    <w:rsid w:val="002E5F1F"/>
    <w:rsid w:val="002E6AA1"/>
    <w:rsid w:val="002F0BA9"/>
    <w:rsid w:val="002F0F80"/>
    <w:rsid w:val="002F43C7"/>
    <w:rsid w:val="002F4AB4"/>
    <w:rsid w:val="002F57C6"/>
    <w:rsid w:val="00300232"/>
    <w:rsid w:val="00300971"/>
    <w:rsid w:val="00302813"/>
    <w:rsid w:val="00302B58"/>
    <w:rsid w:val="0030769E"/>
    <w:rsid w:val="00307A69"/>
    <w:rsid w:val="00312E4A"/>
    <w:rsid w:val="00313795"/>
    <w:rsid w:val="00313F68"/>
    <w:rsid w:val="00314D22"/>
    <w:rsid w:val="0031546F"/>
    <w:rsid w:val="003160D3"/>
    <w:rsid w:val="00316A9F"/>
    <w:rsid w:val="00316B0D"/>
    <w:rsid w:val="00317427"/>
    <w:rsid w:val="003205F4"/>
    <w:rsid w:val="0032100B"/>
    <w:rsid w:val="003217CA"/>
    <w:rsid w:val="00322181"/>
    <w:rsid w:val="00322305"/>
    <w:rsid w:val="003223BB"/>
    <w:rsid w:val="003224FE"/>
    <w:rsid w:val="00322A9F"/>
    <w:rsid w:val="00324F3B"/>
    <w:rsid w:val="003250E0"/>
    <w:rsid w:val="00325BAD"/>
    <w:rsid w:val="003300DB"/>
    <w:rsid w:val="003306E4"/>
    <w:rsid w:val="0033088D"/>
    <w:rsid w:val="00332FE5"/>
    <w:rsid w:val="0033329C"/>
    <w:rsid w:val="00335425"/>
    <w:rsid w:val="00336148"/>
    <w:rsid w:val="003371F0"/>
    <w:rsid w:val="00340042"/>
    <w:rsid w:val="0034117F"/>
    <w:rsid w:val="00342054"/>
    <w:rsid w:val="003432B5"/>
    <w:rsid w:val="003444F8"/>
    <w:rsid w:val="00344C56"/>
    <w:rsid w:val="003450A8"/>
    <w:rsid w:val="00345B55"/>
    <w:rsid w:val="00346D1A"/>
    <w:rsid w:val="00347AFD"/>
    <w:rsid w:val="003500C6"/>
    <w:rsid w:val="00350FFE"/>
    <w:rsid w:val="00352BEC"/>
    <w:rsid w:val="00355B52"/>
    <w:rsid w:val="003561E7"/>
    <w:rsid w:val="00357154"/>
    <w:rsid w:val="003608EA"/>
    <w:rsid w:val="00360BD0"/>
    <w:rsid w:val="00360DE6"/>
    <w:rsid w:val="003618BD"/>
    <w:rsid w:val="00362CDA"/>
    <w:rsid w:val="00363AE5"/>
    <w:rsid w:val="003661F7"/>
    <w:rsid w:val="003671B9"/>
    <w:rsid w:val="003751A8"/>
    <w:rsid w:val="00375209"/>
    <w:rsid w:val="003777A5"/>
    <w:rsid w:val="003839A4"/>
    <w:rsid w:val="00383DCC"/>
    <w:rsid w:val="003848EF"/>
    <w:rsid w:val="00385B65"/>
    <w:rsid w:val="003902B9"/>
    <w:rsid w:val="00390D55"/>
    <w:rsid w:val="00391929"/>
    <w:rsid w:val="00391A2B"/>
    <w:rsid w:val="00391CEF"/>
    <w:rsid w:val="003922DB"/>
    <w:rsid w:val="00392771"/>
    <w:rsid w:val="003933C4"/>
    <w:rsid w:val="003935A9"/>
    <w:rsid w:val="00396FC6"/>
    <w:rsid w:val="003A01AE"/>
    <w:rsid w:val="003A271C"/>
    <w:rsid w:val="003A2AD6"/>
    <w:rsid w:val="003A2D5D"/>
    <w:rsid w:val="003A32B0"/>
    <w:rsid w:val="003A3E57"/>
    <w:rsid w:val="003A5962"/>
    <w:rsid w:val="003A77F5"/>
    <w:rsid w:val="003B1659"/>
    <w:rsid w:val="003B4368"/>
    <w:rsid w:val="003C0FAA"/>
    <w:rsid w:val="003C27F7"/>
    <w:rsid w:val="003C351A"/>
    <w:rsid w:val="003C6961"/>
    <w:rsid w:val="003D21A3"/>
    <w:rsid w:val="003D33F7"/>
    <w:rsid w:val="003D4FD2"/>
    <w:rsid w:val="003D59A8"/>
    <w:rsid w:val="003E1031"/>
    <w:rsid w:val="003E1489"/>
    <w:rsid w:val="003E4C29"/>
    <w:rsid w:val="003E4D2A"/>
    <w:rsid w:val="003E5443"/>
    <w:rsid w:val="003E6B8B"/>
    <w:rsid w:val="003F017E"/>
    <w:rsid w:val="003F17BC"/>
    <w:rsid w:val="003F1A1E"/>
    <w:rsid w:val="003F2D3F"/>
    <w:rsid w:val="003F3E63"/>
    <w:rsid w:val="003F5020"/>
    <w:rsid w:val="003F5238"/>
    <w:rsid w:val="003F5F4B"/>
    <w:rsid w:val="003F6683"/>
    <w:rsid w:val="003F72CF"/>
    <w:rsid w:val="003F7E70"/>
    <w:rsid w:val="004000F8"/>
    <w:rsid w:val="00400F8D"/>
    <w:rsid w:val="00401875"/>
    <w:rsid w:val="00402A7B"/>
    <w:rsid w:val="00404F35"/>
    <w:rsid w:val="004059BA"/>
    <w:rsid w:val="0040648D"/>
    <w:rsid w:val="00406711"/>
    <w:rsid w:val="004078C6"/>
    <w:rsid w:val="00410E31"/>
    <w:rsid w:val="00410F9F"/>
    <w:rsid w:val="00413E2E"/>
    <w:rsid w:val="00414CEB"/>
    <w:rsid w:val="00415399"/>
    <w:rsid w:val="004163FA"/>
    <w:rsid w:val="004170C4"/>
    <w:rsid w:val="00417306"/>
    <w:rsid w:val="00417391"/>
    <w:rsid w:val="00417C63"/>
    <w:rsid w:val="004233FD"/>
    <w:rsid w:val="004238EA"/>
    <w:rsid w:val="00423E92"/>
    <w:rsid w:val="00424264"/>
    <w:rsid w:val="004257F1"/>
    <w:rsid w:val="00425FC9"/>
    <w:rsid w:val="00431B00"/>
    <w:rsid w:val="00433679"/>
    <w:rsid w:val="00433AFD"/>
    <w:rsid w:val="0043437A"/>
    <w:rsid w:val="004366AE"/>
    <w:rsid w:val="00437572"/>
    <w:rsid w:val="00443364"/>
    <w:rsid w:val="0044371A"/>
    <w:rsid w:val="004500CC"/>
    <w:rsid w:val="00451804"/>
    <w:rsid w:val="00451F80"/>
    <w:rsid w:val="004529EE"/>
    <w:rsid w:val="00452FE9"/>
    <w:rsid w:val="00453253"/>
    <w:rsid w:val="00454696"/>
    <w:rsid w:val="00454806"/>
    <w:rsid w:val="00461132"/>
    <w:rsid w:val="004616FF"/>
    <w:rsid w:val="00461CF3"/>
    <w:rsid w:val="004625D9"/>
    <w:rsid w:val="00462E43"/>
    <w:rsid w:val="00463158"/>
    <w:rsid w:val="00471596"/>
    <w:rsid w:val="00472E72"/>
    <w:rsid w:val="0047477B"/>
    <w:rsid w:val="004759ED"/>
    <w:rsid w:val="004810A5"/>
    <w:rsid w:val="004815EA"/>
    <w:rsid w:val="00486059"/>
    <w:rsid w:val="00486912"/>
    <w:rsid w:val="004945F7"/>
    <w:rsid w:val="004957BB"/>
    <w:rsid w:val="00495D17"/>
    <w:rsid w:val="004971E0"/>
    <w:rsid w:val="00497F14"/>
    <w:rsid w:val="004A0194"/>
    <w:rsid w:val="004A1070"/>
    <w:rsid w:val="004A39C5"/>
    <w:rsid w:val="004B199A"/>
    <w:rsid w:val="004B2CB0"/>
    <w:rsid w:val="004B46A2"/>
    <w:rsid w:val="004B7B8B"/>
    <w:rsid w:val="004C18F6"/>
    <w:rsid w:val="004C3AB2"/>
    <w:rsid w:val="004C6518"/>
    <w:rsid w:val="004D0B40"/>
    <w:rsid w:val="004D1065"/>
    <w:rsid w:val="004D1A7A"/>
    <w:rsid w:val="004D2064"/>
    <w:rsid w:val="004D24EB"/>
    <w:rsid w:val="004D4EBC"/>
    <w:rsid w:val="004D6107"/>
    <w:rsid w:val="004D688C"/>
    <w:rsid w:val="004D692B"/>
    <w:rsid w:val="004E192B"/>
    <w:rsid w:val="004E32F7"/>
    <w:rsid w:val="004E3E32"/>
    <w:rsid w:val="004E513C"/>
    <w:rsid w:val="004E55E2"/>
    <w:rsid w:val="004E5709"/>
    <w:rsid w:val="004E58AE"/>
    <w:rsid w:val="004F085F"/>
    <w:rsid w:val="004F0BD7"/>
    <w:rsid w:val="004F20A9"/>
    <w:rsid w:val="004F4933"/>
    <w:rsid w:val="004F73E8"/>
    <w:rsid w:val="00500F3F"/>
    <w:rsid w:val="00501958"/>
    <w:rsid w:val="00501F97"/>
    <w:rsid w:val="00503B0C"/>
    <w:rsid w:val="00505085"/>
    <w:rsid w:val="0050562E"/>
    <w:rsid w:val="00505DBD"/>
    <w:rsid w:val="00507B4C"/>
    <w:rsid w:val="00510370"/>
    <w:rsid w:val="005116D7"/>
    <w:rsid w:val="00511F8F"/>
    <w:rsid w:val="00512C3E"/>
    <w:rsid w:val="00512FD9"/>
    <w:rsid w:val="0051316F"/>
    <w:rsid w:val="00514684"/>
    <w:rsid w:val="005158DB"/>
    <w:rsid w:val="00520C4C"/>
    <w:rsid w:val="00521999"/>
    <w:rsid w:val="00523958"/>
    <w:rsid w:val="00524DB2"/>
    <w:rsid w:val="005256C6"/>
    <w:rsid w:val="00530838"/>
    <w:rsid w:val="00530914"/>
    <w:rsid w:val="00532C95"/>
    <w:rsid w:val="0053301E"/>
    <w:rsid w:val="005350C9"/>
    <w:rsid w:val="00535119"/>
    <w:rsid w:val="0053552D"/>
    <w:rsid w:val="005365C4"/>
    <w:rsid w:val="005366F4"/>
    <w:rsid w:val="005370B2"/>
    <w:rsid w:val="005400C8"/>
    <w:rsid w:val="005428C4"/>
    <w:rsid w:val="00542AAE"/>
    <w:rsid w:val="00543E44"/>
    <w:rsid w:val="00543FDE"/>
    <w:rsid w:val="00545550"/>
    <w:rsid w:val="00546DC1"/>
    <w:rsid w:val="00552F1C"/>
    <w:rsid w:val="00554687"/>
    <w:rsid w:val="00556371"/>
    <w:rsid w:val="0055787E"/>
    <w:rsid w:val="0055793B"/>
    <w:rsid w:val="00560CB2"/>
    <w:rsid w:val="00562166"/>
    <w:rsid w:val="005657E1"/>
    <w:rsid w:val="00565AE9"/>
    <w:rsid w:val="005668A5"/>
    <w:rsid w:val="00567073"/>
    <w:rsid w:val="0057189A"/>
    <w:rsid w:val="00571B6E"/>
    <w:rsid w:val="00571D69"/>
    <w:rsid w:val="0057315D"/>
    <w:rsid w:val="00574F28"/>
    <w:rsid w:val="00575DBE"/>
    <w:rsid w:val="00575F9C"/>
    <w:rsid w:val="00576AAF"/>
    <w:rsid w:val="00576C8D"/>
    <w:rsid w:val="0058023C"/>
    <w:rsid w:val="005860C2"/>
    <w:rsid w:val="0058793B"/>
    <w:rsid w:val="00591315"/>
    <w:rsid w:val="005917FA"/>
    <w:rsid w:val="00596703"/>
    <w:rsid w:val="00596D03"/>
    <w:rsid w:val="00597105"/>
    <w:rsid w:val="005A0614"/>
    <w:rsid w:val="005A0DE7"/>
    <w:rsid w:val="005A15C8"/>
    <w:rsid w:val="005A1C11"/>
    <w:rsid w:val="005A263D"/>
    <w:rsid w:val="005A355D"/>
    <w:rsid w:val="005A48C0"/>
    <w:rsid w:val="005A5D04"/>
    <w:rsid w:val="005A6271"/>
    <w:rsid w:val="005A6455"/>
    <w:rsid w:val="005A67F2"/>
    <w:rsid w:val="005A739E"/>
    <w:rsid w:val="005B0443"/>
    <w:rsid w:val="005B14A2"/>
    <w:rsid w:val="005B17D2"/>
    <w:rsid w:val="005B210C"/>
    <w:rsid w:val="005B241C"/>
    <w:rsid w:val="005B27D0"/>
    <w:rsid w:val="005B3E1B"/>
    <w:rsid w:val="005B4715"/>
    <w:rsid w:val="005B4FED"/>
    <w:rsid w:val="005B600F"/>
    <w:rsid w:val="005C2668"/>
    <w:rsid w:val="005C3B42"/>
    <w:rsid w:val="005C60D3"/>
    <w:rsid w:val="005C7655"/>
    <w:rsid w:val="005C7C79"/>
    <w:rsid w:val="005D14C3"/>
    <w:rsid w:val="005D1A76"/>
    <w:rsid w:val="005D1BC5"/>
    <w:rsid w:val="005D2D7A"/>
    <w:rsid w:val="005D2EEA"/>
    <w:rsid w:val="005D32A6"/>
    <w:rsid w:val="005D4A52"/>
    <w:rsid w:val="005D5913"/>
    <w:rsid w:val="005D6CCC"/>
    <w:rsid w:val="005D6DB3"/>
    <w:rsid w:val="005D7026"/>
    <w:rsid w:val="005E40D4"/>
    <w:rsid w:val="005E4AEF"/>
    <w:rsid w:val="005E4E1F"/>
    <w:rsid w:val="005E78F6"/>
    <w:rsid w:val="005F1241"/>
    <w:rsid w:val="005F133E"/>
    <w:rsid w:val="005F1DA0"/>
    <w:rsid w:val="005F2176"/>
    <w:rsid w:val="005F229B"/>
    <w:rsid w:val="005F2641"/>
    <w:rsid w:val="005F3D48"/>
    <w:rsid w:val="005F43FA"/>
    <w:rsid w:val="005F79CC"/>
    <w:rsid w:val="00600D0F"/>
    <w:rsid w:val="00602577"/>
    <w:rsid w:val="00603EA6"/>
    <w:rsid w:val="00603FC1"/>
    <w:rsid w:val="00604197"/>
    <w:rsid w:val="006042A4"/>
    <w:rsid w:val="006051DD"/>
    <w:rsid w:val="00605569"/>
    <w:rsid w:val="00605D4A"/>
    <w:rsid w:val="006063CB"/>
    <w:rsid w:val="006066AC"/>
    <w:rsid w:val="00607805"/>
    <w:rsid w:val="00607D26"/>
    <w:rsid w:val="00610D9B"/>
    <w:rsid w:val="00610E0F"/>
    <w:rsid w:val="006118FA"/>
    <w:rsid w:val="0061255F"/>
    <w:rsid w:val="0061381E"/>
    <w:rsid w:val="00614765"/>
    <w:rsid w:val="006148C8"/>
    <w:rsid w:val="006159CC"/>
    <w:rsid w:val="006173D0"/>
    <w:rsid w:val="006201D7"/>
    <w:rsid w:val="006208C6"/>
    <w:rsid w:val="006213ED"/>
    <w:rsid w:val="0062459A"/>
    <w:rsid w:val="0062647D"/>
    <w:rsid w:val="006267BF"/>
    <w:rsid w:val="00626CA4"/>
    <w:rsid w:val="0062796C"/>
    <w:rsid w:val="00630863"/>
    <w:rsid w:val="00631250"/>
    <w:rsid w:val="0063451F"/>
    <w:rsid w:val="006356BF"/>
    <w:rsid w:val="006358D9"/>
    <w:rsid w:val="006376C5"/>
    <w:rsid w:val="00640635"/>
    <w:rsid w:val="00641A59"/>
    <w:rsid w:val="00641C08"/>
    <w:rsid w:val="006427AA"/>
    <w:rsid w:val="006429D7"/>
    <w:rsid w:val="006454DC"/>
    <w:rsid w:val="006456BA"/>
    <w:rsid w:val="00652552"/>
    <w:rsid w:val="006532FC"/>
    <w:rsid w:val="00653D60"/>
    <w:rsid w:val="006553AB"/>
    <w:rsid w:val="006564EA"/>
    <w:rsid w:val="00657D2D"/>
    <w:rsid w:val="00661E36"/>
    <w:rsid w:val="00662F6E"/>
    <w:rsid w:val="00663EAD"/>
    <w:rsid w:val="006649A3"/>
    <w:rsid w:val="00665463"/>
    <w:rsid w:val="00666B12"/>
    <w:rsid w:val="006674FC"/>
    <w:rsid w:val="00667971"/>
    <w:rsid w:val="006707F9"/>
    <w:rsid w:val="006719C9"/>
    <w:rsid w:val="00671B6A"/>
    <w:rsid w:val="0067322F"/>
    <w:rsid w:val="00674812"/>
    <w:rsid w:val="006757AA"/>
    <w:rsid w:val="00675B34"/>
    <w:rsid w:val="00675EDF"/>
    <w:rsid w:val="00677DD5"/>
    <w:rsid w:val="00680497"/>
    <w:rsid w:val="00680C0C"/>
    <w:rsid w:val="00682080"/>
    <w:rsid w:val="006824B9"/>
    <w:rsid w:val="00684ABF"/>
    <w:rsid w:val="0068575D"/>
    <w:rsid w:val="00685BF1"/>
    <w:rsid w:val="0068678B"/>
    <w:rsid w:val="00686AE8"/>
    <w:rsid w:val="006878F0"/>
    <w:rsid w:val="006879F1"/>
    <w:rsid w:val="00687F77"/>
    <w:rsid w:val="00692AE7"/>
    <w:rsid w:val="00695026"/>
    <w:rsid w:val="00696574"/>
    <w:rsid w:val="00696E9D"/>
    <w:rsid w:val="00697A16"/>
    <w:rsid w:val="00697F67"/>
    <w:rsid w:val="006A131D"/>
    <w:rsid w:val="006A2795"/>
    <w:rsid w:val="006A3962"/>
    <w:rsid w:val="006A39D8"/>
    <w:rsid w:val="006A4DB1"/>
    <w:rsid w:val="006A5506"/>
    <w:rsid w:val="006A57F3"/>
    <w:rsid w:val="006A72D0"/>
    <w:rsid w:val="006A7809"/>
    <w:rsid w:val="006A7A1D"/>
    <w:rsid w:val="006B0488"/>
    <w:rsid w:val="006B089B"/>
    <w:rsid w:val="006B11DA"/>
    <w:rsid w:val="006B15BE"/>
    <w:rsid w:val="006B1BD9"/>
    <w:rsid w:val="006B2922"/>
    <w:rsid w:val="006B3301"/>
    <w:rsid w:val="006B56FC"/>
    <w:rsid w:val="006C0869"/>
    <w:rsid w:val="006C2905"/>
    <w:rsid w:val="006C406F"/>
    <w:rsid w:val="006C577C"/>
    <w:rsid w:val="006C5792"/>
    <w:rsid w:val="006C5CF0"/>
    <w:rsid w:val="006C5EDB"/>
    <w:rsid w:val="006C7B63"/>
    <w:rsid w:val="006D14BC"/>
    <w:rsid w:val="006D16B9"/>
    <w:rsid w:val="006D523F"/>
    <w:rsid w:val="006D5291"/>
    <w:rsid w:val="006D6C9C"/>
    <w:rsid w:val="006E086B"/>
    <w:rsid w:val="006E0D17"/>
    <w:rsid w:val="006E1487"/>
    <w:rsid w:val="006E1B90"/>
    <w:rsid w:val="006E2375"/>
    <w:rsid w:val="006E2EA3"/>
    <w:rsid w:val="006E3012"/>
    <w:rsid w:val="006E350F"/>
    <w:rsid w:val="006E477B"/>
    <w:rsid w:val="006E55ED"/>
    <w:rsid w:val="006E5C7D"/>
    <w:rsid w:val="006E70FF"/>
    <w:rsid w:val="006E7FEB"/>
    <w:rsid w:val="006F053F"/>
    <w:rsid w:val="006F0D66"/>
    <w:rsid w:val="006F173B"/>
    <w:rsid w:val="006F1A4D"/>
    <w:rsid w:val="006F7A53"/>
    <w:rsid w:val="00711110"/>
    <w:rsid w:val="00712E0C"/>
    <w:rsid w:val="007136A0"/>
    <w:rsid w:val="00714E79"/>
    <w:rsid w:val="007152A3"/>
    <w:rsid w:val="0071592D"/>
    <w:rsid w:val="00717129"/>
    <w:rsid w:val="00720A6D"/>
    <w:rsid w:val="00721AE2"/>
    <w:rsid w:val="007239F8"/>
    <w:rsid w:val="00723C50"/>
    <w:rsid w:val="007253E1"/>
    <w:rsid w:val="00725C55"/>
    <w:rsid w:val="00727A8E"/>
    <w:rsid w:val="00730910"/>
    <w:rsid w:val="00731F51"/>
    <w:rsid w:val="00732C02"/>
    <w:rsid w:val="00733BDA"/>
    <w:rsid w:val="00735866"/>
    <w:rsid w:val="00736304"/>
    <w:rsid w:val="00736398"/>
    <w:rsid w:val="00737A0E"/>
    <w:rsid w:val="00740F47"/>
    <w:rsid w:val="00743C26"/>
    <w:rsid w:val="00744CA2"/>
    <w:rsid w:val="00744CB1"/>
    <w:rsid w:val="00745564"/>
    <w:rsid w:val="007458C0"/>
    <w:rsid w:val="00746C9E"/>
    <w:rsid w:val="00746ECF"/>
    <w:rsid w:val="00750DAC"/>
    <w:rsid w:val="00750EA8"/>
    <w:rsid w:val="007519D0"/>
    <w:rsid w:val="00751F30"/>
    <w:rsid w:val="007525A0"/>
    <w:rsid w:val="007527E1"/>
    <w:rsid w:val="007528A5"/>
    <w:rsid w:val="00753B4D"/>
    <w:rsid w:val="00754949"/>
    <w:rsid w:val="007550E9"/>
    <w:rsid w:val="007556F0"/>
    <w:rsid w:val="00756AA3"/>
    <w:rsid w:val="00757D09"/>
    <w:rsid w:val="00765171"/>
    <w:rsid w:val="00765C94"/>
    <w:rsid w:val="007660B9"/>
    <w:rsid w:val="00766539"/>
    <w:rsid w:val="00766546"/>
    <w:rsid w:val="00767619"/>
    <w:rsid w:val="00770E9D"/>
    <w:rsid w:val="00771664"/>
    <w:rsid w:val="00771D8E"/>
    <w:rsid w:val="00772C33"/>
    <w:rsid w:val="00772CF2"/>
    <w:rsid w:val="00777560"/>
    <w:rsid w:val="007802BC"/>
    <w:rsid w:val="00780AC4"/>
    <w:rsid w:val="00781479"/>
    <w:rsid w:val="00781797"/>
    <w:rsid w:val="00782F20"/>
    <w:rsid w:val="007836C4"/>
    <w:rsid w:val="00783D71"/>
    <w:rsid w:val="007845B9"/>
    <w:rsid w:val="0078689C"/>
    <w:rsid w:val="0079288C"/>
    <w:rsid w:val="0079303E"/>
    <w:rsid w:val="007956C4"/>
    <w:rsid w:val="007A27C5"/>
    <w:rsid w:val="007A49CD"/>
    <w:rsid w:val="007A52E1"/>
    <w:rsid w:val="007A5AF3"/>
    <w:rsid w:val="007A6221"/>
    <w:rsid w:val="007A6297"/>
    <w:rsid w:val="007A6FC6"/>
    <w:rsid w:val="007B0BC1"/>
    <w:rsid w:val="007B2283"/>
    <w:rsid w:val="007B24CA"/>
    <w:rsid w:val="007B55C0"/>
    <w:rsid w:val="007B5DE2"/>
    <w:rsid w:val="007B7A65"/>
    <w:rsid w:val="007C0DBA"/>
    <w:rsid w:val="007C1FFA"/>
    <w:rsid w:val="007C2A04"/>
    <w:rsid w:val="007C2EED"/>
    <w:rsid w:val="007C377C"/>
    <w:rsid w:val="007C3F60"/>
    <w:rsid w:val="007C544A"/>
    <w:rsid w:val="007C5662"/>
    <w:rsid w:val="007C7350"/>
    <w:rsid w:val="007C73A7"/>
    <w:rsid w:val="007D005D"/>
    <w:rsid w:val="007D1E2E"/>
    <w:rsid w:val="007D680C"/>
    <w:rsid w:val="007D74D2"/>
    <w:rsid w:val="007D7807"/>
    <w:rsid w:val="007E0E35"/>
    <w:rsid w:val="007E24B7"/>
    <w:rsid w:val="007E2F7C"/>
    <w:rsid w:val="007E422B"/>
    <w:rsid w:val="007E64C8"/>
    <w:rsid w:val="007F16D6"/>
    <w:rsid w:val="007F22D7"/>
    <w:rsid w:val="007F3451"/>
    <w:rsid w:val="007F5178"/>
    <w:rsid w:val="007F52FF"/>
    <w:rsid w:val="007F54B7"/>
    <w:rsid w:val="007F653D"/>
    <w:rsid w:val="007F7FED"/>
    <w:rsid w:val="00800891"/>
    <w:rsid w:val="00802DEB"/>
    <w:rsid w:val="00803395"/>
    <w:rsid w:val="0080402F"/>
    <w:rsid w:val="00804819"/>
    <w:rsid w:val="00804FDA"/>
    <w:rsid w:val="008051C4"/>
    <w:rsid w:val="00805648"/>
    <w:rsid w:val="00805B42"/>
    <w:rsid w:val="00806393"/>
    <w:rsid w:val="0080697E"/>
    <w:rsid w:val="00812B0E"/>
    <w:rsid w:val="0081434A"/>
    <w:rsid w:val="00814DAE"/>
    <w:rsid w:val="0081512D"/>
    <w:rsid w:val="008158DD"/>
    <w:rsid w:val="00816291"/>
    <w:rsid w:val="00816CFC"/>
    <w:rsid w:val="00817B50"/>
    <w:rsid w:val="00820161"/>
    <w:rsid w:val="00820E0F"/>
    <w:rsid w:val="00821B7D"/>
    <w:rsid w:val="00825410"/>
    <w:rsid w:val="00825715"/>
    <w:rsid w:val="00826012"/>
    <w:rsid w:val="008275B9"/>
    <w:rsid w:val="0083058F"/>
    <w:rsid w:val="00830B22"/>
    <w:rsid w:val="00830B43"/>
    <w:rsid w:val="00831CA9"/>
    <w:rsid w:val="0083261D"/>
    <w:rsid w:val="00832D89"/>
    <w:rsid w:val="00833D48"/>
    <w:rsid w:val="0083503B"/>
    <w:rsid w:val="00840865"/>
    <w:rsid w:val="00841241"/>
    <w:rsid w:val="00841D41"/>
    <w:rsid w:val="008436AB"/>
    <w:rsid w:val="00844739"/>
    <w:rsid w:val="0084486B"/>
    <w:rsid w:val="00850936"/>
    <w:rsid w:val="00853CDF"/>
    <w:rsid w:val="00855101"/>
    <w:rsid w:val="00855B42"/>
    <w:rsid w:val="00860242"/>
    <w:rsid w:val="00860CDB"/>
    <w:rsid w:val="00860DBD"/>
    <w:rsid w:val="0086151D"/>
    <w:rsid w:val="008616C5"/>
    <w:rsid w:val="0086672B"/>
    <w:rsid w:val="008668C0"/>
    <w:rsid w:val="008678C1"/>
    <w:rsid w:val="008707F8"/>
    <w:rsid w:val="00873DED"/>
    <w:rsid w:val="00874BB3"/>
    <w:rsid w:val="00874FF1"/>
    <w:rsid w:val="00877425"/>
    <w:rsid w:val="008775C4"/>
    <w:rsid w:val="008777F4"/>
    <w:rsid w:val="00877E3E"/>
    <w:rsid w:val="008806B2"/>
    <w:rsid w:val="00880786"/>
    <w:rsid w:val="00880ABB"/>
    <w:rsid w:val="00884BA5"/>
    <w:rsid w:val="0088522D"/>
    <w:rsid w:val="00887F09"/>
    <w:rsid w:val="00892966"/>
    <w:rsid w:val="008929B2"/>
    <w:rsid w:val="00895087"/>
    <w:rsid w:val="00895702"/>
    <w:rsid w:val="00896A23"/>
    <w:rsid w:val="008A08B3"/>
    <w:rsid w:val="008A1369"/>
    <w:rsid w:val="008A2077"/>
    <w:rsid w:val="008A2626"/>
    <w:rsid w:val="008A2CB3"/>
    <w:rsid w:val="008A3716"/>
    <w:rsid w:val="008A3AC8"/>
    <w:rsid w:val="008A6353"/>
    <w:rsid w:val="008A6759"/>
    <w:rsid w:val="008A67E3"/>
    <w:rsid w:val="008A751F"/>
    <w:rsid w:val="008B0DAF"/>
    <w:rsid w:val="008B13B1"/>
    <w:rsid w:val="008B27E4"/>
    <w:rsid w:val="008B493F"/>
    <w:rsid w:val="008B7941"/>
    <w:rsid w:val="008C115E"/>
    <w:rsid w:val="008C23CE"/>
    <w:rsid w:val="008C5D4E"/>
    <w:rsid w:val="008C6103"/>
    <w:rsid w:val="008C70B2"/>
    <w:rsid w:val="008D0504"/>
    <w:rsid w:val="008D1256"/>
    <w:rsid w:val="008D19D6"/>
    <w:rsid w:val="008D275A"/>
    <w:rsid w:val="008D45E1"/>
    <w:rsid w:val="008E109E"/>
    <w:rsid w:val="008E2F1E"/>
    <w:rsid w:val="008E66E6"/>
    <w:rsid w:val="008E6B4D"/>
    <w:rsid w:val="008E7217"/>
    <w:rsid w:val="008F072A"/>
    <w:rsid w:val="008F110F"/>
    <w:rsid w:val="008F112A"/>
    <w:rsid w:val="008F15BB"/>
    <w:rsid w:val="008F25A0"/>
    <w:rsid w:val="008F6A47"/>
    <w:rsid w:val="008F74A7"/>
    <w:rsid w:val="008F7BF4"/>
    <w:rsid w:val="009002D5"/>
    <w:rsid w:val="00900D4B"/>
    <w:rsid w:val="009014BC"/>
    <w:rsid w:val="00902A24"/>
    <w:rsid w:val="00902CAC"/>
    <w:rsid w:val="009036CA"/>
    <w:rsid w:val="00907415"/>
    <w:rsid w:val="00917F95"/>
    <w:rsid w:val="00923EDF"/>
    <w:rsid w:val="009243A8"/>
    <w:rsid w:val="0092614A"/>
    <w:rsid w:val="00930648"/>
    <w:rsid w:val="00930C88"/>
    <w:rsid w:val="009352B1"/>
    <w:rsid w:val="00935AD4"/>
    <w:rsid w:val="00937CE1"/>
    <w:rsid w:val="00940AA9"/>
    <w:rsid w:val="00941A56"/>
    <w:rsid w:val="009438D9"/>
    <w:rsid w:val="00944A31"/>
    <w:rsid w:val="00944BFC"/>
    <w:rsid w:val="00944F7A"/>
    <w:rsid w:val="0094513B"/>
    <w:rsid w:val="0094519B"/>
    <w:rsid w:val="00945AAA"/>
    <w:rsid w:val="0094688C"/>
    <w:rsid w:val="009504EA"/>
    <w:rsid w:val="00950A79"/>
    <w:rsid w:val="00951EEF"/>
    <w:rsid w:val="00952783"/>
    <w:rsid w:val="00952C90"/>
    <w:rsid w:val="00952E44"/>
    <w:rsid w:val="00955D3C"/>
    <w:rsid w:val="00963FB3"/>
    <w:rsid w:val="00964791"/>
    <w:rsid w:val="0096516F"/>
    <w:rsid w:val="009672EB"/>
    <w:rsid w:val="009702B7"/>
    <w:rsid w:val="009710E4"/>
    <w:rsid w:val="009716A8"/>
    <w:rsid w:val="00972F8F"/>
    <w:rsid w:val="00973090"/>
    <w:rsid w:val="0097329E"/>
    <w:rsid w:val="009761EB"/>
    <w:rsid w:val="00976400"/>
    <w:rsid w:val="00977CC9"/>
    <w:rsid w:val="00980A3D"/>
    <w:rsid w:val="0098293D"/>
    <w:rsid w:val="00984B31"/>
    <w:rsid w:val="00986D4A"/>
    <w:rsid w:val="00987ACB"/>
    <w:rsid w:val="00990224"/>
    <w:rsid w:val="009917A1"/>
    <w:rsid w:val="0099436F"/>
    <w:rsid w:val="009956DE"/>
    <w:rsid w:val="009959E0"/>
    <w:rsid w:val="00995D79"/>
    <w:rsid w:val="00996739"/>
    <w:rsid w:val="00996BEA"/>
    <w:rsid w:val="009A33FB"/>
    <w:rsid w:val="009A3C23"/>
    <w:rsid w:val="009A3E03"/>
    <w:rsid w:val="009A5056"/>
    <w:rsid w:val="009A55A0"/>
    <w:rsid w:val="009B14DB"/>
    <w:rsid w:val="009B19D4"/>
    <w:rsid w:val="009B19D5"/>
    <w:rsid w:val="009B1A44"/>
    <w:rsid w:val="009B300F"/>
    <w:rsid w:val="009B42AF"/>
    <w:rsid w:val="009B4379"/>
    <w:rsid w:val="009B4554"/>
    <w:rsid w:val="009B4D23"/>
    <w:rsid w:val="009B56ED"/>
    <w:rsid w:val="009B658A"/>
    <w:rsid w:val="009C19E0"/>
    <w:rsid w:val="009C3CB5"/>
    <w:rsid w:val="009C4C42"/>
    <w:rsid w:val="009C4D8A"/>
    <w:rsid w:val="009C580F"/>
    <w:rsid w:val="009C5F14"/>
    <w:rsid w:val="009C69A7"/>
    <w:rsid w:val="009C7E3D"/>
    <w:rsid w:val="009D010F"/>
    <w:rsid w:val="009D161E"/>
    <w:rsid w:val="009D2F07"/>
    <w:rsid w:val="009D3A52"/>
    <w:rsid w:val="009D3BAF"/>
    <w:rsid w:val="009D3F3E"/>
    <w:rsid w:val="009D40CE"/>
    <w:rsid w:val="009D484F"/>
    <w:rsid w:val="009D5169"/>
    <w:rsid w:val="009E1B26"/>
    <w:rsid w:val="009E1CB1"/>
    <w:rsid w:val="009E222D"/>
    <w:rsid w:val="009E2389"/>
    <w:rsid w:val="009E42A8"/>
    <w:rsid w:val="009E46E8"/>
    <w:rsid w:val="009F43D6"/>
    <w:rsid w:val="009F4A37"/>
    <w:rsid w:val="009F751D"/>
    <w:rsid w:val="00A00EF2"/>
    <w:rsid w:val="00A018DD"/>
    <w:rsid w:val="00A01F06"/>
    <w:rsid w:val="00A01FE0"/>
    <w:rsid w:val="00A039DB"/>
    <w:rsid w:val="00A03B1F"/>
    <w:rsid w:val="00A05016"/>
    <w:rsid w:val="00A069F9"/>
    <w:rsid w:val="00A07CFE"/>
    <w:rsid w:val="00A07F0E"/>
    <w:rsid w:val="00A105D3"/>
    <w:rsid w:val="00A10833"/>
    <w:rsid w:val="00A10AC2"/>
    <w:rsid w:val="00A10FEA"/>
    <w:rsid w:val="00A117B7"/>
    <w:rsid w:val="00A12D47"/>
    <w:rsid w:val="00A173EC"/>
    <w:rsid w:val="00A17CEA"/>
    <w:rsid w:val="00A17F9A"/>
    <w:rsid w:val="00A206EF"/>
    <w:rsid w:val="00A211DB"/>
    <w:rsid w:val="00A239F6"/>
    <w:rsid w:val="00A24057"/>
    <w:rsid w:val="00A25195"/>
    <w:rsid w:val="00A26D78"/>
    <w:rsid w:val="00A26DB3"/>
    <w:rsid w:val="00A27662"/>
    <w:rsid w:val="00A30383"/>
    <w:rsid w:val="00A3076D"/>
    <w:rsid w:val="00A30E29"/>
    <w:rsid w:val="00A316E1"/>
    <w:rsid w:val="00A32571"/>
    <w:rsid w:val="00A346CA"/>
    <w:rsid w:val="00A34CFA"/>
    <w:rsid w:val="00A35115"/>
    <w:rsid w:val="00A36241"/>
    <w:rsid w:val="00A37DC0"/>
    <w:rsid w:val="00A425C1"/>
    <w:rsid w:val="00A431CB"/>
    <w:rsid w:val="00A4436D"/>
    <w:rsid w:val="00A451DD"/>
    <w:rsid w:val="00A47283"/>
    <w:rsid w:val="00A477A0"/>
    <w:rsid w:val="00A47C07"/>
    <w:rsid w:val="00A5076D"/>
    <w:rsid w:val="00A50BDE"/>
    <w:rsid w:val="00A512A8"/>
    <w:rsid w:val="00A51615"/>
    <w:rsid w:val="00A5168A"/>
    <w:rsid w:val="00A51D75"/>
    <w:rsid w:val="00A51EF4"/>
    <w:rsid w:val="00A524DF"/>
    <w:rsid w:val="00A54819"/>
    <w:rsid w:val="00A5524F"/>
    <w:rsid w:val="00A576BB"/>
    <w:rsid w:val="00A5794F"/>
    <w:rsid w:val="00A57E25"/>
    <w:rsid w:val="00A603D5"/>
    <w:rsid w:val="00A60D90"/>
    <w:rsid w:val="00A615DA"/>
    <w:rsid w:val="00A61711"/>
    <w:rsid w:val="00A61FCF"/>
    <w:rsid w:val="00A623B9"/>
    <w:rsid w:val="00A62C59"/>
    <w:rsid w:val="00A62F19"/>
    <w:rsid w:val="00A63A3E"/>
    <w:rsid w:val="00A64FE5"/>
    <w:rsid w:val="00A65E20"/>
    <w:rsid w:val="00A66C34"/>
    <w:rsid w:val="00A6713E"/>
    <w:rsid w:val="00A671F0"/>
    <w:rsid w:val="00A67491"/>
    <w:rsid w:val="00A67873"/>
    <w:rsid w:val="00A71B6D"/>
    <w:rsid w:val="00A72AAA"/>
    <w:rsid w:val="00A72CC9"/>
    <w:rsid w:val="00A73309"/>
    <w:rsid w:val="00A73CFD"/>
    <w:rsid w:val="00A755FE"/>
    <w:rsid w:val="00A75F9F"/>
    <w:rsid w:val="00A76524"/>
    <w:rsid w:val="00A778C6"/>
    <w:rsid w:val="00A77E87"/>
    <w:rsid w:val="00A80863"/>
    <w:rsid w:val="00A81616"/>
    <w:rsid w:val="00A8365E"/>
    <w:rsid w:val="00A86EDE"/>
    <w:rsid w:val="00A87367"/>
    <w:rsid w:val="00A873B6"/>
    <w:rsid w:val="00A915FE"/>
    <w:rsid w:val="00A91F8D"/>
    <w:rsid w:val="00A920D6"/>
    <w:rsid w:val="00A94814"/>
    <w:rsid w:val="00A9488D"/>
    <w:rsid w:val="00A94E35"/>
    <w:rsid w:val="00A95355"/>
    <w:rsid w:val="00A9558B"/>
    <w:rsid w:val="00AA0AA5"/>
    <w:rsid w:val="00AA1974"/>
    <w:rsid w:val="00AA1EF6"/>
    <w:rsid w:val="00AA453C"/>
    <w:rsid w:val="00AA4D84"/>
    <w:rsid w:val="00AA55C8"/>
    <w:rsid w:val="00AA63D0"/>
    <w:rsid w:val="00AB136C"/>
    <w:rsid w:val="00AB1D6F"/>
    <w:rsid w:val="00AB350C"/>
    <w:rsid w:val="00AB3926"/>
    <w:rsid w:val="00AB3C78"/>
    <w:rsid w:val="00AB5BD4"/>
    <w:rsid w:val="00AC15AB"/>
    <w:rsid w:val="00AC1AA3"/>
    <w:rsid w:val="00AC4EB2"/>
    <w:rsid w:val="00AC6D3E"/>
    <w:rsid w:val="00AC6F8C"/>
    <w:rsid w:val="00AC7BCB"/>
    <w:rsid w:val="00AC7F21"/>
    <w:rsid w:val="00AD0C9D"/>
    <w:rsid w:val="00AD0F94"/>
    <w:rsid w:val="00AD1C86"/>
    <w:rsid w:val="00AD1ED6"/>
    <w:rsid w:val="00AD22B0"/>
    <w:rsid w:val="00AD4F74"/>
    <w:rsid w:val="00AD6CEA"/>
    <w:rsid w:val="00AD7918"/>
    <w:rsid w:val="00AE090F"/>
    <w:rsid w:val="00AE0E38"/>
    <w:rsid w:val="00AE11C4"/>
    <w:rsid w:val="00AE1640"/>
    <w:rsid w:val="00AE1862"/>
    <w:rsid w:val="00AE297B"/>
    <w:rsid w:val="00AE4DB7"/>
    <w:rsid w:val="00AE58D5"/>
    <w:rsid w:val="00AE5A09"/>
    <w:rsid w:val="00AE6686"/>
    <w:rsid w:val="00AE73D6"/>
    <w:rsid w:val="00AF1A59"/>
    <w:rsid w:val="00AF2FED"/>
    <w:rsid w:val="00AF4F49"/>
    <w:rsid w:val="00AF5927"/>
    <w:rsid w:val="00AF5E63"/>
    <w:rsid w:val="00AF73A4"/>
    <w:rsid w:val="00AF7436"/>
    <w:rsid w:val="00AF7794"/>
    <w:rsid w:val="00B01329"/>
    <w:rsid w:val="00B0141B"/>
    <w:rsid w:val="00B016BC"/>
    <w:rsid w:val="00B0259B"/>
    <w:rsid w:val="00B02E36"/>
    <w:rsid w:val="00B042E2"/>
    <w:rsid w:val="00B0617C"/>
    <w:rsid w:val="00B06546"/>
    <w:rsid w:val="00B06C17"/>
    <w:rsid w:val="00B0769A"/>
    <w:rsid w:val="00B12BE2"/>
    <w:rsid w:val="00B13055"/>
    <w:rsid w:val="00B14BC8"/>
    <w:rsid w:val="00B151CC"/>
    <w:rsid w:val="00B15390"/>
    <w:rsid w:val="00B15C98"/>
    <w:rsid w:val="00B16CA3"/>
    <w:rsid w:val="00B16D97"/>
    <w:rsid w:val="00B21749"/>
    <w:rsid w:val="00B23183"/>
    <w:rsid w:val="00B24D0A"/>
    <w:rsid w:val="00B2574E"/>
    <w:rsid w:val="00B259C6"/>
    <w:rsid w:val="00B3317D"/>
    <w:rsid w:val="00B342AB"/>
    <w:rsid w:val="00B35F0F"/>
    <w:rsid w:val="00B36428"/>
    <w:rsid w:val="00B36583"/>
    <w:rsid w:val="00B37705"/>
    <w:rsid w:val="00B41BEE"/>
    <w:rsid w:val="00B438E7"/>
    <w:rsid w:val="00B4465B"/>
    <w:rsid w:val="00B455C1"/>
    <w:rsid w:val="00B46E15"/>
    <w:rsid w:val="00B47F85"/>
    <w:rsid w:val="00B50749"/>
    <w:rsid w:val="00B53058"/>
    <w:rsid w:val="00B53BA8"/>
    <w:rsid w:val="00B53C53"/>
    <w:rsid w:val="00B60149"/>
    <w:rsid w:val="00B6103D"/>
    <w:rsid w:val="00B62952"/>
    <w:rsid w:val="00B6632C"/>
    <w:rsid w:val="00B663B0"/>
    <w:rsid w:val="00B66D2E"/>
    <w:rsid w:val="00B720C4"/>
    <w:rsid w:val="00B72C51"/>
    <w:rsid w:val="00B73B22"/>
    <w:rsid w:val="00B759E8"/>
    <w:rsid w:val="00B81475"/>
    <w:rsid w:val="00B81636"/>
    <w:rsid w:val="00B83B2F"/>
    <w:rsid w:val="00B83E57"/>
    <w:rsid w:val="00B86375"/>
    <w:rsid w:val="00B87D1B"/>
    <w:rsid w:val="00B87E45"/>
    <w:rsid w:val="00B95533"/>
    <w:rsid w:val="00BA2C25"/>
    <w:rsid w:val="00BA3888"/>
    <w:rsid w:val="00BA5570"/>
    <w:rsid w:val="00BB0A2B"/>
    <w:rsid w:val="00BB0F68"/>
    <w:rsid w:val="00BB1FFF"/>
    <w:rsid w:val="00BB2567"/>
    <w:rsid w:val="00BB5126"/>
    <w:rsid w:val="00BB6123"/>
    <w:rsid w:val="00BB662C"/>
    <w:rsid w:val="00BB6D3B"/>
    <w:rsid w:val="00BB7C6F"/>
    <w:rsid w:val="00BC0999"/>
    <w:rsid w:val="00BC24CA"/>
    <w:rsid w:val="00BC2771"/>
    <w:rsid w:val="00BC37C6"/>
    <w:rsid w:val="00BC39EF"/>
    <w:rsid w:val="00BC44D7"/>
    <w:rsid w:val="00BC44E6"/>
    <w:rsid w:val="00BC4716"/>
    <w:rsid w:val="00BC50C6"/>
    <w:rsid w:val="00BC739D"/>
    <w:rsid w:val="00BD0FA8"/>
    <w:rsid w:val="00BD113A"/>
    <w:rsid w:val="00BD1B70"/>
    <w:rsid w:val="00BD2076"/>
    <w:rsid w:val="00BD249F"/>
    <w:rsid w:val="00BD2B9F"/>
    <w:rsid w:val="00BD2EA0"/>
    <w:rsid w:val="00BD32A2"/>
    <w:rsid w:val="00BD35B3"/>
    <w:rsid w:val="00BD3D21"/>
    <w:rsid w:val="00BD3DA8"/>
    <w:rsid w:val="00BD45D5"/>
    <w:rsid w:val="00BD7045"/>
    <w:rsid w:val="00BE3763"/>
    <w:rsid w:val="00BE3777"/>
    <w:rsid w:val="00BE37E0"/>
    <w:rsid w:val="00BE446D"/>
    <w:rsid w:val="00BE64F3"/>
    <w:rsid w:val="00BE7FDA"/>
    <w:rsid w:val="00BF115D"/>
    <w:rsid w:val="00BF2FBB"/>
    <w:rsid w:val="00BF3CBA"/>
    <w:rsid w:val="00BF5183"/>
    <w:rsid w:val="00C00697"/>
    <w:rsid w:val="00C0095A"/>
    <w:rsid w:val="00C01A0F"/>
    <w:rsid w:val="00C06F00"/>
    <w:rsid w:val="00C10B44"/>
    <w:rsid w:val="00C10C00"/>
    <w:rsid w:val="00C10D5B"/>
    <w:rsid w:val="00C14785"/>
    <w:rsid w:val="00C14EAA"/>
    <w:rsid w:val="00C159BC"/>
    <w:rsid w:val="00C17CE9"/>
    <w:rsid w:val="00C20C12"/>
    <w:rsid w:val="00C2198F"/>
    <w:rsid w:val="00C22139"/>
    <w:rsid w:val="00C32219"/>
    <w:rsid w:val="00C330FF"/>
    <w:rsid w:val="00C402C6"/>
    <w:rsid w:val="00C41795"/>
    <w:rsid w:val="00C4431F"/>
    <w:rsid w:val="00C464A7"/>
    <w:rsid w:val="00C46A7C"/>
    <w:rsid w:val="00C46FA7"/>
    <w:rsid w:val="00C5038F"/>
    <w:rsid w:val="00C511C3"/>
    <w:rsid w:val="00C51C42"/>
    <w:rsid w:val="00C51C9B"/>
    <w:rsid w:val="00C52329"/>
    <w:rsid w:val="00C543EB"/>
    <w:rsid w:val="00C547A8"/>
    <w:rsid w:val="00C55254"/>
    <w:rsid w:val="00C55376"/>
    <w:rsid w:val="00C556F7"/>
    <w:rsid w:val="00C57E53"/>
    <w:rsid w:val="00C57F4E"/>
    <w:rsid w:val="00C624D6"/>
    <w:rsid w:val="00C628E5"/>
    <w:rsid w:val="00C642C5"/>
    <w:rsid w:val="00C66A73"/>
    <w:rsid w:val="00C67AA6"/>
    <w:rsid w:val="00C70782"/>
    <w:rsid w:val="00C74F7C"/>
    <w:rsid w:val="00C75357"/>
    <w:rsid w:val="00C76191"/>
    <w:rsid w:val="00C76497"/>
    <w:rsid w:val="00C769F8"/>
    <w:rsid w:val="00C80099"/>
    <w:rsid w:val="00C808CB"/>
    <w:rsid w:val="00C80CAE"/>
    <w:rsid w:val="00C810FE"/>
    <w:rsid w:val="00C82208"/>
    <w:rsid w:val="00C82B4D"/>
    <w:rsid w:val="00C856C9"/>
    <w:rsid w:val="00C8593C"/>
    <w:rsid w:val="00C861D3"/>
    <w:rsid w:val="00C86AD9"/>
    <w:rsid w:val="00C86F22"/>
    <w:rsid w:val="00C905E5"/>
    <w:rsid w:val="00C90ECD"/>
    <w:rsid w:val="00C91A83"/>
    <w:rsid w:val="00C947A6"/>
    <w:rsid w:val="00C94823"/>
    <w:rsid w:val="00C94ACC"/>
    <w:rsid w:val="00C9556C"/>
    <w:rsid w:val="00C9650F"/>
    <w:rsid w:val="00C9741E"/>
    <w:rsid w:val="00CA23D9"/>
    <w:rsid w:val="00CA309D"/>
    <w:rsid w:val="00CA33C7"/>
    <w:rsid w:val="00CA3C03"/>
    <w:rsid w:val="00CA6356"/>
    <w:rsid w:val="00CB04DA"/>
    <w:rsid w:val="00CB0D78"/>
    <w:rsid w:val="00CB14F1"/>
    <w:rsid w:val="00CB1E8E"/>
    <w:rsid w:val="00CB232A"/>
    <w:rsid w:val="00CB2C58"/>
    <w:rsid w:val="00CB38A3"/>
    <w:rsid w:val="00CB3B70"/>
    <w:rsid w:val="00CB3C62"/>
    <w:rsid w:val="00CB424C"/>
    <w:rsid w:val="00CB4EDF"/>
    <w:rsid w:val="00CB5CAC"/>
    <w:rsid w:val="00CB61FF"/>
    <w:rsid w:val="00CB763A"/>
    <w:rsid w:val="00CC0243"/>
    <w:rsid w:val="00CC1475"/>
    <w:rsid w:val="00CC16F4"/>
    <w:rsid w:val="00CC1CCB"/>
    <w:rsid w:val="00CC5E8C"/>
    <w:rsid w:val="00CC6211"/>
    <w:rsid w:val="00CC6B7E"/>
    <w:rsid w:val="00CD481D"/>
    <w:rsid w:val="00CD4EB7"/>
    <w:rsid w:val="00CD5706"/>
    <w:rsid w:val="00CD69B0"/>
    <w:rsid w:val="00CD730D"/>
    <w:rsid w:val="00CE0920"/>
    <w:rsid w:val="00CE1635"/>
    <w:rsid w:val="00CF0ADC"/>
    <w:rsid w:val="00CF0D33"/>
    <w:rsid w:val="00CF49E9"/>
    <w:rsid w:val="00CF6800"/>
    <w:rsid w:val="00CF68E9"/>
    <w:rsid w:val="00CF736F"/>
    <w:rsid w:val="00CF7819"/>
    <w:rsid w:val="00D00EA9"/>
    <w:rsid w:val="00D01C65"/>
    <w:rsid w:val="00D0203F"/>
    <w:rsid w:val="00D03A20"/>
    <w:rsid w:val="00D07D90"/>
    <w:rsid w:val="00D1233D"/>
    <w:rsid w:val="00D13150"/>
    <w:rsid w:val="00D14815"/>
    <w:rsid w:val="00D171A8"/>
    <w:rsid w:val="00D17DF1"/>
    <w:rsid w:val="00D2011B"/>
    <w:rsid w:val="00D223E8"/>
    <w:rsid w:val="00D24C2C"/>
    <w:rsid w:val="00D25B0E"/>
    <w:rsid w:val="00D269AB"/>
    <w:rsid w:val="00D303B7"/>
    <w:rsid w:val="00D30B2B"/>
    <w:rsid w:val="00D33B9D"/>
    <w:rsid w:val="00D34DED"/>
    <w:rsid w:val="00D4086C"/>
    <w:rsid w:val="00D4173F"/>
    <w:rsid w:val="00D443E3"/>
    <w:rsid w:val="00D4602A"/>
    <w:rsid w:val="00D4643A"/>
    <w:rsid w:val="00D46EB7"/>
    <w:rsid w:val="00D4713F"/>
    <w:rsid w:val="00D475BD"/>
    <w:rsid w:val="00D50245"/>
    <w:rsid w:val="00D5127A"/>
    <w:rsid w:val="00D52159"/>
    <w:rsid w:val="00D532EF"/>
    <w:rsid w:val="00D54C52"/>
    <w:rsid w:val="00D54CE5"/>
    <w:rsid w:val="00D55D68"/>
    <w:rsid w:val="00D55E22"/>
    <w:rsid w:val="00D611A9"/>
    <w:rsid w:val="00D620F7"/>
    <w:rsid w:val="00D621F3"/>
    <w:rsid w:val="00D64BA9"/>
    <w:rsid w:val="00D664D3"/>
    <w:rsid w:val="00D70252"/>
    <w:rsid w:val="00D7425C"/>
    <w:rsid w:val="00D74998"/>
    <w:rsid w:val="00D76032"/>
    <w:rsid w:val="00D81EC8"/>
    <w:rsid w:val="00D822F9"/>
    <w:rsid w:val="00D830C5"/>
    <w:rsid w:val="00D843AD"/>
    <w:rsid w:val="00D84738"/>
    <w:rsid w:val="00D84C3A"/>
    <w:rsid w:val="00D86D7E"/>
    <w:rsid w:val="00D8721E"/>
    <w:rsid w:val="00D872A3"/>
    <w:rsid w:val="00D872E0"/>
    <w:rsid w:val="00D876C0"/>
    <w:rsid w:val="00D9012E"/>
    <w:rsid w:val="00D90897"/>
    <w:rsid w:val="00D93BE5"/>
    <w:rsid w:val="00D942F4"/>
    <w:rsid w:val="00D96BE8"/>
    <w:rsid w:val="00DA0CB2"/>
    <w:rsid w:val="00DA157D"/>
    <w:rsid w:val="00DA1BD8"/>
    <w:rsid w:val="00DA3036"/>
    <w:rsid w:val="00DA36B7"/>
    <w:rsid w:val="00DA40F1"/>
    <w:rsid w:val="00DA665D"/>
    <w:rsid w:val="00DB015B"/>
    <w:rsid w:val="00DB1579"/>
    <w:rsid w:val="00DB20CE"/>
    <w:rsid w:val="00DB24D3"/>
    <w:rsid w:val="00DB35E7"/>
    <w:rsid w:val="00DB5E67"/>
    <w:rsid w:val="00DB6461"/>
    <w:rsid w:val="00DB69B1"/>
    <w:rsid w:val="00DB6F16"/>
    <w:rsid w:val="00DB7D77"/>
    <w:rsid w:val="00DC2E91"/>
    <w:rsid w:val="00DC3380"/>
    <w:rsid w:val="00DC4563"/>
    <w:rsid w:val="00DC493A"/>
    <w:rsid w:val="00DC5847"/>
    <w:rsid w:val="00DC5B45"/>
    <w:rsid w:val="00DD06F5"/>
    <w:rsid w:val="00DD2B43"/>
    <w:rsid w:val="00DD619D"/>
    <w:rsid w:val="00DD6C35"/>
    <w:rsid w:val="00DD781B"/>
    <w:rsid w:val="00DE193D"/>
    <w:rsid w:val="00DE1B60"/>
    <w:rsid w:val="00DE1C87"/>
    <w:rsid w:val="00DE45E9"/>
    <w:rsid w:val="00DE710F"/>
    <w:rsid w:val="00DE7984"/>
    <w:rsid w:val="00DE7C89"/>
    <w:rsid w:val="00DE7EED"/>
    <w:rsid w:val="00DF1219"/>
    <w:rsid w:val="00DF36C0"/>
    <w:rsid w:val="00DF4666"/>
    <w:rsid w:val="00E01037"/>
    <w:rsid w:val="00E02E5D"/>
    <w:rsid w:val="00E03E4C"/>
    <w:rsid w:val="00E04409"/>
    <w:rsid w:val="00E04FB8"/>
    <w:rsid w:val="00E05934"/>
    <w:rsid w:val="00E05E36"/>
    <w:rsid w:val="00E0692E"/>
    <w:rsid w:val="00E10827"/>
    <w:rsid w:val="00E14B90"/>
    <w:rsid w:val="00E20385"/>
    <w:rsid w:val="00E205F7"/>
    <w:rsid w:val="00E2262C"/>
    <w:rsid w:val="00E23B18"/>
    <w:rsid w:val="00E24956"/>
    <w:rsid w:val="00E273F2"/>
    <w:rsid w:val="00E30287"/>
    <w:rsid w:val="00E323BE"/>
    <w:rsid w:val="00E36DDA"/>
    <w:rsid w:val="00E401B3"/>
    <w:rsid w:val="00E403FB"/>
    <w:rsid w:val="00E416FE"/>
    <w:rsid w:val="00E4335B"/>
    <w:rsid w:val="00E44300"/>
    <w:rsid w:val="00E46F31"/>
    <w:rsid w:val="00E476B1"/>
    <w:rsid w:val="00E47A25"/>
    <w:rsid w:val="00E50185"/>
    <w:rsid w:val="00E53F84"/>
    <w:rsid w:val="00E553B4"/>
    <w:rsid w:val="00E57560"/>
    <w:rsid w:val="00E578B7"/>
    <w:rsid w:val="00E60039"/>
    <w:rsid w:val="00E61F01"/>
    <w:rsid w:val="00E63215"/>
    <w:rsid w:val="00E63231"/>
    <w:rsid w:val="00E634B9"/>
    <w:rsid w:val="00E703D3"/>
    <w:rsid w:val="00E70CB7"/>
    <w:rsid w:val="00E7329A"/>
    <w:rsid w:val="00E73F85"/>
    <w:rsid w:val="00E76451"/>
    <w:rsid w:val="00E771C9"/>
    <w:rsid w:val="00E77258"/>
    <w:rsid w:val="00E8016F"/>
    <w:rsid w:val="00E80E52"/>
    <w:rsid w:val="00E816CE"/>
    <w:rsid w:val="00E87451"/>
    <w:rsid w:val="00E90908"/>
    <w:rsid w:val="00E90FB5"/>
    <w:rsid w:val="00E921D1"/>
    <w:rsid w:val="00E92954"/>
    <w:rsid w:val="00E93267"/>
    <w:rsid w:val="00E94C11"/>
    <w:rsid w:val="00EA0152"/>
    <w:rsid w:val="00EA0192"/>
    <w:rsid w:val="00EA0688"/>
    <w:rsid w:val="00EA19B4"/>
    <w:rsid w:val="00EA2BA4"/>
    <w:rsid w:val="00EA4C66"/>
    <w:rsid w:val="00EA5011"/>
    <w:rsid w:val="00EA7BCF"/>
    <w:rsid w:val="00EB050D"/>
    <w:rsid w:val="00EB25EA"/>
    <w:rsid w:val="00EC0059"/>
    <w:rsid w:val="00EC07E9"/>
    <w:rsid w:val="00EC0820"/>
    <w:rsid w:val="00EC1666"/>
    <w:rsid w:val="00EC3718"/>
    <w:rsid w:val="00EC56EE"/>
    <w:rsid w:val="00EC5EAE"/>
    <w:rsid w:val="00EC68DB"/>
    <w:rsid w:val="00EC7397"/>
    <w:rsid w:val="00EC7688"/>
    <w:rsid w:val="00ED0678"/>
    <w:rsid w:val="00ED0CB2"/>
    <w:rsid w:val="00ED1643"/>
    <w:rsid w:val="00ED1AA0"/>
    <w:rsid w:val="00ED1D8D"/>
    <w:rsid w:val="00ED1E11"/>
    <w:rsid w:val="00ED29BF"/>
    <w:rsid w:val="00ED334F"/>
    <w:rsid w:val="00ED41E0"/>
    <w:rsid w:val="00ED465E"/>
    <w:rsid w:val="00EE08F2"/>
    <w:rsid w:val="00EE1DD7"/>
    <w:rsid w:val="00EE2B29"/>
    <w:rsid w:val="00EE35B2"/>
    <w:rsid w:val="00EE37A3"/>
    <w:rsid w:val="00EE4219"/>
    <w:rsid w:val="00EE59EB"/>
    <w:rsid w:val="00EE76B9"/>
    <w:rsid w:val="00EF025F"/>
    <w:rsid w:val="00EF125F"/>
    <w:rsid w:val="00EF2497"/>
    <w:rsid w:val="00EF38A6"/>
    <w:rsid w:val="00EF455C"/>
    <w:rsid w:val="00EF4D0E"/>
    <w:rsid w:val="00EF53E7"/>
    <w:rsid w:val="00EF54C5"/>
    <w:rsid w:val="00F017E0"/>
    <w:rsid w:val="00F01B39"/>
    <w:rsid w:val="00F03B20"/>
    <w:rsid w:val="00F0439E"/>
    <w:rsid w:val="00F065A0"/>
    <w:rsid w:val="00F13CD0"/>
    <w:rsid w:val="00F16C8A"/>
    <w:rsid w:val="00F21AAD"/>
    <w:rsid w:val="00F21BE8"/>
    <w:rsid w:val="00F21C56"/>
    <w:rsid w:val="00F21C70"/>
    <w:rsid w:val="00F221FF"/>
    <w:rsid w:val="00F26125"/>
    <w:rsid w:val="00F26B56"/>
    <w:rsid w:val="00F26D11"/>
    <w:rsid w:val="00F270F6"/>
    <w:rsid w:val="00F27CBE"/>
    <w:rsid w:val="00F31D2D"/>
    <w:rsid w:val="00F33731"/>
    <w:rsid w:val="00F34034"/>
    <w:rsid w:val="00F372E4"/>
    <w:rsid w:val="00F378CA"/>
    <w:rsid w:val="00F4121E"/>
    <w:rsid w:val="00F41C86"/>
    <w:rsid w:val="00F4212B"/>
    <w:rsid w:val="00F4248E"/>
    <w:rsid w:val="00F42EC3"/>
    <w:rsid w:val="00F4644C"/>
    <w:rsid w:val="00F468E5"/>
    <w:rsid w:val="00F46D66"/>
    <w:rsid w:val="00F4704F"/>
    <w:rsid w:val="00F47D66"/>
    <w:rsid w:val="00F50EE3"/>
    <w:rsid w:val="00F50F65"/>
    <w:rsid w:val="00F52C45"/>
    <w:rsid w:val="00F5511C"/>
    <w:rsid w:val="00F5544C"/>
    <w:rsid w:val="00F55C6D"/>
    <w:rsid w:val="00F578E4"/>
    <w:rsid w:val="00F61A70"/>
    <w:rsid w:val="00F631D4"/>
    <w:rsid w:val="00F651C4"/>
    <w:rsid w:val="00F655DC"/>
    <w:rsid w:val="00F6604E"/>
    <w:rsid w:val="00F67D08"/>
    <w:rsid w:val="00F70F78"/>
    <w:rsid w:val="00F71A88"/>
    <w:rsid w:val="00F73504"/>
    <w:rsid w:val="00F7491D"/>
    <w:rsid w:val="00F7682E"/>
    <w:rsid w:val="00F80606"/>
    <w:rsid w:val="00F8277F"/>
    <w:rsid w:val="00F83697"/>
    <w:rsid w:val="00F8376B"/>
    <w:rsid w:val="00F84EF2"/>
    <w:rsid w:val="00F90774"/>
    <w:rsid w:val="00F9235C"/>
    <w:rsid w:val="00F92C57"/>
    <w:rsid w:val="00F9344F"/>
    <w:rsid w:val="00F94D00"/>
    <w:rsid w:val="00F95469"/>
    <w:rsid w:val="00F95A6B"/>
    <w:rsid w:val="00F95A75"/>
    <w:rsid w:val="00F95DF1"/>
    <w:rsid w:val="00F965E7"/>
    <w:rsid w:val="00F97B14"/>
    <w:rsid w:val="00FA0E96"/>
    <w:rsid w:val="00FA24AD"/>
    <w:rsid w:val="00FA4CCC"/>
    <w:rsid w:val="00FA5AB7"/>
    <w:rsid w:val="00FA6B33"/>
    <w:rsid w:val="00FA70FA"/>
    <w:rsid w:val="00FA7951"/>
    <w:rsid w:val="00FB1D0E"/>
    <w:rsid w:val="00FB20C4"/>
    <w:rsid w:val="00FB3C96"/>
    <w:rsid w:val="00FB4891"/>
    <w:rsid w:val="00FB4BCE"/>
    <w:rsid w:val="00FB4DD5"/>
    <w:rsid w:val="00FB55EF"/>
    <w:rsid w:val="00FB5EF1"/>
    <w:rsid w:val="00FB60EF"/>
    <w:rsid w:val="00FC03E7"/>
    <w:rsid w:val="00FC1439"/>
    <w:rsid w:val="00FC2347"/>
    <w:rsid w:val="00FC2E57"/>
    <w:rsid w:val="00FC33C4"/>
    <w:rsid w:val="00FC3825"/>
    <w:rsid w:val="00FC3D4F"/>
    <w:rsid w:val="00FC49FB"/>
    <w:rsid w:val="00FC4AFF"/>
    <w:rsid w:val="00FC5756"/>
    <w:rsid w:val="00FD1492"/>
    <w:rsid w:val="00FD228D"/>
    <w:rsid w:val="00FD4DCC"/>
    <w:rsid w:val="00FD4F3C"/>
    <w:rsid w:val="00FD60DD"/>
    <w:rsid w:val="00FD60F1"/>
    <w:rsid w:val="00FD659E"/>
    <w:rsid w:val="00FD73BB"/>
    <w:rsid w:val="00FE0EBC"/>
    <w:rsid w:val="00FE1A5E"/>
    <w:rsid w:val="00FE2E71"/>
    <w:rsid w:val="00FE46B9"/>
    <w:rsid w:val="00FE56E3"/>
    <w:rsid w:val="00FE6A0D"/>
    <w:rsid w:val="00FE7253"/>
    <w:rsid w:val="00FE7B71"/>
    <w:rsid w:val="00FE7E2A"/>
    <w:rsid w:val="00FF0EB2"/>
    <w:rsid w:val="00FF112F"/>
    <w:rsid w:val="00FF1AF2"/>
    <w:rsid w:val="00FF1E28"/>
    <w:rsid w:val="00FF2D86"/>
    <w:rsid w:val="00FF3070"/>
    <w:rsid w:val="00FF5459"/>
    <w:rsid w:val="00FF5C1A"/>
    <w:rsid w:val="00FF6000"/>
    <w:rsid w:val="00FF6161"/>
    <w:rsid w:val="00FF6D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72A4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952E44"/>
    <w:pPr>
      <w:keepNext/>
      <w:keepLines/>
      <w:spacing w:after="240" w:line="312" w:lineRule="auto"/>
      <w:outlineLvl w:val="0"/>
    </w:pPr>
    <w:rPr>
      <w:rFonts w:asciiTheme="majorHAnsi" w:hAnsiTheme="majorHAnsi"/>
      <w:b/>
      <w:color w:val="2A4055" w:themeColor="accent1"/>
      <w:sz w:val="36"/>
      <w:szCs w:val="36"/>
    </w:rPr>
  </w:style>
  <w:style w:type="paragraph" w:styleId="Heading2">
    <w:name w:val="heading 2"/>
    <w:basedOn w:val="Heading1"/>
    <w:next w:val="BodyText"/>
    <w:link w:val="Heading2Char"/>
    <w:uiPriority w:val="9"/>
    <w:unhideWhenUsed/>
    <w:qFormat/>
    <w:rsid w:val="00952E44"/>
    <w:pPr>
      <w:outlineLvl w:val="1"/>
    </w:pPr>
    <w:rPr>
      <w:sz w:val="32"/>
      <w:szCs w:val="32"/>
    </w:rPr>
  </w:style>
  <w:style w:type="paragraph" w:styleId="Heading3">
    <w:name w:val="heading 3"/>
    <w:basedOn w:val="Normal"/>
    <w:next w:val="BodyText"/>
    <w:link w:val="Heading3Char"/>
    <w:uiPriority w:val="9"/>
    <w:unhideWhenUsed/>
    <w:qFormat/>
    <w:rsid w:val="00CD69B0"/>
    <w:pPr>
      <w:keepNext/>
      <w:keepLines/>
      <w:spacing w:after="60"/>
      <w:outlineLvl w:val="2"/>
    </w:pPr>
    <w:rPr>
      <w:rFonts w:asciiTheme="majorHAnsi" w:eastAsiaTheme="majorEastAsia" w:hAnsiTheme="majorHAnsi" w:cstheme="majorBidi"/>
      <w:b/>
      <w:color w:val="293F54" w:themeColor="accent5" w:themeTint="E6"/>
      <w:sz w:val="28"/>
      <w:szCs w:val="28"/>
    </w:rPr>
  </w:style>
  <w:style w:type="paragraph" w:styleId="Heading4">
    <w:name w:val="heading 4"/>
    <w:basedOn w:val="BodyText"/>
    <w:next w:val="BodyText"/>
    <w:link w:val="Heading4Char"/>
    <w:uiPriority w:val="9"/>
    <w:qFormat/>
    <w:rsid w:val="00825715"/>
    <w:pPr>
      <w:spacing w:before="240"/>
      <w:outlineLvl w:val="3"/>
    </w:pPr>
    <w:rPr>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952E44"/>
    <w:rPr>
      <w:rFonts w:asciiTheme="majorHAnsi" w:hAnsiTheme="majorHAnsi"/>
      <w:b/>
      <w:color w:val="2A4055" w:themeColor="accent1"/>
      <w:sz w:val="36"/>
      <w:szCs w:val="36"/>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L,CAB - List Bullet,List Bullet Cab,List Paragraph1,List Paragraph11,Bullet point,List Paragraph Number,List Paragraph2,Bullet Point,Bullet points,Content descriptions,Bullet Points,AR bullet 1,#List Paragraph,CV text,列出段落,Bullets,Dot p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952E44"/>
    <w:rPr>
      <w:rFonts w:asciiTheme="majorHAnsi" w:hAnsiTheme="majorHAnsi"/>
      <w:b/>
      <w:color w:val="2A4055" w:themeColor="accent1"/>
      <w:sz w:val="32"/>
      <w:szCs w:val="32"/>
    </w:rPr>
  </w:style>
  <w:style w:type="paragraph" w:customStyle="1" w:styleId="NumberedListlevel1">
    <w:name w:val="Numbered List level 1"/>
    <w:basedOn w:val="ListParagraph"/>
    <w:uiPriority w:val="9"/>
    <w:qFormat/>
    <w:rsid w:val="008A67E3"/>
    <w:pPr>
      <w:numPr>
        <w:numId w:val="7"/>
      </w:numPr>
      <w:spacing w:before="120" w:after="0"/>
      <w:ind w:left="568" w:hanging="284"/>
    </w:pPr>
    <w:rPr>
      <w:sz w:val="22"/>
    </w:rPr>
  </w:style>
  <w:style w:type="paragraph" w:customStyle="1" w:styleId="BulletedListlvl1">
    <w:name w:val="Bulleted List lvl1"/>
    <w:uiPriority w:val="10"/>
    <w:qFormat/>
    <w:rsid w:val="008A67E3"/>
    <w:pPr>
      <w:numPr>
        <w:numId w:val="3"/>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AD1ED6"/>
    <w:pPr>
      <w:spacing w:before="60" w:after="0"/>
    </w:pPr>
    <w:rPr>
      <w:rFonts w:asciiTheme="majorHAnsi" w:hAnsiTheme="majorHAnsi"/>
      <w:color w:val="293F54" w:themeColor="accent5" w:themeTint="E6"/>
      <w:sz w:val="22"/>
      <w:szCs w:val="22"/>
    </w:rPr>
  </w:style>
  <w:style w:type="character" w:customStyle="1" w:styleId="BodyTextChar">
    <w:name w:val="Body Text Char"/>
    <w:basedOn w:val="DefaultParagraphFont"/>
    <w:link w:val="BodyText"/>
    <w:rsid w:val="00AD1ED6"/>
    <w:rPr>
      <w:rFonts w:asciiTheme="majorHAnsi" w:hAnsiTheme="majorHAnsi"/>
      <w:color w:val="293F54" w:themeColor="accent5" w:themeTint="E6"/>
      <w:sz w:val="22"/>
      <w:szCs w:val="22"/>
    </w:rPr>
  </w:style>
  <w:style w:type="paragraph" w:customStyle="1" w:styleId="BulletedListlvl2">
    <w:name w:val="Bulleted List lvl2"/>
    <w:basedOn w:val="BulletedListlvl1"/>
    <w:uiPriority w:val="10"/>
    <w:rsid w:val="00DB24D3"/>
    <w:pPr>
      <w:numPr>
        <w:ilvl w:val="1"/>
        <w:numId w:val="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CD69B0"/>
    <w:rPr>
      <w:rFonts w:asciiTheme="majorHAnsi" w:eastAsiaTheme="majorEastAsia" w:hAnsiTheme="majorHAnsi" w:cstheme="majorBidi"/>
      <w:b/>
      <w:color w:val="293F54" w:themeColor="accent5" w:themeTint="E6"/>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b/>
      <w:color w:val="FFFFFF" w:themeColor="background1"/>
      <w:sz w:val="120"/>
      <w:szCs w:val="72"/>
    </w:rPr>
  </w:style>
  <w:style w:type="paragraph" w:customStyle="1" w:styleId="CoverByline">
    <w:name w:val="Cover Byline"/>
    <w:basedOn w:val="NoSpacing"/>
    <w:uiPriority w:val="11"/>
    <w:semiHidden/>
    <w:qFormat/>
    <w:rsid w:val="008436AB"/>
    <w:pPr>
      <w:spacing w:after="360"/>
    </w:pPr>
    <w:rPr>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6"/>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uiPriority w:val="10"/>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uiPriority w:val="10"/>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rFonts w:asciiTheme="majorHAnsi" w:hAnsiTheme="majorHAnsi"/>
      <w:color w:val="293F54" w:themeColor="accent5" w:themeTint="E6"/>
      <w:sz w:val="22"/>
      <w:szCs w:val="22"/>
    </w:rPr>
  </w:style>
  <w:style w:type="character" w:customStyle="1" w:styleId="ui-provider">
    <w:name w:val="ui-provider"/>
    <w:basedOn w:val="DefaultParagraphFont"/>
    <w:rsid w:val="00C2198F"/>
  </w:style>
  <w:style w:type="character" w:styleId="Hyperlink">
    <w:name w:val="Hyperlink"/>
    <w:basedOn w:val="DefaultParagraphFont"/>
    <w:uiPriority w:val="99"/>
    <w:unhideWhenUsed/>
    <w:rsid w:val="00C2198F"/>
    <w:rPr>
      <w:color w:val="0289C8" w:themeColor="hyperlink"/>
      <w:u w:val="single"/>
    </w:rPr>
  </w:style>
  <w:style w:type="character" w:styleId="Strong">
    <w:name w:val="Strong"/>
    <w:basedOn w:val="DefaultParagraphFont"/>
    <w:uiPriority w:val="22"/>
    <w:qFormat/>
    <w:rsid w:val="00A17CEA"/>
    <w:rPr>
      <w:b/>
      <w:bCs/>
    </w:rPr>
  </w:style>
  <w:style w:type="paragraph" w:styleId="NormalWeb">
    <w:name w:val="Normal (Web)"/>
    <w:basedOn w:val="Normal"/>
    <w:uiPriority w:val="99"/>
    <w:semiHidden/>
    <w:unhideWhenUsed/>
    <w:rsid w:val="005668A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5668A5"/>
    <w:rPr>
      <w:sz w:val="16"/>
      <w:szCs w:val="16"/>
    </w:rPr>
  </w:style>
  <w:style w:type="paragraph" w:styleId="CommentText">
    <w:name w:val="annotation text"/>
    <w:basedOn w:val="Normal"/>
    <w:link w:val="CommentTextChar"/>
    <w:uiPriority w:val="99"/>
    <w:unhideWhenUsed/>
    <w:rsid w:val="005668A5"/>
    <w:pPr>
      <w:spacing w:line="240" w:lineRule="auto"/>
    </w:pPr>
  </w:style>
  <w:style w:type="character" w:customStyle="1" w:styleId="CommentTextChar">
    <w:name w:val="Comment Text Char"/>
    <w:basedOn w:val="DefaultParagraphFont"/>
    <w:link w:val="CommentText"/>
    <w:uiPriority w:val="99"/>
    <w:rsid w:val="005668A5"/>
  </w:style>
  <w:style w:type="paragraph" w:styleId="CommentSubject">
    <w:name w:val="annotation subject"/>
    <w:basedOn w:val="CommentText"/>
    <w:next w:val="CommentText"/>
    <w:link w:val="CommentSubjectChar"/>
    <w:uiPriority w:val="99"/>
    <w:semiHidden/>
    <w:unhideWhenUsed/>
    <w:rsid w:val="005668A5"/>
    <w:rPr>
      <w:b/>
      <w:bCs/>
    </w:rPr>
  </w:style>
  <w:style w:type="character" w:customStyle="1" w:styleId="CommentSubjectChar">
    <w:name w:val="Comment Subject Char"/>
    <w:basedOn w:val="CommentTextChar"/>
    <w:link w:val="CommentSubject"/>
    <w:uiPriority w:val="99"/>
    <w:semiHidden/>
    <w:rsid w:val="005668A5"/>
    <w:rPr>
      <w:b/>
      <w:bCs/>
    </w:rPr>
  </w:style>
  <w:style w:type="table" w:styleId="TableGrid">
    <w:name w:val="Table Grid"/>
    <w:basedOn w:val="TableNormal"/>
    <w:uiPriority w:val="39"/>
    <w:rsid w:val="00B8637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1037"/>
    <w:pPr>
      <w:spacing w:after="0" w:line="240" w:lineRule="auto"/>
    </w:pPr>
  </w:style>
  <w:style w:type="paragraph" w:customStyle="1" w:styleId="List1">
    <w:name w:val="List1"/>
    <w:basedOn w:val="Heading3"/>
    <w:link w:val="listChar"/>
    <w:qFormat/>
    <w:rsid w:val="00195720"/>
    <w:pPr>
      <w:keepNext w:val="0"/>
      <w:keepLines w:val="0"/>
      <w:numPr>
        <w:numId w:val="9"/>
      </w:numPr>
      <w:spacing w:before="200" w:after="0" w:line="259" w:lineRule="auto"/>
      <w:ind w:left="720"/>
      <w:outlineLvl w:val="9"/>
    </w:pPr>
    <w:rPr>
      <w:rFonts w:ascii="Arial" w:eastAsia="Times New Roman" w:hAnsi="Arial"/>
      <w:bCs/>
      <w:color w:val="auto"/>
      <w:sz w:val="22"/>
      <w:szCs w:val="22"/>
    </w:rPr>
  </w:style>
  <w:style w:type="paragraph" w:customStyle="1" w:styleId="alphalist">
    <w:name w:val="alpha list"/>
    <w:basedOn w:val="Heading3"/>
    <w:link w:val="alphalistChar"/>
    <w:qFormat/>
    <w:rsid w:val="00195720"/>
    <w:pPr>
      <w:keepNext w:val="0"/>
      <w:keepLines w:val="0"/>
      <w:numPr>
        <w:ilvl w:val="1"/>
        <w:numId w:val="9"/>
      </w:numPr>
      <w:spacing w:before="200" w:after="0" w:line="259" w:lineRule="auto"/>
      <w:outlineLvl w:val="9"/>
    </w:pPr>
    <w:rPr>
      <w:rFonts w:ascii="Arial" w:hAnsi="Arial"/>
      <w:bCs/>
      <w:color w:val="000000" w:themeColor="text1"/>
      <w:sz w:val="22"/>
      <w:szCs w:val="22"/>
    </w:rPr>
  </w:style>
  <w:style w:type="character" w:customStyle="1" w:styleId="alphalistChar">
    <w:name w:val="alpha list Char"/>
    <w:basedOn w:val="Heading3Char"/>
    <w:link w:val="alphalist"/>
    <w:rsid w:val="00195720"/>
    <w:rPr>
      <w:rFonts w:ascii="Arial" w:eastAsiaTheme="majorEastAsia" w:hAnsi="Arial" w:cstheme="majorBidi"/>
      <w:b/>
      <w:bCs/>
      <w:color w:val="000000" w:themeColor="text1"/>
      <w:sz w:val="22"/>
      <w:szCs w:val="22"/>
    </w:rPr>
  </w:style>
  <w:style w:type="paragraph" w:customStyle="1" w:styleId="romanlist">
    <w:name w:val="roman list"/>
    <w:basedOn w:val="Heading3"/>
    <w:qFormat/>
    <w:rsid w:val="00195720"/>
    <w:pPr>
      <w:keepNext w:val="0"/>
      <w:keepLines w:val="0"/>
      <w:numPr>
        <w:ilvl w:val="2"/>
        <w:numId w:val="9"/>
      </w:numPr>
      <w:spacing w:before="200" w:after="0" w:line="259" w:lineRule="auto"/>
      <w:outlineLvl w:val="9"/>
    </w:pPr>
    <w:rPr>
      <w:rFonts w:ascii="Arial" w:hAnsi="Arial" w:cs="Arial"/>
      <w:bCs/>
      <w:color w:val="000000" w:themeColor="text1"/>
      <w:sz w:val="22"/>
      <w:szCs w:val="22"/>
    </w:rPr>
  </w:style>
  <w:style w:type="character" w:styleId="Emphasis">
    <w:name w:val="Emphasis"/>
    <w:basedOn w:val="DefaultParagraphFont"/>
    <w:uiPriority w:val="20"/>
    <w:qFormat/>
    <w:rsid w:val="00B6632C"/>
    <w:rPr>
      <w:i/>
      <w:iCs/>
    </w:rPr>
  </w:style>
  <w:style w:type="character" w:customStyle="1" w:styleId="hvr">
    <w:name w:val="hvr"/>
    <w:basedOn w:val="DefaultParagraphFont"/>
    <w:rsid w:val="001C258A"/>
  </w:style>
  <w:style w:type="character" w:customStyle="1" w:styleId="illustration">
    <w:name w:val="illustration"/>
    <w:basedOn w:val="DefaultParagraphFont"/>
    <w:rsid w:val="001C258A"/>
  </w:style>
  <w:style w:type="table" w:styleId="PlainTable2">
    <w:name w:val="Plain Table 2"/>
    <w:basedOn w:val="TableNormal"/>
    <w:uiPriority w:val="42"/>
    <w:rsid w:val="000904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07CFE"/>
    <w:rPr>
      <w:color w:val="800080"/>
      <w:u w:val="single"/>
    </w:rPr>
  </w:style>
  <w:style w:type="paragraph" w:customStyle="1" w:styleId="msonormal0">
    <w:name w:val="msonormal"/>
    <w:basedOn w:val="Normal"/>
    <w:rsid w:val="00A07CF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70">
    <w:name w:val="xl70"/>
    <w:basedOn w:val="Normal"/>
    <w:rsid w:val="00A07C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1">
    <w:name w:val="xl71"/>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2">
    <w:name w:val="xl72"/>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73">
    <w:name w:val="xl73"/>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4">
    <w:name w:val="xl74"/>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en-AU"/>
    </w:rPr>
  </w:style>
  <w:style w:type="paragraph" w:customStyle="1" w:styleId="xl75">
    <w:name w:val="xl75"/>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6">
    <w:name w:val="xl76"/>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7">
    <w:name w:val="xl77"/>
    <w:basedOn w:val="Normal"/>
    <w:rsid w:val="00A07C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table" w:styleId="PlainTable4">
    <w:name w:val="Plain Table 4"/>
    <w:basedOn w:val="TableNormal"/>
    <w:uiPriority w:val="44"/>
    <w:rsid w:val="00A07C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6">
    <w:name w:val="xl66"/>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7">
    <w:name w:val="xl67"/>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68">
    <w:name w:val="xl68"/>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69">
    <w:name w:val="xl69"/>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8">
    <w:name w:val="xl78"/>
    <w:basedOn w:val="Normal"/>
    <w:rsid w:val="009C69A7"/>
    <w:pPr>
      <w:pBdr>
        <w:top w:val="single" w:sz="4" w:space="0" w:color="auto"/>
        <w:left w:val="single" w:sz="4" w:space="0" w:color="auto"/>
        <w:bottom w:val="single" w:sz="4" w:space="0" w:color="auto"/>
        <w:right w:val="single" w:sz="4" w:space="0" w:color="auto"/>
      </w:pBdr>
      <w:shd w:val="clear" w:color="DDEBF7" w:fill="F2F2F2"/>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en-AU"/>
    </w:rPr>
  </w:style>
  <w:style w:type="paragraph" w:styleId="ListBullet">
    <w:name w:val="List Bullet"/>
    <w:basedOn w:val="Normal"/>
    <w:uiPriority w:val="99"/>
    <w:qFormat/>
    <w:rsid w:val="0083058F"/>
    <w:pPr>
      <w:numPr>
        <w:numId w:val="10"/>
      </w:numPr>
      <w:spacing w:before="40" w:after="80" w:line="280" w:lineRule="atLeast"/>
    </w:pPr>
    <w:rPr>
      <w:rFonts w:ascii="Arial" w:eastAsia="Times New Roman" w:hAnsi="Arial" w:cs="Times New Roman"/>
      <w:iCs/>
      <w:color w:val="auto"/>
    </w:rPr>
  </w:style>
  <w:style w:type="character" w:customStyle="1" w:styleId="ListParagraphChar">
    <w:name w:val="List Paragraph Char"/>
    <w:aliases w:val="L Char,CAB - List Bullet Char,List Bullet Cab Char,List Paragraph1 Char,List Paragraph11 Char,Bullet point Char,List Paragraph Number Char,List Paragraph2 Char,Bullet Point Char,Bullet points Char,Content descriptions Char,列出段落 Char"/>
    <w:basedOn w:val="DefaultParagraphFont"/>
    <w:link w:val="ListParagraph"/>
    <w:uiPriority w:val="34"/>
    <w:qFormat/>
    <w:locked/>
    <w:rsid w:val="0083058F"/>
  </w:style>
  <w:style w:type="paragraph" w:customStyle="1" w:styleId="highlightedtext">
    <w:name w:val="highlighted text"/>
    <w:basedOn w:val="Normal"/>
    <w:link w:val="highlightedtextChar"/>
    <w:qFormat/>
    <w:rsid w:val="0083058F"/>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6E3A0E" w:themeColor="accent3" w:themeShade="80"/>
      <w:sz w:val="22"/>
      <w:szCs w:val="22"/>
    </w:rPr>
  </w:style>
  <w:style w:type="character" w:customStyle="1" w:styleId="highlightedtextChar">
    <w:name w:val="highlighted text Char"/>
    <w:basedOn w:val="DefaultParagraphFont"/>
    <w:link w:val="highlightedtext"/>
    <w:rsid w:val="0083058F"/>
    <w:rPr>
      <w:b/>
      <w:iCs/>
      <w:color w:val="6E3A0E" w:themeColor="accent3" w:themeShade="80"/>
      <w:sz w:val="22"/>
      <w:szCs w:val="22"/>
    </w:rPr>
  </w:style>
  <w:style w:type="table" w:styleId="GridTable5Dark-Accent3">
    <w:name w:val="Grid Table 5 Dark Accent 3"/>
    <w:basedOn w:val="TableNormal"/>
    <w:uiPriority w:val="50"/>
    <w:rsid w:val="006C5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3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761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761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761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761C" w:themeFill="accent3"/>
      </w:tcPr>
    </w:tblStylePr>
    <w:tblStylePr w:type="band1Vert">
      <w:tblPr/>
      <w:tcPr>
        <w:shd w:val="clear" w:color="auto" w:fill="F3C7A2" w:themeFill="accent3" w:themeFillTint="66"/>
      </w:tcPr>
    </w:tblStylePr>
    <w:tblStylePr w:type="band1Horz">
      <w:tblPr/>
      <w:tcPr>
        <w:shd w:val="clear" w:color="auto" w:fill="F3C7A2" w:themeFill="accent3" w:themeFillTint="66"/>
      </w:tcPr>
    </w:tblStylePr>
  </w:style>
  <w:style w:type="table" w:styleId="GridTable4-Accent3">
    <w:name w:val="Grid Table 4 Accent 3"/>
    <w:basedOn w:val="TableNormal"/>
    <w:uiPriority w:val="49"/>
    <w:rsid w:val="006C5CF0"/>
    <w:pPr>
      <w:spacing w:after="0" w:line="240" w:lineRule="auto"/>
    </w:pPr>
    <w:tblPr>
      <w:tblStyleRowBandSize w:val="1"/>
      <w:tblStyleColBandSize w:val="1"/>
      <w:tblBorders>
        <w:top w:val="single" w:sz="4" w:space="0" w:color="EDAC73" w:themeColor="accent3" w:themeTint="99"/>
        <w:left w:val="single" w:sz="4" w:space="0" w:color="EDAC73" w:themeColor="accent3" w:themeTint="99"/>
        <w:bottom w:val="single" w:sz="4" w:space="0" w:color="EDAC73" w:themeColor="accent3" w:themeTint="99"/>
        <w:right w:val="single" w:sz="4" w:space="0" w:color="EDAC73" w:themeColor="accent3" w:themeTint="99"/>
        <w:insideH w:val="single" w:sz="4" w:space="0" w:color="EDAC73" w:themeColor="accent3" w:themeTint="99"/>
        <w:insideV w:val="single" w:sz="4" w:space="0" w:color="EDAC73" w:themeColor="accent3" w:themeTint="99"/>
      </w:tblBorders>
    </w:tblPr>
    <w:tblStylePr w:type="firstRow">
      <w:rPr>
        <w:b/>
        <w:bCs/>
        <w:color w:val="FFFFFF" w:themeColor="background1"/>
      </w:rPr>
      <w:tblPr/>
      <w:tcPr>
        <w:tcBorders>
          <w:top w:val="single" w:sz="4" w:space="0" w:color="DD761C" w:themeColor="accent3"/>
          <w:left w:val="single" w:sz="4" w:space="0" w:color="DD761C" w:themeColor="accent3"/>
          <w:bottom w:val="single" w:sz="4" w:space="0" w:color="DD761C" w:themeColor="accent3"/>
          <w:right w:val="single" w:sz="4" w:space="0" w:color="DD761C" w:themeColor="accent3"/>
          <w:insideH w:val="nil"/>
          <w:insideV w:val="nil"/>
        </w:tcBorders>
        <w:shd w:val="clear" w:color="auto" w:fill="DD761C" w:themeFill="accent3"/>
      </w:tcPr>
    </w:tblStylePr>
    <w:tblStylePr w:type="lastRow">
      <w:rPr>
        <w:b/>
        <w:bCs/>
      </w:rPr>
      <w:tblPr/>
      <w:tcPr>
        <w:tcBorders>
          <w:top w:val="double" w:sz="4" w:space="0" w:color="DD761C" w:themeColor="accent3"/>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table" w:styleId="GridTable1Light-Accent3">
    <w:name w:val="Grid Table 1 Light Accent 3"/>
    <w:basedOn w:val="TableNormal"/>
    <w:uiPriority w:val="46"/>
    <w:rsid w:val="00291033"/>
    <w:pPr>
      <w:spacing w:after="0" w:line="240" w:lineRule="auto"/>
    </w:pPr>
    <w:tblPr>
      <w:tblStyleRowBandSize w:val="1"/>
      <w:tblStyleColBandSize w:val="1"/>
      <w:tblBorders>
        <w:top w:val="single" w:sz="4" w:space="0" w:color="F3C7A2" w:themeColor="accent3" w:themeTint="66"/>
        <w:left w:val="single" w:sz="4" w:space="0" w:color="F3C7A2" w:themeColor="accent3" w:themeTint="66"/>
        <w:bottom w:val="single" w:sz="4" w:space="0" w:color="F3C7A2" w:themeColor="accent3" w:themeTint="66"/>
        <w:right w:val="single" w:sz="4" w:space="0" w:color="F3C7A2" w:themeColor="accent3" w:themeTint="66"/>
        <w:insideH w:val="single" w:sz="4" w:space="0" w:color="F3C7A2" w:themeColor="accent3" w:themeTint="66"/>
        <w:insideV w:val="single" w:sz="4" w:space="0" w:color="F3C7A2" w:themeColor="accent3" w:themeTint="66"/>
      </w:tblBorders>
    </w:tblPr>
    <w:tblStylePr w:type="firstRow">
      <w:rPr>
        <w:b/>
        <w:bCs/>
      </w:rPr>
      <w:tblPr/>
      <w:tcPr>
        <w:tcBorders>
          <w:bottom w:val="single" w:sz="12" w:space="0" w:color="EDAC73" w:themeColor="accent3" w:themeTint="99"/>
        </w:tcBorders>
      </w:tcPr>
    </w:tblStylePr>
    <w:tblStylePr w:type="lastRow">
      <w:rPr>
        <w:b/>
        <w:bCs/>
      </w:rPr>
      <w:tblPr/>
      <w:tcPr>
        <w:tcBorders>
          <w:top w:val="double" w:sz="2" w:space="0" w:color="EDAC73" w:themeColor="accent3"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A51615"/>
    <w:pPr>
      <w:spacing w:after="0" w:line="240" w:lineRule="auto"/>
    </w:pPr>
    <w:tblPr>
      <w:tblStyleRowBandSize w:val="1"/>
      <w:tblStyleColBandSize w:val="1"/>
      <w:tblBorders>
        <w:top w:val="single" w:sz="4" w:space="0" w:color="5480AB" w:themeColor="accent5" w:themeTint="99"/>
        <w:left w:val="single" w:sz="4" w:space="0" w:color="5480AB" w:themeColor="accent5" w:themeTint="99"/>
        <w:bottom w:val="single" w:sz="4" w:space="0" w:color="5480AB" w:themeColor="accent5" w:themeTint="99"/>
        <w:right w:val="single" w:sz="4" w:space="0" w:color="5480AB" w:themeColor="accent5" w:themeTint="99"/>
        <w:insideH w:val="single" w:sz="4" w:space="0" w:color="5480AB" w:themeColor="accent5" w:themeTint="99"/>
        <w:insideV w:val="single" w:sz="4" w:space="0" w:color="5480AB" w:themeColor="accent5" w:themeTint="99"/>
      </w:tblBorders>
    </w:tblPr>
    <w:tblStylePr w:type="firstRow">
      <w:rPr>
        <w:b/>
        <w:bCs/>
        <w:color w:val="FFFFFF" w:themeColor="background1"/>
      </w:rPr>
      <w:tblPr/>
      <w:tcPr>
        <w:tcBorders>
          <w:top w:val="single" w:sz="4" w:space="0" w:color="1C2B39" w:themeColor="accent5"/>
          <w:left w:val="single" w:sz="4" w:space="0" w:color="1C2B39" w:themeColor="accent5"/>
          <w:bottom w:val="single" w:sz="4" w:space="0" w:color="1C2B39" w:themeColor="accent5"/>
          <w:right w:val="single" w:sz="4" w:space="0" w:color="1C2B39" w:themeColor="accent5"/>
          <w:insideH w:val="nil"/>
          <w:insideV w:val="nil"/>
        </w:tcBorders>
        <w:shd w:val="clear" w:color="auto" w:fill="1C2B39" w:themeFill="accent5"/>
      </w:tcPr>
    </w:tblStylePr>
    <w:tblStylePr w:type="lastRow">
      <w:rPr>
        <w:b/>
        <w:bCs/>
      </w:rPr>
      <w:tblPr/>
      <w:tcPr>
        <w:tcBorders>
          <w:top w:val="double" w:sz="4" w:space="0" w:color="1C2B39" w:themeColor="accent5"/>
        </w:tcBorders>
      </w:tcPr>
    </w:tblStylePr>
    <w:tblStylePr w:type="firstCol">
      <w:rPr>
        <w:b/>
        <w:bCs/>
      </w:rPr>
    </w:tblStylePr>
    <w:tblStylePr w:type="lastCol">
      <w:rPr>
        <w:b/>
        <w:bCs/>
      </w:rPr>
    </w:tblStylePr>
    <w:tblStylePr w:type="band1Vert">
      <w:tblPr/>
      <w:tcPr>
        <w:shd w:val="clear" w:color="auto" w:fill="C6D4E3" w:themeFill="accent5" w:themeFillTint="33"/>
      </w:tcPr>
    </w:tblStylePr>
    <w:tblStylePr w:type="band1Horz">
      <w:tblPr/>
      <w:tcPr>
        <w:shd w:val="clear" w:color="auto" w:fill="C6D4E3" w:themeFill="accent5" w:themeFillTint="33"/>
      </w:tcPr>
    </w:tblStylePr>
  </w:style>
  <w:style w:type="table" w:styleId="ListTable5Dark-Accent2">
    <w:name w:val="List Table 5 Dark Accent 2"/>
    <w:basedOn w:val="TableNormal"/>
    <w:uiPriority w:val="50"/>
    <w:rsid w:val="00A51615"/>
    <w:pPr>
      <w:spacing w:after="0" w:line="240" w:lineRule="auto"/>
    </w:pPr>
    <w:rPr>
      <w:color w:val="FFFFFF" w:themeColor="background1"/>
    </w:rPr>
    <w:tblPr>
      <w:tblStyleRowBandSize w:val="1"/>
      <w:tblStyleColBandSize w:val="1"/>
      <w:tblBorders>
        <w:top w:val="single" w:sz="24" w:space="0" w:color="00948D" w:themeColor="accent2"/>
        <w:left w:val="single" w:sz="24" w:space="0" w:color="00948D" w:themeColor="accent2"/>
        <w:bottom w:val="single" w:sz="24" w:space="0" w:color="00948D" w:themeColor="accent2"/>
        <w:right w:val="single" w:sz="24" w:space="0" w:color="00948D" w:themeColor="accent2"/>
      </w:tblBorders>
    </w:tblPr>
    <w:tcPr>
      <w:shd w:val="clear" w:color="auto" w:fill="00948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2">
    <w:name w:val="List Table 3 Accent 2"/>
    <w:basedOn w:val="TableNormal"/>
    <w:uiPriority w:val="48"/>
    <w:rsid w:val="00A51615"/>
    <w:pPr>
      <w:spacing w:after="0" w:line="240" w:lineRule="auto"/>
    </w:pPr>
    <w:tblPr>
      <w:tblStyleRowBandSize w:val="1"/>
      <w:tblStyleColBandSize w:val="1"/>
      <w:tblBorders>
        <w:top w:val="single" w:sz="4" w:space="0" w:color="00948D" w:themeColor="accent2"/>
        <w:left w:val="single" w:sz="4" w:space="0" w:color="00948D" w:themeColor="accent2"/>
        <w:bottom w:val="single" w:sz="4" w:space="0" w:color="00948D" w:themeColor="accent2"/>
        <w:right w:val="single" w:sz="4" w:space="0" w:color="00948D" w:themeColor="accent2"/>
      </w:tblBorders>
    </w:tblPr>
    <w:tblStylePr w:type="firstRow">
      <w:rPr>
        <w:b/>
        <w:bCs/>
        <w:color w:val="FFFFFF" w:themeColor="background1"/>
      </w:rPr>
      <w:tblPr/>
      <w:tcPr>
        <w:shd w:val="clear" w:color="auto" w:fill="00948D" w:themeFill="accent2"/>
      </w:tcPr>
    </w:tblStylePr>
    <w:tblStylePr w:type="lastRow">
      <w:rPr>
        <w:b/>
        <w:bCs/>
      </w:rPr>
      <w:tblPr/>
      <w:tcPr>
        <w:tcBorders>
          <w:top w:val="double" w:sz="4" w:space="0" w:color="00948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48D" w:themeColor="accent2"/>
          <w:right w:val="single" w:sz="4" w:space="0" w:color="00948D" w:themeColor="accent2"/>
        </w:tcBorders>
      </w:tcPr>
    </w:tblStylePr>
    <w:tblStylePr w:type="band1Horz">
      <w:tblPr/>
      <w:tcPr>
        <w:tcBorders>
          <w:top w:val="single" w:sz="4" w:space="0" w:color="00948D" w:themeColor="accent2"/>
          <w:bottom w:val="single" w:sz="4" w:space="0" w:color="0094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48D" w:themeColor="accent2"/>
          <w:left w:val="nil"/>
        </w:tcBorders>
      </w:tcPr>
    </w:tblStylePr>
    <w:tblStylePr w:type="swCell">
      <w:tblPr/>
      <w:tcPr>
        <w:tcBorders>
          <w:top w:val="double" w:sz="4" w:space="0" w:color="00948D" w:themeColor="accent2"/>
          <w:right w:val="nil"/>
        </w:tcBorders>
      </w:tcPr>
    </w:tblStylePr>
  </w:style>
  <w:style w:type="table" w:styleId="ListTable3-Accent3">
    <w:name w:val="List Table 3 Accent 3"/>
    <w:basedOn w:val="TableNormal"/>
    <w:uiPriority w:val="48"/>
    <w:rsid w:val="00A51615"/>
    <w:pPr>
      <w:spacing w:after="0" w:line="240" w:lineRule="auto"/>
    </w:pPr>
    <w:tblPr>
      <w:tblStyleRowBandSize w:val="1"/>
      <w:tblStyleColBandSize w:val="1"/>
      <w:tblBorders>
        <w:top w:val="single" w:sz="4" w:space="0" w:color="DD761C" w:themeColor="accent3"/>
        <w:left w:val="single" w:sz="4" w:space="0" w:color="DD761C" w:themeColor="accent3"/>
        <w:bottom w:val="single" w:sz="4" w:space="0" w:color="DD761C" w:themeColor="accent3"/>
        <w:right w:val="single" w:sz="4" w:space="0" w:color="DD761C" w:themeColor="accent3"/>
      </w:tblBorders>
    </w:tblPr>
    <w:tblStylePr w:type="firstRow">
      <w:rPr>
        <w:b/>
        <w:bCs/>
        <w:color w:val="FFFFFF" w:themeColor="background1"/>
      </w:rPr>
      <w:tblPr/>
      <w:tcPr>
        <w:shd w:val="clear" w:color="auto" w:fill="DD761C" w:themeFill="accent3"/>
      </w:tcPr>
    </w:tblStylePr>
    <w:tblStylePr w:type="lastRow">
      <w:rPr>
        <w:b/>
        <w:bCs/>
      </w:rPr>
      <w:tblPr/>
      <w:tcPr>
        <w:tcBorders>
          <w:top w:val="double" w:sz="4" w:space="0" w:color="DD761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761C" w:themeColor="accent3"/>
          <w:right w:val="single" w:sz="4" w:space="0" w:color="DD761C" w:themeColor="accent3"/>
        </w:tcBorders>
      </w:tcPr>
    </w:tblStylePr>
    <w:tblStylePr w:type="band1Horz">
      <w:tblPr/>
      <w:tcPr>
        <w:tcBorders>
          <w:top w:val="single" w:sz="4" w:space="0" w:color="DD761C" w:themeColor="accent3"/>
          <w:bottom w:val="single" w:sz="4" w:space="0" w:color="DD761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761C" w:themeColor="accent3"/>
          <w:left w:val="nil"/>
        </w:tcBorders>
      </w:tcPr>
    </w:tblStylePr>
    <w:tblStylePr w:type="swCell">
      <w:tblPr/>
      <w:tcPr>
        <w:tcBorders>
          <w:top w:val="double" w:sz="4" w:space="0" w:color="DD761C" w:themeColor="accent3"/>
          <w:right w:val="nil"/>
        </w:tcBorders>
      </w:tcPr>
    </w:tblStylePr>
  </w:style>
  <w:style w:type="table" w:styleId="ListTable4-Accent3">
    <w:name w:val="List Table 4 Accent 3"/>
    <w:basedOn w:val="TableNormal"/>
    <w:uiPriority w:val="49"/>
    <w:rsid w:val="00A51615"/>
    <w:pPr>
      <w:spacing w:after="0" w:line="240" w:lineRule="auto"/>
    </w:pPr>
    <w:tblPr>
      <w:tblStyleRowBandSize w:val="1"/>
      <w:tblStyleColBandSize w:val="1"/>
      <w:tblBorders>
        <w:top w:val="single" w:sz="4" w:space="0" w:color="EDAC73" w:themeColor="accent3" w:themeTint="99"/>
        <w:left w:val="single" w:sz="4" w:space="0" w:color="EDAC73" w:themeColor="accent3" w:themeTint="99"/>
        <w:bottom w:val="single" w:sz="4" w:space="0" w:color="EDAC73" w:themeColor="accent3" w:themeTint="99"/>
        <w:right w:val="single" w:sz="4" w:space="0" w:color="EDAC73" w:themeColor="accent3" w:themeTint="99"/>
        <w:insideH w:val="single" w:sz="4" w:space="0" w:color="EDAC73" w:themeColor="accent3" w:themeTint="99"/>
      </w:tblBorders>
    </w:tblPr>
    <w:tblStylePr w:type="firstRow">
      <w:rPr>
        <w:b/>
        <w:bCs/>
        <w:color w:val="FFFFFF" w:themeColor="background1"/>
      </w:rPr>
      <w:tblPr/>
      <w:tcPr>
        <w:tcBorders>
          <w:top w:val="single" w:sz="4" w:space="0" w:color="DD761C" w:themeColor="accent3"/>
          <w:left w:val="single" w:sz="4" w:space="0" w:color="DD761C" w:themeColor="accent3"/>
          <w:bottom w:val="single" w:sz="4" w:space="0" w:color="DD761C" w:themeColor="accent3"/>
          <w:right w:val="single" w:sz="4" w:space="0" w:color="DD761C" w:themeColor="accent3"/>
          <w:insideH w:val="nil"/>
        </w:tcBorders>
        <w:shd w:val="clear" w:color="auto" w:fill="DD761C" w:themeFill="accent3"/>
      </w:tcPr>
    </w:tblStylePr>
    <w:tblStylePr w:type="lastRow">
      <w:rPr>
        <w:b/>
        <w:bCs/>
      </w:rPr>
      <w:tblPr/>
      <w:tcPr>
        <w:tcBorders>
          <w:top w:val="double" w:sz="4" w:space="0" w:color="EDAC73" w:themeColor="accent3" w:themeTint="99"/>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table" w:styleId="ListTable6Colorful-Accent2">
    <w:name w:val="List Table 6 Colorful Accent 2"/>
    <w:basedOn w:val="TableNormal"/>
    <w:uiPriority w:val="51"/>
    <w:rsid w:val="00FE7E2A"/>
    <w:pPr>
      <w:spacing w:after="0" w:line="240" w:lineRule="auto"/>
    </w:pPr>
    <w:rPr>
      <w:color w:val="006E69" w:themeColor="accent2" w:themeShade="BF"/>
      <w:sz w:val="22"/>
      <w:szCs w:val="22"/>
    </w:rPr>
    <w:tblPr>
      <w:tblStyleRowBandSize w:val="1"/>
      <w:tblStyleColBandSize w:val="1"/>
      <w:tblBorders>
        <w:top w:val="single" w:sz="4" w:space="0" w:color="00948D" w:themeColor="accent2"/>
        <w:bottom w:val="single" w:sz="4" w:space="0" w:color="00948D" w:themeColor="accent2"/>
      </w:tblBorders>
    </w:tblPr>
    <w:tblStylePr w:type="firstRow">
      <w:rPr>
        <w:b/>
        <w:bCs/>
      </w:rPr>
      <w:tblPr/>
      <w:tcPr>
        <w:tcBorders>
          <w:bottom w:val="single" w:sz="4" w:space="0" w:color="00948D" w:themeColor="accent2"/>
        </w:tcBorders>
      </w:tcPr>
    </w:tblStylePr>
    <w:tblStylePr w:type="lastRow">
      <w:rPr>
        <w:b/>
        <w:bCs/>
      </w:rPr>
      <w:tblPr/>
      <w:tcPr>
        <w:tcBorders>
          <w:top w:val="double" w:sz="4" w:space="0" w:color="00948D" w:themeColor="accent2"/>
        </w:tcBorders>
      </w:tcPr>
    </w:tblStylePr>
    <w:tblStylePr w:type="firstCol">
      <w:rPr>
        <w:b/>
        <w:bCs/>
      </w:rPr>
    </w:tblStylePr>
    <w:tblStylePr w:type="lastCol">
      <w:rPr>
        <w:b/>
        <w:bCs/>
      </w:rPr>
    </w:tblStylePr>
    <w:tblStylePr w:type="band1Vert">
      <w:tblPr/>
      <w:tcPr>
        <w:shd w:val="clear" w:color="auto" w:fill="B6FFFB" w:themeFill="accent2" w:themeFillTint="33"/>
      </w:tcPr>
    </w:tblStylePr>
    <w:tblStylePr w:type="band1Horz">
      <w:tblPr/>
      <w:tcPr>
        <w:shd w:val="clear" w:color="auto" w:fill="B6FFFB" w:themeFill="accent2" w:themeFillTint="33"/>
      </w:tcPr>
    </w:tblStylePr>
  </w:style>
  <w:style w:type="table" w:styleId="ListTable6Colorful-Accent3">
    <w:name w:val="List Table 6 Colorful Accent 3"/>
    <w:basedOn w:val="TableNormal"/>
    <w:uiPriority w:val="51"/>
    <w:rsid w:val="00FE7E2A"/>
    <w:pPr>
      <w:spacing w:after="0" w:line="240" w:lineRule="auto"/>
    </w:pPr>
    <w:rPr>
      <w:color w:val="A55715" w:themeColor="accent3" w:themeShade="BF"/>
    </w:rPr>
    <w:tblPr>
      <w:tblStyleRowBandSize w:val="1"/>
      <w:tblStyleColBandSize w:val="1"/>
      <w:tblBorders>
        <w:top w:val="single" w:sz="4" w:space="0" w:color="DD761C" w:themeColor="accent3"/>
        <w:bottom w:val="single" w:sz="4" w:space="0" w:color="DD761C" w:themeColor="accent3"/>
      </w:tblBorders>
    </w:tblPr>
    <w:tblStylePr w:type="firstRow">
      <w:rPr>
        <w:b/>
        <w:bCs/>
      </w:rPr>
      <w:tblPr/>
      <w:tcPr>
        <w:tcBorders>
          <w:bottom w:val="single" w:sz="4" w:space="0" w:color="DD761C" w:themeColor="accent3"/>
        </w:tcBorders>
      </w:tcPr>
    </w:tblStylePr>
    <w:tblStylePr w:type="lastRow">
      <w:rPr>
        <w:b/>
        <w:bCs/>
      </w:rPr>
      <w:tblPr/>
      <w:tcPr>
        <w:tcBorders>
          <w:top w:val="double" w:sz="4" w:space="0" w:color="DD761C" w:themeColor="accent3"/>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character" w:customStyle="1" w:styleId="listChar">
    <w:name w:val="list Char"/>
    <w:basedOn w:val="Heading3Char"/>
    <w:link w:val="List1"/>
    <w:rsid w:val="00E03E4C"/>
    <w:rPr>
      <w:rFonts w:ascii="Arial" w:eastAsia="Times New Roman" w:hAnsi="Arial" w:cstheme="majorBidi"/>
      <w:b/>
      <w:bCs/>
      <w:color w:val="auto"/>
      <w:sz w:val="22"/>
      <w:szCs w:val="22"/>
    </w:rPr>
  </w:style>
  <w:style w:type="paragraph" w:customStyle="1" w:styleId="bullet">
    <w:name w:val="bullet"/>
    <w:basedOn w:val="Heading3"/>
    <w:link w:val="bulletChar"/>
    <w:qFormat/>
    <w:rsid w:val="00E03E4C"/>
    <w:pPr>
      <w:keepNext w:val="0"/>
      <w:keepLines w:val="0"/>
      <w:numPr>
        <w:numId w:val="12"/>
      </w:numPr>
      <w:spacing w:before="200" w:after="0" w:line="259" w:lineRule="auto"/>
      <w:ind w:left="714" w:hanging="357"/>
      <w:outlineLvl w:val="9"/>
    </w:pPr>
    <w:rPr>
      <w:rFonts w:ascii="Arial" w:hAnsi="Arial"/>
      <w:bCs/>
      <w:color w:val="000000"/>
      <w:sz w:val="22"/>
      <w:szCs w:val="22"/>
    </w:rPr>
  </w:style>
  <w:style w:type="character" w:customStyle="1" w:styleId="bulletChar">
    <w:name w:val="bullet Char"/>
    <w:basedOn w:val="Heading3Char"/>
    <w:link w:val="bullet"/>
    <w:rsid w:val="00E03E4C"/>
    <w:rPr>
      <w:rFonts w:ascii="Arial" w:eastAsiaTheme="majorEastAsia" w:hAnsi="Arial" w:cstheme="majorBidi"/>
      <w:b/>
      <w:bCs/>
      <w:color w:val="000000"/>
      <w:sz w:val="22"/>
      <w:szCs w:val="22"/>
    </w:rPr>
  </w:style>
  <w:style w:type="paragraph" w:customStyle="1" w:styleId="Boxed2Text">
    <w:name w:val="Boxed 2 Text"/>
    <w:basedOn w:val="Normal"/>
    <w:qFormat/>
    <w:rsid w:val="00653D60"/>
    <w:pPr>
      <w:numPr>
        <w:numId w:val="13"/>
      </w:numPr>
      <w:pBdr>
        <w:top w:val="single" w:sz="4" w:space="4" w:color="CBD8E5" w:themeColor="accent1" w:themeTint="33"/>
        <w:left w:val="single" w:sz="4" w:space="0" w:color="CBD8E5" w:themeColor="accent1" w:themeTint="33"/>
        <w:bottom w:val="single" w:sz="4" w:space="4" w:color="CBD8E5" w:themeColor="accent1" w:themeTint="33"/>
        <w:right w:val="single" w:sz="4" w:space="0" w:color="CBD8E5" w:themeColor="accent1" w:themeTint="33"/>
      </w:pBdr>
      <w:shd w:val="clear" w:color="auto" w:fill="CBD8E5" w:themeFill="accent1" w:themeFillTint="33"/>
      <w:suppressAutoHyphens/>
      <w:spacing w:before="120" w:after="40" w:line="280" w:lineRule="atLeast"/>
      <w:ind w:right="284"/>
    </w:pPr>
    <w:rPr>
      <w:rFonts w:ascii="Arial" w:hAnsi="Arial"/>
      <w:iCs/>
      <w:color w:val="auto"/>
      <w:szCs w:val="22"/>
    </w:rPr>
  </w:style>
  <w:style w:type="table" w:customStyle="1" w:styleId="TableGrid1">
    <w:name w:val="Table Grid1"/>
    <w:basedOn w:val="TableNormal"/>
    <w:next w:val="TableGrid"/>
    <w:uiPriority w:val="39"/>
    <w:rsid w:val="00123CE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32BAF"/>
    <w:rPr>
      <w:color w:val="0289C8"/>
      <w:u w:val="single"/>
    </w:rPr>
  </w:style>
  <w:style w:type="paragraph" w:customStyle="1" w:styleId="NumberedParas">
    <w:name w:val="Numbered Paras"/>
    <w:basedOn w:val="Normal"/>
    <w:rsid w:val="00800891"/>
    <w:pPr>
      <w:spacing w:before="40" w:after="0" w:line="280" w:lineRule="atLeast"/>
    </w:pPr>
    <w:rPr>
      <w:rFonts w:ascii="Arial" w:eastAsia="Times New Roman" w:hAnsi="Arial" w:cs="Arial"/>
      <w:b/>
      <w:bCs/>
      <w:color w:val="auto"/>
    </w:rPr>
  </w:style>
  <w:style w:type="paragraph" w:customStyle="1" w:styleId="Normalexplanatory">
    <w:name w:val="Normal + explanatory"/>
    <w:basedOn w:val="Normal"/>
    <w:qFormat/>
    <w:rsid w:val="00A211DB"/>
    <w:pPr>
      <w:spacing w:before="40" w:line="280" w:lineRule="atLeast"/>
    </w:pPr>
    <w:rPr>
      <w:rFonts w:ascii="Arial" w:hAnsi="Arial"/>
      <w:i/>
      <w:color w:val="264F90"/>
      <w:szCs w:val="22"/>
      <w:lang w:eastAsia="en-AU"/>
    </w:rPr>
  </w:style>
  <w:style w:type="character" w:styleId="UnresolvedMention">
    <w:name w:val="Unresolved Mention"/>
    <w:basedOn w:val="DefaultParagraphFont"/>
    <w:uiPriority w:val="99"/>
    <w:semiHidden/>
    <w:unhideWhenUsed/>
    <w:rsid w:val="0060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8708">
      <w:bodyDiv w:val="1"/>
      <w:marLeft w:val="0"/>
      <w:marRight w:val="0"/>
      <w:marTop w:val="0"/>
      <w:marBottom w:val="0"/>
      <w:divBdr>
        <w:top w:val="none" w:sz="0" w:space="0" w:color="auto"/>
        <w:left w:val="none" w:sz="0" w:space="0" w:color="auto"/>
        <w:bottom w:val="none" w:sz="0" w:space="0" w:color="auto"/>
        <w:right w:val="none" w:sz="0" w:space="0" w:color="auto"/>
      </w:divBdr>
    </w:div>
    <w:div w:id="108010104">
      <w:bodyDiv w:val="1"/>
      <w:marLeft w:val="0"/>
      <w:marRight w:val="0"/>
      <w:marTop w:val="0"/>
      <w:marBottom w:val="0"/>
      <w:divBdr>
        <w:top w:val="none" w:sz="0" w:space="0" w:color="auto"/>
        <w:left w:val="none" w:sz="0" w:space="0" w:color="auto"/>
        <w:bottom w:val="none" w:sz="0" w:space="0" w:color="auto"/>
        <w:right w:val="none" w:sz="0" w:space="0" w:color="auto"/>
      </w:divBdr>
      <w:divsChild>
        <w:div w:id="1362391023">
          <w:marLeft w:val="1325"/>
          <w:marRight w:val="0"/>
          <w:marTop w:val="0"/>
          <w:marBottom w:val="0"/>
          <w:divBdr>
            <w:top w:val="none" w:sz="0" w:space="0" w:color="auto"/>
            <w:left w:val="none" w:sz="0" w:space="0" w:color="auto"/>
            <w:bottom w:val="none" w:sz="0" w:space="0" w:color="auto"/>
            <w:right w:val="none" w:sz="0" w:space="0" w:color="auto"/>
          </w:divBdr>
        </w:div>
        <w:div w:id="328873196">
          <w:marLeft w:val="1325"/>
          <w:marRight w:val="0"/>
          <w:marTop w:val="0"/>
          <w:marBottom w:val="0"/>
          <w:divBdr>
            <w:top w:val="none" w:sz="0" w:space="0" w:color="auto"/>
            <w:left w:val="none" w:sz="0" w:space="0" w:color="auto"/>
            <w:bottom w:val="none" w:sz="0" w:space="0" w:color="auto"/>
            <w:right w:val="none" w:sz="0" w:space="0" w:color="auto"/>
          </w:divBdr>
        </w:div>
        <w:div w:id="367611979">
          <w:marLeft w:val="1325"/>
          <w:marRight w:val="0"/>
          <w:marTop w:val="0"/>
          <w:marBottom w:val="0"/>
          <w:divBdr>
            <w:top w:val="none" w:sz="0" w:space="0" w:color="auto"/>
            <w:left w:val="none" w:sz="0" w:space="0" w:color="auto"/>
            <w:bottom w:val="none" w:sz="0" w:space="0" w:color="auto"/>
            <w:right w:val="none" w:sz="0" w:space="0" w:color="auto"/>
          </w:divBdr>
        </w:div>
        <w:div w:id="637877142">
          <w:marLeft w:val="1325"/>
          <w:marRight w:val="0"/>
          <w:marTop w:val="0"/>
          <w:marBottom w:val="0"/>
          <w:divBdr>
            <w:top w:val="none" w:sz="0" w:space="0" w:color="auto"/>
            <w:left w:val="none" w:sz="0" w:space="0" w:color="auto"/>
            <w:bottom w:val="none" w:sz="0" w:space="0" w:color="auto"/>
            <w:right w:val="none" w:sz="0" w:space="0" w:color="auto"/>
          </w:divBdr>
        </w:div>
        <w:div w:id="234316299">
          <w:marLeft w:val="1325"/>
          <w:marRight w:val="0"/>
          <w:marTop w:val="0"/>
          <w:marBottom w:val="0"/>
          <w:divBdr>
            <w:top w:val="none" w:sz="0" w:space="0" w:color="auto"/>
            <w:left w:val="none" w:sz="0" w:space="0" w:color="auto"/>
            <w:bottom w:val="none" w:sz="0" w:space="0" w:color="auto"/>
            <w:right w:val="none" w:sz="0" w:space="0" w:color="auto"/>
          </w:divBdr>
        </w:div>
      </w:divsChild>
    </w:div>
    <w:div w:id="108166451">
      <w:bodyDiv w:val="1"/>
      <w:marLeft w:val="0"/>
      <w:marRight w:val="0"/>
      <w:marTop w:val="0"/>
      <w:marBottom w:val="0"/>
      <w:divBdr>
        <w:top w:val="none" w:sz="0" w:space="0" w:color="auto"/>
        <w:left w:val="none" w:sz="0" w:space="0" w:color="auto"/>
        <w:bottom w:val="none" w:sz="0" w:space="0" w:color="auto"/>
        <w:right w:val="none" w:sz="0" w:space="0" w:color="auto"/>
      </w:divBdr>
      <w:divsChild>
        <w:div w:id="230046652">
          <w:marLeft w:val="547"/>
          <w:marRight w:val="0"/>
          <w:marTop w:val="0"/>
          <w:marBottom w:val="0"/>
          <w:divBdr>
            <w:top w:val="none" w:sz="0" w:space="0" w:color="auto"/>
            <w:left w:val="none" w:sz="0" w:space="0" w:color="auto"/>
            <w:bottom w:val="none" w:sz="0" w:space="0" w:color="auto"/>
            <w:right w:val="none" w:sz="0" w:space="0" w:color="auto"/>
          </w:divBdr>
        </w:div>
        <w:div w:id="697853608">
          <w:marLeft w:val="547"/>
          <w:marRight w:val="0"/>
          <w:marTop w:val="0"/>
          <w:marBottom w:val="0"/>
          <w:divBdr>
            <w:top w:val="none" w:sz="0" w:space="0" w:color="auto"/>
            <w:left w:val="none" w:sz="0" w:space="0" w:color="auto"/>
            <w:bottom w:val="none" w:sz="0" w:space="0" w:color="auto"/>
            <w:right w:val="none" w:sz="0" w:space="0" w:color="auto"/>
          </w:divBdr>
        </w:div>
        <w:div w:id="823090256">
          <w:marLeft w:val="547"/>
          <w:marRight w:val="0"/>
          <w:marTop w:val="0"/>
          <w:marBottom w:val="0"/>
          <w:divBdr>
            <w:top w:val="none" w:sz="0" w:space="0" w:color="auto"/>
            <w:left w:val="none" w:sz="0" w:space="0" w:color="auto"/>
            <w:bottom w:val="none" w:sz="0" w:space="0" w:color="auto"/>
            <w:right w:val="none" w:sz="0" w:space="0" w:color="auto"/>
          </w:divBdr>
        </w:div>
      </w:divsChild>
    </w:div>
    <w:div w:id="123545908">
      <w:bodyDiv w:val="1"/>
      <w:marLeft w:val="0"/>
      <w:marRight w:val="0"/>
      <w:marTop w:val="0"/>
      <w:marBottom w:val="0"/>
      <w:divBdr>
        <w:top w:val="none" w:sz="0" w:space="0" w:color="auto"/>
        <w:left w:val="none" w:sz="0" w:space="0" w:color="auto"/>
        <w:bottom w:val="none" w:sz="0" w:space="0" w:color="auto"/>
        <w:right w:val="none" w:sz="0" w:space="0" w:color="auto"/>
      </w:divBdr>
    </w:div>
    <w:div w:id="143936363">
      <w:bodyDiv w:val="1"/>
      <w:marLeft w:val="0"/>
      <w:marRight w:val="0"/>
      <w:marTop w:val="0"/>
      <w:marBottom w:val="0"/>
      <w:divBdr>
        <w:top w:val="none" w:sz="0" w:space="0" w:color="auto"/>
        <w:left w:val="none" w:sz="0" w:space="0" w:color="auto"/>
        <w:bottom w:val="none" w:sz="0" w:space="0" w:color="auto"/>
        <w:right w:val="none" w:sz="0" w:space="0" w:color="auto"/>
      </w:divBdr>
    </w:div>
    <w:div w:id="183709595">
      <w:bodyDiv w:val="1"/>
      <w:marLeft w:val="0"/>
      <w:marRight w:val="0"/>
      <w:marTop w:val="0"/>
      <w:marBottom w:val="0"/>
      <w:divBdr>
        <w:top w:val="none" w:sz="0" w:space="0" w:color="auto"/>
        <w:left w:val="none" w:sz="0" w:space="0" w:color="auto"/>
        <w:bottom w:val="none" w:sz="0" w:space="0" w:color="auto"/>
        <w:right w:val="none" w:sz="0" w:space="0" w:color="auto"/>
      </w:divBdr>
    </w:div>
    <w:div w:id="215818584">
      <w:bodyDiv w:val="1"/>
      <w:marLeft w:val="0"/>
      <w:marRight w:val="0"/>
      <w:marTop w:val="0"/>
      <w:marBottom w:val="0"/>
      <w:divBdr>
        <w:top w:val="none" w:sz="0" w:space="0" w:color="auto"/>
        <w:left w:val="none" w:sz="0" w:space="0" w:color="auto"/>
        <w:bottom w:val="none" w:sz="0" w:space="0" w:color="auto"/>
        <w:right w:val="none" w:sz="0" w:space="0" w:color="auto"/>
      </w:divBdr>
    </w:div>
    <w:div w:id="259798107">
      <w:bodyDiv w:val="1"/>
      <w:marLeft w:val="0"/>
      <w:marRight w:val="0"/>
      <w:marTop w:val="0"/>
      <w:marBottom w:val="0"/>
      <w:divBdr>
        <w:top w:val="none" w:sz="0" w:space="0" w:color="auto"/>
        <w:left w:val="none" w:sz="0" w:space="0" w:color="auto"/>
        <w:bottom w:val="none" w:sz="0" w:space="0" w:color="auto"/>
        <w:right w:val="none" w:sz="0" w:space="0" w:color="auto"/>
      </w:divBdr>
    </w:div>
    <w:div w:id="369764231">
      <w:bodyDiv w:val="1"/>
      <w:marLeft w:val="0"/>
      <w:marRight w:val="0"/>
      <w:marTop w:val="0"/>
      <w:marBottom w:val="0"/>
      <w:divBdr>
        <w:top w:val="none" w:sz="0" w:space="0" w:color="auto"/>
        <w:left w:val="none" w:sz="0" w:space="0" w:color="auto"/>
        <w:bottom w:val="none" w:sz="0" w:space="0" w:color="auto"/>
        <w:right w:val="none" w:sz="0" w:space="0" w:color="auto"/>
      </w:divBdr>
      <w:divsChild>
        <w:div w:id="1588004872">
          <w:marLeft w:val="547"/>
          <w:marRight w:val="0"/>
          <w:marTop w:val="0"/>
          <w:marBottom w:val="0"/>
          <w:divBdr>
            <w:top w:val="none" w:sz="0" w:space="0" w:color="auto"/>
            <w:left w:val="none" w:sz="0" w:space="0" w:color="auto"/>
            <w:bottom w:val="none" w:sz="0" w:space="0" w:color="auto"/>
            <w:right w:val="none" w:sz="0" w:space="0" w:color="auto"/>
          </w:divBdr>
        </w:div>
      </w:divsChild>
    </w:div>
    <w:div w:id="383136462">
      <w:bodyDiv w:val="1"/>
      <w:marLeft w:val="0"/>
      <w:marRight w:val="0"/>
      <w:marTop w:val="0"/>
      <w:marBottom w:val="0"/>
      <w:divBdr>
        <w:top w:val="none" w:sz="0" w:space="0" w:color="auto"/>
        <w:left w:val="none" w:sz="0" w:space="0" w:color="auto"/>
        <w:bottom w:val="none" w:sz="0" w:space="0" w:color="auto"/>
        <w:right w:val="none" w:sz="0" w:space="0" w:color="auto"/>
      </w:divBdr>
    </w:div>
    <w:div w:id="451438088">
      <w:bodyDiv w:val="1"/>
      <w:marLeft w:val="0"/>
      <w:marRight w:val="0"/>
      <w:marTop w:val="0"/>
      <w:marBottom w:val="0"/>
      <w:divBdr>
        <w:top w:val="none" w:sz="0" w:space="0" w:color="auto"/>
        <w:left w:val="none" w:sz="0" w:space="0" w:color="auto"/>
        <w:bottom w:val="none" w:sz="0" w:space="0" w:color="auto"/>
        <w:right w:val="none" w:sz="0" w:space="0" w:color="auto"/>
      </w:divBdr>
    </w:div>
    <w:div w:id="473525678">
      <w:bodyDiv w:val="1"/>
      <w:marLeft w:val="0"/>
      <w:marRight w:val="0"/>
      <w:marTop w:val="0"/>
      <w:marBottom w:val="0"/>
      <w:divBdr>
        <w:top w:val="none" w:sz="0" w:space="0" w:color="auto"/>
        <w:left w:val="none" w:sz="0" w:space="0" w:color="auto"/>
        <w:bottom w:val="none" w:sz="0" w:space="0" w:color="auto"/>
        <w:right w:val="none" w:sz="0" w:space="0" w:color="auto"/>
      </w:divBdr>
    </w:div>
    <w:div w:id="557206108">
      <w:bodyDiv w:val="1"/>
      <w:marLeft w:val="0"/>
      <w:marRight w:val="0"/>
      <w:marTop w:val="0"/>
      <w:marBottom w:val="0"/>
      <w:divBdr>
        <w:top w:val="none" w:sz="0" w:space="0" w:color="auto"/>
        <w:left w:val="none" w:sz="0" w:space="0" w:color="auto"/>
        <w:bottom w:val="none" w:sz="0" w:space="0" w:color="auto"/>
        <w:right w:val="none" w:sz="0" w:space="0" w:color="auto"/>
      </w:divBdr>
    </w:div>
    <w:div w:id="605698337">
      <w:bodyDiv w:val="1"/>
      <w:marLeft w:val="0"/>
      <w:marRight w:val="0"/>
      <w:marTop w:val="0"/>
      <w:marBottom w:val="0"/>
      <w:divBdr>
        <w:top w:val="none" w:sz="0" w:space="0" w:color="auto"/>
        <w:left w:val="none" w:sz="0" w:space="0" w:color="auto"/>
        <w:bottom w:val="none" w:sz="0" w:space="0" w:color="auto"/>
        <w:right w:val="none" w:sz="0" w:space="0" w:color="auto"/>
      </w:divBdr>
    </w:div>
    <w:div w:id="744761899">
      <w:bodyDiv w:val="1"/>
      <w:marLeft w:val="0"/>
      <w:marRight w:val="0"/>
      <w:marTop w:val="0"/>
      <w:marBottom w:val="0"/>
      <w:divBdr>
        <w:top w:val="none" w:sz="0" w:space="0" w:color="auto"/>
        <w:left w:val="none" w:sz="0" w:space="0" w:color="auto"/>
        <w:bottom w:val="none" w:sz="0" w:space="0" w:color="auto"/>
        <w:right w:val="none" w:sz="0" w:space="0" w:color="auto"/>
      </w:divBdr>
      <w:divsChild>
        <w:div w:id="132647523">
          <w:marLeft w:val="1325"/>
          <w:marRight w:val="0"/>
          <w:marTop w:val="0"/>
          <w:marBottom w:val="0"/>
          <w:divBdr>
            <w:top w:val="none" w:sz="0" w:space="0" w:color="auto"/>
            <w:left w:val="none" w:sz="0" w:space="0" w:color="auto"/>
            <w:bottom w:val="none" w:sz="0" w:space="0" w:color="auto"/>
            <w:right w:val="none" w:sz="0" w:space="0" w:color="auto"/>
          </w:divBdr>
        </w:div>
        <w:div w:id="1871532266">
          <w:marLeft w:val="1325"/>
          <w:marRight w:val="0"/>
          <w:marTop w:val="0"/>
          <w:marBottom w:val="0"/>
          <w:divBdr>
            <w:top w:val="none" w:sz="0" w:space="0" w:color="auto"/>
            <w:left w:val="none" w:sz="0" w:space="0" w:color="auto"/>
            <w:bottom w:val="none" w:sz="0" w:space="0" w:color="auto"/>
            <w:right w:val="none" w:sz="0" w:space="0" w:color="auto"/>
          </w:divBdr>
        </w:div>
        <w:div w:id="2058164166">
          <w:marLeft w:val="1325"/>
          <w:marRight w:val="0"/>
          <w:marTop w:val="0"/>
          <w:marBottom w:val="0"/>
          <w:divBdr>
            <w:top w:val="none" w:sz="0" w:space="0" w:color="auto"/>
            <w:left w:val="none" w:sz="0" w:space="0" w:color="auto"/>
            <w:bottom w:val="none" w:sz="0" w:space="0" w:color="auto"/>
            <w:right w:val="none" w:sz="0" w:space="0" w:color="auto"/>
          </w:divBdr>
        </w:div>
        <w:div w:id="2119986479">
          <w:marLeft w:val="1325"/>
          <w:marRight w:val="0"/>
          <w:marTop w:val="0"/>
          <w:marBottom w:val="0"/>
          <w:divBdr>
            <w:top w:val="none" w:sz="0" w:space="0" w:color="auto"/>
            <w:left w:val="none" w:sz="0" w:space="0" w:color="auto"/>
            <w:bottom w:val="none" w:sz="0" w:space="0" w:color="auto"/>
            <w:right w:val="none" w:sz="0" w:space="0" w:color="auto"/>
          </w:divBdr>
        </w:div>
        <w:div w:id="436751738">
          <w:marLeft w:val="1325"/>
          <w:marRight w:val="0"/>
          <w:marTop w:val="0"/>
          <w:marBottom w:val="0"/>
          <w:divBdr>
            <w:top w:val="none" w:sz="0" w:space="0" w:color="auto"/>
            <w:left w:val="none" w:sz="0" w:space="0" w:color="auto"/>
            <w:bottom w:val="none" w:sz="0" w:space="0" w:color="auto"/>
            <w:right w:val="none" w:sz="0" w:space="0" w:color="auto"/>
          </w:divBdr>
        </w:div>
      </w:divsChild>
    </w:div>
    <w:div w:id="928847625">
      <w:bodyDiv w:val="1"/>
      <w:marLeft w:val="0"/>
      <w:marRight w:val="0"/>
      <w:marTop w:val="0"/>
      <w:marBottom w:val="0"/>
      <w:divBdr>
        <w:top w:val="none" w:sz="0" w:space="0" w:color="auto"/>
        <w:left w:val="none" w:sz="0" w:space="0" w:color="auto"/>
        <w:bottom w:val="none" w:sz="0" w:space="0" w:color="auto"/>
        <w:right w:val="none" w:sz="0" w:space="0" w:color="auto"/>
      </w:divBdr>
      <w:divsChild>
        <w:div w:id="372967499">
          <w:marLeft w:val="547"/>
          <w:marRight w:val="0"/>
          <w:marTop w:val="0"/>
          <w:marBottom w:val="0"/>
          <w:divBdr>
            <w:top w:val="none" w:sz="0" w:space="0" w:color="auto"/>
            <w:left w:val="none" w:sz="0" w:space="0" w:color="auto"/>
            <w:bottom w:val="none" w:sz="0" w:space="0" w:color="auto"/>
            <w:right w:val="none" w:sz="0" w:space="0" w:color="auto"/>
          </w:divBdr>
        </w:div>
      </w:divsChild>
    </w:div>
    <w:div w:id="990595301">
      <w:bodyDiv w:val="1"/>
      <w:marLeft w:val="0"/>
      <w:marRight w:val="0"/>
      <w:marTop w:val="0"/>
      <w:marBottom w:val="0"/>
      <w:divBdr>
        <w:top w:val="none" w:sz="0" w:space="0" w:color="auto"/>
        <w:left w:val="none" w:sz="0" w:space="0" w:color="auto"/>
        <w:bottom w:val="none" w:sz="0" w:space="0" w:color="auto"/>
        <w:right w:val="none" w:sz="0" w:space="0" w:color="auto"/>
      </w:divBdr>
    </w:div>
    <w:div w:id="1120369759">
      <w:bodyDiv w:val="1"/>
      <w:marLeft w:val="0"/>
      <w:marRight w:val="0"/>
      <w:marTop w:val="0"/>
      <w:marBottom w:val="0"/>
      <w:divBdr>
        <w:top w:val="none" w:sz="0" w:space="0" w:color="auto"/>
        <w:left w:val="none" w:sz="0" w:space="0" w:color="auto"/>
        <w:bottom w:val="none" w:sz="0" w:space="0" w:color="auto"/>
        <w:right w:val="none" w:sz="0" w:space="0" w:color="auto"/>
      </w:divBdr>
    </w:div>
    <w:div w:id="1125348666">
      <w:bodyDiv w:val="1"/>
      <w:marLeft w:val="0"/>
      <w:marRight w:val="0"/>
      <w:marTop w:val="0"/>
      <w:marBottom w:val="0"/>
      <w:divBdr>
        <w:top w:val="none" w:sz="0" w:space="0" w:color="auto"/>
        <w:left w:val="none" w:sz="0" w:space="0" w:color="auto"/>
        <w:bottom w:val="none" w:sz="0" w:space="0" w:color="auto"/>
        <w:right w:val="none" w:sz="0" w:space="0" w:color="auto"/>
      </w:divBdr>
    </w:div>
    <w:div w:id="1153982676">
      <w:bodyDiv w:val="1"/>
      <w:marLeft w:val="0"/>
      <w:marRight w:val="0"/>
      <w:marTop w:val="0"/>
      <w:marBottom w:val="0"/>
      <w:divBdr>
        <w:top w:val="none" w:sz="0" w:space="0" w:color="auto"/>
        <w:left w:val="none" w:sz="0" w:space="0" w:color="auto"/>
        <w:bottom w:val="none" w:sz="0" w:space="0" w:color="auto"/>
        <w:right w:val="none" w:sz="0" w:space="0" w:color="auto"/>
      </w:divBdr>
    </w:div>
    <w:div w:id="1176386733">
      <w:bodyDiv w:val="1"/>
      <w:marLeft w:val="0"/>
      <w:marRight w:val="0"/>
      <w:marTop w:val="0"/>
      <w:marBottom w:val="0"/>
      <w:divBdr>
        <w:top w:val="none" w:sz="0" w:space="0" w:color="auto"/>
        <w:left w:val="none" w:sz="0" w:space="0" w:color="auto"/>
        <w:bottom w:val="none" w:sz="0" w:space="0" w:color="auto"/>
        <w:right w:val="none" w:sz="0" w:space="0" w:color="auto"/>
      </w:divBdr>
    </w:div>
    <w:div w:id="1260984895">
      <w:bodyDiv w:val="1"/>
      <w:marLeft w:val="0"/>
      <w:marRight w:val="0"/>
      <w:marTop w:val="0"/>
      <w:marBottom w:val="0"/>
      <w:divBdr>
        <w:top w:val="none" w:sz="0" w:space="0" w:color="auto"/>
        <w:left w:val="none" w:sz="0" w:space="0" w:color="auto"/>
        <w:bottom w:val="none" w:sz="0" w:space="0" w:color="auto"/>
        <w:right w:val="none" w:sz="0" w:space="0" w:color="auto"/>
      </w:divBdr>
      <w:divsChild>
        <w:div w:id="652877998">
          <w:marLeft w:val="547"/>
          <w:marRight w:val="0"/>
          <w:marTop w:val="0"/>
          <w:marBottom w:val="0"/>
          <w:divBdr>
            <w:top w:val="none" w:sz="0" w:space="0" w:color="auto"/>
            <w:left w:val="none" w:sz="0" w:space="0" w:color="auto"/>
            <w:bottom w:val="none" w:sz="0" w:space="0" w:color="auto"/>
            <w:right w:val="none" w:sz="0" w:space="0" w:color="auto"/>
          </w:divBdr>
        </w:div>
      </w:divsChild>
    </w:div>
    <w:div w:id="1295022246">
      <w:bodyDiv w:val="1"/>
      <w:marLeft w:val="0"/>
      <w:marRight w:val="0"/>
      <w:marTop w:val="0"/>
      <w:marBottom w:val="0"/>
      <w:divBdr>
        <w:top w:val="none" w:sz="0" w:space="0" w:color="auto"/>
        <w:left w:val="none" w:sz="0" w:space="0" w:color="auto"/>
        <w:bottom w:val="none" w:sz="0" w:space="0" w:color="auto"/>
        <w:right w:val="none" w:sz="0" w:space="0" w:color="auto"/>
      </w:divBdr>
    </w:div>
    <w:div w:id="1346637237">
      <w:bodyDiv w:val="1"/>
      <w:marLeft w:val="0"/>
      <w:marRight w:val="0"/>
      <w:marTop w:val="0"/>
      <w:marBottom w:val="0"/>
      <w:divBdr>
        <w:top w:val="none" w:sz="0" w:space="0" w:color="auto"/>
        <w:left w:val="none" w:sz="0" w:space="0" w:color="auto"/>
        <w:bottom w:val="none" w:sz="0" w:space="0" w:color="auto"/>
        <w:right w:val="none" w:sz="0" w:space="0" w:color="auto"/>
      </w:divBdr>
    </w:div>
    <w:div w:id="1358777205">
      <w:bodyDiv w:val="1"/>
      <w:marLeft w:val="0"/>
      <w:marRight w:val="0"/>
      <w:marTop w:val="0"/>
      <w:marBottom w:val="0"/>
      <w:divBdr>
        <w:top w:val="none" w:sz="0" w:space="0" w:color="auto"/>
        <w:left w:val="none" w:sz="0" w:space="0" w:color="auto"/>
        <w:bottom w:val="none" w:sz="0" w:space="0" w:color="auto"/>
        <w:right w:val="none" w:sz="0" w:space="0" w:color="auto"/>
      </w:divBdr>
    </w:div>
    <w:div w:id="1424572092">
      <w:bodyDiv w:val="1"/>
      <w:marLeft w:val="0"/>
      <w:marRight w:val="0"/>
      <w:marTop w:val="0"/>
      <w:marBottom w:val="0"/>
      <w:divBdr>
        <w:top w:val="none" w:sz="0" w:space="0" w:color="auto"/>
        <w:left w:val="none" w:sz="0" w:space="0" w:color="auto"/>
        <w:bottom w:val="none" w:sz="0" w:space="0" w:color="auto"/>
        <w:right w:val="none" w:sz="0" w:space="0" w:color="auto"/>
      </w:divBdr>
    </w:div>
    <w:div w:id="1508013406">
      <w:bodyDiv w:val="1"/>
      <w:marLeft w:val="0"/>
      <w:marRight w:val="0"/>
      <w:marTop w:val="0"/>
      <w:marBottom w:val="0"/>
      <w:divBdr>
        <w:top w:val="none" w:sz="0" w:space="0" w:color="auto"/>
        <w:left w:val="none" w:sz="0" w:space="0" w:color="auto"/>
        <w:bottom w:val="none" w:sz="0" w:space="0" w:color="auto"/>
        <w:right w:val="none" w:sz="0" w:space="0" w:color="auto"/>
      </w:divBdr>
      <w:divsChild>
        <w:div w:id="1517962107">
          <w:marLeft w:val="547"/>
          <w:marRight w:val="0"/>
          <w:marTop w:val="0"/>
          <w:marBottom w:val="0"/>
          <w:divBdr>
            <w:top w:val="none" w:sz="0" w:space="0" w:color="auto"/>
            <w:left w:val="none" w:sz="0" w:space="0" w:color="auto"/>
            <w:bottom w:val="none" w:sz="0" w:space="0" w:color="auto"/>
            <w:right w:val="none" w:sz="0" w:space="0" w:color="auto"/>
          </w:divBdr>
        </w:div>
      </w:divsChild>
    </w:div>
    <w:div w:id="1631082991">
      <w:bodyDiv w:val="1"/>
      <w:marLeft w:val="0"/>
      <w:marRight w:val="0"/>
      <w:marTop w:val="0"/>
      <w:marBottom w:val="0"/>
      <w:divBdr>
        <w:top w:val="none" w:sz="0" w:space="0" w:color="auto"/>
        <w:left w:val="none" w:sz="0" w:space="0" w:color="auto"/>
        <w:bottom w:val="none" w:sz="0" w:space="0" w:color="auto"/>
        <w:right w:val="none" w:sz="0" w:space="0" w:color="auto"/>
      </w:divBdr>
    </w:div>
    <w:div w:id="1668947556">
      <w:bodyDiv w:val="1"/>
      <w:marLeft w:val="0"/>
      <w:marRight w:val="0"/>
      <w:marTop w:val="0"/>
      <w:marBottom w:val="0"/>
      <w:divBdr>
        <w:top w:val="none" w:sz="0" w:space="0" w:color="auto"/>
        <w:left w:val="none" w:sz="0" w:space="0" w:color="auto"/>
        <w:bottom w:val="none" w:sz="0" w:space="0" w:color="auto"/>
        <w:right w:val="none" w:sz="0" w:space="0" w:color="auto"/>
      </w:divBdr>
    </w:div>
    <w:div w:id="1737968970">
      <w:bodyDiv w:val="1"/>
      <w:marLeft w:val="0"/>
      <w:marRight w:val="0"/>
      <w:marTop w:val="0"/>
      <w:marBottom w:val="0"/>
      <w:divBdr>
        <w:top w:val="none" w:sz="0" w:space="0" w:color="auto"/>
        <w:left w:val="none" w:sz="0" w:space="0" w:color="auto"/>
        <w:bottom w:val="none" w:sz="0" w:space="0" w:color="auto"/>
        <w:right w:val="none" w:sz="0" w:space="0" w:color="auto"/>
      </w:divBdr>
    </w:div>
    <w:div w:id="1835605344">
      <w:bodyDiv w:val="1"/>
      <w:marLeft w:val="0"/>
      <w:marRight w:val="0"/>
      <w:marTop w:val="0"/>
      <w:marBottom w:val="0"/>
      <w:divBdr>
        <w:top w:val="none" w:sz="0" w:space="0" w:color="auto"/>
        <w:left w:val="none" w:sz="0" w:space="0" w:color="auto"/>
        <w:bottom w:val="none" w:sz="0" w:space="0" w:color="auto"/>
        <w:right w:val="none" w:sz="0" w:space="0" w:color="auto"/>
      </w:divBdr>
    </w:div>
    <w:div w:id="1865822736">
      <w:bodyDiv w:val="1"/>
      <w:marLeft w:val="0"/>
      <w:marRight w:val="0"/>
      <w:marTop w:val="0"/>
      <w:marBottom w:val="0"/>
      <w:divBdr>
        <w:top w:val="none" w:sz="0" w:space="0" w:color="auto"/>
        <w:left w:val="none" w:sz="0" w:space="0" w:color="auto"/>
        <w:bottom w:val="none" w:sz="0" w:space="0" w:color="auto"/>
        <w:right w:val="none" w:sz="0" w:space="0" w:color="auto"/>
      </w:divBdr>
    </w:div>
    <w:div w:id="2065521313">
      <w:bodyDiv w:val="1"/>
      <w:marLeft w:val="0"/>
      <w:marRight w:val="0"/>
      <w:marTop w:val="0"/>
      <w:marBottom w:val="0"/>
      <w:divBdr>
        <w:top w:val="none" w:sz="0" w:space="0" w:color="auto"/>
        <w:left w:val="none" w:sz="0" w:space="0" w:color="auto"/>
        <w:bottom w:val="none" w:sz="0" w:space="0" w:color="auto"/>
        <w:right w:val="none" w:sz="0" w:space="0" w:color="auto"/>
      </w:divBdr>
    </w:div>
    <w:div w:id="21424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24L00854/latest/versions" TargetMode="External"/><Relationship Id="rId18" Type="http://schemas.openxmlformats.org/officeDocument/2006/relationships/hyperlink" Target="https://www.oric.gov.au/" TargetMode="External"/><Relationship Id="rId26" Type="http://schemas.openxmlformats.org/officeDocument/2006/relationships/hyperlink" Target="https://www.facs.nsw.gov.au/providers/working-with-us/working-with-you/aboriginal-community-controlled-organisations/chapters/assessment-and-evidence-guide" TargetMode="External"/><Relationship Id="rId39" Type="http://schemas.openxmlformats.org/officeDocument/2006/relationships/hyperlink" Target="https://www.grants.gov.au/Go/Show?GoUuid=08a6d4fc-9564-80c1-7247-7c9f65b7a894&amp;keyword=GO1300" TargetMode="External"/><Relationship Id="rId21" Type="http://schemas.openxmlformats.org/officeDocument/2006/relationships/hyperlink" Target="https://ntibn.com.au/" TargetMode="External"/><Relationship Id="rId34" Type="http://schemas.openxmlformats.org/officeDocument/2006/relationships/hyperlink" Target="https://www.grants.gov.au/Go/Show?GoUuid=3c70d93a-19ce-49fd-bd4d-32a976f449d4" TargetMode="External"/><Relationship Id="rId42" Type="http://schemas.openxmlformats.org/officeDocument/2006/relationships/hyperlink" Target="https://www.grants.gov.au/Go/Show?GoUuid=a9cab9d4-8712-42b7-816c-544b1bedbda5&amp;keyword=GO647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au/F2024L00854/asmade/downloads" TargetMode="External"/><Relationship Id="rId29" Type="http://schemas.openxmlformats.org/officeDocument/2006/relationships/hyperlink" Target="http://www.closingthegap.gov.au" TargetMode="External"/><Relationship Id="rId11" Type="http://schemas.openxmlformats.org/officeDocument/2006/relationships/hyperlink" Target="https://www.legislation.gov.au/Details/C2017C00269" TargetMode="External"/><Relationship Id="rId24" Type="http://schemas.openxmlformats.org/officeDocument/2006/relationships/hyperlink" Target="https://www.business.qld.gov.au/starting-business/advice-support/support/support-indigenous/qibn" TargetMode="External"/><Relationship Id="rId32" Type="http://schemas.openxmlformats.org/officeDocument/2006/relationships/hyperlink" Target="https://www.legislation.gov.au/Details/C2017C00269" TargetMode="External"/><Relationship Id="rId37" Type="http://schemas.openxmlformats.org/officeDocument/2006/relationships/hyperlink" Target="https://www.grants.gov.au/Go/Show?GoUuid=ba6c0f55-6289-4068-9db0-07e51138bc13&amp;keyword=GO5472" TargetMode="External"/><Relationship Id="rId40" Type="http://schemas.openxmlformats.org/officeDocument/2006/relationships/hyperlink" Target="https://www.grants.gov.au/Go/Show?GoUuid=652af341-d699-c1df-63cd-dc6453e0a5ec&amp;keyword=GO167"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legislation.gov.au/F2024L00854/latest/versions" TargetMode="External"/><Relationship Id="rId23" Type="http://schemas.openxmlformats.org/officeDocument/2006/relationships/hyperlink" Target="https://fncci.org.au/" TargetMode="External"/><Relationship Id="rId28" Type="http://schemas.openxmlformats.org/officeDocument/2006/relationships/hyperlink" Target="mailto:IA-IDC@niaa.gov.au" TargetMode="External"/><Relationship Id="rId36" Type="http://schemas.openxmlformats.org/officeDocument/2006/relationships/hyperlink" Target="https://www.grants.gov.au/Go/Show?GoUuid=4e017adf-7c4a-44d7-8909-a1eec3ebb22a" TargetMode="External"/><Relationship Id="rId49" Type="http://schemas.openxmlformats.org/officeDocument/2006/relationships/header" Target="header3.xml"/><Relationship Id="rId10" Type="http://schemas.openxmlformats.org/officeDocument/2006/relationships/hyperlink" Target="https://www.legislation.gov.au/F2024L00854/latest/versions" TargetMode="External"/><Relationship Id="rId19" Type="http://schemas.openxmlformats.org/officeDocument/2006/relationships/hyperlink" Target="https://supplynation.org.au" TargetMode="External"/><Relationship Id="rId31" Type="http://schemas.openxmlformats.org/officeDocument/2006/relationships/hyperlink" Target="https://www.legislation.gov.au/F2024L00854/asmade/downloads" TargetMode="External"/><Relationship Id="rId44" Type="http://schemas.openxmlformats.org/officeDocument/2006/relationships/hyperlink" Target="https://www.closingthegap.gov.au/national-agreement"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losingthegap.gov.au/national-agreement" TargetMode="External"/><Relationship Id="rId14" Type="http://schemas.openxmlformats.org/officeDocument/2006/relationships/hyperlink" Target="https://www.legislation.gov.au/F2024L00854/latest/versions" TargetMode="External"/><Relationship Id="rId22" Type="http://schemas.openxmlformats.org/officeDocument/2006/relationships/hyperlink" Target="https://nswicc.com.au/" TargetMode="External"/><Relationship Id="rId27" Type="http://schemas.openxmlformats.org/officeDocument/2006/relationships/hyperlink" Target="https://www.niaa.gov.au/sites/default/files/documents/2025-02/2025%20Commonwealth%20Implementation%20actions%20table%20-%20Closing%20the%20Gap.pdf" TargetMode="External"/><Relationship Id="rId30" Type="http://schemas.openxmlformats.org/officeDocument/2006/relationships/hyperlink" Target="mailto:IA-IDC@niaa.gov.au" TargetMode="External"/><Relationship Id="rId35" Type="http://schemas.openxmlformats.org/officeDocument/2006/relationships/hyperlink" Target="https://www.grants.gov.au/Go/Show?GoUuid=b586150c-39bf-41a3-a5e2-34d68bb0ddf4" TargetMode="External"/><Relationship Id="rId43" Type="http://schemas.openxmlformats.org/officeDocument/2006/relationships/hyperlink" Target="https://www.grants.gov.au/Go/Show?GoUuid=225fec4a-acc6-48bf-8759-a64e2ffb8682&amp;keyword=go6522"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legislation.gov.au/F2024L00854/latest/versions" TargetMode="External"/><Relationship Id="rId17" Type="http://schemas.openxmlformats.org/officeDocument/2006/relationships/hyperlink" Target="https://www.oric.gov.au/" TargetMode="External"/><Relationship Id="rId25" Type="http://schemas.openxmlformats.org/officeDocument/2006/relationships/hyperlink" Target="https://www.bbf.org.au/" TargetMode="External"/><Relationship Id="rId33" Type="http://schemas.openxmlformats.org/officeDocument/2006/relationships/hyperlink" Target="https://www.grants.gov.au/Go/Show?GoUuid=203c7b8f-1542-465b-a771-7e3724754864" TargetMode="External"/><Relationship Id="rId38" Type="http://schemas.openxmlformats.org/officeDocument/2006/relationships/hyperlink" Target="https://www.grants.gov.au/Go/Show?GoUuid=f39df14b-b11c-413e-9fcb-41de0984e953&amp;keyword=GO5829" TargetMode="External"/><Relationship Id="rId46" Type="http://schemas.openxmlformats.org/officeDocument/2006/relationships/header" Target="header2.xml"/><Relationship Id="rId20" Type="http://schemas.openxmlformats.org/officeDocument/2006/relationships/hyperlink" Target="https://abdwa.icn.org.au/" TargetMode="External"/><Relationship Id="rId41" Type="http://schemas.openxmlformats.org/officeDocument/2006/relationships/hyperlink" Target="https://www.grants.gov.au/Go/Show?GoUuid=5ac8e23d-15f5-46b8-b2ac-393b0dab7f4c&amp;keyword=GO646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supporting-indigenous-business-project" TargetMode="External"/><Relationship Id="rId2" Type="http://schemas.openxmlformats.org/officeDocument/2006/relationships/hyperlink" Target="https://treasury.gov.au/sites/default/files/2022-03/258735_national_aboriginal_community_controlled_health_organisation.pdf" TargetMode="External"/><Relationship Id="rId1" Type="http://schemas.openxmlformats.org/officeDocument/2006/relationships/hyperlink" Target="https://www.closingthegap.gov.au/national-agreement/national-agreement-closing-the-gap" TargetMode="External"/><Relationship Id="rId5" Type="http://schemas.openxmlformats.org/officeDocument/2006/relationships/hyperlink" Target="https://supplynation.org.au/wp-content/uploads/2018/08/Sleeping-Giant-Report.pdf" TargetMode="External"/><Relationship Id="rId4" Type="http://schemas.openxmlformats.org/officeDocument/2006/relationships/hyperlink" Target="https://www.industry.gov.au/data-and-publications/aboriginal-and-torres-strait-islander-business-support-roadmap/current-state-of-play-for-indigenous-busin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OFFICIL</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A0A60FA8-0C09-42D2-8AF0-3F66FB8AFBD9}">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7108</Words>
  <Characters>40521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2025-07-04T03:41:00Z</dcterms:created>
  <dcterms:modified xsi:type="dcterms:W3CDTF">2025-07-04T03:41:00Z</dcterms:modified>
</cp:coreProperties>
</file>