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DD98" w14:textId="46FAB941" w:rsidR="00750669" w:rsidRDefault="004E1E7C" w:rsidP="00750669">
      <w:pPr>
        <w:pStyle w:val="Title"/>
      </w:pPr>
      <w:r w:rsidRPr="00A650A1">
        <w:t>Remote Australia Employment Service</w:t>
      </w:r>
    </w:p>
    <w:p w14:paraId="5EECF4A0" w14:textId="77777777" w:rsidR="00750669" w:rsidRPr="00F00D74" w:rsidRDefault="00750669" w:rsidP="00750669">
      <w:pPr>
        <w:pStyle w:val="Subtitle"/>
      </w:pPr>
      <w:r w:rsidRPr="00F00D74">
        <w:t>Draft Grant Opportunity Guidelines consultation </w:t>
      </w:r>
    </w:p>
    <w:p w14:paraId="437177E4" w14:textId="77777777" w:rsidR="00750669" w:rsidRPr="00FF1944" w:rsidRDefault="00750669" w:rsidP="00750669">
      <w:pPr>
        <w:pStyle w:val="BodyText"/>
      </w:pPr>
      <w:bookmarkStart w:id="0" w:name="_Toc178169650"/>
      <w:r w:rsidRPr="00FF1944">
        <w:t xml:space="preserve">Between </w:t>
      </w:r>
      <w:r w:rsidRPr="006E7A9D">
        <w:t>27 Mar</w:t>
      </w:r>
      <w:r>
        <w:t>ch</w:t>
      </w:r>
      <w:r w:rsidRPr="006E7A9D">
        <w:t xml:space="preserve"> 2025</w:t>
      </w:r>
      <w:r>
        <w:t xml:space="preserve"> </w:t>
      </w:r>
      <w:r w:rsidRPr="00FF1944">
        <w:t xml:space="preserve">and </w:t>
      </w:r>
      <w:r w:rsidRPr="001945A3">
        <w:t>21 April 2025</w:t>
      </w:r>
      <w:r w:rsidRPr="00FF1944">
        <w:t xml:space="preserve">, the National Indigenous Australians Agency (NIAA) </w:t>
      </w:r>
      <w:r>
        <w:t>published</w:t>
      </w:r>
      <w:r w:rsidRPr="00F00D74">
        <w:t xml:space="preserve"> the draft Remote Australia Employment Service (RAES) Grant Opportunity Guidelines (GOGs)</w:t>
      </w:r>
      <w:r>
        <w:t xml:space="preserve"> for public consultation.</w:t>
      </w:r>
    </w:p>
    <w:p w14:paraId="73113087" w14:textId="77777777" w:rsidR="00750669" w:rsidRDefault="00750669" w:rsidP="00750669">
      <w:pPr>
        <w:pStyle w:val="Heading1"/>
        <w:spacing w:before="0"/>
        <w:rPr>
          <w:rFonts w:asciiTheme="minorHAnsi" w:hAnsiTheme="minorHAnsi"/>
          <w:color w:val="262626" w:themeColor="text1" w:themeTint="D9"/>
          <w:sz w:val="22"/>
          <w:szCs w:val="20"/>
        </w:rPr>
      </w:pPr>
    </w:p>
    <w:p w14:paraId="757FAEEA" w14:textId="77777777" w:rsidR="00750669" w:rsidRDefault="00750669" w:rsidP="00750669">
      <w:pPr>
        <w:pStyle w:val="Heading1"/>
        <w:spacing w:before="0"/>
        <w:rPr>
          <w:rFonts w:cstheme="minorHAnsi"/>
        </w:rPr>
      </w:pPr>
      <w:r w:rsidRPr="00385FFC">
        <w:t>Delivering on the Australian Government’s commitment</w:t>
      </w:r>
      <w:bookmarkEnd w:id="0"/>
      <w:r w:rsidRPr="005F531C">
        <w:rPr>
          <w:rFonts w:cstheme="minorHAnsi"/>
        </w:rPr>
        <w:t xml:space="preserve"> </w:t>
      </w:r>
    </w:p>
    <w:p w14:paraId="3E663B39" w14:textId="77777777" w:rsidR="00750669" w:rsidRDefault="00750669" w:rsidP="00750669">
      <w:pPr>
        <w:pStyle w:val="BodyText"/>
      </w:pPr>
      <w:r>
        <w:t>The Government is changing the way it delivers remote employment programs and services by replacing the Community Development Program (CDP) in two stages. </w:t>
      </w:r>
    </w:p>
    <w:p w14:paraId="72FAC90E" w14:textId="77777777" w:rsidR="00750669" w:rsidRPr="008B697D" w:rsidRDefault="00750669" w:rsidP="00567C95">
      <w:pPr>
        <w:pStyle w:val="BodyText"/>
        <w:numPr>
          <w:ilvl w:val="0"/>
          <w:numId w:val="24"/>
        </w:numPr>
      </w:pPr>
      <w:r w:rsidRPr="5F5C9FDE">
        <w:rPr>
          <w:lang w:val="en-US"/>
        </w:rPr>
        <w:t>​</w:t>
      </w:r>
      <w:r>
        <w:t xml:space="preserve">The first stage is the new </w:t>
      </w:r>
      <w:hyperlink r:id="rId9">
        <w:r w:rsidRPr="5F5C9FDE">
          <w:rPr>
            <w:rStyle w:val="Hyperlink"/>
            <w:color w:val="014362"/>
          </w:rPr>
          <w:t>Remote Jobs and Economic Development</w:t>
        </w:r>
      </w:hyperlink>
      <w:r>
        <w:t xml:space="preserve"> (RJED) program, creating 3,000 new jobs over 3 years until 2027. </w:t>
      </w:r>
    </w:p>
    <w:p w14:paraId="1A0005A4" w14:textId="77777777" w:rsidR="00750669" w:rsidRPr="0007339D" w:rsidRDefault="00750669" w:rsidP="00567C95">
      <w:pPr>
        <w:pStyle w:val="BodyText"/>
        <w:numPr>
          <w:ilvl w:val="0"/>
          <w:numId w:val="24"/>
        </w:numPr>
      </w:pPr>
      <w:r>
        <w:t xml:space="preserve">The second stage is the design and delivery of the </w:t>
      </w:r>
      <w:hyperlink r:id="rId10">
        <w:r w:rsidRPr="2DFDB172">
          <w:rPr>
            <w:rStyle w:val="Hyperlink"/>
            <w:color w:val="014362"/>
          </w:rPr>
          <w:t>Remote Australia Employment Service</w:t>
        </w:r>
      </w:hyperlink>
      <w:r w:rsidRPr="2DFDB172">
        <w:rPr>
          <w:color w:val="014362"/>
        </w:rPr>
        <w:t xml:space="preserve"> </w:t>
      </w:r>
      <w:r>
        <w:t xml:space="preserve">(RAES), which will start on 1 November 2025 and support job seekers to build their skills and address barriers to </w:t>
      </w:r>
      <w:r w:rsidDel="0007339D">
        <w:t>employment</w:t>
      </w:r>
      <w:r>
        <w:t>.</w:t>
      </w:r>
      <w:r w:rsidRPr="2DFDB172">
        <w:rPr>
          <w:rFonts w:ascii="Century Gothic" w:hAnsi="Century Gothic" w:cs="Century Gothic"/>
        </w:rPr>
        <w:t> </w:t>
      </w:r>
      <w:r>
        <w:t> </w:t>
      </w:r>
    </w:p>
    <w:p w14:paraId="0DE51942" w14:textId="77777777" w:rsidR="00750669" w:rsidRPr="0007339D" w:rsidRDefault="00750669" w:rsidP="00750669">
      <w:pPr>
        <w:pStyle w:val="BodyText"/>
      </w:pPr>
      <w:r>
        <w:t>The design of RJED and RAES builds on the success of job trials and reflects feedback from consultation.</w:t>
      </w:r>
    </w:p>
    <w:p w14:paraId="2906A0B1" w14:textId="77777777" w:rsidR="00750669" w:rsidRPr="0007339D" w:rsidRDefault="00750669" w:rsidP="00750669">
      <w:pPr>
        <w:pStyle w:val="BodyText"/>
      </w:pPr>
      <w:r w:rsidRPr="0007339D">
        <w:t>CDP services will continue to support remote job seekers until 31 October 2025</w:t>
      </w:r>
      <w:r>
        <w:t>. This will</w:t>
      </w:r>
      <w:r w:rsidRPr="0007339D">
        <w:t xml:space="preserve"> ensure a smooth transition </w:t>
      </w:r>
      <w:r>
        <w:t xml:space="preserve">for job seekers and providers </w:t>
      </w:r>
      <w:r w:rsidRPr="0007339D">
        <w:t>before the RAES starts.  </w:t>
      </w:r>
    </w:p>
    <w:p w14:paraId="7E4F641D" w14:textId="77777777" w:rsidR="00750669" w:rsidRDefault="00750669" w:rsidP="00750669">
      <w:pPr>
        <w:pStyle w:val="Heading1"/>
      </w:pPr>
      <w:r>
        <w:t>Overview</w:t>
      </w:r>
    </w:p>
    <w:p w14:paraId="46C0A71E" w14:textId="77777777" w:rsidR="00750669" w:rsidRDefault="00750669" w:rsidP="00750669">
      <w:pPr>
        <w:pStyle w:val="BodyText"/>
      </w:pPr>
      <w:r w:rsidRPr="7055C076">
        <w:rPr>
          <w:rFonts w:ascii="Arial" w:hAnsi="Arial" w:cs="Arial"/>
          <w:b/>
          <w:bCs/>
          <w:color w:val="2A4055" w:themeColor="accent1"/>
          <w:sz w:val="44"/>
          <w:szCs w:val="44"/>
        </w:rPr>
        <w:t>​</w:t>
      </w:r>
      <w:r w:rsidRPr="00F00D74">
        <w:t xml:space="preserve">To prepare for the </w:t>
      </w:r>
      <w:r>
        <w:t>RAES</w:t>
      </w:r>
      <w:r w:rsidRPr="00F00D74">
        <w:t xml:space="preserve"> the </w:t>
      </w:r>
      <w:r w:rsidRPr="00FF1944">
        <w:t>NIAA</w:t>
      </w:r>
      <w:r>
        <w:t xml:space="preserve"> published </w:t>
      </w:r>
      <w:r w:rsidRPr="00F00D74">
        <w:t xml:space="preserve">the draft RAES GOGs </w:t>
      </w:r>
      <w:r>
        <w:t>for public consultation b</w:t>
      </w:r>
      <w:r w:rsidRPr="00FF1944">
        <w:t xml:space="preserve">etween </w:t>
      </w:r>
      <w:r w:rsidRPr="006E7A9D">
        <w:t>27 Mar</w:t>
      </w:r>
      <w:r>
        <w:t>ch</w:t>
      </w:r>
      <w:r w:rsidRPr="006E7A9D">
        <w:t xml:space="preserve"> 2025</w:t>
      </w:r>
      <w:r>
        <w:t xml:space="preserve"> </w:t>
      </w:r>
      <w:r w:rsidRPr="00FF1944">
        <w:t xml:space="preserve">and </w:t>
      </w:r>
      <w:r w:rsidRPr="001945A3">
        <w:t>21 April 2025</w:t>
      </w:r>
      <w:r>
        <w:t xml:space="preserve">. </w:t>
      </w:r>
    </w:p>
    <w:p w14:paraId="67D80A08" w14:textId="191360B4" w:rsidR="00750669" w:rsidRPr="00F00D74" w:rsidRDefault="00750669" w:rsidP="00750669">
      <w:pPr>
        <w:pStyle w:val="BodyText"/>
      </w:pPr>
      <w:r>
        <w:t xml:space="preserve">The </w:t>
      </w:r>
      <w:r w:rsidR="009342B6">
        <w:t xml:space="preserve">draft </w:t>
      </w:r>
      <w:r>
        <w:t xml:space="preserve">GOGs built on information already shared in previous consultations. They set out proposed elements of the new service such as the provider payment model, eligibility criteria, assessment criteria and the grant selection process.  </w:t>
      </w:r>
    </w:p>
    <w:p w14:paraId="6605B077" w14:textId="77777777" w:rsidR="00750669" w:rsidRDefault="00750669" w:rsidP="00750669">
      <w:pPr>
        <w:rPr>
          <w:rFonts w:asciiTheme="majorHAnsi" w:hAnsiTheme="majorHAnsi"/>
          <w:b/>
          <w:color w:val="2A4055" w:themeColor="accent1"/>
          <w:sz w:val="44"/>
          <w:szCs w:val="44"/>
        </w:rPr>
      </w:pPr>
      <w:r>
        <w:br w:type="page"/>
      </w:r>
    </w:p>
    <w:p w14:paraId="034FC417" w14:textId="77777777" w:rsidR="00750669" w:rsidRDefault="00750669" w:rsidP="00750669">
      <w:pPr>
        <w:pStyle w:val="Heading1"/>
      </w:pPr>
      <w:r>
        <w:lastRenderedPageBreak/>
        <w:t>Consultation</w:t>
      </w:r>
      <w:r w:rsidRPr="00FE6649">
        <w:t xml:space="preserve"> questions</w:t>
      </w:r>
    </w:p>
    <w:p w14:paraId="26224753" w14:textId="1CFA1E21" w:rsidR="00750669" w:rsidRDefault="00750669" w:rsidP="00750669">
      <w:pPr>
        <w:pStyle w:val="BodyText"/>
      </w:pPr>
      <w:r>
        <w:t>S</w:t>
      </w:r>
      <w:r w:rsidRPr="00732F56">
        <w:t xml:space="preserve">urvey </w:t>
      </w:r>
      <w:r>
        <w:t xml:space="preserve">and submission </w:t>
      </w:r>
      <w:r w:rsidRPr="00732F56">
        <w:t xml:space="preserve">questions </w:t>
      </w:r>
      <w:r>
        <w:t>were</w:t>
      </w:r>
      <w:r w:rsidRPr="00732F56">
        <w:t xml:space="preserve"> directed at sections of the GOGs</w:t>
      </w:r>
      <w:r>
        <w:t xml:space="preserve"> to give</w:t>
      </w:r>
      <w:r w:rsidRPr="00732F56">
        <w:t xml:space="preserve"> </w:t>
      </w:r>
      <w:r>
        <w:t xml:space="preserve">everyone the opportunity to </w:t>
      </w:r>
      <w:r w:rsidRPr="00732F56">
        <w:t xml:space="preserve">provide feedback </w:t>
      </w:r>
      <w:r>
        <w:t>to</w:t>
      </w:r>
      <w:r w:rsidRPr="00732F56">
        <w:t xml:space="preserve"> inform the final GOGs. </w:t>
      </w:r>
      <w:r>
        <w:t>T</w:t>
      </w:r>
      <w:r w:rsidRPr="00732F56">
        <w:t>he</w:t>
      </w:r>
      <w:r>
        <w:t xml:space="preserve"> opportunity to provide feedback</w:t>
      </w:r>
      <w:r w:rsidRPr="00732F56">
        <w:t xml:space="preserve"> </w:t>
      </w:r>
      <w:r>
        <w:t>was</w:t>
      </w:r>
      <w:r w:rsidRPr="00732F56">
        <w:t xml:space="preserve"> promoted on the NIAA website, through social media channels and communication</w:t>
      </w:r>
      <w:r>
        <w:t xml:space="preserve"> </w:t>
      </w:r>
      <w:r w:rsidRPr="00732F56">
        <w:t>newslette</w:t>
      </w:r>
      <w:r>
        <w:t>rs</w:t>
      </w:r>
      <w:r w:rsidRPr="00732F56">
        <w:t xml:space="preserve">. </w:t>
      </w:r>
      <w:r>
        <w:t xml:space="preserve">A </w:t>
      </w:r>
      <w:hyperlink r:id="rId11">
        <w:r w:rsidRPr="45B3AA96">
          <w:rPr>
            <w:rStyle w:val="Hyperlink"/>
            <w:color w:val="014463" w:themeColor="text2"/>
          </w:rPr>
          <w:t>factsheet</w:t>
        </w:r>
      </w:hyperlink>
      <w:r w:rsidRPr="000F51AE">
        <w:t xml:space="preserve"> </w:t>
      </w:r>
      <w:r>
        <w:t xml:space="preserve">was also published to </w:t>
      </w:r>
      <w:r w:rsidRPr="000F51AE">
        <w:t xml:space="preserve">help </w:t>
      </w:r>
      <w:r>
        <w:t>people</w:t>
      </w:r>
      <w:r w:rsidRPr="000F51AE">
        <w:t xml:space="preserve"> understand what we </w:t>
      </w:r>
      <w:r>
        <w:t>were</w:t>
      </w:r>
      <w:r w:rsidRPr="000F51AE">
        <w:t xml:space="preserve"> seeking feedback on in the draft GOGs, the grants process and next steps.</w:t>
      </w:r>
      <w:r w:rsidR="00B61070">
        <w:t xml:space="preserve"> A full list of the consultation questions </w:t>
      </w:r>
      <w:r w:rsidR="003C78EC">
        <w:t>is</w:t>
      </w:r>
      <w:r w:rsidR="0055188A">
        <w:t xml:space="preserve"> available at </w:t>
      </w:r>
      <w:r w:rsidR="0055188A" w:rsidRPr="0055188A">
        <w:rPr>
          <w:b/>
          <w:bCs/>
        </w:rPr>
        <w:t>A</w:t>
      </w:r>
      <w:r w:rsidR="002E6D0D" w:rsidRPr="002E6D0D">
        <w:rPr>
          <w:b/>
          <w:bCs/>
        </w:rPr>
        <w:t>ppendix</w:t>
      </w:r>
      <w:r w:rsidR="0055188A" w:rsidRPr="0055188A">
        <w:rPr>
          <w:b/>
          <w:bCs/>
        </w:rPr>
        <w:t xml:space="preserve"> A.</w:t>
      </w:r>
    </w:p>
    <w:p w14:paraId="70590FAD" w14:textId="77777777" w:rsidR="00750669" w:rsidRDefault="00750669" w:rsidP="00750669">
      <w:pPr>
        <w:pStyle w:val="Heading1"/>
      </w:pPr>
      <w:r>
        <w:t>What we did with your feedback</w:t>
      </w:r>
    </w:p>
    <w:p w14:paraId="23BB465A" w14:textId="77777777" w:rsidR="00750669" w:rsidRDefault="00750669" w:rsidP="00750669">
      <w:pPr>
        <w:pStyle w:val="BodyText"/>
      </w:pPr>
      <w:r>
        <w:t>We received 8 surveys and 14 written submissions from key stakeholders, including peak bodies, providers and land councils.</w:t>
      </w:r>
    </w:p>
    <w:p w14:paraId="6286B0C0" w14:textId="77777777" w:rsidR="00750669" w:rsidRDefault="00750669" w:rsidP="00750669">
      <w:pPr>
        <w:pStyle w:val="BodyText"/>
      </w:pPr>
      <w:r>
        <w:t xml:space="preserve">Overall, the feedback on the new employment service’s design was positive. Stakeholders felt the draft GOGs broadly aligned with their aspirations and appreciated the emphasis on elements in the GOGs, particularly the following: </w:t>
      </w:r>
    </w:p>
    <w:p w14:paraId="6437AF95" w14:textId="77777777" w:rsidR="00750669" w:rsidRDefault="00750669" w:rsidP="00750669">
      <w:pPr>
        <w:pStyle w:val="BodyText"/>
      </w:pPr>
      <w:r>
        <w:rPr>
          <w:noProof/>
        </w:rPr>
        <w:drawing>
          <wp:inline distT="0" distB="0" distL="0" distR="0" wp14:anchorId="4D0E1DD4" wp14:editId="5C288EC5">
            <wp:extent cx="6124575" cy="4146007"/>
            <wp:effectExtent l="0" t="0" r="0" b="6985"/>
            <wp:docPr id="2013201215" name="Picture 2013201215" descr="word cloud made up of participant centred, community projects, cultural activities, pilots, community-control, provider capability building, genuine pathways, remoteness loading, community-led, strengths-based, culturally safe and 4 week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01215" name="Picture 2013201215" descr="word cloud made up of participant centred, community projects, cultural activities, pilots, community-control, provider capability building, genuine pathways, remoteness loading, community-led, strengths-based, culturally safe and 4 week outcome"/>
                    <pic:cNvPicPr/>
                  </pic:nvPicPr>
                  <pic:blipFill>
                    <a:blip r:embed="rId12">
                      <a:extLst>
                        <a:ext uri="{28A0092B-C50C-407E-A947-70E740481C1C}">
                          <a14:useLocalDpi xmlns:a14="http://schemas.microsoft.com/office/drawing/2010/main" val="0"/>
                        </a:ext>
                      </a:extLst>
                    </a:blip>
                    <a:stretch>
                      <a:fillRect/>
                    </a:stretch>
                  </pic:blipFill>
                  <pic:spPr>
                    <a:xfrm>
                      <a:off x="0" y="0"/>
                      <a:ext cx="6209089" cy="4203218"/>
                    </a:xfrm>
                    <a:prstGeom prst="rect">
                      <a:avLst/>
                    </a:prstGeom>
                  </pic:spPr>
                </pic:pic>
              </a:graphicData>
            </a:graphic>
          </wp:inline>
        </w:drawing>
      </w:r>
    </w:p>
    <w:p w14:paraId="4757CE4E" w14:textId="77777777" w:rsidR="00750669" w:rsidRDefault="00750669" w:rsidP="00750669">
      <w:pPr>
        <w:pStyle w:val="BodyText"/>
      </w:pPr>
    </w:p>
    <w:p w14:paraId="0E9264C0" w14:textId="77777777" w:rsidR="00750669" w:rsidRDefault="00750669" w:rsidP="00750669">
      <w:pPr>
        <w:pStyle w:val="NumberedText-Briefbody"/>
        <w:numPr>
          <w:ilvl w:val="0"/>
          <w:numId w:val="0"/>
        </w:numPr>
        <w:spacing w:before="0" w:after="0"/>
      </w:pPr>
      <w:r>
        <w:t>In response to your feedback, we have implemented the following changes to the GOGs:   </w:t>
      </w:r>
    </w:p>
    <w:p w14:paraId="212FC822" w14:textId="77777777" w:rsidR="00750669" w:rsidRDefault="00750669" w:rsidP="00750669">
      <w:pPr>
        <w:pStyle w:val="NumberedText-Briefbody"/>
        <w:numPr>
          <w:ilvl w:val="0"/>
          <w:numId w:val="0"/>
        </w:numPr>
        <w:spacing w:before="0" w:after="0"/>
      </w:pPr>
    </w:p>
    <w:p w14:paraId="411D8489" w14:textId="77777777" w:rsidR="00750669" w:rsidRPr="00EA1D0C" w:rsidRDefault="00750669" w:rsidP="00750669">
      <w:pPr>
        <w:pStyle w:val="NumberedText-Briefbody"/>
        <w:tabs>
          <w:tab w:val="clear" w:pos="360"/>
        </w:tabs>
        <w:spacing w:before="0" w:after="0"/>
        <w:ind w:left="360" w:hanging="360"/>
      </w:pPr>
      <w:r>
        <w:t>Extend the grant period from 22 months to 32 months.</w:t>
      </w:r>
    </w:p>
    <w:p w14:paraId="247260DA" w14:textId="77777777" w:rsidR="00750669" w:rsidRPr="00EA1D0C" w:rsidRDefault="00750669" w:rsidP="00750669">
      <w:pPr>
        <w:pStyle w:val="NumberedText-Briefbody"/>
        <w:tabs>
          <w:tab w:val="clear" w:pos="360"/>
        </w:tabs>
        <w:spacing w:before="0" w:after="0"/>
        <w:ind w:left="360" w:hanging="360"/>
      </w:pPr>
      <w:r>
        <w:t>Adjust the timing of the first payment milestones for the Employment Placement Support payments to be paid at 4-weeks of continuous employment.</w:t>
      </w:r>
    </w:p>
    <w:p w14:paraId="52FA3FF2" w14:textId="77777777" w:rsidR="00750669" w:rsidRPr="00EA1D0C" w:rsidRDefault="00750669" w:rsidP="00750669">
      <w:pPr>
        <w:pStyle w:val="NumberedText-Briefbody"/>
        <w:tabs>
          <w:tab w:val="clear" w:pos="360"/>
        </w:tabs>
        <w:spacing w:before="0" w:after="0"/>
        <w:ind w:left="360" w:hanging="360"/>
      </w:pPr>
      <w:r>
        <w:lastRenderedPageBreak/>
        <w:t xml:space="preserve">Add an additional payment milestone for the Employment Placement Support payments at 52 weeks of continuous employment. </w:t>
      </w:r>
    </w:p>
    <w:p w14:paraId="6573FBF5" w14:textId="31058050" w:rsidR="00750669" w:rsidRPr="00EA1D0C" w:rsidRDefault="00750669" w:rsidP="00750669">
      <w:pPr>
        <w:pStyle w:val="NumberedText-Briefbody"/>
        <w:tabs>
          <w:tab w:val="clear" w:pos="360"/>
        </w:tabs>
        <w:spacing w:before="0" w:after="0"/>
        <w:ind w:left="360" w:hanging="360"/>
      </w:pPr>
      <w:r>
        <w:t>Split the Employment Outcome F</w:t>
      </w:r>
      <w:r w:rsidR="00CF0ECC">
        <w:t>ee</w:t>
      </w:r>
      <w:r>
        <w:t xml:space="preserve"> payments and the 52-week milestone Employment Placement Support payment with 60% to go to employers of RAES participants and 40% to RAES providers.</w:t>
      </w:r>
    </w:p>
    <w:p w14:paraId="2D95C610" w14:textId="77777777" w:rsidR="00750669" w:rsidRDefault="00750669" w:rsidP="00750669">
      <w:pPr>
        <w:pStyle w:val="NumberedText-Briefbody"/>
        <w:tabs>
          <w:tab w:val="clear" w:pos="360"/>
        </w:tabs>
        <w:spacing w:before="0" w:after="0"/>
        <w:ind w:left="360" w:hanging="360"/>
      </w:pPr>
      <w:r>
        <w:t xml:space="preserve">Preference First Nations Organisations. </w:t>
      </w:r>
    </w:p>
    <w:p w14:paraId="65DC2868" w14:textId="77777777" w:rsidR="00750669" w:rsidRDefault="00750669" w:rsidP="00750669">
      <w:pPr>
        <w:pStyle w:val="NumberedText-Briefbody"/>
        <w:numPr>
          <w:ilvl w:val="0"/>
          <w:numId w:val="0"/>
        </w:numPr>
        <w:spacing w:before="0" w:after="0"/>
        <w:ind w:left="360"/>
      </w:pPr>
    </w:p>
    <w:p w14:paraId="08C0BBA7" w14:textId="3D4B19A2" w:rsidR="00750669" w:rsidRPr="00D66FE8" w:rsidRDefault="00750669" w:rsidP="00750669">
      <w:pPr>
        <w:rPr>
          <w:rFonts w:cs="Arial"/>
          <w:color w:val="auto"/>
          <w:sz w:val="24"/>
          <w:szCs w:val="24"/>
        </w:rPr>
      </w:pPr>
      <w:r w:rsidRPr="572B11F5">
        <w:rPr>
          <w:rFonts w:cs="Arial"/>
          <w:color w:val="auto"/>
          <w:sz w:val="24"/>
          <w:szCs w:val="24"/>
        </w:rPr>
        <w:t>We also received a lot of valuable feedback that went into the operational detail that will be taken into consideration for operational guidance.</w:t>
      </w:r>
    </w:p>
    <w:tbl>
      <w:tblPr>
        <w:tblStyle w:val="TableGrid"/>
        <w:tblW w:w="10201" w:type="dxa"/>
        <w:tblLook w:val="04A0" w:firstRow="1" w:lastRow="0" w:firstColumn="1" w:lastColumn="0" w:noHBand="0" w:noVBand="1"/>
      </w:tblPr>
      <w:tblGrid>
        <w:gridCol w:w="4508"/>
        <w:gridCol w:w="5693"/>
      </w:tblGrid>
      <w:tr w:rsidR="00750669" w:rsidRPr="00CA1137" w14:paraId="7E449128" w14:textId="77777777" w:rsidTr="00DF5C73">
        <w:trPr>
          <w:tblHeader/>
        </w:trPr>
        <w:tc>
          <w:tcPr>
            <w:tcW w:w="4508" w:type="dxa"/>
            <w:shd w:val="clear" w:color="auto" w:fill="1C2B39" w:themeFill="accent5"/>
          </w:tcPr>
          <w:p w14:paraId="64EBA9AB" w14:textId="77777777" w:rsidR="00750669" w:rsidRPr="00CA1137" w:rsidRDefault="00750669" w:rsidP="001931D9">
            <w:pPr>
              <w:rPr>
                <w:b/>
                <w:bCs/>
                <w:color w:val="FFFFFF" w:themeColor="background1"/>
                <w:sz w:val="22"/>
                <w:szCs w:val="22"/>
              </w:rPr>
            </w:pPr>
            <w:r w:rsidRPr="00CA1137">
              <w:rPr>
                <w:b/>
                <w:bCs/>
                <w:color w:val="FFFFFF" w:themeColor="background1"/>
                <w:sz w:val="22"/>
                <w:szCs w:val="22"/>
              </w:rPr>
              <w:t>We heard</w:t>
            </w:r>
            <w:r w:rsidRPr="4DCB9EB2">
              <w:rPr>
                <w:b/>
                <w:bCs/>
                <w:color w:val="FFFFFF" w:themeColor="background1"/>
                <w:sz w:val="22"/>
                <w:szCs w:val="22"/>
              </w:rPr>
              <w:t xml:space="preserve"> you wanted</w:t>
            </w:r>
          </w:p>
        </w:tc>
        <w:tc>
          <w:tcPr>
            <w:tcW w:w="5693" w:type="dxa"/>
            <w:shd w:val="clear" w:color="auto" w:fill="1C2B39" w:themeFill="accent5"/>
          </w:tcPr>
          <w:p w14:paraId="3FD8E135" w14:textId="77777777" w:rsidR="00750669" w:rsidRPr="00CA1137" w:rsidRDefault="00750669" w:rsidP="001931D9">
            <w:pPr>
              <w:rPr>
                <w:b/>
                <w:bCs/>
                <w:color w:val="FFFFFF" w:themeColor="background1"/>
                <w:sz w:val="22"/>
                <w:szCs w:val="22"/>
              </w:rPr>
            </w:pPr>
            <w:r w:rsidRPr="00CA1137">
              <w:rPr>
                <w:b/>
                <w:bCs/>
                <w:color w:val="FFFFFF" w:themeColor="background1"/>
                <w:sz w:val="22"/>
                <w:szCs w:val="22"/>
              </w:rPr>
              <w:t xml:space="preserve">How we have addressed your feedback </w:t>
            </w:r>
          </w:p>
        </w:tc>
      </w:tr>
      <w:tr w:rsidR="00750669" w14:paraId="6AB1831A" w14:textId="77777777" w:rsidTr="005F76B5">
        <w:tc>
          <w:tcPr>
            <w:tcW w:w="4508" w:type="dxa"/>
          </w:tcPr>
          <w:p w14:paraId="2781A2BE" w14:textId="77777777" w:rsidR="00750669" w:rsidRPr="00CA1137" w:rsidRDefault="00750669" w:rsidP="001931D9">
            <w:pPr>
              <w:rPr>
                <w:sz w:val="22"/>
                <w:szCs w:val="22"/>
              </w:rPr>
            </w:pPr>
            <w:r w:rsidRPr="4DCB9EB2">
              <w:rPr>
                <w:sz w:val="22"/>
                <w:szCs w:val="22"/>
              </w:rPr>
              <w:t>More</w:t>
            </w:r>
            <w:r w:rsidRPr="00CA1137">
              <w:rPr>
                <w:sz w:val="22"/>
                <w:szCs w:val="22"/>
              </w:rPr>
              <w:t xml:space="preserve"> clarity on the </w:t>
            </w:r>
            <w:r w:rsidRPr="00CA1137">
              <w:rPr>
                <w:b/>
                <w:bCs/>
                <w:sz w:val="22"/>
                <w:szCs w:val="22"/>
              </w:rPr>
              <w:t>Provider Payment Model</w:t>
            </w:r>
            <w:r w:rsidRPr="4DCB9EB2">
              <w:rPr>
                <w:b/>
                <w:bCs/>
                <w:sz w:val="22"/>
                <w:szCs w:val="22"/>
              </w:rPr>
              <w:t>,</w:t>
            </w:r>
            <w:r w:rsidRPr="4DCB9EB2">
              <w:rPr>
                <w:b/>
                <w:sz w:val="22"/>
                <w:szCs w:val="22"/>
              </w:rPr>
              <w:t xml:space="preserve"> </w:t>
            </w:r>
            <w:r w:rsidRPr="00CA1137">
              <w:rPr>
                <w:sz w:val="22"/>
                <w:szCs w:val="22"/>
              </w:rPr>
              <w:t>such as how the remoteness loading would work.</w:t>
            </w:r>
          </w:p>
        </w:tc>
        <w:tc>
          <w:tcPr>
            <w:tcW w:w="5693" w:type="dxa"/>
          </w:tcPr>
          <w:p w14:paraId="334D2C90" w14:textId="77777777" w:rsidR="00750669" w:rsidRPr="00CA1137" w:rsidRDefault="00750669" w:rsidP="00567C95">
            <w:pPr>
              <w:pStyle w:val="ListParagraph"/>
              <w:numPr>
                <w:ilvl w:val="0"/>
                <w:numId w:val="9"/>
              </w:numPr>
              <w:rPr>
                <w:sz w:val="22"/>
                <w:szCs w:val="22"/>
              </w:rPr>
            </w:pPr>
            <w:r w:rsidRPr="68A145DE">
              <w:rPr>
                <w:sz w:val="22"/>
                <w:szCs w:val="22"/>
              </w:rPr>
              <w:t xml:space="preserve">Clarified the individual components of the Provider Payment Model </w:t>
            </w:r>
            <w:r>
              <w:rPr>
                <w:sz w:val="22"/>
                <w:szCs w:val="22"/>
              </w:rPr>
              <w:t xml:space="preserve">at section 3.1 </w:t>
            </w:r>
            <w:r w:rsidRPr="68A145DE">
              <w:rPr>
                <w:sz w:val="22"/>
                <w:szCs w:val="22"/>
              </w:rPr>
              <w:t xml:space="preserve">for RAES service delivery including case management, community projects, establishment funding and Right Fit </w:t>
            </w:r>
            <w:proofErr w:type="gramStart"/>
            <w:r w:rsidRPr="68A145DE">
              <w:rPr>
                <w:sz w:val="22"/>
                <w:szCs w:val="22"/>
              </w:rPr>
              <w:t>For</w:t>
            </w:r>
            <w:proofErr w:type="gramEnd"/>
            <w:r w:rsidRPr="68A145DE">
              <w:rPr>
                <w:sz w:val="22"/>
                <w:szCs w:val="22"/>
              </w:rPr>
              <w:t xml:space="preserve"> Risk accreditation. </w:t>
            </w:r>
          </w:p>
          <w:p w14:paraId="32B36C7A" w14:textId="77777777" w:rsidR="00750669" w:rsidRPr="00CA1137" w:rsidRDefault="00750669" w:rsidP="00567C95">
            <w:pPr>
              <w:pStyle w:val="ListParagraph"/>
              <w:numPr>
                <w:ilvl w:val="0"/>
                <w:numId w:val="9"/>
              </w:numPr>
              <w:rPr>
                <w:sz w:val="22"/>
                <w:szCs w:val="22"/>
              </w:rPr>
            </w:pPr>
            <w:r w:rsidRPr="68A145DE">
              <w:rPr>
                <w:sz w:val="22"/>
                <w:szCs w:val="22"/>
              </w:rPr>
              <w:t>We have reworded detail on the Provider Payment Model in Sections 3, 5.3 and 10.</w:t>
            </w:r>
            <w:r w:rsidRPr="0E564FAB">
              <w:rPr>
                <w:sz w:val="22"/>
                <w:szCs w:val="22"/>
              </w:rPr>
              <w:t>6 for</w:t>
            </w:r>
            <w:r w:rsidRPr="68A145DE">
              <w:rPr>
                <w:sz w:val="22"/>
                <w:szCs w:val="22"/>
              </w:rPr>
              <w:t xml:space="preserve"> readability and flow. </w:t>
            </w:r>
          </w:p>
          <w:p w14:paraId="285547D5" w14:textId="77777777" w:rsidR="00750669" w:rsidRPr="00CA1137" w:rsidRDefault="00750669" w:rsidP="00567C95">
            <w:pPr>
              <w:pStyle w:val="ListParagraph"/>
              <w:numPr>
                <w:ilvl w:val="0"/>
                <w:numId w:val="9"/>
              </w:numPr>
              <w:rPr>
                <w:sz w:val="22"/>
                <w:szCs w:val="22"/>
              </w:rPr>
            </w:pPr>
            <w:r w:rsidRPr="68A145DE">
              <w:rPr>
                <w:sz w:val="22"/>
                <w:szCs w:val="22"/>
              </w:rPr>
              <w:t xml:space="preserve">Detailed information on the Remoteness Loading Methodology </w:t>
            </w:r>
            <w:r w:rsidRPr="56F7F345">
              <w:rPr>
                <w:sz w:val="22"/>
                <w:szCs w:val="22"/>
              </w:rPr>
              <w:t>has</w:t>
            </w:r>
            <w:r w:rsidRPr="2E8B3E36">
              <w:rPr>
                <w:sz w:val="22"/>
                <w:szCs w:val="22"/>
              </w:rPr>
              <w:t xml:space="preserve"> been</w:t>
            </w:r>
            <w:r w:rsidRPr="68A145DE">
              <w:rPr>
                <w:sz w:val="22"/>
                <w:szCs w:val="22"/>
              </w:rPr>
              <w:t xml:space="preserve"> added at Appendix 4.</w:t>
            </w:r>
          </w:p>
        </w:tc>
      </w:tr>
      <w:tr w:rsidR="00750669" w14:paraId="614DF935" w14:textId="77777777" w:rsidTr="005F76B5">
        <w:tc>
          <w:tcPr>
            <w:tcW w:w="4508" w:type="dxa"/>
          </w:tcPr>
          <w:p w14:paraId="36FF7CA6" w14:textId="77777777" w:rsidR="00750669" w:rsidRPr="00CA1137" w:rsidRDefault="00750669" w:rsidP="001931D9">
            <w:pPr>
              <w:rPr>
                <w:sz w:val="22"/>
                <w:szCs w:val="22"/>
              </w:rPr>
            </w:pPr>
            <w:r w:rsidRPr="4DCB9EB2">
              <w:rPr>
                <w:sz w:val="22"/>
                <w:szCs w:val="22"/>
              </w:rPr>
              <w:t>More</w:t>
            </w:r>
            <w:r w:rsidRPr="00CA1137">
              <w:rPr>
                <w:sz w:val="22"/>
                <w:szCs w:val="22"/>
              </w:rPr>
              <w:t xml:space="preserve"> clarity and consistency of the </w:t>
            </w:r>
            <w:r w:rsidRPr="00CA1137">
              <w:rPr>
                <w:b/>
                <w:bCs/>
                <w:sz w:val="22"/>
                <w:szCs w:val="22"/>
              </w:rPr>
              <w:t>Employment Outcome Fee</w:t>
            </w:r>
            <w:r w:rsidRPr="00CA1137">
              <w:rPr>
                <w:sz w:val="22"/>
                <w:szCs w:val="22"/>
              </w:rPr>
              <w:t xml:space="preserve"> - payment milestones, split between provider and employer, with a need to consider incentive and acknowledgement for employers.</w:t>
            </w:r>
          </w:p>
        </w:tc>
        <w:tc>
          <w:tcPr>
            <w:tcW w:w="5693" w:type="dxa"/>
          </w:tcPr>
          <w:p w14:paraId="40830838" w14:textId="5A4E0D0C" w:rsidR="00750669" w:rsidRDefault="00750669" w:rsidP="00567C95">
            <w:pPr>
              <w:pStyle w:val="ListParagraph"/>
              <w:numPr>
                <w:ilvl w:val="0"/>
                <w:numId w:val="35"/>
              </w:numPr>
              <w:rPr>
                <w:sz w:val="22"/>
                <w:szCs w:val="22"/>
              </w:rPr>
            </w:pPr>
            <w:r w:rsidRPr="5C455285">
              <w:rPr>
                <w:sz w:val="22"/>
                <w:szCs w:val="22"/>
              </w:rPr>
              <w:t xml:space="preserve">Clarified the split </w:t>
            </w:r>
            <w:r w:rsidR="00CF0ECC">
              <w:rPr>
                <w:sz w:val="22"/>
                <w:szCs w:val="22"/>
              </w:rPr>
              <w:t>between</w:t>
            </w:r>
            <w:r w:rsidR="00CF0ECC" w:rsidRPr="5C455285">
              <w:rPr>
                <w:sz w:val="22"/>
                <w:szCs w:val="22"/>
              </w:rPr>
              <w:t xml:space="preserve"> </w:t>
            </w:r>
            <w:r w:rsidRPr="5C455285">
              <w:rPr>
                <w:sz w:val="22"/>
                <w:szCs w:val="22"/>
              </w:rPr>
              <w:t>employers</w:t>
            </w:r>
            <w:r w:rsidR="00CF0ECC">
              <w:rPr>
                <w:sz w:val="22"/>
                <w:szCs w:val="22"/>
              </w:rPr>
              <w:t xml:space="preserve"> and providers</w:t>
            </w:r>
            <w:r w:rsidRPr="5C455285">
              <w:rPr>
                <w:sz w:val="22"/>
                <w:szCs w:val="22"/>
              </w:rPr>
              <w:t xml:space="preserve"> and outlined the milestone payments for Employment Outcome Fees in sections 3.1and 11.6 in the GOGs.</w:t>
            </w:r>
          </w:p>
          <w:p w14:paraId="047F492F" w14:textId="3CA79BC2" w:rsidR="00CF0ECC" w:rsidRPr="00F56A5C" w:rsidRDefault="00F56A5C" w:rsidP="00F56A5C">
            <w:pPr>
              <w:pStyle w:val="ListParagraph"/>
              <w:numPr>
                <w:ilvl w:val="0"/>
                <w:numId w:val="35"/>
              </w:numPr>
              <w:rPr>
                <w:sz w:val="22"/>
                <w:szCs w:val="22"/>
              </w:rPr>
            </w:pPr>
            <w:r w:rsidRPr="00F56A5C">
              <w:rPr>
                <w:sz w:val="22"/>
                <w:szCs w:val="22"/>
              </w:rPr>
              <w:t>Adjusted the first milestone payment to 4 weeks of continuous employment and included</w:t>
            </w:r>
            <w:r w:rsidR="00CF0ECC" w:rsidRPr="00F56A5C">
              <w:rPr>
                <w:sz w:val="22"/>
                <w:szCs w:val="22"/>
              </w:rPr>
              <w:t xml:space="preserve"> a 52 week of continuous employment milestone payment for Employment </w:t>
            </w:r>
            <w:r>
              <w:rPr>
                <w:sz w:val="22"/>
                <w:szCs w:val="22"/>
              </w:rPr>
              <w:t xml:space="preserve">Placement </w:t>
            </w:r>
            <w:r w:rsidR="00CF0ECC" w:rsidRPr="00F56A5C">
              <w:rPr>
                <w:sz w:val="22"/>
                <w:szCs w:val="22"/>
              </w:rPr>
              <w:t>Support at section</w:t>
            </w:r>
            <w:r>
              <w:rPr>
                <w:sz w:val="22"/>
                <w:szCs w:val="22"/>
              </w:rPr>
              <w:t>s</w:t>
            </w:r>
            <w:r w:rsidR="00CF0ECC" w:rsidRPr="00F56A5C">
              <w:rPr>
                <w:sz w:val="22"/>
                <w:szCs w:val="22"/>
              </w:rPr>
              <w:t xml:space="preserve"> 3.1 and </w:t>
            </w:r>
            <w:r w:rsidRPr="00F56A5C">
              <w:rPr>
                <w:sz w:val="22"/>
                <w:szCs w:val="22"/>
              </w:rPr>
              <w:t>11.6.</w:t>
            </w:r>
          </w:p>
          <w:p w14:paraId="025DBDFB" w14:textId="6263E3AA" w:rsidR="00F64871" w:rsidRPr="00CA1137" w:rsidRDefault="00F64871" w:rsidP="00B12FB4">
            <w:pPr>
              <w:pStyle w:val="ListParagraph"/>
              <w:ind w:left="360"/>
              <w:rPr>
                <w:sz w:val="22"/>
                <w:szCs w:val="22"/>
              </w:rPr>
            </w:pPr>
          </w:p>
        </w:tc>
      </w:tr>
      <w:tr w:rsidR="00750669" w14:paraId="68BC10E3" w14:textId="77777777" w:rsidTr="005F76B5">
        <w:tc>
          <w:tcPr>
            <w:tcW w:w="4508" w:type="dxa"/>
          </w:tcPr>
          <w:p w14:paraId="075E5AD9" w14:textId="77777777" w:rsidR="00750669" w:rsidRPr="00CA1137" w:rsidRDefault="00750669" w:rsidP="001931D9">
            <w:pPr>
              <w:rPr>
                <w:sz w:val="22"/>
                <w:szCs w:val="22"/>
              </w:rPr>
            </w:pPr>
            <w:r w:rsidRPr="4DCB9EB2">
              <w:rPr>
                <w:sz w:val="22"/>
                <w:szCs w:val="22"/>
              </w:rPr>
              <w:t>More</w:t>
            </w:r>
            <w:r w:rsidRPr="00CA1137">
              <w:rPr>
                <w:sz w:val="22"/>
                <w:szCs w:val="22"/>
              </w:rPr>
              <w:t xml:space="preserve"> clarity around the </w:t>
            </w:r>
            <w:r w:rsidRPr="00CA1137">
              <w:rPr>
                <w:b/>
                <w:bCs/>
                <w:sz w:val="22"/>
                <w:szCs w:val="22"/>
              </w:rPr>
              <w:t xml:space="preserve">Reassessment Fee structure </w:t>
            </w:r>
            <w:r w:rsidRPr="00CA1137">
              <w:rPr>
                <w:sz w:val="22"/>
                <w:szCs w:val="22"/>
              </w:rPr>
              <w:t>and suggestion of incorporating into Service Fee</w:t>
            </w:r>
            <w:r>
              <w:rPr>
                <w:sz w:val="22"/>
                <w:szCs w:val="22"/>
              </w:rPr>
              <w:t>.</w:t>
            </w:r>
          </w:p>
        </w:tc>
        <w:tc>
          <w:tcPr>
            <w:tcW w:w="5693" w:type="dxa"/>
          </w:tcPr>
          <w:p w14:paraId="49CFF339" w14:textId="6CDD7E7E" w:rsidR="00750669" w:rsidRPr="00CA1137" w:rsidRDefault="00750669" w:rsidP="00567C95">
            <w:pPr>
              <w:pStyle w:val="ListParagraph"/>
              <w:numPr>
                <w:ilvl w:val="0"/>
                <w:numId w:val="34"/>
              </w:numPr>
              <w:rPr>
                <w:color w:val="000000" w:themeColor="text1"/>
                <w:sz w:val="22"/>
                <w:szCs w:val="22"/>
              </w:rPr>
            </w:pPr>
            <w:r w:rsidRPr="5C455285">
              <w:rPr>
                <w:sz w:val="22"/>
                <w:szCs w:val="22"/>
              </w:rPr>
              <w:t xml:space="preserve">Provided further detail </w:t>
            </w:r>
            <w:r>
              <w:rPr>
                <w:sz w:val="22"/>
                <w:szCs w:val="22"/>
              </w:rPr>
              <w:t xml:space="preserve">at section 11.6 </w:t>
            </w:r>
            <w:r w:rsidRPr="5C455285">
              <w:rPr>
                <w:sz w:val="22"/>
                <w:szCs w:val="22"/>
              </w:rPr>
              <w:t>on the</w:t>
            </w:r>
            <w:r w:rsidR="005F76B5">
              <w:rPr>
                <w:sz w:val="22"/>
                <w:szCs w:val="22"/>
              </w:rPr>
              <w:t xml:space="preserve"> </w:t>
            </w:r>
            <w:r w:rsidRPr="5C455285">
              <w:rPr>
                <w:sz w:val="22"/>
                <w:szCs w:val="22"/>
              </w:rPr>
              <w:t xml:space="preserve">Reassessment Fee payment and that </w:t>
            </w:r>
            <w:r>
              <w:rPr>
                <w:sz w:val="22"/>
                <w:szCs w:val="22"/>
              </w:rPr>
              <w:t>it is paid on actual payable caseload on the completion of relevant RAES assessment tool training and Job Seeker Classification Instrument reassessment,</w:t>
            </w:r>
            <w:r w:rsidRPr="5C455285">
              <w:rPr>
                <w:sz w:val="22"/>
                <w:szCs w:val="22"/>
              </w:rPr>
              <w:t xml:space="preserve"> once per participant</w:t>
            </w:r>
            <w:r>
              <w:rPr>
                <w:sz w:val="22"/>
                <w:szCs w:val="22"/>
              </w:rPr>
              <w:t xml:space="preserve"> and</w:t>
            </w:r>
            <w:r w:rsidRPr="5C455285">
              <w:rPr>
                <w:sz w:val="22"/>
                <w:szCs w:val="22"/>
              </w:rPr>
              <w:t xml:space="preserve"> not for any subsequent reassessments. </w:t>
            </w:r>
          </w:p>
          <w:p w14:paraId="49B2BAFB" w14:textId="77777777" w:rsidR="00750669" w:rsidRPr="00CA1137" w:rsidRDefault="00750669" w:rsidP="00567C95">
            <w:pPr>
              <w:pStyle w:val="ListParagraph"/>
              <w:numPr>
                <w:ilvl w:val="0"/>
                <w:numId w:val="34"/>
              </w:numPr>
              <w:rPr>
                <w:color w:val="000000" w:themeColor="text1"/>
                <w:sz w:val="22"/>
                <w:szCs w:val="22"/>
              </w:rPr>
            </w:pPr>
            <w:r w:rsidRPr="5C455285">
              <w:rPr>
                <w:sz w:val="22"/>
                <w:szCs w:val="22"/>
              </w:rPr>
              <w:t>The Reassessment Fee has been retained as a separate payment as it is linked to the completion of relevant assessments and training</w:t>
            </w:r>
            <w:r>
              <w:rPr>
                <w:sz w:val="22"/>
                <w:szCs w:val="22"/>
              </w:rPr>
              <w:t xml:space="preserve"> (refer to section 11.6)</w:t>
            </w:r>
            <w:r w:rsidRPr="5C455285">
              <w:rPr>
                <w:sz w:val="22"/>
                <w:szCs w:val="22"/>
              </w:rPr>
              <w:t xml:space="preserve">. </w:t>
            </w:r>
          </w:p>
        </w:tc>
      </w:tr>
      <w:tr w:rsidR="00750669" w14:paraId="35316C6B" w14:textId="77777777" w:rsidTr="005F76B5">
        <w:tc>
          <w:tcPr>
            <w:tcW w:w="4508" w:type="dxa"/>
          </w:tcPr>
          <w:p w14:paraId="11E0CF47" w14:textId="77777777" w:rsidR="00750669" w:rsidRPr="00CA1137" w:rsidRDefault="00750669" w:rsidP="001931D9">
            <w:pPr>
              <w:rPr>
                <w:sz w:val="22"/>
                <w:szCs w:val="22"/>
              </w:rPr>
            </w:pPr>
            <w:r w:rsidRPr="4DCB9EB2">
              <w:rPr>
                <w:sz w:val="22"/>
                <w:szCs w:val="22"/>
              </w:rPr>
              <w:t>Further</w:t>
            </w:r>
            <w:r w:rsidRPr="00CA1137">
              <w:rPr>
                <w:sz w:val="22"/>
                <w:szCs w:val="22"/>
              </w:rPr>
              <w:t xml:space="preserve"> detail about the </w:t>
            </w:r>
            <w:r w:rsidRPr="00CA1137">
              <w:rPr>
                <w:b/>
                <w:bCs/>
                <w:sz w:val="22"/>
                <w:szCs w:val="22"/>
              </w:rPr>
              <w:t>Provider Performance Framework</w:t>
            </w:r>
            <w:r w:rsidRPr="00CA1137">
              <w:rPr>
                <w:sz w:val="22"/>
                <w:szCs w:val="22"/>
              </w:rPr>
              <w:t xml:space="preserve"> (KPIs, milestones, reporting etc), including what action will be taken to address providers not meeting their obligations.</w:t>
            </w:r>
          </w:p>
        </w:tc>
        <w:tc>
          <w:tcPr>
            <w:tcW w:w="5693" w:type="dxa"/>
          </w:tcPr>
          <w:p w14:paraId="3D6593F2" w14:textId="5CC5298F" w:rsidR="00602AC9" w:rsidRPr="00567C95" w:rsidRDefault="00602AC9" w:rsidP="00567C95">
            <w:pPr>
              <w:pStyle w:val="ListParagraph"/>
              <w:numPr>
                <w:ilvl w:val="0"/>
                <w:numId w:val="34"/>
              </w:numPr>
              <w:rPr>
                <w:sz w:val="22"/>
                <w:szCs w:val="22"/>
              </w:rPr>
            </w:pPr>
            <w:r w:rsidRPr="00567C95">
              <w:rPr>
                <w:sz w:val="22"/>
                <w:szCs w:val="22"/>
              </w:rPr>
              <w:t xml:space="preserve">Clarified throughout the GOGs that the draft Grant Agreement will include high level details on the performance framework. </w:t>
            </w:r>
          </w:p>
          <w:p w14:paraId="7CE98533" w14:textId="7ACC10C5" w:rsidR="00602AC9" w:rsidRPr="00602AC9" w:rsidRDefault="00602AC9" w:rsidP="00567C95">
            <w:pPr>
              <w:pStyle w:val="ListParagraph"/>
              <w:numPr>
                <w:ilvl w:val="0"/>
                <w:numId w:val="34"/>
              </w:numPr>
              <w:rPr>
                <w:sz w:val="22"/>
                <w:szCs w:val="22"/>
              </w:rPr>
            </w:pPr>
            <w:r w:rsidRPr="00602AC9">
              <w:rPr>
                <w:sz w:val="22"/>
                <w:szCs w:val="22"/>
              </w:rPr>
              <w:t xml:space="preserve">We intend to consult on specific measures and indicators of the performance framework after the grant round closes. Further information will be provided closer to consultation. </w:t>
            </w:r>
          </w:p>
          <w:p w14:paraId="5B24FE02" w14:textId="355CC95B" w:rsidR="00750669" w:rsidRPr="00567C95" w:rsidRDefault="00602AC9" w:rsidP="00567C95">
            <w:pPr>
              <w:pStyle w:val="ListParagraph"/>
              <w:numPr>
                <w:ilvl w:val="0"/>
                <w:numId w:val="33"/>
              </w:numPr>
              <w:rPr>
                <w:sz w:val="22"/>
                <w:szCs w:val="22"/>
              </w:rPr>
            </w:pPr>
            <w:r w:rsidRPr="00602AC9">
              <w:rPr>
                <w:sz w:val="22"/>
                <w:szCs w:val="22"/>
              </w:rPr>
              <w:t xml:space="preserve">Detailed information on the final performance framework will be contained in the operational guidance. </w:t>
            </w:r>
          </w:p>
        </w:tc>
      </w:tr>
      <w:tr w:rsidR="00750669" w14:paraId="0307F21A" w14:textId="77777777" w:rsidTr="005F76B5">
        <w:tc>
          <w:tcPr>
            <w:tcW w:w="4508" w:type="dxa"/>
          </w:tcPr>
          <w:p w14:paraId="4419089B" w14:textId="77777777" w:rsidR="00750669" w:rsidRPr="00CA1137" w:rsidRDefault="00750669" w:rsidP="001931D9">
            <w:pPr>
              <w:rPr>
                <w:sz w:val="22"/>
                <w:szCs w:val="22"/>
              </w:rPr>
            </w:pPr>
            <w:r w:rsidRPr="4DCB9EB2">
              <w:rPr>
                <w:sz w:val="22"/>
                <w:szCs w:val="22"/>
              </w:rPr>
              <w:t>Clear</w:t>
            </w:r>
            <w:r w:rsidRPr="00CA1137">
              <w:rPr>
                <w:sz w:val="22"/>
                <w:szCs w:val="22"/>
              </w:rPr>
              <w:t xml:space="preserve"> guidance on </w:t>
            </w:r>
            <w:r w:rsidRPr="00CA1137">
              <w:rPr>
                <w:b/>
                <w:bCs/>
                <w:sz w:val="22"/>
                <w:szCs w:val="22"/>
              </w:rPr>
              <w:t>Community Projects</w:t>
            </w:r>
            <w:r w:rsidRPr="00CA1137">
              <w:rPr>
                <w:sz w:val="22"/>
                <w:szCs w:val="22"/>
              </w:rPr>
              <w:t xml:space="preserve"> (including funding allocation) with an emphasis </w:t>
            </w:r>
            <w:r w:rsidRPr="00CA1137">
              <w:rPr>
                <w:sz w:val="22"/>
                <w:szCs w:val="22"/>
              </w:rPr>
              <w:lastRenderedPageBreak/>
              <w:t>on co-design and flexibility for cultural and economic variations.</w:t>
            </w:r>
          </w:p>
        </w:tc>
        <w:tc>
          <w:tcPr>
            <w:tcW w:w="5693" w:type="dxa"/>
          </w:tcPr>
          <w:p w14:paraId="0F6C03F2" w14:textId="77777777" w:rsidR="00750669" w:rsidRPr="00CA1137" w:rsidRDefault="00750669" w:rsidP="00567C95">
            <w:pPr>
              <w:pStyle w:val="ListParagraph"/>
              <w:numPr>
                <w:ilvl w:val="0"/>
                <w:numId w:val="32"/>
              </w:numPr>
              <w:rPr>
                <w:sz w:val="22"/>
                <w:szCs w:val="22"/>
              </w:rPr>
            </w:pPr>
            <w:r w:rsidRPr="76F4784A">
              <w:rPr>
                <w:sz w:val="22"/>
                <w:szCs w:val="22"/>
              </w:rPr>
              <w:lastRenderedPageBreak/>
              <w:t xml:space="preserve">Clarified </w:t>
            </w:r>
            <w:r>
              <w:rPr>
                <w:sz w:val="22"/>
                <w:szCs w:val="22"/>
              </w:rPr>
              <w:t xml:space="preserve">at section 2.1 and 5.1 </w:t>
            </w:r>
            <w:r w:rsidRPr="76F4784A">
              <w:rPr>
                <w:sz w:val="22"/>
                <w:szCs w:val="22"/>
              </w:rPr>
              <w:t>that Community Projects are a mandatory activity for providers and voluntary, but encouraged, for participants.</w:t>
            </w:r>
          </w:p>
          <w:p w14:paraId="27C3D8CB" w14:textId="77777777" w:rsidR="009342B6" w:rsidRDefault="00750669" w:rsidP="00567C95">
            <w:pPr>
              <w:pStyle w:val="ListParagraph"/>
              <w:numPr>
                <w:ilvl w:val="0"/>
                <w:numId w:val="31"/>
              </w:numPr>
              <w:rPr>
                <w:sz w:val="22"/>
                <w:szCs w:val="22"/>
              </w:rPr>
            </w:pPr>
            <w:r w:rsidRPr="004724A2">
              <w:rPr>
                <w:sz w:val="22"/>
                <w:szCs w:val="22"/>
              </w:rPr>
              <w:lastRenderedPageBreak/>
              <w:t>Added information at section 2.1 about the requirement for providers to develop Community Projects Work Plans</w:t>
            </w:r>
          </w:p>
          <w:p w14:paraId="3DE00207" w14:textId="43A58379" w:rsidR="00750669" w:rsidRPr="004724A2" w:rsidRDefault="00750669" w:rsidP="00567C95">
            <w:pPr>
              <w:pStyle w:val="ListParagraph"/>
              <w:numPr>
                <w:ilvl w:val="0"/>
                <w:numId w:val="31"/>
              </w:numPr>
              <w:rPr>
                <w:sz w:val="22"/>
                <w:szCs w:val="22"/>
              </w:rPr>
            </w:pPr>
            <w:r w:rsidRPr="004724A2">
              <w:rPr>
                <w:sz w:val="22"/>
                <w:szCs w:val="22"/>
              </w:rPr>
              <w:t xml:space="preserve">Clarified </w:t>
            </w:r>
            <w:r>
              <w:rPr>
                <w:sz w:val="22"/>
                <w:szCs w:val="22"/>
              </w:rPr>
              <w:t xml:space="preserve">at section 3.1 </w:t>
            </w:r>
            <w:r w:rsidRPr="004724A2">
              <w:rPr>
                <w:sz w:val="22"/>
                <w:szCs w:val="22"/>
              </w:rPr>
              <w:t xml:space="preserve">payment amounts for Community Projects. </w:t>
            </w:r>
          </w:p>
          <w:p w14:paraId="55BA9956" w14:textId="77777777" w:rsidR="00750669" w:rsidRPr="00CA1137" w:rsidRDefault="00750669" w:rsidP="00567C95">
            <w:pPr>
              <w:pStyle w:val="ListParagraph"/>
              <w:numPr>
                <w:ilvl w:val="0"/>
                <w:numId w:val="31"/>
              </w:numPr>
              <w:rPr>
                <w:sz w:val="22"/>
                <w:szCs w:val="22"/>
              </w:rPr>
            </w:pPr>
            <w:r w:rsidRPr="5C455285">
              <w:rPr>
                <w:sz w:val="22"/>
                <w:szCs w:val="22"/>
              </w:rPr>
              <w:t>Clarified throughout GOGs that further detail on timing and requirements will be included in the draft grant agreement to be made available during the grant round.</w:t>
            </w:r>
          </w:p>
          <w:p w14:paraId="72996D6D" w14:textId="77777777" w:rsidR="00750669" w:rsidRPr="00CA1137" w:rsidRDefault="00750669" w:rsidP="00567C95">
            <w:pPr>
              <w:pStyle w:val="ListParagraph"/>
              <w:numPr>
                <w:ilvl w:val="0"/>
                <w:numId w:val="31"/>
              </w:numPr>
              <w:rPr>
                <w:sz w:val="22"/>
                <w:szCs w:val="22"/>
              </w:rPr>
            </w:pPr>
            <w:r w:rsidRPr="5C455285">
              <w:rPr>
                <w:sz w:val="22"/>
                <w:szCs w:val="22"/>
              </w:rPr>
              <w:t>Detailed operational guidance with information on Community Projects will be provided to successful applicants.</w:t>
            </w:r>
          </w:p>
        </w:tc>
      </w:tr>
      <w:tr w:rsidR="00750669" w14:paraId="6D668BCB" w14:textId="77777777" w:rsidTr="005F76B5">
        <w:tc>
          <w:tcPr>
            <w:tcW w:w="4508" w:type="dxa"/>
          </w:tcPr>
          <w:p w14:paraId="62DF7A87" w14:textId="77777777" w:rsidR="00750669" w:rsidRPr="00CA1137" w:rsidRDefault="00750669" w:rsidP="001931D9">
            <w:pPr>
              <w:rPr>
                <w:sz w:val="22"/>
                <w:szCs w:val="22"/>
              </w:rPr>
            </w:pPr>
            <w:r w:rsidRPr="4DCB9EB2">
              <w:rPr>
                <w:sz w:val="22"/>
                <w:szCs w:val="22"/>
              </w:rPr>
              <w:lastRenderedPageBreak/>
              <w:t>Clear</w:t>
            </w:r>
            <w:r w:rsidRPr="00B158E6">
              <w:rPr>
                <w:sz w:val="22"/>
                <w:szCs w:val="22"/>
              </w:rPr>
              <w:t xml:space="preserve"> details around the</w:t>
            </w:r>
            <w:r>
              <w:rPr>
                <w:b/>
                <w:bCs/>
                <w:sz w:val="22"/>
                <w:szCs w:val="22"/>
              </w:rPr>
              <w:t xml:space="preserve"> </w:t>
            </w:r>
            <w:r w:rsidRPr="00CA1137">
              <w:rPr>
                <w:b/>
                <w:bCs/>
                <w:sz w:val="22"/>
                <w:szCs w:val="22"/>
              </w:rPr>
              <w:t>Participation Options</w:t>
            </w:r>
            <w:r w:rsidRPr="00CA1137">
              <w:rPr>
                <w:sz w:val="22"/>
                <w:szCs w:val="22"/>
              </w:rPr>
              <w:t xml:space="preserve"> such as cultural programs and health and well-being initiatives.</w:t>
            </w:r>
          </w:p>
        </w:tc>
        <w:tc>
          <w:tcPr>
            <w:tcW w:w="5693" w:type="dxa"/>
          </w:tcPr>
          <w:p w14:paraId="326C77E5" w14:textId="77777777" w:rsidR="00750669" w:rsidRPr="00CA1137" w:rsidRDefault="00750669" w:rsidP="00567C95">
            <w:pPr>
              <w:pStyle w:val="ListParagraph"/>
              <w:numPr>
                <w:ilvl w:val="0"/>
                <w:numId w:val="30"/>
              </w:numPr>
              <w:rPr>
                <w:sz w:val="22"/>
                <w:szCs w:val="22"/>
              </w:rPr>
            </w:pPr>
            <w:r w:rsidRPr="00CA1137">
              <w:rPr>
                <w:sz w:val="22"/>
                <w:szCs w:val="22"/>
              </w:rPr>
              <w:t xml:space="preserve">Added information </w:t>
            </w:r>
            <w:r>
              <w:rPr>
                <w:sz w:val="22"/>
                <w:szCs w:val="22"/>
              </w:rPr>
              <w:t xml:space="preserve">throughout the GOGs and specifically at section 5.3 </w:t>
            </w:r>
            <w:r w:rsidRPr="00CA1137">
              <w:rPr>
                <w:sz w:val="22"/>
                <w:szCs w:val="22"/>
              </w:rPr>
              <w:t xml:space="preserve">about Participation Options and how these are a mandatory part of RAES delivery. </w:t>
            </w:r>
          </w:p>
          <w:p w14:paraId="0640576C" w14:textId="77777777" w:rsidR="00750669" w:rsidRPr="00CA1137" w:rsidRDefault="00750669" w:rsidP="00567C95">
            <w:pPr>
              <w:pStyle w:val="ListParagraph"/>
              <w:numPr>
                <w:ilvl w:val="0"/>
                <w:numId w:val="30"/>
              </w:numPr>
              <w:rPr>
                <w:sz w:val="22"/>
                <w:szCs w:val="22"/>
              </w:rPr>
            </w:pPr>
            <w:r w:rsidRPr="00CA1137">
              <w:rPr>
                <w:sz w:val="22"/>
                <w:szCs w:val="22"/>
              </w:rPr>
              <w:t>Detailed operational guidance with information on Participation Options will be provided to successful applicants.</w:t>
            </w:r>
          </w:p>
        </w:tc>
      </w:tr>
      <w:tr w:rsidR="00750669" w14:paraId="1C768605" w14:textId="77777777" w:rsidTr="005F76B5">
        <w:tc>
          <w:tcPr>
            <w:tcW w:w="4508" w:type="dxa"/>
          </w:tcPr>
          <w:p w14:paraId="120DE87B" w14:textId="77777777" w:rsidR="00750669" w:rsidRPr="00CA1137" w:rsidRDefault="00750669" w:rsidP="001931D9">
            <w:pPr>
              <w:rPr>
                <w:sz w:val="22"/>
                <w:szCs w:val="22"/>
              </w:rPr>
            </w:pPr>
            <w:r w:rsidRPr="00963241">
              <w:rPr>
                <w:b/>
                <w:bCs/>
                <w:sz w:val="22"/>
                <w:szCs w:val="22"/>
              </w:rPr>
              <w:t xml:space="preserve">Eligible </w:t>
            </w:r>
            <w:r w:rsidRPr="4DCB9EB2">
              <w:rPr>
                <w:b/>
                <w:bCs/>
                <w:sz w:val="22"/>
                <w:szCs w:val="22"/>
              </w:rPr>
              <w:t>Expenditure</w:t>
            </w:r>
            <w:r w:rsidRPr="00CA1137">
              <w:rPr>
                <w:sz w:val="22"/>
                <w:szCs w:val="22"/>
              </w:rPr>
              <w:t xml:space="preserve"> </w:t>
            </w:r>
            <w:r>
              <w:rPr>
                <w:sz w:val="22"/>
                <w:szCs w:val="22"/>
              </w:rPr>
              <w:t>to</w:t>
            </w:r>
            <w:r w:rsidRPr="00CA1137">
              <w:rPr>
                <w:sz w:val="22"/>
                <w:szCs w:val="22"/>
              </w:rPr>
              <w:t xml:space="preserve"> be broadened to include wrap around and post-placement support.</w:t>
            </w:r>
          </w:p>
        </w:tc>
        <w:tc>
          <w:tcPr>
            <w:tcW w:w="5693" w:type="dxa"/>
          </w:tcPr>
          <w:p w14:paraId="3A9C625E" w14:textId="73442B97" w:rsidR="00750669" w:rsidRPr="00CA1137" w:rsidRDefault="00750669" w:rsidP="00567C95">
            <w:pPr>
              <w:pStyle w:val="ListParagraph"/>
              <w:numPr>
                <w:ilvl w:val="0"/>
                <w:numId w:val="36"/>
              </w:numPr>
              <w:rPr>
                <w:sz w:val="22"/>
                <w:szCs w:val="22"/>
              </w:rPr>
            </w:pPr>
            <w:r w:rsidRPr="00CA1137">
              <w:rPr>
                <w:sz w:val="22"/>
                <w:szCs w:val="22"/>
              </w:rPr>
              <w:t xml:space="preserve">Additional items added as example eligible expenditure items in Section 5.3 in the GOGs. This will help to ensure </w:t>
            </w:r>
            <w:r w:rsidR="007B10D9">
              <w:rPr>
                <w:sz w:val="22"/>
                <w:szCs w:val="22"/>
              </w:rPr>
              <w:t>a</w:t>
            </w:r>
            <w:r w:rsidRPr="00CA1137">
              <w:rPr>
                <w:sz w:val="22"/>
                <w:szCs w:val="22"/>
              </w:rPr>
              <w:t>pplicants will have a clearer understanding of what they can expect to deliver under the RAES.</w:t>
            </w:r>
          </w:p>
        </w:tc>
      </w:tr>
      <w:tr w:rsidR="00750669" w14:paraId="6905FACB" w14:textId="77777777" w:rsidTr="005F76B5">
        <w:trPr>
          <w:trHeight w:val="736"/>
        </w:trPr>
        <w:tc>
          <w:tcPr>
            <w:tcW w:w="4508" w:type="dxa"/>
          </w:tcPr>
          <w:p w14:paraId="0A002771" w14:textId="77777777" w:rsidR="00750669" w:rsidRPr="00CA1137" w:rsidRDefault="00750669" w:rsidP="001931D9">
            <w:pPr>
              <w:rPr>
                <w:sz w:val="22"/>
                <w:szCs w:val="22"/>
              </w:rPr>
            </w:pPr>
            <w:r w:rsidRPr="4DCB9EB2">
              <w:rPr>
                <w:sz w:val="22"/>
                <w:szCs w:val="22"/>
              </w:rPr>
              <w:t>The</w:t>
            </w:r>
            <w:r>
              <w:rPr>
                <w:sz w:val="22"/>
                <w:szCs w:val="22"/>
              </w:rPr>
              <w:t xml:space="preserve"> GOGs </w:t>
            </w:r>
            <w:r w:rsidRPr="58324D91">
              <w:rPr>
                <w:sz w:val="22"/>
                <w:szCs w:val="22"/>
              </w:rPr>
              <w:t>to</w:t>
            </w:r>
            <w:r>
              <w:rPr>
                <w:sz w:val="22"/>
                <w:szCs w:val="22"/>
              </w:rPr>
              <w:t xml:space="preserve"> include preferencing for Indigenous organisations.</w:t>
            </w:r>
            <w:r w:rsidRPr="00CA1137">
              <w:rPr>
                <w:sz w:val="22"/>
                <w:szCs w:val="22"/>
              </w:rPr>
              <w:t xml:space="preserve"> </w:t>
            </w:r>
          </w:p>
        </w:tc>
        <w:tc>
          <w:tcPr>
            <w:tcW w:w="5693" w:type="dxa"/>
          </w:tcPr>
          <w:p w14:paraId="42F5C150" w14:textId="77777777" w:rsidR="00750669" w:rsidRPr="00CA1137" w:rsidRDefault="00750669" w:rsidP="00567C95">
            <w:pPr>
              <w:pStyle w:val="ListParagraph"/>
              <w:numPr>
                <w:ilvl w:val="0"/>
                <w:numId w:val="29"/>
              </w:numPr>
              <w:rPr>
                <w:sz w:val="22"/>
                <w:szCs w:val="22"/>
              </w:rPr>
            </w:pPr>
            <w:r w:rsidRPr="5756D839">
              <w:rPr>
                <w:sz w:val="22"/>
                <w:szCs w:val="22"/>
              </w:rPr>
              <w:t>GOGs have been modified to include preferencing for Indigenous Organisations for funding where there are two similarly ranked applications, aligning with Closing the Gap Priority Reform Two</w:t>
            </w:r>
            <w:r>
              <w:rPr>
                <w:sz w:val="22"/>
                <w:szCs w:val="22"/>
              </w:rPr>
              <w:t xml:space="preserve"> (refer to section 7)</w:t>
            </w:r>
            <w:r w:rsidRPr="5756D839">
              <w:rPr>
                <w:sz w:val="22"/>
                <w:szCs w:val="22"/>
              </w:rPr>
              <w:t>.</w:t>
            </w:r>
          </w:p>
        </w:tc>
      </w:tr>
      <w:tr w:rsidR="00750669" w14:paraId="14A949C5" w14:textId="77777777" w:rsidTr="005F76B5">
        <w:tc>
          <w:tcPr>
            <w:tcW w:w="4508" w:type="dxa"/>
          </w:tcPr>
          <w:p w14:paraId="25732AB2" w14:textId="77777777" w:rsidR="00750669" w:rsidRPr="00CA1137" w:rsidRDefault="00750669" w:rsidP="001931D9">
            <w:pPr>
              <w:rPr>
                <w:sz w:val="22"/>
                <w:szCs w:val="22"/>
              </w:rPr>
            </w:pPr>
            <w:r w:rsidRPr="292F8931">
              <w:rPr>
                <w:sz w:val="22"/>
                <w:szCs w:val="22"/>
              </w:rPr>
              <w:t>Greater transparency of weighting against selection criteria.</w:t>
            </w:r>
          </w:p>
        </w:tc>
        <w:tc>
          <w:tcPr>
            <w:tcW w:w="5693" w:type="dxa"/>
          </w:tcPr>
          <w:p w14:paraId="4E39A62F" w14:textId="77777777" w:rsidR="00750669" w:rsidRPr="00CA1137" w:rsidRDefault="00750669" w:rsidP="00567C95">
            <w:pPr>
              <w:pStyle w:val="ListParagraph"/>
              <w:numPr>
                <w:ilvl w:val="0"/>
                <w:numId w:val="28"/>
              </w:numPr>
              <w:rPr>
                <w:sz w:val="22"/>
                <w:szCs w:val="22"/>
              </w:rPr>
            </w:pPr>
            <w:r w:rsidRPr="00CA1137">
              <w:rPr>
                <w:sz w:val="22"/>
                <w:szCs w:val="22"/>
              </w:rPr>
              <w:t>Noted all selection criteria will have equal weighting</w:t>
            </w:r>
            <w:r>
              <w:rPr>
                <w:sz w:val="22"/>
                <w:szCs w:val="22"/>
              </w:rPr>
              <w:t xml:space="preserve"> (refer to section 6)</w:t>
            </w:r>
            <w:r w:rsidRPr="00CA1137">
              <w:rPr>
                <w:sz w:val="22"/>
                <w:szCs w:val="22"/>
              </w:rPr>
              <w:t xml:space="preserve">. </w:t>
            </w:r>
          </w:p>
        </w:tc>
      </w:tr>
      <w:tr w:rsidR="00750669" w14:paraId="39D39D48" w14:textId="77777777" w:rsidTr="005F76B5">
        <w:tc>
          <w:tcPr>
            <w:tcW w:w="4508" w:type="dxa"/>
          </w:tcPr>
          <w:p w14:paraId="3D7FC53C" w14:textId="77777777" w:rsidR="00750669" w:rsidRPr="00CA1137" w:rsidRDefault="00750669" w:rsidP="001931D9">
            <w:pPr>
              <w:rPr>
                <w:sz w:val="22"/>
                <w:szCs w:val="22"/>
              </w:rPr>
            </w:pPr>
            <w:r w:rsidRPr="5DCCEF14">
              <w:rPr>
                <w:sz w:val="22"/>
                <w:szCs w:val="22"/>
              </w:rPr>
              <w:t>Longer</w:t>
            </w:r>
            <w:r w:rsidRPr="00CA1137">
              <w:rPr>
                <w:sz w:val="22"/>
                <w:szCs w:val="22"/>
              </w:rPr>
              <w:t xml:space="preserve"> contract lengths for providers.</w:t>
            </w:r>
          </w:p>
          <w:p w14:paraId="69BE7140" w14:textId="77777777" w:rsidR="00750669" w:rsidRPr="00CA1137" w:rsidRDefault="00750669" w:rsidP="001931D9">
            <w:pPr>
              <w:rPr>
                <w:sz w:val="22"/>
                <w:szCs w:val="22"/>
              </w:rPr>
            </w:pPr>
          </w:p>
        </w:tc>
        <w:tc>
          <w:tcPr>
            <w:tcW w:w="5693" w:type="dxa"/>
          </w:tcPr>
          <w:p w14:paraId="4A0B9804" w14:textId="77777777" w:rsidR="00750669" w:rsidRPr="00CA1137" w:rsidRDefault="00750669" w:rsidP="00567C95">
            <w:pPr>
              <w:pStyle w:val="ListParagraph"/>
              <w:numPr>
                <w:ilvl w:val="0"/>
                <w:numId w:val="27"/>
              </w:numPr>
              <w:spacing w:after="240" w:line="276" w:lineRule="auto"/>
              <w:rPr>
                <w:sz w:val="22"/>
                <w:szCs w:val="22"/>
              </w:rPr>
            </w:pPr>
            <w:r w:rsidRPr="5756D839">
              <w:rPr>
                <w:sz w:val="22"/>
                <w:szCs w:val="22"/>
              </w:rPr>
              <w:t xml:space="preserve">Funding period has been extended by 12 months, with providers now required to deliver the </w:t>
            </w:r>
            <w:r w:rsidRPr="5756D839">
              <w:rPr>
                <w:b/>
                <w:bCs/>
                <w:sz w:val="22"/>
                <w:szCs w:val="22"/>
              </w:rPr>
              <w:t>RAES</w:t>
            </w:r>
            <w:r w:rsidRPr="5756D839">
              <w:rPr>
                <w:sz w:val="22"/>
                <w:szCs w:val="22"/>
              </w:rPr>
              <w:t xml:space="preserve"> between 1 November 2025 and 30 June 2028</w:t>
            </w:r>
            <w:r>
              <w:rPr>
                <w:sz w:val="22"/>
                <w:szCs w:val="22"/>
              </w:rPr>
              <w:t xml:space="preserve"> (refer to section 3.1)</w:t>
            </w:r>
            <w:r w:rsidRPr="5756D839">
              <w:rPr>
                <w:sz w:val="22"/>
                <w:szCs w:val="22"/>
              </w:rPr>
              <w:t xml:space="preserve">. </w:t>
            </w:r>
          </w:p>
        </w:tc>
      </w:tr>
    </w:tbl>
    <w:p w14:paraId="3F7101ED" w14:textId="77777777" w:rsidR="00750669" w:rsidRDefault="00750669" w:rsidP="00750669">
      <w:pPr>
        <w:pStyle w:val="Heading1"/>
      </w:pPr>
      <w:r>
        <w:t>Previous consultations</w:t>
      </w:r>
    </w:p>
    <w:p w14:paraId="6D63BDEE" w14:textId="77777777" w:rsidR="00750669" w:rsidRPr="005F531C" w:rsidRDefault="00750669" w:rsidP="00750669">
      <w:pPr>
        <w:pStyle w:val="BodyText"/>
        <w:rPr>
          <w:rFonts w:cstheme="minorHAnsi"/>
          <w:szCs w:val="22"/>
        </w:rPr>
      </w:pPr>
      <w:r>
        <w:t>To develop the best approach to replacing the CDP, we undertook</w:t>
      </w:r>
      <w:r w:rsidRPr="007E7024">
        <w:t xml:space="preserve"> targeted consultations in remote communities</w:t>
      </w:r>
      <w:r>
        <w:t xml:space="preserve"> in two phases.</w:t>
      </w:r>
    </w:p>
    <w:p w14:paraId="267A55B0" w14:textId="77777777" w:rsidR="00750669" w:rsidRDefault="00750669" w:rsidP="00750669">
      <w:pPr>
        <w:rPr>
          <w:color w:val="252525"/>
          <w:sz w:val="22"/>
        </w:rPr>
      </w:pPr>
      <w:r w:rsidRPr="009A53FD">
        <w:rPr>
          <w:color w:val="252525"/>
          <w:sz w:val="22"/>
        </w:rPr>
        <w:t xml:space="preserve">Consultation included a diverse range of stakeholders at a national, jurisdictional and community level. </w:t>
      </w:r>
      <w:r>
        <w:rPr>
          <w:color w:val="252525"/>
          <w:sz w:val="22"/>
        </w:rPr>
        <w:t>We</w:t>
      </w:r>
      <w:r w:rsidRPr="009A53FD">
        <w:rPr>
          <w:color w:val="252525"/>
          <w:sz w:val="22"/>
        </w:rPr>
        <w:t xml:space="preserve"> wanted to hear from individuals, job</w:t>
      </w:r>
      <w:r>
        <w:rPr>
          <w:color w:val="252525"/>
        </w:rPr>
        <w:t xml:space="preserve"> </w:t>
      </w:r>
      <w:r w:rsidRPr="009A53FD">
        <w:rPr>
          <w:color w:val="252525"/>
          <w:sz w:val="22"/>
        </w:rPr>
        <w:t xml:space="preserve">seekers, CDP participants, former participants, community leaders, service providers, employers and Government or non-government organisations on ways </w:t>
      </w:r>
      <w:r>
        <w:rPr>
          <w:color w:val="252525"/>
          <w:sz w:val="22"/>
        </w:rPr>
        <w:t>a</w:t>
      </w:r>
      <w:r w:rsidRPr="009A53FD">
        <w:rPr>
          <w:color w:val="252525"/>
          <w:sz w:val="22"/>
        </w:rPr>
        <w:t xml:space="preserve"> new program </w:t>
      </w:r>
      <w:r>
        <w:rPr>
          <w:color w:val="252525"/>
          <w:sz w:val="22"/>
        </w:rPr>
        <w:t xml:space="preserve">and service </w:t>
      </w:r>
      <w:r w:rsidRPr="009A53FD">
        <w:rPr>
          <w:color w:val="252525"/>
          <w:sz w:val="22"/>
        </w:rPr>
        <w:t>can best help those in remote communities. </w:t>
      </w:r>
    </w:p>
    <w:p w14:paraId="3E360F17" w14:textId="77777777" w:rsidR="00750669" w:rsidRPr="00041BB9" w:rsidRDefault="00750669" w:rsidP="00750669">
      <w:pPr>
        <w:pStyle w:val="Heading2"/>
        <w:rPr>
          <w:color w:val="252525"/>
          <w:sz w:val="22"/>
          <w:szCs w:val="22"/>
        </w:rPr>
      </w:pPr>
      <w:bookmarkStart w:id="1" w:name="_Toc172730430"/>
      <w:bookmarkStart w:id="2" w:name="_Toc172816305"/>
      <w:bookmarkStart w:id="3" w:name="_Toc173931425"/>
      <w:bookmarkStart w:id="4" w:name="_Toc178169658"/>
      <w:r>
        <w:t>First phase of c</w:t>
      </w:r>
      <w:r w:rsidRPr="00041BB9">
        <w:t xml:space="preserve">ommunity </w:t>
      </w:r>
      <w:r>
        <w:t>c</w:t>
      </w:r>
      <w:r w:rsidRPr="00041BB9">
        <w:t>onsultations</w:t>
      </w:r>
      <w:r>
        <w:t xml:space="preserve"> – 2023</w:t>
      </w:r>
      <w:bookmarkEnd w:id="1"/>
      <w:bookmarkEnd w:id="2"/>
      <w:bookmarkEnd w:id="3"/>
      <w:bookmarkEnd w:id="4"/>
    </w:p>
    <w:p w14:paraId="3AEDAA24" w14:textId="77777777" w:rsidR="00750669" w:rsidRPr="000A3814" w:rsidRDefault="00750669" w:rsidP="00750669">
      <w:pPr>
        <w:pStyle w:val="BodyText"/>
      </w:pPr>
      <w:r w:rsidRPr="00332DFF">
        <w:t xml:space="preserve">Between February and June 2023, </w:t>
      </w:r>
      <w:r>
        <w:t>we</w:t>
      </w:r>
      <w:r w:rsidRPr="00332DFF">
        <w:t xml:space="preserve"> conducted</w:t>
      </w:r>
      <w:r w:rsidRPr="00332DFF" w:rsidDel="005F11D0">
        <w:t xml:space="preserve"> </w:t>
      </w:r>
      <w:r w:rsidRPr="00332DFF">
        <w:t>‘listen and learn’ consultations</w:t>
      </w:r>
      <w:r w:rsidRPr="00332DFF" w:rsidDel="005F11D0">
        <w:t xml:space="preserve"> </w:t>
      </w:r>
      <w:r w:rsidRPr="00332DFF">
        <w:t>with remote communities.</w:t>
      </w:r>
      <w:r w:rsidRPr="00332DFF">
        <w:br/>
      </w:r>
      <w:r>
        <w:t>A report</w:t>
      </w:r>
      <w:r w:rsidRPr="2FFE6528">
        <w:rPr>
          <w:rFonts w:ascii="Calibri" w:hAnsi="Calibri" w:cs="Calibri"/>
        </w:rPr>
        <w:t xml:space="preserve"> on what we heard is available on the </w:t>
      </w:r>
      <w:hyperlink r:id="rId13">
        <w:r w:rsidRPr="2FFE6528">
          <w:rPr>
            <w:rStyle w:val="Hyperlink"/>
            <w:rFonts w:ascii="Calibri" w:hAnsi="Calibri" w:cs="Calibri"/>
            <w:color w:val="014362"/>
          </w:rPr>
          <w:t>NIAA website.</w:t>
        </w:r>
      </w:hyperlink>
    </w:p>
    <w:p w14:paraId="4AA4F72D" w14:textId="77777777" w:rsidR="00750669" w:rsidRPr="00E949D5" w:rsidRDefault="00750669" w:rsidP="00750669">
      <w:pPr>
        <w:pStyle w:val="Heading2"/>
      </w:pPr>
      <w:bookmarkStart w:id="5" w:name="_Toc172730431"/>
      <w:bookmarkStart w:id="6" w:name="_Toc172816306"/>
      <w:bookmarkStart w:id="7" w:name="_Toc173931426"/>
      <w:bookmarkStart w:id="8" w:name="_Toc178169659"/>
      <w:r w:rsidRPr="00E949D5">
        <w:lastRenderedPageBreak/>
        <w:t>Second phase of community c</w:t>
      </w:r>
      <w:r w:rsidRPr="000257E4">
        <w:t>onsultations</w:t>
      </w:r>
      <w:r w:rsidRPr="00E949D5">
        <w:t xml:space="preserve"> </w:t>
      </w:r>
      <w:r>
        <w:t>–</w:t>
      </w:r>
      <w:r w:rsidRPr="000257E4">
        <w:t xml:space="preserve"> </w:t>
      </w:r>
      <w:r w:rsidRPr="00E949D5">
        <w:t>2024</w:t>
      </w:r>
      <w:bookmarkEnd w:id="5"/>
      <w:bookmarkEnd w:id="6"/>
      <w:bookmarkEnd w:id="7"/>
      <w:bookmarkEnd w:id="8"/>
      <w:r w:rsidRPr="000257E4">
        <w:t xml:space="preserve"> </w:t>
      </w:r>
    </w:p>
    <w:p w14:paraId="09A2FE9A" w14:textId="684B3DE9" w:rsidR="00750669" w:rsidRPr="00B950C3" w:rsidRDefault="00750669" w:rsidP="00750669">
      <w:pPr>
        <w:pStyle w:val="BodyText"/>
        <w:rPr>
          <w:rFonts w:ascii="Calibri" w:hAnsi="Calibri" w:cs="Calibri"/>
        </w:rPr>
      </w:pPr>
      <w:r>
        <w:t>Between mid-April and mid-July 2024, we conducted a second phase of community consultations to hear how the new RJED program could be designed and delivered. Whilst the key focus of the consultation was about the RJED program, it was also an opportunity to hear from people and record their feedback on how a new employment service could be designed and delivered. A report</w:t>
      </w:r>
      <w:r w:rsidRPr="5FB2CA38">
        <w:rPr>
          <w:rFonts w:ascii="Calibri" w:hAnsi="Calibri" w:cs="Calibri"/>
        </w:rPr>
        <w:t xml:space="preserve"> on what we heard during phase 2 is available on the </w:t>
      </w:r>
      <w:hyperlink r:id="rId14">
        <w:r w:rsidRPr="1829D12D">
          <w:rPr>
            <w:rStyle w:val="Hyperlink"/>
            <w:rFonts w:ascii="Calibri" w:hAnsi="Calibri" w:cs="Calibri"/>
            <w:color w:val="014362"/>
          </w:rPr>
          <w:t>NIAA website.</w:t>
        </w:r>
      </w:hyperlink>
    </w:p>
    <w:p w14:paraId="5143BBE8" w14:textId="77777777" w:rsidR="00116937" w:rsidRDefault="00B950C3" w:rsidP="00B950C3">
      <w:pPr>
        <w:pStyle w:val="Heading1"/>
      </w:pPr>
      <w:r>
        <w:t>Next Steps</w:t>
      </w:r>
    </w:p>
    <w:p w14:paraId="0938C3A8" w14:textId="25B14D74" w:rsidR="003A29B4" w:rsidRPr="003A29B4" w:rsidRDefault="003A29B4" w:rsidP="00F20A78">
      <w:pPr>
        <w:pStyle w:val="BodyText"/>
      </w:pPr>
      <w:r w:rsidRPr="003A29B4">
        <w:t xml:space="preserve">Grants </w:t>
      </w:r>
      <w:r w:rsidR="00071937">
        <w:t>o</w:t>
      </w:r>
      <w:r w:rsidRPr="003A29B4">
        <w:t>pen</w:t>
      </w:r>
      <w:r w:rsidR="00071937">
        <w:t>ed</w:t>
      </w:r>
      <w:r w:rsidRPr="003A29B4">
        <w:t xml:space="preserve"> </w:t>
      </w:r>
      <w:r w:rsidR="00ED5173">
        <w:t xml:space="preserve">on 30 June 2025 </w:t>
      </w:r>
      <w:r w:rsidRPr="003A29B4">
        <w:t>to interested organisations who can deliver employment services in </w:t>
      </w:r>
      <w:hyperlink r:id="rId15" w:history="1">
        <w:r w:rsidRPr="00020CBB">
          <w:rPr>
            <w:rStyle w:val="Hyperlink"/>
            <w:color w:val="015E8A" w:themeColor="text2" w:themeTint="E6"/>
          </w:rPr>
          <w:t>RAES regions</w:t>
        </w:r>
      </w:hyperlink>
      <w:r w:rsidRPr="003A29B4">
        <w:t> (currently known as CDP regions).</w:t>
      </w:r>
    </w:p>
    <w:p w14:paraId="61B6AFA3" w14:textId="60A2AE03" w:rsidR="003A29B4" w:rsidRPr="003A29B4" w:rsidRDefault="00605D94" w:rsidP="00F20A78">
      <w:pPr>
        <w:pStyle w:val="BodyText"/>
      </w:pPr>
      <w:r>
        <w:t>The</w:t>
      </w:r>
      <w:r w:rsidR="003A29B4" w:rsidRPr="003A29B4">
        <w:t> </w:t>
      </w:r>
      <w:proofErr w:type="spellStart"/>
      <w:r w:rsidR="003A29B4">
        <w:fldChar w:fldCharType="begin"/>
      </w:r>
      <w:r w:rsidR="003A29B4">
        <w:instrText>HYPERLINK "https://www.grants.gov.au/Go/Show?GoUuid=a2cee833-5414-4bfc-8d7b-1460d16b2373&amp;keyword=GO7748"</w:instrText>
      </w:r>
      <w:r w:rsidR="003A29B4">
        <w:fldChar w:fldCharType="separate"/>
      </w:r>
      <w:r w:rsidR="003A29B4" w:rsidRPr="00020CBB">
        <w:rPr>
          <w:rStyle w:val="Hyperlink"/>
          <w:color w:val="015E8A" w:themeColor="text2" w:themeTint="E6"/>
        </w:rPr>
        <w:t>GrantConnect</w:t>
      </w:r>
      <w:proofErr w:type="spellEnd"/>
      <w:r w:rsidR="003A29B4">
        <w:fldChar w:fldCharType="end"/>
      </w:r>
      <w:r w:rsidR="003A29B4" w:rsidRPr="003A29B4">
        <w:t> website </w:t>
      </w:r>
      <w:r>
        <w:t>will have</w:t>
      </w:r>
      <w:r w:rsidR="004C428F">
        <w:t xml:space="preserve"> </w:t>
      </w:r>
      <w:r w:rsidR="004C428F" w:rsidRPr="003A29B4">
        <w:t xml:space="preserve">supporting documents </w:t>
      </w:r>
      <w:r w:rsidR="004C428F">
        <w:t>with the RAES GOG</w:t>
      </w:r>
      <w:r w:rsidR="00071937">
        <w:t>s</w:t>
      </w:r>
      <w:r w:rsidR="003A29B4" w:rsidRPr="003A29B4">
        <w:t xml:space="preserve"> other supporting documents and submit your application.</w:t>
      </w:r>
    </w:p>
    <w:p w14:paraId="7BF57BD8" w14:textId="41B0C728" w:rsidR="003A29B4" w:rsidRPr="003A29B4" w:rsidRDefault="003A29B4" w:rsidP="00F20A78">
      <w:pPr>
        <w:pStyle w:val="BodyText"/>
      </w:pPr>
      <w:r w:rsidRPr="003A29B4">
        <w:t>An approximate timeline for assessment of RAES grants is below:</w:t>
      </w:r>
    </w:p>
    <w:p w14:paraId="139D1817" w14:textId="00273FE0" w:rsidR="003A29B4" w:rsidRPr="003A29B4" w:rsidRDefault="003A29B4" w:rsidP="00E1745D">
      <w:pPr>
        <w:pStyle w:val="BodyText"/>
        <w:numPr>
          <w:ilvl w:val="0"/>
          <w:numId w:val="39"/>
        </w:numPr>
      </w:pPr>
      <w:r w:rsidRPr="003A29B4">
        <w:t>July</w:t>
      </w:r>
      <w:r w:rsidR="004B1949">
        <w:t xml:space="preserve"> 2025</w:t>
      </w:r>
      <w:r w:rsidRPr="003A29B4">
        <w:t xml:space="preserve"> – Grant round closes</w:t>
      </w:r>
    </w:p>
    <w:p w14:paraId="0CB1DF55" w14:textId="0559655A" w:rsidR="003A29B4" w:rsidRPr="003A29B4" w:rsidRDefault="003A29B4" w:rsidP="00E1745D">
      <w:pPr>
        <w:pStyle w:val="BodyText"/>
        <w:numPr>
          <w:ilvl w:val="0"/>
          <w:numId w:val="39"/>
        </w:numPr>
      </w:pPr>
      <w:r w:rsidRPr="003A29B4">
        <w:t xml:space="preserve">August </w:t>
      </w:r>
      <w:r w:rsidR="004B1949">
        <w:t>2025</w:t>
      </w:r>
      <w:r w:rsidRPr="003A29B4">
        <w:t>– Assessment of applications</w:t>
      </w:r>
    </w:p>
    <w:p w14:paraId="1ED18377" w14:textId="6145E6AA" w:rsidR="003A29B4" w:rsidRPr="003A29B4" w:rsidRDefault="003A29B4" w:rsidP="00E1745D">
      <w:pPr>
        <w:pStyle w:val="BodyText"/>
        <w:numPr>
          <w:ilvl w:val="0"/>
          <w:numId w:val="39"/>
        </w:numPr>
      </w:pPr>
      <w:r w:rsidRPr="003A29B4">
        <w:t xml:space="preserve">September </w:t>
      </w:r>
      <w:r w:rsidR="004B1949">
        <w:t>2025</w:t>
      </w:r>
      <w:r w:rsidRPr="003A29B4">
        <w:t>– Successful organisations</w:t>
      </w:r>
      <w:r w:rsidR="00071937">
        <w:t xml:space="preserve"> expected to be</w:t>
      </w:r>
      <w:r w:rsidRPr="003A29B4">
        <w:t xml:space="preserve"> notified</w:t>
      </w:r>
    </w:p>
    <w:p w14:paraId="66AD3FEC" w14:textId="77AF06AC" w:rsidR="003A29B4" w:rsidRPr="003A29B4" w:rsidRDefault="003A29B4" w:rsidP="00E1745D">
      <w:pPr>
        <w:pStyle w:val="BodyText"/>
        <w:numPr>
          <w:ilvl w:val="0"/>
          <w:numId w:val="39"/>
        </w:numPr>
      </w:pPr>
      <w:r w:rsidRPr="003A29B4">
        <w:t>October</w:t>
      </w:r>
      <w:r w:rsidR="004B1949">
        <w:t xml:space="preserve"> 2025</w:t>
      </w:r>
      <w:r w:rsidRPr="003A29B4">
        <w:t xml:space="preserve"> – Contracts </w:t>
      </w:r>
      <w:r w:rsidR="00F84B5E">
        <w:t xml:space="preserve">expected to be </w:t>
      </w:r>
      <w:r w:rsidRPr="003A29B4">
        <w:t>executed </w:t>
      </w:r>
    </w:p>
    <w:p w14:paraId="7F918DF0" w14:textId="4BEA7748" w:rsidR="00F20A78" w:rsidRPr="00F20A78" w:rsidRDefault="00F20A78" w:rsidP="00F20A78">
      <w:pPr>
        <w:pStyle w:val="BodyText"/>
      </w:pPr>
      <w:r w:rsidRPr="00F20A78">
        <w:t xml:space="preserve">If you have questions about the </w:t>
      </w:r>
      <w:proofErr w:type="gramStart"/>
      <w:r w:rsidRPr="00F20A78">
        <w:t xml:space="preserve">RAES </w:t>
      </w:r>
      <w:r w:rsidR="00B23B22">
        <w:t>GOGs</w:t>
      </w:r>
      <w:r w:rsidRPr="00F20A78">
        <w:t>,</w:t>
      </w:r>
      <w:r w:rsidR="00455CF7">
        <w:t xml:space="preserve"> or</w:t>
      </w:r>
      <w:proofErr w:type="gramEnd"/>
      <w:r w:rsidR="00455CF7">
        <w:t xml:space="preserve"> need </w:t>
      </w:r>
      <w:r w:rsidR="000A20C1">
        <w:t>grant writing support</w:t>
      </w:r>
      <w:r w:rsidRPr="00F20A78">
        <w:t xml:space="preserve"> a helpdesk is available while grants are open.</w:t>
      </w:r>
    </w:p>
    <w:p w14:paraId="0DFF2BE6" w14:textId="15EFC34A" w:rsidR="00F20A78" w:rsidRPr="00F20A78" w:rsidRDefault="004B1949" w:rsidP="00F20A78">
      <w:pPr>
        <w:pStyle w:val="BodyText"/>
      </w:pPr>
      <w:r>
        <w:t>You can c</w:t>
      </w:r>
      <w:r w:rsidR="00F20A78" w:rsidRPr="00F20A78">
        <w:t>all the RAES Helpdesk on 1800 939 500 or email </w:t>
      </w:r>
      <w:hyperlink r:id="rId16" w:history="1">
        <w:r w:rsidR="00F20A78" w:rsidRPr="00F20A78">
          <w:t>RAESHelpdesk@niaa.gov.au</w:t>
        </w:r>
      </w:hyperlink>
      <w:r w:rsidR="00F20A78" w:rsidRPr="00F20A78">
        <w:t> </w:t>
      </w:r>
    </w:p>
    <w:p w14:paraId="1143C5D6" w14:textId="07F4714F" w:rsidR="00F20A78" w:rsidRPr="00F20A78" w:rsidRDefault="00F20A78" w:rsidP="00F20A78">
      <w:pPr>
        <w:pStyle w:val="BodyText"/>
      </w:pPr>
      <w:r w:rsidRPr="00F20A78">
        <w:t>Operating hours are between 9am-5pm AE</w:t>
      </w:r>
      <w:r w:rsidR="00AB0CF1">
        <w:t>ST</w:t>
      </w:r>
      <w:r w:rsidRPr="00F20A78">
        <w:t xml:space="preserve"> Monday to Friday, with some exceptions.</w:t>
      </w:r>
    </w:p>
    <w:p w14:paraId="70096DD1" w14:textId="7F6B3963" w:rsidR="00F20A78" w:rsidRPr="00F20A78" w:rsidRDefault="00F20A78" w:rsidP="00F20A78">
      <w:pPr>
        <w:pStyle w:val="BodyText"/>
      </w:pPr>
      <w:r w:rsidRPr="00F20A78">
        <w:t xml:space="preserve">The NIAA </w:t>
      </w:r>
      <w:r w:rsidR="00BD33CD">
        <w:t>is</w:t>
      </w:r>
      <w:r w:rsidRPr="00F20A78">
        <w:t xml:space="preserve"> run</w:t>
      </w:r>
      <w:r w:rsidR="00BD33CD">
        <w:t>ning</w:t>
      </w:r>
      <w:r w:rsidR="00605D94">
        <w:t xml:space="preserve"> </w:t>
      </w:r>
      <w:r w:rsidRPr="00F20A78">
        <w:t>two online information sessions to go through the Grant Opportunity Guidelines and application process, with the opportunity to ask questions.</w:t>
      </w:r>
    </w:p>
    <w:p w14:paraId="34C6EB47" w14:textId="1216BAC2" w:rsidR="00F20A78" w:rsidRPr="00F20A78" w:rsidRDefault="00F20A78" w:rsidP="00F20A78">
      <w:pPr>
        <w:pStyle w:val="BodyText"/>
      </w:pPr>
      <w:r w:rsidRPr="00F20A78">
        <w:t xml:space="preserve">Sessions </w:t>
      </w:r>
      <w:r w:rsidR="00BD33CD">
        <w:t>times are</w:t>
      </w:r>
      <w:r w:rsidRPr="00F20A78">
        <w:t>:</w:t>
      </w:r>
    </w:p>
    <w:p w14:paraId="4E3CE27A" w14:textId="77777777" w:rsidR="00F20A78" w:rsidRPr="00F20A78" w:rsidRDefault="00F20A78" w:rsidP="00F20A78">
      <w:pPr>
        <w:pStyle w:val="BodyText"/>
      </w:pPr>
      <w:r w:rsidRPr="00F20A78">
        <w:t>Thursday 3 July 1:30pm - 2:30pm Canberra local time (AEST)</w:t>
      </w:r>
    </w:p>
    <w:p w14:paraId="10C93A70" w14:textId="77777777" w:rsidR="00F20A78" w:rsidRPr="00F20A78" w:rsidRDefault="00F20A78" w:rsidP="00F20A78">
      <w:pPr>
        <w:pStyle w:val="BodyText"/>
      </w:pPr>
      <w:r w:rsidRPr="00F20A78">
        <w:t>Wednesday 9 July 2pm - 3pm Canberra local time (AEST)</w:t>
      </w:r>
    </w:p>
    <w:p w14:paraId="001876ED" w14:textId="5B4F74B9" w:rsidR="00005014" w:rsidRDefault="000A20C1" w:rsidP="00F20A78">
      <w:pPr>
        <w:pStyle w:val="BodyText"/>
      </w:pPr>
      <w:r w:rsidRPr="000A20C1">
        <w:t>To find out more visit</w:t>
      </w:r>
      <w:r w:rsidR="00AB0CF1">
        <w:t xml:space="preserve"> </w:t>
      </w:r>
      <w:hyperlink r:id="rId17" w:history="1">
        <w:r w:rsidR="00AB0CF1" w:rsidRPr="00020CBB">
          <w:rPr>
            <w:rStyle w:val="Hyperlink"/>
            <w:color w:val="015E8A" w:themeColor="text2" w:themeTint="E6"/>
          </w:rPr>
          <w:t>www.niaa.gov.au/remote-services</w:t>
        </w:r>
      </w:hyperlink>
      <w:r w:rsidR="00005014">
        <w:br w:type="page"/>
      </w:r>
    </w:p>
    <w:p w14:paraId="2306D6DC" w14:textId="3DD90521" w:rsidR="00005014" w:rsidRPr="003C78EC" w:rsidRDefault="002E6D0D" w:rsidP="003C78EC">
      <w:pPr>
        <w:pStyle w:val="BodyText"/>
        <w:jc w:val="right"/>
        <w:rPr>
          <w:b/>
          <w:bCs/>
        </w:rPr>
      </w:pPr>
      <w:r>
        <w:rPr>
          <w:b/>
          <w:bCs/>
        </w:rPr>
        <w:lastRenderedPageBreak/>
        <w:t>A</w:t>
      </w:r>
      <w:r w:rsidRPr="002E6D0D">
        <w:rPr>
          <w:b/>
          <w:bCs/>
        </w:rPr>
        <w:t>ppendix</w:t>
      </w:r>
      <w:r w:rsidR="00CA0EE8" w:rsidRPr="003C78EC">
        <w:rPr>
          <w:b/>
          <w:bCs/>
        </w:rPr>
        <w:t xml:space="preserve"> A</w:t>
      </w:r>
    </w:p>
    <w:p w14:paraId="251A3992" w14:textId="01CCA5F2" w:rsidR="00005014" w:rsidRPr="00005014" w:rsidRDefault="00005014" w:rsidP="00005014">
      <w:pPr>
        <w:pStyle w:val="Heading1"/>
      </w:pPr>
      <w:r w:rsidRPr="00005014">
        <w:t>Consultation questions</w:t>
      </w:r>
    </w:p>
    <w:p w14:paraId="4E434912" w14:textId="7B73D0B2" w:rsidR="00005014" w:rsidRPr="0041025E" w:rsidRDefault="00005014" w:rsidP="00005014">
      <w:pPr>
        <w:pStyle w:val="BodyText"/>
        <w:spacing w:line="240" w:lineRule="auto"/>
      </w:pPr>
      <w:r w:rsidRPr="0041025E">
        <w:rPr>
          <w:b/>
          <w:bCs/>
          <w:u w:val="single"/>
        </w:rPr>
        <w:t>Section 2: About the new Remote Australia Employment Service program</w:t>
      </w:r>
      <w:r w:rsidRPr="0041025E">
        <w:t> </w:t>
      </w:r>
    </w:p>
    <w:p w14:paraId="065713C8" w14:textId="77777777" w:rsidR="00005014" w:rsidRPr="0041025E" w:rsidRDefault="00005014" w:rsidP="00005014">
      <w:pPr>
        <w:pStyle w:val="BodyText"/>
        <w:numPr>
          <w:ilvl w:val="0"/>
          <w:numId w:val="10"/>
        </w:numPr>
        <w:spacing w:line="240" w:lineRule="auto"/>
      </w:pPr>
      <w:r w:rsidRPr="0041025E">
        <w:rPr>
          <w:lang w:val="en-US"/>
        </w:rPr>
        <w:t>Do the objectives and direct benefits capture your aspirations for RAES?</w:t>
      </w:r>
      <w:r w:rsidRPr="0041025E">
        <w:t> </w:t>
      </w:r>
    </w:p>
    <w:p w14:paraId="559E83C5" w14:textId="77777777" w:rsidR="00005014" w:rsidRPr="0041025E" w:rsidRDefault="00005014" w:rsidP="00005014">
      <w:pPr>
        <w:pStyle w:val="BodyText"/>
        <w:spacing w:line="240" w:lineRule="auto"/>
      </w:pPr>
      <w:r w:rsidRPr="0041025E">
        <w:rPr>
          <w:b/>
          <w:bCs/>
          <w:u w:val="single"/>
        </w:rPr>
        <w:t>Section 3.1: </w:t>
      </w:r>
      <w:r w:rsidRPr="0041025E">
        <w:rPr>
          <w:b/>
          <w:bCs/>
          <w:u w:val="single"/>
          <w:lang w:val="en-US"/>
        </w:rPr>
        <w:t xml:space="preserve"> Grants Available</w:t>
      </w:r>
      <w:r w:rsidRPr="0041025E">
        <w:t>   </w:t>
      </w:r>
    </w:p>
    <w:p w14:paraId="3D320B89" w14:textId="77777777" w:rsidR="00005014" w:rsidRPr="0041025E" w:rsidRDefault="00005014" w:rsidP="00005014">
      <w:pPr>
        <w:pStyle w:val="BodyText"/>
        <w:numPr>
          <w:ilvl w:val="0"/>
          <w:numId w:val="11"/>
        </w:numPr>
        <w:spacing w:before="0" w:line="240" w:lineRule="auto"/>
      </w:pPr>
      <w:r w:rsidRPr="0041025E">
        <w:rPr>
          <w:lang w:val="en-US"/>
        </w:rPr>
        <w:t>Is the Provider Payment Model (PPM) described in section 3.1 of the draft GOGs structured to support long-term employment outcomes? </w:t>
      </w:r>
      <w:r w:rsidRPr="0041025E">
        <w:t>   </w:t>
      </w:r>
    </w:p>
    <w:p w14:paraId="43F160FC" w14:textId="77777777" w:rsidR="00005014" w:rsidRPr="0041025E" w:rsidRDefault="00005014" w:rsidP="00005014">
      <w:pPr>
        <w:pStyle w:val="BodyText"/>
        <w:numPr>
          <w:ilvl w:val="0"/>
          <w:numId w:val="12"/>
        </w:numPr>
        <w:spacing w:before="0" w:line="240" w:lineRule="auto"/>
      </w:pPr>
      <w:r w:rsidRPr="0041025E">
        <w:rPr>
          <w:lang w:val="en-US"/>
        </w:rPr>
        <w:t>Are the payment milestones reasonable and achievable for providers working in remote employment? </w:t>
      </w:r>
      <w:r w:rsidRPr="0041025E">
        <w:t>   </w:t>
      </w:r>
    </w:p>
    <w:p w14:paraId="1E2271B3" w14:textId="77777777" w:rsidR="00005014" w:rsidRPr="0041025E" w:rsidRDefault="00005014" w:rsidP="00005014">
      <w:pPr>
        <w:pStyle w:val="BodyText"/>
        <w:numPr>
          <w:ilvl w:val="0"/>
          <w:numId w:val="13"/>
        </w:numPr>
        <w:spacing w:before="0" w:line="240" w:lineRule="auto"/>
      </w:pPr>
      <w:r w:rsidRPr="0041025E">
        <w:rPr>
          <w:lang w:val="en-US"/>
        </w:rPr>
        <w:t>What modifications would you suggest in improving the way the Provider Payment Model is described in the draft GOGs?</w:t>
      </w:r>
      <w:r w:rsidRPr="0041025E">
        <w:t>   </w:t>
      </w:r>
    </w:p>
    <w:p w14:paraId="2A70A4D0" w14:textId="77777777" w:rsidR="00005014" w:rsidRPr="0041025E" w:rsidRDefault="00005014" w:rsidP="00005014">
      <w:pPr>
        <w:pStyle w:val="BodyText"/>
        <w:numPr>
          <w:ilvl w:val="0"/>
          <w:numId w:val="14"/>
        </w:numPr>
        <w:spacing w:before="0" w:line="240" w:lineRule="auto"/>
      </w:pPr>
      <w:r w:rsidRPr="0041025E">
        <w:rPr>
          <w:lang w:val="en-US"/>
        </w:rPr>
        <w:t>How frequently should the remoteness loading be re-calculated?</w:t>
      </w:r>
      <w:r w:rsidRPr="034DC191">
        <w:rPr>
          <w:lang w:val="en-US"/>
        </w:rPr>
        <w:t> Refer</w:t>
      </w:r>
      <w:r w:rsidRPr="0041025E">
        <w:rPr>
          <w:lang w:val="en-US"/>
        </w:rPr>
        <w:t xml:space="preserve"> to table 10.</w:t>
      </w:r>
      <w:r>
        <w:t>1.  </w:t>
      </w:r>
      <w:r w:rsidRPr="0041025E">
        <w:t> </w:t>
      </w:r>
    </w:p>
    <w:p w14:paraId="3E6F8FA9" w14:textId="77777777" w:rsidR="00005014" w:rsidRPr="0041025E" w:rsidRDefault="00005014" w:rsidP="00005014">
      <w:pPr>
        <w:pStyle w:val="BodyText"/>
        <w:spacing w:line="240" w:lineRule="auto"/>
      </w:pPr>
      <w:r w:rsidRPr="0041025E">
        <w:rPr>
          <w:b/>
          <w:bCs/>
          <w:u w:val="single"/>
        </w:rPr>
        <w:t>Section 5.1: Eligible Grant Activities</w:t>
      </w:r>
      <w:r w:rsidRPr="0041025E">
        <w:rPr>
          <w:b/>
          <w:bCs/>
          <w:u w:val="single"/>
          <w:lang w:val="en-US"/>
        </w:rPr>
        <w:t xml:space="preserve"> and 5.3 Eligible Expenditure</w:t>
      </w:r>
      <w:r w:rsidRPr="0041025E">
        <w:t>   </w:t>
      </w:r>
    </w:p>
    <w:p w14:paraId="58E726E7" w14:textId="77777777" w:rsidR="00005014" w:rsidRPr="0041025E" w:rsidRDefault="00005014" w:rsidP="00005014">
      <w:pPr>
        <w:pStyle w:val="BodyText"/>
        <w:numPr>
          <w:ilvl w:val="0"/>
          <w:numId w:val="15"/>
        </w:numPr>
        <w:spacing w:line="240" w:lineRule="auto"/>
      </w:pPr>
      <w:r w:rsidRPr="0041025E">
        <w:rPr>
          <w:lang w:val="en-US"/>
        </w:rPr>
        <w:t>Are the expenditure guidelines clear and practical for grant recipients for remote Australia? </w:t>
      </w:r>
      <w:r w:rsidRPr="0041025E">
        <w:t>   </w:t>
      </w:r>
    </w:p>
    <w:p w14:paraId="36CC43F6" w14:textId="77777777" w:rsidR="00005014" w:rsidRPr="0041025E" w:rsidRDefault="00005014" w:rsidP="00005014">
      <w:pPr>
        <w:pStyle w:val="BodyText"/>
        <w:numPr>
          <w:ilvl w:val="0"/>
          <w:numId w:val="16"/>
        </w:numPr>
        <w:spacing w:line="240" w:lineRule="auto"/>
      </w:pPr>
      <w:r w:rsidRPr="0041025E">
        <w:rPr>
          <w:lang w:val="en-US"/>
        </w:rPr>
        <w:t>Do the examples of eligible expenditure in section 5.3 (Eligible Expenditure) cover the key components of high-quality case management and employment outcomes? </w:t>
      </w:r>
      <w:r w:rsidRPr="0041025E">
        <w:t>   </w:t>
      </w:r>
    </w:p>
    <w:p w14:paraId="5557F840" w14:textId="77777777" w:rsidR="00005014" w:rsidRPr="0041025E" w:rsidRDefault="00005014" w:rsidP="00005014">
      <w:pPr>
        <w:pStyle w:val="BodyText"/>
        <w:numPr>
          <w:ilvl w:val="0"/>
          <w:numId w:val="17"/>
        </w:numPr>
        <w:spacing w:line="240" w:lineRule="auto"/>
      </w:pPr>
      <w:r w:rsidRPr="0041025E">
        <w:rPr>
          <w:lang w:val="en-US"/>
        </w:rPr>
        <w:t>Is the explanation of Participation Options adequate and relevant to improving engagement of participants and pre-employment support for participants? </w:t>
      </w:r>
      <w:r w:rsidRPr="0041025E">
        <w:t>   </w:t>
      </w:r>
    </w:p>
    <w:p w14:paraId="2ADB9ED2" w14:textId="77777777" w:rsidR="00005014" w:rsidRPr="0041025E" w:rsidRDefault="00005014" w:rsidP="00005014">
      <w:pPr>
        <w:pStyle w:val="BodyText"/>
        <w:numPr>
          <w:ilvl w:val="0"/>
          <w:numId w:val="18"/>
        </w:numPr>
        <w:spacing w:line="240" w:lineRule="auto"/>
      </w:pPr>
      <w:r w:rsidRPr="0041025E">
        <w:rPr>
          <w:lang w:val="en-US"/>
        </w:rPr>
        <w:t>Community Projects have been an integral part of previous programs, how can the process detailed in section 5.1 (Eligible Grant Activities) be improved? </w:t>
      </w:r>
      <w:r w:rsidRPr="0041025E">
        <w:t>   </w:t>
      </w:r>
    </w:p>
    <w:p w14:paraId="4668A386" w14:textId="77777777" w:rsidR="00005014" w:rsidRPr="0041025E" w:rsidRDefault="00005014" w:rsidP="00005014">
      <w:pPr>
        <w:pStyle w:val="BodyText"/>
        <w:spacing w:line="240" w:lineRule="auto"/>
      </w:pPr>
      <w:r w:rsidRPr="0041025E">
        <w:rPr>
          <w:b/>
          <w:bCs/>
          <w:u w:val="single"/>
        </w:rPr>
        <w:t>Section 6: Assessment criteria and Supporting Documentation</w:t>
      </w:r>
      <w:r w:rsidRPr="0041025E">
        <w:t> </w:t>
      </w:r>
    </w:p>
    <w:p w14:paraId="37561F3A" w14:textId="77777777" w:rsidR="00005014" w:rsidRPr="0041025E" w:rsidRDefault="00005014" w:rsidP="00005014">
      <w:pPr>
        <w:pStyle w:val="BodyText"/>
        <w:numPr>
          <w:ilvl w:val="0"/>
          <w:numId w:val="19"/>
        </w:numPr>
        <w:spacing w:line="240" w:lineRule="auto"/>
      </w:pPr>
      <w:proofErr w:type="gramStart"/>
      <w:r w:rsidRPr="0041025E">
        <w:rPr>
          <w:lang w:val="en-US"/>
        </w:rPr>
        <w:t>Does</w:t>
      </w:r>
      <w:proofErr w:type="gramEnd"/>
      <w:r w:rsidRPr="0041025E">
        <w:rPr>
          <w:lang w:val="en-US"/>
        </w:rPr>
        <w:t xml:space="preserve"> the assessment criteria enable the NIAA to appropriately assess an </w:t>
      </w:r>
      <w:proofErr w:type="spellStart"/>
      <w:r w:rsidRPr="0041025E">
        <w:rPr>
          <w:lang w:val="en-US"/>
        </w:rPr>
        <w:t>organisation’s</w:t>
      </w:r>
      <w:proofErr w:type="spellEnd"/>
      <w:r w:rsidRPr="0041025E">
        <w:rPr>
          <w:lang w:val="en-US"/>
        </w:rPr>
        <w:t xml:space="preserve"> ability to deliver employment services to meet the local needs of remote communities?</w:t>
      </w:r>
      <w:r w:rsidRPr="0041025E">
        <w:t>   </w:t>
      </w:r>
    </w:p>
    <w:p w14:paraId="7DF8BBD9" w14:textId="77777777" w:rsidR="00005014" w:rsidRPr="0041025E" w:rsidRDefault="00005014" w:rsidP="00005014">
      <w:pPr>
        <w:pStyle w:val="BodyText"/>
        <w:numPr>
          <w:ilvl w:val="0"/>
          <w:numId w:val="20"/>
        </w:numPr>
        <w:spacing w:line="240" w:lineRule="auto"/>
      </w:pPr>
      <w:r w:rsidRPr="0041025E">
        <w:rPr>
          <w:lang w:val="en-US"/>
        </w:rPr>
        <w:t>Is there any other supporting documentation that could be requested as part of an application to assist with the assessment of applications?</w:t>
      </w:r>
      <w:r w:rsidRPr="0041025E">
        <w:t>   </w:t>
      </w:r>
    </w:p>
    <w:p w14:paraId="4A4B747C" w14:textId="77777777" w:rsidR="00005014" w:rsidRPr="0041025E" w:rsidRDefault="00005014" w:rsidP="00005014">
      <w:pPr>
        <w:pStyle w:val="BodyText"/>
        <w:spacing w:line="240" w:lineRule="auto"/>
      </w:pPr>
      <w:r w:rsidRPr="0041025E">
        <w:rPr>
          <w:b/>
          <w:bCs/>
          <w:u w:val="single"/>
        </w:rPr>
        <w:t>Section 12: How we monitor your grant activity High-Level Performance Framework </w:t>
      </w:r>
      <w:r w:rsidRPr="0041025E">
        <w:t> </w:t>
      </w:r>
    </w:p>
    <w:p w14:paraId="4BC08E3D" w14:textId="77777777" w:rsidR="00005014" w:rsidRPr="0041025E" w:rsidRDefault="00005014" w:rsidP="00005014">
      <w:pPr>
        <w:pStyle w:val="BodyText"/>
        <w:numPr>
          <w:ilvl w:val="0"/>
          <w:numId w:val="21"/>
        </w:numPr>
        <w:spacing w:line="240" w:lineRule="auto"/>
      </w:pPr>
      <w:r w:rsidRPr="0041025E">
        <w:t>Is the performance framework in section 12 of the draft GOGs clear?  </w:t>
      </w:r>
    </w:p>
    <w:p w14:paraId="351DA828" w14:textId="77777777" w:rsidR="00005014" w:rsidRPr="0041025E" w:rsidRDefault="00005014" w:rsidP="00005014">
      <w:pPr>
        <w:pStyle w:val="BodyText"/>
        <w:numPr>
          <w:ilvl w:val="0"/>
          <w:numId w:val="22"/>
        </w:numPr>
        <w:spacing w:line="240" w:lineRule="auto"/>
      </w:pPr>
      <w:r w:rsidRPr="0041025E">
        <w:t>How frequently should the NIAA provide advice on the performance of providers?</w:t>
      </w:r>
      <w:r w:rsidRPr="0041025E">
        <w:rPr>
          <w:lang w:val="en-US"/>
        </w:rPr>
        <w:t> </w:t>
      </w:r>
      <w:r w:rsidRPr="0041025E">
        <w:t>    </w:t>
      </w:r>
    </w:p>
    <w:p w14:paraId="4DC8D2E2" w14:textId="77777777" w:rsidR="00005014" w:rsidRPr="0041025E" w:rsidRDefault="00005014" w:rsidP="00005014">
      <w:pPr>
        <w:pStyle w:val="BodyText"/>
        <w:spacing w:line="240" w:lineRule="auto"/>
      </w:pPr>
      <w:r w:rsidRPr="0041025E">
        <w:rPr>
          <w:b/>
          <w:bCs/>
          <w:u w:val="single"/>
        </w:rPr>
        <w:t>Other</w:t>
      </w:r>
      <w:r w:rsidRPr="0041025E">
        <w:t> </w:t>
      </w:r>
    </w:p>
    <w:p w14:paraId="2C4F0577" w14:textId="77777777" w:rsidR="00005014" w:rsidRPr="0041025E" w:rsidRDefault="00005014" w:rsidP="00005014">
      <w:pPr>
        <w:pStyle w:val="BodyText"/>
        <w:numPr>
          <w:ilvl w:val="0"/>
          <w:numId w:val="26"/>
        </w:numPr>
        <w:spacing w:line="240" w:lineRule="auto"/>
      </w:pPr>
      <w:r w:rsidRPr="0041025E">
        <w:t>Is there any other feedback you would like to provide? </w:t>
      </w:r>
    </w:p>
    <w:p w14:paraId="6E916624" w14:textId="77777777" w:rsidR="00005014" w:rsidRPr="0041025E" w:rsidRDefault="00005014" w:rsidP="00005014">
      <w:pPr>
        <w:pStyle w:val="BodyText"/>
        <w:spacing w:line="240" w:lineRule="auto"/>
      </w:pPr>
      <w:r w:rsidRPr="0041025E">
        <w:rPr>
          <w:b/>
          <w:bCs/>
          <w:u w:val="single"/>
        </w:rPr>
        <w:t>Any other comments</w:t>
      </w:r>
      <w:r w:rsidRPr="0041025E">
        <w:t> </w:t>
      </w:r>
    </w:p>
    <w:p w14:paraId="5B0870F5" w14:textId="77777777" w:rsidR="00005014" w:rsidRPr="0041025E" w:rsidRDefault="00005014" w:rsidP="00005014">
      <w:pPr>
        <w:pStyle w:val="BodyText"/>
        <w:numPr>
          <w:ilvl w:val="0"/>
          <w:numId w:val="23"/>
        </w:numPr>
        <w:spacing w:line="240" w:lineRule="auto"/>
      </w:pPr>
      <w:r w:rsidRPr="003E55CF">
        <w:t>Are there any other aspects of the draft guidelines that you would like to provide feedback on?</w:t>
      </w:r>
      <w:r w:rsidRPr="0041025E">
        <w:t> </w:t>
      </w:r>
    </w:p>
    <w:p w14:paraId="6DE246D6" w14:textId="77777777" w:rsidR="00005014" w:rsidRPr="00732F56" w:rsidRDefault="00005014" w:rsidP="00005014">
      <w:pPr>
        <w:pStyle w:val="BodyText"/>
      </w:pPr>
      <w:r w:rsidRPr="00034287">
        <w:rPr>
          <w:b/>
          <w:bCs/>
        </w:rPr>
        <w:t>Please note</w:t>
      </w:r>
      <w:r w:rsidRPr="00034287">
        <w:t xml:space="preserve">: </w:t>
      </w:r>
      <w:r>
        <w:t>Feedback</w:t>
      </w:r>
      <w:r w:rsidRPr="00034287">
        <w:t xml:space="preserve"> on ICT was out of scope as the RAES will initially use the existing IT system and ICT functionality to support transition from the CDP. Feedback on boundaries </w:t>
      </w:r>
      <w:r>
        <w:t>was</w:t>
      </w:r>
      <w:r w:rsidRPr="00034287">
        <w:t xml:space="preserve"> also out of scope at this stage.</w:t>
      </w:r>
    </w:p>
    <w:p w14:paraId="43131617" w14:textId="77777777" w:rsidR="00CF5A4B" w:rsidRDefault="00CF5A4B" w:rsidP="00CF5A4B">
      <w:pPr>
        <w:pStyle w:val="BodyText"/>
      </w:pPr>
    </w:p>
    <w:sectPr w:rsidR="00CF5A4B" w:rsidSect="00513E23">
      <w:headerReference w:type="even" r:id="rId18"/>
      <w:headerReference w:type="default" r:id="rId19"/>
      <w:footerReference w:type="even" r:id="rId20"/>
      <w:footerReference w:type="default" r:id="rId21"/>
      <w:headerReference w:type="first" r:id="rId22"/>
      <w:footerReference w:type="first" r:id="rId23"/>
      <w:pgSz w:w="11906" w:h="16838" w:code="9"/>
      <w:pgMar w:top="1276" w:right="851" w:bottom="1418"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6071" w14:textId="77777777" w:rsidR="00B1695C" w:rsidRDefault="00B1695C" w:rsidP="00B95533">
      <w:pPr>
        <w:spacing w:after="0" w:line="240" w:lineRule="auto"/>
      </w:pPr>
      <w:r>
        <w:separator/>
      </w:r>
    </w:p>
  </w:endnote>
  <w:endnote w:type="continuationSeparator" w:id="0">
    <w:p w14:paraId="4C10BFFE" w14:textId="77777777" w:rsidR="00B1695C" w:rsidRDefault="00B1695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333C" w14:textId="7C98D7C2" w:rsidR="00C61325" w:rsidRDefault="00C61325">
    <w:pPr>
      <w:pStyle w:val="Footer"/>
    </w:pPr>
    <w:r>
      <w:rPr>
        <w:noProof/>
      </w:rPr>
      <mc:AlternateContent>
        <mc:Choice Requires="wps">
          <w:drawing>
            <wp:anchor distT="0" distB="0" distL="0" distR="0" simplePos="0" relativeHeight="251763712" behindDoc="0" locked="0" layoutInCell="1" allowOverlap="1" wp14:anchorId="0E9A2FC8" wp14:editId="24119A44">
              <wp:simplePos x="635" y="635"/>
              <wp:positionH relativeFrom="page">
                <wp:align>center</wp:align>
              </wp:positionH>
              <wp:positionV relativeFrom="page">
                <wp:align>bottom</wp:align>
              </wp:positionV>
              <wp:extent cx="686435" cy="383540"/>
              <wp:effectExtent l="0" t="0" r="18415" b="0"/>
              <wp:wrapNone/>
              <wp:docPr id="33744781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BE93F91" w14:textId="2E387A4A" w:rsidR="00C61325" w:rsidRPr="00C61325" w:rsidRDefault="00C61325" w:rsidP="00C61325">
                          <w:pPr>
                            <w:spacing w:after="0"/>
                            <w:rPr>
                              <w:rFonts w:ascii="Arial" w:eastAsia="Arial" w:hAnsi="Arial" w:cs="Arial"/>
                              <w:noProof/>
                              <w:color w:val="FF0000"/>
                              <w:sz w:val="24"/>
                              <w:szCs w:val="24"/>
                            </w:rPr>
                          </w:pPr>
                          <w:r w:rsidRPr="00C61325">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A2FC8"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763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2BE93F91" w14:textId="2E387A4A" w:rsidR="00C61325" w:rsidRPr="00C61325" w:rsidRDefault="00C61325" w:rsidP="00C61325">
                    <w:pPr>
                      <w:spacing w:after="0"/>
                      <w:rPr>
                        <w:rFonts w:ascii="Arial" w:eastAsia="Arial" w:hAnsi="Arial" w:cs="Arial"/>
                        <w:noProof/>
                        <w:color w:val="FF0000"/>
                        <w:sz w:val="24"/>
                        <w:szCs w:val="24"/>
                      </w:rPr>
                    </w:pPr>
                    <w:r w:rsidRPr="00C61325">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C70B" w14:textId="1B61FAB0" w:rsidR="009672EB" w:rsidRPr="0040648D" w:rsidRDefault="00B40263"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Remote Australia Employment Service draft Grant Opportunity Guidelines consultation</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7</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D7F0" w14:textId="09117BA3" w:rsidR="009672EB" w:rsidRPr="0040648D" w:rsidRDefault="00AB0CF1" w:rsidP="00153AF7">
    <w:pPr>
      <w:pStyle w:val="Footer"/>
      <w:pBdr>
        <w:top w:val="single" w:sz="24" w:space="7" w:color="2A4055" w:themeColor="accent1"/>
      </w:pBdr>
      <w:tabs>
        <w:tab w:val="clear" w:pos="4513"/>
        <w:tab w:val="clear" w:pos="9026"/>
        <w:tab w:val="left" w:pos="10065"/>
      </w:tabs>
      <w:rPr>
        <w:color w:val="2A4055" w:themeColor="accent1"/>
      </w:rPr>
    </w:pPr>
    <w:r>
      <w:rPr>
        <w:color w:val="2A4055" w:themeColor="accent1"/>
      </w:rPr>
      <w:t>Remote Australia Employment Service Draft Grant Opportunity Guidelines consultation report</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1</w:t>
    </w:r>
    <w:r w:rsidR="00153AF7" w:rsidRPr="00153AF7">
      <w:rPr>
        <w:noProof/>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B99A" w14:textId="77777777" w:rsidR="00B1695C" w:rsidRPr="007A6FC6" w:rsidRDefault="00B1695C" w:rsidP="00B95533">
      <w:pPr>
        <w:spacing w:after="0" w:line="240" w:lineRule="auto"/>
        <w:rPr>
          <w:color w:val="00948D" w:themeColor="accent2"/>
        </w:rPr>
      </w:pPr>
      <w:r w:rsidRPr="007A6FC6">
        <w:rPr>
          <w:color w:val="00948D" w:themeColor="accent2"/>
        </w:rPr>
        <w:separator/>
      </w:r>
    </w:p>
  </w:footnote>
  <w:footnote w:type="continuationSeparator" w:id="0">
    <w:p w14:paraId="3CAA9435" w14:textId="77777777" w:rsidR="00B1695C" w:rsidRPr="007A6FC6" w:rsidRDefault="00B1695C"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3B9E" w14:textId="62D4CB96" w:rsidR="00C61325" w:rsidRDefault="00C61325">
    <w:pPr>
      <w:pStyle w:val="Header"/>
    </w:pPr>
    <w:r>
      <w:rPr>
        <w:noProof/>
      </w:rPr>
      <mc:AlternateContent>
        <mc:Choice Requires="wps">
          <w:drawing>
            <wp:anchor distT="0" distB="0" distL="0" distR="0" simplePos="0" relativeHeight="251760640" behindDoc="0" locked="0" layoutInCell="1" allowOverlap="1" wp14:anchorId="18932E62" wp14:editId="17C90B53">
              <wp:simplePos x="635" y="635"/>
              <wp:positionH relativeFrom="page">
                <wp:align>center</wp:align>
              </wp:positionH>
              <wp:positionV relativeFrom="page">
                <wp:align>top</wp:align>
              </wp:positionV>
              <wp:extent cx="686435" cy="383540"/>
              <wp:effectExtent l="0" t="0" r="18415" b="16510"/>
              <wp:wrapNone/>
              <wp:docPr id="12966907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9D31D75" w14:textId="431DFE4D" w:rsidR="00C61325" w:rsidRPr="00C61325" w:rsidRDefault="00C61325" w:rsidP="00C61325">
                          <w:pPr>
                            <w:spacing w:after="0"/>
                            <w:rPr>
                              <w:rFonts w:ascii="Arial" w:eastAsia="Arial" w:hAnsi="Arial" w:cs="Arial"/>
                              <w:noProof/>
                              <w:color w:val="FF0000"/>
                              <w:sz w:val="24"/>
                              <w:szCs w:val="24"/>
                            </w:rPr>
                          </w:pPr>
                          <w:r w:rsidRPr="00C61325">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32E62"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60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49D31D75" w14:textId="431DFE4D" w:rsidR="00C61325" w:rsidRPr="00C61325" w:rsidRDefault="00C61325" w:rsidP="00C61325">
                    <w:pPr>
                      <w:spacing w:after="0"/>
                      <w:rPr>
                        <w:rFonts w:ascii="Arial" w:eastAsia="Arial" w:hAnsi="Arial" w:cs="Arial"/>
                        <w:noProof/>
                        <w:color w:val="FF0000"/>
                        <w:sz w:val="24"/>
                        <w:szCs w:val="24"/>
                      </w:rPr>
                    </w:pPr>
                    <w:r w:rsidRPr="00C61325">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0728" w14:textId="7EC0DDC6" w:rsidR="00C61325" w:rsidRDefault="003C2BAE">
    <w:pPr>
      <w:pStyle w:val="Header"/>
    </w:pPr>
    <w:r w:rsidRPr="007C5C8F">
      <w:rPr>
        <w:noProof/>
        <w:color w:val="2A4055" w:themeColor="accent1"/>
        <w:lang w:eastAsia="en-AU"/>
      </w:rPr>
      <w:drawing>
        <wp:anchor distT="0" distB="0" distL="114300" distR="114300" simplePos="0" relativeHeight="251767808" behindDoc="1" locked="0" layoutInCell="1" allowOverlap="1" wp14:anchorId="3E91C0CB" wp14:editId="49CEF36E">
          <wp:simplePos x="0" y="0"/>
          <wp:positionH relativeFrom="page">
            <wp:posOffset>685800</wp:posOffset>
          </wp:positionH>
          <wp:positionV relativeFrom="paragraph">
            <wp:posOffset>-603885</wp:posOffset>
          </wp:positionV>
          <wp:extent cx="7736626" cy="10935297"/>
          <wp:effectExtent l="0" t="0" r="0" b="0"/>
          <wp:wrapNone/>
          <wp:docPr id="1378193171" name="Picture 1378193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93171" name="Picture 137819317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6626" cy="1093529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C8EC" w14:textId="328D5330" w:rsidR="009672EB" w:rsidRDefault="003C2BAE" w:rsidP="002B5D09">
    <w:pPr>
      <w:pStyle w:val="Header"/>
      <w:tabs>
        <w:tab w:val="clear" w:pos="4513"/>
        <w:tab w:val="clear" w:pos="9026"/>
        <w:tab w:val="left" w:pos="4100"/>
      </w:tabs>
    </w:pPr>
    <w:r>
      <w:rPr>
        <w:noProof/>
        <w:lang w:eastAsia="en-AU"/>
      </w:rPr>
      <w:drawing>
        <wp:anchor distT="0" distB="0" distL="114300" distR="114300" simplePos="0" relativeHeight="251768832" behindDoc="1" locked="0" layoutInCell="1" allowOverlap="1" wp14:anchorId="443F10E2" wp14:editId="51506D9C">
          <wp:simplePos x="0" y="0"/>
          <wp:positionH relativeFrom="column">
            <wp:posOffset>-337185</wp:posOffset>
          </wp:positionH>
          <wp:positionV relativeFrom="paragraph">
            <wp:posOffset>-360045</wp:posOffset>
          </wp:positionV>
          <wp:extent cx="7339965" cy="10374384"/>
          <wp:effectExtent l="0" t="0" r="635" b="0"/>
          <wp:wrapNone/>
          <wp:docPr id="2292318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3186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39965" cy="103743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17C"/>
    <w:multiLevelType w:val="multilevel"/>
    <w:tmpl w:val="D9B0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D3D38"/>
    <w:multiLevelType w:val="multilevel"/>
    <w:tmpl w:val="9170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43CB0"/>
    <w:multiLevelType w:val="hybridMultilevel"/>
    <w:tmpl w:val="D4B835B4"/>
    <w:lvl w:ilvl="0" w:tplc="202467BC">
      <w:start w:val="1"/>
      <w:numFmt w:val="decimal"/>
      <w:pStyle w:val="NumberedText-Briefbody"/>
      <w:lvlText w:val="%1."/>
      <w:lvlJc w:val="left"/>
      <w:pPr>
        <w:ind w:left="360" w:hanging="360"/>
      </w:pPr>
    </w:lvl>
    <w:lvl w:ilvl="1" w:tplc="F0EACA8A">
      <w:start w:val="1"/>
      <w:numFmt w:val="lowerLetter"/>
      <w:lvlText w:val="%2."/>
      <w:lvlJc w:val="left"/>
      <w:pPr>
        <w:ind w:left="-2180" w:hanging="360"/>
      </w:pPr>
    </w:lvl>
    <w:lvl w:ilvl="2" w:tplc="9B7C739A">
      <w:start w:val="1"/>
      <w:numFmt w:val="lowerRoman"/>
      <w:lvlText w:val="%3."/>
      <w:lvlJc w:val="right"/>
      <w:pPr>
        <w:ind w:left="-1460" w:hanging="180"/>
      </w:pPr>
    </w:lvl>
    <w:lvl w:ilvl="3" w:tplc="60CC0BBE">
      <w:start w:val="1"/>
      <w:numFmt w:val="bullet"/>
      <w:lvlText w:val=""/>
      <w:lvlJc w:val="left"/>
      <w:pPr>
        <w:ind w:left="-740" w:hanging="360"/>
      </w:pPr>
      <w:rPr>
        <w:rFonts w:ascii="Symbol" w:hAnsi="Symbol" w:hint="default"/>
      </w:rPr>
    </w:lvl>
    <w:lvl w:ilvl="4" w:tplc="E1087F2C" w:tentative="1">
      <w:start w:val="1"/>
      <w:numFmt w:val="lowerLetter"/>
      <w:lvlText w:val="%5."/>
      <w:lvlJc w:val="left"/>
      <w:pPr>
        <w:ind w:left="-20" w:hanging="360"/>
      </w:pPr>
    </w:lvl>
    <w:lvl w:ilvl="5" w:tplc="3F74B03E" w:tentative="1">
      <w:start w:val="1"/>
      <w:numFmt w:val="lowerRoman"/>
      <w:lvlText w:val="%6."/>
      <w:lvlJc w:val="right"/>
      <w:pPr>
        <w:ind w:left="700" w:hanging="180"/>
      </w:pPr>
    </w:lvl>
    <w:lvl w:ilvl="6" w:tplc="E0BE60B4" w:tentative="1">
      <w:start w:val="1"/>
      <w:numFmt w:val="decimal"/>
      <w:lvlText w:val="%7."/>
      <w:lvlJc w:val="left"/>
      <w:pPr>
        <w:ind w:left="1420" w:hanging="360"/>
      </w:pPr>
    </w:lvl>
    <w:lvl w:ilvl="7" w:tplc="70D61ABE" w:tentative="1">
      <w:start w:val="1"/>
      <w:numFmt w:val="lowerLetter"/>
      <w:lvlText w:val="%8."/>
      <w:lvlJc w:val="left"/>
      <w:pPr>
        <w:ind w:left="2140" w:hanging="360"/>
      </w:pPr>
    </w:lvl>
    <w:lvl w:ilvl="8" w:tplc="682CC588" w:tentative="1">
      <w:start w:val="1"/>
      <w:numFmt w:val="lowerRoman"/>
      <w:lvlText w:val="%9."/>
      <w:lvlJc w:val="right"/>
      <w:pPr>
        <w:ind w:left="2860" w:hanging="180"/>
      </w:pPr>
    </w:lvl>
  </w:abstractNum>
  <w:abstractNum w:abstractNumId="3" w15:restartNumberingAfterBreak="0">
    <w:nsid w:val="09A645EA"/>
    <w:multiLevelType w:val="multilevel"/>
    <w:tmpl w:val="DE2E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5" w15:restartNumberingAfterBreak="0">
    <w:nsid w:val="13A80C19"/>
    <w:multiLevelType w:val="hybridMultilevel"/>
    <w:tmpl w:val="D9F6729C"/>
    <w:lvl w:ilvl="0" w:tplc="6ABAD57A">
      <w:start w:val="1"/>
      <w:numFmt w:val="bullet"/>
      <w:lvlText w:val="-"/>
      <w:lvlJc w:val="left"/>
      <w:pPr>
        <w:ind w:left="360" w:hanging="360"/>
      </w:pPr>
      <w:rPr>
        <w:rFonts w:ascii="Aptos" w:hAnsi="Aptos" w:hint="default"/>
      </w:rPr>
    </w:lvl>
    <w:lvl w:ilvl="1" w:tplc="6782822A">
      <w:start w:val="1"/>
      <w:numFmt w:val="bullet"/>
      <w:lvlText w:val="o"/>
      <w:lvlJc w:val="left"/>
      <w:pPr>
        <w:ind w:left="1080" w:hanging="360"/>
      </w:pPr>
      <w:rPr>
        <w:rFonts w:ascii="Courier New" w:hAnsi="Courier New" w:hint="default"/>
      </w:rPr>
    </w:lvl>
    <w:lvl w:ilvl="2" w:tplc="2B549B2E">
      <w:start w:val="1"/>
      <w:numFmt w:val="bullet"/>
      <w:lvlText w:val=""/>
      <w:lvlJc w:val="left"/>
      <w:pPr>
        <w:ind w:left="1800" w:hanging="360"/>
      </w:pPr>
      <w:rPr>
        <w:rFonts w:ascii="Wingdings" w:hAnsi="Wingdings" w:hint="default"/>
      </w:rPr>
    </w:lvl>
    <w:lvl w:ilvl="3" w:tplc="E2DCC702">
      <w:start w:val="1"/>
      <w:numFmt w:val="bullet"/>
      <w:lvlText w:val=""/>
      <w:lvlJc w:val="left"/>
      <w:pPr>
        <w:ind w:left="2520" w:hanging="360"/>
      </w:pPr>
      <w:rPr>
        <w:rFonts w:ascii="Symbol" w:hAnsi="Symbol" w:hint="default"/>
      </w:rPr>
    </w:lvl>
    <w:lvl w:ilvl="4" w:tplc="158AD588">
      <w:start w:val="1"/>
      <w:numFmt w:val="bullet"/>
      <w:lvlText w:val="o"/>
      <w:lvlJc w:val="left"/>
      <w:pPr>
        <w:ind w:left="3240" w:hanging="360"/>
      </w:pPr>
      <w:rPr>
        <w:rFonts w:ascii="Courier New" w:hAnsi="Courier New" w:hint="default"/>
      </w:rPr>
    </w:lvl>
    <w:lvl w:ilvl="5" w:tplc="6390EB94">
      <w:start w:val="1"/>
      <w:numFmt w:val="bullet"/>
      <w:lvlText w:val=""/>
      <w:lvlJc w:val="left"/>
      <w:pPr>
        <w:ind w:left="3960" w:hanging="360"/>
      </w:pPr>
      <w:rPr>
        <w:rFonts w:ascii="Wingdings" w:hAnsi="Wingdings" w:hint="default"/>
      </w:rPr>
    </w:lvl>
    <w:lvl w:ilvl="6" w:tplc="3DAC448C">
      <w:start w:val="1"/>
      <w:numFmt w:val="bullet"/>
      <w:lvlText w:val=""/>
      <w:lvlJc w:val="left"/>
      <w:pPr>
        <w:ind w:left="4680" w:hanging="360"/>
      </w:pPr>
      <w:rPr>
        <w:rFonts w:ascii="Symbol" w:hAnsi="Symbol" w:hint="default"/>
      </w:rPr>
    </w:lvl>
    <w:lvl w:ilvl="7" w:tplc="016CDD6C">
      <w:start w:val="1"/>
      <w:numFmt w:val="bullet"/>
      <w:lvlText w:val="o"/>
      <w:lvlJc w:val="left"/>
      <w:pPr>
        <w:ind w:left="5400" w:hanging="360"/>
      </w:pPr>
      <w:rPr>
        <w:rFonts w:ascii="Courier New" w:hAnsi="Courier New" w:hint="default"/>
      </w:rPr>
    </w:lvl>
    <w:lvl w:ilvl="8" w:tplc="142E88B2">
      <w:start w:val="1"/>
      <w:numFmt w:val="bullet"/>
      <w:lvlText w:val=""/>
      <w:lvlJc w:val="left"/>
      <w:pPr>
        <w:ind w:left="6120" w:hanging="360"/>
      </w:pPr>
      <w:rPr>
        <w:rFonts w:ascii="Wingdings" w:hAnsi="Wingdings" w:hint="default"/>
      </w:rPr>
    </w:lvl>
  </w:abstractNum>
  <w:abstractNum w:abstractNumId="6" w15:restartNumberingAfterBreak="0">
    <w:nsid w:val="1A7BD95F"/>
    <w:multiLevelType w:val="hybridMultilevel"/>
    <w:tmpl w:val="14681F62"/>
    <w:lvl w:ilvl="0" w:tplc="72C0A4F0">
      <w:start w:val="1"/>
      <w:numFmt w:val="bullet"/>
      <w:lvlText w:val="-"/>
      <w:lvlJc w:val="left"/>
      <w:pPr>
        <w:ind w:left="360" w:hanging="360"/>
      </w:pPr>
      <w:rPr>
        <w:rFonts w:ascii="Aptos" w:hAnsi="Aptos" w:hint="default"/>
      </w:rPr>
    </w:lvl>
    <w:lvl w:ilvl="1" w:tplc="1488F4AC">
      <w:start w:val="1"/>
      <w:numFmt w:val="bullet"/>
      <w:lvlText w:val="o"/>
      <w:lvlJc w:val="left"/>
      <w:pPr>
        <w:ind w:left="1080" w:hanging="360"/>
      </w:pPr>
      <w:rPr>
        <w:rFonts w:ascii="Courier New" w:hAnsi="Courier New" w:hint="default"/>
      </w:rPr>
    </w:lvl>
    <w:lvl w:ilvl="2" w:tplc="FBFE0544">
      <w:start w:val="1"/>
      <w:numFmt w:val="bullet"/>
      <w:lvlText w:val=""/>
      <w:lvlJc w:val="left"/>
      <w:pPr>
        <w:ind w:left="1800" w:hanging="360"/>
      </w:pPr>
      <w:rPr>
        <w:rFonts w:ascii="Wingdings" w:hAnsi="Wingdings" w:hint="default"/>
      </w:rPr>
    </w:lvl>
    <w:lvl w:ilvl="3" w:tplc="6646F628">
      <w:start w:val="1"/>
      <w:numFmt w:val="bullet"/>
      <w:lvlText w:val=""/>
      <w:lvlJc w:val="left"/>
      <w:pPr>
        <w:ind w:left="2520" w:hanging="360"/>
      </w:pPr>
      <w:rPr>
        <w:rFonts w:ascii="Symbol" w:hAnsi="Symbol" w:hint="default"/>
      </w:rPr>
    </w:lvl>
    <w:lvl w:ilvl="4" w:tplc="EF5E6724">
      <w:start w:val="1"/>
      <w:numFmt w:val="bullet"/>
      <w:lvlText w:val="o"/>
      <w:lvlJc w:val="left"/>
      <w:pPr>
        <w:ind w:left="3240" w:hanging="360"/>
      </w:pPr>
      <w:rPr>
        <w:rFonts w:ascii="Courier New" w:hAnsi="Courier New" w:hint="default"/>
      </w:rPr>
    </w:lvl>
    <w:lvl w:ilvl="5" w:tplc="440625AA">
      <w:start w:val="1"/>
      <w:numFmt w:val="bullet"/>
      <w:lvlText w:val=""/>
      <w:lvlJc w:val="left"/>
      <w:pPr>
        <w:ind w:left="3960" w:hanging="360"/>
      </w:pPr>
      <w:rPr>
        <w:rFonts w:ascii="Wingdings" w:hAnsi="Wingdings" w:hint="default"/>
      </w:rPr>
    </w:lvl>
    <w:lvl w:ilvl="6" w:tplc="5792E07E">
      <w:start w:val="1"/>
      <w:numFmt w:val="bullet"/>
      <w:lvlText w:val=""/>
      <w:lvlJc w:val="left"/>
      <w:pPr>
        <w:ind w:left="4680" w:hanging="360"/>
      </w:pPr>
      <w:rPr>
        <w:rFonts w:ascii="Symbol" w:hAnsi="Symbol" w:hint="default"/>
      </w:rPr>
    </w:lvl>
    <w:lvl w:ilvl="7" w:tplc="D200FD28">
      <w:start w:val="1"/>
      <w:numFmt w:val="bullet"/>
      <w:lvlText w:val="o"/>
      <w:lvlJc w:val="left"/>
      <w:pPr>
        <w:ind w:left="5400" w:hanging="360"/>
      </w:pPr>
      <w:rPr>
        <w:rFonts w:ascii="Courier New" w:hAnsi="Courier New" w:hint="default"/>
      </w:rPr>
    </w:lvl>
    <w:lvl w:ilvl="8" w:tplc="7B12BE4A">
      <w:start w:val="1"/>
      <w:numFmt w:val="bullet"/>
      <w:lvlText w:val=""/>
      <w:lvlJc w:val="left"/>
      <w:pPr>
        <w:ind w:left="6120" w:hanging="360"/>
      </w:pPr>
      <w:rPr>
        <w:rFonts w:ascii="Wingdings" w:hAnsi="Wingdings" w:hint="default"/>
      </w:rPr>
    </w:lvl>
  </w:abstractNum>
  <w:abstractNum w:abstractNumId="7" w15:restartNumberingAfterBreak="0">
    <w:nsid w:val="1CCB7A35"/>
    <w:multiLevelType w:val="hybridMultilevel"/>
    <w:tmpl w:val="16422BCE"/>
    <w:lvl w:ilvl="0" w:tplc="E9E81CDC">
      <w:start w:val="1"/>
      <w:numFmt w:val="bullet"/>
      <w:lvlText w:val="-"/>
      <w:lvlJc w:val="left"/>
      <w:pPr>
        <w:ind w:left="360" w:hanging="360"/>
      </w:pPr>
      <w:rPr>
        <w:rFonts w:ascii="Aptos" w:hAnsi="Aptos" w:hint="default"/>
      </w:rPr>
    </w:lvl>
    <w:lvl w:ilvl="1" w:tplc="62CE14FA">
      <w:start w:val="1"/>
      <w:numFmt w:val="bullet"/>
      <w:lvlText w:val="o"/>
      <w:lvlJc w:val="left"/>
      <w:pPr>
        <w:ind w:left="1080" w:hanging="360"/>
      </w:pPr>
      <w:rPr>
        <w:rFonts w:ascii="Courier New" w:hAnsi="Courier New" w:hint="default"/>
      </w:rPr>
    </w:lvl>
    <w:lvl w:ilvl="2" w:tplc="07D6F902">
      <w:start w:val="1"/>
      <w:numFmt w:val="bullet"/>
      <w:lvlText w:val=""/>
      <w:lvlJc w:val="left"/>
      <w:pPr>
        <w:ind w:left="1800" w:hanging="360"/>
      </w:pPr>
      <w:rPr>
        <w:rFonts w:ascii="Wingdings" w:hAnsi="Wingdings" w:hint="default"/>
      </w:rPr>
    </w:lvl>
    <w:lvl w:ilvl="3" w:tplc="50D2E4A6">
      <w:start w:val="1"/>
      <w:numFmt w:val="bullet"/>
      <w:lvlText w:val=""/>
      <w:lvlJc w:val="left"/>
      <w:pPr>
        <w:ind w:left="2520" w:hanging="360"/>
      </w:pPr>
      <w:rPr>
        <w:rFonts w:ascii="Symbol" w:hAnsi="Symbol" w:hint="default"/>
      </w:rPr>
    </w:lvl>
    <w:lvl w:ilvl="4" w:tplc="58DC6D4C">
      <w:start w:val="1"/>
      <w:numFmt w:val="bullet"/>
      <w:lvlText w:val="o"/>
      <w:lvlJc w:val="left"/>
      <w:pPr>
        <w:ind w:left="3240" w:hanging="360"/>
      </w:pPr>
      <w:rPr>
        <w:rFonts w:ascii="Courier New" w:hAnsi="Courier New" w:hint="default"/>
      </w:rPr>
    </w:lvl>
    <w:lvl w:ilvl="5" w:tplc="5A167EA4">
      <w:start w:val="1"/>
      <w:numFmt w:val="bullet"/>
      <w:lvlText w:val=""/>
      <w:lvlJc w:val="left"/>
      <w:pPr>
        <w:ind w:left="3960" w:hanging="360"/>
      </w:pPr>
      <w:rPr>
        <w:rFonts w:ascii="Wingdings" w:hAnsi="Wingdings" w:hint="default"/>
      </w:rPr>
    </w:lvl>
    <w:lvl w:ilvl="6" w:tplc="DFCC46F8">
      <w:start w:val="1"/>
      <w:numFmt w:val="bullet"/>
      <w:lvlText w:val=""/>
      <w:lvlJc w:val="left"/>
      <w:pPr>
        <w:ind w:left="4680" w:hanging="360"/>
      </w:pPr>
      <w:rPr>
        <w:rFonts w:ascii="Symbol" w:hAnsi="Symbol" w:hint="default"/>
      </w:rPr>
    </w:lvl>
    <w:lvl w:ilvl="7" w:tplc="FDE6E710">
      <w:start w:val="1"/>
      <w:numFmt w:val="bullet"/>
      <w:lvlText w:val="o"/>
      <w:lvlJc w:val="left"/>
      <w:pPr>
        <w:ind w:left="5400" w:hanging="360"/>
      </w:pPr>
      <w:rPr>
        <w:rFonts w:ascii="Courier New" w:hAnsi="Courier New" w:hint="default"/>
      </w:rPr>
    </w:lvl>
    <w:lvl w:ilvl="8" w:tplc="F0849AEA">
      <w:start w:val="1"/>
      <w:numFmt w:val="bullet"/>
      <w:lvlText w:val=""/>
      <w:lvlJc w:val="left"/>
      <w:pPr>
        <w:ind w:left="6120" w:hanging="360"/>
      </w:pPr>
      <w:rPr>
        <w:rFonts w:ascii="Wingdings" w:hAnsi="Wingdings" w:hint="default"/>
      </w:rPr>
    </w:lvl>
  </w:abstractNum>
  <w:abstractNum w:abstractNumId="8" w15:restartNumberingAfterBreak="0">
    <w:nsid w:val="25E90650"/>
    <w:multiLevelType w:val="multilevel"/>
    <w:tmpl w:val="BDA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AC1AD"/>
    <w:multiLevelType w:val="hybridMultilevel"/>
    <w:tmpl w:val="FC1EC908"/>
    <w:lvl w:ilvl="0" w:tplc="B98246E8">
      <w:start w:val="1"/>
      <w:numFmt w:val="bullet"/>
      <w:lvlText w:val="-"/>
      <w:lvlJc w:val="left"/>
      <w:pPr>
        <w:ind w:left="360" w:hanging="360"/>
      </w:pPr>
      <w:rPr>
        <w:rFonts w:ascii="Aptos" w:hAnsi="Aptos" w:hint="default"/>
      </w:rPr>
    </w:lvl>
    <w:lvl w:ilvl="1" w:tplc="AF12E68A">
      <w:start w:val="1"/>
      <w:numFmt w:val="bullet"/>
      <w:lvlText w:val="o"/>
      <w:lvlJc w:val="left"/>
      <w:pPr>
        <w:ind w:left="1080" w:hanging="360"/>
      </w:pPr>
      <w:rPr>
        <w:rFonts w:ascii="Courier New" w:hAnsi="Courier New" w:hint="default"/>
      </w:rPr>
    </w:lvl>
    <w:lvl w:ilvl="2" w:tplc="F0FE03B8">
      <w:start w:val="1"/>
      <w:numFmt w:val="bullet"/>
      <w:lvlText w:val=""/>
      <w:lvlJc w:val="left"/>
      <w:pPr>
        <w:ind w:left="1800" w:hanging="360"/>
      </w:pPr>
      <w:rPr>
        <w:rFonts w:ascii="Wingdings" w:hAnsi="Wingdings" w:hint="default"/>
      </w:rPr>
    </w:lvl>
    <w:lvl w:ilvl="3" w:tplc="EC2E2D8C">
      <w:start w:val="1"/>
      <w:numFmt w:val="bullet"/>
      <w:lvlText w:val=""/>
      <w:lvlJc w:val="left"/>
      <w:pPr>
        <w:ind w:left="2520" w:hanging="360"/>
      </w:pPr>
      <w:rPr>
        <w:rFonts w:ascii="Symbol" w:hAnsi="Symbol" w:hint="default"/>
      </w:rPr>
    </w:lvl>
    <w:lvl w:ilvl="4" w:tplc="C3BA3B92">
      <w:start w:val="1"/>
      <w:numFmt w:val="bullet"/>
      <w:lvlText w:val="o"/>
      <w:lvlJc w:val="left"/>
      <w:pPr>
        <w:ind w:left="3240" w:hanging="360"/>
      </w:pPr>
      <w:rPr>
        <w:rFonts w:ascii="Courier New" w:hAnsi="Courier New" w:hint="default"/>
      </w:rPr>
    </w:lvl>
    <w:lvl w:ilvl="5" w:tplc="D8E0C98E">
      <w:start w:val="1"/>
      <w:numFmt w:val="bullet"/>
      <w:lvlText w:val=""/>
      <w:lvlJc w:val="left"/>
      <w:pPr>
        <w:ind w:left="3960" w:hanging="360"/>
      </w:pPr>
      <w:rPr>
        <w:rFonts w:ascii="Wingdings" w:hAnsi="Wingdings" w:hint="default"/>
      </w:rPr>
    </w:lvl>
    <w:lvl w:ilvl="6" w:tplc="DFFE8E48">
      <w:start w:val="1"/>
      <w:numFmt w:val="bullet"/>
      <w:lvlText w:val=""/>
      <w:lvlJc w:val="left"/>
      <w:pPr>
        <w:ind w:left="4680" w:hanging="360"/>
      </w:pPr>
      <w:rPr>
        <w:rFonts w:ascii="Symbol" w:hAnsi="Symbol" w:hint="default"/>
      </w:rPr>
    </w:lvl>
    <w:lvl w:ilvl="7" w:tplc="E304CB7E">
      <w:start w:val="1"/>
      <w:numFmt w:val="bullet"/>
      <w:lvlText w:val="o"/>
      <w:lvlJc w:val="left"/>
      <w:pPr>
        <w:ind w:left="5400" w:hanging="360"/>
      </w:pPr>
      <w:rPr>
        <w:rFonts w:ascii="Courier New" w:hAnsi="Courier New" w:hint="default"/>
      </w:rPr>
    </w:lvl>
    <w:lvl w:ilvl="8" w:tplc="5AB2CD48">
      <w:start w:val="1"/>
      <w:numFmt w:val="bullet"/>
      <w:lvlText w:val=""/>
      <w:lvlJc w:val="left"/>
      <w:pPr>
        <w:ind w:left="6120" w:hanging="360"/>
      </w:pPr>
      <w:rPr>
        <w:rFonts w:ascii="Wingdings" w:hAnsi="Wingdings" w:hint="default"/>
      </w:rPr>
    </w:lvl>
  </w:abstractNum>
  <w:abstractNum w:abstractNumId="10" w15:restartNumberingAfterBreak="0">
    <w:nsid w:val="337003E8"/>
    <w:multiLevelType w:val="hybridMultilevel"/>
    <w:tmpl w:val="6B80A4B4"/>
    <w:lvl w:ilvl="0" w:tplc="30E63AE0">
      <w:start w:val="1"/>
      <w:numFmt w:val="bullet"/>
      <w:pStyle w:val="BulletedListlevel3"/>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34D9A7AE"/>
    <w:multiLevelType w:val="hybridMultilevel"/>
    <w:tmpl w:val="07B4095E"/>
    <w:lvl w:ilvl="0" w:tplc="DF5678FA">
      <w:start w:val="1"/>
      <w:numFmt w:val="bullet"/>
      <w:lvlText w:val="-"/>
      <w:lvlJc w:val="left"/>
      <w:pPr>
        <w:ind w:left="360" w:hanging="360"/>
      </w:pPr>
      <w:rPr>
        <w:rFonts w:ascii="Aptos" w:hAnsi="Aptos" w:hint="default"/>
      </w:rPr>
    </w:lvl>
    <w:lvl w:ilvl="1" w:tplc="84A894BA">
      <w:start w:val="1"/>
      <w:numFmt w:val="bullet"/>
      <w:lvlText w:val="o"/>
      <w:lvlJc w:val="left"/>
      <w:pPr>
        <w:ind w:left="1080" w:hanging="360"/>
      </w:pPr>
      <w:rPr>
        <w:rFonts w:ascii="Courier New" w:hAnsi="Courier New" w:hint="default"/>
      </w:rPr>
    </w:lvl>
    <w:lvl w:ilvl="2" w:tplc="179E5924">
      <w:start w:val="1"/>
      <w:numFmt w:val="bullet"/>
      <w:lvlText w:val=""/>
      <w:lvlJc w:val="left"/>
      <w:pPr>
        <w:ind w:left="1800" w:hanging="360"/>
      </w:pPr>
      <w:rPr>
        <w:rFonts w:ascii="Wingdings" w:hAnsi="Wingdings" w:hint="default"/>
      </w:rPr>
    </w:lvl>
    <w:lvl w:ilvl="3" w:tplc="1DF47B04">
      <w:start w:val="1"/>
      <w:numFmt w:val="bullet"/>
      <w:lvlText w:val=""/>
      <w:lvlJc w:val="left"/>
      <w:pPr>
        <w:ind w:left="2520" w:hanging="360"/>
      </w:pPr>
      <w:rPr>
        <w:rFonts w:ascii="Symbol" w:hAnsi="Symbol" w:hint="default"/>
      </w:rPr>
    </w:lvl>
    <w:lvl w:ilvl="4" w:tplc="BA9A4388">
      <w:start w:val="1"/>
      <w:numFmt w:val="bullet"/>
      <w:lvlText w:val="o"/>
      <w:lvlJc w:val="left"/>
      <w:pPr>
        <w:ind w:left="3240" w:hanging="360"/>
      </w:pPr>
      <w:rPr>
        <w:rFonts w:ascii="Courier New" w:hAnsi="Courier New" w:hint="default"/>
      </w:rPr>
    </w:lvl>
    <w:lvl w:ilvl="5" w:tplc="2AB84C1A">
      <w:start w:val="1"/>
      <w:numFmt w:val="bullet"/>
      <w:lvlText w:val=""/>
      <w:lvlJc w:val="left"/>
      <w:pPr>
        <w:ind w:left="3960" w:hanging="360"/>
      </w:pPr>
      <w:rPr>
        <w:rFonts w:ascii="Wingdings" w:hAnsi="Wingdings" w:hint="default"/>
      </w:rPr>
    </w:lvl>
    <w:lvl w:ilvl="6" w:tplc="0FDCD6BC">
      <w:start w:val="1"/>
      <w:numFmt w:val="bullet"/>
      <w:lvlText w:val=""/>
      <w:lvlJc w:val="left"/>
      <w:pPr>
        <w:ind w:left="4680" w:hanging="360"/>
      </w:pPr>
      <w:rPr>
        <w:rFonts w:ascii="Symbol" w:hAnsi="Symbol" w:hint="default"/>
      </w:rPr>
    </w:lvl>
    <w:lvl w:ilvl="7" w:tplc="A6EAE15C">
      <w:start w:val="1"/>
      <w:numFmt w:val="bullet"/>
      <w:lvlText w:val="o"/>
      <w:lvlJc w:val="left"/>
      <w:pPr>
        <w:ind w:left="5400" w:hanging="360"/>
      </w:pPr>
      <w:rPr>
        <w:rFonts w:ascii="Courier New" w:hAnsi="Courier New" w:hint="default"/>
      </w:rPr>
    </w:lvl>
    <w:lvl w:ilvl="8" w:tplc="2C90F698">
      <w:start w:val="1"/>
      <w:numFmt w:val="bullet"/>
      <w:lvlText w:val=""/>
      <w:lvlJc w:val="left"/>
      <w:pPr>
        <w:ind w:left="6120" w:hanging="360"/>
      </w:pPr>
      <w:rPr>
        <w:rFonts w:ascii="Wingdings" w:hAnsi="Wingdings" w:hint="default"/>
      </w:rPr>
    </w:lvl>
  </w:abstractNum>
  <w:abstractNum w:abstractNumId="12"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3B2836FA"/>
    <w:multiLevelType w:val="multilevel"/>
    <w:tmpl w:val="BB24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D6561"/>
    <w:multiLevelType w:val="multilevel"/>
    <w:tmpl w:val="F552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70334F"/>
    <w:multiLevelType w:val="multilevel"/>
    <w:tmpl w:val="59D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252A2"/>
    <w:multiLevelType w:val="multilevel"/>
    <w:tmpl w:val="C78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585895"/>
    <w:multiLevelType w:val="hybridMultilevel"/>
    <w:tmpl w:val="7C008324"/>
    <w:lvl w:ilvl="0" w:tplc="96863798">
      <w:start w:val="1"/>
      <w:numFmt w:val="bullet"/>
      <w:lvlText w:val="-"/>
      <w:lvlJc w:val="left"/>
      <w:pPr>
        <w:ind w:left="360" w:hanging="360"/>
      </w:pPr>
      <w:rPr>
        <w:rFonts w:ascii="Aptos" w:hAnsi="Aptos" w:hint="default"/>
      </w:rPr>
    </w:lvl>
    <w:lvl w:ilvl="1" w:tplc="49BAE874">
      <w:start w:val="1"/>
      <w:numFmt w:val="bullet"/>
      <w:lvlText w:val="o"/>
      <w:lvlJc w:val="left"/>
      <w:pPr>
        <w:ind w:left="1080" w:hanging="360"/>
      </w:pPr>
      <w:rPr>
        <w:rFonts w:ascii="Courier New" w:hAnsi="Courier New" w:hint="default"/>
      </w:rPr>
    </w:lvl>
    <w:lvl w:ilvl="2" w:tplc="491AD9AA">
      <w:start w:val="1"/>
      <w:numFmt w:val="bullet"/>
      <w:lvlText w:val=""/>
      <w:lvlJc w:val="left"/>
      <w:pPr>
        <w:ind w:left="1800" w:hanging="360"/>
      </w:pPr>
      <w:rPr>
        <w:rFonts w:ascii="Wingdings" w:hAnsi="Wingdings" w:hint="default"/>
      </w:rPr>
    </w:lvl>
    <w:lvl w:ilvl="3" w:tplc="DCA64664">
      <w:start w:val="1"/>
      <w:numFmt w:val="bullet"/>
      <w:lvlText w:val=""/>
      <w:lvlJc w:val="left"/>
      <w:pPr>
        <w:ind w:left="2520" w:hanging="360"/>
      </w:pPr>
      <w:rPr>
        <w:rFonts w:ascii="Symbol" w:hAnsi="Symbol" w:hint="default"/>
      </w:rPr>
    </w:lvl>
    <w:lvl w:ilvl="4" w:tplc="D61A3CDA">
      <w:start w:val="1"/>
      <w:numFmt w:val="bullet"/>
      <w:lvlText w:val="o"/>
      <w:lvlJc w:val="left"/>
      <w:pPr>
        <w:ind w:left="3240" w:hanging="360"/>
      </w:pPr>
      <w:rPr>
        <w:rFonts w:ascii="Courier New" w:hAnsi="Courier New" w:hint="default"/>
      </w:rPr>
    </w:lvl>
    <w:lvl w:ilvl="5" w:tplc="E9FAD7EE">
      <w:start w:val="1"/>
      <w:numFmt w:val="bullet"/>
      <w:lvlText w:val=""/>
      <w:lvlJc w:val="left"/>
      <w:pPr>
        <w:ind w:left="3960" w:hanging="360"/>
      </w:pPr>
      <w:rPr>
        <w:rFonts w:ascii="Wingdings" w:hAnsi="Wingdings" w:hint="default"/>
      </w:rPr>
    </w:lvl>
    <w:lvl w:ilvl="6" w:tplc="5EBA62CC">
      <w:start w:val="1"/>
      <w:numFmt w:val="bullet"/>
      <w:lvlText w:val=""/>
      <w:lvlJc w:val="left"/>
      <w:pPr>
        <w:ind w:left="4680" w:hanging="360"/>
      </w:pPr>
      <w:rPr>
        <w:rFonts w:ascii="Symbol" w:hAnsi="Symbol" w:hint="default"/>
      </w:rPr>
    </w:lvl>
    <w:lvl w:ilvl="7" w:tplc="95F2F458">
      <w:start w:val="1"/>
      <w:numFmt w:val="bullet"/>
      <w:lvlText w:val="o"/>
      <w:lvlJc w:val="left"/>
      <w:pPr>
        <w:ind w:left="5400" w:hanging="360"/>
      </w:pPr>
      <w:rPr>
        <w:rFonts w:ascii="Courier New" w:hAnsi="Courier New" w:hint="default"/>
      </w:rPr>
    </w:lvl>
    <w:lvl w:ilvl="8" w:tplc="652821BA">
      <w:start w:val="1"/>
      <w:numFmt w:val="bullet"/>
      <w:lvlText w:val=""/>
      <w:lvlJc w:val="left"/>
      <w:pPr>
        <w:ind w:left="6120" w:hanging="360"/>
      </w:pPr>
      <w:rPr>
        <w:rFonts w:ascii="Wingdings" w:hAnsi="Wingdings" w:hint="default"/>
      </w:rPr>
    </w:lvl>
  </w:abstractNum>
  <w:abstractNum w:abstractNumId="18" w15:restartNumberingAfterBreak="0">
    <w:nsid w:val="4A561357"/>
    <w:multiLevelType w:val="multilevel"/>
    <w:tmpl w:val="27B0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EA74D4"/>
    <w:multiLevelType w:val="hybridMultilevel"/>
    <w:tmpl w:val="066A6EF6"/>
    <w:lvl w:ilvl="0" w:tplc="72A0DBEC">
      <w:start w:val="1"/>
      <w:numFmt w:val="bullet"/>
      <w:pStyle w:val="BulletedListlevel2"/>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20" w15:restartNumberingAfterBreak="0">
    <w:nsid w:val="4F43103F"/>
    <w:multiLevelType w:val="multilevel"/>
    <w:tmpl w:val="DBA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B6DAD"/>
    <w:multiLevelType w:val="multilevel"/>
    <w:tmpl w:val="CF5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E6D6E9"/>
    <w:multiLevelType w:val="hybridMultilevel"/>
    <w:tmpl w:val="9F16A2AA"/>
    <w:lvl w:ilvl="0" w:tplc="DF66C530">
      <w:start w:val="1"/>
      <w:numFmt w:val="bullet"/>
      <w:lvlText w:val="-"/>
      <w:lvlJc w:val="left"/>
      <w:pPr>
        <w:ind w:left="360" w:hanging="360"/>
      </w:pPr>
      <w:rPr>
        <w:rFonts w:ascii="Aptos" w:hAnsi="Aptos" w:hint="default"/>
      </w:rPr>
    </w:lvl>
    <w:lvl w:ilvl="1" w:tplc="7996E2A0">
      <w:start w:val="1"/>
      <w:numFmt w:val="bullet"/>
      <w:lvlText w:val="o"/>
      <w:lvlJc w:val="left"/>
      <w:pPr>
        <w:ind w:left="1080" w:hanging="360"/>
      </w:pPr>
      <w:rPr>
        <w:rFonts w:ascii="Courier New" w:hAnsi="Courier New" w:hint="default"/>
      </w:rPr>
    </w:lvl>
    <w:lvl w:ilvl="2" w:tplc="AA0E8C70">
      <w:start w:val="1"/>
      <w:numFmt w:val="bullet"/>
      <w:lvlText w:val=""/>
      <w:lvlJc w:val="left"/>
      <w:pPr>
        <w:ind w:left="1800" w:hanging="360"/>
      </w:pPr>
      <w:rPr>
        <w:rFonts w:ascii="Wingdings" w:hAnsi="Wingdings" w:hint="default"/>
      </w:rPr>
    </w:lvl>
    <w:lvl w:ilvl="3" w:tplc="50508982">
      <w:start w:val="1"/>
      <w:numFmt w:val="bullet"/>
      <w:lvlText w:val=""/>
      <w:lvlJc w:val="left"/>
      <w:pPr>
        <w:ind w:left="2520" w:hanging="360"/>
      </w:pPr>
      <w:rPr>
        <w:rFonts w:ascii="Symbol" w:hAnsi="Symbol" w:hint="default"/>
      </w:rPr>
    </w:lvl>
    <w:lvl w:ilvl="4" w:tplc="B07643B0">
      <w:start w:val="1"/>
      <w:numFmt w:val="bullet"/>
      <w:lvlText w:val="o"/>
      <w:lvlJc w:val="left"/>
      <w:pPr>
        <w:ind w:left="3240" w:hanging="360"/>
      </w:pPr>
      <w:rPr>
        <w:rFonts w:ascii="Courier New" w:hAnsi="Courier New" w:hint="default"/>
      </w:rPr>
    </w:lvl>
    <w:lvl w:ilvl="5" w:tplc="1C4CEB9C">
      <w:start w:val="1"/>
      <w:numFmt w:val="bullet"/>
      <w:lvlText w:val=""/>
      <w:lvlJc w:val="left"/>
      <w:pPr>
        <w:ind w:left="3960" w:hanging="360"/>
      </w:pPr>
      <w:rPr>
        <w:rFonts w:ascii="Wingdings" w:hAnsi="Wingdings" w:hint="default"/>
      </w:rPr>
    </w:lvl>
    <w:lvl w:ilvl="6" w:tplc="6FB84764">
      <w:start w:val="1"/>
      <w:numFmt w:val="bullet"/>
      <w:lvlText w:val=""/>
      <w:lvlJc w:val="left"/>
      <w:pPr>
        <w:ind w:left="4680" w:hanging="360"/>
      </w:pPr>
      <w:rPr>
        <w:rFonts w:ascii="Symbol" w:hAnsi="Symbol" w:hint="default"/>
      </w:rPr>
    </w:lvl>
    <w:lvl w:ilvl="7" w:tplc="332479FC">
      <w:start w:val="1"/>
      <w:numFmt w:val="bullet"/>
      <w:lvlText w:val="o"/>
      <w:lvlJc w:val="left"/>
      <w:pPr>
        <w:ind w:left="5400" w:hanging="360"/>
      </w:pPr>
      <w:rPr>
        <w:rFonts w:ascii="Courier New" w:hAnsi="Courier New" w:hint="default"/>
      </w:rPr>
    </w:lvl>
    <w:lvl w:ilvl="8" w:tplc="3ECCA27A">
      <w:start w:val="1"/>
      <w:numFmt w:val="bullet"/>
      <w:lvlText w:val=""/>
      <w:lvlJc w:val="left"/>
      <w:pPr>
        <w:ind w:left="6120" w:hanging="360"/>
      </w:pPr>
      <w:rPr>
        <w:rFonts w:ascii="Wingdings" w:hAnsi="Wingdings" w:hint="default"/>
      </w:rPr>
    </w:lvl>
  </w:abstractNum>
  <w:abstractNum w:abstractNumId="23" w15:restartNumberingAfterBreak="0">
    <w:nsid w:val="5798369E"/>
    <w:multiLevelType w:val="hybridMultilevel"/>
    <w:tmpl w:val="1D22FB8E"/>
    <w:lvl w:ilvl="0" w:tplc="00C60B0C">
      <w:start w:val="1"/>
      <w:numFmt w:val="bullet"/>
      <w:lvlText w:val=""/>
      <w:lvlJc w:val="left"/>
      <w:pPr>
        <w:ind w:left="720" w:hanging="360"/>
      </w:pPr>
      <w:rPr>
        <w:rFonts w:ascii="Symbol" w:hAnsi="Symbol" w:hint="default"/>
      </w:rPr>
    </w:lvl>
    <w:lvl w:ilvl="1" w:tplc="12A809F2" w:tentative="1">
      <w:start w:val="1"/>
      <w:numFmt w:val="bullet"/>
      <w:lvlText w:val="o"/>
      <w:lvlJc w:val="left"/>
      <w:pPr>
        <w:ind w:left="1440" w:hanging="360"/>
      </w:pPr>
      <w:rPr>
        <w:rFonts w:ascii="Courier New" w:hAnsi="Courier New" w:hint="default"/>
      </w:rPr>
    </w:lvl>
    <w:lvl w:ilvl="2" w:tplc="009E0A08" w:tentative="1">
      <w:start w:val="1"/>
      <w:numFmt w:val="bullet"/>
      <w:lvlText w:val=""/>
      <w:lvlJc w:val="left"/>
      <w:pPr>
        <w:ind w:left="2160" w:hanging="360"/>
      </w:pPr>
      <w:rPr>
        <w:rFonts w:ascii="Wingdings" w:hAnsi="Wingdings" w:hint="default"/>
      </w:rPr>
    </w:lvl>
    <w:lvl w:ilvl="3" w:tplc="449C85E4" w:tentative="1">
      <w:start w:val="1"/>
      <w:numFmt w:val="bullet"/>
      <w:lvlText w:val=""/>
      <w:lvlJc w:val="left"/>
      <w:pPr>
        <w:ind w:left="2880" w:hanging="360"/>
      </w:pPr>
      <w:rPr>
        <w:rFonts w:ascii="Symbol" w:hAnsi="Symbol" w:hint="default"/>
      </w:rPr>
    </w:lvl>
    <w:lvl w:ilvl="4" w:tplc="FFA60886" w:tentative="1">
      <w:start w:val="1"/>
      <w:numFmt w:val="bullet"/>
      <w:lvlText w:val="o"/>
      <w:lvlJc w:val="left"/>
      <w:pPr>
        <w:ind w:left="3600" w:hanging="360"/>
      </w:pPr>
      <w:rPr>
        <w:rFonts w:ascii="Courier New" w:hAnsi="Courier New" w:hint="default"/>
      </w:rPr>
    </w:lvl>
    <w:lvl w:ilvl="5" w:tplc="800013CE" w:tentative="1">
      <w:start w:val="1"/>
      <w:numFmt w:val="bullet"/>
      <w:lvlText w:val=""/>
      <w:lvlJc w:val="left"/>
      <w:pPr>
        <w:ind w:left="4320" w:hanging="360"/>
      </w:pPr>
      <w:rPr>
        <w:rFonts w:ascii="Wingdings" w:hAnsi="Wingdings" w:hint="default"/>
      </w:rPr>
    </w:lvl>
    <w:lvl w:ilvl="6" w:tplc="36CC7F36" w:tentative="1">
      <w:start w:val="1"/>
      <w:numFmt w:val="bullet"/>
      <w:lvlText w:val=""/>
      <w:lvlJc w:val="left"/>
      <w:pPr>
        <w:ind w:left="5040" w:hanging="360"/>
      </w:pPr>
      <w:rPr>
        <w:rFonts w:ascii="Symbol" w:hAnsi="Symbol" w:hint="default"/>
      </w:rPr>
    </w:lvl>
    <w:lvl w:ilvl="7" w:tplc="C9122C30" w:tentative="1">
      <w:start w:val="1"/>
      <w:numFmt w:val="bullet"/>
      <w:lvlText w:val="o"/>
      <w:lvlJc w:val="left"/>
      <w:pPr>
        <w:ind w:left="5760" w:hanging="360"/>
      </w:pPr>
      <w:rPr>
        <w:rFonts w:ascii="Courier New" w:hAnsi="Courier New" w:hint="default"/>
      </w:rPr>
    </w:lvl>
    <w:lvl w:ilvl="8" w:tplc="84202A60" w:tentative="1">
      <w:start w:val="1"/>
      <w:numFmt w:val="bullet"/>
      <w:lvlText w:val=""/>
      <w:lvlJc w:val="left"/>
      <w:pPr>
        <w:ind w:left="6480" w:hanging="360"/>
      </w:pPr>
      <w:rPr>
        <w:rFonts w:ascii="Wingdings" w:hAnsi="Wingdings" w:hint="default"/>
      </w:rPr>
    </w:lvl>
  </w:abstractNum>
  <w:abstractNum w:abstractNumId="24"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5FEB97D3"/>
    <w:multiLevelType w:val="hybridMultilevel"/>
    <w:tmpl w:val="AC6896CE"/>
    <w:lvl w:ilvl="0" w:tplc="CDCA3A3C">
      <w:start w:val="1"/>
      <w:numFmt w:val="bullet"/>
      <w:lvlText w:val="-"/>
      <w:lvlJc w:val="left"/>
      <w:pPr>
        <w:ind w:left="360" w:hanging="360"/>
      </w:pPr>
      <w:rPr>
        <w:rFonts w:ascii="Aptos" w:hAnsi="Aptos" w:hint="default"/>
      </w:rPr>
    </w:lvl>
    <w:lvl w:ilvl="1" w:tplc="88B86E32">
      <w:start w:val="1"/>
      <w:numFmt w:val="bullet"/>
      <w:lvlText w:val="o"/>
      <w:lvlJc w:val="left"/>
      <w:pPr>
        <w:ind w:left="1080" w:hanging="360"/>
      </w:pPr>
      <w:rPr>
        <w:rFonts w:ascii="Courier New" w:hAnsi="Courier New" w:hint="default"/>
      </w:rPr>
    </w:lvl>
    <w:lvl w:ilvl="2" w:tplc="0DC483B6">
      <w:start w:val="1"/>
      <w:numFmt w:val="bullet"/>
      <w:lvlText w:val=""/>
      <w:lvlJc w:val="left"/>
      <w:pPr>
        <w:ind w:left="1800" w:hanging="360"/>
      </w:pPr>
      <w:rPr>
        <w:rFonts w:ascii="Wingdings" w:hAnsi="Wingdings" w:hint="default"/>
      </w:rPr>
    </w:lvl>
    <w:lvl w:ilvl="3" w:tplc="7D78F644">
      <w:start w:val="1"/>
      <w:numFmt w:val="bullet"/>
      <w:lvlText w:val=""/>
      <w:lvlJc w:val="left"/>
      <w:pPr>
        <w:ind w:left="2520" w:hanging="360"/>
      </w:pPr>
      <w:rPr>
        <w:rFonts w:ascii="Symbol" w:hAnsi="Symbol" w:hint="default"/>
      </w:rPr>
    </w:lvl>
    <w:lvl w:ilvl="4" w:tplc="12CC594A">
      <w:start w:val="1"/>
      <w:numFmt w:val="bullet"/>
      <w:lvlText w:val="o"/>
      <w:lvlJc w:val="left"/>
      <w:pPr>
        <w:ind w:left="3240" w:hanging="360"/>
      </w:pPr>
      <w:rPr>
        <w:rFonts w:ascii="Courier New" w:hAnsi="Courier New" w:hint="default"/>
      </w:rPr>
    </w:lvl>
    <w:lvl w:ilvl="5" w:tplc="CF72D202">
      <w:start w:val="1"/>
      <w:numFmt w:val="bullet"/>
      <w:lvlText w:val=""/>
      <w:lvlJc w:val="left"/>
      <w:pPr>
        <w:ind w:left="3960" w:hanging="360"/>
      </w:pPr>
      <w:rPr>
        <w:rFonts w:ascii="Wingdings" w:hAnsi="Wingdings" w:hint="default"/>
      </w:rPr>
    </w:lvl>
    <w:lvl w:ilvl="6" w:tplc="1CD47B98">
      <w:start w:val="1"/>
      <w:numFmt w:val="bullet"/>
      <w:lvlText w:val=""/>
      <w:lvlJc w:val="left"/>
      <w:pPr>
        <w:ind w:left="4680" w:hanging="360"/>
      </w:pPr>
      <w:rPr>
        <w:rFonts w:ascii="Symbol" w:hAnsi="Symbol" w:hint="default"/>
      </w:rPr>
    </w:lvl>
    <w:lvl w:ilvl="7" w:tplc="04323782">
      <w:start w:val="1"/>
      <w:numFmt w:val="bullet"/>
      <w:lvlText w:val="o"/>
      <w:lvlJc w:val="left"/>
      <w:pPr>
        <w:ind w:left="5400" w:hanging="360"/>
      </w:pPr>
      <w:rPr>
        <w:rFonts w:ascii="Courier New" w:hAnsi="Courier New" w:hint="default"/>
      </w:rPr>
    </w:lvl>
    <w:lvl w:ilvl="8" w:tplc="DE285376">
      <w:start w:val="1"/>
      <w:numFmt w:val="bullet"/>
      <w:lvlText w:val=""/>
      <w:lvlJc w:val="left"/>
      <w:pPr>
        <w:ind w:left="6120" w:hanging="360"/>
      </w:pPr>
      <w:rPr>
        <w:rFonts w:ascii="Wingdings" w:hAnsi="Wingdings" w:hint="default"/>
      </w:rPr>
    </w:lvl>
  </w:abstractNum>
  <w:abstractNum w:abstractNumId="26" w15:restartNumberingAfterBreak="0">
    <w:nsid w:val="608F21F8"/>
    <w:multiLevelType w:val="multilevel"/>
    <w:tmpl w:val="7996FC78"/>
    <w:lvl w:ilvl="0">
      <w:start w:val="1"/>
      <w:numFmt w:val="bullet"/>
      <w:pStyle w:val="BulletedListlevel1"/>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7" w15:restartNumberingAfterBreak="0">
    <w:nsid w:val="6300508D"/>
    <w:multiLevelType w:val="hybridMultilevel"/>
    <w:tmpl w:val="C74E9576"/>
    <w:lvl w:ilvl="0" w:tplc="E034ADC8">
      <w:start w:val="1"/>
      <w:numFmt w:val="decimal"/>
      <w:lvlText w:val="%1."/>
      <w:lvlJc w:val="left"/>
      <w:pPr>
        <w:ind w:left="720" w:hanging="360"/>
      </w:pPr>
    </w:lvl>
    <w:lvl w:ilvl="1" w:tplc="5734C3BA" w:tentative="1">
      <w:start w:val="1"/>
      <w:numFmt w:val="lowerLetter"/>
      <w:lvlText w:val="%2."/>
      <w:lvlJc w:val="left"/>
      <w:pPr>
        <w:ind w:left="1440" w:hanging="360"/>
      </w:pPr>
    </w:lvl>
    <w:lvl w:ilvl="2" w:tplc="3EF49782" w:tentative="1">
      <w:start w:val="1"/>
      <w:numFmt w:val="lowerRoman"/>
      <w:lvlText w:val="%3."/>
      <w:lvlJc w:val="right"/>
      <w:pPr>
        <w:ind w:left="2160" w:hanging="180"/>
      </w:pPr>
    </w:lvl>
    <w:lvl w:ilvl="3" w:tplc="FF4239E8" w:tentative="1">
      <w:start w:val="1"/>
      <w:numFmt w:val="decimal"/>
      <w:lvlText w:val="%4."/>
      <w:lvlJc w:val="left"/>
      <w:pPr>
        <w:ind w:left="2880" w:hanging="360"/>
      </w:pPr>
    </w:lvl>
    <w:lvl w:ilvl="4" w:tplc="0A7EF24E" w:tentative="1">
      <w:start w:val="1"/>
      <w:numFmt w:val="lowerLetter"/>
      <w:lvlText w:val="%5."/>
      <w:lvlJc w:val="left"/>
      <w:pPr>
        <w:ind w:left="3600" w:hanging="360"/>
      </w:pPr>
    </w:lvl>
    <w:lvl w:ilvl="5" w:tplc="5972039A" w:tentative="1">
      <w:start w:val="1"/>
      <w:numFmt w:val="lowerRoman"/>
      <w:lvlText w:val="%6."/>
      <w:lvlJc w:val="right"/>
      <w:pPr>
        <w:ind w:left="4320" w:hanging="180"/>
      </w:pPr>
    </w:lvl>
    <w:lvl w:ilvl="6" w:tplc="7C3815E8" w:tentative="1">
      <w:start w:val="1"/>
      <w:numFmt w:val="decimal"/>
      <w:lvlText w:val="%7."/>
      <w:lvlJc w:val="left"/>
      <w:pPr>
        <w:ind w:left="5040" w:hanging="360"/>
      </w:pPr>
    </w:lvl>
    <w:lvl w:ilvl="7" w:tplc="E5B2741A" w:tentative="1">
      <w:start w:val="1"/>
      <w:numFmt w:val="lowerLetter"/>
      <w:lvlText w:val="%8."/>
      <w:lvlJc w:val="left"/>
      <w:pPr>
        <w:ind w:left="5760" w:hanging="360"/>
      </w:pPr>
    </w:lvl>
    <w:lvl w:ilvl="8" w:tplc="8E6C6BBE" w:tentative="1">
      <w:start w:val="1"/>
      <w:numFmt w:val="lowerRoman"/>
      <w:lvlText w:val="%9."/>
      <w:lvlJc w:val="right"/>
      <w:pPr>
        <w:ind w:left="6480" w:hanging="180"/>
      </w:pPr>
    </w:lvl>
  </w:abstractNum>
  <w:abstractNum w:abstractNumId="28" w15:restartNumberingAfterBreak="0">
    <w:nsid w:val="69151E4F"/>
    <w:multiLevelType w:val="multilevel"/>
    <w:tmpl w:val="F34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75092C"/>
    <w:multiLevelType w:val="multilevel"/>
    <w:tmpl w:val="134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A63DC1"/>
    <w:multiLevelType w:val="multilevel"/>
    <w:tmpl w:val="8C18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972F2B"/>
    <w:multiLevelType w:val="multilevel"/>
    <w:tmpl w:val="6B3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F8B852"/>
    <w:multiLevelType w:val="hybridMultilevel"/>
    <w:tmpl w:val="FED603A0"/>
    <w:lvl w:ilvl="0" w:tplc="5D0CF31C">
      <w:start w:val="1"/>
      <w:numFmt w:val="bullet"/>
      <w:lvlText w:val="-"/>
      <w:lvlJc w:val="left"/>
      <w:pPr>
        <w:ind w:left="360" w:hanging="360"/>
      </w:pPr>
      <w:rPr>
        <w:rFonts w:ascii="Aptos" w:hAnsi="Aptos" w:hint="default"/>
      </w:rPr>
    </w:lvl>
    <w:lvl w:ilvl="1" w:tplc="FD368ECC">
      <w:start w:val="1"/>
      <w:numFmt w:val="bullet"/>
      <w:lvlText w:val="o"/>
      <w:lvlJc w:val="left"/>
      <w:pPr>
        <w:ind w:left="1080" w:hanging="360"/>
      </w:pPr>
      <w:rPr>
        <w:rFonts w:ascii="Courier New" w:hAnsi="Courier New" w:hint="default"/>
      </w:rPr>
    </w:lvl>
    <w:lvl w:ilvl="2" w:tplc="CF86FFA4">
      <w:start w:val="1"/>
      <w:numFmt w:val="bullet"/>
      <w:lvlText w:val=""/>
      <w:lvlJc w:val="left"/>
      <w:pPr>
        <w:ind w:left="1800" w:hanging="360"/>
      </w:pPr>
      <w:rPr>
        <w:rFonts w:ascii="Wingdings" w:hAnsi="Wingdings" w:hint="default"/>
      </w:rPr>
    </w:lvl>
    <w:lvl w:ilvl="3" w:tplc="FB0474D4">
      <w:start w:val="1"/>
      <w:numFmt w:val="bullet"/>
      <w:lvlText w:val=""/>
      <w:lvlJc w:val="left"/>
      <w:pPr>
        <w:ind w:left="2520" w:hanging="360"/>
      </w:pPr>
      <w:rPr>
        <w:rFonts w:ascii="Symbol" w:hAnsi="Symbol" w:hint="default"/>
      </w:rPr>
    </w:lvl>
    <w:lvl w:ilvl="4" w:tplc="5C046D6C">
      <w:start w:val="1"/>
      <w:numFmt w:val="bullet"/>
      <w:lvlText w:val="o"/>
      <w:lvlJc w:val="left"/>
      <w:pPr>
        <w:ind w:left="3240" w:hanging="360"/>
      </w:pPr>
      <w:rPr>
        <w:rFonts w:ascii="Courier New" w:hAnsi="Courier New" w:hint="default"/>
      </w:rPr>
    </w:lvl>
    <w:lvl w:ilvl="5" w:tplc="534C1126">
      <w:start w:val="1"/>
      <w:numFmt w:val="bullet"/>
      <w:lvlText w:val=""/>
      <w:lvlJc w:val="left"/>
      <w:pPr>
        <w:ind w:left="3960" w:hanging="360"/>
      </w:pPr>
      <w:rPr>
        <w:rFonts w:ascii="Wingdings" w:hAnsi="Wingdings" w:hint="default"/>
      </w:rPr>
    </w:lvl>
    <w:lvl w:ilvl="6" w:tplc="1CE85CDA">
      <w:start w:val="1"/>
      <w:numFmt w:val="bullet"/>
      <w:lvlText w:val=""/>
      <w:lvlJc w:val="left"/>
      <w:pPr>
        <w:ind w:left="4680" w:hanging="360"/>
      </w:pPr>
      <w:rPr>
        <w:rFonts w:ascii="Symbol" w:hAnsi="Symbol" w:hint="default"/>
      </w:rPr>
    </w:lvl>
    <w:lvl w:ilvl="7" w:tplc="AAC243CE">
      <w:start w:val="1"/>
      <w:numFmt w:val="bullet"/>
      <w:lvlText w:val="o"/>
      <w:lvlJc w:val="left"/>
      <w:pPr>
        <w:ind w:left="5400" w:hanging="360"/>
      </w:pPr>
      <w:rPr>
        <w:rFonts w:ascii="Courier New" w:hAnsi="Courier New" w:hint="default"/>
      </w:rPr>
    </w:lvl>
    <w:lvl w:ilvl="8" w:tplc="CB54E5DA">
      <w:start w:val="1"/>
      <w:numFmt w:val="bullet"/>
      <w:lvlText w:val=""/>
      <w:lvlJc w:val="left"/>
      <w:pPr>
        <w:ind w:left="6120" w:hanging="360"/>
      </w:pPr>
      <w:rPr>
        <w:rFonts w:ascii="Wingdings" w:hAnsi="Wingdings" w:hint="default"/>
      </w:rPr>
    </w:lvl>
  </w:abstractNum>
  <w:abstractNum w:abstractNumId="33" w15:restartNumberingAfterBreak="0">
    <w:nsid w:val="724DB913"/>
    <w:multiLevelType w:val="hybridMultilevel"/>
    <w:tmpl w:val="FFFFFFFF"/>
    <w:lvl w:ilvl="0" w:tplc="D1B6D036">
      <w:start w:val="1"/>
      <w:numFmt w:val="bullet"/>
      <w:lvlText w:val="-"/>
      <w:lvlJc w:val="left"/>
      <w:pPr>
        <w:ind w:left="360" w:hanging="360"/>
      </w:pPr>
      <w:rPr>
        <w:rFonts w:ascii="Aptos" w:hAnsi="Aptos" w:hint="default"/>
      </w:rPr>
    </w:lvl>
    <w:lvl w:ilvl="1" w:tplc="5A667EC6">
      <w:start w:val="1"/>
      <w:numFmt w:val="bullet"/>
      <w:lvlText w:val="o"/>
      <w:lvlJc w:val="left"/>
      <w:pPr>
        <w:ind w:left="1080" w:hanging="360"/>
      </w:pPr>
      <w:rPr>
        <w:rFonts w:ascii="Courier New" w:hAnsi="Courier New" w:hint="default"/>
      </w:rPr>
    </w:lvl>
    <w:lvl w:ilvl="2" w:tplc="0E424712">
      <w:start w:val="1"/>
      <w:numFmt w:val="bullet"/>
      <w:lvlText w:val=""/>
      <w:lvlJc w:val="left"/>
      <w:pPr>
        <w:ind w:left="1800" w:hanging="360"/>
      </w:pPr>
      <w:rPr>
        <w:rFonts w:ascii="Wingdings" w:hAnsi="Wingdings" w:hint="default"/>
      </w:rPr>
    </w:lvl>
    <w:lvl w:ilvl="3" w:tplc="F2B0D3AE">
      <w:start w:val="1"/>
      <w:numFmt w:val="bullet"/>
      <w:lvlText w:val=""/>
      <w:lvlJc w:val="left"/>
      <w:pPr>
        <w:ind w:left="2520" w:hanging="360"/>
      </w:pPr>
      <w:rPr>
        <w:rFonts w:ascii="Symbol" w:hAnsi="Symbol" w:hint="default"/>
      </w:rPr>
    </w:lvl>
    <w:lvl w:ilvl="4" w:tplc="42B69CDA">
      <w:start w:val="1"/>
      <w:numFmt w:val="bullet"/>
      <w:lvlText w:val="o"/>
      <w:lvlJc w:val="left"/>
      <w:pPr>
        <w:ind w:left="3240" w:hanging="360"/>
      </w:pPr>
      <w:rPr>
        <w:rFonts w:ascii="Courier New" w:hAnsi="Courier New" w:hint="default"/>
      </w:rPr>
    </w:lvl>
    <w:lvl w:ilvl="5" w:tplc="FA50775C">
      <w:start w:val="1"/>
      <w:numFmt w:val="bullet"/>
      <w:lvlText w:val=""/>
      <w:lvlJc w:val="left"/>
      <w:pPr>
        <w:ind w:left="3960" w:hanging="360"/>
      </w:pPr>
      <w:rPr>
        <w:rFonts w:ascii="Wingdings" w:hAnsi="Wingdings" w:hint="default"/>
      </w:rPr>
    </w:lvl>
    <w:lvl w:ilvl="6" w:tplc="87A42B60">
      <w:start w:val="1"/>
      <w:numFmt w:val="bullet"/>
      <w:lvlText w:val=""/>
      <w:lvlJc w:val="left"/>
      <w:pPr>
        <w:ind w:left="4680" w:hanging="360"/>
      </w:pPr>
      <w:rPr>
        <w:rFonts w:ascii="Symbol" w:hAnsi="Symbol" w:hint="default"/>
      </w:rPr>
    </w:lvl>
    <w:lvl w:ilvl="7" w:tplc="53CE9B32">
      <w:start w:val="1"/>
      <w:numFmt w:val="bullet"/>
      <w:lvlText w:val="o"/>
      <w:lvlJc w:val="left"/>
      <w:pPr>
        <w:ind w:left="5400" w:hanging="360"/>
      </w:pPr>
      <w:rPr>
        <w:rFonts w:ascii="Courier New" w:hAnsi="Courier New" w:hint="default"/>
      </w:rPr>
    </w:lvl>
    <w:lvl w:ilvl="8" w:tplc="6136C920">
      <w:start w:val="1"/>
      <w:numFmt w:val="bullet"/>
      <w:lvlText w:val=""/>
      <w:lvlJc w:val="left"/>
      <w:pPr>
        <w:ind w:left="6120" w:hanging="360"/>
      </w:pPr>
      <w:rPr>
        <w:rFonts w:ascii="Wingdings" w:hAnsi="Wingdings" w:hint="default"/>
      </w:rPr>
    </w:lvl>
  </w:abstractNum>
  <w:abstractNum w:abstractNumId="34" w15:restartNumberingAfterBreak="0">
    <w:nsid w:val="72E166AC"/>
    <w:multiLevelType w:val="hybridMultilevel"/>
    <w:tmpl w:val="41EA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6"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7" w15:restartNumberingAfterBreak="0">
    <w:nsid w:val="7DD169E6"/>
    <w:multiLevelType w:val="hybridMultilevel"/>
    <w:tmpl w:val="FFFFFFFF"/>
    <w:lvl w:ilvl="0" w:tplc="5260C36C">
      <w:start w:val="1"/>
      <w:numFmt w:val="bullet"/>
      <w:lvlText w:val="-"/>
      <w:lvlJc w:val="left"/>
      <w:pPr>
        <w:ind w:left="360" w:hanging="360"/>
      </w:pPr>
      <w:rPr>
        <w:rFonts w:ascii="Aptos" w:hAnsi="Aptos" w:hint="default"/>
      </w:rPr>
    </w:lvl>
    <w:lvl w:ilvl="1" w:tplc="996C3C0E">
      <w:start w:val="1"/>
      <w:numFmt w:val="bullet"/>
      <w:lvlText w:val="o"/>
      <w:lvlJc w:val="left"/>
      <w:pPr>
        <w:ind w:left="1080" w:hanging="360"/>
      </w:pPr>
      <w:rPr>
        <w:rFonts w:ascii="Courier New" w:hAnsi="Courier New" w:hint="default"/>
      </w:rPr>
    </w:lvl>
    <w:lvl w:ilvl="2" w:tplc="304E81CA">
      <w:start w:val="1"/>
      <w:numFmt w:val="bullet"/>
      <w:lvlText w:val=""/>
      <w:lvlJc w:val="left"/>
      <w:pPr>
        <w:ind w:left="1800" w:hanging="360"/>
      </w:pPr>
      <w:rPr>
        <w:rFonts w:ascii="Wingdings" w:hAnsi="Wingdings" w:hint="default"/>
      </w:rPr>
    </w:lvl>
    <w:lvl w:ilvl="3" w:tplc="C3AC18E8">
      <w:start w:val="1"/>
      <w:numFmt w:val="bullet"/>
      <w:lvlText w:val=""/>
      <w:lvlJc w:val="left"/>
      <w:pPr>
        <w:ind w:left="2520" w:hanging="360"/>
      </w:pPr>
      <w:rPr>
        <w:rFonts w:ascii="Symbol" w:hAnsi="Symbol" w:hint="default"/>
      </w:rPr>
    </w:lvl>
    <w:lvl w:ilvl="4" w:tplc="C74C4F08">
      <w:start w:val="1"/>
      <w:numFmt w:val="bullet"/>
      <w:lvlText w:val="o"/>
      <w:lvlJc w:val="left"/>
      <w:pPr>
        <w:ind w:left="3240" w:hanging="360"/>
      </w:pPr>
      <w:rPr>
        <w:rFonts w:ascii="Courier New" w:hAnsi="Courier New" w:hint="default"/>
      </w:rPr>
    </w:lvl>
    <w:lvl w:ilvl="5" w:tplc="375E7B30">
      <w:start w:val="1"/>
      <w:numFmt w:val="bullet"/>
      <w:lvlText w:val=""/>
      <w:lvlJc w:val="left"/>
      <w:pPr>
        <w:ind w:left="3960" w:hanging="360"/>
      </w:pPr>
      <w:rPr>
        <w:rFonts w:ascii="Wingdings" w:hAnsi="Wingdings" w:hint="default"/>
      </w:rPr>
    </w:lvl>
    <w:lvl w:ilvl="6" w:tplc="80B2C718">
      <w:start w:val="1"/>
      <w:numFmt w:val="bullet"/>
      <w:lvlText w:val=""/>
      <w:lvlJc w:val="left"/>
      <w:pPr>
        <w:ind w:left="4680" w:hanging="360"/>
      </w:pPr>
      <w:rPr>
        <w:rFonts w:ascii="Symbol" w:hAnsi="Symbol" w:hint="default"/>
      </w:rPr>
    </w:lvl>
    <w:lvl w:ilvl="7" w:tplc="98E620E6">
      <w:start w:val="1"/>
      <w:numFmt w:val="bullet"/>
      <w:lvlText w:val="o"/>
      <w:lvlJc w:val="left"/>
      <w:pPr>
        <w:ind w:left="5400" w:hanging="360"/>
      </w:pPr>
      <w:rPr>
        <w:rFonts w:ascii="Courier New" w:hAnsi="Courier New" w:hint="default"/>
      </w:rPr>
    </w:lvl>
    <w:lvl w:ilvl="8" w:tplc="A336F528">
      <w:start w:val="1"/>
      <w:numFmt w:val="bullet"/>
      <w:lvlText w:val=""/>
      <w:lvlJc w:val="left"/>
      <w:pPr>
        <w:ind w:left="6120" w:hanging="360"/>
      </w:pPr>
      <w:rPr>
        <w:rFonts w:ascii="Wingdings" w:hAnsi="Wingdings" w:hint="default"/>
      </w:rPr>
    </w:lvl>
  </w:abstractNum>
  <w:abstractNum w:abstractNumId="38" w15:restartNumberingAfterBreak="0">
    <w:nsid w:val="7EC06FA4"/>
    <w:multiLevelType w:val="multilevel"/>
    <w:tmpl w:val="8A9E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151370">
    <w:abstractNumId w:val="24"/>
  </w:num>
  <w:num w:numId="2" w16cid:durableId="587035646">
    <w:abstractNumId w:val="12"/>
  </w:num>
  <w:num w:numId="3" w16cid:durableId="6754493">
    <w:abstractNumId w:val="26"/>
  </w:num>
  <w:num w:numId="4" w16cid:durableId="1647928861">
    <w:abstractNumId w:val="4"/>
  </w:num>
  <w:num w:numId="5" w16cid:durableId="2144809400">
    <w:abstractNumId w:val="36"/>
  </w:num>
  <w:num w:numId="6" w16cid:durableId="2095086125">
    <w:abstractNumId w:val="35"/>
  </w:num>
  <w:num w:numId="7" w16cid:durableId="1058283542">
    <w:abstractNumId w:val="10"/>
  </w:num>
  <w:num w:numId="8" w16cid:durableId="828328936">
    <w:abstractNumId w:val="19"/>
  </w:num>
  <w:num w:numId="9" w16cid:durableId="1563056060">
    <w:abstractNumId w:val="33"/>
  </w:num>
  <w:num w:numId="10" w16cid:durableId="390538109">
    <w:abstractNumId w:val="8"/>
  </w:num>
  <w:num w:numId="11" w16cid:durableId="184104650">
    <w:abstractNumId w:val="30"/>
  </w:num>
  <w:num w:numId="12" w16cid:durableId="169688282">
    <w:abstractNumId w:val="18"/>
  </w:num>
  <w:num w:numId="13" w16cid:durableId="2113742492">
    <w:abstractNumId w:val="3"/>
  </w:num>
  <w:num w:numId="14" w16cid:durableId="1461262564">
    <w:abstractNumId w:val="31"/>
  </w:num>
  <w:num w:numId="15" w16cid:durableId="1639145297">
    <w:abstractNumId w:val="0"/>
  </w:num>
  <w:num w:numId="16" w16cid:durableId="1856381759">
    <w:abstractNumId w:val="21"/>
  </w:num>
  <w:num w:numId="17" w16cid:durableId="238248317">
    <w:abstractNumId w:val="16"/>
  </w:num>
  <w:num w:numId="18" w16cid:durableId="1049066009">
    <w:abstractNumId w:val="13"/>
  </w:num>
  <w:num w:numId="19" w16cid:durableId="689910215">
    <w:abstractNumId w:val="14"/>
  </w:num>
  <w:num w:numId="20" w16cid:durableId="1616255599">
    <w:abstractNumId w:val="29"/>
  </w:num>
  <w:num w:numId="21" w16cid:durableId="638801100">
    <w:abstractNumId w:val="1"/>
  </w:num>
  <w:num w:numId="22" w16cid:durableId="289097796">
    <w:abstractNumId w:val="38"/>
  </w:num>
  <w:num w:numId="23" w16cid:durableId="718283808">
    <w:abstractNumId w:val="20"/>
  </w:num>
  <w:num w:numId="24" w16cid:durableId="1434671725">
    <w:abstractNumId w:val="27"/>
  </w:num>
  <w:num w:numId="25" w16cid:durableId="1667055548">
    <w:abstractNumId w:val="2"/>
  </w:num>
  <w:num w:numId="26" w16cid:durableId="1715502854">
    <w:abstractNumId w:val="23"/>
  </w:num>
  <w:num w:numId="27" w16cid:durableId="1482428746">
    <w:abstractNumId w:val="22"/>
  </w:num>
  <w:num w:numId="28" w16cid:durableId="1350108323">
    <w:abstractNumId w:val="11"/>
  </w:num>
  <w:num w:numId="29" w16cid:durableId="587665006">
    <w:abstractNumId w:val="25"/>
  </w:num>
  <w:num w:numId="30" w16cid:durableId="1396398207">
    <w:abstractNumId w:val="7"/>
  </w:num>
  <w:num w:numId="31" w16cid:durableId="2027097907">
    <w:abstractNumId w:val="9"/>
  </w:num>
  <w:num w:numId="32" w16cid:durableId="1465931511">
    <w:abstractNumId w:val="5"/>
  </w:num>
  <w:num w:numId="33" w16cid:durableId="1527644782">
    <w:abstractNumId w:val="6"/>
  </w:num>
  <w:num w:numId="34" w16cid:durableId="1488472410">
    <w:abstractNumId w:val="17"/>
  </w:num>
  <w:num w:numId="35" w16cid:durableId="2101559546">
    <w:abstractNumId w:val="32"/>
  </w:num>
  <w:num w:numId="36" w16cid:durableId="2042390344">
    <w:abstractNumId w:val="37"/>
  </w:num>
  <w:num w:numId="37" w16cid:durableId="175390057">
    <w:abstractNumId w:val="15"/>
  </w:num>
  <w:num w:numId="38" w16cid:durableId="1723207604">
    <w:abstractNumId w:val="28"/>
  </w:num>
  <w:num w:numId="39" w16cid:durableId="1669626747">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25"/>
    <w:rsid w:val="00001A97"/>
    <w:rsid w:val="000021DE"/>
    <w:rsid w:val="00002F73"/>
    <w:rsid w:val="00005014"/>
    <w:rsid w:val="00007EB1"/>
    <w:rsid w:val="00010FC5"/>
    <w:rsid w:val="00014206"/>
    <w:rsid w:val="00020CBB"/>
    <w:rsid w:val="000230F3"/>
    <w:rsid w:val="00023AC4"/>
    <w:rsid w:val="000277A1"/>
    <w:rsid w:val="000304B2"/>
    <w:rsid w:val="00031B5C"/>
    <w:rsid w:val="00034193"/>
    <w:rsid w:val="00034FEC"/>
    <w:rsid w:val="0004082F"/>
    <w:rsid w:val="00042CF8"/>
    <w:rsid w:val="00042E89"/>
    <w:rsid w:val="00044BF9"/>
    <w:rsid w:val="000503A6"/>
    <w:rsid w:val="00053CD9"/>
    <w:rsid w:val="000577B5"/>
    <w:rsid w:val="00057B46"/>
    <w:rsid w:val="00063034"/>
    <w:rsid w:val="00070CE9"/>
    <w:rsid w:val="00071937"/>
    <w:rsid w:val="00073D52"/>
    <w:rsid w:val="00076AD1"/>
    <w:rsid w:val="000803CA"/>
    <w:rsid w:val="000835A1"/>
    <w:rsid w:val="00091BCD"/>
    <w:rsid w:val="0009265A"/>
    <w:rsid w:val="00093EEF"/>
    <w:rsid w:val="00094B02"/>
    <w:rsid w:val="0009590F"/>
    <w:rsid w:val="00095BF3"/>
    <w:rsid w:val="000A041E"/>
    <w:rsid w:val="000A08CA"/>
    <w:rsid w:val="000A0E4C"/>
    <w:rsid w:val="000A20C1"/>
    <w:rsid w:val="000A780E"/>
    <w:rsid w:val="000B5647"/>
    <w:rsid w:val="000C29C5"/>
    <w:rsid w:val="000D106A"/>
    <w:rsid w:val="000D113F"/>
    <w:rsid w:val="000D2E56"/>
    <w:rsid w:val="000D4653"/>
    <w:rsid w:val="000E026C"/>
    <w:rsid w:val="000E351D"/>
    <w:rsid w:val="000E60F7"/>
    <w:rsid w:val="000F1B86"/>
    <w:rsid w:val="000F23B0"/>
    <w:rsid w:val="000F4D62"/>
    <w:rsid w:val="000F5917"/>
    <w:rsid w:val="00100554"/>
    <w:rsid w:val="001007B9"/>
    <w:rsid w:val="0010143D"/>
    <w:rsid w:val="00102E2F"/>
    <w:rsid w:val="00105ECB"/>
    <w:rsid w:val="00110458"/>
    <w:rsid w:val="00111736"/>
    <w:rsid w:val="00116937"/>
    <w:rsid w:val="001214B2"/>
    <w:rsid w:val="001249EF"/>
    <w:rsid w:val="0012709C"/>
    <w:rsid w:val="00131315"/>
    <w:rsid w:val="00132268"/>
    <w:rsid w:val="001336CF"/>
    <w:rsid w:val="001337DB"/>
    <w:rsid w:val="001357A3"/>
    <w:rsid w:val="00137246"/>
    <w:rsid w:val="00143288"/>
    <w:rsid w:val="00145179"/>
    <w:rsid w:val="00153AF7"/>
    <w:rsid w:val="0015537B"/>
    <w:rsid w:val="0016463D"/>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6E60"/>
    <w:rsid w:val="001C2FC8"/>
    <w:rsid w:val="001C63DF"/>
    <w:rsid w:val="001D283B"/>
    <w:rsid w:val="001E3C67"/>
    <w:rsid w:val="001E4245"/>
    <w:rsid w:val="001F0654"/>
    <w:rsid w:val="001F3722"/>
    <w:rsid w:val="001F738E"/>
    <w:rsid w:val="001F7942"/>
    <w:rsid w:val="0020007C"/>
    <w:rsid w:val="00206976"/>
    <w:rsid w:val="0021247A"/>
    <w:rsid w:val="002229A5"/>
    <w:rsid w:val="002317BD"/>
    <w:rsid w:val="00231B22"/>
    <w:rsid w:val="00234705"/>
    <w:rsid w:val="00237365"/>
    <w:rsid w:val="00250BE6"/>
    <w:rsid w:val="00252F38"/>
    <w:rsid w:val="002570B2"/>
    <w:rsid w:val="00260C56"/>
    <w:rsid w:val="00261AE8"/>
    <w:rsid w:val="00264A5E"/>
    <w:rsid w:val="00271572"/>
    <w:rsid w:val="00277016"/>
    <w:rsid w:val="0027769C"/>
    <w:rsid w:val="00281E3E"/>
    <w:rsid w:val="00284131"/>
    <w:rsid w:val="00284710"/>
    <w:rsid w:val="00294D1D"/>
    <w:rsid w:val="002952F9"/>
    <w:rsid w:val="002955DD"/>
    <w:rsid w:val="002A0289"/>
    <w:rsid w:val="002A1B9F"/>
    <w:rsid w:val="002A371E"/>
    <w:rsid w:val="002B4B0A"/>
    <w:rsid w:val="002B5D09"/>
    <w:rsid w:val="002C0866"/>
    <w:rsid w:val="002C0B0E"/>
    <w:rsid w:val="002C5F5B"/>
    <w:rsid w:val="002C777D"/>
    <w:rsid w:val="002D40B1"/>
    <w:rsid w:val="002D45CD"/>
    <w:rsid w:val="002D52AE"/>
    <w:rsid w:val="002D6D72"/>
    <w:rsid w:val="002D75F9"/>
    <w:rsid w:val="002E07AC"/>
    <w:rsid w:val="002E267F"/>
    <w:rsid w:val="002E6AA1"/>
    <w:rsid w:val="002E6D0D"/>
    <w:rsid w:val="002F57C6"/>
    <w:rsid w:val="00307A69"/>
    <w:rsid w:val="00312E4A"/>
    <w:rsid w:val="0031546F"/>
    <w:rsid w:val="00316B0D"/>
    <w:rsid w:val="00317427"/>
    <w:rsid w:val="003224FE"/>
    <w:rsid w:val="003300DB"/>
    <w:rsid w:val="0033088D"/>
    <w:rsid w:val="003320BD"/>
    <w:rsid w:val="00335425"/>
    <w:rsid w:val="003371F0"/>
    <w:rsid w:val="00345B55"/>
    <w:rsid w:val="003500C6"/>
    <w:rsid w:val="003555E0"/>
    <w:rsid w:val="00357154"/>
    <w:rsid w:val="003626DA"/>
    <w:rsid w:val="00362B85"/>
    <w:rsid w:val="00363AE5"/>
    <w:rsid w:val="0036510D"/>
    <w:rsid w:val="003848EF"/>
    <w:rsid w:val="00385B65"/>
    <w:rsid w:val="00391929"/>
    <w:rsid w:val="00391CEF"/>
    <w:rsid w:val="003A29B4"/>
    <w:rsid w:val="003A3E57"/>
    <w:rsid w:val="003A77F5"/>
    <w:rsid w:val="003C2BAE"/>
    <w:rsid w:val="003C6961"/>
    <w:rsid w:val="003C78EC"/>
    <w:rsid w:val="003C7BAD"/>
    <w:rsid w:val="003D21A3"/>
    <w:rsid w:val="003D33F7"/>
    <w:rsid w:val="003E6B8B"/>
    <w:rsid w:val="003F017E"/>
    <w:rsid w:val="003F17BC"/>
    <w:rsid w:val="003F1A1E"/>
    <w:rsid w:val="003F5F4B"/>
    <w:rsid w:val="003F7E70"/>
    <w:rsid w:val="0040648D"/>
    <w:rsid w:val="00406711"/>
    <w:rsid w:val="004130FE"/>
    <w:rsid w:val="00414CEB"/>
    <w:rsid w:val="004163FA"/>
    <w:rsid w:val="00420483"/>
    <w:rsid w:val="00423E92"/>
    <w:rsid w:val="00424C8A"/>
    <w:rsid w:val="004257F1"/>
    <w:rsid w:val="00425CAD"/>
    <w:rsid w:val="00431B00"/>
    <w:rsid w:val="004366AE"/>
    <w:rsid w:val="00437572"/>
    <w:rsid w:val="0044371A"/>
    <w:rsid w:val="00446A9A"/>
    <w:rsid w:val="004513B8"/>
    <w:rsid w:val="00451804"/>
    <w:rsid w:val="00452FE9"/>
    <w:rsid w:val="00454696"/>
    <w:rsid w:val="00455CF7"/>
    <w:rsid w:val="00461132"/>
    <w:rsid w:val="004616FF"/>
    <w:rsid w:val="004759ED"/>
    <w:rsid w:val="00486059"/>
    <w:rsid w:val="004945F7"/>
    <w:rsid w:val="004957BB"/>
    <w:rsid w:val="00497F14"/>
    <w:rsid w:val="004A2AC0"/>
    <w:rsid w:val="004B1949"/>
    <w:rsid w:val="004B199A"/>
    <w:rsid w:val="004B2CB0"/>
    <w:rsid w:val="004B7B8B"/>
    <w:rsid w:val="004C18F6"/>
    <w:rsid w:val="004C428F"/>
    <w:rsid w:val="004C6518"/>
    <w:rsid w:val="004D0B40"/>
    <w:rsid w:val="004D1065"/>
    <w:rsid w:val="004D24EB"/>
    <w:rsid w:val="004D688C"/>
    <w:rsid w:val="004E0845"/>
    <w:rsid w:val="004E192B"/>
    <w:rsid w:val="004E1E7C"/>
    <w:rsid w:val="004E39D7"/>
    <w:rsid w:val="004E48C4"/>
    <w:rsid w:val="004E513C"/>
    <w:rsid w:val="004E55E2"/>
    <w:rsid w:val="004E58AE"/>
    <w:rsid w:val="004F085F"/>
    <w:rsid w:val="004F0BD7"/>
    <w:rsid w:val="004F20A9"/>
    <w:rsid w:val="004F27A4"/>
    <w:rsid w:val="004F73E8"/>
    <w:rsid w:val="00503B0C"/>
    <w:rsid w:val="0050562E"/>
    <w:rsid w:val="0051105B"/>
    <w:rsid w:val="0051316F"/>
    <w:rsid w:val="00513E23"/>
    <w:rsid w:val="00523958"/>
    <w:rsid w:val="0053301E"/>
    <w:rsid w:val="005350C9"/>
    <w:rsid w:val="005370B2"/>
    <w:rsid w:val="005400C8"/>
    <w:rsid w:val="00543E44"/>
    <w:rsid w:val="00543FDE"/>
    <w:rsid w:val="0055188A"/>
    <w:rsid w:val="00552F1C"/>
    <w:rsid w:val="00562166"/>
    <w:rsid w:val="00563732"/>
    <w:rsid w:val="00567927"/>
    <w:rsid w:val="00567C95"/>
    <w:rsid w:val="0057315D"/>
    <w:rsid w:val="00573C24"/>
    <w:rsid w:val="00574F28"/>
    <w:rsid w:val="00576C8D"/>
    <w:rsid w:val="0058793B"/>
    <w:rsid w:val="00590FC2"/>
    <w:rsid w:val="005917FA"/>
    <w:rsid w:val="00596D03"/>
    <w:rsid w:val="005A0614"/>
    <w:rsid w:val="005A0DE7"/>
    <w:rsid w:val="005A355D"/>
    <w:rsid w:val="005A5F2E"/>
    <w:rsid w:val="005A6271"/>
    <w:rsid w:val="005B210C"/>
    <w:rsid w:val="005B241C"/>
    <w:rsid w:val="005B27D0"/>
    <w:rsid w:val="005B2877"/>
    <w:rsid w:val="005B4715"/>
    <w:rsid w:val="005B4FED"/>
    <w:rsid w:val="005C449A"/>
    <w:rsid w:val="005C7655"/>
    <w:rsid w:val="005C7C79"/>
    <w:rsid w:val="005D1BC5"/>
    <w:rsid w:val="005D2D7A"/>
    <w:rsid w:val="005D6E41"/>
    <w:rsid w:val="005D7026"/>
    <w:rsid w:val="005E40D4"/>
    <w:rsid w:val="005F07FF"/>
    <w:rsid w:val="005F3D48"/>
    <w:rsid w:val="005F76B5"/>
    <w:rsid w:val="005F79CC"/>
    <w:rsid w:val="00602577"/>
    <w:rsid w:val="00602AC9"/>
    <w:rsid w:val="00603EA6"/>
    <w:rsid w:val="00603FC1"/>
    <w:rsid w:val="00605D94"/>
    <w:rsid w:val="006066AC"/>
    <w:rsid w:val="00607805"/>
    <w:rsid w:val="0061255F"/>
    <w:rsid w:val="0061381E"/>
    <w:rsid w:val="006159CC"/>
    <w:rsid w:val="006173D0"/>
    <w:rsid w:val="006201D7"/>
    <w:rsid w:val="006208C6"/>
    <w:rsid w:val="006262CC"/>
    <w:rsid w:val="006267BF"/>
    <w:rsid w:val="00626CA4"/>
    <w:rsid w:val="00626D97"/>
    <w:rsid w:val="0062796C"/>
    <w:rsid w:val="0063451F"/>
    <w:rsid w:val="006427AA"/>
    <w:rsid w:val="006429D7"/>
    <w:rsid w:val="006454DC"/>
    <w:rsid w:val="006553AB"/>
    <w:rsid w:val="006564EA"/>
    <w:rsid w:val="00657D2D"/>
    <w:rsid w:val="00661E36"/>
    <w:rsid w:val="00663EAD"/>
    <w:rsid w:val="00666B12"/>
    <w:rsid w:val="006674FC"/>
    <w:rsid w:val="006719C9"/>
    <w:rsid w:val="00671B6A"/>
    <w:rsid w:val="006757AA"/>
    <w:rsid w:val="00675B34"/>
    <w:rsid w:val="00675EDF"/>
    <w:rsid w:val="00682080"/>
    <w:rsid w:val="00684ABF"/>
    <w:rsid w:val="0068575D"/>
    <w:rsid w:val="00685BF1"/>
    <w:rsid w:val="00692AE7"/>
    <w:rsid w:val="00695D38"/>
    <w:rsid w:val="00696E9D"/>
    <w:rsid w:val="00697A16"/>
    <w:rsid w:val="00697F67"/>
    <w:rsid w:val="006A131D"/>
    <w:rsid w:val="006A2795"/>
    <w:rsid w:val="006A3962"/>
    <w:rsid w:val="006A39D8"/>
    <w:rsid w:val="006A65E8"/>
    <w:rsid w:val="006A72D0"/>
    <w:rsid w:val="006B0488"/>
    <w:rsid w:val="006B089B"/>
    <w:rsid w:val="006B3301"/>
    <w:rsid w:val="006B56FC"/>
    <w:rsid w:val="006C0869"/>
    <w:rsid w:val="006C7B63"/>
    <w:rsid w:val="006D16B9"/>
    <w:rsid w:val="006E0543"/>
    <w:rsid w:val="006E086B"/>
    <w:rsid w:val="006E0D17"/>
    <w:rsid w:val="006E2EA3"/>
    <w:rsid w:val="006E350F"/>
    <w:rsid w:val="006E55ED"/>
    <w:rsid w:val="006E70FF"/>
    <w:rsid w:val="006F173B"/>
    <w:rsid w:val="00711110"/>
    <w:rsid w:val="00714E79"/>
    <w:rsid w:val="00717085"/>
    <w:rsid w:val="00722560"/>
    <w:rsid w:val="007239F8"/>
    <w:rsid w:val="00727A8E"/>
    <w:rsid w:val="00730910"/>
    <w:rsid w:val="00733BDA"/>
    <w:rsid w:val="00744CB1"/>
    <w:rsid w:val="00750669"/>
    <w:rsid w:val="00753B4D"/>
    <w:rsid w:val="00754949"/>
    <w:rsid w:val="007550E9"/>
    <w:rsid w:val="00763B38"/>
    <w:rsid w:val="007660B9"/>
    <w:rsid w:val="00772CF2"/>
    <w:rsid w:val="00780AC4"/>
    <w:rsid w:val="00781479"/>
    <w:rsid w:val="00781797"/>
    <w:rsid w:val="007836C4"/>
    <w:rsid w:val="0078689C"/>
    <w:rsid w:val="00790D7F"/>
    <w:rsid w:val="007956C4"/>
    <w:rsid w:val="007A27C5"/>
    <w:rsid w:val="007A52E1"/>
    <w:rsid w:val="007A6297"/>
    <w:rsid w:val="007A6FC6"/>
    <w:rsid w:val="007B10D9"/>
    <w:rsid w:val="007B5AB2"/>
    <w:rsid w:val="007C3F60"/>
    <w:rsid w:val="007C544A"/>
    <w:rsid w:val="007C5C8F"/>
    <w:rsid w:val="007C7D6A"/>
    <w:rsid w:val="007D680C"/>
    <w:rsid w:val="007E24B7"/>
    <w:rsid w:val="007F7FED"/>
    <w:rsid w:val="00803395"/>
    <w:rsid w:val="0080402F"/>
    <w:rsid w:val="008051C4"/>
    <w:rsid w:val="00805B42"/>
    <w:rsid w:val="00806393"/>
    <w:rsid w:val="0080697E"/>
    <w:rsid w:val="0081512D"/>
    <w:rsid w:val="00817B50"/>
    <w:rsid w:val="00820E0F"/>
    <w:rsid w:val="00825410"/>
    <w:rsid w:val="00825715"/>
    <w:rsid w:val="008261BF"/>
    <w:rsid w:val="008275B9"/>
    <w:rsid w:val="00830A0C"/>
    <w:rsid w:val="0083261D"/>
    <w:rsid w:val="00832D89"/>
    <w:rsid w:val="0083503B"/>
    <w:rsid w:val="00840865"/>
    <w:rsid w:val="00840C1B"/>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A67E3"/>
    <w:rsid w:val="008B13B1"/>
    <w:rsid w:val="008B493F"/>
    <w:rsid w:val="008B7F47"/>
    <w:rsid w:val="008C115E"/>
    <w:rsid w:val="008C5D4E"/>
    <w:rsid w:val="008D0504"/>
    <w:rsid w:val="008D1256"/>
    <w:rsid w:val="008D275A"/>
    <w:rsid w:val="008E109E"/>
    <w:rsid w:val="008E191C"/>
    <w:rsid w:val="008E66E6"/>
    <w:rsid w:val="008F112A"/>
    <w:rsid w:val="00900D4B"/>
    <w:rsid w:val="009014BC"/>
    <w:rsid w:val="00902CAC"/>
    <w:rsid w:val="009036CA"/>
    <w:rsid w:val="00904EA7"/>
    <w:rsid w:val="00915F79"/>
    <w:rsid w:val="00917F95"/>
    <w:rsid w:val="00923EDF"/>
    <w:rsid w:val="009342B6"/>
    <w:rsid w:val="00934C2D"/>
    <w:rsid w:val="00935AD4"/>
    <w:rsid w:val="00937CE1"/>
    <w:rsid w:val="0094513B"/>
    <w:rsid w:val="0094688C"/>
    <w:rsid w:val="00963FB3"/>
    <w:rsid w:val="00967264"/>
    <w:rsid w:val="009672EB"/>
    <w:rsid w:val="00973090"/>
    <w:rsid w:val="0099436F"/>
    <w:rsid w:val="009956DE"/>
    <w:rsid w:val="009959E0"/>
    <w:rsid w:val="00996328"/>
    <w:rsid w:val="00996BEA"/>
    <w:rsid w:val="009A33FB"/>
    <w:rsid w:val="009A5056"/>
    <w:rsid w:val="009B1A44"/>
    <w:rsid w:val="009B300F"/>
    <w:rsid w:val="009B4379"/>
    <w:rsid w:val="009C4B52"/>
    <w:rsid w:val="009C4D8A"/>
    <w:rsid w:val="009C580F"/>
    <w:rsid w:val="009D161E"/>
    <w:rsid w:val="009E1B26"/>
    <w:rsid w:val="009F751D"/>
    <w:rsid w:val="00A00EF2"/>
    <w:rsid w:val="00A018DD"/>
    <w:rsid w:val="00A069F9"/>
    <w:rsid w:val="00A07F0E"/>
    <w:rsid w:val="00A10AC2"/>
    <w:rsid w:val="00A173EC"/>
    <w:rsid w:val="00A17F9A"/>
    <w:rsid w:val="00A26D78"/>
    <w:rsid w:val="00A3076D"/>
    <w:rsid w:val="00A316E1"/>
    <w:rsid w:val="00A346CA"/>
    <w:rsid w:val="00A451DD"/>
    <w:rsid w:val="00A477A0"/>
    <w:rsid w:val="00A47C07"/>
    <w:rsid w:val="00A50BDE"/>
    <w:rsid w:val="00A5394E"/>
    <w:rsid w:val="00A5524F"/>
    <w:rsid w:val="00A61711"/>
    <w:rsid w:val="00A62C59"/>
    <w:rsid w:val="00A62F19"/>
    <w:rsid w:val="00A63A3E"/>
    <w:rsid w:val="00A66C34"/>
    <w:rsid w:val="00A72CC9"/>
    <w:rsid w:val="00A73497"/>
    <w:rsid w:val="00A73CFD"/>
    <w:rsid w:val="00A77E87"/>
    <w:rsid w:val="00A80863"/>
    <w:rsid w:val="00A81616"/>
    <w:rsid w:val="00A8365E"/>
    <w:rsid w:val="00A9488D"/>
    <w:rsid w:val="00A94E35"/>
    <w:rsid w:val="00A95355"/>
    <w:rsid w:val="00AA4D84"/>
    <w:rsid w:val="00AA5243"/>
    <w:rsid w:val="00AB0CF1"/>
    <w:rsid w:val="00AB350C"/>
    <w:rsid w:val="00AB3C78"/>
    <w:rsid w:val="00AB5D22"/>
    <w:rsid w:val="00AC1AA3"/>
    <w:rsid w:val="00AC4EB2"/>
    <w:rsid w:val="00AC7F21"/>
    <w:rsid w:val="00AD0F94"/>
    <w:rsid w:val="00AD7918"/>
    <w:rsid w:val="00AE0E38"/>
    <w:rsid w:val="00AE11C4"/>
    <w:rsid w:val="00AE1640"/>
    <w:rsid w:val="00AE20FC"/>
    <w:rsid w:val="00AE297B"/>
    <w:rsid w:val="00AE58D5"/>
    <w:rsid w:val="00AE6686"/>
    <w:rsid w:val="00AF7794"/>
    <w:rsid w:val="00B0259B"/>
    <w:rsid w:val="00B06546"/>
    <w:rsid w:val="00B1230D"/>
    <w:rsid w:val="00B12FB4"/>
    <w:rsid w:val="00B13055"/>
    <w:rsid w:val="00B151CC"/>
    <w:rsid w:val="00B1695C"/>
    <w:rsid w:val="00B22001"/>
    <w:rsid w:val="00B23B22"/>
    <w:rsid w:val="00B24D0A"/>
    <w:rsid w:val="00B3317D"/>
    <w:rsid w:val="00B36583"/>
    <w:rsid w:val="00B37705"/>
    <w:rsid w:val="00B40263"/>
    <w:rsid w:val="00B455C1"/>
    <w:rsid w:val="00B53058"/>
    <w:rsid w:val="00B61070"/>
    <w:rsid w:val="00B663B0"/>
    <w:rsid w:val="00B83B2F"/>
    <w:rsid w:val="00B87E45"/>
    <w:rsid w:val="00B950C3"/>
    <w:rsid w:val="00B95533"/>
    <w:rsid w:val="00BA2BE7"/>
    <w:rsid w:val="00BB0D1A"/>
    <w:rsid w:val="00BB0F68"/>
    <w:rsid w:val="00BB1352"/>
    <w:rsid w:val="00BB1FFF"/>
    <w:rsid w:val="00BB2567"/>
    <w:rsid w:val="00BB662C"/>
    <w:rsid w:val="00BC24CA"/>
    <w:rsid w:val="00BD113A"/>
    <w:rsid w:val="00BD2076"/>
    <w:rsid w:val="00BD2B9F"/>
    <w:rsid w:val="00BD2EA0"/>
    <w:rsid w:val="00BD33CD"/>
    <w:rsid w:val="00BD35B3"/>
    <w:rsid w:val="00BD3DA8"/>
    <w:rsid w:val="00BD45D5"/>
    <w:rsid w:val="00BE0ED5"/>
    <w:rsid w:val="00BE1B97"/>
    <w:rsid w:val="00BE446D"/>
    <w:rsid w:val="00BE64F3"/>
    <w:rsid w:val="00BF115D"/>
    <w:rsid w:val="00BF4522"/>
    <w:rsid w:val="00BF5183"/>
    <w:rsid w:val="00C00697"/>
    <w:rsid w:val="00C0095A"/>
    <w:rsid w:val="00C10C00"/>
    <w:rsid w:val="00C17CE9"/>
    <w:rsid w:val="00C210C6"/>
    <w:rsid w:val="00C464A7"/>
    <w:rsid w:val="00C466BD"/>
    <w:rsid w:val="00C478AD"/>
    <w:rsid w:val="00C511C3"/>
    <w:rsid w:val="00C51C42"/>
    <w:rsid w:val="00C52329"/>
    <w:rsid w:val="00C57F4E"/>
    <w:rsid w:val="00C61325"/>
    <w:rsid w:val="00C66A73"/>
    <w:rsid w:val="00C67AA6"/>
    <w:rsid w:val="00C67C4A"/>
    <w:rsid w:val="00C701A9"/>
    <w:rsid w:val="00C76497"/>
    <w:rsid w:val="00C767CB"/>
    <w:rsid w:val="00C80CAE"/>
    <w:rsid w:val="00C856C9"/>
    <w:rsid w:val="00C86AD9"/>
    <w:rsid w:val="00C86F22"/>
    <w:rsid w:val="00C90CAA"/>
    <w:rsid w:val="00C91A83"/>
    <w:rsid w:val="00C9650F"/>
    <w:rsid w:val="00C9741E"/>
    <w:rsid w:val="00CA0EE8"/>
    <w:rsid w:val="00CA33C7"/>
    <w:rsid w:val="00CB2C58"/>
    <w:rsid w:val="00CB38A3"/>
    <w:rsid w:val="00CB3B70"/>
    <w:rsid w:val="00CC1475"/>
    <w:rsid w:val="00CC1CCB"/>
    <w:rsid w:val="00CC478C"/>
    <w:rsid w:val="00CC6B7E"/>
    <w:rsid w:val="00CD6B37"/>
    <w:rsid w:val="00CD730D"/>
    <w:rsid w:val="00CE1635"/>
    <w:rsid w:val="00CE5572"/>
    <w:rsid w:val="00CF0D33"/>
    <w:rsid w:val="00CF0ECC"/>
    <w:rsid w:val="00CF505D"/>
    <w:rsid w:val="00CF5A4B"/>
    <w:rsid w:val="00CF68E9"/>
    <w:rsid w:val="00CF7819"/>
    <w:rsid w:val="00D171A8"/>
    <w:rsid w:val="00D2011B"/>
    <w:rsid w:val="00D303B7"/>
    <w:rsid w:val="00D4602A"/>
    <w:rsid w:val="00D4643A"/>
    <w:rsid w:val="00D46EB7"/>
    <w:rsid w:val="00D475BD"/>
    <w:rsid w:val="00D52159"/>
    <w:rsid w:val="00D54C52"/>
    <w:rsid w:val="00D54CE5"/>
    <w:rsid w:val="00D55E22"/>
    <w:rsid w:val="00D611A9"/>
    <w:rsid w:val="00D620F7"/>
    <w:rsid w:val="00D621F3"/>
    <w:rsid w:val="00D66FE8"/>
    <w:rsid w:val="00D70252"/>
    <w:rsid w:val="00D822F9"/>
    <w:rsid w:val="00D9012E"/>
    <w:rsid w:val="00D90897"/>
    <w:rsid w:val="00D93BE5"/>
    <w:rsid w:val="00DA3036"/>
    <w:rsid w:val="00DA4A4E"/>
    <w:rsid w:val="00DA5D5C"/>
    <w:rsid w:val="00DB015B"/>
    <w:rsid w:val="00DB1A17"/>
    <w:rsid w:val="00DB20CE"/>
    <w:rsid w:val="00DB24D3"/>
    <w:rsid w:val="00DB35E7"/>
    <w:rsid w:val="00DB5E67"/>
    <w:rsid w:val="00DB6F16"/>
    <w:rsid w:val="00DB7D77"/>
    <w:rsid w:val="00DC3380"/>
    <w:rsid w:val="00DD58D2"/>
    <w:rsid w:val="00DD619D"/>
    <w:rsid w:val="00DD6C35"/>
    <w:rsid w:val="00DE193D"/>
    <w:rsid w:val="00DE710F"/>
    <w:rsid w:val="00DE7EED"/>
    <w:rsid w:val="00DF4A81"/>
    <w:rsid w:val="00DF5C73"/>
    <w:rsid w:val="00E02E5D"/>
    <w:rsid w:val="00E05E36"/>
    <w:rsid w:val="00E14B90"/>
    <w:rsid w:val="00E1745D"/>
    <w:rsid w:val="00E23731"/>
    <w:rsid w:val="00E23B18"/>
    <w:rsid w:val="00E401B3"/>
    <w:rsid w:val="00E41EC4"/>
    <w:rsid w:val="00E46F31"/>
    <w:rsid w:val="00E50185"/>
    <w:rsid w:val="00E578B7"/>
    <w:rsid w:val="00E63231"/>
    <w:rsid w:val="00E7329A"/>
    <w:rsid w:val="00E73F85"/>
    <w:rsid w:val="00E76451"/>
    <w:rsid w:val="00E8016F"/>
    <w:rsid w:val="00E80254"/>
    <w:rsid w:val="00E80E52"/>
    <w:rsid w:val="00E816CE"/>
    <w:rsid w:val="00E84401"/>
    <w:rsid w:val="00E87451"/>
    <w:rsid w:val="00E90908"/>
    <w:rsid w:val="00E90FB5"/>
    <w:rsid w:val="00E90FC2"/>
    <w:rsid w:val="00E92954"/>
    <w:rsid w:val="00E976DF"/>
    <w:rsid w:val="00EA0688"/>
    <w:rsid w:val="00EA19B4"/>
    <w:rsid w:val="00EA256A"/>
    <w:rsid w:val="00EB2492"/>
    <w:rsid w:val="00EB25EA"/>
    <w:rsid w:val="00EB7BA6"/>
    <w:rsid w:val="00EC0059"/>
    <w:rsid w:val="00EC68DB"/>
    <w:rsid w:val="00ED0CB2"/>
    <w:rsid w:val="00ED334F"/>
    <w:rsid w:val="00ED5173"/>
    <w:rsid w:val="00EE08F2"/>
    <w:rsid w:val="00EE1DD7"/>
    <w:rsid w:val="00EE76B9"/>
    <w:rsid w:val="00EF125F"/>
    <w:rsid w:val="00EF1E49"/>
    <w:rsid w:val="00EF2497"/>
    <w:rsid w:val="00EF38A6"/>
    <w:rsid w:val="00EF53E7"/>
    <w:rsid w:val="00EF70B9"/>
    <w:rsid w:val="00F017E0"/>
    <w:rsid w:val="00F01B39"/>
    <w:rsid w:val="00F03B20"/>
    <w:rsid w:val="00F065A0"/>
    <w:rsid w:val="00F20A78"/>
    <w:rsid w:val="00F21C70"/>
    <w:rsid w:val="00F26B56"/>
    <w:rsid w:val="00F26D11"/>
    <w:rsid w:val="00F27CBE"/>
    <w:rsid w:val="00F4121E"/>
    <w:rsid w:val="00F4212B"/>
    <w:rsid w:val="00F4644C"/>
    <w:rsid w:val="00F468E5"/>
    <w:rsid w:val="00F46D66"/>
    <w:rsid w:val="00F4704F"/>
    <w:rsid w:val="00F50EE3"/>
    <w:rsid w:val="00F56A5C"/>
    <w:rsid w:val="00F64871"/>
    <w:rsid w:val="00F651C4"/>
    <w:rsid w:val="00F7682E"/>
    <w:rsid w:val="00F830BD"/>
    <w:rsid w:val="00F84B5E"/>
    <w:rsid w:val="00F92C57"/>
    <w:rsid w:val="00F9344F"/>
    <w:rsid w:val="00F97436"/>
    <w:rsid w:val="00F97B14"/>
    <w:rsid w:val="00FA3079"/>
    <w:rsid w:val="00FA6B33"/>
    <w:rsid w:val="00FB1D0E"/>
    <w:rsid w:val="00FB20C4"/>
    <w:rsid w:val="00FB259C"/>
    <w:rsid w:val="00FB3C96"/>
    <w:rsid w:val="00FB4BCE"/>
    <w:rsid w:val="00FB55EF"/>
    <w:rsid w:val="00FB5ED3"/>
    <w:rsid w:val="00FB60EF"/>
    <w:rsid w:val="00FC3D4F"/>
    <w:rsid w:val="00FC49FB"/>
    <w:rsid w:val="00FC5756"/>
    <w:rsid w:val="00FD228D"/>
    <w:rsid w:val="00FD60DD"/>
    <w:rsid w:val="00FD61C7"/>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B363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Bullet point,L,List Paragraph - bullets,List Paragraph1,List Paragraph11,Recommendation,Dot Point,Indented Bullet Solid,bullet point list,List Paragraph Number,List Bullet Cab,CAB - List Bullet,figure text numbered,CV text,Table text,Do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6"/>
      </w:numPr>
      <w:spacing w:before="120" w:after="0"/>
      <w:ind w:left="568" w:hanging="284"/>
    </w:pPr>
    <w:rPr>
      <w:sz w:val="22"/>
    </w:rPr>
  </w:style>
  <w:style w:type="paragraph" w:customStyle="1" w:styleId="BulletedListlevel10">
    <w:name w:val="Bulleted List level1"/>
    <w:uiPriority w:val="10"/>
    <w:qFormat/>
    <w:rsid w:val="000E026C"/>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C67C4A"/>
    <w:pPr>
      <w:spacing w:before="60" w:after="60"/>
    </w:pPr>
    <w:rPr>
      <w:rFonts w:ascii="Calibri" w:hAnsi="Calibri"/>
    </w:rPr>
    <w:tblPr>
      <w:tblStyleRowBandSize w:val="1"/>
      <w:tblStyleCol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0E026C"/>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4"/>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5"/>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0E026C"/>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9C4B52"/>
    <w:pPr>
      <w:spacing w:before="1080"/>
    </w:pPr>
    <w:rPr>
      <w:rFonts w:asciiTheme="majorHAnsi" w:hAnsiTheme="majorHAnsi"/>
      <w:b/>
      <w:color w:val="2A4055" w:themeColor="accent1"/>
      <w:sz w:val="56"/>
      <w:szCs w:val="56"/>
    </w:rPr>
  </w:style>
  <w:style w:type="character" w:customStyle="1" w:styleId="TitleChar">
    <w:name w:val="Title Char"/>
    <w:basedOn w:val="DefaultParagraphFont"/>
    <w:link w:val="Title"/>
    <w:rsid w:val="009C4B52"/>
    <w:rPr>
      <w:rFonts w:asciiTheme="majorHAnsi" w:hAnsiTheme="majorHAnsi"/>
      <w:b/>
      <w:color w:val="2A4055" w:themeColor="accent1"/>
      <w:sz w:val="56"/>
      <w:szCs w:val="56"/>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uiPriority w:val="10"/>
    <w:qFormat/>
    <w:rsid w:val="000E026C"/>
    <w:pPr>
      <w:numPr>
        <w:numId w:val="3"/>
      </w:numPr>
      <w:spacing w:before="120" w:after="0"/>
      <w:contextualSpacing/>
    </w:pPr>
    <w:rPr>
      <w:sz w:val="22"/>
    </w:rPr>
  </w:style>
  <w:style w:type="paragraph" w:customStyle="1" w:styleId="BulletedListlevel2">
    <w:name w:val="Bulleted List level 2"/>
    <w:basedOn w:val="BulletedListlevel1"/>
    <w:uiPriority w:val="10"/>
    <w:qFormat/>
    <w:rsid w:val="000E026C"/>
    <w:pPr>
      <w:numPr>
        <w:numId w:val="8"/>
      </w:numPr>
      <w:tabs>
        <w:tab w:val="left" w:pos="993"/>
      </w:tabs>
      <w:spacing w:before="0"/>
      <w:ind w:left="993" w:hanging="284"/>
    </w:pPr>
  </w:style>
  <w:style w:type="paragraph" w:customStyle="1" w:styleId="BulletedListlevel3">
    <w:name w:val="Bulleted List level 3"/>
    <w:basedOn w:val="BulletedListlevel2"/>
    <w:uiPriority w:val="10"/>
    <w:rsid w:val="000E026C"/>
    <w:pPr>
      <w:numPr>
        <w:numId w:val="7"/>
      </w:numPr>
      <w:ind w:left="1418" w:hanging="284"/>
    </w:pPr>
  </w:style>
  <w:style w:type="character" w:styleId="Hyperlink">
    <w:name w:val="Hyperlink"/>
    <w:basedOn w:val="DefaultParagraphFont"/>
    <w:uiPriority w:val="99"/>
    <w:unhideWhenUsed/>
    <w:rsid w:val="00B22001"/>
    <w:rPr>
      <w:color w:val="0289C8" w:themeColor="hyperlink"/>
      <w:u w:val="single"/>
    </w:rPr>
  </w:style>
  <w:style w:type="table" w:customStyle="1" w:styleId="NIAATable-bandedrows1">
    <w:name w:val="NIAA Table - banded rows1"/>
    <w:basedOn w:val="TableNormal"/>
    <w:uiPriority w:val="99"/>
    <w:rsid w:val="002E267F"/>
    <w:pPr>
      <w:spacing w:before="60" w:after="60"/>
    </w:pPr>
    <w:rPr>
      <w:rFonts w:ascii="Calibri" w:hAnsi="Calibri"/>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ListParagraphChar">
    <w:name w:val="List Paragraph Char"/>
    <w:aliases w:val="Bullet point Char,L Char,List Paragraph - bullets Char,List Paragraph1 Char,List Paragraph11 Char,Recommendation Char,Dot Point Char,Indented Bullet Solid Char,bullet point list Char,List Paragraph Number Char,List Bullet Cab Char"/>
    <w:basedOn w:val="DefaultParagraphFont"/>
    <w:link w:val="ListParagraph"/>
    <w:uiPriority w:val="34"/>
    <w:qFormat/>
    <w:locked/>
    <w:rsid w:val="00750669"/>
  </w:style>
  <w:style w:type="character" w:styleId="CommentReference">
    <w:name w:val="annotation reference"/>
    <w:basedOn w:val="DefaultParagraphFont"/>
    <w:uiPriority w:val="99"/>
    <w:semiHidden/>
    <w:unhideWhenUsed/>
    <w:rsid w:val="00750669"/>
    <w:rPr>
      <w:sz w:val="16"/>
      <w:szCs w:val="16"/>
    </w:rPr>
  </w:style>
  <w:style w:type="paragraph" w:styleId="CommentText">
    <w:name w:val="annotation text"/>
    <w:basedOn w:val="Normal"/>
    <w:link w:val="CommentTextChar"/>
    <w:uiPriority w:val="99"/>
    <w:unhideWhenUsed/>
    <w:rsid w:val="00750669"/>
    <w:pPr>
      <w:spacing w:line="240" w:lineRule="auto"/>
    </w:pPr>
  </w:style>
  <w:style w:type="character" w:customStyle="1" w:styleId="CommentTextChar">
    <w:name w:val="Comment Text Char"/>
    <w:basedOn w:val="DefaultParagraphFont"/>
    <w:link w:val="CommentText"/>
    <w:uiPriority w:val="99"/>
    <w:rsid w:val="00750669"/>
  </w:style>
  <w:style w:type="paragraph" w:customStyle="1" w:styleId="NumberedText-Briefbody">
    <w:name w:val="Numbered Text - Brief body"/>
    <w:basedOn w:val="ListParagraph"/>
    <w:qFormat/>
    <w:rsid w:val="00750669"/>
    <w:pPr>
      <w:numPr>
        <w:numId w:val="25"/>
      </w:numPr>
      <w:tabs>
        <w:tab w:val="num" w:pos="360"/>
      </w:tabs>
      <w:spacing w:before="120" w:after="240" w:line="259" w:lineRule="auto"/>
      <w:ind w:left="720" w:firstLine="0"/>
      <w:contextualSpacing w:val="0"/>
    </w:pPr>
    <w:rPr>
      <w:rFonts w:cs="Arial"/>
      <w:color w:val="auto"/>
      <w:sz w:val="24"/>
      <w:szCs w:val="22"/>
    </w:rPr>
  </w:style>
  <w:style w:type="character" w:styleId="UnresolvedMention">
    <w:name w:val="Unresolved Mention"/>
    <w:basedOn w:val="DefaultParagraphFont"/>
    <w:uiPriority w:val="99"/>
    <w:semiHidden/>
    <w:unhideWhenUsed/>
    <w:rsid w:val="00FD61C7"/>
    <w:rPr>
      <w:color w:val="605E5C"/>
      <w:shd w:val="clear" w:color="auto" w:fill="E1DFDD"/>
    </w:rPr>
  </w:style>
  <w:style w:type="paragraph" w:styleId="NormalWeb">
    <w:name w:val="Normal (Web)"/>
    <w:basedOn w:val="Normal"/>
    <w:uiPriority w:val="99"/>
    <w:semiHidden/>
    <w:unhideWhenUsed/>
    <w:rsid w:val="00602AC9"/>
    <w:rPr>
      <w:rFonts w:ascii="Times New Roman" w:hAnsi="Times New Roman" w:cs="Times New Roman"/>
      <w:sz w:val="24"/>
      <w:szCs w:val="24"/>
    </w:rPr>
  </w:style>
  <w:style w:type="paragraph" w:styleId="Revision">
    <w:name w:val="Revision"/>
    <w:hidden/>
    <w:uiPriority w:val="99"/>
    <w:semiHidden/>
    <w:rsid w:val="009342B6"/>
    <w:pPr>
      <w:spacing w:after="0" w:line="240" w:lineRule="auto"/>
    </w:pPr>
  </w:style>
  <w:style w:type="paragraph" w:styleId="CommentSubject">
    <w:name w:val="annotation subject"/>
    <w:basedOn w:val="CommentText"/>
    <w:next w:val="CommentText"/>
    <w:link w:val="CommentSubjectChar"/>
    <w:uiPriority w:val="99"/>
    <w:semiHidden/>
    <w:unhideWhenUsed/>
    <w:rsid w:val="004E48C4"/>
    <w:rPr>
      <w:b/>
      <w:bCs/>
    </w:rPr>
  </w:style>
  <w:style w:type="character" w:customStyle="1" w:styleId="CommentSubjectChar">
    <w:name w:val="Comment Subject Char"/>
    <w:basedOn w:val="CommentTextChar"/>
    <w:link w:val="CommentSubject"/>
    <w:uiPriority w:val="99"/>
    <w:semiHidden/>
    <w:rsid w:val="004E48C4"/>
    <w:rPr>
      <w:b/>
      <w:bCs/>
    </w:rPr>
  </w:style>
  <w:style w:type="character" w:styleId="FollowedHyperlink">
    <w:name w:val="FollowedHyperlink"/>
    <w:basedOn w:val="DefaultParagraphFont"/>
    <w:uiPriority w:val="99"/>
    <w:semiHidden/>
    <w:unhideWhenUsed/>
    <w:rsid w:val="00AB0CF1"/>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5085">
      <w:bodyDiv w:val="1"/>
      <w:marLeft w:val="0"/>
      <w:marRight w:val="0"/>
      <w:marTop w:val="0"/>
      <w:marBottom w:val="0"/>
      <w:divBdr>
        <w:top w:val="none" w:sz="0" w:space="0" w:color="auto"/>
        <w:left w:val="none" w:sz="0" w:space="0" w:color="auto"/>
        <w:bottom w:val="none" w:sz="0" w:space="0" w:color="auto"/>
        <w:right w:val="none" w:sz="0" w:space="0" w:color="auto"/>
      </w:divBdr>
    </w:div>
    <w:div w:id="802842961">
      <w:bodyDiv w:val="1"/>
      <w:marLeft w:val="0"/>
      <w:marRight w:val="0"/>
      <w:marTop w:val="0"/>
      <w:marBottom w:val="0"/>
      <w:divBdr>
        <w:top w:val="none" w:sz="0" w:space="0" w:color="auto"/>
        <w:left w:val="none" w:sz="0" w:space="0" w:color="auto"/>
        <w:bottom w:val="none" w:sz="0" w:space="0" w:color="auto"/>
        <w:right w:val="none" w:sz="0" w:space="0" w:color="auto"/>
      </w:divBdr>
    </w:div>
    <w:div w:id="976032082">
      <w:bodyDiv w:val="1"/>
      <w:marLeft w:val="0"/>
      <w:marRight w:val="0"/>
      <w:marTop w:val="0"/>
      <w:marBottom w:val="0"/>
      <w:divBdr>
        <w:top w:val="none" w:sz="0" w:space="0" w:color="auto"/>
        <w:left w:val="none" w:sz="0" w:space="0" w:color="auto"/>
        <w:bottom w:val="none" w:sz="0" w:space="0" w:color="auto"/>
        <w:right w:val="none" w:sz="0" w:space="0" w:color="auto"/>
      </w:divBdr>
      <w:divsChild>
        <w:div w:id="1089892310">
          <w:marLeft w:val="0"/>
          <w:marRight w:val="0"/>
          <w:marTop w:val="0"/>
          <w:marBottom w:val="0"/>
          <w:divBdr>
            <w:top w:val="none" w:sz="0" w:space="0" w:color="auto"/>
            <w:left w:val="none" w:sz="0" w:space="0" w:color="auto"/>
            <w:bottom w:val="none" w:sz="0" w:space="0" w:color="auto"/>
            <w:right w:val="none" w:sz="0" w:space="0" w:color="auto"/>
          </w:divBdr>
          <w:divsChild>
            <w:div w:id="412165825">
              <w:marLeft w:val="0"/>
              <w:marRight w:val="0"/>
              <w:marTop w:val="0"/>
              <w:marBottom w:val="0"/>
              <w:divBdr>
                <w:top w:val="none" w:sz="0" w:space="0" w:color="auto"/>
                <w:left w:val="none" w:sz="0" w:space="0" w:color="auto"/>
                <w:bottom w:val="none" w:sz="0" w:space="0" w:color="auto"/>
                <w:right w:val="none" w:sz="0" w:space="0" w:color="auto"/>
              </w:divBdr>
            </w:div>
          </w:divsChild>
        </w:div>
        <w:div w:id="1625042295">
          <w:marLeft w:val="0"/>
          <w:marRight w:val="0"/>
          <w:marTop w:val="0"/>
          <w:marBottom w:val="0"/>
          <w:divBdr>
            <w:top w:val="none" w:sz="0" w:space="0" w:color="auto"/>
            <w:left w:val="none" w:sz="0" w:space="0" w:color="auto"/>
            <w:bottom w:val="none" w:sz="0" w:space="0" w:color="auto"/>
            <w:right w:val="none" w:sz="0" w:space="0" w:color="auto"/>
          </w:divBdr>
          <w:divsChild>
            <w:div w:id="179973793">
              <w:marLeft w:val="0"/>
              <w:marRight w:val="0"/>
              <w:marTop w:val="0"/>
              <w:marBottom w:val="0"/>
              <w:divBdr>
                <w:top w:val="none" w:sz="0" w:space="0" w:color="auto"/>
                <w:left w:val="none" w:sz="0" w:space="0" w:color="auto"/>
                <w:bottom w:val="none" w:sz="0" w:space="0" w:color="auto"/>
                <w:right w:val="none" w:sz="0" w:space="0" w:color="auto"/>
              </w:divBdr>
              <w:divsChild>
                <w:div w:id="1059551911">
                  <w:marLeft w:val="0"/>
                  <w:marRight w:val="0"/>
                  <w:marTop w:val="0"/>
                  <w:marBottom w:val="0"/>
                  <w:divBdr>
                    <w:top w:val="none" w:sz="0" w:space="0" w:color="auto"/>
                    <w:left w:val="none" w:sz="0" w:space="0" w:color="auto"/>
                    <w:bottom w:val="none" w:sz="0" w:space="0" w:color="auto"/>
                    <w:right w:val="none" w:sz="0" w:space="0" w:color="auto"/>
                  </w:divBdr>
                  <w:divsChild>
                    <w:div w:id="599989308">
                      <w:marLeft w:val="0"/>
                      <w:marRight w:val="0"/>
                      <w:marTop w:val="0"/>
                      <w:marBottom w:val="0"/>
                      <w:divBdr>
                        <w:top w:val="none" w:sz="0" w:space="0" w:color="auto"/>
                        <w:left w:val="none" w:sz="0" w:space="0" w:color="auto"/>
                        <w:bottom w:val="none" w:sz="0" w:space="0" w:color="auto"/>
                        <w:right w:val="none" w:sz="0" w:space="0" w:color="auto"/>
                      </w:divBdr>
                      <w:divsChild>
                        <w:div w:id="400257216">
                          <w:marLeft w:val="0"/>
                          <w:marRight w:val="0"/>
                          <w:marTop w:val="0"/>
                          <w:marBottom w:val="0"/>
                          <w:divBdr>
                            <w:top w:val="none" w:sz="0" w:space="0" w:color="auto"/>
                            <w:left w:val="none" w:sz="0" w:space="0" w:color="auto"/>
                            <w:bottom w:val="none" w:sz="0" w:space="0" w:color="auto"/>
                            <w:right w:val="none" w:sz="0" w:space="0" w:color="auto"/>
                          </w:divBdr>
                          <w:divsChild>
                            <w:div w:id="768357847">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676683871">
                                      <w:marLeft w:val="0"/>
                                      <w:marRight w:val="0"/>
                                      <w:marTop w:val="0"/>
                                      <w:marBottom w:val="0"/>
                                      <w:divBdr>
                                        <w:top w:val="none" w:sz="0" w:space="0" w:color="auto"/>
                                        <w:left w:val="none" w:sz="0" w:space="0" w:color="auto"/>
                                        <w:bottom w:val="none" w:sz="0" w:space="0" w:color="auto"/>
                                        <w:right w:val="none" w:sz="0" w:space="0" w:color="auto"/>
                                      </w:divBdr>
                                    </w:div>
                                    <w:div w:id="1543977812">
                                      <w:marLeft w:val="0"/>
                                      <w:marRight w:val="0"/>
                                      <w:marTop w:val="0"/>
                                      <w:marBottom w:val="0"/>
                                      <w:divBdr>
                                        <w:top w:val="none" w:sz="0" w:space="0" w:color="auto"/>
                                        <w:left w:val="none" w:sz="0" w:space="0" w:color="auto"/>
                                        <w:bottom w:val="none" w:sz="0" w:space="0" w:color="auto"/>
                                        <w:right w:val="none" w:sz="0" w:space="0" w:color="auto"/>
                                      </w:divBdr>
                                    </w:div>
                                    <w:div w:id="1331131203">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622330">
      <w:bodyDiv w:val="1"/>
      <w:marLeft w:val="0"/>
      <w:marRight w:val="0"/>
      <w:marTop w:val="0"/>
      <w:marBottom w:val="0"/>
      <w:divBdr>
        <w:top w:val="none" w:sz="0" w:space="0" w:color="auto"/>
        <w:left w:val="none" w:sz="0" w:space="0" w:color="auto"/>
        <w:bottom w:val="none" w:sz="0" w:space="0" w:color="auto"/>
        <w:right w:val="none" w:sz="0" w:space="0" w:color="auto"/>
      </w:divBdr>
    </w:div>
    <w:div w:id="1082028023">
      <w:bodyDiv w:val="1"/>
      <w:marLeft w:val="0"/>
      <w:marRight w:val="0"/>
      <w:marTop w:val="0"/>
      <w:marBottom w:val="0"/>
      <w:divBdr>
        <w:top w:val="none" w:sz="0" w:space="0" w:color="auto"/>
        <w:left w:val="none" w:sz="0" w:space="0" w:color="auto"/>
        <w:bottom w:val="none" w:sz="0" w:space="0" w:color="auto"/>
        <w:right w:val="none" w:sz="0" w:space="0" w:color="auto"/>
      </w:divBdr>
    </w:div>
    <w:div w:id="1189952947">
      <w:bodyDiv w:val="1"/>
      <w:marLeft w:val="0"/>
      <w:marRight w:val="0"/>
      <w:marTop w:val="0"/>
      <w:marBottom w:val="0"/>
      <w:divBdr>
        <w:top w:val="none" w:sz="0" w:space="0" w:color="auto"/>
        <w:left w:val="none" w:sz="0" w:space="0" w:color="auto"/>
        <w:bottom w:val="none" w:sz="0" w:space="0" w:color="auto"/>
        <w:right w:val="none" w:sz="0" w:space="0" w:color="auto"/>
      </w:divBdr>
      <w:divsChild>
        <w:div w:id="486088812">
          <w:marLeft w:val="0"/>
          <w:marRight w:val="0"/>
          <w:marTop w:val="0"/>
          <w:marBottom w:val="0"/>
          <w:divBdr>
            <w:top w:val="none" w:sz="0" w:space="0" w:color="auto"/>
            <w:left w:val="none" w:sz="0" w:space="0" w:color="auto"/>
            <w:bottom w:val="none" w:sz="0" w:space="0" w:color="auto"/>
            <w:right w:val="none" w:sz="0" w:space="0" w:color="auto"/>
          </w:divBdr>
          <w:divsChild>
            <w:div w:id="121575883">
              <w:marLeft w:val="0"/>
              <w:marRight w:val="0"/>
              <w:marTop w:val="0"/>
              <w:marBottom w:val="0"/>
              <w:divBdr>
                <w:top w:val="none" w:sz="0" w:space="0" w:color="auto"/>
                <w:left w:val="none" w:sz="0" w:space="0" w:color="auto"/>
                <w:bottom w:val="none" w:sz="0" w:space="0" w:color="auto"/>
                <w:right w:val="none" w:sz="0" w:space="0" w:color="auto"/>
              </w:divBdr>
            </w:div>
          </w:divsChild>
        </w:div>
        <w:div w:id="1795564301">
          <w:marLeft w:val="0"/>
          <w:marRight w:val="0"/>
          <w:marTop w:val="0"/>
          <w:marBottom w:val="0"/>
          <w:divBdr>
            <w:top w:val="none" w:sz="0" w:space="0" w:color="auto"/>
            <w:left w:val="none" w:sz="0" w:space="0" w:color="auto"/>
            <w:bottom w:val="none" w:sz="0" w:space="0" w:color="auto"/>
            <w:right w:val="none" w:sz="0" w:space="0" w:color="auto"/>
          </w:divBdr>
          <w:divsChild>
            <w:div w:id="253367750">
              <w:marLeft w:val="0"/>
              <w:marRight w:val="0"/>
              <w:marTop w:val="0"/>
              <w:marBottom w:val="0"/>
              <w:divBdr>
                <w:top w:val="none" w:sz="0" w:space="0" w:color="auto"/>
                <w:left w:val="none" w:sz="0" w:space="0" w:color="auto"/>
                <w:bottom w:val="none" w:sz="0" w:space="0" w:color="auto"/>
                <w:right w:val="none" w:sz="0" w:space="0" w:color="auto"/>
              </w:divBdr>
              <w:divsChild>
                <w:div w:id="637875781">
                  <w:marLeft w:val="0"/>
                  <w:marRight w:val="0"/>
                  <w:marTop w:val="0"/>
                  <w:marBottom w:val="0"/>
                  <w:divBdr>
                    <w:top w:val="none" w:sz="0" w:space="0" w:color="auto"/>
                    <w:left w:val="none" w:sz="0" w:space="0" w:color="auto"/>
                    <w:bottom w:val="none" w:sz="0" w:space="0" w:color="auto"/>
                    <w:right w:val="none" w:sz="0" w:space="0" w:color="auto"/>
                  </w:divBdr>
                  <w:divsChild>
                    <w:div w:id="259876882">
                      <w:marLeft w:val="0"/>
                      <w:marRight w:val="0"/>
                      <w:marTop w:val="0"/>
                      <w:marBottom w:val="0"/>
                      <w:divBdr>
                        <w:top w:val="none" w:sz="0" w:space="0" w:color="auto"/>
                        <w:left w:val="none" w:sz="0" w:space="0" w:color="auto"/>
                        <w:bottom w:val="none" w:sz="0" w:space="0" w:color="auto"/>
                        <w:right w:val="none" w:sz="0" w:space="0" w:color="auto"/>
                      </w:divBdr>
                      <w:divsChild>
                        <w:div w:id="2109615491">
                          <w:marLeft w:val="0"/>
                          <w:marRight w:val="0"/>
                          <w:marTop w:val="0"/>
                          <w:marBottom w:val="0"/>
                          <w:divBdr>
                            <w:top w:val="none" w:sz="0" w:space="0" w:color="auto"/>
                            <w:left w:val="none" w:sz="0" w:space="0" w:color="auto"/>
                            <w:bottom w:val="none" w:sz="0" w:space="0" w:color="auto"/>
                            <w:right w:val="none" w:sz="0" w:space="0" w:color="auto"/>
                          </w:divBdr>
                          <w:divsChild>
                            <w:div w:id="346955181">
                              <w:marLeft w:val="0"/>
                              <w:marRight w:val="0"/>
                              <w:marTop w:val="0"/>
                              <w:marBottom w:val="0"/>
                              <w:divBdr>
                                <w:top w:val="none" w:sz="0" w:space="0" w:color="auto"/>
                                <w:left w:val="none" w:sz="0" w:space="0" w:color="auto"/>
                                <w:bottom w:val="none" w:sz="0" w:space="0" w:color="auto"/>
                                <w:right w:val="none" w:sz="0" w:space="0" w:color="auto"/>
                              </w:divBdr>
                              <w:divsChild>
                                <w:div w:id="620697208">
                                  <w:marLeft w:val="0"/>
                                  <w:marRight w:val="0"/>
                                  <w:marTop w:val="0"/>
                                  <w:marBottom w:val="0"/>
                                  <w:divBdr>
                                    <w:top w:val="none" w:sz="0" w:space="0" w:color="auto"/>
                                    <w:left w:val="none" w:sz="0" w:space="0" w:color="auto"/>
                                    <w:bottom w:val="none" w:sz="0" w:space="0" w:color="auto"/>
                                    <w:right w:val="none" w:sz="0" w:space="0" w:color="auto"/>
                                  </w:divBdr>
                                  <w:divsChild>
                                    <w:div w:id="400711462">
                                      <w:marLeft w:val="0"/>
                                      <w:marRight w:val="0"/>
                                      <w:marTop w:val="0"/>
                                      <w:marBottom w:val="0"/>
                                      <w:divBdr>
                                        <w:top w:val="none" w:sz="0" w:space="0" w:color="auto"/>
                                        <w:left w:val="none" w:sz="0" w:space="0" w:color="auto"/>
                                        <w:bottom w:val="none" w:sz="0" w:space="0" w:color="auto"/>
                                        <w:right w:val="none" w:sz="0" w:space="0" w:color="auto"/>
                                      </w:divBdr>
                                    </w:div>
                                    <w:div w:id="953949013">
                                      <w:marLeft w:val="0"/>
                                      <w:marRight w:val="0"/>
                                      <w:marTop w:val="0"/>
                                      <w:marBottom w:val="0"/>
                                      <w:divBdr>
                                        <w:top w:val="none" w:sz="0" w:space="0" w:color="auto"/>
                                        <w:left w:val="none" w:sz="0" w:space="0" w:color="auto"/>
                                        <w:bottom w:val="none" w:sz="0" w:space="0" w:color="auto"/>
                                        <w:right w:val="none" w:sz="0" w:space="0" w:color="auto"/>
                                      </w:divBdr>
                                    </w:div>
                                    <w:div w:id="727608753">
                                      <w:marLeft w:val="0"/>
                                      <w:marRight w:val="0"/>
                                      <w:marTop w:val="0"/>
                                      <w:marBottom w:val="0"/>
                                      <w:divBdr>
                                        <w:top w:val="none" w:sz="0" w:space="0" w:color="auto"/>
                                        <w:left w:val="none" w:sz="0" w:space="0" w:color="auto"/>
                                        <w:bottom w:val="none" w:sz="0" w:space="0" w:color="auto"/>
                                        <w:right w:val="none" w:sz="0" w:space="0" w:color="auto"/>
                                      </w:divBdr>
                                    </w:div>
                                    <w:div w:id="10219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808791">
      <w:bodyDiv w:val="1"/>
      <w:marLeft w:val="0"/>
      <w:marRight w:val="0"/>
      <w:marTop w:val="0"/>
      <w:marBottom w:val="0"/>
      <w:divBdr>
        <w:top w:val="none" w:sz="0" w:space="0" w:color="auto"/>
        <w:left w:val="none" w:sz="0" w:space="0" w:color="auto"/>
        <w:bottom w:val="none" w:sz="0" w:space="0" w:color="auto"/>
        <w:right w:val="none" w:sz="0" w:space="0" w:color="auto"/>
      </w:divBdr>
    </w:div>
    <w:div w:id="166338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aa.gov.au/resource-centre/replacing-community-development-program-consultation-repor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yperlink" Target="http://www.niaa.gov.au/remote-serv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ESHelpdesk@nia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aa.gov.au/resource-centre/remote-australia-employment-service-draft-grant-opportunity-guidelines-consult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iaa.gov.au/resource-centre/remote-australia-employment-service-raes-regions" TargetMode="External"/><Relationship Id="rId23" Type="http://schemas.openxmlformats.org/officeDocument/2006/relationships/footer" Target="footer3.xml"/><Relationship Id="rId10" Type="http://schemas.openxmlformats.org/officeDocument/2006/relationships/hyperlink" Target="https://www.niaa.gov.au/our-work/employment-and-economic-development/remote-jobs/employment-service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niaa.gov.au/our-work/employment-and-economic-development/remote-jobs/employers" TargetMode="External"/><Relationship Id="rId14" Type="http://schemas.openxmlformats.org/officeDocument/2006/relationships/hyperlink" Target="https://www.niaa.gov.au/news-and-media/what-we-heard-communities-about-design-new-remote-jobs-progra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Choose Classification</Classification>
  <DLM/>
  <SectionName/>
  <DH/>
  <Byline/>
</root>
</file>

<file path=customXml/itemProps1.xml><?xml version="1.0" encoding="utf-8"?>
<ds:datastoreItem xmlns:ds="http://schemas.openxmlformats.org/officeDocument/2006/customXml" ds:itemID="{794B36FC-BAEA-495F-92F5-76FD47A6B2CA}">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2025-07-03T03:10:00Z</dcterms:created>
  <dcterms:modified xsi:type="dcterms:W3CDTF">2025-07-03T03:12:00Z</dcterms:modified>
</cp:coreProperties>
</file>