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CF84A" w14:textId="071FEB0C" w:rsidR="0054392E" w:rsidRPr="00566074" w:rsidRDefault="00A26790" w:rsidP="000A4B44">
      <w:pPr>
        <w:pStyle w:val="BodyText"/>
        <w:spacing w:before="960"/>
        <w:rPr>
          <w:rFonts w:asciiTheme="majorHAnsi" w:hAnsiTheme="majorHAnsi"/>
          <w:b/>
          <w:color w:val="2A4055" w:themeColor="accent1"/>
          <w:sz w:val="56"/>
          <w:szCs w:val="56"/>
        </w:rPr>
      </w:pPr>
      <w:r w:rsidRPr="00566074">
        <w:rPr>
          <w:rStyle w:val="TitleChar"/>
        </w:rPr>
        <w:t>PBC Support Framework</w:t>
      </w:r>
    </w:p>
    <w:p w14:paraId="6BCB2710" w14:textId="3B802FF7" w:rsidR="00ED276E" w:rsidRPr="00D957A5" w:rsidRDefault="00ED276E" w:rsidP="00D957A5">
      <w:pPr>
        <w:pStyle w:val="Heading2"/>
      </w:pPr>
      <w:r w:rsidRPr="00D957A5">
        <w:t>Introduction</w:t>
      </w:r>
    </w:p>
    <w:p w14:paraId="7FCC0DA2" w14:textId="3D8017AD" w:rsidR="00BF3E5B" w:rsidRPr="00BF3E5B" w:rsidRDefault="00BF3E5B" w:rsidP="00BF3E5B">
      <w:pPr>
        <w:pStyle w:val="BodyText"/>
      </w:pPr>
      <w:r w:rsidRPr="00BF3E5B">
        <w:t>On</w:t>
      </w:r>
      <w:r w:rsidR="00540754">
        <w:t xml:space="preserve"> </w:t>
      </w:r>
      <w:r w:rsidRPr="00BF3E5B">
        <w:t>2 August 2025,</w:t>
      </w:r>
      <w:r w:rsidR="00540754">
        <w:t xml:space="preserve"> </w:t>
      </w:r>
      <w:r w:rsidRPr="00BF3E5B">
        <w:t>the Prime Minister announced </w:t>
      </w:r>
      <w:r w:rsidR="0025375E">
        <w:t xml:space="preserve">$75 million </w:t>
      </w:r>
      <w:r w:rsidRPr="00BF3E5B">
        <w:t>to support Prescribed Bodies Corporate (PBCs) to achieve economic empowerment.</w:t>
      </w:r>
    </w:p>
    <w:p w14:paraId="5233F15E" w14:textId="6A38A4B4" w:rsidR="00BF3E5B" w:rsidRPr="00BF3E5B" w:rsidRDefault="0088115E" w:rsidP="00BF3E5B">
      <w:pPr>
        <w:pStyle w:val="BodyText"/>
      </w:pPr>
      <w:r>
        <w:t xml:space="preserve">The Australian Government </w:t>
      </w:r>
      <w:r w:rsidR="0025375E">
        <w:t>is directing</w:t>
      </w:r>
      <w:r>
        <w:t xml:space="preserve"> this funding into a</w:t>
      </w:r>
      <w:r w:rsidR="00BF3E5B" w:rsidRPr="00BF3E5B">
        <w:t xml:space="preserve"> new PBC Support program with 3 streams of </w:t>
      </w:r>
      <w:r w:rsidR="00E84F06">
        <w:t>support for PBCs</w:t>
      </w:r>
      <w:r w:rsidR="00BF3E5B" w:rsidRPr="00BF3E5B">
        <w:t xml:space="preserve"> focussed on building economic empowerment</w:t>
      </w:r>
      <w:r w:rsidR="005A68A9">
        <w:t xml:space="preserve"> through</w:t>
      </w:r>
      <w:r w:rsidR="00BF3E5B" w:rsidRPr="00BF3E5B">
        <w:t>:</w:t>
      </w:r>
    </w:p>
    <w:p w14:paraId="2DBF842F" w14:textId="14EC7E29" w:rsidR="00BF3E5B" w:rsidRPr="00BF3E5B" w:rsidRDefault="0054336F" w:rsidP="00BF3E5B">
      <w:pPr>
        <w:pStyle w:val="BodyText"/>
        <w:numPr>
          <w:ilvl w:val="0"/>
          <w:numId w:val="44"/>
        </w:numPr>
      </w:pPr>
      <w:r>
        <w:t>i</w:t>
      </w:r>
      <w:r w:rsidR="00EE680E" w:rsidRPr="00631F51">
        <w:t>ncreased</w:t>
      </w:r>
      <w:r w:rsidR="00EE680E">
        <w:rPr>
          <w:b/>
          <w:bCs/>
        </w:rPr>
        <w:t xml:space="preserve"> </w:t>
      </w:r>
      <w:r w:rsidR="00BF3E5B" w:rsidRPr="00BF3E5B">
        <w:rPr>
          <w:b/>
          <w:bCs/>
        </w:rPr>
        <w:t>operational</w:t>
      </w:r>
      <w:r w:rsidR="00BF3E5B" w:rsidRPr="00BF3E5B">
        <w:t xml:space="preserve"> funding for PBCs to support </w:t>
      </w:r>
      <w:r w:rsidR="00E84F06">
        <w:t>PBCs to carry out their legal functions</w:t>
      </w:r>
      <w:r w:rsidR="00BF3E5B" w:rsidRPr="00BF3E5B">
        <w:t xml:space="preserve"> and enable them to engage with </w:t>
      </w:r>
      <w:r>
        <w:t>g</w:t>
      </w:r>
      <w:r w:rsidR="00BF3E5B" w:rsidRPr="00BF3E5B">
        <w:t>overnment and industry</w:t>
      </w:r>
    </w:p>
    <w:p w14:paraId="273EBB2B" w14:textId="2B8C409A" w:rsidR="00BF3E5B" w:rsidRPr="00BF3E5B" w:rsidRDefault="00BF3E5B" w:rsidP="00BF3E5B">
      <w:pPr>
        <w:pStyle w:val="BodyText"/>
        <w:numPr>
          <w:ilvl w:val="0"/>
          <w:numId w:val="44"/>
        </w:numPr>
      </w:pPr>
      <w:r w:rsidRPr="00BF3E5B">
        <w:t>a one-off </w:t>
      </w:r>
      <w:r w:rsidRPr="00BF3E5B">
        <w:rPr>
          <w:b/>
          <w:bCs/>
        </w:rPr>
        <w:t>establishment</w:t>
      </w:r>
      <w:r w:rsidRPr="00BF3E5B">
        <w:t> payment</w:t>
      </w:r>
      <w:r w:rsidR="0072607F">
        <w:t xml:space="preserve"> to assist new</w:t>
      </w:r>
      <w:r w:rsidRPr="00BF3E5B">
        <w:t xml:space="preserve"> PBCs</w:t>
      </w:r>
      <w:r w:rsidR="0072607F">
        <w:t xml:space="preserve"> from commencement</w:t>
      </w:r>
      <w:r w:rsidRPr="00BF3E5B">
        <w:t>, and</w:t>
      </w:r>
    </w:p>
    <w:p w14:paraId="2C9F2E06" w14:textId="28FCA9B1" w:rsidR="00BF3E5B" w:rsidRPr="00BF3E5B" w:rsidRDefault="00BF3E5B" w:rsidP="00BF3E5B">
      <w:pPr>
        <w:pStyle w:val="BodyText"/>
        <w:numPr>
          <w:ilvl w:val="0"/>
          <w:numId w:val="44"/>
        </w:numPr>
      </w:pPr>
      <w:r w:rsidRPr="00BF3E5B">
        <w:rPr>
          <w:b/>
          <w:bCs/>
        </w:rPr>
        <w:t>strategic project grants</w:t>
      </w:r>
      <w:r w:rsidRPr="00BF3E5B">
        <w:t xml:space="preserve"> for PBCs, offered through </w:t>
      </w:r>
      <w:r w:rsidR="00645BD2">
        <w:t>a</w:t>
      </w:r>
      <w:r w:rsidRPr="00BF3E5B">
        <w:t xml:space="preserve"> grant opportunity.</w:t>
      </w:r>
    </w:p>
    <w:p w14:paraId="71B56801" w14:textId="54CB13F9" w:rsidR="00BF3E5B" w:rsidRPr="00BF3E5B" w:rsidRDefault="00BF3E5B" w:rsidP="00BF3E5B">
      <w:pPr>
        <w:pStyle w:val="BodyText"/>
      </w:pPr>
      <w:r w:rsidRPr="00BF3E5B">
        <w:t xml:space="preserve">The new program will support PBCs to take advantage of economic opportunities, </w:t>
      </w:r>
      <w:r w:rsidR="0018464E">
        <w:t>assist</w:t>
      </w:r>
      <w:r w:rsidRPr="00BF3E5B">
        <w:t xml:space="preserve"> PBCs to meet their corporate</w:t>
      </w:r>
      <w:r w:rsidR="00D43E3D">
        <w:t xml:space="preserve"> </w:t>
      </w:r>
      <w:r w:rsidRPr="00BF3E5B">
        <w:t xml:space="preserve">and </w:t>
      </w:r>
      <w:r w:rsidR="0018464E">
        <w:t xml:space="preserve">other </w:t>
      </w:r>
      <w:r w:rsidRPr="00BF3E5B">
        <w:t>obligations, and</w:t>
      </w:r>
      <w:r w:rsidR="0018464E">
        <w:t xml:space="preserve"> support</w:t>
      </w:r>
      <w:r w:rsidRPr="00BF3E5B">
        <w:t xml:space="preserve"> engage</w:t>
      </w:r>
      <w:r w:rsidR="0018464E">
        <w:t>ment</w:t>
      </w:r>
      <w:r w:rsidRPr="00BF3E5B">
        <w:t xml:space="preserve"> with government and industry.</w:t>
      </w:r>
    </w:p>
    <w:p w14:paraId="0D254AEA" w14:textId="73A2D7BD" w:rsidR="00BF3E5B" w:rsidRPr="00D957A5" w:rsidRDefault="00BF3E5B" w:rsidP="00BF3E5B">
      <w:pPr>
        <w:pStyle w:val="Heading2"/>
      </w:pPr>
      <w:r>
        <w:t>Who this document is for</w:t>
      </w:r>
    </w:p>
    <w:p w14:paraId="00D40CD8" w14:textId="72972D1E" w:rsidR="00ED276E" w:rsidRDefault="00ED276E" w:rsidP="00ED276E">
      <w:pPr>
        <w:pStyle w:val="BodyText"/>
      </w:pPr>
      <w:r>
        <w:t>This document provides guidance to PBCs and Native Title Representative Bodies and Service Providers (NTRB/SP) on how PBC operational funding and support (</w:t>
      </w:r>
      <w:r w:rsidR="008E41DD">
        <w:t xml:space="preserve">previously </w:t>
      </w:r>
      <w:r>
        <w:t>known as PBC Basic Support) will be provided to PBCs. It explains the types of support</w:t>
      </w:r>
      <w:r w:rsidR="00C83E6A">
        <w:t xml:space="preserve"> that might be</w:t>
      </w:r>
      <w:r>
        <w:t xml:space="preserve"> provided, how funding can be used, and the responsibilities of both NTRB/SPs and PBCs.</w:t>
      </w:r>
      <w:r w:rsidR="00461058">
        <w:t xml:space="preserve"> </w:t>
      </w:r>
      <w:r w:rsidR="00D86755">
        <w:t>Further information on the new PBC Support program, including</w:t>
      </w:r>
      <w:r w:rsidR="00536A41" w:rsidRPr="0056189B">
        <w:t xml:space="preserve"> </w:t>
      </w:r>
      <w:r w:rsidR="00536A41">
        <w:t>establishment funding and PBC Strategic Project grants is</w:t>
      </w:r>
      <w:r w:rsidR="00536A41" w:rsidRPr="0056189B">
        <w:t xml:space="preserve"> available on the NIAA website.</w:t>
      </w:r>
      <w:r w:rsidR="00536A41">
        <w:t xml:space="preserve"> </w:t>
      </w:r>
      <w:r w:rsidR="00FA3713">
        <w:t>For the purpose of this guidance, the term PBCs refers to both PBCs and Registered Native Title Bodies Corporate (RNTBCs).</w:t>
      </w:r>
      <w:r w:rsidR="00A96B7A">
        <w:t xml:space="preserve"> </w:t>
      </w:r>
      <w:r>
        <w:t>This guidance was developed in response to recommendations from PBCs and NTRB/SPs for more information about what services PBCs can access through their NTRB/SP.</w:t>
      </w:r>
    </w:p>
    <w:p w14:paraId="539D8809" w14:textId="7C6DFC4A" w:rsidR="00BF3E5B" w:rsidDel="00995940" w:rsidRDefault="00ED276E" w:rsidP="00D35B30">
      <w:pPr>
        <w:pStyle w:val="BodyText"/>
      </w:pPr>
      <w:r>
        <w:t xml:space="preserve">NTRB/SPs provide support to PBCs </w:t>
      </w:r>
      <w:r w:rsidR="003A6CB0">
        <w:t>with</w:t>
      </w:r>
      <w:r w:rsidR="009D2F54">
        <w:t>in</w:t>
      </w:r>
      <w:r>
        <w:t xml:space="preserve"> </w:t>
      </w:r>
      <w:r w:rsidR="003A6CB0">
        <w:t xml:space="preserve">defined service </w:t>
      </w:r>
      <w:r w:rsidR="003C260B">
        <w:t>regions</w:t>
      </w:r>
      <w:r w:rsidR="009E13A0">
        <w:t>,</w:t>
      </w:r>
      <w:r w:rsidR="00FB4D85">
        <w:t xml:space="preserve"> known as</w:t>
      </w:r>
      <w:r>
        <w:t xml:space="preserve"> Registered Aboriginal and Torres Strait Islander Body (RATSIB) area</w:t>
      </w:r>
      <w:r w:rsidR="004E3239">
        <w:t>s</w:t>
      </w:r>
      <w:r>
        <w:t>. The</w:t>
      </w:r>
      <w:r w:rsidR="00A3055B">
        <w:t>re</w:t>
      </w:r>
      <w:r>
        <w:t xml:space="preserve"> are</w:t>
      </w:r>
      <w:r w:rsidR="00A3055B">
        <w:t xml:space="preserve"> 14 NTRB/SPs across Australia</w:t>
      </w:r>
      <w:r>
        <w:t>:</w:t>
      </w:r>
    </w:p>
    <w:p w14:paraId="5491D604" w14:textId="589B29C0" w:rsidR="00ED276E" w:rsidRDefault="00ED276E" w:rsidP="00BF3E5B">
      <w:pPr>
        <w:pStyle w:val="BodyText"/>
        <w:numPr>
          <w:ilvl w:val="0"/>
          <w:numId w:val="32"/>
        </w:numPr>
      </w:pPr>
      <w:r>
        <w:t>Cape York Land Council</w:t>
      </w:r>
    </w:p>
    <w:p w14:paraId="79CC2C92" w14:textId="402FCEA7" w:rsidR="00ED276E" w:rsidRDefault="00ED276E" w:rsidP="00ED276E">
      <w:pPr>
        <w:pStyle w:val="BodyText"/>
        <w:numPr>
          <w:ilvl w:val="0"/>
          <w:numId w:val="32"/>
        </w:numPr>
      </w:pPr>
      <w:r>
        <w:t>Carpentaria Land Council Aboriginal Corporation</w:t>
      </w:r>
    </w:p>
    <w:p w14:paraId="28D6C411" w14:textId="23B82E90" w:rsidR="00ED276E" w:rsidRDefault="00ED276E" w:rsidP="00ED276E">
      <w:pPr>
        <w:pStyle w:val="BodyText"/>
        <w:numPr>
          <w:ilvl w:val="0"/>
          <w:numId w:val="32"/>
        </w:numPr>
      </w:pPr>
      <w:r>
        <w:t>Central Desert Native Title Services</w:t>
      </w:r>
    </w:p>
    <w:p w14:paraId="522C90B9" w14:textId="18372654" w:rsidR="00ED276E" w:rsidRDefault="00ED276E" w:rsidP="00ED276E">
      <w:pPr>
        <w:pStyle w:val="BodyText"/>
        <w:numPr>
          <w:ilvl w:val="0"/>
          <w:numId w:val="32"/>
        </w:numPr>
      </w:pPr>
      <w:r>
        <w:t>Central Land Council</w:t>
      </w:r>
    </w:p>
    <w:p w14:paraId="12B8ED2A" w14:textId="78102061" w:rsidR="00ED276E" w:rsidRDefault="00ED276E" w:rsidP="00ED276E">
      <w:pPr>
        <w:pStyle w:val="BodyText"/>
        <w:numPr>
          <w:ilvl w:val="0"/>
          <w:numId w:val="32"/>
        </w:numPr>
      </w:pPr>
      <w:r>
        <w:t>First Nations Legal and Representative Services</w:t>
      </w:r>
    </w:p>
    <w:p w14:paraId="5B6F2392" w14:textId="2F3E1687" w:rsidR="00ED276E" w:rsidRDefault="000C12FF" w:rsidP="00ED276E">
      <w:pPr>
        <w:pStyle w:val="BodyText"/>
        <w:numPr>
          <w:ilvl w:val="0"/>
          <w:numId w:val="32"/>
        </w:numPr>
      </w:pPr>
      <w:r>
        <w:rPr>
          <w:noProof/>
        </w:rPr>
        <w:lastRenderedPageBreak/>
        <w:drawing>
          <wp:anchor distT="0" distB="0" distL="114300" distR="114300" simplePos="0" relativeHeight="251657216" behindDoc="0" locked="0" layoutInCell="1" allowOverlap="1" wp14:anchorId="7BF2FA27" wp14:editId="218C3D32">
            <wp:simplePos x="0" y="0"/>
            <wp:positionH relativeFrom="column">
              <wp:posOffset>2701579</wp:posOffset>
            </wp:positionH>
            <wp:positionV relativeFrom="paragraph">
              <wp:posOffset>3200</wp:posOffset>
            </wp:positionV>
            <wp:extent cx="3771900" cy="3031969"/>
            <wp:effectExtent l="0" t="0" r="0" b="0"/>
            <wp:wrapSquare wrapText="bothSides"/>
            <wp:docPr id="1308459104" name="Image 9" descr="Map of Australia showing the Registered Aboriginal and Torres Strait Islander Body areas and respective Native title Representative Bodies and Service Provid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8459104" name="Image 9" descr="Map of Australia showing the Registered Aboriginal and Torres Strait Islander Body areas and respective Native title Representative Bodies and Service Providers"/>
                    <pic:cNvPicPr>
                      <a:picLocks/>
                    </pic:cNvPicPr>
                  </pic:nvPicPr>
                  <pic:blipFill rotWithShape="1">
                    <a:blip r:embed="rId9" cstate="print"/>
                    <a:srcRect b="2896"/>
                    <a:stretch>
                      <a:fillRect/>
                    </a:stretch>
                  </pic:blipFill>
                  <pic:spPr bwMode="auto">
                    <a:xfrm>
                      <a:off x="0" y="0"/>
                      <a:ext cx="3771900" cy="3031969"/>
                    </a:xfrm>
                    <a:prstGeom prst="rect">
                      <a:avLst/>
                    </a:prstGeom>
                    <a:ln>
                      <a:noFill/>
                    </a:ln>
                    <a:extLst>
                      <a:ext uri="{53640926-AAD7-44D8-BBD7-CCE9431645EC}">
                        <a14:shadowObscured xmlns:a14="http://schemas.microsoft.com/office/drawing/2010/main"/>
                      </a:ext>
                    </a:extLst>
                  </pic:spPr>
                </pic:pic>
              </a:graphicData>
            </a:graphic>
          </wp:anchor>
        </w:drawing>
      </w:r>
      <w:r w:rsidR="00ED276E">
        <w:t xml:space="preserve">Gur A </w:t>
      </w:r>
      <w:proofErr w:type="spellStart"/>
      <w:r w:rsidR="00ED276E">
        <w:t>Baradharaw</w:t>
      </w:r>
      <w:proofErr w:type="spellEnd"/>
      <w:r w:rsidR="00ED276E">
        <w:t xml:space="preserve"> </w:t>
      </w:r>
      <w:proofErr w:type="spellStart"/>
      <w:r w:rsidR="00ED276E">
        <w:t>Kod</w:t>
      </w:r>
      <w:proofErr w:type="spellEnd"/>
      <w:r w:rsidR="00ED276E">
        <w:t xml:space="preserve"> Torres Strait Sea and Land Council</w:t>
      </w:r>
    </w:p>
    <w:p w14:paraId="2B7E6A77" w14:textId="5608D07F" w:rsidR="00994FC8" w:rsidRDefault="00ED276E" w:rsidP="0075713F">
      <w:pPr>
        <w:pStyle w:val="BodyText"/>
        <w:numPr>
          <w:ilvl w:val="0"/>
          <w:numId w:val="32"/>
        </w:numPr>
      </w:pPr>
      <w:r>
        <w:t>Kimberley Land Council</w:t>
      </w:r>
    </w:p>
    <w:p w14:paraId="154D5636" w14:textId="07201D08" w:rsidR="00ED276E" w:rsidRDefault="00ED276E" w:rsidP="0075713F">
      <w:pPr>
        <w:pStyle w:val="BodyText"/>
        <w:numPr>
          <w:ilvl w:val="0"/>
          <w:numId w:val="32"/>
        </w:numPr>
      </w:pPr>
      <w:r>
        <w:t>Native Title Services Goldfields</w:t>
      </w:r>
    </w:p>
    <w:p w14:paraId="01A79D96" w14:textId="3E30547C" w:rsidR="003F4BC8" w:rsidRDefault="003F4BC8" w:rsidP="003F4BC8">
      <w:pPr>
        <w:pStyle w:val="BodyText"/>
        <w:numPr>
          <w:ilvl w:val="0"/>
          <w:numId w:val="32"/>
        </w:numPr>
      </w:pPr>
      <w:r w:rsidRPr="003F4BC8">
        <w:t>Northern Land Council</w:t>
      </w:r>
    </w:p>
    <w:p w14:paraId="16552DC1" w14:textId="662354FF" w:rsidR="003F4BC8" w:rsidRDefault="003F4BC8" w:rsidP="003F4BC8">
      <w:pPr>
        <w:pStyle w:val="BodyText"/>
        <w:numPr>
          <w:ilvl w:val="0"/>
          <w:numId w:val="32"/>
        </w:numPr>
      </w:pPr>
      <w:r w:rsidRPr="003F4BC8">
        <w:t>North Queensland Land Council</w:t>
      </w:r>
    </w:p>
    <w:p w14:paraId="5CC909AC" w14:textId="129527C2" w:rsidR="003F4BC8" w:rsidRDefault="003F4BC8" w:rsidP="003F4BC8">
      <w:pPr>
        <w:pStyle w:val="BodyText"/>
        <w:numPr>
          <w:ilvl w:val="0"/>
          <w:numId w:val="32"/>
        </w:numPr>
      </w:pPr>
      <w:r w:rsidRPr="003F4BC8">
        <w:t>NTSCORP Ltd</w:t>
      </w:r>
    </w:p>
    <w:p w14:paraId="2784F88B" w14:textId="64595AEE" w:rsidR="003F4BC8" w:rsidRDefault="003F4BC8" w:rsidP="003F4BC8">
      <w:pPr>
        <w:pStyle w:val="BodyText"/>
        <w:numPr>
          <w:ilvl w:val="0"/>
          <w:numId w:val="32"/>
        </w:numPr>
      </w:pPr>
      <w:r w:rsidRPr="003F4BC8">
        <w:t>Queensland South Native Title Services</w:t>
      </w:r>
    </w:p>
    <w:p w14:paraId="333FC19E" w14:textId="2AEF0D9E" w:rsidR="003F4BC8" w:rsidRDefault="003F4BC8" w:rsidP="003F4BC8">
      <w:pPr>
        <w:pStyle w:val="BodyText"/>
        <w:numPr>
          <w:ilvl w:val="0"/>
          <w:numId w:val="32"/>
        </w:numPr>
      </w:pPr>
      <w:r w:rsidRPr="003F4BC8">
        <w:t>South Australian Native Title Services</w:t>
      </w:r>
    </w:p>
    <w:p w14:paraId="05260315" w14:textId="104A0797" w:rsidR="00F629E9" w:rsidRDefault="000C12FF" w:rsidP="00540754">
      <w:pPr>
        <w:pStyle w:val="BodyText"/>
        <w:numPr>
          <w:ilvl w:val="0"/>
          <w:numId w:val="32"/>
        </w:numPr>
        <w:spacing w:after="1080"/>
        <w:ind w:left="714" w:hanging="357"/>
      </w:pPr>
      <w:r>
        <w:rPr>
          <w:noProof/>
        </w:rPr>
        <mc:AlternateContent>
          <mc:Choice Requires="wps">
            <w:drawing>
              <wp:anchor distT="0" distB="0" distL="114300" distR="114300" simplePos="0" relativeHeight="251658240" behindDoc="0" locked="0" layoutInCell="1" allowOverlap="1" wp14:anchorId="0311E8DA" wp14:editId="5FDC9B2E">
                <wp:simplePos x="0" y="0"/>
                <wp:positionH relativeFrom="column">
                  <wp:posOffset>2701579</wp:posOffset>
                </wp:positionH>
                <wp:positionV relativeFrom="paragraph">
                  <wp:posOffset>228708</wp:posOffset>
                </wp:positionV>
                <wp:extent cx="3771900" cy="570782"/>
                <wp:effectExtent l="0" t="0" r="0" b="1270"/>
                <wp:wrapSquare wrapText="bothSides"/>
                <wp:docPr id="1603948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570782"/>
                        </a:xfrm>
                        <a:prstGeom prst="rect">
                          <a:avLst/>
                        </a:prstGeom>
                        <a:solidFill>
                          <a:srgbClr val="FFFFFF"/>
                        </a:solidFill>
                        <a:ln w="9525">
                          <a:noFill/>
                          <a:miter lim="800000"/>
                          <a:headEnd/>
                          <a:tailEnd/>
                        </a:ln>
                      </wps:spPr>
                      <wps:txbx>
                        <w:txbxContent>
                          <w:p w14:paraId="4D1B6ED3" w14:textId="02696E62" w:rsidR="00DD6086" w:rsidRDefault="00D00DC4" w:rsidP="00E67A09">
                            <w:pPr>
                              <w:jc w:val="center"/>
                            </w:pPr>
                            <w:r>
                              <w:t xml:space="preserve">A map prepared by the National Native Title Tribunal showing Representative Aboriginal/Torres Strait Islander Body Areas as </w:t>
                            </w:r>
                            <w:r w:rsidR="003A5968">
                              <w:t xml:space="preserve">at </w:t>
                            </w:r>
                            <w:r w:rsidR="00AE59DA">
                              <w:t>April</w:t>
                            </w:r>
                            <w:r w:rsidR="00EB4FB1">
                              <w:t xml:space="preserve"> 2026.</w:t>
                            </w:r>
                          </w:p>
                        </w:txbxContent>
                      </wps:txbx>
                      <wps:bodyPr rot="0" vert="horz" wrap="square" lIns="91440" tIns="45720" rIns="91440" bIns="45720" anchor="t" anchorCtr="0">
                        <a:noAutofit/>
                      </wps:bodyPr>
                    </wps:wsp>
                  </a:graphicData>
                </a:graphic>
              </wp:anchor>
            </w:drawing>
          </mc:Choice>
          <mc:Fallback>
            <w:pict>
              <v:shapetype w14:anchorId="0311E8DA" id="_x0000_t202" coordsize="21600,21600" o:spt="202" path="m,l,21600r21600,l21600,xe">
                <v:stroke joinstyle="miter"/>
                <v:path gradientshapeok="t" o:connecttype="rect"/>
              </v:shapetype>
              <v:shape id="Text Box 2" o:spid="_x0000_s1026" type="#_x0000_t202" style="position:absolute;left:0;text-align:left;margin-left:212.7pt;margin-top:18pt;width:297pt;height:44.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" stroked="f">
                <v:textbox>
                  <w:txbxContent>
                    <w:p w14:paraId="4D1B6ED3" w14:textId="02696E62" w:rsidR="00DD6086" w:rsidRDefault="00D00DC4" w:rsidP="00E67A09">
                      <w:pPr>
                        <w:jc w:val="center"/>
                      </w:pPr>
                      <w:r>
                        <w:t xml:space="preserve">A map prepared by the National Native Title Tribunal showing Representative Aboriginal/Torres Strait Islander Body Areas as </w:t>
                      </w:r>
                      <w:proofErr w:type="gramStart"/>
                      <w:r w:rsidR="003A5968">
                        <w:t>at</w:t>
                      </w:r>
                      <w:proofErr w:type="gramEnd"/>
                      <w:r w:rsidR="003A5968">
                        <w:t xml:space="preserve"> </w:t>
                      </w:r>
                      <w:r w:rsidR="00AE59DA">
                        <w:t>April</w:t>
                      </w:r>
                      <w:r w:rsidR="00EB4FB1">
                        <w:t xml:space="preserve"> 2026.</w:t>
                      </w:r>
                    </w:p>
                  </w:txbxContent>
                </v:textbox>
                <w10:wrap type="square"/>
              </v:shape>
            </w:pict>
          </mc:Fallback>
        </mc:AlternateContent>
      </w:r>
      <w:r w:rsidR="005E25A9">
        <w:t xml:space="preserve">Yamatji </w:t>
      </w:r>
      <w:proofErr w:type="spellStart"/>
      <w:r w:rsidR="00BB2C38">
        <w:t>Marlpa</w:t>
      </w:r>
      <w:proofErr w:type="spellEnd"/>
      <w:r w:rsidR="00BB2C38">
        <w:t xml:space="preserve"> Aboriginal Corporation</w:t>
      </w:r>
    </w:p>
    <w:p w14:paraId="7CDCD540" w14:textId="7AD7F96A" w:rsidR="00ED276E" w:rsidRPr="00D957A5" w:rsidRDefault="00ED276E" w:rsidP="00AF591F">
      <w:pPr>
        <w:pStyle w:val="Heading2"/>
      </w:pPr>
      <w:r w:rsidRPr="00D957A5">
        <w:t>Operational funding for PBCs</w:t>
      </w:r>
    </w:p>
    <w:p w14:paraId="3526A68C" w14:textId="07DA17AE" w:rsidR="008D4DA4" w:rsidRPr="008D4DA4" w:rsidRDefault="00ED276E" w:rsidP="008D4DA4">
      <w:pPr>
        <w:pStyle w:val="BodyText"/>
      </w:pPr>
      <w:r>
        <w:t>The Australian Government provides funding to NTRB/SPs to support PBCs to run their corporations and to meet their corporate, governance and legal obligations. This funding is called PBC operational funding.</w:t>
      </w:r>
      <w:r w:rsidR="000705EA">
        <w:t xml:space="preserve"> </w:t>
      </w:r>
      <w:r w:rsidR="008D4DA4" w:rsidRPr="008D4DA4">
        <w:t xml:space="preserve">PBC </w:t>
      </w:r>
      <w:r w:rsidR="008D4DA4">
        <w:t>operational</w:t>
      </w:r>
      <w:r w:rsidR="008D4DA4" w:rsidRPr="008D4DA4">
        <w:t xml:space="preserve"> </w:t>
      </w:r>
      <w:r w:rsidR="008D4DA4">
        <w:t>f</w:t>
      </w:r>
      <w:r w:rsidR="008D4DA4" w:rsidRPr="008D4DA4">
        <w:t>unding is provided in support of the Commonwealth’s priority to increase operational capacity for PBCs to work with the Commonwealth and industry to pursue economic empowerment activities.</w:t>
      </w:r>
    </w:p>
    <w:p w14:paraId="49FCB057" w14:textId="6327BF1B" w:rsidR="00ED276E" w:rsidRDefault="00ED276E" w:rsidP="00ED276E">
      <w:pPr>
        <w:pStyle w:val="BodyText"/>
      </w:pPr>
      <w:r>
        <w:t xml:space="preserve">PBC </w:t>
      </w:r>
      <w:r w:rsidR="00A034C7">
        <w:t>o</w:t>
      </w:r>
      <w:r>
        <w:t xml:space="preserve">perational funding supports PBCs to meet basic operational costs so they can fulfil their Native Title engagement, consultation, reporting and compliance obligations arising from Commonwealth legislation including but not limited to: the </w:t>
      </w:r>
      <w:r w:rsidRPr="00A65AAF">
        <w:rPr>
          <w:i/>
          <w:iCs/>
        </w:rPr>
        <w:t>Native Title Act 1993</w:t>
      </w:r>
      <w:r>
        <w:t xml:space="preserve">, the </w:t>
      </w:r>
      <w:r w:rsidRPr="00A65AAF">
        <w:rPr>
          <w:i/>
          <w:iCs/>
        </w:rPr>
        <w:t>Corporations (Aboriginal and Torres Strait Islander) Act 2006</w:t>
      </w:r>
      <w:r>
        <w:t xml:space="preserve">, and the </w:t>
      </w:r>
      <w:r w:rsidRPr="00A65AAF">
        <w:rPr>
          <w:i/>
          <w:iCs/>
        </w:rPr>
        <w:t>Native Title (Prescribed Bodies Corporate) Regulations 1999</w:t>
      </w:r>
      <w:r>
        <w:t>.</w:t>
      </w:r>
    </w:p>
    <w:p w14:paraId="3F1ABEC5" w14:textId="01B86969" w:rsidR="00ED276E" w:rsidRDefault="00ED276E" w:rsidP="00ED276E">
      <w:pPr>
        <w:pStyle w:val="BodyText"/>
      </w:pPr>
      <w:r>
        <w:t xml:space="preserve">NTRB/SPs are responsible for reporting to </w:t>
      </w:r>
      <w:r w:rsidR="00FF7033">
        <w:t xml:space="preserve">the </w:t>
      </w:r>
      <w:r>
        <w:t>NIAA how PBC operational funding is being used and must ensure expenditure aligns with NIAA funding agreement terms and conditions and financial and performance reporting requirements.</w:t>
      </w:r>
    </w:p>
    <w:p w14:paraId="00155F91" w14:textId="2279613C" w:rsidR="00ED276E" w:rsidRDefault="00ED276E" w:rsidP="00D957A5">
      <w:pPr>
        <w:pStyle w:val="Heading2"/>
      </w:pPr>
      <w:r>
        <w:t>The role of NTRB/SPs</w:t>
      </w:r>
    </w:p>
    <w:p w14:paraId="4EFFE28A" w14:textId="1088BE53" w:rsidR="00ED276E" w:rsidRDefault="00ED276E" w:rsidP="00ED276E">
      <w:pPr>
        <w:pStyle w:val="BodyText"/>
      </w:pPr>
      <w:r>
        <w:t>NTRB/SPs use PBC operational funding to deliver a range of services that support PBCs. The type and level of support a PBC receives depends on its needs, available funding, and the NTRB/SP’s service approach.</w:t>
      </w:r>
    </w:p>
    <w:p w14:paraId="49A2B00F" w14:textId="06480A92" w:rsidR="00ED276E" w:rsidRDefault="00ED276E" w:rsidP="00ED276E">
      <w:pPr>
        <w:pStyle w:val="BodyText"/>
      </w:pPr>
      <w:r>
        <w:t>For many PBCs, operational funding will go towards activities that support them to meet their corporate and compliance obligations. PBCs that can demonstrate their capacity to deliver core activities and meet their legal and other obligations can work with their NTRB/SP to negotiate additional services that target other areas of need</w:t>
      </w:r>
      <w:r w:rsidR="006B0863">
        <w:t xml:space="preserve"> linked to their Native Title rights and interests.</w:t>
      </w:r>
    </w:p>
    <w:p w14:paraId="01491475" w14:textId="5FC446B9" w:rsidR="00ED276E" w:rsidRDefault="00ED276E" w:rsidP="00ED276E">
      <w:pPr>
        <w:pStyle w:val="BodyText"/>
      </w:pPr>
      <w:hyperlink w:anchor="_Attachment_A_–" w:history="1">
        <w:r w:rsidRPr="00A32EE5">
          <w:rPr>
            <w:rStyle w:val="Hyperlink"/>
            <w:b/>
            <w:bCs/>
            <w:color w:val="auto"/>
          </w:rPr>
          <w:t>Attachment A</w:t>
        </w:r>
      </w:hyperlink>
      <w:r w:rsidRPr="00A32EE5">
        <w:rPr>
          <w:color w:val="auto"/>
        </w:rPr>
        <w:t xml:space="preserve"> </w:t>
      </w:r>
      <w:r>
        <w:t>provides examples of activities that can be delivered through operational funding, noting it will not be possible to provide all of these services to all PBCs.</w:t>
      </w:r>
    </w:p>
    <w:p w14:paraId="533A1BAF" w14:textId="0D570890" w:rsidR="00ED276E" w:rsidRDefault="00ED276E" w:rsidP="00ED276E">
      <w:pPr>
        <w:pStyle w:val="BodyText"/>
      </w:pPr>
      <w:r>
        <w:lastRenderedPageBreak/>
        <w:t>NTRB/SPs and PBCs can also work together to use operational funding in ways that help Native Title holders to unlock economic opportunities. This can include supporting PBCs to engage with and respond to industry opportunities, and to identify their own economic opportunities, pursue grants or other program and service delivery arrangements.</w:t>
      </w:r>
    </w:p>
    <w:p w14:paraId="7744F3CB" w14:textId="77777777" w:rsidR="00ED276E" w:rsidRDefault="00ED276E" w:rsidP="00D957A5">
      <w:pPr>
        <w:pStyle w:val="Heading3"/>
      </w:pPr>
      <w:r>
        <w:t>Service Catalogues</w:t>
      </w:r>
    </w:p>
    <w:p w14:paraId="2B49B02D" w14:textId="77777777" w:rsidR="00ED276E" w:rsidRDefault="00ED276E" w:rsidP="00ED276E">
      <w:pPr>
        <w:pStyle w:val="BodyText"/>
      </w:pPr>
      <w:r>
        <w:t>NTRB/SPs must work with PBCs to develop a service catalogue outlining the types of support and services that PBCs can access in their region. The service catalogue should clearly explain:</w:t>
      </w:r>
    </w:p>
    <w:p w14:paraId="44F88AE2" w14:textId="0E018E62" w:rsidR="00ED276E" w:rsidRDefault="00B957E2" w:rsidP="00B97BF5">
      <w:pPr>
        <w:pStyle w:val="BodyText"/>
        <w:numPr>
          <w:ilvl w:val="0"/>
          <w:numId w:val="32"/>
        </w:numPr>
      </w:pPr>
      <w:r>
        <w:t>w</w:t>
      </w:r>
      <w:r w:rsidR="00ED276E">
        <w:t>hat support services are available to PBCs to help them meet their core legal, operational, and other Native Title obligations</w:t>
      </w:r>
    </w:p>
    <w:p w14:paraId="0DF4E675" w14:textId="5EE7F461" w:rsidR="00ED276E" w:rsidRDefault="00B957E2" w:rsidP="00B97BF5">
      <w:pPr>
        <w:pStyle w:val="BodyText"/>
        <w:numPr>
          <w:ilvl w:val="0"/>
          <w:numId w:val="32"/>
        </w:numPr>
      </w:pPr>
      <w:r>
        <w:t>o</w:t>
      </w:r>
      <w:r w:rsidR="00ED276E">
        <w:t>ther types of support offered and available</w:t>
      </w:r>
    </w:p>
    <w:p w14:paraId="0739CEA1" w14:textId="588C272C" w:rsidR="00ED276E" w:rsidRDefault="00B957E2" w:rsidP="00B97BF5">
      <w:pPr>
        <w:pStyle w:val="BodyText"/>
        <w:numPr>
          <w:ilvl w:val="0"/>
          <w:numId w:val="32"/>
        </w:numPr>
      </w:pPr>
      <w:r>
        <w:t>a</w:t>
      </w:r>
      <w:r w:rsidR="00ED276E">
        <w:t>greed service standards and decision-making protocols</w:t>
      </w:r>
    </w:p>
    <w:p w14:paraId="4FB8ABD6" w14:textId="20BB1C44" w:rsidR="00ED276E" w:rsidRDefault="004658C8" w:rsidP="00B97BF5">
      <w:pPr>
        <w:pStyle w:val="BodyText"/>
        <w:numPr>
          <w:ilvl w:val="0"/>
          <w:numId w:val="32"/>
        </w:numPr>
      </w:pPr>
      <w:r>
        <w:t>how services and funding will be delivered to PBCs</w:t>
      </w:r>
      <w:r w:rsidR="00ED276E">
        <w:t>, and</w:t>
      </w:r>
    </w:p>
    <w:p w14:paraId="7AA5172A" w14:textId="5FF2D46C" w:rsidR="00ED276E" w:rsidRDefault="00B957E2" w:rsidP="00B97BF5">
      <w:pPr>
        <w:pStyle w:val="BodyText"/>
        <w:numPr>
          <w:ilvl w:val="0"/>
          <w:numId w:val="32"/>
        </w:numPr>
      </w:pPr>
      <w:r>
        <w:t>m</w:t>
      </w:r>
      <w:r w:rsidR="00ED276E">
        <w:t>odels of support available to PBCs.</w:t>
      </w:r>
    </w:p>
    <w:p w14:paraId="2A76B213" w14:textId="77777777" w:rsidR="00ED276E" w:rsidRDefault="00ED276E" w:rsidP="00ED276E">
      <w:pPr>
        <w:pStyle w:val="BodyText"/>
      </w:pPr>
      <w:r>
        <w:t>Once finalised, NTRB/SPs should publish and distribute service catalogues so PBCs and their members can be aware of the support available to them.</w:t>
      </w:r>
    </w:p>
    <w:p w14:paraId="0A943A52" w14:textId="77777777" w:rsidR="00ED276E" w:rsidRDefault="00ED276E" w:rsidP="00D957A5">
      <w:pPr>
        <w:pStyle w:val="Heading3"/>
      </w:pPr>
      <w:r>
        <w:t>How NTRB/SPs can deliver PBC support</w:t>
      </w:r>
    </w:p>
    <w:p w14:paraId="738E0F1D" w14:textId="77777777" w:rsidR="00ED276E" w:rsidRDefault="00ED276E" w:rsidP="00ED276E">
      <w:pPr>
        <w:pStyle w:val="BodyText"/>
      </w:pPr>
      <w:r>
        <w:t>NTRB/SPs deliver operational support to PBCs in ways that consider what kind of support is best for each PBC.</w:t>
      </w:r>
    </w:p>
    <w:p w14:paraId="2BE6B5A3" w14:textId="77777777" w:rsidR="00ED276E" w:rsidRDefault="00ED276E" w:rsidP="00ED276E">
      <w:pPr>
        <w:pStyle w:val="BodyText"/>
      </w:pPr>
      <w:r>
        <w:t xml:space="preserve">NTRB/SPs are independent of the NIAA and can make decisions and set their own priorities in performing their functions under the </w:t>
      </w:r>
      <w:r w:rsidRPr="00FE29EB">
        <w:rPr>
          <w:i/>
          <w:iCs/>
        </w:rPr>
        <w:t>Native Title Act 1993</w:t>
      </w:r>
      <w:r>
        <w:t>, including how they deliver PBC operational funding to PBCs. The support NTRB/SPs provide to each PBC may vary depending on the circumstances and capacity of the PBC, associated costs and other regional and placed-based matters.</w:t>
      </w:r>
    </w:p>
    <w:p w14:paraId="4CD2E97C" w14:textId="77777777" w:rsidR="00ED276E" w:rsidRDefault="00ED276E" w:rsidP="00ED276E">
      <w:pPr>
        <w:pStyle w:val="BodyText"/>
      </w:pPr>
      <w:r>
        <w:t>The different service delivery models NTRB/SPs can use are outlined in the table below.</w:t>
      </w:r>
    </w:p>
    <w:p w14:paraId="52540786" w14:textId="77777777" w:rsidR="00ED276E" w:rsidRDefault="00ED276E" w:rsidP="00ED276E">
      <w:pPr>
        <w:pStyle w:val="BodyText"/>
      </w:pPr>
      <w:r>
        <w:t>Some NTRB/SPs may use a mix of delivery models to provide funding and support to PBCs in their region, while others may use only one or two of the delivery models.</w:t>
      </w:r>
    </w:p>
    <w:p w14:paraId="74840BFA" w14:textId="77777777" w:rsidR="00A933AC" w:rsidRDefault="00ED276E" w:rsidP="00ED276E">
      <w:pPr>
        <w:pStyle w:val="BodyText"/>
      </w:pPr>
      <w:r>
        <w:t>Regardless of which model of support an NTRB/SP uses, they should be able to explain to PBCs which model is being used, and why</w:t>
      </w:r>
      <w:r w:rsidR="007A4C27">
        <w:t>.</w:t>
      </w:r>
    </w:p>
    <w:p w14:paraId="48591576" w14:textId="77777777" w:rsidR="00F923F4" w:rsidRDefault="00F923F4">
      <w:pPr>
        <w:rPr>
          <w:sz w:val="22"/>
        </w:rPr>
      </w:pPr>
      <w:r>
        <w:br w:type="page"/>
      </w:r>
    </w:p>
    <w:p w14:paraId="09444595" w14:textId="11DF8E0C" w:rsidR="00ED276E" w:rsidRDefault="00ED276E" w:rsidP="00ED276E">
      <w:pPr>
        <w:pStyle w:val="BodyText"/>
      </w:pPr>
      <w:r>
        <w:lastRenderedPageBreak/>
        <w:t xml:space="preserve">PBCs can receive operational support from their NTRB/SP in </w:t>
      </w:r>
      <w:r w:rsidR="003E760A">
        <w:t>4</w:t>
      </w:r>
      <w:r>
        <w:t xml:space="preserve"> main ways: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our ways of optional support"/>
      </w:tblPr>
      <w:tblGrid>
        <w:gridCol w:w="5097"/>
        <w:gridCol w:w="5097"/>
      </w:tblGrid>
      <w:tr w:rsidR="00091206" w:rsidRPr="00091206" w14:paraId="05D8EEEC" w14:textId="77777777" w:rsidTr="00091206">
        <w:tc>
          <w:tcPr>
            <w:tcW w:w="5097" w:type="dxa"/>
          </w:tcPr>
          <w:p w14:paraId="2B2C339F" w14:textId="469F3DDC" w:rsidR="00DA703B" w:rsidRDefault="00DA703B" w:rsidP="00D957A5">
            <w:pPr>
              <w:pStyle w:val="Heading4"/>
            </w:pPr>
            <w:r>
              <w:t>Reimbursement</w:t>
            </w:r>
            <w:r>
              <w:rPr>
                <w:spacing w:val="-21"/>
              </w:rPr>
              <w:t xml:space="preserve"> </w:t>
            </w:r>
            <w:r>
              <w:t>of</w:t>
            </w:r>
            <w:r>
              <w:rPr>
                <w:spacing w:val="-21"/>
              </w:rPr>
              <w:t xml:space="preserve"> </w:t>
            </w:r>
            <w:r w:rsidR="00811508">
              <w:t>c</w:t>
            </w:r>
            <w:r>
              <w:t>osts</w:t>
            </w:r>
            <w:r>
              <w:rPr>
                <w:spacing w:val="-23"/>
              </w:rPr>
              <w:t xml:space="preserve"> </w:t>
            </w:r>
            <w:r>
              <w:t xml:space="preserve">or </w:t>
            </w:r>
            <w:r w:rsidR="00811508">
              <w:rPr>
                <w:spacing w:val="-2"/>
              </w:rPr>
              <w:t>i</w:t>
            </w:r>
            <w:r>
              <w:rPr>
                <w:spacing w:val="-2"/>
              </w:rPr>
              <w:t>nvoicing</w:t>
            </w:r>
          </w:p>
          <w:p w14:paraId="59C51AD3" w14:textId="77777777" w:rsidR="00DA703B" w:rsidRDefault="00DA703B" w:rsidP="00DA703B">
            <w:pPr>
              <w:pStyle w:val="TableParagraph"/>
              <w:numPr>
                <w:ilvl w:val="0"/>
                <w:numId w:val="34"/>
              </w:numPr>
              <w:tabs>
                <w:tab w:val="left" w:pos="468"/>
              </w:tabs>
              <w:spacing w:before="158" w:line="290" w:lineRule="auto"/>
              <w:ind w:right="589"/>
            </w:pPr>
            <w:r>
              <w:rPr>
                <w:color w:val="252525"/>
              </w:rPr>
              <w:t>The</w:t>
            </w:r>
            <w:r>
              <w:rPr>
                <w:color w:val="252525"/>
                <w:spacing w:val="-6"/>
              </w:rPr>
              <w:t xml:space="preserve"> </w:t>
            </w:r>
            <w:r>
              <w:rPr>
                <w:color w:val="252525"/>
              </w:rPr>
              <w:t>NTRB/SP</w:t>
            </w:r>
            <w:r>
              <w:rPr>
                <w:color w:val="252525"/>
                <w:spacing w:val="-8"/>
              </w:rPr>
              <w:t xml:space="preserve"> </w:t>
            </w:r>
            <w:r>
              <w:rPr>
                <w:color w:val="252525"/>
              </w:rPr>
              <w:t>holds</w:t>
            </w:r>
            <w:r>
              <w:rPr>
                <w:color w:val="252525"/>
                <w:spacing w:val="-8"/>
              </w:rPr>
              <w:t xml:space="preserve"> </w:t>
            </w:r>
            <w:r>
              <w:rPr>
                <w:color w:val="252525"/>
              </w:rPr>
              <w:t>and</w:t>
            </w:r>
            <w:r>
              <w:rPr>
                <w:color w:val="252525"/>
                <w:spacing w:val="-7"/>
              </w:rPr>
              <w:t xml:space="preserve"> </w:t>
            </w:r>
            <w:r>
              <w:rPr>
                <w:color w:val="252525"/>
              </w:rPr>
              <w:t>manages</w:t>
            </w:r>
            <w:r>
              <w:rPr>
                <w:color w:val="252525"/>
                <w:spacing w:val="-6"/>
              </w:rPr>
              <w:t xml:space="preserve"> </w:t>
            </w:r>
            <w:r>
              <w:rPr>
                <w:color w:val="252525"/>
              </w:rPr>
              <w:t>operational funding on behalf of the PBC.</w:t>
            </w:r>
          </w:p>
          <w:p w14:paraId="1DC278EA" w14:textId="77777777" w:rsidR="00B957E2" w:rsidRPr="00B957E2" w:rsidRDefault="00DA703B" w:rsidP="00B957E2">
            <w:pPr>
              <w:pStyle w:val="TableParagraph"/>
              <w:numPr>
                <w:ilvl w:val="0"/>
                <w:numId w:val="34"/>
              </w:numPr>
              <w:tabs>
                <w:tab w:val="left" w:pos="468"/>
              </w:tabs>
              <w:spacing w:before="115" w:line="288" w:lineRule="auto"/>
              <w:ind w:right="648"/>
            </w:pPr>
            <w:r>
              <w:rPr>
                <w:color w:val="252525"/>
              </w:rPr>
              <w:t>The</w:t>
            </w:r>
            <w:r>
              <w:rPr>
                <w:color w:val="252525"/>
                <w:spacing w:val="-5"/>
              </w:rPr>
              <w:t xml:space="preserve"> </w:t>
            </w:r>
            <w:r>
              <w:rPr>
                <w:color w:val="252525"/>
              </w:rPr>
              <w:t>NTRB/SP</w:t>
            </w:r>
            <w:r>
              <w:rPr>
                <w:color w:val="252525"/>
                <w:spacing w:val="-7"/>
              </w:rPr>
              <w:t xml:space="preserve"> </w:t>
            </w:r>
            <w:r>
              <w:rPr>
                <w:color w:val="252525"/>
              </w:rPr>
              <w:t>reimburses</w:t>
            </w:r>
            <w:r>
              <w:rPr>
                <w:color w:val="252525"/>
                <w:spacing w:val="-7"/>
              </w:rPr>
              <w:t xml:space="preserve"> </w:t>
            </w:r>
            <w:r>
              <w:rPr>
                <w:color w:val="252525"/>
              </w:rPr>
              <w:t>the</w:t>
            </w:r>
            <w:r>
              <w:rPr>
                <w:color w:val="252525"/>
                <w:spacing w:val="-5"/>
              </w:rPr>
              <w:t xml:space="preserve"> </w:t>
            </w:r>
            <w:r>
              <w:rPr>
                <w:color w:val="252525"/>
              </w:rPr>
              <w:t>PBC</w:t>
            </w:r>
            <w:r>
              <w:rPr>
                <w:color w:val="252525"/>
                <w:spacing w:val="-8"/>
              </w:rPr>
              <w:t xml:space="preserve"> </w:t>
            </w:r>
            <w:r>
              <w:rPr>
                <w:color w:val="252525"/>
              </w:rPr>
              <w:t>for</w:t>
            </w:r>
            <w:r>
              <w:rPr>
                <w:color w:val="252525"/>
                <w:spacing w:val="-8"/>
              </w:rPr>
              <w:t xml:space="preserve"> </w:t>
            </w:r>
            <w:r>
              <w:rPr>
                <w:color w:val="252525"/>
              </w:rPr>
              <w:t>eligible expenses or pays invoices directly.</w:t>
            </w:r>
          </w:p>
          <w:p w14:paraId="33F5721C" w14:textId="18DAD24C" w:rsidR="00ED276E" w:rsidRDefault="00DA703B" w:rsidP="00B957E2">
            <w:pPr>
              <w:pStyle w:val="TableParagraph"/>
              <w:numPr>
                <w:ilvl w:val="0"/>
                <w:numId w:val="34"/>
              </w:numPr>
              <w:tabs>
                <w:tab w:val="left" w:pos="468"/>
              </w:tabs>
              <w:spacing w:before="115" w:line="288" w:lineRule="auto"/>
              <w:ind w:right="648"/>
            </w:pPr>
            <w:r w:rsidRPr="00B957E2">
              <w:rPr>
                <w:color w:val="252525"/>
              </w:rPr>
              <w:t>The PBC is informed of the amount of funding available and the activities in scope. They then arrange</w:t>
            </w:r>
            <w:r w:rsidRPr="00B957E2">
              <w:rPr>
                <w:color w:val="252525"/>
                <w:spacing w:val="-5"/>
              </w:rPr>
              <w:t xml:space="preserve"> </w:t>
            </w:r>
            <w:r w:rsidRPr="00B957E2">
              <w:rPr>
                <w:color w:val="252525"/>
              </w:rPr>
              <w:t>services</w:t>
            </w:r>
            <w:r w:rsidRPr="00B957E2">
              <w:rPr>
                <w:color w:val="252525"/>
                <w:spacing w:val="-7"/>
              </w:rPr>
              <w:t xml:space="preserve"> </w:t>
            </w:r>
            <w:r w:rsidRPr="00B957E2">
              <w:rPr>
                <w:color w:val="252525"/>
              </w:rPr>
              <w:t>and</w:t>
            </w:r>
            <w:r w:rsidRPr="00B957E2">
              <w:rPr>
                <w:color w:val="252525"/>
                <w:spacing w:val="-7"/>
              </w:rPr>
              <w:t xml:space="preserve"> </w:t>
            </w:r>
            <w:r w:rsidRPr="00B957E2">
              <w:rPr>
                <w:color w:val="252525"/>
              </w:rPr>
              <w:t>submit</w:t>
            </w:r>
            <w:r w:rsidRPr="00B957E2">
              <w:rPr>
                <w:color w:val="252525"/>
                <w:spacing w:val="-5"/>
              </w:rPr>
              <w:t xml:space="preserve"> </w:t>
            </w:r>
            <w:r w:rsidRPr="00B957E2">
              <w:rPr>
                <w:color w:val="252525"/>
              </w:rPr>
              <w:t>invoices</w:t>
            </w:r>
            <w:r w:rsidRPr="00B957E2">
              <w:rPr>
                <w:color w:val="252525"/>
                <w:spacing w:val="-7"/>
              </w:rPr>
              <w:t xml:space="preserve"> </w:t>
            </w:r>
            <w:r w:rsidRPr="00B957E2">
              <w:rPr>
                <w:color w:val="252525"/>
              </w:rPr>
              <w:t>for</w:t>
            </w:r>
            <w:r w:rsidRPr="00B957E2">
              <w:rPr>
                <w:color w:val="252525"/>
                <w:spacing w:val="-8"/>
              </w:rPr>
              <w:t xml:space="preserve"> </w:t>
            </w:r>
            <w:r w:rsidRPr="00B957E2">
              <w:rPr>
                <w:color w:val="252525"/>
              </w:rPr>
              <w:t>payment.</w:t>
            </w:r>
          </w:p>
        </w:tc>
        <w:tc>
          <w:tcPr>
            <w:tcW w:w="5097" w:type="dxa"/>
          </w:tcPr>
          <w:p w14:paraId="10DCEF69" w14:textId="77777777" w:rsidR="00DA703B" w:rsidRDefault="00DA703B" w:rsidP="00D957A5">
            <w:pPr>
              <w:pStyle w:val="Heading4"/>
            </w:pPr>
            <w:r>
              <w:t>PBC Support Unit</w:t>
            </w:r>
          </w:p>
          <w:p w14:paraId="57725750" w14:textId="588C8349" w:rsidR="00DA703B" w:rsidRDefault="00DA703B" w:rsidP="00DA703B">
            <w:pPr>
              <w:pStyle w:val="BodyText"/>
              <w:numPr>
                <w:ilvl w:val="0"/>
                <w:numId w:val="35"/>
              </w:numPr>
              <w:spacing w:before="144" w:after="144"/>
            </w:pPr>
            <w:r>
              <w:t>Some NTRB/SPs may have a dedicated Support Unit that provide direct, tailored assistance to PBCs.</w:t>
            </w:r>
          </w:p>
          <w:p w14:paraId="5A19A5B2" w14:textId="7D559642" w:rsidR="00DA703B" w:rsidRDefault="00DA703B" w:rsidP="00DA703B">
            <w:pPr>
              <w:pStyle w:val="BodyText"/>
              <w:numPr>
                <w:ilvl w:val="0"/>
                <w:numId w:val="35"/>
              </w:numPr>
              <w:spacing w:before="144" w:after="144"/>
            </w:pPr>
            <w:r>
              <w:t>NTRB/SP staff may work exclusively with one PBC or support multiple PBCs.</w:t>
            </w:r>
          </w:p>
          <w:p w14:paraId="6A276EF7" w14:textId="3C2FF276" w:rsidR="00ED276E" w:rsidRDefault="00DA703B" w:rsidP="00DA703B">
            <w:pPr>
              <w:pStyle w:val="BodyText"/>
              <w:numPr>
                <w:ilvl w:val="0"/>
                <w:numId w:val="35"/>
              </w:numPr>
              <w:spacing w:before="144" w:after="144"/>
            </w:pPr>
            <w:r>
              <w:t>Support Unit staff help the PBC meet corporate requirements, such as arranging Directors’ meetings, organising A</w:t>
            </w:r>
            <w:r w:rsidR="00413413">
              <w:t xml:space="preserve">nnual </w:t>
            </w:r>
            <w:r>
              <w:t>G</w:t>
            </w:r>
            <w:r w:rsidR="00413413">
              <w:t xml:space="preserve">eneral </w:t>
            </w:r>
            <w:r>
              <w:t>M</w:t>
            </w:r>
            <w:r w:rsidR="00413413">
              <w:t>eeting</w:t>
            </w:r>
            <w:r>
              <w:t>s, and preparing required reports.</w:t>
            </w:r>
          </w:p>
        </w:tc>
      </w:tr>
      <w:tr w:rsidR="00ED276E" w14:paraId="45D7C79C" w14:textId="77777777" w:rsidTr="00091206">
        <w:tc>
          <w:tcPr>
            <w:tcW w:w="5097" w:type="dxa"/>
          </w:tcPr>
          <w:p w14:paraId="680D4CF4" w14:textId="77777777" w:rsidR="00DA703B" w:rsidRDefault="00DA703B" w:rsidP="00D957A5">
            <w:pPr>
              <w:pStyle w:val="Heading4"/>
            </w:pPr>
            <w:r>
              <w:t>Support offered on an ad hoc basis</w:t>
            </w:r>
          </w:p>
          <w:p w14:paraId="0E401EE0" w14:textId="4CED22C2" w:rsidR="00DA703B" w:rsidRDefault="00DA703B" w:rsidP="00DA703B">
            <w:pPr>
              <w:pStyle w:val="BodyText"/>
              <w:numPr>
                <w:ilvl w:val="0"/>
                <w:numId w:val="35"/>
              </w:numPr>
            </w:pPr>
            <w:r>
              <w:t>Support is provided when requested by the PBC.</w:t>
            </w:r>
          </w:p>
          <w:p w14:paraId="38101901" w14:textId="69DAE996" w:rsidR="00DA703B" w:rsidRDefault="00DA703B" w:rsidP="00DA703B">
            <w:pPr>
              <w:pStyle w:val="BodyText"/>
              <w:numPr>
                <w:ilvl w:val="0"/>
                <w:numId w:val="35"/>
              </w:numPr>
            </w:pPr>
            <w:r>
              <w:t>The NTRB/SP may also identify additional needs and offer extra support beyond what was requested.</w:t>
            </w:r>
          </w:p>
          <w:p w14:paraId="6E528A81" w14:textId="662BC421" w:rsidR="00ED276E" w:rsidRDefault="00DA703B" w:rsidP="00DA703B">
            <w:pPr>
              <w:pStyle w:val="BodyText"/>
              <w:numPr>
                <w:ilvl w:val="0"/>
                <w:numId w:val="35"/>
              </w:numPr>
            </w:pPr>
            <w:r>
              <w:t>This allows funds to be targeted to specific or unexpected needs.</w:t>
            </w:r>
          </w:p>
        </w:tc>
        <w:tc>
          <w:tcPr>
            <w:tcW w:w="5097" w:type="dxa"/>
          </w:tcPr>
          <w:p w14:paraId="43E0EF8A" w14:textId="77777777" w:rsidR="00DA703B" w:rsidRDefault="00DA703B" w:rsidP="00D957A5">
            <w:pPr>
              <w:pStyle w:val="Heading4"/>
            </w:pPr>
            <w:r>
              <w:t>NTRB/SP pays funding through to the PBC</w:t>
            </w:r>
          </w:p>
          <w:p w14:paraId="27525893" w14:textId="2F8C83FA" w:rsidR="00DA703B" w:rsidRDefault="00DA703B" w:rsidP="00DA703B">
            <w:pPr>
              <w:pStyle w:val="BodyText"/>
              <w:numPr>
                <w:ilvl w:val="0"/>
                <w:numId w:val="36"/>
              </w:numPr>
              <w:spacing w:after="60"/>
            </w:pPr>
            <w:r>
              <w:t>The full amount of operational funding is provided directly to the PBC to manage.</w:t>
            </w:r>
          </w:p>
          <w:p w14:paraId="1D1CD845" w14:textId="3CAFD72D" w:rsidR="00DA703B" w:rsidRDefault="00DA703B" w:rsidP="00DA703B">
            <w:pPr>
              <w:pStyle w:val="BodyText"/>
              <w:numPr>
                <w:ilvl w:val="0"/>
                <w:numId w:val="36"/>
              </w:numPr>
              <w:spacing w:after="60"/>
            </w:pPr>
            <w:r>
              <w:t>The PBC must use the funds according to an agreed budget or the terms set out in a service agreement with the NTRB/SP.</w:t>
            </w:r>
          </w:p>
          <w:p w14:paraId="6F986E99" w14:textId="40DEAC85" w:rsidR="00ED276E" w:rsidRDefault="00DA703B" w:rsidP="00DA703B">
            <w:pPr>
              <w:pStyle w:val="BodyText"/>
              <w:numPr>
                <w:ilvl w:val="0"/>
                <w:numId w:val="36"/>
              </w:numPr>
            </w:pPr>
            <w:r>
              <w:t>The PBC is required to report back to the NTRB/SP on how the funds were spent, as outlined in the service agreement.</w:t>
            </w:r>
          </w:p>
        </w:tc>
      </w:tr>
    </w:tbl>
    <w:p w14:paraId="45A3D60B" w14:textId="700E55A5" w:rsidR="00ED276E" w:rsidRDefault="00DA703B" w:rsidP="00DA703B">
      <w:pPr>
        <w:pStyle w:val="BodyText"/>
      </w:pPr>
      <w:r w:rsidRPr="00DA703B">
        <w:t>PBCs are encouraged to talk with their NTRB/SP to confirm which support options are available to them, who their contact person is, and how funding and reporting will work. PBCs that would like to transition to a support or funding delivery model that better meets their needs are encouraged to discuss their options directly with their NTRB/SP.</w:t>
      </w:r>
    </w:p>
    <w:p w14:paraId="39572C9A" w14:textId="77777777" w:rsidR="00ED276E" w:rsidRDefault="00ED276E" w:rsidP="00D957A5">
      <w:pPr>
        <w:pStyle w:val="Heading3"/>
      </w:pPr>
      <w:r>
        <w:t>Service Agreements</w:t>
      </w:r>
    </w:p>
    <w:p w14:paraId="6056F59F" w14:textId="2C62BFF9" w:rsidR="00ED276E" w:rsidRDefault="00ED276E" w:rsidP="00ED276E">
      <w:pPr>
        <w:pStyle w:val="BodyText"/>
      </w:pPr>
      <w:r>
        <w:t xml:space="preserve">Each NTRB/SP must work with the PBCs within its </w:t>
      </w:r>
      <w:r w:rsidR="00A74597">
        <w:t xml:space="preserve">RATSIB </w:t>
      </w:r>
      <w:r>
        <w:t xml:space="preserve">to enter into formal service agreements for PBC </w:t>
      </w:r>
      <w:r w:rsidR="000230BC">
        <w:t xml:space="preserve">operational </w:t>
      </w:r>
      <w:r w:rsidR="00150C06">
        <w:t>s</w:t>
      </w:r>
      <w:r>
        <w:t xml:space="preserve">upport. These agreements will outline to PBCs the types of services being delivered, and how PBCs will receive this support. NTRB/SPs are encouraged to consider the different capacity levels of individual PBCs when entering into these agreements (for example, in some cases, short form agreements like an exchange of letters may be appropriate). Whatever agreements are in place, at a minimum </w:t>
      </w:r>
      <w:r w:rsidR="00A74597">
        <w:t>they should cover</w:t>
      </w:r>
      <w:r>
        <w:t>:</w:t>
      </w:r>
    </w:p>
    <w:p w14:paraId="0319C143" w14:textId="1BCB5D06" w:rsidR="00ED276E" w:rsidRDefault="00ED276E" w:rsidP="00B97BF5">
      <w:pPr>
        <w:pStyle w:val="BodyText"/>
        <w:numPr>
          <w:ilvl w:val="0"/>
          <w:numId w:val="32"/>
        </w:numPr>
      </w:pPr>
      <w:r>
        <w:t>the services being provided to the PBC and how they will be delivered</w:t>
      </w:r>
    </w:p>
    <w:p w14:paraId="44495491" w14:textId="51184B0D" w:rsidR="00ED276E" w:rsidRDefault="00ED276E" w:rsidP="00B97BF5">
      <w:pPr>
        <w:pStyle w:val="BodyText"/>
        <w:numPr>
          <w:ilvl w:val="0"/>
          <w:numId w:val="32"/>
        </w:numPr>
      </w:pPr>
      <w:r>
        <w:t>the roles and responsibilities of NTRB/SPs and PBCs</w:t>
      </w:r>
    </w:p>
    <w:p w14:paraId="4C3E0E19" w14:textId="32A10076" w:rsidR="00ED276E" w:rsidRDefault="00ED276E" w:rsidP="00B97BF5">
      <w:pPr>
        <w:pStyle w:val="BodyText"/>
        <w:numPr>
          <w:ilvl w:val="0"/>
          <w:numId w:val="32"/>
        </w:numPr>
      </w:pPr>
      <w:r>
        <w:t>how disputes will be managed including response timeframes, review processes and escalation pathways</w:t>
      </w:r>
    </w:p>
    <w:p w14:paraId="08EFC1B7" w14:textId="01CC1818" w:rsidR="00ED276E" w:rsidRDefault="00ED276E" w:rsidP="00B97BF5">
      <w:pPr>
        <w:pStyle w:val="BodyText"/>
        <w:numPr>
          <w:ilvl w:val="0"/>
          <w:numId w:val="32"/>
        </w:numPr>
      </w:pPr>
      <w:r>
        <w:t>annual reports including details of how funding has supported the PBC to increase its capacity</w:t>
      </w:r>
      <w:r w:rsidR="00B957E2">
        <w:t>.</w:t>
      </w:r>
    </w:p>
    <w:p w14:paraId="247E819D" w14:textId="3503EE99" w:rsidR="00A275A2" w:rsidRDefault="00ED276E" w:rsidP="00337885">
      <w:pPr>
        <w:pStyle w:val="BodyText"/>
      </w:pPr>
      <w:r>
        <w:lastRenderedPageBreak/>
        <w:t xml:space="preserve">NTRB/SPs are encouraged to make the agreement available to the PBC’s </w:t>
      </w:r>
      <w:r w:rsidR="007539CB">
        <w:t>D</w:t>
      </w:r>
      <w:r>
        <w:t>irectors, members, or Common Law</w:t>
      </w:r>
      <w:r w:rsidR="4A26315C">
        <w:t xml:space="preserve"> </w:t>
      </w:r>
      <w:r>
        <w:t>holders on request to demonstrate transparency of service delivery.</w:t>
      </w:r>
    </w:p>
    <w:p w14:paraId="283C44AD" w14:textId="7EAB20E3" w:rsidR="00D64473" w:rsidRPr="004201B0" w:rsidRDefault="00ED276E" w:rsidP="004201B0">
      <w:pPr>
        <w:pStyle w:val="Heading2"/>
        <w:rPr>
          <w:b/>
          <w:bCs/>
        </w:rPr>
      </w:pPr>
      <w:bookmarkStart w:id="0" w:name="_Attachment_A_–"/>
      <w:bookmarkEnd w:id="0"/>
      <w:r w:rsidRPr="004201B0">
        <w:rPr>
          <w:b/>
          <w:bCs/>
        </w:rPr>
        <w:t xml:space="preserve">Attachment A – Activities that may be delivered through </w:t>
      </w:r>
      <w:r w:rsidR="002C6A55" w:rsidRPr="004201B0">
        <w:rPr>
          <w:b/>
          <w:bCs/>
        </w:rPr>
        <w:t xml:space="preserve">PBC </w:t>
      </w:r>
      <w:r w:rsidRPr="004201B0">
        <w:rPr>
          <w:b/>
          <w:bCs/>
        </w:rPr>
        <w:t>operational funding</w:t>
      </w:r>
    </w:p>
    <w:p w14:paraId="4067817E" w14:textId="4DBEB548" w:rsidR="0070555D" w:rsidRDefault="009B2FF9" w:rsidP="009B2FF9">
      <w:pPr>
        <w:pStyle w:val="BodyText"/>
      </w:pPr>
      <w:r w:rsidRPr="009B2FF9">
        <w:t xml:space="preserve">PBCs play a key role in First Nations economic participation and empowerment. Building capacity to meet corporate and legislative obligations enables </w:t>
      </w:r>
      <w:r w:rsidR="00E96851">
        <w:t>PBCs</w:t>
      </w:r>
      <w:r w:rsidRPr="009B2FF9">
        <w:t xml:space="preserve"> to engage with government and industry, pursue economic opportunities, generate their own revenue, and invest in the priorities of Traditional Owners and their communities.</w:t>
      </w:r>
      <w:r w:rsidR="00DC50BD">
        <w:t xml:space="preserve"> </w:t>
      </w:r>
      <w:r w:rsidRPr="009B2FF9">
        <w:t>PBCs are best placed to determine what economic empowerment means for their corporation</w:t>
      </w:r>
      <w:r w:rsidR="00AC6B6B">
        <w:t xml:space="preserve">, members, and Native Title holders, and which activities </w:t>
      </w:r>
      <w:r w:rsidR="00F414D2">
        <w:t>will support this</w:t>
      </w:r>
      <w:r w:rsidR="00CB7907">
        <w:t>, and should speak to their NTRB/SPs about their aspirations</w:t>
      </w:r>
      <w:r w:rsidR="00F414D2">
        <w:t>.</w:t>
      </w:r>
    </w:p>
    <w:p w14:paraId="3C5E60CD" w14:textId="645FE41A" w:rsidR="00A275A2" w:rsidRPr="009B2FF9" w:rsidRDefault="001D14AC" w:rsidP="009B2FF9">
      <w:pPr>
        <w:pStyle w:val="BodyText"/>
      </w:pPr>
      <w:r>
        <w:t xml:space="preserve">With this in mind, the below </w:t>
      </w:r>
      <w:r w:rsidR="006132AA">
        <w:t xml:space="preserve">list provides examples of </w:t>
      </w:r>
      <w:r w:rsidR="00D863AF">
        <w:t xml:space="preserve">activities that may be delivered through PBC operational funding. </w:t>
      </w:r>
      <w:r w:rsidR="003A2196">
        <w:t>This is not an exhaustive list</w:t>
      </w:r>
      <w:r w:rsidR="0049701E">
        <w:t>.</w:t>
      </w:r>
      <w:r w:rsidR="00C12B19">
        <w:t xml:space="preserve"> </w:t>
      </w:r>
      <w:r w:rsidR="0070555D">
        <w:t>PBCs can work with the</w:t>
      </w:r>
      <w:r w:rsidR="0049701E">
        <w:t>ir</w:t>
      </w:r>
      <w:r w:rsidR="0070555D">
        <w:t xml:space="preserve"> NTRB/SP to develop arrangements that work for them</w:t>
      </w:r>
      <w:r w:rsidR="005B68A8">
        <w:t>.</w:t>
      </w:r>
    </w:p>
    <w:p w14:paraId="0D5CEAC3" w14:textId="77777777" w:rsidR="00F51122" w:rsidRDefault="00ED276E" w:rsidP="004201B0">
      <w:pPr>
        <w:pStyle w:val="Heading3"/>
        <w:rPr>
          <w:b/>
          <w:bCs/>
        </w:rPr>
      </w:pPr>
      <w:bookmarkStart w:id="1" w:name="_First_Priority"/>
      <w:bookmarkEnd w:id="1"/>
      <w:r w:rsidRPr="004201B0">
        <w:rPr>
          <w:b/>
          <w:bCs/>
        </w:rPr>
        <w:t xml:space="preserve">Organisational and </w:t>
      </w:r>
      <w:r w:rsidR="00D259C0" w:rsidRPr="004201B0">
        <w:rPr>
          <w:b/>
          <w:bCs/>
        </w:rPr>
        <w:t>g</w:t>
      </w:r>
      <w:r w:rsidRPr="004201B0">
        <w:rPr>
          <w:b/>
          <w:bCs/>
        </w:rPr>
        <w:t xml:space="preserve">overnance </w:t>
      </w:r>
      <w:r w:rsidR="00D259C0" w:rsidRPr="004201B0">
        <w:rPr>
          <w:b/>
          <w:bCs/>
        </w:rPr>
        <w:t>s</w:t>
      </w:r>
      <w:r w:rsidRPr="004201B0">
        <w:rPr>
          <w:b/>
          <w:bCs/>
        </w:rPr>
        <w:t>upport</w:t>
      </w:r>
    </w:p>
    <w:p w14:paraId="0D3CDF47" w14:textId="47971A6D" w:rsidR="00F51122" w:rsidRDefault="00F51122" w:rsidP="00F51122">
      <w:pPr>
        <w:pStyle w:val="BodyText"/>
        <w:numPr>
          <w:ilvl w:val="0"/>
          <w:numId w:val="45"/>
        </w:numPr>
      </w:pPr>
      <w:r w:rsidRPr="00F51122">
        <w:t>delivery of General and Annual General meetings including logistical and secretariat support, meeting room hire, travel for PBC members and/or Native Title holders, audio and video-conferencing facilities, and any other reasonable costs associated with meeting delivery</w:t>
      </w:r>
    </w:p>
    <w:p w14:paraId="534FD9AC" w14:textId="3AF612D2" w:rsidR="00F51122" w:rsidRPr="00F51122" w:rsidRDefault="00F51122" w:rsidP="00F51122">
      <w:pPr>
        <w:pStyle w:val="BodyText"/>
        <w:numPr>
          <w:ilvl w:val="0"/>
          <w:numId w:val="45"/>
        </w:numPr>
      </w:pPr>
      <w:r w:rsidRPr="00F51122">
        <w:t>complaints management and dispute resolution services (including maintaining a complaints register)</w:t>
      </w:r>
    </w:p>
    <w:p w14:paraId="395E879B" w14:textId="1ED75F85" w:rsidR="00F51122" w:rsidRPr="00F51122" w:rsidRDefault="00F51122" w:rsidP="00F51122">
      <w:pPr>
        <w:pStyle w:val="BodyText"/>
        <w:numPr>
          <w:ilvl w:val="0"/>
          <w:numId w:val="45"/>
        </w:numPr>
      </w:pPr>
      <w:r w:rsidRPr="00F51122">
        <w:t>support with Native Title processes (e.g. managing access to Country and engaging with proponents)</w:t>
      </w:r>
    </w:p>
    <w:p w14:paraId="7A852344" w14:textId="43E1C6DE" w:rsidR="00F51122" w:rsidRPr="00F51122" w:rsidRDefault="00F51122" w:rsidP="00F51122">
      <w:pPr>
        <w:pStyle w:val="BodyText"/>
        <w:numPr>
          <w:ilvl w:val="0"/>
          <w:numId w:val="45"/>
        </w:numPr>
      </w:pPr>
      <w:r w:rsidRPr="00F51122">
        <w:t>Rulebook reviews and amendments</w:t>
      </w:r>
    </w:p>
    <w:p w14:paraId="13A12E8E" w14:textId="01E18617" w:rsidR="00F51122" w:rsidRDefault="00F51122" w:rsidP="00F51122">
      <w:pPr>
        <w:pStyle w:val="BodyText"/>
        <w:numPr>
          <w:ilvl w:val="0"/>
          <w:numId w:val="45"/>
        </w:numPr>
      </w:pPr>
      <w:r w:rsidRPr="00F51122">
        <w:t>statutory reporting requirements</w:t>
      </w:r>
    </w:p>
    <w:p w14:paraId="60A6DF5D" w14:textId="517188DD" w:rsidR="00F51122" w:rsidRPr="00F51122" w:rsidRDefault="00F51122" w:rsidP="00F51122">
      <w:pPr>
        <w:pStyle w:val="BodyText"/>
        <w:numPr>
          <w:ilvl w:val="0"/>
          <w:numId w:val="45"/>
        </w:numPr>
      </w:pPr>
      <w:r w:rsidRPr="00F51122">
        <w:t>culturally appropriate decision-making</w:t>
      </w:r>
    </w:p>
    <w:p w14:paraId="3F0C6361" w14:textId="081DFF8D" w:rsidR="00F51122" w:rsidRDefault="00F51122" w:rsidP="00F51122">
      <w:pPr>
        <w:pStyle w:val="BodyText"/>
        <w:numPr>
          <w:ilvl w:val="0"/>
          <w:numId w:val="45"/>
        </w:numPr>
      </w:pPr>
      <w:r w:rsidRPr="00F51122">
        <w:t>communications (e.g. meeting notifications, website, social media, newsletter)</w:t>
      </w:r>
    </w:p>
    <w:p w14:paraId="7CD3CFC5" w14:textId="7809C331" w:rsidR="00F51122" w:rsidRPr="00F51122" w:rsidRDefault="00F51122" w:rsidP="00F51122">
      <w:pPr>
        <w:pStyle w:val="BodyText"/>
        <w:numPr>
          <w:ilvl w:val="0"/>
          <w:numId w:val="45"/>
        </w:numPr>
      </w:pPr>
      <w:r w:rsidRPr="00F51122">
        <w:t>PBC Director and staff training (covering governance, decision-making, financial reporting etc).</w:t>
      </w:r>
    </w:p>
    <w:p w14:paraId="3AC84958" w14:textId="11868DF1" w:rsidR="00D54A94" w:rsidRDefault="00F51122" w:rsidP="00204029">
      <w:pPr>
        <w:pStyle w:val="BodyText"/>
        <w:numPr>
          <w:ilvl w:val="0"/>
          <w:numId w:val="45"/>
        </w:numPr>
      </w:pPr>
      <w:r w:rsidRPr="00F51122">
        <w:t>facilitating and processing membership applications</w:t>
      </w:r>
    </w:p>
    <w:p w14:paraId="13750B26" w14:textId="4C149519" w:rsidR="00F51122" w:rsidRPr="004201B0" w:rsidRDefault="00F51122" w:rsidP="004201B0">
      <w:pPr>
        <w:pStyle w:val="Heading3"/>
        <w:rPr>
          <w:b/>
          <w:bCs/>
        </w:rPr>
      </w:pPr>
      <w:r w:rsidRPr="004201B0">
        <w:rPr>
          <w:b/>
          <w:bCs/>
        </w:rPr>
        <w:t>Other administrative support</w:t>
      </w:r>
    </w:p>
    <w:p w14:paraId="0C397717" w14:textId="68EFF8CB" w:rsidR="00F51122" w:rsidRDefault="00F51122" w:rsidP="00F51122">
      <w:pPr>
        <w:pStyle w:val="BodyText"/>
        <w:numPr>
          <w:ilvl w:val="0"/>
          <w:numId w:val="50"/>
        </w:numPr>
      </w:pPr>
      <w:r>
        <w:t>office expenses (including rent, utilities, equipment)</w:t>
      </w:r>
    </w:p>
    <w:p w14:paraId="139A6F5F" w14:textId="026C122D" w:rsidR="00F51122" w:rsidRDefault="00F51122" w:rsidP="00F51122">
      <w:pPr>
        <w:pStyle w:val="BodyText"/>
        <w:numPr>
          <w:ilvl w:val="0"/>
          <w:numId w:val="50"/>
        </w:numPr>
      </w:pPr>
      <w:r>
        <w:t>vehicle expenses (including fuel, registration and insurance)</w:t>
      </w:r>
    </w:p>
    <w:p w14:paraId="26AF43F7" w14:textId="74208890" w:rsidR="00F51122" w:rsidRDefault="00F51122" w:rsidP="00F51122">
      <w:pPr>
        <w:pStyle w:val="BodyText"/>
        <w:numPr>
          <w:ilvl w:val="0"/>
          <w:numId w:val="50"/>
        </w:numPr>
      </w:pPr>
      <w:r>
        <w:t>Human Resource (HR) services including for payroll, workplace health and safety, data management, policies and procedures, audit and other HR systems</w:t>
      </w:r>
    </w:p>
    <w:p w14:paraId="2CCF13E7" w14:textId="40C63ED8" w:rsidR="00F51122" w:rsidRDefault="00F51122" w:rsidP="00F51122">
      <w:pPr>
        <w:pStyle w:val="BodyText"/>
        <w:numPr>
          <w:ilvl w:val="0"/>
          <w:numId w:val="50"/>
        </w:numPr>
      </w:pPr>
      <w:r>
        <w:t>executive support including engaging staff such as an administrative assistant or operations manager</w:t>
      </w:r>
    </w:p>
    <w:p w14:paraId="1F3B4F19" w14:textId="29261B2D" w:rsidR="00F51122" w:rsidRDefault="00F51122" w:rsidP="00F51122">
      <w:pPr>
        <w:pStyle w:val="BodyText"/>
        <w:numPr>
          <w:ilvl w:val="0"/>
          <w:numId w:val="50"/>
        </w:numPr>
      </w:pPr>
      <w:r>
        <w:t>general insurance requirements, including public liability</w:t>
      </w:r>
    </w:p>
    <w:p w14:paraId="48A895C9" w14:textId="62D6828F" w:rsidR="00540754" w:rsidRDefault="00F51122" w:rsidP="00F51122">
      <w:pPr>
        <w:pStyle w:val="BodyText"/>
        <w:numPr>
          <w:ilvl w:val="0"/>
          <w:numId w:val="49"/>
        </w:numPr>
      </w:pPr>
      <w:r>
        <w:t>corporate compliance matters.</w:t>
      </w:r>
    </w:p>
    <w:p w14:paraId="4156452E" w14:textId="00549A1A" w:rsidR="00F51122" w:rsidRPr="00540754" w:rsidRDefault="00F51122" w:rsidP="00540754">
      <w:pPr>
        <w:pStyle w:val="Heading3"/>
        <w:rPr>
          <w:b/>
          <w:bCs/>
        </w:rPr>
      </w:pPr>
      <w:r w:rsidRPr="00540754">
        <w:rPr>
          <w:b/>
          <w:bCs/>
        </w:rPr>
        <w:lastRenderedPageBreak/>
        <w:t>Business and economic development</w:t>
      </w:r>
    </w:p>
    <w:p w14:paraId="25A8BA0C" w14:textId="1380668B" w:rsidR="00F51122" w:rsidRDefault="00F51122" w:rsidP="00F51122">
      <w:pPr>
        <w:pStyle w:val="BodyText"/>
        <w:numPr>
          <w:ilvl w:val="0"/>
          <w:numId w:val="49"/>
        </w:numPr>
      </w:pPr>
      <w:r>
        <w:t>support to establish fee for service arrangements</w:t>
      </w:r>
    </w:p>
    <w:p w14:paraId="54F62B03" w14:textId="27CA0923" w:rsidR="00F51122" w:rsidRDefault="00F51122" w:rsidP="00F51122">
      <w:pPr>
        <w:pStyle w:val="BodyText"/>
        <w:numPr>
          <w:ilvl w:val="0"/>
          <w:numId w:val="49"/>
        </w:numPr>
      </w:pPr>
      <w:r>
        <w:t>strategic planning and reporting to support a PBC to understand opportunities and risks, and work with members and Native Title holders to outline the goals and aspirations of the PBC</w:t>
      </w:r>
    </w:p>
    <w:p w14:paraId="02DCE4F7" w14:textId="3A12AA38" w:rsidR="00F51122" w:rsidRDefault="00F51122" w:rsidP="00F51122">
      <w:pPr>
        <w:pStyle w:val="BodyText"/>
        <w:numPr>
          <w:ilvl w:val="0"/>
          <w:numId w:val="49"/>
        </w:numPr>
      </w:pPr>
      <w:r>
        <w:t>grant writing workshops or capacity building, to enable PBCs to secure grant application assistance to secure funding from other Commonwealth and/or state and territory programs</w:t>
      </w:r>
    </w:p>
    <w:p w14:paraId="6F488728" w14:textId="5325DCCE" w:rsidR="00F51122" w:rsidRDefault="00F51122" w:rsidP="00F51122">
      <w:pPr>
        <w:pStyle w:val="BodyText"/>
        <w:numPr>
          <w:ilvl w:val="0"/>
          <w:numId w:val="49"/>
        </w:numPr>
      </w:pPr>
      <w:r>
        <w:t>member education (e.g. to promote understanding of Native Title; support collective decision-making).</w:t>
      </w:r>
    </w:p>
    <w:p w14:paraId="4C7608E9" w14:textId="77777777" w:rsidR="00F51122" w:rsidRPr="004201B0" w:rsidRDefault="00F51122" w:rsidP="004201B0">
      <w:pPr>
        <w:pStyle w:val="Heading3"/>
        <w:rPr>
          <w:b/>
          <w:bCs/>
        </w:rPr>
      </w:pPr>
      <w:r w:rsidRPr="004201B0">
        <w:rPr>
          <w:b/>
          <w:bCs/>
        </w:rPr>
        <w:t>Financial support</w:t>
      </w:r>
    </w:p>
    <w:p w14:paraId="6740BB78" w14:textId="4947F73F" w:rsidR="00F51122" w:rsidRDefault="00F51122" w:rsidP="00F51122">
      <w:pPr>
        <w:pStyle w:val="BodyText"/>
        <w:numPr>
          <w:ilvl w:val="0"/>
          <w:numId w:val="48"/>
        </w:numPr>
      </w:pPr>
      <w:r>
        <w:t>record keeping and financial statement preparation</w:t>
      </w:r>
    </w:p>
    <w:p w14:paraId="3964C8DB" w14:textId="350E02C3" w:rsidR="00F51122" w:rsidRDefault="00F51122" w:rsidP="00F51122">
      <w:pPr>
        <w:pStyle w:val="BodyText"/>
        <w:numPr>
          <w:ilvl w:val="0"/>
          <w:numId w:val="48"/>
        </w:numPr>
      </w:pPr>
      <w:r>
        <w:t>establishing financial policies and procedures</w:t>
      </w:r>
    </w:p>
    <w:p w14:paraId="6A7A405D" w14:textId="323C676C" w:rsidR="00F51122" w:rsidRDefault="00F51122" w:rsidP="00F51122">
      <w:pPr>
        <w:pStyle w:val="BodyText"/>
        <w:numPr>
          <w:ilvl w:val="0"/>
          <w:numId w:val="48"/>
        </w:numPr>
      </w:pPr>
      <w:r>
        <w:t>financial planning, management and advice including for PBC finances and any externally held funds (e.g. trust funds)</w:t>
      </w:r>
    </w:p>
    <w:p w14:paraId="6F042293" w14:textId="2669CE93" w:rsidR="00F51122" w:rsidRDefault="00F51122" w:rsidP="00F51122">
      <w:pPr>
        <w:pStyle w:val="BodyText"/>
        <w:numPr>
          <w:ilvl w:val="0"/>
          <w:numId w:val="48"/>
        </w:numPr>
      </w:pPr>
      <w:r>
        <w:t>accounting and financial advice to assist with budgeting, payments accounting or other financial matters.</w:t>
      </w:r>
    </w:p>
    <w:p w14:paraId="0CAF45BC" w14:textId="12165593" w:rsidR="00F51122" w:rsidRPr="004201B0" w:rsidRDefault="00F51122" w:rsidP="004201B0">
      <w:pPr>
        <w:pStyle w:val="Heading3"/>
        <w:rPr>
          <w:b/>
          <w:bCs/>
        </w:rPr>
      </w:pPr>
      <w:r w:rsidRPr="004201B0">
        <w:rPr>
          <w:b/>
          <w:bCs/>
        </w:rPr>
        <w:t>Legal support</w:t>
      </w:r>
    </w:p>
    <w:p w14:paraId="3B12F92A" w14:textId="1C3F57F9" w:rsidR="00F51122" w:rsidRDefault="00F51122" w:rsidP="00F51122">
      <w:pPr>
        <w:pStyle w:val="BodyText"/>
        <w:numPr>
          <w:ilvl w:val="0"/>
          <w:numId w:val="47"/>
        </w:numPr>
      </w:pPr>
      <w:r>
        <w:t>legal advice to assist in responding to Future Acts and other Native Title applications and post-determination matters.</w:t>
      </w:r>
    </w:p>
    <w:p w14:paraId="73FE1A16" w14:textId="7D16081F" w:rsidR="00F51122" w:rsidRPr="004201B0" w:rsidRDefault="00F51122" w:rsidP="004201B0">
      <w:pPr>
        <w:pStyle w:val="Heading3"/>
        <w:rPr>
          <w:b/>
          <w:bCs/>
        </w:rPr>
      </w:pPr>
      <w:r w:rsidRPr="004201B0">
        <w:rPr>
          <w:b/>
          <w:bCs/>
        </w:rPr>
        <w:t>Capital expenses</w:t>
      </w:r>
    </w:p>
    <w:p w14:paraId="763BB62D" w14:textId="46675E98" w:rsidR="00F51122" w:rsidRDefault="00F51122" w:rsidP="00F51122">
      <w:pPr>
        <w:pStyle w:val="BodyText"/>
        <w:numPr>
          <w:ilvl w:val="0"/>
          <w:numId w:val="46"/>
        </w:numPr>
      </w:pPr>
      <w:r>
        <w:t>small equipment purchases to support PBC core operational requirements (including office equipment and IT).</w:t>
      </w:r>
    </w:p>
    <w:sectPr w:rsidR="00F51122" w:rsidSect="00A30576">
      <w:headerReference w:type="even" r:id="rId10"/>
      <w:footerReference w:type="even" r:id="rId11"/>
      <w:footerReference w:type="default" r:id="rId12"/>
      <w:headerReference w:type="first" r:id="rId13"/>
      <w:footerReference w:type="first" r:id="rId14"/>
      <w:type w:val="continuous"/>
      <w:pgSz w:w="11906" w:h="16838" w:code="9"/>
      <w:pgMar w:top="1276" w:right="851" w:bottom="1418" w:left="851"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600DD" w14:textId="77777777" w:rsidR="00B305BF" w:rsidRDefault="00B305BF" w:rsidP="00B95533">
      <w:pPr>
        <w:spacing w:after="0" w:line="240" w:lineRule="auto"/>
      </w:pPr>
      <w:r>
        <w:separator/>
      </w:r>
    </w:p>
  </w:endnote>
  <w:endnote w:type="continuationSeparator" w:id="0">
    <w:p w14:paraId="69506AA2" w14:textId="77777777" w:rsidR="00B305BF" w:rsidRDefault="00B305BF" w:rsidP="00B9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546D" w14:textId="20AF6787" w:rsidR="00DA703B" w:rsidRDefault="00DA703B">
    <w:pPr>
      <w:pStyle w:val="Footer"/>
    </w:pPr>
    <w:r>
      <w:rPr>
        <w:noProof/>
      </w:rPr>
      <mc:AlternateContent>
        <mc:Choice Requires="wps">
          <w:drawing>
            <wp:anchor distT="0" distB="0" distL="0" distR="0" simplePos="0" relativeHeight="251658247" behindDoc="0" locked="0" layoutInCell="1" allowOverlap="1" wp14:anchorId="04235866" wp14:editId="0B120A4C">
              <wp:simplePos x="635" y="635"/>
              <wp:positionH relativeFrom="page">
                <wp:align>center</wp:align>
              </wp:positionH>
              <wp:positionV relativeFrom="page">
                <wp:align>bottom</wp:align>
              </wp:positionV>
              <wp:extent cx="686435" cy="383540"/>
              <wp:effectExtent l="0" t="0" r="18415" b="0"/>
              <wp:wrapNone/>
              <wp:docPr id="65263494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5BF43028" w14:textId="41E848BF" w:rsidR="00DA703B" w:rsidRPr="00DA703B" w:rsidRDefault="00DA703B" w:rsidP="00DA703B">
                          <w:pPr>
                            <w:spacing w:after="0"/>
                            <w:rPr>
                              <w:rFonts w:ascii="Arial" w:eastAsia="Arial" w:hAnsi="Arial" w:cs="Arial"/>
                              <w:noProof/>
                              <w:color w:val="FF0000"/>
                              <w:sz w:val="24"/>
                              <w:szCs w:val="24"/>
                            </w:rPr>
                          </w:pPr>
                          <w:r w:rsidRPr="00DA703B">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235866" id="_x0000_t202" coordsize="21600,21600" o:spt="202" path="m,l,21600r21600,l21600,xe">
              <v:stroke joinstyle="miter"/>
              <v:path gradientshapeok="t" o:connecttype="rect"/>
            </v:shapetype>
            <v:shape id="Text Box 5" o:spid="_x0000_s1030" type="#_x0000_t202" alt="OFFICIAL" style="position:absolute;margin-left:0;margin-top:0;width:54.05pt;height:30.2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" filled="f" stroked="f">
              <v:textbox style="mso-fit-shape-to-text:t" inset="0,0,0,15pt">
                <w:txbxContent>
                  <w:p w14:paraId="5BF43028" w14:textId="41E848BF" w:rsidR="00DA703B" w:rsidRPr="00DA703B" w:rsidRDefault="00DA703B" w:rsidP="00DA703B">
                    <w:pPr>
                      <w:spacing w:after="0"/>
                      <w:rPr>
                        <w:rFonts w:ascii="Arial" w:eastAsia="Arial" w:hAnsi="Arial" w:cs="Arial"/>
                        <w:noProof/>
                        <w:color w:val="FF0000"/>
                        <w:sz w:val="24"/>
                        <w:szCs w:val="24"/>
                      </w:rPr>
                    </w:pPr>
                    <w:r w:rsidRPr="00DA703B">
                      <w:rPr>
                        <w:rFonts w:ascii="Arial" w:eastAsia="Arial" w:hAnsi="Arial" w:cs="Arial"/>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7458" w14:textId="615714EC" w:rsidR="009672EB" w:rsidRPr="0040648D" w:rsidRDefault="000D4653" w:rsidP="00206976">
    <w:pPr>
      <w:pStyle w:val="Footer"/>
      <w:pBdr>
        <w:top w:val="single" w:sz="24" w:space="7" w:color="auto"/>
      </w:pBdr>
      <w:tabs>
        <w:tab w:val="clear" w:pos="4513"/>
        <w:tab w:val="clear" w:pos="9026"/>
        <w:tab w:val="right" w:pos="13435"/>
      </w:tabs>
      <w:rPr>
        <w:color w:val="2A4055" w:themeColor="accent1"/>
      </w:rPr>
    </w:pPr>
    <w:r w:rsidRPr="007C5C8F">
      <w:rPr>
        <w:noProof/>
        <w:color w:val="2A4055" w:themeColor="accent1"/>
        <w:lang w:eastAsia="en-AU"/>
      </w:rPr>
      <w:drawing>
        <wp:anchor distT="0" distB="0" distL="114300" distR="114300" simplePos="0" relativeHeight="251658242" behindDoc="1" locked="0" layoutInCell="1" allowOverlap="1" wp14:anchorId="61A1B457" wp14:editId="64CA99C4">
          <wp:simplePos x="0" y="0"/>
          <wp:positionH relativeFrom="page">
            <wp:align>left</wp:align>
          </wp:positionH>
          <wp:positionV relativeFrom="paragraph">
            <wp:posOffset>-126300</wp:posOffset>
          </wp:positionV>
          <wp:extent cx="7566256" cy="719254"/>
          <wp:effectExtent l="0" t="0" r="0" b="5080"/>
          <wp:wrapNone/>
          <wp:docPr id="918717974" name="Picture 9187179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256" cy="719254"/>
                  </a:xfrm>
                  <a:prstGeom prst="rect">
                    <a:avLst/>
                  </a:prstGeom>
                </pic:spPr>
              </pic:pic>
            </a:graphicData>
          </a:graphic>
          <wp14:sizeRelH relativeFrom="page">
            <wp14:pctWidth>0</wp14:pctWidth>
          </wp14:sizeRelH>
          <wp14:sizeRelV relativeFrom="page">
            <wp14:pctHeight>0</wp14:pctHeight>
          </wp14:sizeRelV>
        </wp:anchor>
      </w:drawing>
    </w:r>
    <w:r w:rsidR="00E558C9">
      <w:rPr>
        <w:color w:val="2A4055" w:themeColor="accent1"/>
      </w:rPr>
      <w:t>NIAA | PBC Support Framework</w:t>
    </w:r>
    <w:r w:rsidR="00153AF7">
      <w:rPr>
        <w:color w:val="2A4055" w:themeColor="accent1"/>
      </w:rPr>
      <w:tab/>
    </w:r>
    <w:r w:rsidR="00153AF7" w:rsidRPr="00153AF7">
      <w:rPr>
        <w:color w:val="2A4055" w:themeColor="accent1"/>
      </w:rPr>
      <w:fldChar w:fldCharType="begin"/>
    </w:r>
    <w:r w:rsidR="00153AF7" w:rsidRPr="00153AF7">
      <w:rPr>
        <w:color w:val="2A4055" w:themeColor="accent1"/>
      </w:rPr>
      <w:instrText xml:space="preserve"> PAGE   \* MERGEFORMAT </w:instrText>
    </w:r>
    <w:r w:rsidR="00153AF7" w:rsidRPr="00153AF7">
      <w:rPr>
        <w:color w:val="2A4055" w:themeColor="accent1"/>
      </w:rPr>
      <w:fldChar w:fldCharType="separate"/>
    </w:r>
    <w:r w:rsidR="00934C2D">
      <w:rPr>
        <w:noProof/>
        <w:color w:val="2A4055" w:themeColor="accent1"/>
      </w:rPr>
      <w:t>7</w:t>
    </w:r>
    <w:r w:rsidR="00153AF7" w:rsidRPr="00153AF7">
      <w:rPr>
        <w:noProof/>
        <w:color w:val="2A4055" w:themeColor="accent1"/>
      </w:rPr>
      <w:fldChar w:fldCharType="end"/>
    </w:r>
    <w:r w:rsidR="00153AF7" w:rsidRPr="007C5C8F">
      <w:rPr>
        <w:noProof/>
        <w:color w:val="2A4055" w:themeColor="accent1"/>
        <w:lang w:eastAsia="en-A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8704" w14:textId="155CABC5" w:rsidR="009672EB" w:rsidRPr="0040648D" w:rsidRDefault="007C5C8F" w:rsidP="00153AF7">
    <w:pPr>
      <w:pStyle w:val="Footer"/>
      <w:pBdr>
        <w:top w:val="single" w:sz="24" w:space="7" w:color="2A4055" w:themeColor="accent1"/>
      </w:pBdr>
      <w:tabs>
        <w:tab w:val="clear" w:pos="4513"/>
        <w:tab w:val="clear" w:pos="9026"/>
        <w:tab w:val="left" w:pos="10065"/>
      </w:tabs>
      <w:rPr>
        <w:color w:val="2A4055" w:themeColor="accent1"/>
      </w:rPr>
    </w:pPr>
    <w:r>
      <w:rPr>
        <w:noProof/>
        <w:color w:val="2A4055" w:themeColor="accent1"/>
        <w:lang w:eastAsia="en-AU"/>
      </w:rPr>
      <w:drawing>
        <wp:anchor distT="0" distB="0" distL="114300" distR="114300" simplePos="0" relativeHeight="251658241" behindDoc="1" locked="0" layoutInCell="1" allowOverlap="1" wp14:anchorId="61A1B45B" wp14:editId="1F365054">
          <wp:simplePos x="0" y="0"/>
          <wp:positionH relativeFrom="margin">
            <wp:align>center</wp:align>
          </wp:positionH>
          <wp:positionV relativeFrom="paragraph">
            <wp:posOffset>-90885</wp:posOffset>
          </wp:positionV>
          <wp:extent cx="7566256" cy="719254"/>
          <wp:effectExtent l="0" t="0" r="0" b="5080"/>
          <wp:wrapNone/>
          <wp:docPr id="44346689" name="Picture 44346689" descr="Decorativ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23_Word_Template_Foot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256" cy="719254"/>
                  </a:xfrm>
                  <a:prstGeom prst="rect">
                    <a:avLst/>
                  </a:prstGeom>
                </pic:spPr>
              </pic:pic>
            </a:graphicData>
          </a:graphic>
          <wp14:sizeRelH relativeFrom="page">
            <wp14:pctWidth>0</wp14:pctWidth>
          </wp14:sizeRelH>
          <wp14:sizeRelV relativeFrom="page">
            <wp14:pctHeight>0</wp14:pctHeight>
          </wp14:sizeRelV>
        </wp:anchor>
      </w:drawing>
    </w:r>
    <w:r w:rsidR="003F4BC8" w:rsidRPr="003F4BC8">
      <w:rPr>
        <w:color w:val="2A4055" w:themeColor="accent1"/>
      </w:rPr>
      <w:t xml:space="preserve"> </w:t>
    </w:r>
    <w:r w:rsidR="003F4BC8">
      <w:rPr>
        <w:color w:val="2A4055" w:themeColor="accent1"/>
      </w:rPr>
      <w:t>NIAA | PBC Support Framework</w:t>
    </w:r>
    <w:r w:rsidR="00153AF7">
      <w:rPr>
        <w:color w:val="2A4055" w:themeColor="accent1"/>
      </w:rPr>
      <w:tab/>
    </w:r>
    <w:r w:rsidR="00153AF7" w:rsidRPr="00153AF7">
      <w:rPr>
        <w:color w:val="2A4055" w:themeColor="accent1"/>
      </w:rPr>
      <w:fldChar w:fldCharType="begin"/>
    </w:r>
    <w:r w:rsidR="00153AF7" w:rsidRPr="00153AF7">
      <w:rPr>
        <w:color w:val="2A4055" w:themeColor="accent1"/>
      </w:rPr>
      <w:instrText xml:space="preserve"> PAGE   \* MERGEFORMAT </w:instrText>
    </w:r>
    <w:r w:rsidR="00153AF7" w:rsidRPr="00153AF7">
      <w:rPr>
        <w:color w:val="2A4055" w:themeColor="accent1"/>
      </w:rPr>
      <w:fldChar w:fldCharType="separate"/>
    </w:r>
    <w:r w:rsidR="00934C2D">
      <w:rPr>
        <w:noProof/>
        <w:color w:val="2A4055" w:themeColor="accent1"/>
      </w:rPr>
      <w:t>1</w:t>
    </w:r>
    <w:r w:rsidR="00153AF7" w:rsidRPr="00153AF7">
      <w:rPr>
        <w:noProof/>
        <w:color w:val="2A405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A8536" w14:textId="77777777" w:rsidR="00B305BF" w:rsidRPr="007A6FC6" w:rsidRDefault="00B305BF" w:rsidP="00B95533">
      <w:pPr>
        <w:spacing w:after="0" w:line="240" w:lineRule="auto"/>
        <w:rPr>
          <w:color w:val="00948D" w:themeColor="accent2"/>
        </w:rPr>
      </w:pPr>
      <w:r w:rsidRPr="007A6FC6">
        <w:rPr>
          <w:color w:val="00948D" w:themeColor="accent2"/>
        </w:rPr>
        <w:separator/>
      </w:r>
    </w:p>
  </w:footnote>
  <w:footnote w:type="continuationSeparator" w:id="0">
    <w:p w14:paraId="1BFB87F7" w14:textId="77777777" w:rsidR="00B305BF" w:rsidRPr="007A6FC6" w:rsidRDefault="00B305BF" w:rsidP="00B95533">
      <w:pPr>
        <w:spacing w:after="0" w:line="240" w:lineRule="auto"/>
        <w:rPr>
          <w:color w:val="00948D" w:themeColor="accent2"/>
        </w:rPr>
      </w:pPr>
      <w:r w:rsidRPr="007A6FC6">
        <w:rPr>
          <w:color w:val="00948D" w:themeColor="accen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2FDA" w14:textId="15820382" w:rsidR="00DA703B" w:rsidRDefault="00DA703B">
    <w:pPr>
      <w:pStyle w:val="Header"/>
    </w:pPr>
    <w:r>
      <w:rPr>
        <w:noProof/>
      </w:rPr>
      <mc:AlternateContent>
        <mc:Choice Requires="wps">
          <w:drawing>
            <wp:anchor distT="0" distB="0" distL="0" distR="0" simplePos="0" relativeHeight="251658244" behindDoc="0" locked="0" layoutInCell="1" allowOverlap="1" wp14:anchorId="37CD3E23" wp14:editId="02C3716D">
              <wp:simplePos x="635" y="635"/>
              <wp:positionH relativeFrom="page">
                <wp:align>center</wp:align>
              </wp:positionH>
              <wp:positionV relativeFrom="page">
                <wp:align>top</wp:align>
              </wp:positionV>
              <wp:extent cx="686435" cy="383540"/>
              <wp:effectExtent l="0" t="0" r="18415" b="16510"/>
              <wp:wrapNone/>
              <wp:docPr id="7061170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35FA643F" w14:textId="61E493A2" w:rsidR="00DA703B" w:rsidRPr="00DA703B" w:rsidRDefault="00DA703B" w:rsidP="00DA703B">
                          <w:pPr>
                            <w:spacing w:after="0"/>
                            <w:rPr>
                              <w:rFonts w:ascii="Arial" w:eastAsia="Arial" w:hAnsi="Arial" w:cs="Arial"/>
                              <w:noProof/>
                              <w:color w:val="FF0000"/>
                              <w:sz w:val="24"/>
                              <w:szCs w:val="24"/>
                            </w:rPr>
                          </w:pPr>
                          <w:r w:rsidRPr="00DA703B">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CD3E23" id="_x0000_t202" coordsize="21600,21600" o:spt="202" path="m,l,21600r21600,l21600,xe">
              <v:stroke joinstyle="miter"/>
              <v:path gradientshapeok="t" o:connecttype="rect"/>
            </v:shapetype>
            <v:shape id="Text Box 2" o:spid="_x0000_s1029" type="#_x0000_t202" alt="OFFICIAL" style="position:absolute;margin-left:0;margin-top:0;width:54.05pt;height:30.2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" filled="f" stroked="f">
              <v:textbox style="mso-fit-shape-to-text:t" inset="0,15pt,0,0">
                <w:txbxContent>
                  <w:p w14:paraId="35FA643F" w14:textId="61E493A2" w:rsidR="00DA703B" w:rsidRPr="00DA703B" w:rsidRDefault="00DA703B" w:rsidP="00DA703B">
                    <w:pPr>
                      <w:spacing w:after="0"/>
                      <w:rPr>
                        <w:rFonts w:ascii="Arial" w:eastAsia="Arial" w:hAnsi="Arial" w:cs="Arial"/>
                        <w:noProof/>
                        <w:color w:val="FF0000"/>
                        <w:sz w:val="24"/>
                        <w:szCs w:val="24"/>
                      </w:rPr>
                    </w:pPr>
                    <w:r w:rsidRPr="00DA703B">
                      <w:rPr>
                        <w:rFonts w:ascii="Arial" w:eastAsia="Arial" w:hAnsi="Arial" w:cs="Arial"/>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B9A4" w14:textId="01B45CFE" w:rsidR="009672EB" w:rsidRDefault="007C5C8F" w:rsidP="002B5D09">
    <w:pPr>
      <w:pStyle w:val="Header"/>
      <w:tabs>
        <w:tab w:val="clear" w:pos="4513"/>
        <w:tab w:val="clear" w:pos="9026"/>
        <w:tab w:val="left" w:pos="4100"/>
      </w:tabs>
    </w:pPr>
    <w:r>
      <w:rPr>
        <w:noProof/>
        <w:lang w:eastAsia="en-AU"/>
      </w:rPr>
      <w:drawing>
        <wp:anchor distT="0" distB="0" distL="114300" distR="114300" simplePos="0" relativeHeight="251658240" behindDoc="1" locked="0" layoutInCell="1" allowOverlap="1" wp14:anchorId="61A1B459" wp14:editId="7F6031C5">
          <wp:simplePos x="0" y="0"/>
          <wp:positionH relativeFrom="page">
            <wp:posOffset>10299</wp:posOffset>
          </wp:positionH>
          <wp:positionV relativeFrom="paragraph">
            <wp:posOffset>-353060</wp:posOffset>
          </wp:positionV>
          <wp:extent cx="7533437" cy="1433745"/>
          <wp:effectExtent l="0" t="0" r="0" b="0"/>
          <wp:wrapNone/>
          <wp:docPr id="1203741009" name="Picture 1203741009" descr="Australian Government National Indigenous Australians Agency" title="Australian Government National Indigenous Australians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023_Word_Template_Head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3437" cy="1433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72B1"/>
    <w:multiLevelType w:val="hybridMultilevel"/>
    <w:tmpl w:val="4C805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2C33C6"/>
    <w:multiLevelType w:val="hybridMultilevel"/>
    <w:tmpl w:val="F97C8FCA"/>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15:restartNumberingAfterBreak="0">
    <w:nsid w:val="0A1B4C45"/>
    <w:multiLevelType w:val="hybridMultilevel"/>
    <w:tmpl w:val="7E224E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69371C"/>
    <w:multiLevelType w:val="multilevel"/>
    <w:tmpl w:val="B2D40500"/>
    <w:lvl w:ilvl="0">
      <w:start w:val="1"/>
      <w:numFmt w:val="decimal"/>
      <w:pStyle w:val="List"/>
      <w:lvlText w:val="%1"/>
      <w:lvlJc w:val="left"/>
      <w:pPr>
        <w:ind w:left="403" w:hanging="288"/>
      </w:pPr>
      <w:rPr>
        <w:rFonts w:hint="default"/>
        <w:color w:val="2A4055" w:themeColor="accent1"/>
      </w:rPr>
    </w:lvl>
    <w:lvl w:ilvl="1">
      <w:start w:val="1"/>
      <w:numFmt w:val="lowerRoman"/>
      <w:lvlText w:val="%2"/>
      <w:lvlJc w:val="left"/>
      <w:pPr>
        <w:ind w:left="691" w:hanging="288"/>
      </w:pPr>
      <w:rPr>
        <w:rFonts w:hint="default"/>
        <w:color w:val="2A4055" w:themeColor="accent1"/>
      </w:rPr>
    </w:lvl>
    <w:lvl w:ilvl="2">
      <w:start w:val="1"/>
      <w:numFmt w:val="upperRoman"/>
      <w:lvlText w:val="%3"/>
      <w:lvlJc w:val="left"/>
      <w:pPr>
        <w:ind w:left="979" w:hanging="288"/>
      </w:pPr>
      <w:rPr>
        <w:rFonts w:hint="default"/>
        <w:color w:val="2A4055" w:themeColor="accent1"/>
      </w:rPr>
    </w:lvl>
    <w:lvl w:ilvl="3">
      <w:start w:val="1"/>
      <w:numFmt w:val="decimal"/>
      <w:lvlText w:val="%4."/>
      <w:lvlJc w:val="left"/>
      <w:pPr>
        <w:ind w:left="1267" w:hanging="288"/>
      </w:pPr>
      <w:rPr>
        <w:rFonts w:hint="default"/>
      </w:rPr>
    </w:lvl>
    <w:lvl w:ilvl="4">
      <w:start w:val="1"/>
      <w:numFmt w:val="lowerLetter"/>
      <w:lvlText w:val="%5."/>
      <w:lvlJc w:val="left"/>
      <w:pPr>
        <w:ind w:left="1555" w:hanging="288"/>
      </w:pPr>
      <w:rPr>
        <w:rFonts w:hint="default"/>
      </w:rPr>
    </w:lvl>
    <w:lvl w:ilvl="5">
      <w:start w:val="1"/>
      <w:numFmt w:val="lowerRoman"/>
      <w:lvlText w:val="%6."/>
      <w:lvlJc w:val="right"/>
      <w:pPr>
        <w:ind w:left="1843" w:hanging="288"/>
      </w:pPr>
      <w:rPr>
        <w:rFonts w:hint="default"/>
      </w:rPr>
    </w:lvl>
    <w:lvl w:ilvl="6">
      <w:start w:val="1"/>
      <w:numFmt w:val="decimal"/>
      <w:lvlText w:val="%7."/>
      <w:lvlJc w:val="left"/>
      <w:pPr>
        <w:ind w:left="2131" w:hanging="288"/>
      </w:pPr>
      <w:rPr>
        <w:rFonts w:hint="default"/>
      </w:rPr>
    </w:lvl>
    <w:lvl w:ilvl="7">
      <w:start w:val="1"/>
      <w:numFmt w:val="lowerLetter"/>
      <w:lvlText w:val="%8."/>
      <w:lvlJc w:val="left"/>
      <w:pPr>
        <w:ind w:left="2419" w:hanging="288"/>
      </w:pPr>
      <w:rPr>
        <w:rFonts w:hint="default"/>
      </w:rPr>
    </w:lvl>
    <w:lvl w:ilvl="8">
      <w:start w:val="1"/>
      <w:numFmt w:val="lowerRoman"/>
      <w:lvlText w:val="%9."/>
      <w:lvlJc w:val="right"/>
      <w:pPr>
        <w:ind w:left="2707" w:hanging="288"/>
      </w:pPr>
      <w:rPr>
        <w:rFonts w:hint="default"/>
      </w:rPr>
    </w:lvl>
  </w:abstractNum>
  <w:abstractNum w:abstractNumId="4" w15:restartNumberingAfterBreak="0">
    <w:nsid w:val="0F8B73A1"/>
    <w:multiLevelType w:val="hybridMultilevel"/>
    <w:tmpl w:val="5D3EA7C0"/>
    <w:lvl w:ilvl="0" w:tplc="FE303BF6">
      <w:numFmt w:val="bullet"/>
      <w:lvlText w:val="-"/>
      <w:lvlJc w:val="left"/>
      <w:pPr>
        <w:ind w:left="468" w:hanging="361"/>
      </w:pPr>
      <w:rPr>
        <w:rFonts w:ascii="Arial" w:eastAsia="Arial" w:hAnsi="Arial" w:cs="Arial" w:hint="default"/>
        <w:b w:val="0"/>
        <w:bCs w:val="0"/>
        <w:i w:val="0"/>
        <w:iCs w:val="0"/>
        <w:color w:val="252525"/>
        <w:spacing w:val="0"/>
        <w:w w:val="100"/>
        <w:sz w:val="22"/>
        <w:szCs w:val="22"/>
        <w:lang w:val="en-US" w:eastAsia="en-US" w:bidi="ar-SA"/>
      </w:rPr>
    </w:lvl>
    <w:lvl w:ilvl="1" w:tplc="D95415CE">
      <w:numFmt w:val="bullet"/>
      <w:lvlText w:val="•"/>
      <w:lvlJc w:val="left"/>
      <w:pPr>
        <w:ind w:left="922" w:hanging="361"/>
      </w:pPr>
      <w:rPr>
        <w:rFonts w:hint="default"/>
        <w:lang w:val="en-US" w:eastAsia="en-US" w:bidi="ar-SA"/>
      </w:rPr>
    </w:lvl>
    <w:lvl w:ilvl="2" w:tplc="E682AA2E">
      <w:numFmt w:val="bullet"/>
      <w:lvlText w:val="•"/>
      <w:lvlJc w:val="left"/>
      <w:pPr>
        <w:ind w:left="1385" w:hanging="361"/>
      </w:pPr>
      <w:rPr>
        <w:rFonts w:hint="default"/>
        <w:lang w:val="en-US" w:eastAsia="en-US" w:bidi="ar-SA"/>
      </w:rPr>
    </w:lvl>
    <w:lvl w:ilvl="3" w:tplc="123A9F1C">
      <w:numFmt w:val="bullet"/>
      <w:lvlText w:val="•"/>
      <w:lvlJc w:val="left"/>
      <w:pPr>
        <w:ind w:left="1848" w:hanging="361"/>
      </w:pPr>
      <w:rPr>
        <w:rFonts w:hint="default"/>
        <w:lang w:val="en-US" w:eastAsia="en-US" w:bidi="ar-SA"/>
      </w:rPr>
    </w:lvl>
    <w:lvl w:ilvl="4" w:tplc="9A764126">
      <w:numFmt w:val="bullet"/>
      <w:lvlText w:val="•"/>
      <w:lvlJc w:val="left"/>
      <w:pPr>
        <w:ind w:left="2311" w:hanging="361"/>
      </w:pPr>
      <w:rPr>
        <w:rFonts w:hint="default"/>
        <w:lang w:val="en-US" w:eastAsia="en-US" w:bidi="ar-SA"/>
      </w:rPr>
    </w:lvl>
    <w:lvl w:ilvl="5" w:tplc="D9F8ADC8">
      <w:numFmt w:val="bullet"/>
      <w:lvlText w:val="•"/>
      <w:lvlJc w:val="left"/>
      <w:pPr>
        <w:ind w:left="2774" w:hanging="361"/>
      </w:pPr>
      <w:rPr>
        <w:rFonts w:hint="default"/>
        <w:lang w:val="en-US" w:eastAsia="en-US" w:bidi="ar-SA"/>
      </w:rPr>
    </w:lvl>
    <w:lvl w:ilvl="6" w:tplc="68A89076">
      <w:numFmt w:val="bullet"/>
      <w:lvlText w:val="•"/>
      <w:lvlJc w:val="left"/>
      <w:pPr>
        <w:ind w:left="3237" w:hanging="361"/>
      </w:pPr>
      <w:rPr>
        <w:rFonts w:hint="default"/>
        <w:lang w:val="en-US" w:eastAsia="en-US" w:bidi="ar-SA"/>
      </w:rPr>
    </w:lvl>
    <w:lvl w:ilvl="7" w:tplc="99BA0F52">
      <w:numFmt w:val="bullet"/>
      <w:lvlText w:val="•"/>
      <w:lvlJc w:val="left"/>
      <w:pPr>
        <w:ind w:left="3700" w:hanging="361"/>
      </w:pPr>
      <w:rPr>
        <w:rFonts w:hint="default"/>
        <w:lang w:val="en-US" w:eastAsia="en-US" w:bidi="ar-SA"/>
      </w:rPr>
    </w:lvl>
    <w:lvl w:ilvl="8" w:tplc="146CE1C8">
      <w:numFmt w:val="bullet"/>
      <w:lvlText w:val="•"/>
      <w:lvlJc w:val="left"/>
      <w:pPr>
        <w:ind w:left="4163" w:hanging="361"/>
      </w:pPr>
      <w:rPr>
        <w:rFonts w:hint="default"/>
        <w:lang w:val="en-US" w:eastAsia="en-US" w:bidi="ar-SA"/>
      </w:rPr>
    </w:lvl>
  </w:abstractNum>
  <w:abstractNum w:abstractNumId="5" w15:restartNumberingAfterBreak="0">
    <w:nsid w:val="1795620B"/>
    <w:multiLevelType w:val="hybridMultilevel"/>
    <w:tmpl w:val="FFD06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9170E6"/>
    <w:multiLevelType w:val="hybridMultilevel"/>
    <w:tmpl w:val="F5C64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EC1A30"/>
    <w:multiLevelType w:val="hybridMultilevel"/>
    <w:tmpl w:val="CE761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5561B7"/>
    <w:multiLevelType w:val="hybridMultilevel"/>
    <w:tmpl w:val="D3C4C182"/>
    <w:lvl w:ilvl="0" w:tplc="0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F771E50"/>
    <w:multiLevelType w:val="hybridMultilevel"/>
    <w:tmpl w:val="2C447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7003E8"/>
    <w:multiLevelType w:val="hybridMultilevel"/>
    <w:tmpl w:val="6B80A4B4"/>
    <w:lvl w:ilvl="0" w:tplc="30E63AE0">
      <w:start w:val="1"/>
      <w:numFmt w:val="bullet"/>
      <w:pStyle w:val="BulletedListlevel3"/>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33D232C6"/>
    <w:multiLevelType w:val="hybridMultilevel"/>
    <w:tmpl w:val="24669E18"/>
    <w:lvl w:ilvl="0" w:tplc="6E8EB0B8">
      <w:numFmt w:val="bullet"/>
      <w:lvlText w:val=""/>
      <w:lvlJc w:val="left"/>
      <w:pPr>
        <w:ind w:left="722" w:hanging="360"/>
      </w:pPr>
      <w:rPr>
        <w:rFonts w:ascii="Symbol" w:eastAsia="Symbol" w:hAnsi="Symbol" w:cs="Symbol" w:hint="default"/>
        <w:b w:val="0"/>
        <w:bCs w:val="0"/>
        <w:i w:val="0"/>
        <w:iCs w:val="0"/>
        <w:color w:val="252525"/>
        <w:spacing w:val="0"/>
        <w:w w:val="100"/>
        <w:sz w:val="22"/>
        <w:szCs w:val="22"/>
        <w:lang w:val="en-US" w:eastAsia="en-US" w:bidi="ar-SA"/>
      </w:rPr>
    </w:lvl>
    <w:lvl w:ilvl="1" w:tplc="0FFA5DA6">
      <w:numFmt w:val="bullet"/>
      <w:lvlText w:val="•"/>
      <w:lvlJc w:val="left"/>
      <w:pPr>
        <w:ind w:left="1682" w:hanging="360"/>
      </w:pPr>
      <w:rPr>
        <w:lang w:val="en-US" w:eastAsia="en-US" w:bidi="ar-SA"/>
      </w:rPr>
    </w:lvl>
    <w:lvl w:ilvl="2" w:tplc="FD0C49FA">
      <w:numFmt w:val="bullet"/>
      <w:lvlText w:val="•"/>
      <w:lvlJc w:val="left"/>
      <w:pPr>
        <w:ind w:left="2645" w:hanging="360"/>
      </w:pPr>
      <w:rPr>
        <w:lang w:val="en-US" w:eastAsia="en-US" w:bidi="ar-SA"/>
      </w:rPr>
    </w:lvl>
    <w:lvl w:ilvl="3" w:tplc="5CEAE744">
      <w:numFmt w:val="bullet"/>
      <w:lvlText w:val="•"/>
      <w:lvlJc w:val="left"/>
      <w:pPr>
        <w:ind w:left="3608" w:hanging="360"/>
      </w:pPr>
      <w:rPr>
        <w:lang w:val="en-US" w:eastAsia="en-US" w:bidi="ar-SA"/>
      </w:rPr>
    </w:lvl>
    <w:lvl w:ilvl="4" w:tplc="B48E433E">
      <w:numFmt w:val="bullet"/>
      <w:lvlText w:val="•"/>
      <w:lvlJc w:val="left"/>
      <w:pPr>
        <w:ind w:left="4571" w:hanging="360"/>
      </w:pPr>
      <w:rPr>
        <w:lang w:val="en-US" w:eastAsia="en-US" w:bidi="ar-SA"/>
      </w:rPr>
    </w:lvl>
    <w:lvl w:ilvl="5" w:tplc="04B85768">
      <w:numFmt w:val="bullet"/>
      <w:lvlText w:val="•"/>
      <w:lvlJc w:val="left"/>
      <w:pPr>
        <w:ind w:left="5534" w:hanging="360"/>
      </w:pPr>
      <w:rPr>
        <w:lang w:val="en-US" w:eastAsia="en-US" w:bidi="ar-SA"/>
      </w:rPr>
    </w:lvl>
    <w:lvl w:ilvl="6" w:tplc="8938A40C">
      <w:numFmt w:val="bullet"/>
      <w:lvlText w:val="•"/>
      <w:lvlJc w:val="left"/>
      <w:pPr>
        <w:ind w:left="6497" w:hanging="360"/>
      </w:pPr>
      <w:rPr>
        <w:lang w:val="en-US" w:eastAsia="en-US" w:bidi="ar-SA"/>
      </w:rPr>
    </w:lvl>
    <w:lvl w:ilvl="7" w:tplc="E5DCBDE6">
      <w:numFmt w:val="bullet"/>
      <w:lvlText w:val="•"/>
      <w:lvlJc w:val="left"/>
      <w:pPr>
        <w:ind w:left="7459" w:hanging="360"/>
      </w:pPr>
      <w:rPr>
        <w:lang w:val="en-US" w:eastAsia="en-US" w:bidi="ar-SA"/>
      </w:rPr>
    </w:lvl>
    <w:lvl w:ilvl="8" w:tplc="D828134A">
      <w:numFmt w:val="bullet"/>
      <w:lvlText w:val="•"/>
      <w:lvlJc w:val="left"/>
      <w:pPr>
        <w:ind w:left="8422" w:hanging="360"/>
      </w:pPr>
      <w:rPr>
        <w:lang w:val="en-US" w:eastAsia="en-US" w:bidi="ar-SA"/>
      </w:rPr>
    </w:lvl>
  </w:abstractNum>
  <w:abstractNum w:abstractNumId="12" w15:restartNumberingAfterBreak="0">
    <w:nsid w:val="352F02BA"/>
    <w:multiLevelType w:val="hybridMultilevel"/>
    <w:tmpl w:val="B76C2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520959"/>
    <w:multiLevelType w:val="multilevel"/>
    <w:tmpl w:val="1C9E25B2"/>
    <w:lvl w:ilvl="0">
      <w:start w:val="1"/>
      <w:numFmt w:val="decimal"/>
      <w:pStyle w:val="Tablenumbering"/>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794" w:hanging="397"/>
      </w:pPr>
      <w:rPr>
        <w:rFonts w:asciiTheme="minorHAnsi" w:hAnsiTheme="minorHAnsi" w:cs="Times New Roman" w:hint="default"/>
        <w:color w:val="000000" w:themeColor="text1"/>
      </w:rPr>
    </w:lvl>
    <w:lvl w:ilvl="2">
      <w:start w:val="1"/>
      <w:numFmt w:val="bullet"/>
      <w:lvlText w:val="⁚"/>
      <w:lvlJc w:val="left"/>
      <w:pPr>
        <w:ind w:left="1191" w:hanging="397"/>
      </w:pPr>
      <w:rPr>
        <w:rFonts w:ascii="Times New Roman" w:hAnsi="Times New Roman" w:cs="Times New Roman" w:hint="default"/>
        <w:color w:val="000000" w:themeColor="text1"/>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14" w15:restartNumberingAfterBreak="0">
    <w:nsid w:val="39965BF9"/>
    <w:multiLevelType w:val="hybridMultilevel"/>
    <w:tmpl w:val="6BAC0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F0753D"/>
    <w:multiLevelType w:val="hybridMultilevel"/>
    <w:tmpl w:val="CBBC6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B41846"/>
    <w:multiLevelType w:val="hybridMultilevel"/>
    <w:tmpl w:val="C76AE7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27B21CA"/>
    <w:multiLevelType w:val="hybridMultilevel"/>
    <w:tmpl w:val="D9182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EA74D4"/>
    <w:multiLevelType w:val="hybridMultilevel"/>
    <w:tmpl w:val="066A6EF6"/>
    <w:lvl w:ilvl="0" w:tplc="72A0DBEC">
      <w:start w:val="1"/>
      <w:numFmt w:val="bullet"/>
      <w:pStyle w:val="BulletedListlevel2"/>
      <w:lvlText w:val=""/>
      <w:lvlJc w:val="left"/>
      <w:pPr>
        <w:ind w:left="1458" w:hanging="360"/>
      </w:pPr>
      <w:rPr>
        <w:rFonts w:ascii="Symbol" w:hAnsi="Symbol" w:hint="default"/>
      </w:rPr>
    </w:lvl>
    <w:lvl w:ilvl="1" w:tplc="0C090003" w:tentative="1">
      <w:start w:val="1"/>
      <w:numFmt w:val="bullet"/>
      <w:lvlText w:val="o"/>
      <w:lvlJc w:val="left"/>
      <w:pPr>
        <w:ind w:left="2178" w:hanging="360"/>
      </w:pPr>
      <w:rPr>
        <w:rFonts w:ascii="Courier New" w:hAnsi="Courier New" w:cs="Courier New" w:hint="default"/>
      </w:rPr>
    </w:lvl>
    <w:lvl w:ilvl="2" w:tplc="0C090005" w:tentative="1">
      <w:start w:val="1"/>
      <w:numFmt w:val="bullet"/>
      <w:lvlText w:val=""/>
      <w:lvlJc w:val="left"/>
      <w:pPr>
        <w:ind w:left="2898" w:hanging="360"/>
      </w:pPr>
      <w:rPr>
        <w:rFonts w:ascii="Wingdings" w:hAnsi="Wingdings" w:hint="default"/>
      </w:rPr>
    </w:lvl>
    <w:lvl w:ilvl="3" w:tplc="0C090001" w:tentative="1">
      <w:start w:val="1"/>
      <w:numFmt w:val="bullet"/>
      <w:lvlText w:val=""/>
      <w:lvlJc w:val="left"/>
      <w:pPr>
        <w:ind w:left="3618" w:hanging="360"/>
      </w:pPr>
      <w:rPr>
        <w:rFonts w:ascii="Symbol" w:hAnsi="Symbol" w:hint="default"/>
      </w:rPr>
    </w:lvl>
    <w:lvl w:ilvl="4" w:tplc="0C090003" w:tentative="1">
      <w:start w:val="1"/>
      <w:numFmt w:val="bullet"/>
      <w:lvlText w:val="o"/>
      <w:lvlJc w:val="left"/>
      <w:pPr>
        <w:ind w:left="4338" w:hanging="360"/>
      </w:pPr>
      <w:rPr>
        <w:rFonts w:ascii="Courier New" w:hAnsi="Courier New" w:cs="Courier New" w:hint="default"/>
      </w:rPr>
    </w:lvl>
    <w:lvl w:ilvl="5" w:tplc="0C090005" w:tentative="1">
      <w:start w:val="1"/>
      <w:numFmt w:val="bullet"/>
      <w:lvlText w:val=""/>
      <w:lvlJc w:val="left"/>
      <w:pPr>
        <w:ind w:left="5058" w:hanging="360"/>
      </w:pPr>
      <w:rPr>
        <w:rFonts w:ascii="Wingdings" w:hAnsi="Wingdings" w:hint="default"/>
      </w:rPr>
    </w:lvl>
    <w:lvl w:ilvl="6" w:tplc="0C090001" w:tentative="1">
      <w:start w:val="1"/>
      <w:numFmt w:val="bullet"/>
      <w:lvlText w:val=""/>
      <w:lvlJc w:val="left"/>
      <w:pPr>
        <w:ind w:left="5778" w:hanging="360"/>
      </w:pPr>
      <w:rPr>
        <w:rFonts w:ascii="Symbol" w:hAnsi="Symbol" w:hint="default"/>
      </w:rPr>
    </w:lvl>
    <w:lvl w:ilvl="7" w:tplc="0C090003" w:tentative="1">
      <w:start w:val="1"/>
      <w:numFmt w:val="bullet"/>
      <w:lvlText w:val="o"/>
      <w:lvlJc w:val="left"/>
      <w:pPr>
        <w:ind w:left="6498" w:hanging="360"/>
      </w:pPr>
      <w:rPr>
        <w:rFonts w:ascii="Courier New" w:hAnsi="Courier New" w:cs="Courier New" w:hint="default"/>
      </w:rPr>
    </w:lvl>
    <w:lvl w:ilvl="8" w:tplc="0C090005" w:tentative="1">
      <w:start w:val="1"/>
      <w:numFmt w:val="bullet"/>
      <w:lvlText w:val=""/>
      <w:lvlJc w:val="left"/>
      <w:pPr>
        <w:ind w:left="7218" w:hanging="360"/>
      </w:pPr>
      <w:rPr>
        <w:rFonts w:ascii="Wingdings" w:hAnsi="Wingdings" w:hint="default"/>
      </w:rPr>
    </w:lvl>
  </w:abstractNum>
  <w:abstractNum w:abstractNumId="19" w15:restartNumberingAfterBreak="0">
    <w:nsid w:val="4EE14D10"/>
    <w:multiLevelType w:val="hybridMultilevel"/>
    <w:tmpl w:val="5C5EE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5472E9"/>
    <w:multiLevelType w:val="hybridMultilevel"/>
    <w:tmpl w:val="29228478"/>
    <w:lvl w:ilvl="0" w:tplc="0C090001">
      <w:start w:val="1"/>
      <w:numFmt w:val="bullet"/>
      <w:lvlText w:val=""/>
      <w:lvlJc w:val="left"/>
      <w:pPr>
        <w:ind w:left="918" w:hanging="360"/>
      </w:pPr>
      <w:rPr>
        <w:rFonts w:ascii="Symbol" w:hAnsi="Symbol"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21" w15:restartNumberingAfterBreak="0">
    <w:nsid w:val="525D6F59"/>
    <w:multiLevelType w:val="hybridMultilevel"/>
    <w:tmpl w:val="26248B1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D304409"/>
    <w:multiLevelType w:val="hybridMultilevel"/>
    <w:tmpl w:val="C25A8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576922"/>
    <w:multiLevelType w:val="multilevel"/>
    <w:tmpl w:val="06CC3398"/>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4" w15:restartNumberingAfterBreak="0">
    <w:nsid w:val="608F21F8"/>
    <w:multiLevelType w:val="multilevel"/>
    <w:tmpl w:val="7996FC78"/>
    <w:lvl w:ilvl="0">
      <w:start w:val="1"/>
      <w:numFmt w:val="bullet"/>
      <w:pStyle w:val="BulletedListlevel1"/>
      <w:lvlText w:val=""/>
      <w:lvlJc w:val="left"/>
      <w:pPr>
        <w:ind w:left="567" w:hanging="283"/>
      </w:pPr>
      <w:rPr>
        <w:rFonts w:ascii="Symbol" w:hAnsi="Symbol" w:hint="default"/>
        <w:color w:val="404040" w:themeColor="text1" w:themeTint="BF"/>
      </w:rPr>
    </w:lvl>
    <w:lvl w:ilvl="1">
      <w:start w:val="1"/>
      <w:numFmt w:val="bullet"/>
      <w:lvlText w:val="‒"/>
      <w:lvlJc w:val="left"/>
      <w:pPr>
        <w:ind w:left="1134" w:hanging="397"/>
      </w:pPr>
      <w:rPr>
        <w:rFonts w:ascii="Times New Roman" w:hAnsi="Times New Roman" w:cs="Times New Roman" w:hint="default"/>
        <w:color w:val="404040" w:themeColor="text1" w:themeTint="BF"/>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25" w15:restartNumberingAfterBreak="0">
    <w:nsid w:val="671F5181"/>
    <w:multiLevelType w:val="hybridMultilevel"/>
    <w:tmpl w:val="17CEB8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CCB677F"/>
    <w:multiLevelType w:val="hybridMultilevel"/>
    <w:tmpl w:val="43DE1E24"/>
    <w:lvl w:ilvl="0" w:tplc="91666310">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72EF1E09"/>
    <w:multiLevelType w:val="multilevel"/>
    <w:tmpl w:val="3E9C3620"/>
    <w:lvl w:ilvl="0">
      <w:start w:val="1"/>
      <w:numFmt w:val="decimal"/>
      <w:pStyle w:val="NumberedListlevel1"/>
      <w:lvlText w:val="%1."/>
      <w:lvlJc w:val="left"/>
      <w:pPr>
        <w:ind w:left="567" w:hanging="283"/>
      </w:pPr>
      <w:rPr>
        <w:rFonts w:hint="default"/>
      </w:rPr>
    </w:lvl>
    <w:lvl w:ilvl="1">
      <w:start w:val="1"/>
      <w:numFmt w:val="lowerLetter"/>
      <w:pStyle w:val="NumberedListlevel2"/>
      <w:lvlText w:val="%2."/>
      <w:lvlJc w:val="left"/>
      <w:pPr>
        <w:ind w:left="1021" w:hanging="283"/>
      </w:pPr>
      <w:rPr>
        <w:rFonts w:hint="default"/>
      </w:rPr>
    </w:lvl>
    <w:lvl w:ilvl="2">
      <w:start w:val="1"/>
      <w:numFmt w:val="lowerRoman"/>
      <w:pStyle w:val="NumberedListlevel3"/>
      <w:lvlText w:val="%3."/>
      <w:lvlJc w:val="left"/>
      <w:pPr>
        <w:ind w:left="1701" w:hanging="283"/>
      </w:pPr>
      <w:rPr>
        <w:rFonts w:hint="default"/>
      </w:rPr>
    </w:lvl>
    <w:lvl w:ilvl="3">
      <w:start w:val="1"/>
      <w:numFmt w:val="decimal"/>
      <w:lvlText w:val="%4."/>
      <w:lvlJc w:val="left"/>
      <w:pPr>
        <w:ind w:left="1929" w:hanging="283"/>
      </w:pPr>
      <w:rPr>
        <w:rFonts w:hint="default"/>
      </w:rPr>
    </w:lvl>
    <w:lvl w:ilvl="4">
      <w:start w:val="1"/>
      <w:numFmt w:val="lowerLetter"/>
      <w:lvlText w:val="%5."/>
      <w:lvlJc w:val="left"/>
      <w:pPr>
        <w:ind w:left="2383" w:hanging="283"/>
      </w:pPr>
      <w:rPr>
        <w:rFonts w:hint="default"/>
      </w:rPr>
    </w:lvl>
    <w:lvl w:ilvl="5">
      <w:start w:val="1"/>
      <w:numFmt w:val="lowerRoman"/>
      <w:lvlText w:val="%6."/>
      <w:lvlJc w:val="right"/>
      <w:pPr>
        <w:ind w:left="2837" w:hanging="283"/>
      </w:pPr>
      <w:rPr>
        <w:rFonts w:hint="default"/>
      </w:rPr>
    </w:lvl>
    <w:lvl w:ilvl="6">
      <w:start w:val="1"/>
      <w:numFmt w:val="decimal"/>
      <w:lvlText w:val="%7."/>
      <w:lvlJc w:val="left"/>
      <w:pPr>
        <w:ind w:left="3291" w:hanging="283"/>
      </w:pPr>
      <w:rPr>
        <w:rFonts w:hint="default"/>
      </w:rPr>
    </w:lvl>
    <w:lvl w:ilvl="7">
      <w:start w:val="1"/>
      <w:numFmt w:val="lowerLetter"/>
      <w:lvlText w:val="%8."/>
      <w:lvlJc w:val="left"/>
      <w:pPr>
        <w:ind w:left="3745" w:hanging="283"/>
      </w:pPr>
      <w:rPr>
        <w:rFonts w:hint="default"/>
      </w:rPr>
    </w:lvl>
    <w:lvl w:ilvl="8">
      <w:start w:val="1"/>
      <w:numFmt w:val="lowerRoman"/>
      <w:lvlText w:val="%9."/>
      <w:lvlJc w:val="right"/>
      <w:pPr>
        <w:ind w:left="4199" w:hanging="283"/>
      </w:pPr>
      <w:rPr>
        <w:rFonts w:hint="default"/>
      </w:rPr>
    </w:lvl>
  </w:abstractNum>
  <w:abstractNum w:abstractNumId="28" w15:restartNumberingAfterBreak="0">
    <w:nsid w:val="72FF65BA"/>
    <w:multiLevelType w:val="hybridMultilevel"/>
    <w:tmpl w:val="98660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6A6B07"/>
    <w:multiLevelType w:val="multilevel"/>
    <w:tmpl w:val="BDA4BC60"/>
    <w:lvl w:ilvl="0">
      <w:start w:val="1"/>
      <w:numFmt w:val="bullet"/>
      <w:pStyle w:val="PanelBullet"/>
      <w:lvlText w:val=""/>
      <w:lvlJc w:val="left"/>
      <w:pPr>
        <w:ind w:left="567" w:hanging="369"/>
      </w:pPr>
      <w:rPr>
        <w:rFonts w:ascii="Symbol" w:hAnsi="Symbol" w:hint="default"/>
      </w:rPr>
    </w:lvl>
    <w:lvl w:ilvl="1">
      <w:start w:val="1"/>
      <w:numFmt w:val="bullet"/>
      <w:lvlText w:val="o"/>
      <w:lvlJc w:val="left"/>
      <w:pPr>
        <w:ind w:left="1134" w:hanging="369"/>
      </w:pPr>
      <w:rPr>
        <w:rFonts w:ascii="Courier New" w:hAnsi="Courier New" w:cs="Courier New" w:hint="default"/>
      </w:rPr>
    </w:lvl>
    <w:lvl w:ilvl="2">
      <w:start w:val="1"/>
      <w:numFmt w:val="bullet"/>
      <w:lvlText w:val=""/>
      <w:lvlJc w:val="left"/>
      <w:pPr>
        <w:ind w:left="1701" w:hanging="369"/>
      </w:pPr>
      <w:rPr>
        <w:rFonts w:ascii="Wingdings" w:hAnsi="Wingdings" w:hint="default"/>
      </w:rPr>
    </w:lvl>
    <w:lvl w:ilvl="3">
      <w:start w:val="1"/>
      <w:numFmt w:val="bullet"/>
      <w:lvlText w:val=""/>
      <w:lvlJc w:val="left"/>
      <w:pPr>
        <w:ind w:left="2268" w:hanging="369"/>
      </w:pPr>
      <w:rPr>
        <w:rFonts w:ascii="Symbol" w:hAnsi="Symbol" w:hint="default"/>
      </w:rPr>
    </w:lvl>
    <w:lvl w:ilvl="4">
      <w:start w:val="1"/>
      <w:numFmt w:val="bullet"/>
      <w:lvlText w:val="o"/>
      <w:lvlJc w:val="left"/>
      <w:pPr>
        <w:ind w:left="2835" w:hanging="369"/>
      </w:pPr>
      <w:rPr>
        <w:rFonts w:ascii="Courier New" w:hAnsi="Courier New" w:cs="Courier New" w:hint="default"/>
      </w:rPr>
    </w:lvl>
    <w:lvl w:ilvl="5">
      <w:start w:val="1"/>
      <w:numFmt w:val="bullet"/>
      <w:lvlText w:val=""/>
      <w:lvlJc w:val="left"/>
      <w:pPr>
        <w:ind w:left="3402" w:hanging="369"/>
      </w:pPr>
      <w:rPr>
        <w:rFonts w:ascii="Wingdings" w:hAnsi="Wingdings" w:hint="default"/>
      </w:rPr>
    </w:lvl>
    <w:lvl w:ilvl="6">
      <w:start w:val="1"/>
      <w:numFmt w:val="bullet"/>
      <w:lvlText w:val=""/>
      <w:lvlJc w:val="left"/>
      <w:pPr>
        <w:ind w:left="3969" w:hanging="369"/>
      </w:pPr>
      <w:rPr>
        <w:rFonts w:ascii="Symbol" w:hAnsi="Symbol" w:hint="default"/>
      </w:rPr>
    </w:lvl>
    <w:lvl w:ilvl="7">
      <w:start w:val="1"/>
      <w:numFmt w:val="bullet"/>
      <w:lvlText w:val="o"/>
      <w:lvlJc w:val="left"/>
      <w:pPr>
        <w:ind w:left="4536" w:hanging="369"/>
      </w:pPr>
      <w:rPr>
        <w:rFonts w:ascii="Courier New" w:hAnsi="Courier New" w:cs="Courier New" w:hint="default"/>
      </w:rPr>
    </w:lvl>
    <w:lvl w:ilvl="8">
      <w:start w:val="1"/>
      <w:numFmt w:val="bullet"/>
      <w:lvlText w:val=""/>
      <w:lvlJc w:val="left"/>
      <w:pPr>
        <w:ind w:left="5103" w:hanging="369"/>
      </w:pPr>
      <w:rPr>
        <w:rFonts w:ascii="Wingdings" w:hAnsi="Wingdings" w:hint="default"/>
      </w:rPr>
    </w:lvl>
  </w:abstractNum>
  <w:abstractNum w:abstractNumId="30" w15:restartNumberingAfterBreak="0">
    <w:nsid w:val="7B066CF7"/>
    <w:multiLevelType w:val="hybridMultilevel"/>
    <w:tmpl w:val="0E123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955B54"/>
    <w:multiLevelType w:val="hybridMultilevel"/>
    <w:tmpl w:val="588090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C7579B2"/>
    <w:multiLevelType w:val="multilevel"/>
    <w:tmpl w:val="32CE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3888332">
    <w:abstractNumId w:val="6"/>
  </w:num>
  <w:num w:numId="2" w16cid:durableId="672151370">
    <w:abstractNumId w:val="23"/>
  </w:num>
  <w:num w:numId="3" w16cid:durableId="587035646">
    <w:abstractNumId w:val="13"/>
  </w:num>
  <w:num w:numId="4" w16cid:durableId="520437771">
    <w:abstractNumId w:val="28"/>
  </w:num>
  <w:num w:numId="5" w16cid:durableId="6754493">
    <w:abstractNumId w:val="24"/>
  </w:num>
  <w:num w:numId="6" w16cid:durableId="1407343211">
    <w:abstractNumId w:val="23"/>
    <w:lvlOverride w:ilvl="0">
      <w:lvl w:ilvl="0">
        <w:start w:val="1"/>
        <w:numFmt w:val="bullet"/>
        <w:pStyle w:val="Tablebullet"/>
        <w:lvlText w:val=""/>
        <w:lvlJc w:val="left"/>
        <w:pPr>
          <w:ind w:left="284" w:hanging="284"/>
        </w:pPr>
        <w:rPr>
          <w:rFonts w:ascii="Symbol" w:hAnsi="Symbol" w:hint="default"/>
          <w:color w:val="000000" w:themeColor="text1"/>
        </w:rPr>
      </w:lvl>
    </w:lvlOverride>
    <w:lvlOverride w:ilvl="1">
      <w:lvl w:ilvl="1">
        <w:start w:val="1"/>
        <w:numFmt w:val="bullet"/>
        <w:lvlText w:val="o"/>
        <w:lvlJc w:val="left"/>
        <w:pPr>
          <w:ind w:left="568" w:hanging="284"/>
        </w:pPr>
        <w:rPr>
          <w:rFonts w:ascii="Courier New" w:hAnsi="Courier New" w:cs="Courier New" w:hint="default"/>
        </w:rPr>
      </w:lvl>
    </w:lvlOverride>
    <w:lvlOverride w:ilvl="2">
      <w:lvl w:ilvl="2">
        <w:start w:val="1"/>
        <w:numFmt w:val="bullet"/>
        <w:lvlText w:val=""/>
        <w:lvlJc w:val="left"/>
        <w:pPr>
          <w:ind w:left="852" w:hanging="284"/>
        </w:pPr>
        <w:rPr>
          <w:rFonts w:ascii="Wingdings" w:hAnsi="Wingdings" w:hint="default"/>
        </w:rPr>
      </w:lvl>
    </w:lvlOverride>
    <w:lvlOverride w:ilvl="3">
      <w:lvl w:ilvl="3">
        <w:start w:val="1"/>
        <w:numFmt w:val="bullet"/>
        <w:lvlText w:val=""/>
        <w:lvlJc w:val="left"/>
        <w:pPr>
          <w:ind w:left="1136" w:hanging="284"/>
        </w:pPr>
        <w:rPr>
          <w:rFonts w:ascii="Symbol" w:hAnsi="Symbol" w:hint="default"/>
        </w:rPr>
      </w:lvl>
    </w:lvlOverride>
    <w:lvlOverride w:ilvl="4">
      <w:lvl w:ilvl="4">
        <w:start w:val="1"/>
        <w:numFmt w:val="bullet"/>
        <w:lvlText w:val="o"/>
        <w:lvlJc w:val="left"/>
        <w:pPr>
          <w:ind w:left="1420" w:hanging="284"/>
        </w:pPr>
        <w:rPr>
          <w:rFonts w:ascii="Courier New" w:hAnsi="Courier New" w:cs="Courier New" w:hint="default"/>
        </w:rPr>
      </w:lvl>
    </w:lvlOverride>
    <w:lvlOverride w:ilvl="5">
      <w:lvl w:ilvl="5">
        <w:start w:val="1"/>
        <w:numFmt w:val="bullet"/>
        <w:lvlText w:val=""/>
        <w:lvlJc w:val="left"/>
        <w:pPr>
          <w:ind w:left="1704" w:hanging="284"/>
        </w:pPr>
        <w:rPr>
          <w:rFonts w:ascii="Wingdings" w:hAnsi="Wingdings" w:hint="default"/>
        </w:rPr>
      </w:lvl>
    </w:lvlOverride>
    <w:lvlOverride w:ilvl="6">
      <w:lvl w:ilvl="6">
        <w:start w:val="1"/>
        <w:numFmt w:val="bullet"/>
        <w:lvlText w:val=""/>
        <w:lvlJc w:val="left"/>
        <w:pPr>
          <w:ind w:left="1988" w:hanging="284"/>
        </w:pPr>
        <w:rPr>
          <w:rFonts w:ascii="Symbol" w:hAnsi="Symbol" w:hint="default"/>
        </w:rPr>
      </w:lvl>
    </w:lvlOverride>
    <w:lvlOverride w:ilvl="7">
      <w:lvl w:ilvl="7">
        <w:start w:val="1"/>
        <w:numFmt w:val="bullet"/>
        <w:lvlText w:val="o"/>
        <w:lvlJc w:val="left"/>
        <w:pPr>
          <w:ind w:left="2272" w:hanging="284"/>
        </w:pPr>
        <w:rPr>
          <w:rFonts w:ascii="Courier New" w:hAnsi="Courier New" w:cs="Courier New" w:hint="default"/>
        </w:rPr>
      </w:lvl>
    </w:lvlOverride>
    <w:lvlOverride w:ilvl="8">
      <w:lvl w:ilvl="8">
        <w:start w:val="1"/>
        <w:numFmt w:val="bullet"/>
        <w:lvlText w:val=""/>
        <w:lvlJc w:val="left"/>
        <w:pPr>
          <w:ind w:left="2556" w:hanging="284"/>
        </w:pPr>
        <w:rPr>
          <w:rFonts w:ascii="Wingdings" w:hAnsi="Wingdings" w:hint="default"/>
        </w:rPr>
      </w:lvl>
    </w:lvlOverride>
  </w:num>
  <w:num w:numId="7" w16cid:durableId="272635984">
    <w:abstractNumId w:val="13"/>
    <w:lvlOverride w:ilvl="0">
      <w:lvl w:ilvl="0">
        <w:start w:val="1"/>
        <w:numFmt w:val="decimal"/>
        <w:pStyle w:val="Tablenumbering"/>
        <w:lvlText w:val="%1."/>
        <w:lvlJc w:val="left"/>
        <w:pPr>
          <w:ind w:left="284" w:hanging="284"/>
        </w:pPr>
        <w:rPr>
          <w:rFonts w:asciiTheme="minorHAnsi" w:hAnsiTheme="minorHAnsi" w:hint="default"/>
          <w:color w:val="000000" w:themeColor="text1"/>
        </w:rPr>
      </w:lvl>
    </w:lvlOverride>
    <w:lvlOverride w:ilvl="1">
      <w:lvl w:ilvl="1">
        <w:start w:val="1"/>
        <w:numFmt w:val="bullet"/>
        <w:lvlText w:val="‒"/>
        <w:lvlJc w:val="left"/>
        <w:pPr>
          <w:ind w:left="568" w:hanging="284"/>
        </w:pPr>
        <w:rPr>
          <w:rFonts w:asciiTheme="minorHAnsi" w:hAnsiTheme="minorHAnsi" w:cs="Times New Roman" w:hint="default"/>
          <w:color w:val="000000" w:themeColor="text1"/>
        </w:rPr>
      </w:lvl>
    </w:lvlOverride>
    <w:lvlOverride w:ilvl="2">
      <w:lvl w:ilvl="2">
        <w:start w:val="1"/>
        <w:numFmt w:val="bullet"/>
        <w:lvlText w:val="⁚"/>
        <w:lvlJc w:val="left"/>
        <w:pPr>
          <w:ind w:left="851" w:hanging="284"/>
        </w:pPr>
        <w:rPr>
          <w:rFonts w:ascii="Times New Roman" w:hAnsi="Times New Roman" w:cs="Times New Roman" w:hint="default"/>
          <w:color w:val="000000" w:themeColor="text1"/>
        </w:rPr>
      </w:lvl>
    </w:lvlOverride>
    <w:lvlOverride w:ilvl="3">
      <w:lvl w:ilvl="3">
        <w:start w:val="1"/>
        <w:numFmt w:val="decimal"/>
        <w:lvlText w:val="%4."/>
        <w:lvlJc w:val="left"/>
        <w:pPr>
          <w:ind w:left="1418"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righ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right"/>
        <w:pPr>
          <w:ind w:left="2556" w:hanging="284"/>
        </w:pPr>
        <w:rPr>
          <w:rFonts w:hint="default"/>
        </w:rPr>
      </w:lvl>
    </w:lvlOverride>
  </w:num>
  <w:num w:numId="8" w16cid:durableId="19735152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0735483">
    <w:abstractNumId w:val="13"/>
    <w:lvlOverride w:ilvl="0">
      <w:lvl w:ilvl="0">
        <w:start w:val="1"/>
        <w:numFmt w:val="decimal"/>
        <w:pStyle w:val="Tablenumbering"/>
        <w:lvlText w:val="%1."/>
        <w:lvlJc w:val="left"/>
        <w:pPr>
          <w:ind w:left="567" w:hanging="283"/>
        </w:pPr>
        <w:rPr>
          <w:rFonts w:asciiTheme="minorHAnsi" w:hAnsiTheme="minorHAnsi" w:hint="default"/>
          <w:color w:val="014463" w:themeColor="text2"/>
        </w:rPr>
      </w:lvl>
    </w:lvlOverride>
    <w:lvlOverride w:ilvl="1">
      <w:lvl w:ilvl="1">
        <w:start w:val="1"/>
        <w:numFmt w:val="lowerRoman"/>
        <w:lvlText w:val="%2"/>
        <w:lvlJc w:val="left"/>
        <w:pPr>
          <w:ind w:left="1021" w:hanging="283"/>
        </w:pPr>
        <w:rPr>
          <w:rFonts w:hint="default"/>
        </w:rPr>
      </w:lvl>
    </w:lvlOverride>
    <w:lvlOverride w:ilvl="2">
      <w:lvl w:ilvl="2">
        <w:start w:val="1"/>
        <w:numFmt w:val="upperRoman"/>
        <w:lvlText w:val="%3"/>
        <w:lvlJc w:val="left"/>
        <w:pPr>
          <w:ind w:left="1475" w:hanging="283"/>
        </w:pPr>
        <w:rPr>
          <w:rFonts w:hint="default"/>
        </w:rPr>
      </w:lvl>
    </w:lvlOverride>
    <w:lvlOverride w:ilvl="3">
      <w:lvl w:ilvl="3">
        <w:start w:val="1"/>
        <w:numFmt w:val="decimal"/>
        <w:lvlText w:val="%4."/>
        <w:lvlJc w:val="left"/>
        <w:pPr>
          <w:ind w:left="1929" w:hanging="283"/>
        </w:pPr>
        <w:rPr>
          <w:rFonts w:hint="default"/>
        </w:rPr>
      </w:lvl>
    </w:lvlOverride>
    <w:lvlOverride w:ilvl="4">
      <w:lvl w:ilvl="4">
        <w:start w:val="1"/>
        <w:numFmt w:val="lowerLetter"/>
        <w:lvlText w:val="%5."/>
        <w:lvlJc w:val="left"/>
        <w:pPr>
          <w:ind w:left="2383" w:hanging="283"/>
        </w:pPr>
        <w:rPr>
          <w:rFonts w:hint="default"/>
        </w:rPr>
      </w:lvl>
    </w:lvlOverride>
    <w:lvlOverride w:ilvl="5">
      <w:lvl w:ilvl="5">
        <w:start w:val="1"/>
        <w:numFmt w:val="lowerRoman"/>
        <w:lvlText w:val="%6."/>
        <w:lvlJc w:val="right"/>
        <w:pPr>
          <w:ind w:left="2837" w:hanging="283"/>
        </w:pPr>
        <w:rPr>
          <w:rFonts w:hint="default"/>
        </w:rPr>
      </w:lvl>
    </w:lvlOverride>
    <w:lvlOverride w:ilvl="6">
      <w:lvl w:ilvl="6">
        <w:start w:val="1"/>
        <w:numFmt w:val="decimal"/>
        <w:lvlText w:val="%7."/>
        <w:lvlJc w:val="left"/>
        <w:pPr>
          <w:ind w:left="3291" w:hanging="283"/>
        </w:pPr>
        <w:rPr>
          <w:rFonts w:hint="default"/>
        </w:rPr>
      </w:lvl>
    </w:lvlOverride>
    <w:lvlOverride w:ilvl="7">
      <w:lvl w:ilvl="7">
        <w:start w:val="1"/>
        <w:numFmt w:val="lowerLetter"/>
        <w:lvlText w:val="%8."/>
        <w:lvlJc w:val="left"/>
        <w:pPr>
          <w:ind w:left="3745" w:hanging="283"/>
        </w:pPr>
        <w:rPr>
          <w:rFonts w:hint="default"/>
        </w:rPr>
      </w:lvl>
    </w:lvlOverride>
    <w:lvlOverride w:ilvl="8">
      <w:lvl w:ilvl="8">
        <w:start w:val="1"/>
        <w:numFmt w:val="lowerRoman"/>
        <w:lvlText w:val="%9."/>
        <w:lvlJc w:val="right"/>
        <w:pPr>
          <w:ind w:left="4199" w:hanging="283"/>
        </w:pPr>
        <w:rPr>
          <w:rFonts w:hint="default"/>
        </w:rPr>
      </w:lvl>
    </w:lvlOverride>
  </w:num>
  <w:num w:numId="10" w16cid:durableId="726732939">
    <w:abstractNumId w:val="13"/>
    <w:lvlOverride w:ilvl="0">
      <w:startOverride w:val="1"/>
      <w:lvl w:ilvl="0">
        <w:start w:val="1"/>
        <w:numFmt w:val="decimal"/>
        <w:pStyle w:val="Tablenumbering"/>
        <w:lvlText w:val="%1."/>
        <w:lvlJc w:val="left"/>
        <w:pPr>
          <w:ind w:left="397" w:hanging="397"/>
        </w:pPr>
        <w:rPr>
          <w:rFonts w:hint="default"/>
          <w:color w:val="404040" w:themeColor="text1" w:themeTint="BF"/>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1" w16cid:durableId="1843817282">
    <w:abstractNumId w:val="13"/>
    <w:lvlOverride w:ilvl="0">
      <w:startOverride w:val="1"/>
      <w:lvl w:ilvl="0">
        <w:start w:val="1"/>
        <w:numFmt w:val="decimal"/>
        <w:pStyle w:val="Tablenumbering"/>
        <w:lvlText w:val="%1."/>
        <w:lvlJc w:val="left"/>
        <w:pPr>
          <w:ind w:left="397" w:hanging="397"/>
        </w:pPr>
        <w:rPr>
          <w:rFonts w:hint="default"/>
          <w:color w:val="404040" w:themeColor="text1" w:themeTint="BF"/>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2" w16cid:durableId="1956474558">
    <w:abstractNumId w:val="13"/>
    <w:lvlOverride w:ilvl="0">
      <w:startOverride w:val="1"/>
      <w:lvl w:ilvl="0">
        <w:start w:val="1"/>
        <w:numFmt w:val="decimal"/>
        <w:pStyle w:val="Tablenumbering"/>
        <w:lvlText w:val="%1."/>
        <w:lvlJc w:val="left"/>
        <w:pPr>
          <w:ind w:left="397" w:hanging="397"/>
        </w:pPr>
        <w:rPr>
          <w:rFonts w:hint="default"/>
          <w:color w:val="D1D1D1" w:themeColor="accent6"/>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3" w16cid:durableId="1736078393">
    <w:abstractNumId w:val="24"/>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134"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701" w:hanging="283"/>
        </w:pPr>
        <w:rPr>
          <w:rFonts w:ascii="Wingdings" w:hAnsi="Wingdings" w:hint="default"/>
        </w:rPr>
      </w:lvl>
    </w:lvlOverride>
    <w:lvlOverride w:ilvl="3">
      <w:lvl w:ilvl="3">
        <w:start w:val="1"/>
        <w:numFmt w:val="bullet"/>
        <w:lvlText w:val=""/>
        <w:lvlJc w:val="left"/>
        <w:pPr>
          <w:ind w:left="2268" w:hanging="283"/>
        </w:pPr>
        <w:rPr>
          <w:rFonts w:ascii="Symbol" w:hAnsi="Symbol" w:hint="default"/>
        </w:rPr>
      </w:lvl>
    </w:lvlOverride>
    <w:lvlOverride w:ilvl="4">
      <w:lvl w:ilvl="4">
        <w:start w:val="1"/>
        <w:numFmt w:val="bullet"/>
        <w:lvlText w:val="o"/>
        <w:lvlJc w:val="left"/>
        <w:pPr>
          <w:ind w:left="2835" w:hanging="283"/>
        </w:pPr>
        <w:rPr>
          <w:rFonts w:ascii="Courier New" w:hAnsi="Courier New" w:cs="Courier New" w:hint="default"/>
        </w:rPr>
      </w:lvl>
    </w:lvlOverride>
    <w:lvlOverride w:ilvl="5">
      <w:lvl w:ilvl="5">
        <w:start w:val="1"/>
        <w:numFmt w:val="bullet"/>
        <w:lvlText w:val=""/>
        <w:lvlJc w:val="left"/>
        <w:pPr>
          <w:ind w:left="3402" w:hanging="283"/>
        </w:pPr>
        <w:rPr>
          <w:rFonts w:ascii="Wingdings" w:hAnsi="Wingdings" w:hint="default"/>
        </w:rPr>
      </w:lvl>
    </w:lvlOverride>
    <w:lvlOverride w:ilvl="6">
      <w:lvl w:ilvl="6">
        <w:start w:val="1"/>
        <w:numFmt w:val="bullet"/>
        <w:lvlText w:val=""/>
        <w:lvlJc w:val="left"/>
        <w:pPr>
          <w:ind w:left="3969" w:hanging="283"/>
        </w:pPr>
        <w:rPr>
          <w:rFonts w:ascii="Symbol" w:hAnsi="Symbol" w:hint="default"/>
        </w:rPr>
      </w:lvl>
    </w:lvlOverride>
    <w:lvlOverride w:ilvl="7">
      <w:lvl w:ilvl="7">
        <w:start w:val="1"/>
        <w:numFmt w:val="bullet"/>
        <w:lvlText w:val="o"/>
        <w:lvlJc w:val="left"/>
        <w:pPr>
          <w:ind w:left="4536" w:hanging="283"/>
        </w:pPr>
        <w:rPr>
          <w:rFonts w:ascii="Courier New" w:hAnsi="Courier New" w:cs="Courier New" w:hint="default"/>
        </w:rPr>
      </w:lvl>
    </w:lvlOverride>
    <w:lvlOverride w:ilvl="8">
      <w:lvl w:ilvl="8">
        <w:start w:val="1"/>
        <w:numFmt w:val="bullet"/>
        <w:lvlText w:val=""/>
        <w:lvlJc w:val="left"/>
        <w:pPr>
          <w:ind w:left="5103" w:hanging="283"/>
        </w:pPr>
        <w:rPr>
          <w:rFonts w:ascii="Wingdings" w:hAnsi="Wingdings" w:hint="default"/>
        </w:rPr>
      </w:lvl>
    </w:lvlOverride>
  </w:num>
  <w:num w:numId="14" w16cid:durableId="2138065493">
    <w:abstractNumId w:val="24"/>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15" w16cid:durableId="1236668253">
    <w:abstractNumId w:val="13"/>
    <w:lvlOverride w:ilvl="0">
      <w:lvl w:ilvl="0">
        <w:start w:val="1"/>
        <w:numFmt w:val="decimal"/>
        <w:pStyle w:val="Tablenumbering"/>
        <w:lvlText w:val="%1."/>
        <w:lvlJc w:val="left"/>
        <w:pPr>
          <w:ind w:left="360" w:hanging="360"/>
        </w:pPr>
        <w:rPr>
          <w:rFonts w:asciiTheme="minorHAnsi" w:hAnsiTheme="minorHAnsi" w:hint="default"/>
          <w:color w:val="262626" w:themeColor="text1" w:themeTint="D9"/>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6" w16cid:durableId="525749241">
    <w:abstractNumId w:val="13"/>
    <w:lvlOverride w:ilvl="0">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lvl w:ilvl="1">
        <w:start w:val="1"/>
        <w:numFmt w:val="lowerRoman"/>
        <w:lvlText w:val="%2"/>
        <w:lvlJc w:val="left"/>
        <w:pPr>
          <w:ind w:left="454" w:hanging="284"/>
        </w:pPr>
        <w:rPr>
          <w:rFonts w:hint="default"/>
        </w:rPr>
      </w:lvl>
    </w:lvlOverride>
    <w:lvlOverride w:ilvl="2">
      <w:lvl w:ilvl="2">
        <w:start w:val="1"/>
        <w:numFmt w:val="upperRoman"/>
        <w:lvlText w:val="%3"/>
        <w:lvlJc w:val="left"/>
        <w:pPr>
          <w:ind w:left="624" w:hanging="284"/>
        </w:pPr>
        <w:rPr>
          <w:rFonts w:hint="default"/>
        </w:rPr>
      </w:lvl>
    </w:lvlOverride>
    <w:lvlOverride w:ilvl="3">
      <w:lvl w:ilvl="3">
        <w:start w:val="1"/>
        <w:numFmt w:val="decimal"/>
        <w:lvlText w:val="%4."/>
        <w:lvlJc w:val="left"/>
        <w:pPr>
          <w:ind w:left="794" w:hanging="284"/>
        </w:pPr>
        <w:rPr>
          <w:rFonts w:hint="default"/>
        </w:rPr>
      </w:lvl>
    </w:lvlOverride>
    <w:lvlOverride w:ilvl="4">
      <w:lvl w:ilvl="4">
        <w:start w:val="1"/>
        <w:numFmt w:val="lowerLetter"/>
        <w:lvlText w:val="%5."/>
        <w:lvlJc w:val="left"/>
        <w:pPr>
          <w:ind w:left="964" w:hanging="284"/>
        </w:pPr>
        <w:rPr>
          <w:rFonts w:hint="default"/>
        </w:rPr>
      </w:lvl>
    </w:lvlOverride>
    <w:lvlOverride w:ilvl="5">
      <w:lvl w:ilvl="5">
        <w:start w:val="1"/>
        <w:numFmt w:val="lowerRoman"/>
        <w:lvlText w:val="%6."/>
        <w:lvlJc w:val="right"/>
        <w:pPr>
          <w:ind w:left="1134" w:hanging="284"/>
        </w:pPr>
        <w:rPr>
          <w:rFonts w:hint="default"/>
        </w:rPr>
      </w:lvl>
    </w:lvlOverride>
    <w:lvlOverride w:ilvl="6">
      <w:lvl w:ilvl="6">
        <w:start w:val="1"/>
        <w:numFmt w:val="decimal"/>
        <w:lvlText w:val="%7."/>
        <w:lvlJc w:val="left"/>
        <w:pPr>
          <w:ind w:left="1304" w:hanging="284"/>
        </w:pPr>
        <w:rPr>
          <w:rFonts w:hint="default"/>
        </w:rPr>
      </w:lvl>
    </w:lvlOverride>
    <w:lvlOverride w:ilvl="7">
      <w:lvl w:ilvl="7">
        <w:start w:val="1"/>
        <w:numFmt w:val="lowerLetter"/>
        <w:lvlText w:val="%8."/>
        <w:lvlJc w:val="left"/>
        <w:pPr>
          <w:ind w:left="1474" w:hanging="284"/>
        </w:pPr>
        <w:rPr>
          <w:rFonts w:hint="default"/>
        </w:rPr>
      </w:lvl>
    </w:lvlOverride>
    <w:lvlOverride w:ilvl="8">
      <w:lvl w:ilvl="8">
        <w:start w:val="1"/>
        <w:numFmt w:val="lowerRoman"/>
        <w:lvlText w:val="%9."/>
        <w:lvlJc w:val="right"/>
        <w:pPr>
          <w:ind w:left="1644" w:hanging="284"/>
        </w:pPr>
        <w:rPr>
          <w:rFonts w:hint="default"/>
        </w:rPr>
      </w:lvl>
    </w:lvlOverride>
  </w:num>
  <w:num w:numId="17" w16cid:durableId="1647928861">
    <w:abstractNumId w:val="3"/>
  </w:num>
  <w:num w:numId="18" w16cid:durableId="1239704593">
    <w:abstractNumId w:val="3"/>
    <w:lvlOverride w:ilvl="0">
      <w:lvl w:ilvl="0">
        <w:start w:val="1"/>
        <w:numFmt w:val="decimal"/>
        <w:pStyle w:val="List"/>
        <w:lvlText w:val="%1"/>
        <w:lvlJc w:val="left"/>
        <w:pPr>
          <w:ind w:left="432" w:hanging="317"/>
        </w:pPr>
        <w:rPr>
          <w:rFonts w:hint="default"/>
          <w:color w:val="2A4055" w:themeColor="accent1"/>
        </w:rPr>
      </w:lvl>
    </w:lvlOverride>
    <w:lvlOverride w:ilvl="1">
      <w:lvl w:ilvl="1">
        <w:start w:val="1"/>
        <w:numFmt w:val="lowerRoman"/>
        <w:lvlText w:val="%2"/>
        <w:lvlJc w:val="left"/>
        <w:pPr>
          <w:ind w:left="720" w:hanging="317"/>
        </w:pPr>
        <w:rPr>
          <w:rFonts w:hint="default"/>
          <w:color w:val="2A4055" w:themeColor="accent1"/>
        </w:rPr>
      </w:lvl>
    </w:lvlOverride>
    <w:lvlOverride w:ilvl="2">
      <w:lvl w:ilvl="2">
        <w:start w:val="1"/>
        <w:numFmt w:val="upperRoman"/>
        <w:lvlText w:val="%3"/>
        <w:lvlJc w:val="left"/>
        <w:pPr>
          <w:ind w:left="1008" w:hanging="317"/>
        </w:pPr>
        <w:rPr>
          <w:rFonts w:hint="default"/>
          <w:color w:val="2A4055" w:themeColor="accent1"/>
        </w:rPr>
      </w:lvl>
    </w:lvlOverride>
    <w:lvlOverride w:ilvl="3">
      <w:lvl w:ilvl="3">
        <w:start w:val="1"/>
        <w:numFmt w:val="decimal"/>
        <w:lvlText w:val="%4."/>
        <w:lvlJc w:val="left"/>
        <w:pPr>
          <w:ind w:left="1296" w:hanging="317"/>
        </w:pPr>
        <w:rPr>
          <w:rFonts w:hint="default"/>
        </w:rPr>
      </w:lvl>
    </w:lvlOverride>
    <w:lvlOverride w:ilvl="4">
      <w:lvl w:ilvl="4">
        <w:start w:val="1"/>
        <w:numFmt w:val="lowerLetter"/>
        <w:lvlText w:val="%5."/>
        <w:lvlJc w:val="left"/>
        <w:pPr>
          <w:ind w:left="1584" w:hanging="317"/>
        </w:pPr>
        <w:rPr>
          <w:rFonts w:hint="default"/>
        </w:rPr>
      </w:lvl>
    </w:lvlOverride>
    <w:lvlOverride w:ilvl="5">
      <w:lvl w:ilvl="5">
        <w:start w:val="1"/>
        <w:numFmt w:val="lowerRoman"/>
        <w:lvlText w:val="%6."/>
        <w:lvlJc w:val="right"/>
        <w:pPr>
          <w:ind w:left="1872" w:hanging="317"/>
        </w:pPr>
        <w:rPr>
          <w:rFonts w:hint="default"/>
        </w:rPr>
      </w:lvl>
    </w:lvlOverride>
    <w:lvlOverride w:ilvl="6">
      <w:lvl w:ilvl="6">
        <w:start w:val="1"/>
        <w:numFmt w:val="decimal"/>
        <w:lvlText w:val="%7."/>
        <w:lvlJc w:val="left"/>
        <w:pPr>
          <w:ind w:left="2160" w:hanging="317"/>
        </w:pPr>
        <w:rPr>
          <w:rFonts w:hint="default"/>
        </w:rPr>
      </w:lvl>
    </w:lvlOverride>
    <w:lvlOverride w:ilvl="7">
      <w:lvl w:ilvl="7">
        <w:start w:val="1"/>
        <w:numFmt w:val="lowerLetter"/>
        <w:lvlText w:val="%8."/>
        <w:lvlJc w:val="left"/>
        <w:pPr>
          <w:ind w:left="2448" w:hanging="317"/>
        </w:pPr>
        <w:rPr>
          <w:rFonts w:hint="default"/>
        </w:rPr>
      </w:lvl>
    </w:lvlOverride>
    <w:lvlOverride w:ilvl="8">
      <w:lvl w:ilvl="8">
        <w:start w:val="1"/>
        <w:numFmt w:val="lowerRoman"/>
        <w:lvlText w:val="%9."/>
        <w:lvlJc w:val="right"/>
        <w:pPr>
          <w:ind w:left="2736" w:hanging="317"/>
        </w:pPr>
        <w:rPr>
          <w:rFonts w:hint="default"/>
        </w:rPr>
      </w:lvl>
    </w:lvlOverride>
  </w:num>
  <w:num w:numId="19" w16cid:durableId="1863400326">
    <w:abstractNumId w:val="20"/>
  </w:num>
  <w:num w:numId="20" w16cid:durableId="2144809400">
    <w:abstractNumId w:val="29"/>
  </w:num>
  <w:num w:numId="21" w16cid:durableId="1160580359">
    <w:abstractNumId w:val="1"/>
  </w:num>
  <w:num w:numId="22" w16cid:durableId="2095086125">
    <w:abstractNumId w:val="27"/>
  </w:num>
  <w:num w:numId="23" w16cid:durableId="1674870695">
    <w:abstractNumId w:val="27"/>
    <w:lvlOverride w:ilvl="0">
      <w:lvl w:ilvl="0">
        <w:start w:val="1"/>
        <w:numFmt w:val="decimal"/>
        <w:pStyle w:val="NumberedListlevel1"/>
        <w:lvlText w:val="%1."/>
        <w:lvlJc w:val="left"/>
        <w:pPr>
          <w:ind w:left="567" w:hanging="283"/>
        </w:pPr>
        <w:rPr>
          <w:rFonts w:hint="default"/>
        </w:rPr>
      </w:lvl>
    </w:lvlOverride>
    <w:lvlOverride w:ilvl="1">
      <w:lvl w:ilvl="1">
        <w:start w:val="1"/>
        <w:numFmt w:val="lowerLetter"/>
        <w:pStyle w:val="NumberedListlevel2"/>
        <w:lvlText w:val="%2."/>
        <w:lvlJc w:val="left"/>
        <w:pPr>
          <w:ind w:left="1021" w:hanging="283"/>
        </w:pPr>
        <w:rPr>
          <w:rFonts w:hint="default"/>
        </w:rPr>
      </w:lvl>
    </w:lvlOverride>
    <w:lvlOverride w:ilvl="2">
      <w:lvl w:ilvl="2">
        <w:start w:val="1"/>
        <w:numFmt w:val="lowerRoman"/>
        <w:pStyle w:val="NumberedListlevel3"/>
        <w:lvlText w:val="%3."/>
        <w:lvlJc w:val="left"/>
        <w:pPr>
          <w:ind w:left="1418" w:hanging="284"/>
        </w:pPr>
        <w:rPr>
          <w:rFonts w:hint="default"/>
        </w:rPr>
      </w:lvl>
    </w:lvlOverride>
    <w:lvlOverride w:ilvl="3">
      <w:lvl w:ilvl="3">
        <w:start w:val="1"/>
        <w:numFmt w:val="decimal"/>
        <w:lvlText w:val="%4."/>
        <w:lvlJc w:val="left"/>
        <w:pPr>
          <w:ind w:left="1929" w:hanging="283"/>
        </w:pPr>
        <w:rPr>
          <w:rFonts w:hint="default"/>
        </w:rPr>
      </w:lvl>
    </w:lvlOverride>
    <w:lvlOverride w:ilvl="4">
      <w:lvl w:ilvl="4">
        <w:start w:val="1"/>
        <w:numFmt w:val="lowerLetter"/>
        <w:lvlText w:val="%5."/>
        <w:lvlJc w:val="left"/>
        <w:pPr>
          <w:ind w:left="2383" w:hanging="283"/>
        </w:pPr>
        <w:rPr>
          <w:rFonts w:hint="default"/>
        </w:rPr>
      </w:lvl>
    </w:lvlOverride>
    <w:lvlOverride w:ilvl="5">
      <w:lvl w:ilvl="5">
        <w:start w:val="1"/>
        <w:numFmt w:val="lowerRoman"/>
        <w:lvlText w:val="%6."/>
        <w:lvlJc w:val="right"/>
        <w:pPr>
          <w:ind w:left="2837" w:hanging="283"/>
        </w:pPr>
        <w:rPr>
          <w:rFonts w:hint="default"/>
        </w:rPr>
      </w:lvl>
    </w:lvlOverride>
    <w:lvlOverride w:ilvl="6">
      <w:lvl w:ilvl="6">
        <w:start w:val="1"/>
        <w:numFmt w:val="decimal"/>
        <w:lvlText w:val="%7."/>
        <w:lvlJc w:val="left"/>
        <w:pPr>
          <w:ind w:left="3291" w:hanging="283"/>
        </w:pPr>
        <w:rPr>
          <w:rFonts w:hint="default"/>
        </w:rPr>
      </w:lvl>
    </w:lvlOverride>
    <w:lvlOverride w:ilvl="7">
      <w:lvl w:ilvl="7">
        <w:start w:val="1"/>
        <w:numFmt w:val="lowerLetter"/>
        <w:lvlText w:val="%8."/>
        <w:lvlJc w:val="left"/>
        <w:pPr>
          <w:ind w:left="3745" w:hanging="283"/>
        </w:pPr>
        <w:rPr>
          <w:rFonts w:hint="default"/>
        </w:rPr>
      </w:lvl>
    </w:lvlOverride>
    <w:lvlOverride w:ilvl="8">
      <w:lvl w:ilvl="8">
        <w:start w:val="1"/>
        <w:numFmt w:val="lowerRoman"/>
        <w:lvlText w:val="%9."/>
        <w:lvlJc w:val="right"/>
        <w:pPr>
          <w:ind w:left="4199" w:hanging="283"/>
        </w:pPr>
        <w:rPr>
          <w:rFonts w:hint="default"/>
        </w:rPr>
      </w:lvl>
    </w:lvlOverride>
  </w:num>
  <w:num w:numId="24" w16cid:durableId="1960797214">
    <w:abstractNumId w:val="13"/>
    <w:lvlOverride w:ilvl="0">
      <w:startOverride w:val="1"/>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5" w16cid:durableId="1821068984">
    <w:abstractNumId w:val="13"/>
    <w:lvlOverride w:ilvl="0">
      <w:startOverride w:val="1"/>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6" w16cid:durableId="1031301316">
    <w:abstractNumId w:val="13"/>
    <w:lvlOverride w:ilvl="0">
      <w:startOverride w:val="1"/>
      <w:lvl w:ilvl="0">
        <w:start w:val="1"/>
        <w:numFmt w:val="decimal"/>
        <w:pStyle w:val="Tablenumbering"/>
        <w:lvlText w:val="%1."/>
        <w:lvlJc w:val="left"/>
        <w:pPr>
          <w:ind w:left="284" w:hanging="284"/>
        </w:pPr>
        <w:rPr>
          <w:rFonts w:asciiTheme="minorHAnsi" w:hAnsiTheme="minorHAnsi" w:hint="default"/>
          <w:color w:val="262626" w:themeColor="text1" w:themeTint="D9"/>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7" w16cid:durableId="1058283542">
    <w:abstractNumId w:val="10"/>
  </w:num>
  <w:num w:numId="28" w16cid:durableId="811672407">
    <w:abstractNumId w:val="26"/>
  </w:num>
  <w:num w:numId="29" w16cid:durableId="828328936">
    <w:abstractNumId w:val="18"/>
  </w:num>
  <w:num w:numId="30" w16cid:durableId="756631213">
    <w:abstractNumId w:val="24"/>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31" w16cid:durableId="853150432">
    <w:abstractNumId w:val="22"/>
  </w:num>
  <w:num w:numId="32" w16cid:durableId="351423596">
    <w:abstractNumId w:val="0"/>
  </w:num>
  <w:num w:numId="33" w16cid:durableId="712387182">
    <w:abstractNumId w:val="4"/>
  </w:num>
  <w:num w:numId="34" w16cid:durableId="1850170932">
    <w:abstractNumId w:val="16"/>
  </w:num>
  <w:num w:numId="35" w16cid:durableId="1107625436">
    <w:abstractNumId w:val="2"/>
  </w:num>
  <w:num w:numId="36" w16cid:durableId="1157725671">
    <w:abstractNumId w:val="25"/>
  </w:num>
  <w:num w:numId="37" w16cid:durableId="795754908">
    <w:abstractNumId w:val="12"/>
  </w:num>
  <w:num w:numId="38" w16cid:durableId="2072656565">
    <w:abstractNumId w:val="30"/>
  </w:num>
  <w:num w:numId="39" w16cid:durableId="1712536549">
    <w:abstractNumId w:val="31"/>
  </w:num>
  <w:num w:numId="40" w16cid:durableId="1278097907">
    <w:abstractNumId w:val="11"/>
  </w:num>
  <w:num w:numId="41" w16cid:durableId="1799300764">
    <w:abstractNumId w:val="8"/>
  </w:num>
  <w:num w:numId="42" w16cid:durableId="2071419623">
    <w:abstractNumId w:val="21"/>
  </w:num>
  <w:num w:numId="43" w16cid:durableId="518856980">
    <w:abstractNumId w:val="14"/>
  </w:num>
  <w:num w:numId="44" w16cid:durableId="1880430701">
    <w:abstractNumId w:val="32"/>
  </w:num>
  <w:num w:numId="45" w16cid:durableId="1638023796">
    <w:abstractNumId w:val="5"/>
  </w:num>
  <w:num w:numId="46" w16cid:durableId="71583492">
    <w:abstractNumId w:val="9"/>
  </w:num>
  <w:num w:numId="47" w16cid:durableId="4408175">
    <w:abstractNumId w:val="17"/>
  </w:num>
  <w:num w:numId="48" w16cid:durableId="1739982636">
    <w:abstractNumId w:val="19"/>
  </w:num>
  <w:num w:numId="49" w16cid:durableId="881097029">
    <w:abstractNumId w:val="7"/>
  </w:num>
  <w:num w:numId="50" w16cid:durableId="65904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formatting="1"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6E"/>
    <w:rsid w:val="000004EC"/>
    <w:rsid w:val="0000076B"/>
    <w:rsid w:val="000007A2"/>
    <w:rsid w:val="00000FBB"/>
    <w:rsid w:val="00001CA6"/>
    <w:rsid w:val="000021DE"/>
    <w:rsid w:val="00002D91"/>
    <w:rsid w:val="00002F73"/>
    <w:rsid w:val="00003B2D"/>
    <w:rsid w:val="00005A14"/>
    <w:rsid w:val="00007390"/>
    <w:rsid w:val="00007EB1"/>
    <w:rsid w:val="00010FC5"/>
    <w:rsid w:val="00014206"/>
    <w:rsid w:val="00014E8A"/>
    <w:rsid w:val="000152E5"/>
    <w:rsid w:val="00022B85"/>
    <w:rsid w:val="000230BC"/>
    <w:rsid w:val="000230F3"/>
    <w:rsid w:val="00023AC4"/>
    <w:rsid w:val="000277A1"/>
    <w:rsid w:val="000304B2"/>
    <w:rsid w:val="00031B5C"/>
    <w:rsid w:val="0003220A"/>
    <w:rsid w:val="00032E52"/>
    <w:rsid w:val="000330F5"/>
    <w:rsid w:val="00034193"/>
    <w:rsid w:val="000345B9"/>
    <w:rsid w:val="00034FEC"/>
    <w:rsid w:val="00037CFA"/>
    <w:rsid w:val="0004082F"/>
    <w:rsid w:val="000411C7"/>
    <w:rsid w:val="00041266"/>
    <w:rsid w:val="000414B9"/>
    <w:rsid w:val="00041A75"/>
    <w:rsid w:val="000424B7"/>
    <w:rsid w:val="000425C0"/>
    <w:rsid w:val="00042CF8"/>
    <w:rsid w:val="00042E89"/>
    <w:rsid w:val="00043A3C"/>
    <w:rsid w:val="00044BF9"/>
    <w:rsid w:val="000503A6"/>
    <w:rsid w:val="0005154D"/>
    <w:rsid w:val="00053CD9"/>
    <w:rsid w:val="000561B6"/>
    <w:rsid w:val="0005630C"/>
    <w:rsid w:val="0005697E"/>
    <w:rsid w:val="00057B46"/>
    <w:rsid w:val="00060E45"/>
    <w:rsid w:val="00061686"/>
    <w:rsid w:val="00063034"/>
    <w:rsid w:val="00064554"/>
    <w:rsid w:val="00065EDB"/>
    <w:rsid w:val="000705EA"/>
    <w:rsid w:val="000707F4"/>
    <w:rsid w:val="00070947"/>
    <w:rsid w:val="0007232D"/>
    <w:rsid w:val="00073D52"/>
    <w:rsid w:val="00075F8E"/>
    <w:rsid w:val="00076AD1"/>
    <w:rsid w:val="000802D3"/>
    <w:rsid w:val="000803CA"/>
    <w:rsid w:val="000835A1"/>
    <w:rsid w:val="000902DA"/>
    <w:rsid w:val="000904CC"/>
    <w:rsid w:val="00091206"/>
    <w:rsid w:val="00091BCD"/>
    <w:rsid w:val="0009265A"/>
    <w:rsid w:val="00093EEF"/>
    <w:rsid w:val="00094248"/>
    <w:rsid w:val="000948FB"/>
    <w:rsid w:val="00094B02"/>
    <w:rsid w:val="00094CC5"/>
    <w:rsid w:val="00094E68"/>
    <w:rsid w:val="0009590F"/>
    <w:rsid w:val="00095BF3"/>
    <w:rsid w:val="000A041E"/>
    <w:rsid w:val="000A08CA"/>
    <w:rsid w:val="000A0E4C"/>
    <w:rsid w:val="000A1F88"/>
    <w:rsid w:val="000A459C"/>
    <w:rsid w:val="000A4B44"/>
    <w:rsid w:val="000A6A75"/>
    <w:rsid w:val="000A725B"/>
    <w:rsid w:val="000A780E"/>
    <w:rsid w:val="000C05AD"/>
    <w:rsid w:val="000C12FF"/>
    <w:rsid w:val="000C2324"/>
    <w:rsid w:val="000C29C5"/>
    <w:rsid w:val="000C2D2F"/>
    <w:rsid w:val="000C6AD7"/>
    <w:rsid w:val="000C6E17"/>
    <w:rsid w:val="000C7F50"/>
    <w:rsid w:val="000D05C6"/>
    <w:rsid w:val="000D106A"/>
    <w:rsid w:val="000D113F"/>
    <w:rsid w:val="000D2009"/>
    <w:rsid w:val="000D246B"/>
    <w:rsid w:val="000D2E56"/>
    <w:rsid w:val="000D4653"/>
    <w:rsid w:val="000D78DA"/>
    <w:rsid w:val="000E026C"/>
    <w:rsid w:val="000E21E0"/>
    <w:rsid w:val="000E351D"/>
    <w:rsid w:val="000E4812"/>
    <w:rsid w:val="000E5D98"/>
    <w:rsid w:val="000E60F7"/>
    <w:rsid w:val="000E632E"/>
    <w:rsid w:val="000E7B4D"/>
    <w:rsid w:val="000F1B86"/>
    <w:rsid w:val="000F1CB5"/>
    <w:rsid w:val="000F23B0"/>
    <w:rsid w:val="000F2E71"/>
    <w:rsid w:val="000F3AAA"/>
    <w:rsid w:val="000F4AFF"/>
    <w:rsid w:val="000F4D62"/>
    <w:rsid w:val="000F5917"/>
    <w:rsid w:val="000F5F63"/>
    <w:rsid w:val="000F606A"/>
    <w:rsid w:val="00100554"/>
    <w:rsid w:val="001007B9"/>
    <w:rsid w:val="0010143D"/>
    <w:rsid w:val="00102E2F"/>
    <w:rsid w:val="001057F4"/>
    <w:rsid w:val="00105ECB"/>
    <w:rsid w:val="001074B7"/>
    <w:rsid w:val="00110A07"/>
    <w:rsid w:val="00110AE1"/>
    <w:rsid w:val="00110DCF"/>
    <w:rsid w:val="00111736"/>
    <w:rsid w:val="001146E1"/>
    <w:rsid w:val="001166E8"/>
    <w:rsid w:val="00117B7B"/>
    <w:rsid w:val="001214B2"/>
    <w:rsid w:val="001248F6"/>
    <w:rsid w:val="001249EF"/>
    <w:rsid w:val="00125C5F"/>
    <w:rsid w:val="00130CCD"/>
    <w:rsid w:val="00130D2C"/>
    <w:rsid w:val="00130D32"/>
    <w:rsid w:val="00131315"/>
    <w:rsid w:val="0013139A"/>
    <w:rsid w:val="00132268"/>
    <w:rsid w:val="001336CF"/>
    <w:rsid w:val="001337DB"/>
    <w:rsid w:val="001357A3"/>
    <w:rsid w:val="0013688B"/>
    <w:rsid w:val="00137246"/>
    <w:rsid w:val="0013794C"/>
    <w:rsid w:val="00142C1D"/>
    <w:rsid w:val="00143288"/>
    <w:rsid w:val="00144643"/>
    <w:rsid w:val="00145179"/>
    <w:rsid w:val="00146DE2"/>
    <w:rsid w:val="00146E76"/>
    <w:rsid w:val="00150C06"/>
    <w:rsid w:val="00151341"/>
    <w:rsid w:val="00153AF7"/>
    <w:rsid w:val="00153FDB"/>
    <w:rsid w:val="00154103"/>
    <w:rsid w:val="00155075"/>
    <w:rsid w:val="0015537B"/>
    <w:rsid w:val="00155CDA"/>
    <w:rsid w:val="00156B56"/>
    <w:rsid w:val="00157F78"/>
    <w:rsid w:val="0016171C"/>
    <w:rsid w:val="00161D0B"/>
    <w:rsid w:val="00162298"/>
    <w:rsid w:val="0016323F"/>
    <w:rsid w:val="0016463D"/>
    <w:rsid w:val="00165AE9"/>
    <w:rsid w:val="00166954"/>
    <w:rsid w:val="0016781C"/>
    <w:rsid w:val="001727AF"/>
    <w:rsid w:val="00173791"/>
    <w:rsid w:val="00174EDF"/>
    <w:rsid w:val="00176EA5"/>
    <w:rsid w:val="00177611"/>
    <w:rsid w:val="0017798C"/>
    <w:rsid w:val="00177C95"/>
    <w:rsid w:val="001809C6"/>
    <w:rsid w:val="00181C56"/>
    <w:rsid w:val="00183FA2"/>
    <w:rsid w:val="0018464E"/>
    <w:rsid w:val="001850CB"/>
    <w:rsid w:val="00186F7A"/>
    <w:rsid w:val="001912A0"/>
    <w:rsid w:val="00193036"/>
    <w:rsid w:val="00193506"/>
    <w:rsid w:val="00193A8F"/>
    <w:rsid w:val="001951D4"/>
    <w:rsid w:val="001953CF"/>
    <w:rsid w:val="001955A8"/>
    <w:rsid w:val="00195BA8"/>
    <w:rsid w:val="001A05CB"/>
    <w:rsid w:val="001A1957"/>
    <w:rsid w:val="001A2508"/>
    <w:rsid w:val="001A2F86"/>
    <w:rsid w:val="001A4A77"/>
    <w:rsid w:val="001A7EAF"/>
    <w:rsid w:val="001B0144"/>
    <w:rsid w:val="001B10ED"/>
    <w:rsid w:val="001B5CCB"/>
    <w:rsid w:val="001B5F6B"/>
    <w:rsid w:val="001B6E60"/>
    <w:rsid w:val="001C2FC8"/>
    <w:rsid w:val="001C3E8F"/>
    <w:rsid w:val="001C63DF"/>
    <w:rsid w:val="001C6FC2"/>
    <w:rsid w:val="001D14AC"/>
    <w:rsid w:val="001D283B"/>
    <w:rsid w:val="001D3431"/>
    <w:rsid w:val="001D542D"/>
    <w:rsid w:val="001E251C"/>
    <w:rsid w:val="001E2D84"/>
    <w:rsid w:val="001E3C67"/>
    <w:rsid w:val="001E4117"/>
    <w:rsid w:val="001E4245"/>
    <w:rsid w:val="001F04C8"/>
    <w:rsid w:val="001F0654"/>
    <w:rsid w:val="001F3722"/>
    <w:rsid w:val="001F485B"/>
    <w:rsid w:val="001F738E"/>
    <w:rsid w:val="001F7942"/>
    <w:rsid w:val="001F7EF4"/>
    <w:rsid w:val="0020007C"/>
    <w:rsid w:val="002026D2"/>
    <w:rsid w:val="002030A5"/>
    <w:rsid w:val="002055C1"/>
    <w:rsid w:val="00205B78"/>
    <w:rsid w:val="00206976"/>
    <w:rsid w:val="00206E56"/>
    <w:rsid w:val="00206F62"/>
    <w:rsid w:val="0021247A"/>
    <w:rsid w:val="00212B42"/>
    <w:rsid w:val="0021372B"/>
    <w:rsid w:val="00214477"/>
    <w:rsid w:val="00215CD3"/>
    <w:rsid w:val="002165B0"/>
    <w:rsid w:val="00216C63"/>
    <w:rsid w:val="00217B69"/>
    <w:rsid w:val="00220720"/>
    <w:rsid w:val="002229A5"/>
    <w:rsid w:val="00222D3A"/>
    <w:rsid w:val="00225C22"/>
    <w:rsid w:val="002260E6"/>
    <w:rsid w:val="002317BD"/>
    <w:rsid w:val="00231B22"/>
    <w:rsid w:val="00232E10"/>
    <w:rsid w:val="00234705"/>
    <w:rsid w:val="00235014"/>
    <w:rsid w:val="002361E0"/>
    <w:rsid w:val="00237365"/>
    <w:rsid w:val="00240391"/>
    <w:rsid w:val="002432F1"/>
    <w:rsid w:val="00244354"/>
    <w:rsid w:val="00244F81"/>
    <w:rsid w:val="00250BE6"/>
    <w:rsid w:val="00252F38"/>
    <w:rsid w:val="0025375E"/>
    <w:rsid w:val="00254A04"/>
    <w:rsid w:val="00254E4C"/>
    <w:rsid w:val="00256E3F"/>
    <w:rsid w:val="002570B2"/>
    <w:rsid w:val="002570E9"/>
    <w:rsid w:val="00260446"/>
    <w:rsid w:val="00260C56"/>
    <w:rsid w:val="00264A5E"/>
    <w:rsid w:val="0026530D"/>
    <w:rsid w:val="0026537B"/>
    <w:rsid w:val="00265ADF"/>
    <w:rsid w:val="00265FBD"/>
    <w:rsid w:val="00270443"/>
    <w:rsid w:val="0027077E"/>
    <w:rsid w:val="00271572"/>
    <w:rsid w:val="002719C3"/>
    <w:rsid w:val="002728E7"/>
    <w:rsid w:val="00274339"/>
    <w:rsid w:val="00274C8B"/>
    <w:rsid w:val="00274CDF"/>
    <w:rsid w:val="00277016"/>
    <w:rsid w:val="0027769C"/>
    <w:rsid w:val="002802D5"/>
    <w:rsid w:val="00281E3E"/>
    <w:rsid w:val="00281F39"/>
    <w:rsid w:val="00284131"/>
    <w:rsid w:val="00284710"/>
    <w:rsid w:val="0028542A"/>
    <w:rsid w:val="00287149"/>
    <w:rsid w:val="00293C24"/>
    <w:rsid w:val="00294D1D"/>
    <w:rsid w:val="002952F9"/>
    <w:rsid w:val="002955DD"/>
    <w:rsid w:val="002A0289"/>
    <w:rsid w:val="002A1B9F"/>
    <w:rsid w:val="002A371E"/>
    <w:rsid w:val="002A41FA"/>
    <w:rsid w:val="002A6C17"/>
    <w:rsid w:val="002B0F0E"/>
    <w:rsid w:val="002B1791"/>
    <w:rsid w:val="002B3A05"/>
    <w:rsid w:val="002B4A9B"/>
    <w:rsid w:val="002B4B0A"/>
    <w:rsid w:val="002B5D09"/>
    <w:rsid w:val="002B5F1C"/>
    <w:rsid w:val="002C0632"/>
    <w:rsid w:val="002C0866"/>
    <w:rsid w:val="002C0B0E"/>
    <w:rsid w:val="002C0F9E"/>
    <w:rsid w:val="002C1A8D"/>
    <w:rsid w:val="002C34CA"/>
    <w:rsid w:val="002C5F5B"/>
    <w:rsid w:val="002C6A55"/>
    <w:rsid w:val="002C6F11"/>
    <w:rsid w:val="002C777D"/>
    <w:rsid w:val="002D2222"/>
    <w:rsid w:val="002D378A"/>
    <w:rsid w:val="002D3C25"/>
    <w:rsid w:val="002D40B1"/>
    <w:rsid w:val="002D45CD"/>
    <w:rsid w:val="002D48F9"/>
    <w:rsid w:val="002D5083"/>
    <w:rsid w:val="002D743D"/>
    <w:rsid w:val="002D75F9"/>
    <w:rsid w:val="002D7C65"/>
    <w:rsid w:val="002E07AC"/>
    <w:rsid w:val="002E0CF4"/>
    <w:rsid w:val="002E1FB2"/>
    <w:rsid w:val="002E267F"/>
    <w:rsid w:val="002E62CC"/>
    <w:rsid w:val="002E6348"/>
    <w:rsid w:val="002E6AA1"/>
    <w:rsid w:val="002E6D9F"/>
    <w:rsid w:val="002F42D5"/>
    <w:rsid w:val="002F479A"/>
    <w:rsid w:val="002F57C6"/>
    <w:rsid w:val="00304173"/>
    <w:rsid w:val="00304670"/>
    <w:rsid w:val="00306BEC"/>
    <w:rsid w:val="00307A69"/>
    <w:rsid w:val="00307CEA"/>
    <w:rsid w:val="00312E4A"/>
    <w:rsid w:val="0031482C"/>
    <w:rsid w:val="003148CB"/>
    <w:rsid w:val="0031546F"/>
    <w:rsid w:val="00315F8B"/>
    <w:rsid w:val="00316B0D"/>
    <w:rsid w:val="00317427"/>
    <w:rsid w:val="00321C68"/>
    <w:rsid w:val="003224FE"/>
    <w:rsid w:val="00324087"/>
    <w:rsid w:val="00324917"/>
    <w:rsid w:val="0032588E"/>
    <w:rsid w:val="003300DB"/>
    <w:rsid w:val="0033088D"/>
    <w:rsid w:val="0033288A"/>
    <w:rsid w:val="00334F74"/>
    <w:rsid w:val="00335425"/>
    <w:rsid w:val="003371F0"/>
    <w:rsid w:val="003373D0"/>
    <w:rsid w:val="00337885"/>
    <w:rsid w:val="00342A73"/>
    <w:rsid w:val="0034306B"/>
    <w:rsid w:val="0034547D"/>
    <w:rsid w:val="00345628"/>
    <w:rsid w:val="00345B55"/>
    <w:rsid w:val="00347662"/>
    <w:rsid w:val="00347AC9"/>
    <w:rsid w:val="003500C6"/>
    <w:rsid w:val="003504A9"/>
    <w:rsid w:val="00350814"/>
    <w:rsid w:val="00352695"/>
    <w:rsid w:val="00353D2C"/>
    <w:rsid w:val="00353ED7"/>
    <w:rsid w:val="00357154"/>
    <w:rsid w:val="00357C30"/>
    <w:rsid w:val="003609FC"/>
    <w:rsid w:val="00362B85"/>
    <w:rsid w:val="00362E7F"/>
    <w:rsid w:val="00363AE5"/>
    <w:rsid w:val="00363FE4"/>
    <w:rsid w:val="00364615"/>
    <w:rsid w:val="0036510D"/>
    <w:rsid w:val="0036532A"/>
    <w:rsid w:val="003654C9"/>
    <w:rsid w:val="003707B4"/>
    <w:rsid w:val="003802A2"/>
    <w:rsid w:val="003819C2"/>
    <w:rsid w:val="00381E2F"/>
    <w:rsid w:val="00382BF7"/>
    <w:rsid w:val="003848EF"/>
    <w:rsid w:val="0038596B"/>
    <w:rsid w:val="00385AD2"/>
    <w:rsid w:val="00385B65"/>
    <w:rsid w:val="00385E55"/>
    <w:rsid w:val="003878A1"/>
    <w:rsid w:val="00387F4B"/>
    <w:rsid w:val="00390B36"/>
    <w:rsid w:val="00391929"/>
    <w:rsid w:val="00391CEF"/>
    <w:rsid w:val="00394046"/>
    <w:rsid w:val="003A2196"/>
    <w:rsid w:val="003A2E8F"/>
    <w:rsid w:val="003A39E8"/>
    <w:rsid w:val="003A3E57"/>
    <w:rsid w:val="003A591D"/>
    <w:rsid w:val="003A5968"/>
    <w:rsid w:val="003A6CB0"/>
    <w:rsid w:val="003A77F5"/>
    <w:rsid w:val="003B1499"/>
    <w:rsid w:val="003B6A14"/>
    <w:rsid w:val="003C09FA"/>
    <w:rsid w:val="003C260B"/>
    <w:rsid w:val="003C58D0"/>
    <w:rsid w:val="003C6961"/>
    <w:rsid w:val="003C73B3"/>
    <w:rsid w:val="003C7BAD"/>
    <w:rsid w:val="003D0C07"/>
    <w:rsid w:val="003D0F84"/>
    <w:rsid w:val="003D21A3"/>
    <w:rsid w:val="003D33F7"/>
    <w:rsid w:val="003D539A"/>
    <w:rsid w:val="003D6099"/>
    <w:rsid w:val="003E2129"/>
    <w:rsid w:val="003E2565"/>
    <w:rsid w:val="003E4926"/>
    <w:rsid w:val="003E4F6E"/>
    <w:rsid w:val="003E6B8B"/>
    <w:rsid w:val="003E760A"/>
    <w:rsid w:val="003F017E"/>
    <w:rsid w:val="003F17BC"/>
    <w:rsid w:val="003F1A1E"/>
    <w:rsid w:val="003F3D16"/>
    <w:rsid w:val="003F3DF0"/>
    <w:rsid w:val="003F4776"/>
    <w:rsid w:val="003F4BC8"/>
    <w:rsid w:val="003F56DB"/>
    <w:rsid w:val="003F5F4B"/>
    <w:rsid w:val="003F792C"/>
    <w:rsid w:val="003F7E70"/>
    <w:rsid w:val="004009AC"/>
    <w:rsid w:val="0040142B"/>
    <w:rsid w:val="00401E1B"/>
    <w:rsid w:val="004024EB"/>
    <w:rsid w:val="0040648D"/>
    <w:rsid w:val="00406711"/>
    <w:rsid w:val="00410128"/>
    <w:rsid w:val="004130FE"/>
    <w:rsid w:val="00413413"/>
    <w:rsid w:val="004137A4"/>
    <w:rsid w:val="00414CEB"/>
    <w:rsid w:val="00415BC6"/>
    <w:rsid w:val="004163FA"/>
    <w:rsid w:val="004170CC"/>
    <w:rsid w:val="004201B0"/>
    <w:rsid w:val="00420722"/>
    <w:rsid w:val="00420A01"/>
    <w:rsid w:val="00421593"/>
    <w:rsid w:val="00423E92"/>
    <w:rsid w:val="00425094"/>
    <w:rsid w:val="004257F1"/>
    <w:rsid w:val="00425CAD"/>
    <w:rsid w:val="00431718"/>
    <w:rsid w:val="00431B00"/>
    <w:rsid w:val="00432219"/>
    <w:rsid w:val="00432440"/>
    <w:rsid w:val="004336DC"/>
    <w:rsid w:val="00434982"/>
    <w:rsid w:val="00435B11"/>
    <w:rsid w:val="004366AE"/>
    <w:rsid w:val="004369A3"/>
    <w:rsid w:val="00437572"/>
    <w:rsid w:val="0044005F"/>
    <w:rsid w:val="00440CC2"/>
    <w:rsid w:val="0044371A"/>
    <w:rsid w:val="00445311"/>
    <w:rsid w:val="0044539A"/>
    <w:rsid w:val="00446A9A"/>
    <w:rsid w:val="00451804"/>
    <w:rsid w:val="00452FE9"/>
    <w:rsid w:val="00454696"/>
    <w:rsid w:val="00461058"/>
    <w:rsid w:val="00461132"/>
    <w:rsid w:val="004616FF"/>
    <w:rsid w:val="00463265"/>
    <w:rsid w:val="004638F0"/>
    <w:rsid w:val="004658C8"/>
    <w:rsid w:val="00466A28"/>
    <w:rsid w:val="004673D2"/>
    <w:rsid w:val="00471B52"/>
    <w:rsid w:val="004759ED"/>
    <w:rsid w:val="004768E7"/>
    <w:rsid w:val="00477654"/>
    <w:rsid w:val="0048335A"/>
    <w:rsid w:val="00484E67"/>
    <w:rsid w:val="00486059"/>
    <w:rsid w:val="004900BB"/>
    <w:rsid w:val="004945F7"/>
    <w:rsid w:val="00494ADA"/>
    <w:rsid w:val="004957BB"/>
    <w:rsid w:val="00495AEE"/>
    <w:rsid w:val="0049701E"/>
    <w:rsid w:val="004978B7"/>
    <w:rsid w:val="00497F14"/>
    <w:rsid w:val="004A1AEE"/>
    <w:rsid w:val="004B000E"/>
    <w:rsid w:val="004B199A"/>
    <w:rsid w:val="004B1FE3"/>
    <w:rsid w:val="004B2906"/>
    <w:rsid w:val="004B2AF4"/>
    <w:rsid w:val="004B2CB0"/>
    <w:rsid w:val="004B7B8B"/>
    <w:rsid w:val="004C13CF"/>
    <w:rsid w:val="004C18F6"/>
    <w:rsid w:val="004C350E"/>
    <w:rsid w:val="004C490A"/>
    <w:rsid w:val="004C5566"/>
    <w:rsid w:val="004C613F"/>
    <w:rsid w:val="004C6518"/>
    <w:rsid w:val="004C6F0C"/>
    <w:rsid w:val="004D03BC"/>
    <w:rsid w:val="004D0B40"/>
    <w:rsid w:val="004D1065"/>
    <w:rsid w:val="004D1872"/>
    <w:rsid w:val="004D24EB"/>
    <w:rsid w:val="004D26D9"/>
    <w:rsid w:val="004D3521"/>
    <w:rsid w:val="004D507E"/>
    <w:rsid w:val="004D5C3F"/>
    <w:rsid w:val="004D688C"/>
    <w:rsid w:val="004D69D7"/>
    <w:rsid w:val="004E0845"/>
    <w:rsid w:val="004E0F3A"/>
    <w:rsid w:val="004E192B"/>
    <w:rsid w:val="004E3239"/>
    <w:rsid w:val="004E346D"/>
    <w:rsid w:val="004E513C"/>
    <w:rsid w:val="004E55E2"/>
    <w:rsid w:val="004E58AE"/>
    <w:rsid w:val="004F085F"/>
    <w:rsid w:val="004F0BD7"/>
    <w:rsid w:val="004F1627"/>
    <w:rsid w:val="004F1F4F"/>
    <w:rsid w:val="004F20A9"/>
    <w:rsid w:val="004F3F4B"/>
    <w:rsid w:val="004F4E27"/>
    <w:rsid w:val="004F5421"/>
    <w:rsid w:val="004F57AD"/>
    <w:rsid w:val="004F655D"/>
    <w:rsid w:val="004F6749"/>
    <w:rsid w:val="004F73E8"/>
    <w:rsid w:val="004F760E"/>
    <w:rsid w:val="00500723"/>
    <w:rsid w:val="00503B0C"/>
    <w:rsid w:val="0050562E"/>
    <w:rsid w:val="0051105B"/>
    <w:rsid w:val="00511116"/>
    <w:rsid w:val="0051316F"/>
    <w:rsid w:val="00513C12"/>
    <w:rsid w:val="00513E23"/>
    <w:rsid w:val="00516A0F"/>
    <w:rsid w:val="005201B1"/>
    <w:rsid w:val="00521447"/>
    <w:rsid w:val="00522F36"/>
    <w:rsid w:val="00523958"/>
    <w:rsid w:val="00523C51"/>
    <w:rsid w:val="00524DED"/>
    <w:rsid w:val="005250F2"/>
    <w:rsid w:val="00527AED"/>
    <w:rsid w:val="0053090B"/>
    <w:rsid w:val="005316EA"/>
    <w:rsid w:val="00532074"/>
    <w:rsid w:val="0053296E"/>
    <w:rsid w:val="00532C87"/>
    <w:rsid w:val="0053301E"/>
    <w:rsid w:val="005350C9"/>
    <w:rsid w:val="0053514A"/>
    <w:rsid w:val="005367B7"/>
    <w:rsid w:val="00536916"/>
    <w:rsid w:val="00536A41"/>
    <w:rsid w:val="00536E04"/>
    <w:rsid w:val="005370B2"/>
    <w:rsid w:val="00537F2D"/>
    <w:rsid w:val="005400C8"/>
    <w:rsid w:val="00540754"/>
    <w:rsid w:val="00541549"/>
    <w:rsid w:val="0054336F"/>
    <w:rsid w:val="0054337F"/>
    <w:rsid w:val="0054392E"/>
    <w:rsid w:val="00543E44"/>
    <w:rsid w:val="00543EBA"/>
    <w:rsid w:val="00543FDE"/>
    <w:rsid w:val="00550055"/>
    <w:rsid w:val="00552F1C"/>
    <w:rsid w:val="00556C7C"/>
    <w:rsid w:val="0056189B"/>
    <w:rsid w:val="00561F34"/>
    <w:rsid w:val="00562166"/>
    <w:rsid w:val="00563732"/>
    <w:rsid w:val="005637EA"/>
    <w:rsid w:val="00566074"/>
    <w:rsid w:val="00566D6F"/>
    <w:rsid w:val="0057101F"/>
    <w:rsid w:val="005725BC"/>
    <w:rsid w:val="00572D8B"/>
    <w:rsid w:val="0057315D"/>
    <w:rsid w:val="00574309"/>
    <w:rsid w:val="00574509"/>
    <w:rsid w:val="00574F28"/>
    <w:rsid w:val="0057565D"/>
    <w:rsid w:val="00576C8D"/>
    <w:rsid w:val="00577AFF"/>
    <w:rsid w:val="00581601"/>
    <w:rsid w:val="00583F06"/>
    <w:rsid w:val="00584C88"/>
    <w:rsid w:val="00585F03"/>
    <w:rsid w:val="00586435"/>
    <w:rsid w:val="00586C90"/>
    <w:rsid w:val="00587452"/>
    <w:rsid w:val="0058793B"/>
    <w:rsid w:val="00587A23"/>
    <w:rsid w:val="00590B62"/>
    <w:rsid w:val="00590FC2"/>
    <w:rsid w:val="005917FA"/>
    <w:rsid w:val="0059268D"/>
    <w:rsid w:val="005930A9"/>
    <w:rsid w:val="00593987"/>
    <w:rsid w:val="00594E14"/>
    <w:rsid w:val="0059514E"/>
    <w:rsid w:val="00595F43"/>
    <w:rsid w:val="00596D03"/>
    <w:rsid w:val="005A0614"/>
    <w:rsid w:val="005A0DE7"/>
    <w:rsid w:val="005A0EF9"/>
    <w:rsid w:val="005A12BA"/>
    <w:rsid w:val="005A29DC"/>
    <w:rsid w:val="005A2EA2"/>
    <w:rsid w:val="005A326B"/>
    <w:rsid w:val="005A355D"/>
    <w:rsid w:val="005A38BE"/>
    <w:rsid w:val="005A4FBE"/>
    <w:rsid w:val="005A6271"/>
    <w:rsid w:val="005A68A9"/>
    <w:rsid w:val="005A7F0E"/>
    <w:rsid w:val="005B210C"/>
    <w:rsid w:val="005B241C"/>
    <w:rsid w:val="005B27D0"/>
    <w:rsid w:val="005B4715"/>
    <w:rsid w:val="005B4FED"/>
    <w:rsid w:val="005B5260"/>
    <w:rsid w:val="005B603D"/>
    <w:rsid w:val="005B68A8"/>
    <w:rsid w:val="005C109D"/>
    <w:rsid w:val="005C319C"/>
    <w:rsid w:val="005C41C2"/>
    <w:rsid w:val="005C63EA"/>
    <w:rsid w:val="005C6D9C"/>
    <w:rsid w:val="005C7655"/>
    <w:rsid w:val="005C7C79"/>
    <w:rsid w:val="005D0844"/>
    <w:rsid w:val="005D1BC5"/>
    <w:rsid w:val="005D2033"/>
    <w:rsid w:val="005D27BB"/>
    <w:rsid w:val="005D2B8C"/>
    <w:rsid w:val="005D2D7A"/>
    <w:rsid w:val="005D3D12"/>
    <w:rsid w:val="005D5A07"/>
    <w:rsid w:val="005D7026"/>
    <w:rsid w:val="005D78F0"/>
    <w:rsid w:val="005E13C0"/>
    <w:rsid w:val="005E229A"/>
    <w:rsid w:val="005E25A9"/>
    <w:rsid w:val="005E40D4"/>
    <w:rsid w:val="005E4D04"/>
    <w:rsid w:val="005F3D48"/>
    <w:rsid w:val="005F6689"/>
    <w:rsid w:val="005F69E7"/>
    <w:rsid w:val="005F79CC"/>
    <w:rsid w:val="005F7C87"/>
    <w:rsid w:val="006001F0"/>
    <w:rsid w:val="00600507"/>
    <w:rsid w:val="00600C80"/>
    <w:rsid w:val="00602577"/>
    <w:rsid w:val="00603EA6"/>
    <w:rsid w:val="00603FC1"/>
    <w:rsid w:val="0060577C"/>
    <w:rsid w:val="006066AC"/>
    <w:rsid w:val="006068BF"/>
    <w:rsid w:val="00607805"/>
    <w:rsid w:val="00610A3A"/>
    <w:rsid w:val="00610BF7"/>
    <w:rsid w:val="0061255F"/>
    <w:rsid w:val="006132AA"/>
    <w:rsid w:val="0061381E"/>
    <w:rsid w:val="00613A0D"/>
    <w:rsid w:val="006159CC"/>
    <w:rsid w:val="006173D0"/>
    <w:rsid w:val="00617886"/>
    <w:rsid w:val="006201D7"/>
    <w:rsid w:val="006201ED"/>
    <w:rsid w:val="006208C6"/>
    <w:rsid w:val="00621C78"/>
    <w:rsid w:val="006222EB"/>
    <w:rsid w:val="006262CC"/>
    <w:rsid w:val="006267BF"/>
    <w:rsid w:val="00626CA4"/>
    <w:rsid w:val="0062796C"/>
    <w:rsid w:val="006318B5"/>
    <w:rsid w:val="00631D07"/>
    <w:rsid w:val="00631F51"/>
    <w:rsid w:val="0063254E"/>
    <w:rsid w:val="0063423C"/>
    <w:rsid w:val="0063451F"/>
    <w:rsid w:val="00636683"/>
    <w:rsid w:val="006368FE"/>
    <w:rsid w:val="0064031F"/>
    <w:rsid w:val="00640CE6"/>
    <w:rsid w:val="006427AA"/>
    <w:rsid w:val="006429D7"/>
    <w:rsid w:val="006452B2"/>
    <w:rsid w:val="006454DC"/>
    <w:rsid w:val="00645914"/>
    <w:rsid w:val="00645BD2"/>
    <w:rsid w:val="00650B73"/>
    <w:rsid w:val="006513DB"/>
    <w:rsid w:val="00652031"/>
    <w:rsid w:val="0065288C"/>
    <w:rsid w:val="0065414A"/>
    <w:rsid w:val="006553AB"/>
    <w:rsid w:val="006564EA"/>
    <w:rsid w:val="00657D2D"/>
    <w:rsid w:val="00661E36"/>
    <w:rsid w:val="0066212B"/>
    <w:rsid w:val="00662567"/>
    <w:rsid w:val="00663E87"/>
    <w:rsid w:val="00663EAD"/>
    <w:rsid w:val="0066428D"/>
    <w:rsid w:val="00665596"/>
    <w:rsid w:val="006658FF"/>
    <w:rsid w:val="00665F38"/>
    <w:rsid w:val="00666B12"/>
    <w:rsid w:val="006674FC"/>
    <w:rsid w:val="0067130C"/>
    <w:rsid w:val="006719C9"/>
    <w:rsid w:val="00671B6A"/>
    <w:rsid w:val="006757AA"/>
    <w:rsid w:val="00675B34"/>
    <w:rsid w:val="00675EDF"/>
    <w:rsid w:val="00676276"/>
    <w:rsid w:val="00680E02"/>
    <w:rsid w:val="00681FEF"/>
    <w:rsid w:val="00682080"/>
    <w:rsid w:val="006841C1"/>
    <w:rsid w:val="00684ABF"/>
    <w:rsid w:val="0068575D"/>
    <w:rsid w:val="00685BF1"/>
    <w:rsid w:val="006903D8"/>
    <w:rsid w:val="006920EB"/>
    <w:rsid w:val="006926FB"/>
    <w:rsid w:val="00692AE7"/>
    <w:rsid w:val="0069468B"/>
    <w:rsid w:val="006956F7"/>
    <w:rsid w:val="00696E1E"/>
    <w:rsid w:val="00696E94"/>
    <w:rsid w:val="00696E9D"/>
    <w:rsid w:val="00697A16"/>
    <w:rsid w:val="00697EBA"/>
    <w:rsid w:val="00697F67"/>
    <w:rsid w:val="006A0DA7"/>
    <w:rsid w:val="006A131D"/>
    <w:rsid w:val="006A219C"/>
    <w:rsid w:val="006A2795"/>
    <w:rsid w:val="006A3962"/>
    <w:rsid w:val="006A39D8"/>
    <w:rsid w:val="006A6762"/>
    <w:rsid w:val="006A72D0"/>
    <w:rsid w:val="006A774B"/>
    <w:rsid w:val="006A7EA3"/>
    <w:rsid w:val="006B0159"/>
    <w:rsid w:val="006B0488"/>
    <w:rsid w:val="006B0863"/>
    <w:rsid w:val="006B089B"/>
    <w:rsid w:val="006B3301"/>
    <w:rsid w:val="006B368A"/>
    <w:rsid w:val="006B56FC"/>
    <w:rsid w:val="006C0869"/>
    <w:rsid w:val="006C7B63"/>
    <w:rsid w:val="006D16B9"/>
    <w:rsid w:val="006D2249"/>
    <w:rsid w:val="006D3E91"/>
    <w:rsid w:val="006E086B"/>
    <w:rsid w:val="006E0D17"/>
    <w:rsid w:val="006E2EA3"/>
    <w:rsid w:val="006E350F"/>
    <w:rsid w:val="006E3ED6"/>
    <w:rsid w:val="006E55ED"/>
    <w:rsid w:val="006E70FF"/>
    <w:rsid w:val="006E7398"/>
    <w:rsid w:val="006F173B"/>
    <w:rsid w:val="006F17DD"/>
    <w:rsid w:val="006F3F3B"/>
    <w:rsid w:val="006F5ADC"/>
    <w:rsid w:val="0070331D"/>
    <w:rsid w:val="00704BF9"/>
    <w:rsid w:val="0070555D"/>
    <w:rsid w:val="0070634F"/>
    <w:rsid w:val="00711110"/>
    <w:rsid w:val="00714E79"/>
    <w:rsid w:val="00715D58"/>
    <w:rsid w:val="00716EA7"/>
    <w:rsid w:val="00717B57"/>
    <w:rsid w:val="00722560"/>
    <w:rsid w:val="007239F8"/>
    <w:rsid w:val="0072478E"/>
    <w:rsid w:val="0072607F"/>
    <w:rsid w:val="00727A8E"/>
    <w:rsid w:val="00730910"/>
    <w:rsid w:val="00733BDA"/>
    <w:rsid w:val="0073560F"/>
    <w:rsid w:val="00735DC4"/>
    <w:rsid w:val="00740A6D"/>
    <w:rsid w:val="00742331"/>
    <w:rsid w:val="00744CB1"/>
    <w:rsid w:val="00750D45"/>
    <w:rsid w:val="00751BD6"/>
    <w:rsid w:val="0075260C"/>
    <w:rsid w:val="007539CB"/>
    <w:rsid w:val="00753B4D"/>
    <w:rsid w:val="00754616"/>
    <w:rsid w:val="00754949"/>
    <w:rsid w:val="007550E9"/>
    <w:rsid w:val="00755BF2"/>
    <w:rsid w:val="00755EAF"/>
    <w:rsid w:val="0075713F"/>
    <w:rsid w:val="0075776C"/>
    <w:rsid w:val="007602EA"/>
    <w:rsid w:val="007621AB"/>
    <w:rsid w:val="007629BC"/>
    <w:rsid w:val="00763B38"/>
    <w:rsid w:val="00765897"/>
    <w:rsid w:val="007660B9"/>
    <w:rsid w:val="00770BCC"/>
    <w:rsid w:val="00771719"/>
    <w:rsid w:val="00772765"/>
    <w:rsid w:val="00772CF2"/>
    <w:rsid w:val="00775D6F"/>
    <w:rsid w:val="0077618B"/>
    <w:rsid w:val="00776994"/>
    <w:rsid w:val="00780AC4"/>
    <w:rsid w:val="00781479"/>
    <w:rsid w:val="00781797"/>
    <w:rsid w:val="007836C4"/>
    <w:rsid w:val="0078411C"/>
    <w:rsid w:val="00785A50"/>
    <w:rsid w:val="0078689C"/>
    <w:rsid w:val="00787B91"/>
    <w:rsid w:val="00790093"/>
    <w:rsid w:val="00790D7F"/>
    <w:rsid w:val="00792537"/>
    <w:rsid w:val="007954A9"/>
    <w:rsid w:val="007956C4"/>
    <w:rsid w:val="00796D3B"/>
    <w:rsid w:val="00797145"/>
    <w:rsid w:val="007A27C5"/>
    <w:rsid w:val="007A3EF7"/>
    <w:rsid w:val="007A4C27"/>
    <w:rsid w:val="007A52E1"/>
    <w:rsid w:val="007A6297"/>
    <w:rsid w:val="007A6FC6"/>
    <w:rsid w:val="007B2636"/>
    <w:rsid w:val="007C3F60"/>
    <w:rsid w:val="007C544A"/>
    <w:rsid w:val="007C5C8F"/>
    <w:rsid w:val="007C6D53"/>
    <w:rsid w:val="007D280C"/>
    <w:rsid w:val="007D4423"/>
    <w:rsid w:val="007D4A7C"/>
    <w:rsid w:val="007D5D78"/>
    <w:rsid w:val="007D680C"/>
    <w:rsid w:val="007D74E3"/>
    <w:rsid w:val="007D7823"/>
    <w:rsid w:val="007E0512"/>
    <w:rsid w:val="007E1398"/>
    <w:rsid w:val="007E24B7"/>
    <w:rsid w:val="007E3414"/>
    <w:rsid w:val="007E7E25"/>
    <w:rsid w:val="007F2FBF"/>
    <w:rsid w:val="007F4A8B"/>
    <w:rsid w:val="007F736F"/>
    <w:rsid w:val="007F7FED"/>
    <w:rsid w:val="00800803"/>
    <w:rsid w:val="00803395"/>
    <w:rsid w:val="00803F2F"/>
    <w:rsid w:val="0080402F"/>
    <w:rsid w:val="008051C4"/>
    <w:rsid w:val="00805B42"/>
    <w:rsid w:val="00806393"/>
    <w:rsid w:val="0080697E"/>
    <w:rsid w:val="00807842"/>
    <w:rsid w:val="0080785F"/>
    <w:rsid w:val="0081012F"/>
    <w:rsid w:val="00811508"/>
    <w:rsid w:val="00811FE3"/>
    <w:rsid w:val="0081219F"/>
    <w:rsid w:val="00813B52"/>
    <w:rsid w:val="0081512D"/>
    <w:rsid w:val="00815950"/>
    <w:rsid w:val="00815E48"/>
    <w:rsid w:val="00817B50"/>
    <w:rsid w:val="0082075B"/>
    <w:rsid w:val="00820E0F"/>
    <w:rsid w:val="0082340A"/>
    <w:rsid w:val="00825410"/>
    <w:rsid w:val="00825715"/>
    <w:rsid w:val="008275B9"/>
    <w:rsid w:val="00830A0C"/>
    <w:rsid w:val="0083261D"/>
    <w:rsid w:val="00832BE5"/>
    <w:rsid w:val="00832D1B"/>
    <w:rsid w:val="00832D89"/>
    <w:rsid w:val="00834BB2"/>
    <w:rsid w:val="0083503B"/>
    <w:rsid w:val="008351D3"/>
    <w:rsid w:val="00835FFF"/>
    <w:rsid w:val="008366B1"/>
    <w:rsid w:val="00837958"/>
    <w:rsid w:val="00840865"/>
    <w:rsid w:val="00840F4B"/>
    <w:rsid w:val="00841D41"/>
    <w:rsid w:val="00842794"/>
    <w:rsid w:val="008436AB"/>
    <w:rsid w:val="00844739"/>
    <w:rsid w:val="0084486B"/>
    <w:rsid w:val="00847E7D"/>
    <w:rsid w:val="00851A0A"/>
    <w:rsid w:val="00851D66"/>
    <w:rsid w:val="008526BE"/>
    <w:rsid w:val="00852D38"/>
    <w:rsid w:val="00853CDF"/>
    <w:rsid w:val="008607FC"/>
    <w:rsid w:val="00861371"/>
    <w:rsid w:val="0086151D"/>
    <w:rsid w:val="00861EB4"/>
    <w:rsid w:val="00864A7D"/>
    <w:rsid w:val="00865FF7"/>
    <w:rsid w:val="0086672B"/>
    <w:rsid w:val="008668C0"/>
    <w:rsid w:val="0086763B"/>
    <w:rsid w:val="008678C1"/>
    <w:rsid w:val="008679AD"/>
    <w:rsid w:val="00871C48"/>
    <w:rsid w:val="0087207A"/>
    <w:rsid w:val="00873DED"/>
    <w:rsid w:val="00874A45"/>
    <w:rsid w:val="00874FF1"/>
    <w:rsid w:val="008767DA"/>
    <w:rsid w:val="0087714C"/>
    <w:rsid w:val="00877425"/>
    <w:rsid w:val="008777F4"/>
    <w:rsid w:val="00877BFC"/>
    <w:rsid w:val="00877C40"/>
    <w:rsid w:val="00880786"/>
    <w:rsid w:val="00880B88"/>
    <w:rsid w:val="0088115E"/>
    <w:rsid w:val="00881638"/>
    <w:rsid w:val="00881FAB"/>
    <w:rsid w:val="00882F5C"/>
    <w:rsid w:val="00883BFC"/>
    <w:rsid w:val="00885001"/>
    <w:rsid w:val="008856A6"/>
    <w:rsid w:val="0088580B"/>
    <w:rsid w:val="008914C5"/>
    <w:rsid w:val="00891D72"/>
    <w:rsid w:val="00893247"/>
    <w:rsid w:val="00894EAE"/>
    <w:rsid w:val="008A2626"/>
    <w:rsid w:val="008A6759"/>
    <w:rsid w:val="008A67E3"/>
    <w:rsid w:val="008A718B"/>
    <w:rsid w:val="008B07F6"/>
    <w:rsid w:val="008B1059"/>
    <w:rsid w:val="008B13B1"/>
    <w:rsid w:val="008B3F07"/>
    <w:rsid w:val="008B493F"/>
    <w:rsid w:val="008B7DEF"/>
    <w:rsid w:val="008C081B"/>
    <w:rsid w:val="008C115E"/>
    <w:rsid w:val="008C3CDF"/>
    <w:rsid w:val="008C572F"/>
    <w:rsid w:val="008C5D4E"/>
    <w:rsid w:val="008D0504"/>
    <w:rsid w:val="008D1256"/>
    <w:rsid w:val="008D275A"/>
    <w:rsid w:val="008D4DA4"/>
    <w:rsid w:val="008D5B7F"/>
    <w:rsid w:val="008E109E"/>
    <w:rsid w:val="008E1886"/>
    <w:rsid w:val="008E191C"/>
    <w:rsid w:val="008E4062"/>
    <w:rsid w:val="008E41DD"/>
    <w:rsid w:val="008E43B6"/>
    <w:rsid w:val="008E66E6"/>
    <w:rsid w:val="008F112A"/>
    <w:rsid w:val="008F3808"/>
    <w:rsid w:val="008F4A16"/>
    <w:rsid w:val="008F569C"/>
    <w:rsid w:val="00900D4B"/>
    <w:rsid w:val="009014BC"/>
    <w:rsid w:val="00902CAC"/>
    <w:rsid w:val="0090366A"/>
    <w:rsid w:val="009036CA"/>
    <w:rsid w:val="00906022"/>
    <w:rsid w:val="00906AEB"/>
    <w:rsid w:val="009072D9"/>
    <w:rsid w:val="00910126"/>
    <w:rsid w:val="00911F57"/>
    <w:rsid w:val="00915085"/>
    <w:rsid w:val="00915F79"/>
    <w:rsid w:val="00917F95"/>
    <w:rsid w:val="009206E6"/>
    <w:rsid w:val="00923C96"/>
    <w:rsid w:val="00923EDF"/>
    <w:rsid w:val="00924F28"/>
    <w:rsid w:val="00931844"/>
    <w:rsid w:val="009326AE"/>
    <w:rsid w:val="00933794"/>
    <w:rsid w:val="0093463E"/>
    <w:rsid w:val="00934C2D"/>
    <w:rsid w:val="00935AD4"/>
    <w:rsid w:val="00937CE1"/>
    <w:rsid w:val="0094513B"/>
    <w:rsid w:val="0094688C"/>
    <w:rsid w:val="00952FEE"/>
    <w:rsid w:val="00955C15"/>
    <w:rsid w:val="009562E8"/>
    <w:rsid w:val="00962522"/>
    <w:rsid w:val="00963256"/>
    <w:rsid w:val="0096354B"/>
    <w:rsid w:val="00963FB3"/>
    <w:rsid w:val="00966221"/>
    <w:rsid w:val="009669B0"/>
    <w:rsid w:val="00967264"/>
    <w:rsid w:val="009672EB"/>
    <w:rsid w:val="0096757B"/>
    <w:rsid w:val="00973090"/>
    <w:rsid w:val="009735B8"/>
    <w:rsid w:val="00974807"/>
    <w:rsid w:val="0098030F"/>
    <w:rsid w:val="00984A8E"/>
    <w:rsid w:val="009850B3"/>
    <w:rsid w:val="00986ACB"/>
    <w:rsid w:val="00990C13"/>
    <w:rsid w:val="009942A0"/>
    <w:rsid w:val="0099436F"/>
    <w:rsid w:val="0099452E"/>
    <w:rsid w:val="0099469D"/>
    <w:rsid w:val="00994FC8"/>
    <w:rsid w:val="009956DE"/>
    <w:rsid w:val="00995940"/>
    <w:rsid w:val="009959E0"/>
    <w:rsid w:val="00996328"/>
    <w:rsid w:val="00996BEA"/>
    <w:rsid w:val="009A23EC"/>
    <w:rsid w:val="009A2A6D"/>
    <w:rsid w:val="009A33FB"/>
    <w:rsid w:val="009A3F12"/>
    <w:rsid w:val="009A4F53"/>
    <w:rsid w:val="009A5056"/>
    <w:rsid w:val="009A68CE"/>
    <w:rsid w:val="009B0783"/>
    <w:rsid w:val="009B1A44"/>
    <w:rsid w:val="009B2FF9"/>
    <w:rsid w:val="009B300F"/>
    <w:rsid w:val="009B4379"/>
    <w:rsid w:val="009B4A49"/>
    <w:rsid w:val="009B4BC9"/>
    <w:rsid w:val="009B51C4"/>
    <w:rsid w:val="009B65DA"/>
    <w:rsid w:val="009C1E00"/>
    <w:rsid w:val="009C1F96"/>
    <w:rsid w:val="009C4A85"/>
    <w:rsid w:val="009C4B52"/>
    <w:rsid w:val="009C4D8A"/>
    <w:rsid w:val="009C580F"/>
    <w:rsid w:val="009D161E"/>
    <w:rsid w:val="009D184A"/>
    <w:rsid w:val="009D2B7F"/>
    <w:rsid w:val="009D2F54"/>
    <w:rsid w:val="009D3B83"/>
    <w:rsid w:val="009D7727"/>
    <w:rsid w:val="009E0D34"/>
    <w:rsid w:val="009E13A0"/>
    <w:rsid w:val="009E1B26"/>
    <w:rsid w:val="009E3706"/>
    <w:rsid w:val="009E6986"/>
    <w:rsid w:val="009F23FD"/>
    <w:rsid w:val="009F369E"/>
    <w:rsid w:val="009F5E2A"/>
    <w:rsid w:val="009F751D"/>
    <w:rsid w:val="00A00EF2"/>
    <w:rsid w:val="00A018DD"/>
    <w:rsid w:val="00A034C7"/>
    <w:rsid w:val="00A069E2"/>
    <w:rsid w:val="00A069F9"/>
    <w:rsid w:val="00A07DFA"/>
    <w:rsid w:val="00A07F0E"/>
    <w:rsid w:val="00A100C5"/>
    <w:rsid w:val="00A10AC2"/>
    <w:rsid w:val="00A16907"/>
    <w:rsid w:val="00A169EB"/>
    <w:rsid w:val="00A173EC"/>
    <w:rsid w:val="00A17F9A"/>
    <w:rsid w:val="00A25214"/>
    <w:rsid w:val="00A26790"/>
    <w:rsid w:val="00A26D78"/>
    <w:rsid w:val="00A275A2"/>
    <w:rsid w:val="00A277BF"/>
    <w:rsid w:val="00A301FE"/>
    <w:rsid w:val="00A3055B"/>
    <w:rsid w:val="00A30576"/>
    <w:rsid w:val="00A3076D"/>
    <w:rsid w:val="00A316E1"/>
    <w:rsid w:val="00A32EE5"/>
    <w:rsid w:val="00A3444B"/>
    <w:rsid w:val="00A346CA"/>
    <w:rsid w:val="00A3659F"/>
    <w:rsid w:val="00A40B90"/>
    <w:rsid w:val="00A4268B"/>
    <w:rsid w:val="00A44DA1"/>
    <w:rsid w:val="00A44E90"/>
    <w:rsid w:val="00A451DD"/>
    <w:rsid w:val="00A46819"/>
    <w:rsid w:val="00A477A0"/>
    <w:rsid w:val="00A47C07"/>
    <w:rsid w:val="00A50BDE"/>
    <w:rsid w:val="00A51222"/>
    <w:rsid w:val="00A549ED"/>
    <w:rsid w:val="00A5524F"/>
    <w:rsid w:val="00A57B24"/>
    <w:rsid w:val="00A60B78"/>
    <w:rsid w:val="00A60E76"/>
    <w:rsid w:val="00A61711"/>
    <w:rsid w:val="00A62C59"/>
    <w:rsid w:val="00A62F0D"/>
    <w:rsid w:val="00A62F19"/>
    <w:rsid w:val="00A63431"/>
    <w:rsid w:val="00A637AA"/>
    <w:rsid w:val="00A63A3E"/>
    <w:rsid w:val="00A63E11"/>
    <w:rsid w:val="00A65AAF"/>
    <w:rsid w:val="00A66C34"/>
    <w:rsid w:val="00A72CC9"/>
    <w:rsid w:val="00A72E7A"/>
    <w:rsid w:val="00A73497"/>
    <w:rsid w:val="00A73CFD"/>
    <w:rsid w:val="00A74597"/>
    <w:rsid w:val="00A77E87"/>
    <w:rsid w:val="00A80863"/>
    <w:rsid w:val="00A81616"/>
    <w:rsid w:val="00A82181"/>
    <w:rsid w:val="00A8365E"/>
    <w:rsid w:val="00A84D56"/>
    <w:rsid w:val="00A850C8"/>
    <w:rsid w:val="00A85219"/>
    <w:rsid w:val="00A86C3E"/>
    <w:rsid w:val="00A91300"/>
    <w:rsid w:val="00A933AC"/>
    <w:rsid w:val="00A93CE6"/>
    <w:rsid w:val="00A9488D"/>
    <w:rsid w:val="00A94E35"/>
    <w:rsid w:val="00A95330"/>
    <w:rsid w:val="00A95355"/>
    <w:rsid w:val="00A96B7A"/>
    <w:rsid w:val="00A971C9"/>
    <w:rsid w:val="00A9743B"/>
    <w:rsid w:val="00AA3641"/>
    <w:rsid w:val="00AA46BD"/>
    <w:rsid w:val="00AA4D84"/>
    <w:rsid w:val="00AA5243"/>
    <w:rsid w:val="00AA5D76"/>
    <w:rsid w:val="00AA71BD"/>
    <w:rsid w:val="00AB040F"/>
    <w:rsid w:val="00AB2BCF"/>
    <w:rsid w:val="00AB350C"/>
    <w:rsid w:val="00AB3C78"/>
    <w:rsid w:val="00AB7493"/>
    <w:rsid w:val="00AC0A1F"/>
    <w:rsid w:val="00AC1AA3"/>
    <w:rsid w:val="00AC1B43"/>
    <w:rsid w:val="00AC25DC"/>
    <w:rsid w:val="00AC4D63"/>
    <w:rsid w:val="00AC4EB2"/>
    <w:rsid w:val="00AC6B6B"/>
    <w:rsid w:val="00AC7F21"/>
    <w:rsid w:val="00AD0F94"/>
    <w:rsid w:val="00AD523F"/>
    <w:rsid w:val="00AD7918"/>
    <w:rsid w:val="00AD7C3E"/>
    <w:rsid w:val="00AE00E6"/>
    <w:rsid w:val="00AE09FE"/>
    <w:rsid w:val="00AE0E38"/>
    <w:rsid w:val="00AE11C4"/>
    <w:rsid w:val="00AE1640"/>
    <w:rsid w:val="00AE297B"/>
    <w:rsid w:val="00AE58D5"/>
    <w:rsid w:val="00AE59DA"/>
    <w:rsid w:val="00AE6686"/>
    <w:rsid w:val="00AE7639"/>
    <w:rsid w:val="00AF16B6"/>
    <w:rsid w:val="00AF24A5"/>
    <w:rsid w:val="00AF459B"/>
    <w:rsid w:val="00AF4A7E"/>
    <w:rsid w:val="00AF582F"/>
    <w:rsid w:val="00AF591F"/>
    <w:rsid w:val="00AF5DE6"/>
    <w:rsid w:val="00AF76BB"/>
    <w:rsid w:val="00AF7794"/>
    <w:rsid w:val="00AF7FA9"/>
    <w:rsid w:val="00B00FC0"/>
    <w:rsid w:val="00B0220C"/>
    <w:rsid w:val="00B0259B"/>
    <w:rsid w:val="00B02AE1"/>
    <w:rsid w:val="00B0332D"/>
    <w:rsid w:val="00B04C2B"/>
    <w:rsid w:val="00B06546"/>
    <w:rsid w:val="00B11B9C"/>
    <w:rsid w:val="00B1230D"/>
    <w:rsid w:val="00B13055"/>
    <w:rsid w:val="00B13104"/>
    <w:rsid w:val="00B13AF7"/>
    <w:rsid w:val="00B14DC8"/>
    <w:rsid w:val="00B15064"/>
    <w:rsid w:val="00B151CC"/>
    <w:rsid w:val="00B178AE"/>
    <w:rsid w:val="00B17C52"/>
    <w:rsid w:val="00B207A8"/>
    <w:rsid w:val="00B22001"/>
    <w:rsid w:val="00B22F29"/>
    <w:rsid w:val="00B24D0A"/>
    <w:rsid w:val="00B301F4"/>
    <w:rsid w:val="00B305BF"/>
    <w:rsid w:val="00B3220E"/>
    <w:rsid w:val="00B32D6A"/>
    <w:rsid w:val="00B3317D"/>
    <w:rsid w:val="00B359A0"/>
    <w:rsid w:val="00B36583"/>
    <w:rsid w:val="00B37705"/>
    <w:rsid w:val="00B403BC"/>
    <w:rsid w:val="00B40732"/>
    <w:rsid w:val="00B424F7"/>
    <w:rsid w:val="00B436FE"/>
    <w:rsid w:val="00B4405B"/>
    <w:rsid w:val="00B44CB5"/>
    <w:rsid w:val="00B44FA8"/>
    <w:rsid w:val="00B455C1"/>
    <w:rsid w:val="00B469DF"/>
    <w:rsid w:val="00B527DB"/>
    <w:rsid w:val="00B53058"/>
    <w:rsid w:val="00B53EF4"/>
    <w:rsid w:val="00B549EE"/>
    <w:rsid w:val="00B54B53"/>
    <w:rsid w:val="00B55F10"/>
    <w:rsid w:val="00B5607D"/>
    <w:rsid w:val="00B562CE"/>
    <w:rsid w:val="00B623E8"/>
    <w:rsid w:val="00B642B5"/>
    <w:rsid w:val="00B64334"/>
    <w:rsid w:val="00B651D3"/>
    <w:rsid w:val="00B66210"/>
    <w:rsid w:val="00B663B0"/>
    <w:rsid w:val="00B666C1"/>
    <w:rsid w:val="00B677F9"/>
    <w:rsid w:val="00B71642"/>
    <w:rsid w:val="00B7282E"/>
    <w:rsid w:val="00B73291"/>
    <w:rsid w:val="00B753D2"/>
    <w:rsid w:val="00B75FCE"/>
    <w:rsid w:val="00B7721D"/>
    <w:rsid w:val="00B83B2F"/>
    <w:rsid w:val="00B83F69"/>
    <w:rsid w:val="00B844DE"/>
    <w:rsid w:val="00B86AC5"/>
    <w:rsid w:val="00B87E45"/>
    <w:rsid w:val="00B924AC"/>
    <w:rsid w:val="00B9417B"/>
    <w:rsid w:val="00B95533"/>
    <w:rsid w:val="00B957E2"/>
    <w:rsid w:val="00B9740F"/>
    <w:rsid w:val="00B97BF5"/>
    <w:rsid w:val="00BA0284"/>
    <w:rsid w:val="00BA2BE7"/>
    <w:rsid w:val="00BA41F9"/>
    <w:rsid w:val="00BB0363"/>
    <w:rsid w:val="00BB0F68"/>
    <w:rsid w:val="00BB1352"/>
    <w:rsid w:val="00BB1FFF"/>
    <w:rsid w:val="00BB2567"/>
    <w:rsid w:val="00BB2C38"/>
    <w:rsid w:val="00BB3A60"/>
    <w:rsid w:val="00BB4E1A"/>
    <w:rsid w:val="00BB662C"/>
    <w:rsid w:val="00BC24CA"/>
    <w:rsid w:val="00BC2D50"/>
    <w:rsid w:val="00BC5C55"/>
    <w:rsid w:val="00BC6EB9"/>
    <w:rsid w:val="00BC78DA"/>
    <w:rsid w:val="00BD113A"/>
    <w:rsid w:val="00BD2076"/>
    <w:rsid w:val="00BD2B9F"/>
    <w:rsid w:val="00BD2EA0"/>
    <w:rsid w:val="00BD35B3"/>
    <w:rsid w:val="00BD3DA8"/>
    <w:rsid w:val="00BD4005"/>
    <w:rsid w:val="00BD4053"/>
    <w:rsid w:val="00BD45D5"/>
    <w:rsid w:val="00BD48C5"/>
    <w:rsid w:val="00BD64C1"/>
    <w:rsid w:val="00BD743B"/>
    <w:rsid w:val="00BE446D"/>
    <w:rsid w:val="00BE64F3"/>
    <w:rsid w:val="00BE730F"/>
    <w:rsid w:val="00BF0DBD"/>
    <w:rsid w:val="00BF115D"/>
    <w:rsid w:val="00BF1744"/>
    <w:rsid w:val="00BF3E5B"/>
    <w:rsid w:val="00BF436F"/>
    <w:rsid w:val="00BF4522"/>
    <w:rsid w:val="00BF5183"/>
    <w:rsid w:val="00C00697"/>
    <w:rsid w:val="00C00837"/>
    <w:rsid w:val="00C0095A"/>
    <w:rsid w:val="00C02F6E"/>
    <w:rsid w:val="00C10780"/>
    <w:rsid w:val="00C10C00"/>
    <w:rsid w:val="00C12B19"/>
    <w:rsid w:val="00C138D0"/>
    <w:rsid w:val="00C13A15"/>
    <w:rsid w:val="00C17CE9"/>
    <w:rsid w:val="00C20546"/>
    <w:rsid w:val="00C210C6"/>
    <w:rsid w:val="00C23110"/>
    <w:rsid w:val="00C23803"/>
    <w:rsid w:val="00C25F68"/>
    <w:rsid w:val="00C345B0"/>
    <w:rsid w:val="00C34691"/>
    <w:rsid w:val="00C3621B"/>
    <w:rsid w:val="00C408B3"/>
    <w:rsid w:val="00C423BA"/>
    <w:rsid w:val="00C424A2"/>
    <w:rsid w:val="00C447CE"/>
    <w:rsid w:val="00C45B9B"/>
    <w:rsid w:val="00C464A7"/>
    <w:rsid w:val="00C478AD"/>
    <w:rsid w:val="00C47EE0"/>
    <w:rsid w:val="00C511C3"/>
    <w:rsid w:val="00C51C42"/>
    <w:rsid w:val="00C51FCB"/>
    <w:rsid w:val="00C5214E"/>
    <w:rsid w:val="00C52329"/>
    <w:rsid w:val="00C52822"/>
    <w:rsid w:val="00C52C42"/>
    <w:rsid w:val="00C52F83"/>
    <w:rsid w:val="00C53A12"/>
    <w:rsid w:val="00C57F4E"/>
    <w:rsid w:val="00C6205B"/>
    <w:rsid w:val="00C657C0"/>
    <w:rsid w:val="00C66282"/>
    <w:rsid w:val="00C66A73"/>
    <w:rsid w:val="00C67AA6"/>
    <w:rsid w:val="00C67C4A"/>
    <w:rsid w:val="00C73048"/>
    <w:rsid w:val="00C74593"/>
    <w:rsid w:val="00C7518D"/>
    <w:rsid w:val="00C76497"/>
    <w:rsid w:val="00C767CB"/>
    <w:rsid w:val="00C80CAE"/>
    <w:rsid w:val="00C830D8"/>
    <w:rsid w:val="00C835AF"/>
    <w:rsid w:val="00C83E6A"/>
    <w:rsid w:val="00C856C9"/>
    <w:rsid w:val="00C859A0"/>
    <w:rsid w:val="00C868C6"/>
    <w:rsid w:val="00C86AD9"/>
    <w:rsid w:val="00C86F22"/>
    <w:rsid w:val="00C90A5A"/>
    <w:rsid w:val="00C90BF4"/>
    <w:rsid w:val="00C90CAA"/>
    <w:rsid w:val="00C91A83"/>
    <w:rsid w:val="00C94099"/>
    <w:rsid w:val="00C9650F"/>
    <w:rsid w:val="00C96C3F"/>
    <w:rsid w:val="00C96D93"/>
    <w:rsid w:val="00C96E14"/>
    <w:rsid w:val="00C9741E"/>
    <w:rsid w:val="00CA061E"/>
    <w:rsid w:val="00CA14BC"/>
    <w:rsid w:val="00CA327A"/>
    <w:rsid w:val="00CA33C7"/>
    <w:rsid w:val="00CA49FA"/>
    <w:rsid w:val="00CA613D"/>
    <w:rsid w:val="00CA7096"/>
    <w:rsid w:val="00CB1454"/>
    <w:rsid w:val="00CB2C58"/>
    <w:rsid w:val="00CB38A3"/>
    <w:rsid w:val="00CB3B70"/>
    <w:rsid w:val="00CB3DA9"/>
    <w:rsid w:val="00CB44B6"/>
    <w:rsid w:val="00CB57C9"/>
    <w:rsid w:val="00CB681A"/>
    <w:rsid w:val="00CB7907"/>
    <w:rsid w:val="00CC1475"/>
    <w:rsid w:val="00CC1CCB"/>
    <w:rsid w:val="00CC478C"/>
    <w:rsid w:val="00CC4C1D"/>
    <w:rsid w:val="00CC52D9"/>
    <w:rsid w:val="00CC5B22"/>
    <w:rsid w:val="00CC6B07"/>
    <w:rsid w:val="00CC6B7E"/>
    <w:rsid w:val="00CD0606"/>
    <w:rsid w:val="00CD0E20"/>
    <w:rsid w:val="00CD1E4B"/>
    <w:rsid w:val="00CD20F8"/>
    <w:rsid w:val="00CD315B"/>
    <w:rsid w:val="00CD31D0"/>
    <w:rsid w:val="00CD3A2C"/>
    <w:rsid w:val="00CD6A19"/>
    <w:rsid w:val="00CD6C1D"/>
    <w:rsid w:val="00CD730D"/>
    <w:rsid w:val="00CE1635"/>
    <w:rsid w:val="00CE239F"/>
    <w:rsid w:val="00CE3E0A"/>
    <w:rsid w:val="00CE3E74"/>
    <w:rsid w:val="00CE5B4D"/>
    <w:rsid w:val="00CE7BFA"/>
    <w:rsid w:val="00CF0D33"/>
    <w:rsid w:val="00CF1845"/>
    <w:rsid w:val="00CF3C44"/>
    <w:rsid w:val="00CF44BA"/>
    <w:rsid w:val="00CF502E"/>
    <w:rsid w:val="00CF505D"/>
    <w:rsid w:val="00CF5A4B"/>
    <w:rsid w:val="00CF5C83"/>
    <w:rsid w:val="00CF68E9"/>
    <w:rsid w:val="00CF7819"/>
    <w:rsid w:val="00CF7E2D"/>
    <w:rsid w:val="00D00DC4"/>
    <w:rsid w:val="00D03030"/>
    <w:rsid w:val="00D04484"/>
    <w:rsid w:val="00D052B5"/>
    <w:rsid w:val="00D065D2"/>
    <w:rsid w:val="00D06858"/>
    <w:rsid w:val="00D11D09"/>
    <w:rsid w:val="00D1233C"/>
    <w:rsid w:val="00D12886"/>
    <w:rsid w:val="00D152BF"/>
    <w:rsid w:val="00D15547"/>
    <w:rsid w:val="00D171A8"/>
    <w:rsid w:val="00D2011B"/>
    <w:rsid w:val="00D20553"/>
    <w:rsid w:val="00D2166C"/>
    <w:rsid w:val="00D259C0"/>
    <w:rsid w:val="00D26BE9"/>
    <w:rsid w:val="00D303B7"/>
    <w:rsid w:val="00D30B7F"/>
    <w:rsid w:val="00D30C55"/>
    <w:rsid w:val="00D32BCF"/>
    <w:rsid w:val="00D35B30"/>
    <w:rsid w:val="00D36132"/>
    <w:rsid w:val="00D37F8D"/>
    <w:rsid w:val="00D43212"/>
    <w:rsid w:val="00D43E3D"/>
    <w:rsid w:val="00D43EBF"/>
    <w:rsid w:val="00D4602A"/>
    <w:rsid w:val="00D4643A"/>
    <w:rsid w:val="00D46EB7"/>
    <w:rsid w:val="00D475BD"/>
    <w:rsid w:val="00D50C81"/>
    <w:rsid w:val="00D515EA"/>
    <w:rsid w:val="00D5207F"/>
    <w:rsid w:val="00D52159"/>
    <w:rsid w:val="00D54A94"/>
    <w:rsid w:val="00D54C52"/>
    <w:rsid w:val="00D54CE5"/>
    <w:rsid w:val="00D54CF9"/>
    <w:rsid w:val="00D55A4D"/>
    <w:rsid w:val="00D55E22"/>
    <w:rsid w:val="00D60723"/>
    <w:rsid w:val="00D611A9"/>
    <w:rsid w:val="00D61F71"/>
    <w:rsid w:val="00D620F7"/>
    <w:rsid w:val="00D621F3"/>
    <w:rsid w:val="00D62429"/>
    <w:rsid w:val="00D64473"/>
    <w:rsid w:val="00D64A8A"/>
    <w:rsid w:val="00D67CFF"/>
    <w:rsid w:val="00D70252"/>
    <w:rsid w:val="00D71F9A"/>
    <w:rsid w:val="00D822F9"/>
    <w:rsid w:val="00D82E21"/>
    <w:rsid w:val="00D83FFA"/>
    <w:rsid w:val="00D84256"/>
    <w:rsid w:val="00D846E4"/>
    <w:rsid w:val="00D84F65"/>
    <w:rsid w:val="00D85A7F"/>
    <w:rsid w:val="00D863AF"/>
    <w:rsid w:val="00D86755"/>
    <w:rsid w:val="00D9012E"/>
    <w:rsid w:val="00D90897"/>
    <w:rsid w:val="00D914A1"/>
    <w:rsid w:val="00D93BE5"/>
    <w:rsid w:val="00D943AB"/>
    <w:rsid w:val="00D957A5"/>
    <w:rsid w:val="00D96EB3"/>
    <w:rsid w:val="00D970EE"/>
    <w:rsid w:val="00DA1197"/>
    <w:rsid w:val="00DA3036"/>
    <w:rsid w:val="00DA3723"/>
    <w:rsid w:val="00DA45AA"/>
    <w:rsid w:val="00DA5D5C"/>
    <w:rsid w:val="00DA6092"/>
    <w:rsid w:val="00DA703B"/>
    <w:rsid w:val="00DA7C14"/>
    <w:rsid w:val="00DB015B"/>
    <w:rsid w:val="00DB1A17"/>
    <w:rsid w:val="00DB20CE"/>
    <w:rsid w:val="00DB24D3"/>
    <w:rsid w:val="00DB35E7"/>
    <w:rsid w:val="00DB5E67"/>
    <w:rsid w:val="00DB6588"/>
    <w:rsid w:val="00DB6DCA"/>
    <w:rsid w:val="00DB6E7D"/>
    <w:rsid w:val="00DB6F16"/>
    <w:rsid w:val="00DB7D77"/>
    <w:rsid w:val="00DC0621"/>
    <w:rsid w:val="00DC1FED"/>
    <w:rsid w:val="00DC215E"/>
    <w:rsid w:val="00DC3380"/>
    <w:rsid w:val="00DC50BD"/>
    <w:rsid w:val="00DC50F9"/>
    <w:rsid w:val="00DC62DB"/>
    <w:rsid w:val="00DD0320"/>
    <w:rsid w:val="00DD1579"/>
    <w:rsid w:val="00DD2215"/>
    <w:rsid w:val="00DD58D2"/>
    <w:rsid w:val="00DD6086"/>
    <w:rsid w:val="00DD619D"/>
    <w:rsid w:val="00DD6A94"/>
    <w:rsid w:val="00DD6C35"/>
    <w:rsid w:val="00DE1560"/>
    <w:rsid w:val="00DE193D"/>
    <w:rsid w:val="00DE1C23"/>
    <w:rsid w:val="00DE2FA9"/>
    <w:rsid w:val="00DE601E"/>
    <w:rsid w:val="00DE6442"/>
    <w:rsid w:val="00DE710F"/>
    <w:rsid w:val="00DE7EED"/>
    <w:rsid w:val="00DF3657"/>
    <w:rsid w:val="00DF378F"/>
    <w:rsid w:val="00E00D19"/>
    <w:rsid w:val="00E02E5D"/>
    <w:rsid w:val="00E0361B"/>
    <w:rsid w:val="00E045BD"/>
    <w:rsid w:val="00E05E36"/>
    <w:rsid w:val="00E063B4"/>
    <w:rsid w:val="00E10F74"/>
    <w:rsid w:val="00E13BD4"/>
    <w:rsid w:val="00E141E1"/>
    <w:rsid w:val="00E14A3D"/>
    <w:rsid w:val="00E14B90"/>
    <w:rsid w:val="00E14D03"/>
    <w:rsid w:val="00E15B54"/>
    <w:rsid w:val="00E16002"/>
    <w:rsid w:val="00E20540"/>
    <w:rsid w:val="00E2300F"/>
    <w:rsid w:val="00E23731"/>
    <w:rsid w:val="00E23B18"/>
    <w:rsid w:val="00E250C1"/>
    <w:rsid w:val="00E25DCB"/>
    <w:rsid w:val="00E260B8"/>
    <w:rsid w:val="00E36171"/>
    <w:rsid w:val="00E365D5"/>
    <w:rsid w:val="00E36D78"/>
    <w:rsid w:val="00E37F51"/>
    <w:rsid w:val="00E40083"/>
    <w:rsid w:val="00E401B3"/>
    <w:rsid w:val="00E414F6"/>
    <w:rsid w:val="00E41882"/>
    <w:rsid w:val="00E41EC4"/>
    <w:rsid w:val="00E433B9"/>
    <w:rsid w:val="00E4676C"/>
    <w:rsid w:val="00E46F31"/>
    <w:rsid w:val="00E50185"/>
    <w:rsid w:val="00E50B5C"/>
    <w:rsid w:val="00E558C9"/>
    <w:rsid w:val="00E55AB0"/>
    <w:rsid w:val="00E56F26"/>
    <w:rsid w:val="00E578B7"/>
    <w:rsid w:val="00E60E94"/>
    <w:rsid w:val="00E63231"/>
    <w:rsid w:val="00E64E3E"/>
    <w:rsid w:val="00E650B1"/>
    <w:rsid w:val="00E67A09"/>
    <w:rsid w:val="00E67D55"/>
    <w:rsid w:val="00E703B8"/>
    <w:rsid w:val="00E70410"/>
    <w:rsid w:val="00E70880"/>
    <w:rsid w:val="00E7329A"/>
    <w:rsid w:val="00E73F85"/>
    <w:rsid w:val="00E76451"/>
    <w:rsid w:val="00E7652A"/>
    <w:rsid w:val="00E8016F"/>
    <w:rsid w:val="00E80254"/>
    <w:rsid w:val="00E80E52"/>
    <w:rsid w:val="00E810C2"/>
    <w:rsid w:val="00E816CE"/>
    <w:rsid w:val="00E819D0"/>
    <w:rsid w:val="00E8262E"/>
    <w:rsid w:val="00E83A58"/>
    <w:rsid w:val="00E84F06"/>
    <w:rsid w:val="00E85929"/>
    <w:rsid w:val="00E87451"/>
    <w:rsid w:val="00E878CA"/>
    <w:rsid w:val="00E90908"/>
    <w:rsid w:val="00E90FB5"/>
    <w:rsid w:val="00E91241"/>
    <w:rsid w:val="00E92954"/>
    <w:rsid w:val="00E95F9D"/>
    <w:rsid w:val="00E96851"/>
    <w:rsid w:val="00E976DF"/>
    <w:rsid w:val="00EA0688"/>
    <w:rsid w:val="00EA19B4"/>
    <w:rsid w:val="00EA25D1"/>
    <w:rsid w:val="00EA2A5D"/>
    <w:rsid w:val="00EA3379"/>
    <w:rsid w:val="00EA36E5"/>
    <w:rsid w:val="00EA6B39"/>
    <w:rsid w:val="00EB25EA"/>
    <w:rsid w:val="00EB4FB1"/>
    <w:rsid w:val="00EB6548"/>
    <w:rsid w:val="00EC0059"/>
    <w:rsid w:val="00EC0FE5"/>
    <w:rsid w:val="00EC136F"/>
    <w:rsid w:val="00EC37F6"/>
    <w:rsid w:val="00EC431D"/>
    <w:rsid w:val="00EC68DB"/>
    <w:rsid w:val="00EC7721"/>
    <w:rsid w:val="00ED0CB2"/>
    <w:rsid w:val="00ED276E"/>
    <w:rsid w:val="00ED334F"/>
    <w:rsid w:val="00EE08F2"/>
    <w:rsid w:val="00EE1C4A"/>
    <w:rsid w:val="00EE1DC6"/>
    <w:rsid w:val="00EE1DD7"/>
    <w:rsid w:val="00EE2354"/>
    <w:rsid w:val="00EE3755"/>
    <w:rsid w:val="00EE42E0"/>
    <w:rsid w:val="00EE6666"/>
    <w:rsid w:val="00EE680E"/>
    <w:rsid w:val="00EE76B9"/>
    <w:rsid w:val="00EF125F"/>
    <w:rsid w:val="00EF2497"/>
    <w:rsid w:val="00EF26DC"/>
    <w:rsid w:val="00EF38A6"/>
    <w:rsid w:val="00EF4E2C"/>
    <w:rsid w:val="00EF4EF8"/>
    <w:rsid w:val="00EF53E3"/>
    <w:rsid w:val="00EF53E7"/>
    <w:rsid w:val="00EF5AB5"/>
    <w:rsid w:val="00F017E0"/>
    <w:rsid w:val="00F01B39"/>
    <w:rsid w:val="00F03B20"/>
    <w:rsid w:val="00F04F8E"/>
    <w:rsid w:val="00F061F7"/>
    <w:rsid w:val="00F065A0"/>
    <w:rsid w:val="00F10C3D"/>
    <w:rsid w:val="00F115DE"/>
    <w:rsid w:val="00F12E0D"/>
    <w:rsid w:val="00F1783F"/>
    <w:rsid w:val="00F21C70"/>
    <w:rsid w:val="00F26AEC"/>
    <w:rsid w:val="00F26B56"/>
    <w:rsid w:val="00F26C03"/>
    <w:rsid w:val="00F26D11"/>
    <w:rsid w:val="00F27CBE"/>
    <w:rsid w:val="00F310C3"/>
    <w:rsid w:val="00F3327E"/>
    <w:rsid w:val="00F3451F"/>
    <w:rsid w:val="00F3656C"/>
    <w:rsid w:val="00F367AC"/>
    <w:rsid w:val="00F407DE"/>
    <w:rsid w:val="00F4121E"/>
    <w:rsid w:val="00F414D2"/>
    <w:rsid w:val="00F4212B"/>
    <w:rsid w:val="00F43066"/>
    <w:rsid w:val="00F444AE"/>
    <w:rsid w:val="00F445D6"/>
    <w:rsid w:val="00F4644C"/>
    <w:rsid w:val="00F468E5"/>
    <w:rsid w:val="00F46D66"/>
    <w:rsid w:val="00F4704F"/>
    <w:rsid w:val="00F477D5"/>
    <w:rsid w:val="00F500A6"/>
    <w:rsid w:val="00F50B92"/>
    <w:rsid w:val="00F50EE3"/>
    <w:rsid w:val="00F51122"/>
    <w:rsid w:val="00F54776"/>
    <w:rsid w:val="00F548ED"/>
    <w:rsid w:val="00F56F5A"/>
    <w:rsid w:val="00F56F64"/>
    <w:rsid w:val="00F6179B"/>
    <w:rsid w:val="00F618AF"/>
    <w:rsid w:val="00F629E9"/>
    <w:rsid w:val="00F63304"/>
    <w:rsid w:val="00F651C4"/>
    <w:rsid w:val="00F67916"/>
    <w:rsid w:val="00F71629"/>
    <w:rsid w:val="00F720EF"/>
    <w:rsid w:val="00F73C08"/>
    <w:rsid w:val="00F75B9E"/>
    <w:rsid w:val="00F7682E"/>
    <w:rsid w:val="00F77FD0"/>
    <w:rsid w:val="00F80BCD"/>
    <w:rsid w:val="00F810E3"/>
    <w:rsid w:val="00F82949"/>
    <w:rsid w:val="00F83AF4"/>
    <w:rsid w:val="00F85352"/>
    <w:rsid w:val="00F859E9"/>
    <w:rsid w:val="00F860D3"/>
    <w:rsid w:val="00F8696D"/>
    <w:rsid w:val="00F909DF"/>
    <w:rsid w:val="00F923F4"/>
    <w:rsid w:val="00F92C57"/>
    <w:rsid w:val="00F9344F"/>
    <w:rsid w:val="00F936BC"/>
    <w:rsid w:val="00F957AE"/>
    <w:rsid w:val="00F97B14"/>
    <w:rsid w:val="00FA3079"/>
    <w:rsid w:val="00FA3713"/>
    <w:rsid w:val="00FA6B33"/>
    <w:rsid w:val="00FA79BC"/>
    <w:rsid w:val="00FB03CB"/>
    <w:rsid w:val="00FB0896"/>
    <w:rsid w:val="00FB0DDF"/>
    <w:rsid w:val="00FB1D0E"/>
    <w:rsid w:val="00FB20C4"/>
    <w:rsid w:val="00FB259C"/>
    <w:rsid w:val="00FB3C96"/>
    <w:rsid w:val="00FB4BCE"/>
    <w:rsid w:val="00FB4D85"/>
    <w:rsid w:val="00FB55EF"/>
    <w:rsid w:val="00FB5ED3"/>
    <w:rsid w:val="00FB60EF"/>
    <w:rsid w:val="00FB6A59"/>
    <w:rsid w:val="00FC1587"/>
    <w:rsid w:val="00FC3D4F"/>
    <w:rsid w:val="00FC41F6"/>
    <w:rsid w:val="00FC49FB"/>
    <w:rsid w:val="00FC4CC8"/>
    <w:rsid w:val="00FC5128"/>
    <w:rsid w:val="00FC5756"/>
    <w:rsid w:val="00FC5D23"/>
    <w:rsid w:val="00FD00DD"/>
    <w:rsid w:val="00FD228D"/>
    <w:rsid w:val="00FD4447"/>
    <w:rsid w:val="00FD4458"/>
    <w:rsid w:val="00FD60DD"/>
    <w:rsid w:val="00FD659E"/>
    <w:rsid w:val="00FE156D"/>
    <w:rsid w:val="00FE29EB"/>
    <w:rsid w:val="00FE3BB7"/>
    <w:rsid w:val="00FE3C5F"/>
    <w:rsid w:val="00FE46B9"/>
    <w:rsid w:val="00FE47DF"/>
    <w:rsid w:val="00FE689C"/>
    <w:rsid w:val="00FE6A0D"/>
    <w:rsid w:val="00FE7253"/>
    <w:rsid w:val="00FF00ED"/>
    <w:rsid w:val="00FF0E86"/>
    <w:rsid w:val="00FF2D86"/>
    <w:rsid w:val="00FF387F"/>
    <w:rsid w:val="00FF48C6"/>
    <w:rsid w:val="00FF5459"/>
    <w:rsid w:val="00FF6000"/>
    <w:rsid w:val="00FF6161"/>
    <w:rsid w:val="00FF6912"/>
    <w:rsid w:val="00FF7033"/>
    <w:rsid w:val="079BC754"/>
    <w:rsid w:val="1032334E"/>
    <w:rsid w:val="412CEBF9"/>
    <w:rsid w:val="454337E1"/>
    <w:rsid w:val="4A26315C"/>
    <w:rsid w:val="6418CE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EB16A"/>
  <w14:discardImageEditingData/>
  <w15:chartTrackingRefBased/>
  <w15:docId w15:val="{B5F777B1-3B22-4449-93BA-279A09E9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62626" w:themeColor="text1" w:themeTint="D9"/>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semiHidden/>
    <w:qFormat/>
    <w:rsid w:val="004E0845"/>
  </w:style>
  <w:style w:type="paragraph" w:styleId="Heading1">
    <w:name w:val="heading 1"/>
    <w:basedOn w:val="Normal"/>
    <w:next w:val="BodyText"/>
    <w:link w:val="Heading1Char"/>
    <w:uiPriority w:val="9"/>
    <w:qFormat/>
    <w:rsid w:val="000D2E56"/>
    <w:pPr>
      <w:keepNext/>
      <w:keepLines/>
      <w:spacing w:before="360" w:after="0"/>
      <w:outlineLvl w:val="0"/>
    </w:pPr>
    <w:rPr>
      <w:rFonts w:asciiTheme="majorHAnsi" w:hAnsiTheme="majorHAnsi"/>
      <w:b/>
      <w:color w:val="2A4055" w:themeColor="accent1"/>
      <w:sz w:val="44"/>
      <w:szCs w:val="44"/>
    </w:rPr>
  </w:style>
  <w:style w:type="paragraph" w:styleId="Heading2">
    <w:name w:val="heading 2"/>
    <w:basedOn w:val="Normal"/>
    <w:next w:val="BodyText"/>
    <w:link w:val="Heading2Char"/>
    <w:uiPriority w:val="9"/>
    <w:unhideWhenUsed/>
    <w:qFormat/>
    <w:rsid w:val="0068575D"/>
    <w:pPr>
      <w:keepNext/>
      <w:keepLines/>
      <w:spacing w:before="360"/>
      <w:outlineLvl w:val="1"/>
    </w:pPr>
    <w:rPr>
      <w:rFonts w:asciiTheme="majorHAnsi" w:eastAsiaTheme="majorEastAsia" w:hAnsiTheme="majorHAnsi" w:cstheme="majorBidi"/>
      <w:color w:val="2A4055" w:themeColor="accent1"/>
      <w:sz w:val="36"/>
      <w:szCs w:val="36"/>
    </w:rPr>
  </w:style>
  <w:style w:type="paragraph" w:styleId="Heading3">
    <w:name w:val="heading 3"/>
    <w:basedOn w:val="Normal"/>
    <w:next w:val="BodyText"/>
    <w:link w:val="Heading3Char"/>
    <w:uiPriority w:val="9"/>
    <w:unhideWhenUsed/>
    <w:qFormat/>
    <w:rsid w:val="0068575D"/>
    <w:pPr>
      <w:keepNext/>
      <w:keepLines/>
      <w:spacing w:before="240" w:after="160" w:line="240" w:lineRule="auto"/>
      <w:outlineLvl w:val="2"/>
    </w:pPr>
    <w:rPr>
      <w:rFonts w:asciiTheme="majorHAnsi" w:eastAsiaTheme="majorEastAsia" w:hAnsiTheme="majorHAnsi" w:cstheme="majorBidi"/>
      <w:color w:val="2A4055" w:themeColor="accent1"/>
      <w:sz w:val="28"/>
      <w:szCs w:val="28"/>
    </w:rPr>
  </w:style>
  <w:style w:type="paragraph" w:styleId="Heading4">
    <w:name w:val="heading 4"/>
    <w:basedOn w:val="BodyText"/>
    <w:next w:val="BodyText"/>
    <w:link w:val="Heading4Char"/>
    <w:uiPriority w:val="9"/>
    <w:qFormat/>
    <w:rsid w:val="00BA2BE7"/>
    <w:pPr>
      <w:keepNext/>
      <w:spacing w:before="240"/>
      <w:outlineLvl w:val="3"/>
    </w:pPr>
    <w:rPr>
      <w:rFonts w:asciiTheme="majorHAnsi" w:hAnsiTheme="majorHAnsi"/>
      <w:b/>
      <w:color w:val="2A405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66A73"/>
    <w:pPr>
      <w:tabs>
        <w:tab w:val="center" w:pos="4513"/>
        <w:tab w:val="right" w:pos="9026"/>
      </w:tabs>
      <w:spacing w:after="0" w:line="240" w:lineRule="auto"/>
    </w:pPr>
    <w:rPr>
      <w:rFonts w:asciiTheme="majorHAnsi" w:hAnsiTheme="majorHAnsi"/>
      <w:b/>
      <w:color w:val="FFFFFF" w:themeColor="background1"/>
      <w:szCs w:val="18"/>
    </w:rPr>
  </w:style>
  <w:style w:type="character" w:customStyle="1" w:styleId="HeaderChar">
    <w:name w:val="Header Char"/>
    <w:basedOn w:val="DefaultParagraphFont"/>
    <w:link w:val="Header"/>
    <w:uiPriority w:val="99"/>
    <w:semiHidden/>
    <w:rsid w:val="00C66A73"/>
    <w:rPr>
      <w:rFonts w:asciiTheme="majorHAnsi" w:hAnsiTheme="majorHAnsi"/>
      <w:b/>
      <w:color w:val="FFFFFF" w:themeColor="background1"/>
      <w:sz w:val="20"/>
      <w:szCs w:val="18"/>
    </w:rPr>
  </w:style>
  <w:style w:type="paragraph" w:styleId="Footer">
    <w:name w:val="footer"/>
    <w:basedOn w:val="Normal"/>
    <w:link w:val="FooterChar"/>
    <w:uiPriority w:val="99"/>
    <w:rsid w:val="00281E3E"/>
    <w:pPr>
      <w:tabs>
        <w:tab w:val="center" w:pos="4513"/>
        <w:tab w:val="right" w:pos="9026"/>
      </w:tabs>
      <w:spacing w:after="500" w:line="240" w:lineRule="auto"/>
      <w:contextualSpacing/>
    </w:pPr>
    <w:rPr>
      <w:rFonts w:asciiTheme="majorHAnsi" w:hAnsiTheme="majorHAnsi"/>
      <w:bCs/>
      <w:color w:val="014463" w:themeColor="text2"/>
      <w:sz w:val="16"/>
      <w:szCs w:val="16"/>
    </w:rPr>
  </w:style>
  <w:style w:type="character" w:customStyle="1" w:styleId="FooterChar">
    <w:name w:val="Footer Char"/>
    <w:basedOn w:val="DefaultParagraphFont"/>
    <w:link w:val="Footer"/>
    <w:uiPriority w:val="99"/>
    <w:rsid w:val="00281E3E"/>
    <w:rPr>
      <w:rFonts w:asciiTheme="majorHAnsi" w:hAnsiTheme="majorHAnsi"/>
      <w:bCs/>
      <w:color w:val="014463" w:themeColor="text2"/>
      <w:sz w:val="16"/>
      <w:szCs w:val="16"/>
    </w:rPr>
  </w:style>
  <w:style w:type="paragraph" w:styleId="BalloonText">
    <w:name w:val="Balloon Text"/>
    <w:basedOn w:val="Normal"/>
    <w:link w:val="BalloonTextChar"/>
    <w:uiPriority w:val="99"/>
    <w:semiHidden/>
    <w:unhideWhenUsed/>
    <w:rsid w:val="00B95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533"/>
    <w:rPr>
      <w:rFonts w:ascii="Segoe UI" w:hAnsi="Segoe UI" w:cs="Segoe UI"/>
      <w:sz w:val="18"/>
      <w:szCs w:val="18"/>
    </w:rPr>
  </w:style>
  <w:style w:type="character" w:styleId="PlaceholderText">
    <w:name w:val="Placeholder Text"/>
    <w:basedOn w:val="DefaultParagraphFont"/>
    <w:uiPriority w:val="99"/>
    <w:semiHidden/>
    <w:rsid w:val="00F92C57"/>
    <w:rPr>
      <w:color w:val="7F7F7F" w:themeColor="text1" w:themeTint="80"/>
    </w:rPr>
  </w:style>
  <w:style w:type="character" w:customStyle="1" w:styleId="Heading1Char">
    <w:name w:val="Heading 1 Char"/>
    <w:basedOn w:val="DefaultParagraphFont"/>
    <w:link w:val="Heading1"/>
    <w:uiPriority w:val="9"/>
    <w:rsid w:val="000D2E56"/>
    <w:rPr>
      <w:rFonts w:asciiTheme="majorHAnsi" w:hAnsiTheme="majorHAnsi"/>
      <w:b/>
      <w:color w:val="2A4055" w:themeColor="accent1"/>
      <w:sz w:val="44"/>
      <w:szCs w:val="44"/>
    </w:rPr>
  </w:style>
  <w:style w:type="table" w:customStyle="1" w:styleId="NIAATable-simple">
    <w:name w:val="NIAA Table - simple"/>
    <w:basedOn w:val="TableNormal"/>
    <w:uiPriority w:val="99"/>
    <w:rsid w:val="00446A9A"/>
    <w:pPr>
      <w:spacing w:before="60" w:after="60"/>
    </w:pPr>
    <w:tblPr>
      <w:tblStyleRowBandSize w:val="1"/>
      <w:tblStyleColBandSize w:val="1"/>
      <w:tblBorders>
        <w:bottom w:val="single" w:sz="18"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pPr>
      <w:rPr>
        <w:rFonts w:ascii="Calibri" w:hAnsi="Calibri"/>
        <w:b/>
        <w:i w:val="0"/>
        <w:color w:val="FFFFFF" w:themeColor="background1"/>
        <w:sz w:val="20"/>
      </w:rPr>
      <w:tblPr/>
      <w:tcPr>
        <w:tcBorders>
          <w:top w:val="nil"/>
          <w:left w:val="nil"/>
          <w:bottom w:val="nil"/>
          <w:right w:val="nil"/>
          <w:insideH w:val="nil"/>
          <w:insideV w:val="nil"/>
          <w:tl2br w:val="nil"/>
          <w:tr2bl w:val="nil"/>
        </w:tcBorders>
        <w:shd w:val="clear" w:color="auto" w:fill="2A4055" w:themeFill="accent1"/>
      </w:tcPr>
    </w:tblStylePr>
    <w:tblStylePr w:type="band1Horz">
      <w:rPr>
        <w:rFonts w:asciiTheme="minorHAnsi" w:hAnsiTheme="minorHAnsi"/>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tblStylePr w:type="band2Horz">
      <w:pPr>
        <w:wordWrap/>
        <w:spacing w:beforeLines="0" w:afterLines="0" w:line="264" w:lineRule="auto"/>
        <w:contextualSpacing w:val="0"/>
      </w:pPr>
      <w:rPr>
        <w:rFonts w:asciiTheme="minorHAnsi" w:hAnsiTheme="minorHAnsi"/>
        <w:b w:val="0"/>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style>
  <w:style w:type="paragraph" w:styleId="ListParagraph">
    <w:name w:val="List Paragraph"/>
    <w:basedOn w:val="Normal"/>
    <w:uiPriority w:val="1"/>
    <w:qFormat/>
    <w:rsid w:val="00820E0F"/>
    <w:pPr>
      <w:ind w:left="720"/>
      <w:contextualSpacing/>
    </w:pPr>
  </w:style>
  <w:style w:type="paragraph" w:customStyle="1" w:styleId="Tablebullet">
    <w:name w:val="Table bullet"/>
    <w:basedOn w:val="ListParagraph"/>
    <w:uiPriority w:val="11"/>
    <w:qFormat/>
    <w:rsid w:val="00FF5459"/>
    <w:pPr>
      <w:numPr>
        <w:numId w:val="2"/>
      </w:numPr>
      <w:spacing w:before="60" w:after="60"/>
      <w:contextualSpacing w:val="0"/>
    </w:pPr>
    <w:rPr>
      <w:rFonts w:ascii="Calibri" w:hAnsi="Calibri"/>
    </w:rPr>
  </w:style>
  <w:style w:type="character" w:customStyle="1" w:styleId="Heading2Char">
    <w:name w:val="Heading 2 Char"/>
    <w:basedOn w:val="DefaultParagraphFont"/>
    <w:link w:val="Heading2"/>
    <w:uiPriority w:val="9"/>
    <w:rsid w:val="0068575D"/>
    <w:rPr>
      <w:rFonts w:asciiTheme="majorHAnsi" w:eastAsiaTheme="majorEastAsia" w:hAnsiTheme="majorHAnsi" w:cstheme="majorBidi"/>
      <w:color w:val="2A4055" w:themeColor="accent1"/>
      <w:sz w:val="36"/>
      <w:szCs w:val="36"/>
    </w:rPr>
  </w:style>
  <w:style w:type="paragraph" w:customStyle="1" w:styleId="NumberedListlevel1">
    <w:name w:val="Numbered List level 1"/>
    <w:basedOn w:val="ListParagraph"/>
    <w:uiPriority w:val="9"/>
    <w:qFormat/>
    <w:rsid w:val="008A67E3"/>
    <w:pPr>
      <w:numPr>
        <w:numId w:val="22"/>
      </w:numPr>
      <w:spacing w:before="120" w:after="0"/>
      <w:ind w:left="568" w:hanging="284"/>
    </w:pPr>
    <w:rPr>
      <w:sz w:val="22"/>
    </w:rPr>
  </w:style>
  <w:style w:type="paragraph" w:customStyle="1" w:styleId="BulletedListlevel10">
    <w:name w:val="Bulleted List level1"/>
    <w:uiPriority w:val="10"/>
    <w:qFormat/>
    <w:rsid w:val="000E026C"/>
    <w:pPr>
      <w:spacing w:before="120" w:after="0"/>
      <w:ind w:left="568" w:hanging="284"/>
      <w:contextualSpacing/>
    </w:pPr>
    <w:rPr>
      <w:sz w:val="22"/>
    </w:rPr>
  </w:style>
  <w:style w:type="paragraph" w:customStyle="1" w:styleId="NumberedListlevel2">
    <w:name w:val="Numbered List level 2"/>
    <w:basedOn w:val="NumberedListlevel1"/>
    <w:uiPriority w:val="9"/>
    <w:rsid w:val="00DB24D3"/>
    <w:pPr>
      <w:numPr>
        <w:ilvl w:val="1"/>
      </w:numPr>
      <w:spacing w:before="0"/>
      <w:ind w:hanging="284"/>
    </w:pPr>
  </w:style>
  <w:style w:type="paragraph" w:styleId="BodyText">
    <w:name w:val="Body Text"/>
    <w:basedOn w:val="Normal"/>
    <w:link w:val="BodyTextChar"/>
    <w:qFormat/>
    <w:rsid w:val="008A67E3"/>
    <w:pPr>
      <w:spacing w:before="120" w:line="288" w:lineRule="auto"/>
    </w:pPr>
    <w:rPr>
      <w:sz w:val="22"/>
    </w:rPr>
  </w:style>
  <w:style w:type="character" w:customStyle="1" w:styleId="BodyTextChar">
    <w:name w:val="Body Text Char"/>
    <w:basedOn w:val="DefaultParagraphFont"/>
    <w:link w:val="BodyText"/>
    <w:rsid w:val="008A67E3"/>
    <w:rPr>
      <w:sz w:val="22"/>
    </w:rPr>
  </w:style>
  <w:style w:type="paragraph" w:customStyle="1" w:styleId="Tablebody">
    <w:name w:val="Table body"/>
    <w:basedOn w:val="Normal"/>
    <w:link w:val="TablebodyChar"/>
    <w:uiPriority w:val="11"/>
    <w:qFormat/>
    <w:rsid w:val="00FF5459"/>
    <w:pPr>
      <w:spacing w:before="60" w:after="60"/>
    </w:pPr>
  </w:style>
  <w:style w:type="character" w:customStyle="1" w:styleId="Heading3Char">
    <w:name w:val="Heading 3 Char"/>
    <w:basedOn w:val="DefaultParagraphFont"/>
    <w:link w:val="Heading3"/>
    <w:uiPriority w:val="9"/>
    <w:rsid w:val="0068575D"/>
    <w:rPr>
      <w:rFonts w:asciiTheme="majorHAnsi" w:eastAsiaTheme="majorEastAsia" w:hAnsiTheme="majorHAnsi" w:cstheme="majorBidi"/>
      <w:color w:val="2A4055" w:themeColor="accent1"/>
      <w:sz w:val="28"/>
      <w:szCs w:val="28"/>
    </w:rPr>
  </w:style>
  <w:style w:type="paragraph" w:customStyle="1" w:styleId="NumberedListlevel3">
    <w:name w:val="Numbered List level 3"/>
    <w:basedOn w:val="NumberedListlevel1"/>
    <w:uiPriority w:val="9"/>
    <w:rsid w:val="00DB24D3"/>
    <w:pPr>
      <w:numPr>
        <w:ilvl w:val="2"/>
      </w:numPr>
      <w:spacing w:before="0"/>
      <w:ind w:left="1702" w:hanging="284"/>
    </w:pPr>
  </w:style>
  <w:style w:type="paragraph" w:customStyle="1" w:styleId="BasicParagraph">
    <w:name w:val="[Basic Paragraph]"/>
    <w:basedOn w:val="Normal"/>
    <w:uiPriority w:val="99"/>
    <w:semiHidden/>
    <w:rsid w:val="006173D0"/>
    <w:pPr>
      <w:autoSpaceDE w:val="0"/>
      <w:autoSpaceDN w:val="0"/>
      <w:adjustRightInd w:val="0"/>
      <w:spacing w:after="0" w:line="288" w:lineRule="auto"/>
      <w:textAlignment w:val="center"/>
    </w:pPr>
    <w:rPr>
      <w:rFonts w:cs="Minion Pro"/>
      <w:color w:val="000000"/>
      <w:lang w:val="en-GB"/>
    </w:rPr>
  </w:style>
  <w:style w:type="character" w:customStyle="1" w:styleId="Heading4Char">
    <w:name w:val="Heading 4 Char"/>
    <w:basedOn w:val="DefaultParagraphFont"/>
    <w:link w:val="Heading4"/>
    <w:uiPriority w:val="9"/>
    <w:rsid w:val="00BA2BE7"/>
    <w:rPr>
      <w:rFonts w:asciiTheme="majorHAnsi" w:hAnsiTheme="majorHAnsi"/>
      <w:b/>
      <w:color w:val="2A4055" w:themeColor="accent1"/>
      <w:sz w:val="22"/>
    </w:rPr>
  </w:style>
  <w:style w:type="paragraph" w:customStyle="1" w:styleId="Tableheading">
    <w:name w:val="Table heading"/>
    <w:basedOn w:val="BodyText"/>
    <w:uiPriority w:val="11"/>
    <w:qFormat/>
    <w:rsid w:val="001912A0"/>
    <w:pPr>
      <w:spacing w:beforeLines="40" w:before="96" w:afterLines="40" w:after="96" w:line="264" w:lineRule="auto"/>
    </w:pPr>
    <w:rPr>
      <w:rFonts w:ascii="Calibri" w:hAnsi="Calibri"/>
      <w:b/>
      <w:color w:val="FFFFFF" w:themeColor="background1"/>
    </w:rPr>
  </w:style>
  <w:style w:type="paragraph" w:customStyle="1" w:styleId="ProtectiveMarking">
    <w:name w:val="Protective Marking"/>
    <w:basedOn w:val="Normal"/>
    <w:uiPriority w:val="13"/>
    <w:rsid w:val="001A1957"/>
    <w:pPr>
      <w:spacing w:after="0" w:line="240" w:lineRule="auto"/>
      <w:jc w:val="center"/>
    </w:pPr>
    <w:rPr>
      <w:rFonts w:asciiTheme="majorHAnsi" w:hAnsiTheme="majorHAnsi"/>
      <w:caps/>
      <w:noProof/>
      <w:color w:val="CD1719"/>
      <w:sz w:val="16"/>
    </w:rPr>
  </w:style>
  <w:style w:type="table" w:customStyle="1" w:styleId="NIAATable-bandedrows">
    <w:name w:val="NIAA Table - banded rows"/>
    <w:basedOn w:val="TableNormal"/>
    <w:uiPriority w:val="99"/>
    <w:rsid w:val="00C67C4A"/>
    <w:pPr>
      <w:spacing w:before="60" w:after="60"/>
    </w:pPr>
    <w:rPr>
      <w:rFonts w:ascii="Calibri" w:hAnsi="Calibri"/>
    </w:rPr>
    <w:tblPr>
      <w:tblStyleRowBandSize w:val="1"/>
      <w:tblStyleCol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paragraph" w:styleId="Quote">
    <w:name w:val="Quote"/>
    <w:basedOn w:val="Normal"/>
    <w:next w:val="Normal"/>
    <w:link w:val="QuoteChar"/>
    <w:uiPriority w:val="29"/>
    <w:qFormat/>
    <w:rsid w:val="000E026C"/>
    <w:pPr>
      <w:ind w:left="567" w:right="567"/>
    </w:pPr>
    <w:rPr>
      <w:rFonts w:asciiTheme="majorHAnsi" w:hAnsiTheme="majorHAnsi"/>
      <w:b/>
      <w:bCs/>
      <w:color w:val="DD761C" w:themeColor="accent3"/>
      <w:sz w:val="24"/>
      <w:szCs w:val="24"/>
    </w:rPr>
  </w:style>
  <w:style w:type="paragraph" w:styleId="NoSpacing">
    <w:name w:val="No Spacing"/>
    <w:basedOn w:val="BodyText"/>
    <w:link w:val="NoSpacingChar"/>
    <w:uiPriority w:val="1"/>
    <w:semiHidden/>
    <w:rsid w:val="002A0289"/>
    <w:pPr>
      <w:contextualSpacing/>
    </w:pPr>
  </w:style>
  <w:style w:type="character" w:customStyle="1" w:styleId="NoSpacingChar">
    <w:name w:val="No Spacing Char"/>
    <w:basedOn w:val="DefaultParagraphFont"/>
    <w:link w:val="NoSpacing"/>
    <w:uiPriority w:val="1"/>
    <w:semiHidden/>
    <w:rsid w:val="00250BE6"/>
  </w:style>
  <w:style w:type="paragraph" w:customStyle="1" w:styleId="CoverTitle">
    <w:name w:val="Cover Title"/>
    <w:basedOn w:val="NoSpacing"/>
    <w:uiPriority w:val="11"/>
    <w:semiHidden/>
    <w:qFormat/>
    <w:rsid w:val="00657D2D"/>
    <w:pPr>
      <w:spacing w:before="40" w:after="560" w:line="216" w:lineRule="auto"/>
    </w:pPr>
    <w:rPr>
      <w:rFonts w:asciiTheme="majorHAnsi" w:hAnsiTheme="majorHAnsi"/>
      <w:b/>
      <w:color w:val="FFFFFF" w:themeColor="background1"/>
      <w:sz w:val="120"/>
      <w:szCs w:val="72"/>
    </w:rPr>
  </w:style>
  <w:style w:type="paragraph" w:customStyle="1" w:styleId="CoverByline">
    <w:name w:val="Cover Byline"/>
    <w:basedOn w:val="NoSpacing"/>
    <w:uiPriority w:val="11"/>
    <w:semiHidden/>
    <w:qFormat/>
    <w:rsid w:val="008436AB"/>
    <w:pPr>
      <w:spacing w:after="360"/>
    </w:pPr>
    <w:rPr>
      <w:rFonts w:asciiTheme="majorHAnsi" w:hAnsiTheme="majorHAnsi"/>
      <w:b/>
      <w:color w:val="FFFFFF" w:themeColor="background1"/>
      <w:sz w:val="44"/>
      <w:szCs w:val="28"/>
    </w:rPr>
  </w:style>
  <w:style w:type="paragraph" w:customStyle="1" w:styleId="CoverDetails">
    <w:name w:val="Cover Details"/>
    <w:basedOn w:val="NoSpacing"/>
    <w:uiPriority w:val="11"/>
    <w:semiHidden/>
    <w:qFormat/>
    <w:rsid w:val="008436AB"/>
    <w:pPr>
      <w:spacing w:after="240"/>
    </w:pPr>
    <w:rPr>
      <w:color w:val="FFFFFF" w:themeColor="background1"/>
      <w:sz w:val="24"/>
      <w:szCs w:val="28"/>
    </w:rPr>
  </w:style>
  <w:style w:type="paragraph" w:customStyle="1" w:styleId="Footerline">
    <w:name w:val="Footer line"/>
    <w:uiPriority w:val="11"/>
    <w:semiHidden/>
    <w:rsid w:val="00F651C4"/>
    <w:pPr>
      <w:spacing w:before="20" w:after="240"/>
    </w:pPr>
    <w:rPr>
      <w:caps/>
      <w:noProof/>
      <w:color w:val="2A4055" w:themeColor="accent1"/>
    </w:rPr>
  </w:style>
  <w:style w:type="paragraph" w:customStyle="1" w:styleId="Tablenumbering">
    <w:name w:val="Table numbering"/>
    <w:uiPriority w:val="11"/>
    <w:qFormat/>
    <w:rsid w:val="00FF5459"/>
    <w:pPr>
      <w:numPr>
        <w:numId w:val="3"/>
      </w:numPr>
      <w:spacing w:before="60" w:after="60"/>
      <w:ind w:left="284" w:hanging="284"/>
    </w:pPr>
    <w:rPr>
      <w:rFonts w:ascii="Calibri" w:hAnsi="Calibri"/>
    </w:rPr>
  </w:style>
  <w:style w:type="paragraph" w:styleId="Caption">
    <w:name w:val="caption"/>
    <w:basedOn w:val="Normal"/>
    <w:next w:val="Normal"/>
    <w:uiPriority w:val="35"/>
    <w:unhideWhenUsed/>
    <w:qFormat/>
    <w:rsid w:val="008A67E3"/>
    <w:pPr>
      <w:keepNext/>
      <w:shd w:val="clear" w:color="auto" w:fill="FFFFFF" w:themeFill="background1"/>
      <w:tabs>
        <w:tab w:val="left" w:pos="851"/>
        <w:tab w:val="left" w:pos="1017"/>
      </w:tabs>
      <w:spacing w:before="120" w:after="0"/>
      <w:ind w:left="851" w:hanging="851"/>
    </w:pPr>
    <w:rPr>
      <w:b/>
      <w:iCs/>
      <w:color w:val="1C2B39"/>
      <w:sz w:val="22"/>
      <w:szCs w:val="18"/>
    </w:rPr>
  </w:style>
  <w:style w:type="paragraph" w:styleId="List">
    <w:name w:val="List"/>
    <w:uiPriority w:val="4"/>
    <w:semiHidden/>
    <w:rsid w:val="00880786"/>
    <w:pPr>
      <w:numPr>
        <w:numId w:val="17"/>
      </w:numPr>
      <w:spacing w:line="324" w:lineRule="auto"/>
      <w:ind w:left="567" w:hanging="283"/>
    </w:pPr>
    <w:rPr>
      <w:color w:val="464E52"/>
      <w:sz w:val="18"/>
      <w:szCs w:val="18"/>
    </w:rPr>
  </w:style>
  <w:style w:type="paragraph" w:customStyle="1" w:styleId="PanelHeading">
    <w:name w:val="Panel Heading"/>
    <w:basedOn w:val="Normal"/>
    <w:uiPriority w:val="11"/>
    <w:qFormat/>
    <w:rsid w:val="00915F79"/>
    <w:pPr>
      <w:keepLines/>
      <w:pBdr>
        <w:top w:val="single" w:sz="8" w:space="8" w:color="DD7500"/>
        <w:bottom w:val="single" w:sz="8" w:space="8" w:color="DD7500"/>
      </w:pBdr>
      <w:shd w:val="clear" w:color="auto" w:fill="FFFFFF" w:themeFill="background1"/>
      <w:spacing w:before="60" w:after="60" w:line="240" w:lineRule="atLeast"/>
      <w:ind w:left="198" w:right="215"/>
    </w:pPr>
    <w:rPr>
      <w:rFonts w:asciiTheme="majorHAnsi" w:eastAsia="Times New Roman" w:hAnsiTheme="majorHAnsi" w:cs="Times New Roman"/>
      <w:b/>
      <w:color w:val="DD7500"/>
      <w:sz w:val="28"/>
      <w:szCs w:val="28"/>
      <w:lang w:val="en-US"/>
    </w:rPr>
  </w:style>
  <w:style w:type="paragraph" w:customStyle="1" w:styleId="PanelBody">
    <w:name w:val="Panel Body"/>
    <w:basedOn w:val="Normal"/>
    <w:uiPriority w:val="11"/>
    <w:qFormat/>
    <w:rsid w:val="00915F79"/>
    <w:pPr>
      <w:keepLines/>
      <w:pBdr>
        <w:top w:val="single" w:sz="8" w:space="8" w:color="DD7500"/>
        <w:bottom w:val="single" w:sz="8" w:space="8" w:color="DD7500"/>
      </w:pBdr>
      <w:shd w:val="clear" w:color="auto" w:fill="FFFFFF" w:themeFill="background1"/>
      <w:spacing w:before="120"/>
      <w:ind w:left="198" w:right="215"/>
    </w:pPr>
    <w:rPr>
      <w:rFonts w:eastAsia="Times New Roman" w:cstheme="minorHAnsi"/>
      <w:sz w:val="22"/>
      <w:szCs w:val="22"/>
      <w:lang w:val="en-US"/>
    </w:rPr>
  </w:style>
  <w:style w:type="paragraph" w:customStyle="1" w:styleId="PanelBullet">
    <w:name w:val="Panel Bullet"/>
    <w:uiPriority w:val="11"/>
    <w:qFormat/>
    <w:rsid w:val="00915F79"/>
    <w:pPr>
      <w:keepLines/>
      <w:numPr>
        <w:numId w:val="20"/>
      </w:numPr>
      <w:pBdr>
        <w:top w:val="single" w:sz="8" w:space="8" w:color="DD7500"/>
        <w:bottom w:val="single" w:sz="8" w:space="8" w:color="DD7500"/>
      </w:pBdr>
      <w:shd w:val="clear" w:color="auto" w:fill="FFFFFF" w:themeFill="background1"/>
      <w:spacing w:before="120"/>
      <w:ind w:right="215"/>
      <w:contextualSpacing/>
    </w:pPr>
    <w:rPr>
      <w:rFonts w:eastAsia="Times New Roman" w:cstheme="minorHAnsi"/>
      <w:sz w:val="22"/>
      <w:szCs w:val="22"/>
      <w:lang w:val="en-US"/>
    </w:rPr>
  </w:style>
  <w:style w:type="character" w:customStyle="1" w:styleId="QuoteChar">
    <w:name w:val="Quote Char"/>
    <w:basedOn w:val="DefaultParagraphFont"/>
    <w:link w:val="Quote"/>
    <w:uiPriority w:val="29"/>
    <w:rsid w:val="000E026C"/>
    <w:rPr>
      <w:rFonts w:asciiTheme="majorHAnsi" w:hAnsiTheme="majorHAnsi"/>
      <w:b/>
      <w:bCs/>
      <w:color w:val="DD761C" w:themeColor="accent3"/>
      <w:sz w:val="24"/>
      <w:szCs w:val="24"/>
    </w:rPr>
  </w:style>
  <w:style w:type="table" w:customStyle="1" w:styleId="Clear">
    <w:name w:val="Clear"/>
    <w:basedOn w:val="TableNormal"/>
    <w:uiPriority w:val="99"/>
    <w:rsid w:val="00EE08F2"/>
    <w:pPr>
      <w:spacing w:after="0" w:line="240" w:lineRule="auto"/>
    </w:pPr>
    <w:rPr>
      <w:color w:val="014463" w:themeColor="text2"/>
      <w:szCs w:val="18"/>
    </w:rPr>
    <w:tblPr>
      <w:tblCellMar>
        <w:left w:w="0" w:type="dxa"/>
        <w:right w:w="0" w:type="dxa"/>
      </w:tblCellMar>
    </w:tblPr>
  </w:style>
  <w:style w:type="paragraph" w:styleId="FootnoteText">
    <w:name w:val="footnote text"/>
    <w:basedOn w:val="Normal"/>
    <w:link w:val="FootnoteTextChar"/>
    <w:uiPriority w:val="99"/>
    <w:semiHidden/>
    <w:rsid w:val="007A6FC6"/>
    <w:pPr>
      <w:spacing w:after="0" w:line="240" w:lineRule="auto"/>
    </w:pPr>
  </w:style>
  <w:style w:type="character" w:customStyle="1" w:styleId="FootnoteTextChar">
    <w:name w:val="Footnote Text Char"/>
    <w:basedOn w:val="DefaultParagraphFont"/>
    <w:link w:val="FootnoteText"/>
    <w:uiPriority w:val="99"/>
    <w:semiHidden/>
    <w:rsid w:val="007A6FC6"/>
  </w:style>
  <w:style w:type="character" w:styleId="FootnoteReference">
    <w:name w:val="footnote reference"/>
    <w:basedOn w:val="DefaultParagraphFont"/>
    <w:uiPriority w:val="99"/>
    <w:semiHidden/>
    <w:rsid w:val="007A6FC6"/>
    <w:rPr>
      <w:vertAlign w:val="superscript"/>
    </w:rPr>
  </w:style>
  <w:style w:type="paragraph" w:styleId="Title">
    <w:name w:val="Title"/>
    <w:next w:val="Normal"/>
    <w:link w:val="TitleChar"/>
    <w:qFormat/>
    <w:rsid w:val="009C4B52"/>
    <w:pPr>
      <w:spacing w:before="1080"/>
    </w:pPr>
    <w:rPr>
      <w:rFonts w:asciiTheme="majorHAnsi" w:hAnsiTheme="majorHAnsi"/>
      <w:b/>
      <w:color w:val="2A4055" w:themeColor="accent1"/>
      <w:sz w:val="56"/>
      <w:szCs w:val="56"/>
    </w:rPr>
  </w:style>
  <w:style w:type="character" w:customStyle="1" w:styleId="TitleChar">
    <w:name w:val="Title Char"/>
    <w:basedOn w:val="DefaultParagraphFont"/>
    <w:link w:val="Title"/>
    <w:rsid w:val="009C4B52"/>
    <w:rPr>
      <w:rFonts w:asciiTheme="majorHAnsi" w:hAnsiTheme="majorHAnsi"/>
      <w:b/>
      <w:color w:val="2A4055" w:themeColor="accent1"/>
      <w:sz w:val="56"/>
      <w:szCs w:val="56"/>
    </w:rPr>
  </w:style>
  <w:style w:type="paragraph" w:styleId="Subtitle">
    <w:name w:val="Subtitle"/>
    <w:basedOn w:val="Normal"/>
    <w:next w:val="BodyText"/>
    <w:link w:val="SubtitleChar"/>
    <w:uiPriority w:val="1"/>
    <w:qFormat/>
    <w:rsid w:val="000C29C5"/>
    <w:pPr>
      <w:numPr>
        <w:ilvl w:val="1"/>
      </w:numPr>
      <w:spacing w:before="120" w:after="360"/>
    </w:pPr>
    <w:rPr>
      <w:rFonts w:asciiTheme="majorHAnsi" w:eastAsiaTheme="minorEastAsia" w:hAnsiTheme="majorHAnsi"/>
      <w:color w:val="2A4055" w:themeColor="accent1"/>
      <w:spacing w:val="15"/>
      <w:sz w:val="28"/>
      <w:szCs w:val="22"/>
    </w:rPr>
  </w:style>
  <w:style w:type="character" w:customStyle="1" w:styleId="SubtitleChar">
    <w:name w:val="Subtitle Char"/>
    <w:basedOn w:val="DefaultParagraphFont"/>
    <w:link w:val="Subtitle"/>
    <w:uiPriority w:val="1"/>
    <w:rsid w:val="000C29C5"/>
    <w:rPr>
      <w:rFonts w:asciiTheme="majorHAnsi" w:eastAsiaTheme="minorEastAsia" w:hAnsiTheme="majorHAnsi"/>
      <w:color w:val="2A4055" w:themeColor="accent1"/>
      <w:spacing w:val="15"/>
      <w:sz w:val="28"/>
      <w:szCs w:val="22"/>
    </w:rPr>
  </w:style>
  <w:style w:type="paragraph" w:customStyle="1" w:styleId="SectionNameRev">
    <w:name w:val="Section Name Rev"/>
    <w:basedOn w:val="Normal"/>
    <w:uiPriority w:val="11"/>
    <w:qFormat/>
    <w:rsid w:val="002317BD"/>
    <w:pPr>
      <w:spacing w:after="0" w:line="240" w:lineRule="auto"/>
      <w:jc w:val="right"/>
    </w:pPr>
    <w:rPr>
      <w:rFonts w:asciiTheme="majorHAnsi" w:hAnsiTheme="majorHAnsi"/>
      <w:color w:val="FFFFFF" w:themeColor="background1"/>
    </w:rPr>
  </w:style>
  <w:style w:type="paragraph" w:customStyle="1" w:styleId="SectionName">
    <w:name w:val="Section Name"/>
    <w:basedOn w:val="SectionNameRev"/>
    <w:uiPriority w:val="11"/>
    <w:semiHidden/>
    <w:qFormat/>
    <w:rsid w:val="00281E3E"/>
    <w:rPr>
      <w:color w:val="262626" w:themeColor="text1" w:themeTint="D9"/>
    </w:rPr>
  </w:style>
  <w:style w:type="table" w:styleId="GridTable4">
    <w:name w:val="Grid Table 4"/>
    <w:basedOn w:val="TableNormal"/>
    <w:uiPriority w:val="49"/>
    <w:rsid w:val="007814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otal">
    <w:name w:val="Table Total"/>
    <w:basedOn w:val="Tablebody"/>
    <w:link w:val="TableTotalChar"/>
    <w:uiPriority w:val="11"/>
    <w:qFormat/>
    <w:rsid w:val="00A316E1"/>
    <w:rPr>
      <w:b/>
    </w:rPr>
  </w:style>
  <w:style w:type="character" w:customStyle="1" w:styleId="TablebodyChar">
    <w:name w:val="Table body Char"/>
    <w:basedOn w:val="DefaultParagraphFont"/>
    <w:link w:val="Tablebody"/>
    <w:uiPriority w:val="11"/>
    <w:rsid w:val="00A316E1"/>
  </w:style>
  <w:style w:type="character" w:customStyle="1" w:styleId="TableTotalChar">
    <w:name w:val="Table Total Char"/>
    <w:basedOn w:val="TablebodyChar"/>
    <w:link w:val="TableTotal"/>
    <w:uiPriority w:val="11"/>
    <w:rsid w:val="00A316E1"/>
    <w:rPr>
      <w:b/>
    </w:rPr>
  </w:style>
  <w:style w:type="paragraph" w:customStyle="1" w:styleId="Blockquote">
    <w:name w:val="Blockquote"/>
    <w:basedOn w:val="BodyText"/>
    <w:link w:val="BlockquoteChar"/>
    <w:uiPriority w:val="11"/>
    <w:qFormat/>
    <w:rsid w:val="007C544A"/>
    <w:pPr>
      <w:ind w:left="567"/>
    </w:pPr>
  </w:style>
  <w:style w:type="character" w:customStyle="1" w:styleId="BlockquoteChar">
    <w:name w:val="Blockquote Char"/>
    <w:basedOn w:val="BodyTextChar"/>
    <w:link w:val="Blockquote"/>
    <w:uiPriority w:val="11"/>
    <w:rsid w:val="007C544A"/>
    <w:rPr>
      <w:sz w:val="22"/>
    </w:rPr>
  </w:style>
  <w:style w:type="table" w:styleId="TableGrid">
    <w:name w:val="Table Grid"/>
    <w:basedOn w:val="TableNormal"/>
    <w:uiPriority w:val="39"/>
    <w:rsid w:val="0044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level1">
    <w:name w:val="Bulleted List level 1"/>
    <w:uiPriority w:val="10"/>
    <w:qFormat/>
    <w:rsid w:val="000E026C"/>
    <w:pPr>
      <w:numPr>
        <w:numId w:val="5"/>
      </w:numPr>
      <w:spacing w:before="120" w:after="0"/>
      <w:contextualSpacing/>
    </w:pPr>
    <w:rPr>
      <w:sz w:val="22"/>
    </w:rPr>
  </w:style>
  <w:style w:type="paragraph" w:customStyle="1" w:styleId="BulletedListlevel2">
    <w:name w:val="Bulleted List level 2"/>
    <w:basedOn w:val="BulletedListlevel1"/>
    <w:uiPriority w:val="10"/>
    <w:qFormat/>
    <w:rsid w:val="000E026C"/>
    <w:pPr>
      <w:numPr>
        <w:numId w:val="29"/>
      </w:numPr>
      <w:tabs>
        <w:tab w:val="left" w:pos="993"/>
      </w:tabs>
      <w:spacing w:before="0"/>
      <w:ind w:left="993" w:hanging="284"/>
    </w:pPr>
  </w:style>
  <w:style w:type="paragraph" w:customStyle="1" w:styleId="BulletedListlevel3">
    <w:name w:val="Bulleted List level 3"/>
    <w:basedOn w:val="BulletedListlevel2"/>
    <w:uiPriority w:val="10"/>
    <w:rsid w:val="000E026C"/>
    <w:pPr>
      <w:numPr>
        <w:numId w:val="27"/>
      </w:numPr>
      <w:ind w:left="1418" w:hanging="284"/>
    </w:pPr>
  </w:style>
  <w:style w:type="character" w:styleId="Hyperlink">
    <w:name w:val="Hyperlink"/>
    <w:basedOn w:val="DefaultParagraphFont"/>
    <w:uiPriority w:val="99"/>
    <w:unhideWhenUsed/>
    <w:rsid w:val="00B22001"/>
    <w:rPr>
      <w:color w:val="0289C8" w:themeColor="hyperlink"/>
      <w:u w:val="single"/>
    </w:rPr>
  </w:style>
  <w:style w:type="table" w:customStyle="1" w:styleId="NIAATable-bandedrows1">
    <w:name w:val="NIAA Table - banded rows1"/>
    <w:basedOn w:val="TableNormal"/>
    <w:uiPriority w:val="99"/>
    <w:rsid w:val="002E267F"/>
    <w:pPr>
      <w:spacing w:before="60" w:after="60"/>
    </w:pPr>
    <w:rPr>
      <w:rFonts w:ascii="Calibri" w:hAnsi="Calibri"/>
    </w:rPr>
    <w:tblPr>
      <w:tblStyleRow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paragraph" w:customStyle="1" w:styleId="TableParagraph">
    <w:name w:val="Table Paragraph"/>
    <w:basedOn w:val="Normal"/>
    <w:uiPriority w:val="1"/>
    <w:qFormat/>
    <w:rsid w:val="00DA703B"/>
    <w:pPr>
      <w:widowControl w:val="0"/>
      <w:autoSpaceDE w:val="0"/>
      <w:autoSpaceDN w:val="0"/>
      <w:spacing w:before="144" w:after="0" w:line="240" w:lineRule="auto"/>
      <w:ind w:left="465" w:hanging="361"/>
    </w:pPr>
    <w:rPr>
      <w:rFonts w:ascii="Calibri" w:eastAsia="Calibri" w:hAnsi="Calibri" w:cs="Calibri"/>
      <w:color w:val="auto"/>
      <w:sz w:val="22"/>
      <w:szCs w:val="22"/>
      <w:lang w:val="en-US"/>
    </w:rPr>
  </w:style>
  <w:style w:type="character" w:styleId="UnresolvedMention">
    <w:name w:val="Unresolved Mention"/>
    <w:basedOn w:val="DefaultParagraphFont"/>
    <w:uiPriority w:val="99"/>
    <w:semiHidden/>
    <w:unhideWhenUsed/>
    <w:rsid w:val="00F77FD0"/>
    <w:rPr>
      <w:color w:val="605E5C"/>
      <w:shd w:val="clear" w:color="auto" w:fill="E1DFDD"/>
    </w:rPr>
  </w:style>
  <w:style w:type="character" w:styleId="FollowedHyperlink">
    <w:name w:val="FollowedHyperlink"/>
    <w:basedOn w:val="DefaultParagraphFont"/>
    <w:uiPriority w:val="99"/>
    <w:semiHidden/>
    <w:unhideWhenUsed/>
    <w:rsid w:val="003E760A"/>
    <w:rPr>
      <w:color w:val="0289C8" w:themeColor="followedHyperlink"/>
      <w:u w:val="single"/>
    </w:rPr>
  </w:style>
  <w:style w:type="paragraph" w:styleId="Revision">
    <w:name w:val="Revision"/>
    <w:hidden/>
    <w:uiPriority w:val="99"/>
    <w:semiHidden/>
    <w:rsid w:val="00D60723"/>
    <w:pPr>
      <w:spacing w:after="0" w:line="240" w:lineRule="auto"/>
    </w:pPr>
  </w:style>
  <w:style w:type="character" w:styleId="CommentReference">
    <w:name w:val="annotation reference"/>
    <w:basedOn w:val="DefaultParagraphFont"/>
    <w:uiPriority w:val="99"/>
    <w:semiHidden/>
    <w:unhideWhenUsed/>
    <w:rsid w:val="00F618AF"/>
    <w:rPr>
      <w:sz w:val="16"/>
      <w:szCs w:val="16"/>
    </w:rPr>
  </w:style>
  <w:style w:type="paragraph" w:styleId="CommentText">
    <w:name w:val="annotation text"/>
    <w:basedOn w:val="Normal"/>
    <w:link w:val="CommentTextChar"/>
    <w:uiPriority w:val="99"/>
    <w:unhideWhenUsed/>
    <w:rsid w:val="00F618AF"/>
    <w:pPr>
      <w:spacing w:line="240" w:lineRule="auto"/>
    </w:pPr>
  </w:style>
  <w:style w:type="character" w:customStyle="1" w:styleId="CommentTextChar">
    <w:name w:val="Comment Text Char"/>
    <w:basedOn w:val="DefaultParagraphFont"/>
    <w:link w:val="CommentText"/>
    <w:uiPriority w:val="99"/>
    <w:rsid w:val="00F618AF"/>
  </w:style>
  <w:style w:type="paragraph" w:styleId="CommentSubject">
    <w:name w:val="annotation subject"/>
    <w:basedOn w:val="CommentText"/>
    <w:next w:val="CommentText"/>
    <w:link w:val="CommentSubjectChar"/>
    <w:uiPriority w:val="99"/>
    <w:semiHidden/>
    <w:unhideWhenUsed/>
    <w:rsid w:val="00F618AF"/>
    <w:rPr>
      <w:b/>
      <w:bCs/>
    </w:rPr>
  </w:style>
  <w:style w:type="character" w:customStyle="1" w:styleId="CommentSubjectChar">
    <w:name w:val="Comment Subject Char"/>
    <w:basedOn w:val="CommentTextChar"/>
    <w:link w:val="CommentSubject"/>
    <w:uiPriority w:val="99"/>
    <w:semiHidden/>
    <w:rsid w:val="00F618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622330">
      <w:bodyDiv w:val="1"/>
      <w:marLeft w:val="0"/>
      <w:marRight w:val="0"/>
      <w:marTop w:val="0"/>
      <w:marBottom w:val="0"/>
      <w:divBdr>
        <w:top w:val="none" w:sz="0" w:space="0" w:color="auto"/>
        <w:left w:val="none" w:sz="0" w:space="0" w:color="auto"/>
        <w:bottom w:val="none" w:sz="0" w:space="0" w:color="auto"/>
        <w:right w:val="none" w:sz="0" w:space="0" w:color="auto"/>
      </w:divBdr>
    </w:div>
    <w:div w:id="128680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IAA">
      <a:dk1>
        <a:srgbClr val="000000"/>
      </a:dk1>
      <a:lt1>
        <a:sysClr val="window" lastClr="FFFFFF"/>
      </a:lt1>
      <a:dk2>
        <a:srgbClr val="014463"/>
      </a:dk2>
      <a:lt2>
        <a:srgbClr val="D1D1D1"/>
      </a:lt2>
      <a:accent1>
        <a:srgbClr val="2A4055"/>
      </a:accent1>
      <a:accent2>
        <a:srgbClr val="00948D"/>
      </a:accent2>
      <a:accent3>
        <a:srgbClr val="DD761C"/>
      </a:accent3>
      <a:accent4>
        <a:srgbClr val="B8A284"/>
      </a:accent4>
      <a:accent5>
        <a:srgbClr val="1C2B39"/>
      </a:accent5>
      <a:accent6>
        <a:srgbClr val="D1D1D1"/>
      </a:accent6>
      <a:hlink>
        <a:srgbClr val="0289C8"/>
      </a:hlink>
      <a:folHlink>
        <a:srgbClr val="0289C8"/>
      </a:folHlink>
    </a:clrScheme>
    <a:fontScheme name="Dept PMC">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0" tIns="0" rIns="0" bIns="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s>
</file>

<file path=customXml/item2.xml><?xml version="1.0" encoding="utf-8"?>
<root>
  <Name/>
  <Classification>Choose Classification</Classification>
  <DLM/>
  <SectionName/>
  <DH/>
  <Byline/>
</root>
</file>

<file path=customXml/itemProps1.xml><?xml version="1.0" encoding="utf-8"?>
<ds:datastoreItem xmlns:ds="http://schemas.openxmlformats.org/officeDocument/2006/customXml" ds:itemID="{794B36FC-BAEA-495F-92F5-76FD47A6B2CA}">
  <ds:schemaRefs>
    <ds:schemaRef ds:uri="http://schemas.openxmlformats.org/officeDocument/2006/bibliography"/>
  </ds:schemaRefs>
</ds:datastoreItem>
</file>

<file path=customXml/itemProps2.xml><?xml version="1.0" encoding="utf-8"?>
<ds:datastoreItem xmlns:ds="http://schemas.openxmlformats.org/officeDocument/2006/customXml" ds:itemID="{F533AE62-A212-4B26-92DA-A3B336E8AE06}">
  <ds:schemaRefs/>
</ds:datastoreItem>
</file>

<file path=docMetadata/LabelInfo.xml><?xml version="1.0" encoding="utf-8"?>
<clbl:labelList xmlns:clbl="http://schemas.microsoft.com/office/2020/mipLabelMetadata">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12183</CharactersWithSpaces>
  <SharedDoc>false</SharedDoc>
  <HLinks>
    <vt:vector size="6" baseType="variant">
      <vt:variant>
        <vt:i4>7667794</vt:i4>
      </vt:variant>
      <vt:variant>
        <vt:i4>0</vt:i4>
      </vt:variant>
      <vt:variant>
        <vt:i4>0</vt:i4>
      </vt:variant>
      <vt:variant>
        <vt:i4>5</vt:i4>
      </vt:variant>
      <vt:variant>
        <vt:lpwstr/>
      </vt:variant>
      <vt:variant>
        <vt:lpwstr>_Attachment_A_–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MILANJA</dc:creator>
  <cp:keywords/>
  <dc:description/>
  <cp:lastModifiedBy>Jelena MILANJA</cp:lastModifiedBy>
  <cp:revision>2</cp:revision>
  <dcterms:created xsi:type="dcterms:W3CDTF">2026-09-02T04:11:00Z</dcterms:created>
  <dcterms:modified xsi:type="dcterms:W3CDTF">2026-09-02T04:11:00Z</dcterms:modified>
</cp:coreProperties>
</file>