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7EEE" w:rsidRPr="001523C1" w:rsidRDefault="0094347E" w:rsidP="00D114D3">
      <w:pPr>
        <w:jc w:val="center"/>
        <w:rPr>
          <w:rFonts w:ascii="Times New Roman" w:hAnsi="Times New Roman" w:cs="Times New Roman"/>
          <w:b/>
        </w:rPr>
      </w:pPr>
      <w:r>
        <w:rPr>
          <w:rFonts w:ascii="Times New Roman" w:hAnsi="Times New Roman" w:cs="Times New Roman"/>
          <w:b/>
        </w:rPr>
        <w:t xml:space="preserve">CORPORATIONS (ABORIGINAL and TORRES STRAIT ISLANDER) </w:t>
      </w:r>
      <w:r w:rsidR="00AF1030" w:rsidRPr="001523C1">
        <w:rPr>
          <w:rFonts w:ascii="Times New Roman" w:hAnsi="Times New Roman" w:cs="Times New Roman"/>
          <w:b/>
        </w:rPr>
        <w:t xml:space="preserve">ACT </w:t>
      </w:r>
      <w:r>
        <w:rPr>
          <w:rFonts w:ascii="Times New Roman" w:hAnsi="Times New Roman" w:cs="Times New Roman"/>
          <w:b/>
        </w:rPr>
        <w:t xml:space="preserve">2006 </w:t>
      </w:r>
      <w:r w:rsidR="003C67E2">
        <w:rPr>
          <w:rFonts w:ascii="Times New Roman" w:hAnsi="Times New Roman" w:cs="Times New Roman"/>
          <w:b/>
        </w:rPr>
        <w:t xml:space="preserve">PROPOSED </w:t>
      </w:r>
      <w:r>
        <w:rPr>
          <w:rFonts w:ascii="Times New Roman" w:hAnsi="Times New Roman" w:cs="Times New Roman"/>
          <w:b/>
        </w:rPr>
        <w:t>REVIEW</w:t>
      </w:r>
    </w:p>
    <w:p w:rsidR="00AF1030" w:rsidRPr="001523C1" w:rsidRDefault="00AF1030" w:rsidP="00474A59">
      <w:pPr>
        <w:rPr>
          <w:rFonts w:ascii="Times New Roman" w:hAnsi="Times New Roman" w:cs="Times New Roman"/>
          <w:b/>
        </w:rPr>
      </w:pPr>
    </w:p>
    <w:p w:rsidR="00AF1030" w:rsidRPr="001523C1" w:rsidRDefault="00AF1030" w:rsidP="000118AC">
      <w:pPr>
        <w:jc w:val="center"/>
        <w:rPr>
          <w:rFonts w:ascii="Times New Roman" w:hAnsi="Times New Roman" w:cs="Times New Roman"/>
          <w:b/>
        </w:rPr>
      </w:pPr>
      <w:r w:rsidRPr="001523C1">
        <w:rPr>
          <w:rFonts w:ascii="Times New Roman" w:hAnsi="Times New Roman" w:cs="Times New Roman"/>
          <w:b/>
        </w:rPr>
        <w:t>RESOLUTION OF INTERNAL DISPUTES WITHIN PBCs</w:t>
      </w:r>
    </w:p>
    <w:p w:rsidR="00235432" w:rsidRPr="001523C1" w:rsidRDefault="00235432" w:rsidP="00474A59">
      <w:pPr>
        <w:rPr>
          <w:rFonts w:ascii="Times New Roman" w:hAnsi="Times New Roman" w:cs="Times New Roman"/>
        </w:rPr>
      </w:pPr>
    </w:p>
    <w:p w:rsidR="00AF1030" w:rsidRPr="001523C1" w:rsidRDefault="00AF1030" w:rsidP="00474A59">
      <w:pPr>
        <w:rPr>
          <w:rFonts w:ascii="Times New Roman" w:hAnsi="Times New Roman" w:cs="Times New Roman"/>
          <w:b/>
        </w:rPr>
      </w:pPr>
      <w:r w:rsidRPr="001523C1">
        <w:rPr>
          <w:rFonts w:ascii="Times New Roman" w:hAnsi="Times New Roman" w:cs="Times New Roman"/>
          <w:b/>
        </w:rPr>
        <w:t>I</w:t>
      </w:r>
      <w:r w:rsidR="0094347E">
        <w:rPr>
          <w:rFonts w:ascii="Times New Roman" w:hAnsi="Times New Roman" w:cs="Times New Roman"/>
          <w:b/>
        </w:rPr>
        <w:t>NTRODUCTION</w:t>
      </w:r>
    </w:p>
    <w:p w:rsidR="00AF1030" w:rsidRPr="001523C1" w:rsidRDefault="00AF1030" w:rsidP="00474A59">
      <w:pPr>
        <w:rPr>
          <w:rFonts w:ascii="Times New Roman" w:hAnsi="Times New Roman" w:cs="Times New Roman"/>
          <w:b/>
        </w:rPr>
      </w:pPr>
    </w:p>
    <w:p w:rsidR="003C67E2" w:rsidRDefault="00CC471F" w:rsidP="002569CC">
      <w:pPr>
        <w:spacing w:line="360" w:lineRule="auto"/>
        <w:jc w:val="both"/>
        <w:rPr>
          <w:rFonts w:ascii="Times New Roman" w:hAnsi="Times New Roman" w:cs="Times New Roman"/>
        </w:rPr>
      </w:pPr>
      <w:r w:rsidRPr="001523C1">
        <w:rPr>
          <w:rFonts w:ascii="Times New Roman" w:hAnsi="Times New Roman" w:cs="Times New Roman"/>
        </w:rPr>
        <w:t xml:space="preserve">Whilst the Tribunal has views as to many aspects of the proposed review we consider that, in general, the Registrar of Aboriginal and Torres Strait Islander Corporations (the “Registrar”) is in the best position to identify shortcomings and possible remedies.  We propose to address only one aspect, namely the resolution of disputes within prescribed bodies </w:t>
      </w:r>
      <w:r w:rsidR="00220F5E">
        <w:rPr>
          <w:rFonts w:ascii="Times New Roman" w:hAnsi="Times New Roman" w:cs="Times New Roman"/>
        </w:rPr>
        <w:t>corporate</w:t>
      </w:r>
      <w:r w:rsidR="00220F5E" w:rsidRPr="001523C1">
        <w:rPr>
          <w:rFonts w:ascii="Times New Roman" w:hAnsi="Times New Roman" w:cs="Times New Roman"/>
        </w:rPr>
        <w:t xml:space="preserve"> </w:t>
      </w:r>
      <w:r w:rsidRPr="001523C1">
        <w:rPr>
          <w:rFonts w:ascii="Times New Roman" w:hAnsi="Times New Roman" w:cs="Times New Roman"/>
        </w:rPr>
        <w:t>(“PBCs”</w:t>
      </w:r>
      <w:r w:rsidR="001C25DB" w:rsidRPr="001523C1">
        <w:rPr>
          <w:rFonts w:ascii="Times New Roman" w:hAnsi="Times New Roman" w:cs="Times New Roman"/>
        </w:rPr>
        <w:t xml:space="preserve">), particularly disputes concerning membership and the election/appointment of directors.  </w:t>
      </w:r>
    </w:p>
    <w:p w:rsidR="003C67E2" w:rsidRDefault="003C67E2" w:rsidP="002569CC">
      <w:pPr>
        <w:spacing w:line="360" w:lineRule="auto"/>
        <w:jc w:val="both"/>
        <w:rPr>
          <w:rFonts w:ascii="Times New Roman" w:hAnsi="Times New Roman" w:cs="Times New Roman"/>
        </w:rPr>
      </w:pPr>
    </w:p>
    <w:p w:rsidR="000504BE" w:rsidRPr="001523C1" w:rsidRDefault="001C25DB" w:rsidP="002569CC">
      <w:pPr>
        <w:spacing w:line="360" w:lineRule="auto"/>
        <w:jc w:val="both"/>
        <w:rPr>
          <w:rFonts w:ascii="Times New Roman" w:hAnsi="Times New Roman" w:cs="Times New Roman"/>
        </w:rPr>
      </w:pPr>
      <w:r w:rsidRPr="001523C1">
        <w:rPr>
          <w:rFonts w:ascii="Times New Roman" w:hAnsi="Times New Roman" w:cs="Times New Roman"/>
        </w:rPr>
        <w:t>We have chosen to make submissions concerning that matter for two reasons.</w:t>
      </w:r>
      <w:r w:rsidR="003C67E2">
        <w:rPr>
          <w:rFonts w:ascii="Times New Roman" w:hAnsi="Times New Roman" w:cs="Times New Roman"/>
        </w:rPr>
        <w:t xml:space="preserve">  </w:t>
      </w:r>
      <w:r w:rsidR="000504BE" w:rsidRPr="001523C1">
        <w:rPr>
          <w:rFonts w:ascii="Times New Roman" w:hAnsi="Times New Roman" w:cs="Times New Roman"/>
        </w:rPr>
        <w:t>First, we frequently re</w:t>
      </w:r>
      <w:r w:rsidR="00241139">
        <w:rPr>
          <w:rFonts w:ascii="Times New Roman" w:hAnsi="Times New Roman" w:cs="Times New Roman"/>
        </w:rPr>
        <w:t>ceive</w:t>
      </w:r>
      <w:r w:rsidR="000504BE" w:rsidRPr="001523C1">
        <w:rPr>
          <w:rFonts w:ascii="Times New Roman" w:hAnsi="Times New Roman" w:cs="Times New Roman"/>
        </w:rPr>
        <w:t xml:space="preserve"> inquiries and req</w:t>
      </w:r>
      <w:r w:rsidR="00C763C2">
        <w:rPr>
          <w:rFonts w:ascii="Times New Roman" w:hAnsi="Times New Roman" w:cs="Times New Roman"/>
        </w:rPr>
        <w:t xml:space="preserve">uests for advice and assistance concerning it, </w:t>
      </w:r>
      <w:r w:rsidR="000504BE" w:rsidRPr="001523C1">
        <w:rPr>
          <w:rFonts w:ascii="Times New Roman" w:hAnsi="Times New Roman" w:cs="Times New Roman"/>
        </w:rPr>
        <w:t>from PBC members or per</w:t>
      </w:r>
      <w:r w:rsidR="00241139">
        <w:rPr>
          <w:rFonts w:ascii="Times New Roman" w:hAnsi="Times New Roman" w:cs="Times New Roman"/>
        </w:rPr>
        <w:t xml:space="preserve">sons who seek to become members.  </w:t>
      </w:r>
      <w:r w:rsidR="000504BE" w:rsidRPr="001523C1">
        <w:rPr>
          <w:rFonts w:ascii="Times New Roman" w:hAnsi="Times New Roman" w:cs="Times New Roman"/>
        </w:rPr>
        <w:t xml:space="preserve">Secondly, the proposed amendments to the </w:t>
      </w:r>
      <w:r w:rsidR="000504BE" w:rsidRPr="001523C1">
        <w:rPr>
          <w:rFonts w:ascii="Times New Roman" w:hAnsi="Times New Roman" w:cs="Times New Roman"/>
          <w:i/>
        </w:rPr>
        <w:t>Native Title Act 1993</w:t>
      </w:r>
      <w:r w:rsidR="000504BE" w:rsidRPr="001523C1">
        <w:rPr>
          <w:rFonts w:ascii="Times New Roman" w:hAnsi="Times New Roman" w:cs="Times New Roman"/>
        </w:rPr>
        <w:t xml:space="preserve"> (Cth) (the “Native Title Act”) </w:t>
      </w:r>
      <w:r w:rsidR="00802043">
        <w:rPr>
          <w:rFonts w:ascii="Times New Roman" w:hAnsi="Times New Roman" w:cs="Times New Roman"/>
        </w:rPr>
        <w:t xml:space="preserve">contemplate </w:t>
      </w:r>
      <w:r w:rsidR="000504BE" w:rsidRPr="001523C1">
        <w:rPr>
          <w:rFonts w:ascii="Times New Roman" w:hAnsi="Times New Roman" w:cs="Times New Roman"/>
        </w:rPr>
        <w:t>an expanded mediation role for the Tribunal in connection with disputes with</w:t>
      </w:r>
      <w:r w:rsidR="00241139">
        <w:rPr>
          <w:rFonts w:ascii="Times New Roman" w:hAnsi="Times New Roman" w:cs="Times New Roman"/>
        </w:rPr>
        <w:t>in</w:t>
      </w:r>
      <w:r w:rsidR="000504BE" w:rsidRPr="001523C1">
        <w:rPr>
          <w:rFonts w:ascii="Times New Roman" w:hAnsi="Times New Roman" w:cs="Times New Roman"/>
        </w:rPr>
        <w:t xml:space="preserve"> PBCs.  Our primary submission is that there </w:t>
      </w:r>
      <w:r w:rsidR="00241139">
        <w:rPr>
          <w:rFonts w:ascii="Times New Roman" w:hAnsi="Times New Roman" w:cs="Times New Roman"/>
        </w:rPr>
        <w:t>may be</w:t>
      </w:r>
      <w:r w:rsidR="000504BE" w:rsidRPr="001523C1">
        <w:rPr>
          <w:rFonts w:ascii="Times New Roman" w:hAnsi="Times New Roman" w:cs="Times New Roman"/>
        </w:rPr>
        <w:t xml:space="preserve"> </w:t>
      </w:r>
      <w:r w:rsidR="00F24F35">
        <w:rPr>
          <w:rFonts w:ascii="Times New Roman" w:hAnsi="Times New Roman" w:cs="Times New Roman"/>
        </w:rPr>
        <w:t xml:space="preserve">advantage in </w:t>
      </w:r>
      <w:r w:rsidR="000504BE" w:rsidRPr="001523C1">
        <w:rPr>
          <w:rFonts w:ascii="Times New Roman" w:hAnsi="Times New Roman" w:cs="Times New Roman"/>
        </w:rPr>
        <w:t>combining the Tribunal’s mediation role with an arbitral role, to be engaged whe</w:t>
      </w:r>
      <w:r w:rsidR="0034009F">
        <w:rPr>
          <w:rFonts w:ascii="Times New Roman" w:hAnsi="Times New Roman" w:cs="Times New Roman"/>
        </w:rPr>
        <w:t>re</w:t>
      </w:r>
      <w:r w:rsidR="000504BE" w:rsidRPr="001523C1">
        <w:rPr>
          <w:rFonts w:ascii="Times New Roman" w:hAnsi="Times New Roman" w:cs="Times New Roman"/>
        </w:rPr>
        <w:t xml:space="preserve"> mediation has been unsuccessful.</w:t>
      </w:r>
    </w:p>
    <w:p w:rsidR="001523C1" w:rsidRDefault="001523C1" w:rsidP="002569CC">
      <w:pPr>
        <w:spacing w:line="360" w:lineRule="auto"/>
        <w:jc w:val="both"/>
        <w:rPr>
          <w:rFonts w:ascii="Times New Roman" w:hAnsi="Times New Roman" w:cs="Times New Roman"/>
          <w:b/>
        </w:rPr>
      </w:pPr>
    </w:p>
    <w:p w:rsidR="000504BE" w:rsidRPr="001523C1" w:rsidRDefault="008F5608" w:rsidP="002569CC">
      <w:pPr>
        <w:spacing w:line="360" w:lineRule="auto"/>
        <w:jc w:val="both"/>
        <w:rPr>
          <w:rFonts w:ascii="Times New Roman" w:hAnsi="Times New Roman" w:cs="Times New Roman"/>
          <w:b/>
        </w:rPr>
      </w:pPr>
      <w:r>
        <w:rPr>
          <w:rFonts w:ascii="Times New Roman" w:hAnsi="Times New Roman" w:cs="Times New Roman"/>
          <w:b/>
        </w:rPr>
        <w:t xml:space="preserve">ROLE OF THE </w:t>
      </w:r>
      <w:r w:rsidR="000504BE" w:rsidRPr="001523C1">
        <w:rPr>
          <w:rFonts w:ascii="Times New Roman" w:hAnsi="Times New Roman" w:cs="Times New Roman"/>
          <w:b/>
        </w:rPr>
        <w:t>PBC</w:t>
      </w:r>
    </w:p>
    <w:p w:rsidR="00C90D5E" w:rsidRPr="001523C1" w:rsidRDefault="00CB7009" w:rsidP="002569CC">
      <w:pPr>
        <w:spacing w:line="360" w:lineRule="auto"/>
        <w:jc w:val="both"/>
        <w:rPr>
          <w:rFonts w:ascii="Times New Roman" w:hAnsi="Times New Roman" w:cs="Times New Roman"/>
        </w:rPr>
      </w:pPr>
      <w:r w:rsidRPr="001523C1">
        <w:rPr>
          <w:rFonts w:ascii="Times New Roman" w:hAnsi="Times New Roman" w:cs="Times New Roman"/>
        </w:rPr>
        <w:t>The primary</w:t>
      </w:r>
      <w:r w:rsidR="0028025C">
        <w:rPr>
          <w:rFonts w:ascii="Times New Roman" w:hAnsi="Times New Roman" w:cs="Times New Roman"/>
        </w:rPr>
        <w:t>,</w:t>
      </w:r>
      <w:r w:rsidRPr="001523C1">
        <w:rPr>
          <w:rFonts w:ascii="Times New Roman" w:hAnsi="Times New Roman" w:cs="Times New Roman"/>
        </w:rPr>
        <w:t xml:space="preserve"> </w:t>
      </w:r>
      <w:r w:rsidR="00802043">
        <w:rPr>
          <w:rFonts w:ascii="Times New Roman" w:hAnsi="Times New Roman" w:cs="Times New Roman"/>
        </w:rPr>
        <w:t xml:space="preserve">relevant </w:t>
      </w:r>
      <w:r w:rsidRPr="001523C1">
        <w:rPr>
          <w:rFonts w:ascii="Times New Roman" w:hAnsi="Times New Roman" w:cs="Times New Roman"/>
        </w:rPr>
        <w:t xml:space="preserve">role of the PBC is to hold native title on trust for the common law holders.  </w:t>
      </w:r>
      <w:r w:rsidR="00C90D5E" w:rsidRPr="001523C1">
        <w:rPr>
          <w:rFonts w:ascii="Times New Roman" w:hAnsi="Times New Roman" w:cs="Times New Roman"/>
        </w:rPr>
        <w:t>It is not necessary, for present purposes, that we deal separately with PBCs which hold native title as agents.</w:t>
      </w:r>
      <w:r w:rsidR="00F279C9">
        <w:rPr>
          <w:rFonts w:ascii="Times New Roman" w:hAnsi="Times New Roman" w:cs="Times New Roman"/>
        </w:rPr>
        <w:t xml:space="preserve">  </w:t>
      </w:r>
      <w:r w:rsidR="00077B74" w:rsidRPr="001523C1">
        <w:rPr>
          <w:rFonts w:ascii="Times New Roman" w:hAnsi="Times New Roman" w:cs="Times New Roman"/>
        </w:rPr>
        <w:t>The extent of the</w:t>
      </w:r>
      <w:r w:rsidR="0034009F">
        <w:rPr>
          <w:rFonts w:ascii="Times New Roman" w:hAnsi="Times New Roman" w:cs="Times New Roman"/>
        </w:rPr>
        <w:t xml:space="preserve"> PBC</w:t>
      </w:r>
      <w:r w:rsidR="00077B74" w:rsidRPr="001523C1">
        <w:rPr>
          <w:rFonts w:ascii="Times New Roman" w:hAnsi="Times New Roman" w:cs="Times New Roman"/>
        </w:rPr>
        <w:t xml:space="preserve"> trustee’s role has not been widely explored.  </w:t>
      </w:r>
      <w:r w:rsidR="00C763C2">
        <w:rPr>
          <w:rFonts w:ascii="Times New Roman" w:hAnsi="Times New Roman" w:cs="Times New Roman"/>
        </w:rPr>
        <w:t>For example, l</w:t>
      </w:r>
      <w:r w:rsidR="00077B74" w:rsidRPr="001523C1">
        <w:rPr>
          <w:rFonts w:ascii="Times New Roman" w:hAnsi="Times New Roman" w:cs="Times New Roman"/>
        </w:rPr>
        <w:t xml:space="preserve">ittle consideration seems to have been given to the effect upon </w:t>
      </w:r>
      <w:r w:rsidR="00C763C2">
        <w:rPr>
          <w:rFonts w:ascii="Times New Roman" w:hAnsi="Times New Roman" w:cs="Times New Roman"/>
        </w:rPr>
        <w:t xml:space="preserve">a </w:t>
      </w:r>
      <w:r w:rsidR="00077B74" w:rsidRPr="001523C1">
        <w:rPr>
          <w:rFonts w:ascii="Times New Roman" w:hAnsi="Times New Roman" w:cs="Times New Roman"/>
        </w:rPr>
        <w:t>pre-determination agreement</w:t>
      </w:r>
      <w:r w:rsidR="0034009F">
        <w:rPr>
          <w:rFonts w:ascii="Times New Roman" w:hAnsi="Times New Roman" w:cs="Times New Roman"/>
        </w:rPr>
        <w:t>,</w:t>
      </w:r>
      <w:r w:rsidR="00077B74" w:rsidRPr="001523C1">
        <w:rPr>
          <w:rFonts w:ascii="Times New Roman" w:hAnsi="Times New Roman" w:cs="Times New Roman"/>
        </w:rPr>
        <w:t xml:space="preserve"> of a subsequent native title determination, </w:t>
      </w:r>
      <w:r w:rsidR="00F279C9">
        <w:rPr>
          <w:rFonts w:ascii="Times New Roman" w:hAnsi="Times New Roman" w:cs="Times New Roman"/>
        </w:rPr>
        <w:t xml:space="preserve">with </w:t>
      </w:r>
      <w:r w:rsidR="00077B74" w:rsidRPr="001523C1">
        <w:rPr>
          <w:rFonts w:ascii="Times New Roman" w:hAnsi="Times New Roman" w:cs="Times New Roman"/>
        </w:rPr>
        <w:t xml:space="preserve">the </w:t>
      </w:r>
      <w:r w:rsidR="00F279C9">
        <w:rPr>
          <w:rFonts w:ascii="Times New Roman" w:hAnsi="Times New Roman" w:cs="Times New Roman"/>
        </w:rPr>
        <w:t xml:space="preserve">associated </w:t>
      </w:r>
      <w:r w:rsidR="00077B74" w:rsidRPr="001523C1">
        <w:rPr>
          <w:rFonts w:ascii="Times New Roman" w:hAnsi="Times New Roman" w:cs="Times New Roman"/>
        </w:rPr>
        <w:t>appointment of a PBC as trustee for the common law holders.  It may be accepted that the role of the PBC is to protect the proprietary and other rights of the common law holders</w:t>
      </w:r>
      <w:r w:rsidR="00E819EB">
        <w:rPr>
          <w:rFonts w:ascii="Times New Roman" w:hAnsi="Times New Roman" w:cs="Times New Roman"/>
        </w:rPr>
        <w:t xml:space="preserve">.  </w:t>
      </w:r>
      <w:r w:rsidR="00802043">
        <w:rPr>
          <w:rFonts w:ascii="Times New Roman" w:hAnsi="Times New Roman" w:cs="Times New Roman"/>
        </w:rPr>
        <w:t>Presumably, t</w:t>
      </w:r>
      <w:r w:rsidR="00DC14A1" w:rsidRPr="001523C1">
        <w:rPr>
          <w:rFonts w:ascii="Times New Roman" w:hAnsi="Times New Roman" w:cs="Times New Roman"/>
        </w:rPr>
        <w:t xml:space="preserve">he PBC has the duties and powers which necessarily accompany the appointment as trustee. </w:t>
      </w:r>
      <w:r w:rsidR="0034009F">
        <w:rPr>
          <w:rFonts w:ascii="Times New Roman" w:hAnsi="Times New Roman" w:cs="Times New Roman"/>
        </w:rPr>
        <w:t xml:space="preserve"> </w:t>
      </w:r>
      <w:r w:rsidR="00DC14A1" w:rsidRPr="001523C1">
        <w:rPr>
          <w:rFonts w:ascii="Times New Roman" w:hAnsi="Times New Roman" w:cs="Times New Roman"/>
        </w:rPr>
        <w:t xml:space="preserve">Its </w:t>
      </w:r>
      <w:r w:rsidR="005248BB">
        <w:rPr>
          <w:rFonts w:ascii="Times New Roman" w:hAnsi="Times New Roman" w:cs="Times New Roman"/>
        </w:rPr>
        <w:t xml:space="preserve">structure </w:t>
      </w:r>
      <w:r w:rsidR="0034009F">
        <w:rPr>
          <w:rFonts w:ascii="Times New Roman" w:hAnsi="Times New Roman" w:cs="Times New Roman"/>
        </w:rPr>
        <w:t xml:space="preserve">should not </w:t>
      </w:r>
      <w:r w:rsidR="00DC14A1" w:rsidRPr="001523C1">
        <w:rPr>
          <w:rFonts w:ascii="Times New Roman" w:hAnsi="Times New Roman" w:cs="Times New Roman"/>
        </w:rPr>
        <w:t xml:space="preserve">be inconsistent with the imposition of those duties and the grant of those powers.  </w:t>
      </w:r>
    </w:p>
    <w:p w:rsidR="00DC14A1" w:rsidRPr="001523C1" w:rsidRDefault="00DC14A1" w:rsidP="002569CC">
      <w:pPr>
        <w:spacing w:line="360" w:lineRule="auto"/>
        <w:jc w:val="both"/>
        <w:rPr>
          <w:rFonts w:ascii="Times New Roman" w:hAnsi="Times New Roman" w:cs="Times New Roman"/>
        </w:rPr>
      </w:pPr>
    </w:p>
    <w:p w:rsidR="00DC14A1" w:rsidRPr="001523C1" w:rsidRDefault="00DC14A1" w:rsidP="002569CC">
      <w:pPr>
        <w:spacing w:line="360" w:lineRule="auto"/>
        <w:jc w:val="both"/>
        <w:rPr>
          <w:rFonts w:ascii="Times New Roman" w:hAnsi="Times New Roman" w:cs="Times New Roman"/>
        </w:rPr>
      </w:pPr>
      <w:r w:rsidRPr="001523C1">
        <w:rPr>
          <w:rFonts w:ascii="Times New Roman" w:hAnsi="Times New Roman" w:cs="Times New Roman"/>
        </w:rPr>
        <w:t xml:space="preserve">We suggest </w:t>
      </w:r>
      <w:r w:rsidR="00115A1D" w:rsidRPr="001523C1">
        <w:rPr>
          <w:rFonts w:ascii="Times New Roman" w:hAnsi="Times New Roman" w:cs="Times New Roman"/>
        </w:rPr>
        <w:t xml:space="preserve">that </w:t>
      </w:r>
      <w:r w:rsidR="00AC2C6A">
        <w:rPr>
          <w:rFonts w:ascii="Times New Roman" w:hAnsi="Times New Roman" w:cs="Times New Roman"/>
        </w:rPr>
        <w:t xml:space="preserve">the </w:t>
      </w:r>
      <w:r w:rsidR="00115A1D" w:rsidRPr="001523C1">
        <w:rPr>
          <w:rFonts w:ascii="Times New Roman" w:hAnsi="Times New Roman" w:cs="Times New Roman"/>
        </w:rPr>
        <w:t xml:space="preserve">structure </w:t>
      </w:r>
      <w:r w:rsidR="00AC2C6A">
        <w:rPr>
          <w:rFonts w:ascii="Times New Roman" w:hAnsi="Times New Roman" w:cs="Times New Roman"/>
        </w:rPr>
        <w:t xml:space="preserve">of a PBC </w:t>
      </w:r>
      <w:r w:rsidR="00115A1D" w:rsidRPr="001523C1">
        <w:rPr>
          <w:rFonts w:ascii="Times New Roman" w:hAnsi="Times New Roman" w:cs="Times New Roman"/>
        </w:rPr>
        <w:t>must, in one way or another, entitle</w:t>
      </w:r>
      <w:r w:rsidR="00C763C2">
        <w:rPr>
          <w:rFonts w:ascii="Times New Roman" w:hAnsi="Times New Roman" w:cs="Times New Roman"/>
        </w:rPr>
        <w:t xml:space="preserve"> all common law holders</w:t>
      </w:r>
      <w:r w:rsidR="00115A1D" w:rsidRPr="001523C1">
        <w:rPr>
          <w:rFonts w:ascii="Times New Roman" w:hAnsi="Times New Roman" w:cs="Times New Roman"/>
        </w:rPr>
        <w:t>:</w:t>
      </w:r>
    </w:p>
    <w:p w:rsidR="00115A1D" w:rsidRPr="001523C1" w:rsidRDefault="00115A1D" w:rsidP="002569CC">
      <w:pPr>
        <w:pStyle w:val="ListParagraph"/>
        <w:numPr>
          <w:ilvl w:val="0"/>
          <w:numId w:val="2"/>
        </w:numPr>
        <w:spacing w:line="360" w:lineRule="auto"/>
        <w:jc w:val="both"/>
        <w:rPr>
          <w:rFonts w:ascii="Times New Roman" w:hAnsi="Times New Roman" w:cs="Times New Roman"/>
        </w:rPr>
      </w:pPr>
      <w:r w:rsidRPr="001523C1">
        <w:rPr>
          <w:rFonts w:ascii="Times New Roman" w:hAnsi="Times New Roman" w:cs="Times New Roman"/>
        </w:rPr>
        <w:t>to membership</w:t>
      </w:r>
      <w:r w:rsidR="00AC2C6A">
        <w:rPr>
          <w:rFonts w:ascii="Times New Roman" w:hAnsi="Times New Roman" w:cs="Times New Roman"/>
        </w:rPr>
        <w:t xml:space="preserve">, </w:t>
      </w:r>
      <w:r w:rsidRPr="001523C1">
        <w:rPr>
          <w:rFonts w:ascii="Times New Roman" w:hAnsi="Times New Roman" w:cs="Times New Roman"/>
        </w:rPr>
        <w:t>directly or indirectly;</w:t>
      </w:r>
      <w:r w:rsidR="005248BB">
        <w:rPr>
          <w:rFonts w:ascii="Times New Roman" w:hAnsi="Times New Roman" w:cs="Times New Roman"/>
        </w:rPr>
        <w:t xml:space="preserve"> and</w:t>
      </w:r>
    </w:p>
    <w:p w:rsidR="00115A1D" w:rsidRPr="001523C1" w:rsidRDefault="00115A1D" w:rsidP="002569CC">
      <w:pPr>
        <w:pStyle w:val="ListParagraph"/>
        <w:numPr>
          <w:ilvl w:val="0"/>
          <w:numId w:val="2"/>
        </w:numPr>
        <w:spacing w:line="360" w:lineRule="auto"/>
        <w:jc w:val="both"/>
        <w:rPr>
          <w:rFonts w:ascii="Times New Roman" w:hAnsi="Times New Roman" w:cs="Times New Roman"/>
        </w:rPr>
      </w:pPr>
      <w:r w:rsidRPr="001523C1">
        <w:rPr>
          <w:rFonts w:ascii="Times New Roman" w:hAnsi="Times New Roman" w:cs="Times New Roman"/>
        </w:rPr>
        <w:t>to participate, directly or indirectl</w:t>
      </w:r>
      <w:r w:rsidR="002B3BA9">
        <w:rPr>
          <w:rFonts w:ascii="Times New Roman" w:hAnsi="Times New Roman" w:cs="Times New Roman"/>
        </w:rPr>
        <w:t xml:space="preserve">y, </w:t>
      </w:r>
      <w:r w:rsidRPr="001523C1">
        <w:rPr>
          <w:rFonts w:ascii="Times New Roman" w:hAnsi="Times New Roman" w:cs="Times New Roman"/>
        </w:rPr>
        <w:t>in the election or appointment of directors, including the entitlement to seek such ele</w:t>
      </w:r>
      <w:r w:rsidR="002B3BA9">
        <w:rPr>
          <w:rFonts w:ascii="Times New Roman" w:hAnsi="Times New Roman" w:cs="Times New Roman"/>
        </w:rPr>
        <w:t>ction</w:t>
      </w:r>
      <w:r w:rsidRPr="001523C1">
        <w:rPr>
          <w:rFonts w:ascii="Times New Roman" w:hAnsi="Times New Roman" w:cs="Times New Roman"/>
        </w:rPr>
        <w:t xml:space="preserve"> or appointment.</w:t>
      </w:r>
    </w:p>
    <w:p w:rsidR="001523C1" w:rsidRDefault="001523C1" w:rsidP="002569CC">
      <w:pPr>
        <w:spacing w:line="360" w:lineRule="auto"/>
        <w:jc w:val="both"/>
        <w:rPr>
          <w:rFonts w:ascii="Times New Roman" w:hAnsi="Times New Roman" w:cs="Times New Roman"/>
        </w:rPr>
      </w:pPr>
    </w:p>
    <w:p w:rsidR="00585ADF" w:rsidRPr="009A2C2A" w:rsidRDefault="00115A1D" w:rsidP="00A54205">
      <w:pPr>
        <w:spacing w:line="360" w:lineRule="auto"/>
        <w:jc w:val="both"/>
        <w:rPr>
          <w:b/>
        </w:rPr>
      </w:pPr>
      <w:r w:rsidRPr="001523C1">
        <w:rPr>
          <w:rFonts w:ascii="Times New Roman" w:hAnsi="Times New Roman" w:cs="Times New Roman"/>
        </w:rPr>
        <w:t xml:space="preserve">Disagreement about </w:t>
      </w:r>
      <w:r w:rsidR="00F50C78">
        <w:rPr>
          <w:rFonts w:ascii="Times New Roman" w:hAnsi="Times New Roman" w:cs="Times New Roman"/>
        </w:rPr>
        <w:t>such</w:t>
      </w:r>
      <w:r w:rsidR="0055169C">
        <w:rPr>
          <w:rFonts w:ascii="Times New Roman" w:hAnsi="Times New Roman" w:cs="Times New Roman"/>
        </w:rPr>
        <w:t xml:space="preserve"> </w:t>
      </w:r>
      <w:r w:rsidRPr="001523C1">
        <w:rPr>
          <w:rFonts w:ascii="Times New Roman" w:hAnsi="Times New Roman" w:cs="Times New Roman"/>
        </w:rPr>
        <w:t>matters occurs fr</w:t>
      </w:r>
      <w:r w:rsidR="00B31B9A">
        <w:rPr>
          <w:rFonts w:ascii="Times New Roman" w:hAnsi="Times New Roman" w:cs="Times New Roman"/>
        </w:rPr>
        <w:t>o</w:t>
      </w:r>
      <w:r w:rsidRPr="001523C1">
        <w:rPr>
          <w:rFonts w:ascii="Times New Roman" w:hAnsi="Times New Roman" w:cs="Times New Roman"/>
        </w:rPr>
        <w:t>m time to time</w:t>
      </w:r>
      <w:r w:rsidR="00B31B9A">
        <w:rPr>
          <w:rFonts w:ascii="Times New Roman" w:hAnsi="Times New Roman" w:cs="Times New Roman"/>
        </w:rPr>
        <w:t>,</w:t>
      </w:r>
      <w:r w:rsidRPr="001523C1">
        <w:rPr>
          <w:rFonts w:ascii="Times New Roman" w:hAnsi="Times New Roman" w:cs="Times New Roman"/>
        </w:rPr>
        <w:t xml:space="preserve"> in many corporations or, for that matter, unincorporated associations.  Occasionally, judicial </w:t>
      </w:r>
      <w:r w:rsidRPr="0055169C">
        <w:rPr>
          <w:rFonts w:ascii="Times New Roman" w:hAnsi="Times New Roman" w:cs="Times New Roman"/>
        </w:rPr>
        <w:t>relief</w:t>
      </w:r>
      <w:r w:rsidRPr="001523C1">
        <w:rPr>
          <w:rFonts w:ascii="Times New Roman" w:hAnsi="Times New Roman" w:cs="Times New Roman"/>
        </w:rPr>
        <w:t xml:space="preserve"> is sought in order to resolve </w:t>
      </w:r>
      <w:r w:rsidR="00F914DB">
        <w:rPr>
          <w:rFonts w:ascii="Times New Roman" w:hAnsi="Times New Roman" w:cs="Times New Roman"/>
        </w:rPr>
        <w:t>those</w:t>
      </w:r>
      <w:r w:rsidRPr="001523C1">
        <w:rPr>
          <w:rFonts w:ascii="Times New Roman" w:hAnsi="Times New Roman" w:cs="Times New Roman"/>
        </w:rPr>
        <w:t xml:space="preserve"> disputes.  However such relief is generally expensive and, often </w:t>
      </w:r>
      <w:r w:rsidR="00ED5C93">
        <w:rPr>
          <w:rFonts w:ascii="Times New Roman" w:hAnsi="Times New Roman" w:cs="Times New Roman"/>
        </w:rPr>
        <w:t xml:space="preserve">involves </w:t>
      </w:r>
      <w:r w:rsidRPr="001523C1">
        <w:rPr>
          <w:rFonts w:ascii="Times New Roman" w:hAnsi="Times New Roman" w:cs="Times New Roman"/>
        </w:rPr>
        <w:t>a drawn out process</w:t>
      </w:r>
      <w:r w:rsidR="00ED5C93">
        <w:rPr>
          <w:rFonts w:ascii="Times New Roman" w:hAnsi="Times New Roman" w:cs="Times New Roman"/>
        </w:rPr>
        <w:t>,</w:t>
      </w:r>
      <w:r w:rsidRPr="001523C1">
        <w:rPr>
          <w:rFonts w:ascii="Times New Roman" w:hAnsi="Times New Roman" w:cs="Times New Roman"/>
        </w:rPr>
        <w:t xml:space="preserve"> leading to longer term damage to the underlying trust which is a necessary aspect of any organization, corporate or incorporate.</w:t>
      </w:r>
      <w:r w:rsidR="00A54205">
        <w:rPr>
          <w:rFonts w:ascii="Times New Roman" w:hAnsi="Times New Roman" w:cs="Times New Roman"/>
        </w:rPr>
        <w:t xml:space="preserve">  </w:t>
      </w:r>
      <w:r w:rsidR="00780FF1" w:rsidRPr="001523C1">
        <w:rPr>
          <w:rFonts w:ascii="Times New Roman" w:hAnsi="Times New Roman" w:cs="Times New Roman"/>
        </w:rPr>
        <w:t xml:space="preserve">Obviously enough, the longer a dispute continues, the more damage it will cause.  </w:t>
      </w:r>
    </w:p>
    <w:p w:rsidR="00585ADF" w:rsidRPr="001523C1" w:rsidRDefault="00585ADF" w:rsidP="002569CC">
      <w:pPr>
        <w:jc w:val="both"/>
        <w:rPr>
          <w:rFonts w:ascii="Times New Roman" w:hAnsi="Times New Roman" w:cs="Times New Roman"/>
        </w:rPr>
      </w:pPr>
    </w:p>
    <w:p w:rsidR="00585ADF" w:rsidRPr="009A2C2A" w:rsidRDefault="003C24A4" w:rsidP="002569CC">
      <w:pPr>
        <w:jc w:val="both"/>
        <w:rPr>
          <w:rFonts w:ascii="Times New Roman" w:hAnsi="Times New Roman" w:cs="Times New Roman"/>
          <w:b/>
        </w:rPr>
      </w:pPr>
      <w:r w:rsidRPr="009A2C2A">
        <w:rPr>
          <w:rFonts w:ascii="Times New Roman" w:hAnsi="Times New Roman" w:cs="Times New Roman"/>
          <w:b/>
        </w:rPr>
        <w:t>CORPORATE GOVERNANCE</w:t>
      </w:r>
    </w:p>
    <w:p w:rsidR="00585ADF" w:rsidRPr="001523C1" w:rsidRDefault="00585ADF" w:rsidP="002569CC">
      <w:pPr>
        <w:pStyle w:val="NoNum"/>
      </w:pPr>
      <w:r w:rsidRPr="001523C1">
        <w:t xml:space="preserve">Certainty as to membership, and as to the validity of a director’s appointment or election are critical to the effective functioning of any corporation.  Within corporations to which the </w:t>
      </w:r>
      <w:r w:rsidRPr="001523C1">
        <w:rPr>
          <w:i/>
        </w:rPr>
        <w:t>CATSI Act</w:t>
      </w:r>
      <w:r w:rsidRPr="001523C1">
        <w:t xml:space="preserve"> applies, there are frequently disputes in th</w:t>
      </w:r>
      <w:r w:rsidR="00BC61FD">
        <w:t>e</w:t>
      </w:r>
      <w:r w:rsidRPr="001523C1">
        <w:t xml:space="preserve">se areas.  There are many reasons for such disputes.  They are frequently difficult to resolve, even with external assistance. </w:t>
      </w:r>
    </w:p>
    <w:p w:rsidR="00585ADF" w:rsidRPr="001523C1" w:rsidRDefault="00585ADF" w:rsidP="002569CC">
      <w:pPr>
        <w:pStyle w:val="NoNum"/>
      </w:pPr>
      <w:r w:rsidRPr="001523C1">
        <w:t xml:space="preserve">Section 66-1 (3A) requires that a </w:t>
      </w:r>
      <w:r w:rsidR="009A2C2A">
        <w:t xml:space="preserve">PBC’s </w:t>
      </w:r>
      <w:r w:rsidRPr="001523C1">
        <w:t xml:space="preserve">constitution provide for the resolution of </w:t>
      </w:r>
      <w:r w:rsidR="009A2C2A">
        <w:t xml:space="preserve">internal </w:t>
      </w:r>
      <w:r w:rsidRPr="001523C1">
        <w:t>disputes.  However that provision does not seem to have been particularly effective.  The oppressive conduct provisions (Division 166) reflect provisions which have been included in corporations legislation for many years.  Experience suggests that such process is cumbersome and expensive.  Streamlining dispute resolution, at least in the areas of membership and appointment/election of directors, would be a worthwhile first step</w:t>
      </w:r>
      <w:r w:rsidR="00BC61FD">
        <w:t xml:space="preserve">, perhaps a necessity, </w:t>
      </w:r>
      <w:r w:rsidRPr="001523C1">
        <w:t xml:space="preserve">in facilitating the efficient operation of </w:t>
      </w:r>
      <w:r w:rsidR="00F914DB">
        <w:t>PBCs</w:t>
      </w:r>
      <w:r w:rsidRPr="001523C1">
        <w:t xml:space="preserve">.  </w:t>
      </w:r>
    </w:p>
    <w:p w:rsidR="00585ADF" w:rsidRPr="00EB1926" w:rsidRDefault="00585ADF" w:rsidP="002569CC">
      <w:pPr>
        <w:pStyle w:val="NoNum"/>
        <w:rPr>
          <w:b/>
          <w:szCs w:val="24"/>
        </w:rPr>
      </w:pPr>
      <w:r w:rsidRPr="00EB1926">
        <w:rPr>
          <w:b/>
          <w:szCs w:val="24"/>
        </w:rPr>
        <w:t xml:space="preserve">POSSIBLE </w:t>
      </w:r>
      <w:r w:rsidR="00BC61FD" w:rsidRPr="00EB1926">
        <w:rPr>
          <w:b/>
          <w:szCs w:val="24"/>
        </w:rPr>
        <w:t>APPROACHES</w:t>
      </w:r>
    </w:p>
    <w:p w:rsidR="00692503" w:rsidRDefault="00DF7494" w:rsidP="002569CC">
      <w:pPr>
        <w:pStyle w:val="NoNum"/>
      </w:pPr>
      <w:r>
        <w:t>E</w:t>
      </w:r>
      <w:r w:rsidR="00585ADF" w:rsidRPr="001523C1">
        <w:t>xperience</w:t>
      </w:r>
      <w:r w:rsidR="0087032D">
        <w:t xml:space="preserve"> with mediations in the Tribunal suggests </w:t>
      </w:r>
      <w:r w:rsidR="00585ADF" w:rsidRPr="001523C1">
        <w:t>that agreements reached at mediation are, on occasions, almost immediately disavowed</w:t>
      </w:r>
      <w:r w:rsidR="0087032D">
        <w:t xml:space="preserve">.  Such conduct invites </w:t>
      </w:r>
      <w:r w:rsidR="00585ADF" w:rsidRPr="001523C1">
        <w:t>the inference t</w:t>
      </w:r>
      <w:r w:rsidR="00270C4C" w:rsidRPr="001523C1">
        <w:t xml:space="preserve">hat apparent </w:t>
      </w:r>
      <w:r w:rsidR="00585ADF" w:rsidRPr="001523C1">
        <w:t>agreement may sometimes be</w:t>
      </w:r>
      <w:r w:rsidR="00270C4C" w:rsidRPr="001523C1">
        <w:t xml:space="preserve"> used as </w:t>
      </w:r>
      <w:r w:rsidR="00585ADF" w:rsidRPr="001523C1">
        <w:t>a tactical device</w:t>
      </w:r>
      <w:r w:rsidR="00692503" w:rsidRPr="001523C1">
        <w:t xml:space="preserve">, </w:t>
      </w:r>
      <w:r w:rsidR="0087032D">
        <w:t xml:space="preserve">for </w:t>
      </w:r>
      <w:r w:rsidR="00692503" w:rsidRPr="001523C1">
        <w:t>the purpose of causing delay and/or additional expense</w:t>
      </w:r>
      <w:r w:rsidR="00A560F8">
        <w:t>, the ultimate goal being the application of pressure in the relevant negotiations.</w:t>
      </w:r>
    </w:p>
    <w:p w:rsidR="00BD4B3E" w:rsidRPr="00691C06" w:rsidRDefault="00691C06" w:rsidP="002569CC">
      <w:pPr>
        <w:pStyle w:val="NoNum"/>
      </w:pPr>
      <w:r>
        <w:t xml:space="preserve">On some occasions, such repudiation may </w:t>
      </w:r>
      <w:r w:rsidR="005B21F4">
        <w:t xml:space="preserve">occur </w:t>
      </w:r>
      <w:r>
        <w:t>because the negotiat</w:t>
      </w:r>
      <w:r w:rsidR="005B21F4">
        <w:t>or</w:t>
      </w:r>
      <w:r>
        <w:t xml:space="preserve"> has exceeded his or her authority.  In good fa</w:t>
      </w:r>
      <w:r w:rsidR="00723B53">
        <w:t>i</w:t>
      </w:r>
      <w:r>
        <w:t xml:space="preserve">th negotiations, </w:t>
      </w:r>
      <w:r w:rsidR="007E01C0">
        <w:t>such an e</w:t>
      </w:r>
      <w:r w:rsidR="005B21F4">
        <w:t>v</w:t>
      </w:r>
      <w:r w:rsidR="007E01C0">
        <w:t>ent should not occur.  It is for each party to ensure that its negotiat</w:t>
      </w:r>
      <w:r w:rsidR="005B21F4">
        <w:t>or</w:t>
      </w:r>
      <w:r w:rsidR="007E01C0">
        <w:t xml:space="preserve"> has appropriate authority and does not act outside of such authority.  </w:t>
      </w:r>
    </w:p>
    <w:p w:rsidR="00585ADF" w:rsidRPr="001523C1" w:rsidRDefault="00681D88" w:rsidP="002569CC">
      <w:pPr>
        <w:pStyle w:val="NoNum"/>
      </w:pPr>
      <w:r>
        <w:t xml:space="preserve">Numerous remedial procedures have been suggested.  </w:t>
      </w:r>
      <w:r w:rsidR="005F5D2A" w:rsidRPr="001523C1">
        <w:t>T</w:t>
      </w:r>
      <w:r w:rsidR="00585ADF" w:rsidRPr="001523C1">
        <w:t>here m</w:t>
      </w:r>
      <w:r w:rsidR="005F5D2A" w:rsidRPr="001523C1">
        <w:t>ight</w:t>
      </w:r>
      <w:r w:rsidR="00585ADF" w:rsidRPr="001523C1">
        <w:t xml:space="preserve"> be a mechanism by which a mediated agreement immediately become</w:t>
      </w:r>
      <w:r w:rsidR="002B2A1A">
        <w:t>s</w:t>
      </w:r>
      <w:r w:rsidR="00585ADF" w:rsidRPr="001523C1">
        <w:t xml:space="preserve"> binding on the parties, and so </w:t>
      </w:r>
      <w:r w:rsidR="0047585C">
        <w:t xml:space="preserve">is </w:t>
      </w:r>
      <w:r w:rsidR="00585ADF" w:rsidRPr="001523C1">
        <w:t xml:space="preserve">legally enforceable.  It has also been suggested that it may be possible to confer upon </w:t>
      </w:r>
      <w:r w:rsidR="005F5D2A" w:rsidRPr="001523C1">
        <w:t xml:space="preserve">the Tribunal </w:t>
      </w:r>
      <w:r w:rsidR="00585ADF" w:rsidRPr="001523C1">
        <w:t xml:space="preserve">a power to arbitrate in such disputes, </w:t>
      </w:r>
      <w:r w:rsidR="005F5D2A" w:rsidRPr="001523C1">
        <w:t>particularly whe</w:t>
      </w:r>
      <w:r w:rsidR="005F324C">
        <w:t>re</w:t>
      </w:r>
      <w:r w:rsidR="005F5D2A" w:rsidRPr="001523C1">
        <w:t xml:space="preserve"> mediation in the Tribunal has failed.  Such an arrangement would make it </w:t>
      </w:r>
      <w:r w:rsidR="00585ADF" w:rsidRPr="001523C1">
        <w:t xml:space="preserve">easier to move from the mediation phase of dispute resolution to the arbitration </w:t>
      </w:r>
      <w:r w:rsidR="005F5D2A" w:rsidRPr="001523C1">
        <w:t xml:space="preserve">phase, without the need to transfer the relevant records and information to a separate </w:t>
      </w:r>
      <w:r w:rsidR="001164D7">
        <w:t>dispute resolution body</w:t>
      </w:r>
      <w:r w:rsidR="005F5D2A" w:rsidRPr="001523C1">
        <w:t xml:space="preserve">.  </w:t>
      </w:r>
      <w:r w:rsidR="0047585C">
        <w:t xml:space="preserve">All </w:t>
      </w:r>
      <w:r w:rsidR="00585ADF" w:rsidRPr="001523C1">
        <w:t>disputes may</w:t>
      </w:r>
      <w:r w:rsidR="0047585C">
        <w:t>,</w:t>
      </w:r>
      <w:r w:rsidR="00585ADF" w:rsidRPr="001523C1">
        <w:t xml:space="preserve"> </w:t>
      </w:r>
      <w:r w:rsidR="0047585C">
        <w:t xml:space="preserve">in the end, </w:t>
      </w:r>
      <w:r w:rsidR="00585ADF" w:rsidRPr="001523C1">
        <w:t xml:space="preserve">be resolved by the courts.  However, </w:t>
      </w:r>
      <w:r w:rsidR="0028025C">
        <w:t xml:space="preserve">such </w:t>
      </w:r>
      <w:r w:rsidR="00585ADF" w:rsidRPr="001523C1">
        <w:t xml:space="preserve">resolution </w:t>
      </w:r>
      <w:r w:rsidR="00BC57F0" w:rsidRPr="001523C1">
        <w:t>often seem</w:t>
      </w:r>
      <w:r w:rsidR="00FB30C3">
        <w:t>s</w:t>
      </w:r>
      <w:r w:rsidR="00BC57F0" w:rsidRPr="001523C1">
        <w:t xml:space="preserve"> to </w:t>
      </w:r>
      <w:r w:rsidR="00585ADF" w:rsidRPr="001523C1">
        <w:t>be both prohibitively expensive</w:t>
      </w:r>
      <w:r w:rsidR="0047585C">
        <w:t>,</w:t>
      </w:r>
      <w:r w:rsidR="00585ADF" w:rsidRPr="001523C1">
        <w:t xml:space="preserve"> and relatively slow.  </w:t>
      </w:r>
      <w:r w:rsidR="00FB30C3">
        <w:t xml:space="preserve">Further, a distinct advantage of arbitration over judicial proceedings is that it may be conducted in private.  </w:t>
      </w:r>
    </w:p>
    <w:p w:rsidR="00585ADF" w:rsidRPr="00662970" w:rsidRDefault="00A70801" w:rsidP="002569CC">
      <w:pPr>
        <w:pStyle w:val="NoNum"/>
      </w:pPr>
      <w:r w:rsidRPr="001523C1">
        <w:t xml:space="preserve">The Tribunal </w:t>
      </w:r>
      <w:r w:rsidR="00585ADF" w:rsidRPr="001523C1">
        <w:t xml:space="preserve">presently provides mediation services in disputes arising under the </w:t>
      </w:r>
      <w:r w:rsidR="00585ADF" w:rsidRPr="001523C1">
        <w:rPr>
          <w:i/>
        </w:rPr>
        <w:t>Native Title Act</w:t>
      </w:r>
      <w:r w:rsidR="00585ADF" w:rsidRPr="001523C1">
        <w:t>.  In connection with future acts</w:t>
      </w:r>
      <w:r w:rsidR="00FB30C3">
        <w:t>,</w:t>
      </w:r>
      <w:r w:rsidR="00585ADF" w:rsidRPr="001523C1">
        <w:t xml:space="preserve"> it provides both mediation and compulsory arbitration services.  There may be value in seeking to build on that process. I am told that </w:t>
      </w:r>
      <w:r w:rsidRPr="001523C1">
        <w:t xml:space="preserve">there is some </w:t>
      </w:r>
      <w:r w:rsidR="00585ADF" w:rsidRPr="001523C1">
        <w:t xml:space="preserve">concern that any attempt to confer further arbitral functions upon the Tribunal may offend against the constitutional requirement that the judicial power of the Commonwealth be exercised only by a court, as identified in s 71 of the Constitution.  Much of that concern seems to focus upon the decision of the High Court in </w:t>
      </w:r>
      <w:r w:rsidR="00585ADF" w:rsidRPr="001523C1">
        <w:rPr>
          <w:i/>
        </w:rPr>
        <w:t>Brandy v Human Rights Commission</w:t>
      </w:r>
      <w:r w:rsidR="00585ADF" w:rsidRPr="001523C1">
        <w:t xml:space="preserve"> (1995) 183 CLR 245.  Whilst the decision in </w:t>
      </w:r>
      <w:r w:rsidR="00585ADF" w:rsidRPr="001523C1">
        <w:rPr>
          <w:i/>
        </w:rPr>
        <w:t xml:space="preserve">Brandy </w:t>
      </w:r>
      <w:r w:rsidR="00585ADF" w:rsidRPr="001523C1">
        <w:t>attracted attention at the time, it does not have much to say for present purposes, largely because of the specific factual situation with which it was concerned.  However the observations of the majority</w:t>
      </w:r>
      <w:r w:rsidR="004A5877">
        <w:t>,</w:t>
      </w:r>
      <w:r w:rsidR="00585ADF" w:rsidRPr="001523C1">
        <w:t xml:space="preserve"> at pp 267-8</w:t>
      </w:r>
      <w:r w:rsidR="004A5877">
        <w:t>,</w:t>
      </w:r>
      <w:r w:rsidR="00585ADF" w:rsidRPr="001523C1">
        <w:t xml:space="preserve"> are of some assistance.  Guidance may also be derived from the decision in </w:t>
      </w:r>
      <w:r w:rsidR="00585ADF" w:rsidRPr="001523C1">
        <w:rPr>
          <w:i/>
        </w:rPr>
        <w:t>Precision Data Holdings v Wills</w:t>
      </w:r>
      <w:r w:rsidR="00585ADF" w:rsidRPr="001523C1">
        <w:t xml:space="preserve"> (1991) 173 CLR 167, at 188-191.  See also </w:t>
      </w:r>
      <w:r w:rsidR="00585ADF" w:rsidRPr="001523C1">
        <w:rPr>
          <w:i/>
        </w:rPr>
        <w:t xml:space="preserve">Re Ranger Uranium Mines Pty Ltd; Ex parte </w:t>
      </w:r>
      <w:r w:rsidR="00585ADF" w:rsidRPr="001523C1">
        <w:t>FMUA (1987) 163 CLR 656, at 663-666,</w:t>
      </w:r>
      <w:r w:rsidR="00585ADF" w:rsidRPr="001523C1">
        <w:rPr>
          <w:b/>
        </w:rPr>
        <w:t xml:space="preserve"> </w:t>
      </w:r>
      <w:r w:rsidR="00585ADF" w:rsidRPr="001523C1">
        <w:t xml:space="preserve">cited in </w:t>
      </w:r>
      <w:r w:rsidR="00585ADF" w:rsidRPr="001523C1">
        <w:rPr>
          <w:i/>
        </w:rPr>
        <w:t>Precision Data Holdings</w:t>
      </w:r>
      <w:r w:rsidR="00585ADF" w:rsidRPr="001523C1">
        <w:t xml:space="preserve"> at 189; </w:t>
      </w:r>
      <w:r w:rsidR="00585ADF" w:rsidRPr="001523C1">
        <w:rPr>
          <w:i/>
        </w:rPr>
        <w:t>Attorney-General v Alinta Ltd</w:t>
      </w:r>
      <w:r w:rsidR="00585ADF" w:rsidRPr="001523C1">
        <w:t xml:space="preserve"> (2008) 233 CLR 542, where the views of the members of the Court are adequately summarized in the headnotes and per Gleeson CJ at [2], [6] and [7]; Gummow J at [10]-[14]; Kirby J at [35]-[46]; Hayne J at [69]-[71], [95]-[100]; and Crennan and Kiefel JJ at [151]-[159</w:t>
      </w:r>
      <w:r w:rsidR="004E73D6">
        <w:t>]</w:t>
      </w:r>
      <w:r w:rsidR="00FB30C3">
        <w:t>.  The decision in</w:t>
      </w:r>
      <w:r w:rsidR="00585ADF" w:rsidRPr="001523C1">
        <w:t xml:space="preserve"> </w:t>
      </w:r>
      <w:r w:rsidR="00FB30C3">
        <w:rPr>
          <w:i/>
        </w:rPr>
        <w:t>T</w:t>
      </w:r>
      <w:r w:rsidR="00585ADF" w:rsidRPr="001523C1">
        <w:rPr>
          <w:i/>
        </w:rPr>
        <w:t xml:space="preserve">LC v Judges of the Federal Court </w:t>
      </w:r>
      <w:r w:rsidR="00585ADF" w:rsidRPr="001523C1">
        <w:t>(2012) 295 ALR 596 at [26]-[29]</w:t>
      </w:r>
      <w:r w:rsidR="005F324C">
        <w:t>,</w:t>
      </w:r>
      <w:r w:rsidR="00585ADF" w:rsidRPr="001523C1">
        <w:t xml:space="preserve"> [75]-[81]</w:t>
      </w:r>
      <w:r w:rsidR="00FB30C3">
        <w:t xml:space="preserve"> is also of considerable relevance</w:t>
      </w:r>
      <w:r w:rsidR="00585ADF" w:rsidRPr="001523C1">
        <w:rPr>
          <w:i/>
        </w:rPr>
        <w:t xml:space="preserve">.  </w:t>
      </w:r>
    </w:p>
    <w:p w:rsidR="00585ADF" w:rsidRPr="00EB1926" w:rsidRDefault="00585ADF" w:rsidP="00390EA6">
      <w:pPr>
        <w:pStyle w:val="NoNum"/>
        <w:keepNext/>
        <w:rPr>
          <w:b/>
          <w:szCs w:val="24"/>
        </w:rPr>
      </w:pPr>
      <w:r w:rsidRPr="00EB1926">
        <w:rPr>
          <w:b/>
          <w:szCs w:val="24"/>
        </w:rPr>
        <w:t>SOME PROPOSITIONS</w:t>
      </w:r>
    </w:p>
    <w:p w:rsidR="00585ADF" w:rsidRPr="001523C1" w:rsidRDefault="00585ADF" w:rsidP="002569CC">
      <w:pPr>
        <w:pStyle w:val="NoNum"/>
      </w:pPr>
      <w:r w:rsidRPr="001523C1">
        <w:t xml:space="preserve">I do not wish to generalize unduly about the propositions which may be drawn from those cases.  However it is clear that the decision in </w:t>
      </w:r>
      <w:r w:rsidRPr="001523C1">
        <w:rPr>
          <w:i/>
        </w:rPr>
        <w:t>Brandy</w:t>
      </w:r>
      <w:r w:rsidRPr="001523C1">
        <w:t xml:space="preserve"> is by no means conclusive in so far as it deals with the nature of judicial power.  Of particular interest are the passages in </w:t>
      </w:r>
      <w:r w:rsidRPr="001523C1">
        <w:rPr>
          <w:i/>
        </w:rPr>
        <w:t>TLC</w:t>
      </w:r>
      <w:r w:rsidRPr="001523C1">
        <w:t xml:space="preserve"> </w:t>
      </w:r>
      <w:r w:rsidR="00804713">
        <w:t xml:space="preserve">(cited above) </w:t>
      </w:r>
      <w:r w:rsidRPr="001523C1">
        <w:t>and some of the industrial cases concerning arbitration.  Emerging themes are:</w:t>
      </w:r>
    </w:p>
    <w:p w:rsidR="00585ADF" w:rsidRPr="001523C1" w:rsidRDefault="00585ADF" w:rsidP="002569CC">
      <w:pPr>
        <w:pStyle w:val="FCBullets"/>
      </w:pPr>
      <w:r w:rsidRPr="001523C1">
        <w:t>an adjudication, not arising solely from the operation of law on past events or conduct, may not be an exercise of judicial power;</w:t>
      </w:r>
    </w:p>
    <w:p w:rsidR="00585ADF" w:rsidRPr="001523C1" w:rsidRDefault="00585ADF" w:rsidP="002569CC">
      <w:pPr>
        <w:pStyle w:val="FCBullets"/>
      </w:pPr>
      <w:r w:rsidRPr="001523C1">
        <w:t>functions may be classified as either judicial or administrative, according to the ways in which they are to be performed;</w:t>
      </w:r>
    </w:p>
    <w:p w:rsidR="00585ADF" w:rsidRPr="001523C1" w:rsidRDefault="00EC387B" w:rsidP="002569CC">
      <w:pPr>
        <w:pStyle w:val="FCBullets"/>
      </w:pPr>
      <w:r>
        <w:t>a</w:t>
      </w:r>
      <w:r w:rsidR="00585ADF" w:rsidRPr="001523C1">
        <w:t xml:space="preserve"> requirement to take into account, in decision-making, matters of “policy” may lead to the decision-making power being classified as administrative;</w:t>
      </w:r>
    </w:p>
    <w:p w:rsidR="00585ADF" w:rsidRPr="001523C1" w:rsidRDefault="00585ADF" w:rsidP="002569CC">
      <w:pPr>
        <w:pStyle w:val="FCBullets"/>
      </w:pPr>
      <w:r w:rsidRPr="001523C1">
        <w:t>a determination as to appropriate future rights, not involving the resolution of a dispute about existing rights, will be administrative;</w:t>
      </w:r>
    </w:p>
    <w:p w:rsidR="00585ADF" w:rsidRPr="001523C1" w:rsidRDefault="00585ADF" w:rsidP="002569CC">
      <w:pPr>
        <w:pStyle w:val="FCBullets"/>
      </w:pPr>
      <w:r w:rsidRPr="001523C1">
        <w:t>the partial displacement of rights and obligations by a regulatory regime does not necessarily lead to the classification of the function as judicial;</w:t>
      </w:r>
    </w:p>
    <w:p w:rsidR="00585ADF" w:rsidRPr="001523C1" w:rsidRDefault="00585ADF" w:rsidP="002569CC">
      <w:pPr>
        <w:pStyle w:val="FCBullets"/>
      </w:pPr>
      <w:r w:rsidRPr="001523C1">
        <w:t>a significant pointer against a power being characterized as judicial is the entrusting to the decision-maker of authority to alter the law otherwise applying in a particular case, in order to create new rights and obligations.</w:t>
      </w:r>
    </w:p>
    <w:p w:rsidR="00585ADF" w:rsidRPr="001523C1" w:rsidRDefault="00585ADF" w:rsidP="002569CC">
      <w:pPr>
        <w:pStyle w:val="FCBullets"/>
        <w:numPr>
          <w:ilvl w:val="0"/>
          <w:numId w:val="0"/>
        </w:numPr>
      </w:pPr>
      <w:r w:rsidRPr="001523C1">
        <w:t>For present purposes, I stress the proposition that arbitration by consent will not constitute the exercise of judicial power.  Further, a statutory dispute resolution process, conferred upon a body other than a court, but requiring consideration of matters of policy, may not involve</w:t>
      </w:r>
      <w:r w:rsidR="00ED46CB" w:rsidRPr="001523C1">
        <w:t xml:space="preserve"> the exercise of judicial power, particularly if the arbitral body include</w:t>
      </w:r>
      <w:r w:rsidR="00804713">
        <w:t>s</w:t>
      </w:r>
      <w:r w:rsidR="00ED46CB" w:rsidRPr="001523C1">
        <w:t xml:space="preserve"> non-legal </w:t>
      </w:r>
      <w:r w:rsidR="00804713">
        <w:t>“members”.</w:t>
      </w:r>
      <w:r w:rsidR="00ED46CB" w:rsidRPr="001523C1">
        <w:t xml:space="preserve">  </w:t>
      </w:r>
    </w:p>
    <w:p w:rsidR="00DC37A6" w:rsidRPr="00DC37A6" w:rsidRDefault="00DC37A6" w:rsidP="002569CC">
      <w:pPr>
        <w:pStyle w:val="FCBullets"/>
        <w:numPr>
          <w:ilvl w:val="0"/>
          <w:numId w:val="0"/>
        </w:numPr>
        <w:rPr>
          <w:b/>
        </w:rPr>
      </w:pPr>
      <w:r>
        <w:rPr>
          <w:b/>
        </w:rPr>
        <w:t>DESIGN</w:t>
      </w:r>
    </w:p>
    <w:p w:rsidR="00585ADF" w:rsidRPr="001523C1" w:rsidRDefault="00585ADF" w:rsidP="002569CC">
      <w:pPr>
        <w:pStyle w:val="FCBullets"/>
        <w:numPr>
          <w:ilvl w:val="0"/>
          <w:numId w:val="0"/>
        </w:numPr>
      </w:pPr>
      <w:r w:rsidRPr="001523C1">
        <w:t>It would not be rational to design a dispute resolution process prior to identification, with some degree of specificity, of the kinds of dispute to which that process will apply.  It is also not rational to assume that whatever the dispute may be, any resolution process</w:t>
      </w:r>
      <w:r w:rsidR="00737228" w:rsidRPr="001523C1">
        <w:t>,</w:t>
      </w:r>
      <w:r w:rsidRPr="001523C1">
        <w:t xml:space="preserve"> involving a non-judicial body</w:t>
      </w:r>
      <w:r w:rsidR="00C21A50">
        <w:t>,</w:t>
      </w:r>
      <w:r w:rsidRPr="001523C1">
        <w:t xml:space="preserve"> will be unconstitutional.  The Parliament regularly confers power to resolve disputes upon non-judicial bodies.  The plethora of cases concerning the judicial power highlights that fact.  Once the relevant</w:t>
      </w:r>
      <w:r w:rsidR="0091284F">
        <w:t>,</w:t>
      </w:r>
      <w:r w:rsidRPr="001523C1">
        <w:t xml:space="preserve"> anticipated disputes have been identified, the next step may be to decide whether there is a preference for judicial or non-judicial resolution.  </w:t>
      </w:r>
      <w:r w:rsidR="00737228" w:rsidRPr="001523C1">
        <w:t xml:space="preserve">There will be various factors </w:t>
      </w:r>
      <w:r w:rsidR="0091284F">
        <w:t xml:space="preserve">for consideration, </w:t>
      </w:r>
      <w:r w:rsidR="00737228" w:rsidRPr="001523C1">
        <w:t xml:space="preserve">including long term political attitudes and public perceptions.  </w:t>
      </w:r>
      <w:r w:rsidRPr="001523C1">
        <w:t xml:space="preserve">Only when those decisions have been made, can the dispute resolution system be designed. </w:t>
      </w:r>
      <w:r w:rsidR="0091284F">
        <w:t xml:space="preserve"> For that reason, the </w:t>
      </w:r>
      <w:r w:rsidR="00B84C49">
        <w:t xml:space="preserve">following </w:t>
      </w:r>
      <w:r w:rsidR="0091284F">
        <w:t xml:space="preserve">proposed models are described in broad outline.  More detailed design would depend upon the various forms of dispute to be </w:t>
      </w:r>
      <w:r w:rsidR="0091284F" w:rsidRPr="00990077">
        <w:t>addressed</w:t>
      </w:r>
      <w:r w:rsidR="0091284F" w:rsidRPr="00F020FA">
        <w:rPr>
          <w:b/>
        </w:rPr>
        <w:t>.</w:t>
      </w:r>
      <w:r w:rsidR="0091284F">
        <w:t xml:space="preserve">  </w:t>
      </w:r>
      <w:r w:rsidR="00990077" w:rsidRPr="001523C1">
        <w:t>It may be necessary that there be a statutory definition of the term “dispute”</w:t>
      </w:r>
      <w:r w:rsidR="00990077">
        <w:t xml:space="preserve">, possibly </w:t>
      </w:r>
      <w:r w:rsidR="00990077" w:rsidRPr="001523C1">
        <w:t>a difficult question.  For present purposes</w:t>
      </w:r>
      <w:r w:rsidR="00990077">
        <w:t>, it has been as</w:t>
      </w:r>
      <w:r w:rsidR="00990077" w:rsidRPr="001523C1">
        <w:t>sume</w:t>
      </w:r>
      <w:r w:rsidR="00990077">
        <w:t>d</w:t>
      </w:r>
      <w:r w:rsidR="00990077" w:rsidRPr="001523C1">
        <w:t xml:space="preserve"> that </w:t>
      </w:r>
      <w:r w:rsidR="00775729">
        <w:t xml:space="preserve">it is possible to formulate such a definition.  </w:t>
      </w:r>
      <w:r w:rsidR="00990077" w:rsidRPr="001523C1">
        <w:t xml:space="preserve"> </w:t>
      </w:r>
    </w:p>
    <w:p w:rsidR="00585ADF" w:rsidRPr="00EB1926" w:rsidRDefault="00585ADF" w:rsidP="002569CC">
      <w:pPr>
        <w:pStyle w:val="NoNum"/>
        <w:keepNext/>
        <w:rPr>
          <w:b/>
          <w:szCs w:val="24"/>
        </w:rPr>
      </w:pPr>
      <w:r w:rsidRPr="00EB1926">
        <w:rPr>
          <w:b/>
          <w:szCs w:val="24"/>
        </w:rPr>
        <w:t>POSSIBLE MODELS</w:t>
      </w:r>
    </w:p>
    <w:p w:rsidR="00585ADF" w:rsidRPr="001523C1" w:rsidRDefault="00585ADF" w:rsidP="002569CC">
      <w:pPr>
        <w:pStyle w:val="NoNum"/>
      </w:pPr>
      <w:r w:rsidRPr="001523C1">
        <w:t>Below, are three possible</w:t>
      </w:r>
      <w:r w:rsidR="00070EB5">
        <w:t>, non-judicial</w:t>
      </w:r>
      <w:r w:rsidRPr="001523C1">
        <w:t xml:space="preserve"> models which might suit presently perceived needs.  </w:t>
      </w:r>
      <w:r w:rsidR="00524375" w:rsidRPr="001523C1">
        <w:t xml:space="preserve">Our </w:t>
      </w:r>
      <w:r w:rsidRPr="001523C1">
        <w:t>purpose is to demonstrate the forms which dispute resolution processes might take</w:t>
      </w:r>
      <w:r w:rsidR="00435058">
        <w:t xml:space="preserve">, </w:t>
      </w:r>
      <w:r w:rsidR="00524375" w:rsidRPr="001523C1">
        <w:t xml:space="preserve">not to urge the adoption of any of them.  </w:t>
      </w:r>
      <w:r w:rsidRPr="001523C1">
        <w:t>All three examples would probably involve legislative change.</w:t>
      </w:r>
    </w:p>
    <w:p w:rsidR="00585ADF" w:rsidRPr="001523C1" w:rsidRDefault="00585ADF" w:rsidP="002569CC">
      <w:pPr>
        <w:pStyle w:val="NoNum"/>
        <w:rPr>
          <w:b/>
          <w:u w:val="single"/>
        </w:rPr>
      </w:pPr>
      <w:r w:rsidRPr="001523C1">
        <w:rPr>
          <w:b/>
          <w:u w:val="single"/>
        </w:rPr>
        <w:t>Example 1</w:t>
      </w:r>
    </w:p>
    <w:p w:rsidR="00585ADF" w:rsidRPr="001523C1" w:rsidRDefault="00585ADF" w:rsidP="002569CC">
      <w:pPr>
        <w:pStyle w:val="NoNum"/>
      </w:pPr>
      <w:r w:rsidRPr="001523C1">
        <w:t xml:space="preserve">This approach is based on the assumption that the parties in dispute </w:t>
      </w:r>
      <w:r w:rsidR="001D4C60">
        <w:t xml:space="preserve">have </w:t>
      </w:r>
      <w:r w:rsidRPr="001523C1">
        <w:t>reach</w:t>
      </w:r>
      <w:r w:rsidR="001D4C60">
        <w:t>ed</w:t>
      </w:r>
      <w:r w:rsidRPr="001523C1">
        <w:t xml:space="preserve"> agreement, the terms of which have been reduced to writing and signed by the parties.  Such an agreement may produce new rights and obligations, which rights and obligations may be enforceable by the courts as a contract.</w:t>
      </w:r>
    </w:p>
    <w:p w:rsidR="00585ADF" w:rsidRPr="001523C1" w:rsidRDefault="00984E9D" w:rsidP="002569CC">
      <w:pPr>
        <w:pStyle w:val="NoNum"/>
      </w:pPr>
      <w:r w:rsidRPr="001523C1">
        <w:t>I</w:t>
      </w:r>
      <w:r w:rsidR="00585ADF" w:rsidRPr="001523C1">
        <w:t xml:space="preserve">t may be possible to provide that the Registrar be notified of such agreement, and that he be authorized to act upon it by altering the relevant register and/or directing the relevant corporation to amend its records.  It seems </w:t>
      </w:r>
      <w:r w:rsidRPr="001523C1">
        <w:t xml:space="preserve">probable </w:t>
      </w:r>
      <w:r w:rsidR="00585ADF" w:rsidRPr="001523C1">
        <w:t>that neither the mediation, nor the notification, nor the Registrar</w:t>
      </w:r>
      <w:r w:rsidRPr="001523C1">
        <w:t>’s</w:t>
      </w:r>
      <w:r w:rsidR="00585ADF" w:rsidRPr="001523C1">
        <w:t xml:space="preserve"> acting upon th</w:t>
      </w:r>
      <w:r w:rsidRPr="001523C1">
        <w:t>at</w:t>
      </w:r>
      <w:r w:rsidR="00585ADF" w:rsidRPr="001523C1">
        <w:t xml:space="preserve"> notification would </w:t>
      </w:r>
      <w:r w:rsidRPr="001523C1">
        <w:t xml:space="preserve">constitute </w:t>
      </w:r>
      <w:r w:rsidR="00585ADF" w:rsidRPr="001523C1">
        <w:t xml:space="preserve">an exercise of judicial power.  </w:t>
      </w:r>
      <w:r w:rsidR="00EE6A1D" w:rsidRPr="001523C1">
        <w:t xml:space="preserve">The process simply gives effect to an agreement, freely made.  </w:t>
      </w:r>
      <w:r w:rsidR="00585ADF" w:rsidRPr="001523C1">
        <w:t xml:space="preserve"> </w:t>
      </w:r>
    </w:p>
    <w:p w:rsidR="00585ADF" w:rsidRPr="001523C1" w:rsidRDefault="00585ADF" w:rsidP="002569CC">
      <w:pPr>
        <w:pStyle w:val="NoNum"/>
        <w:rPr>
          <w:b/>
          <w:u w:val="single"/>
        </w:rPr>
      </w:pPr>
      <w:r w:rsidRPr="001523C1">
        <w:rPr>
          <w:b/>
          <w:u w:val="single"/>
        </w:rPr>
        <w:t>Example 2</w:t>
      </w:r>
    </w:p>
    <w:p w:rsidR="00585ADF" w:rsidRPr="001523C1" w:rsidRDefault="00585ADF" w:rsidP="002569CC">
      <w:pPr>
        <w:pStyle w:val="NoNum"/>
      </w:pPr>
      <w:r w:rsidRPr="001523C1">
        <w:t xml:space="preserve">This approach focusses upon arbitration.  As I have observed, consensual arbitration, per se, does not involve exercise of the judicial power of the Commonwealth.  The arbitrator’s jurisdiction is derived from the consent of the parties.  It may be that a mediating body, such as </w:t>
      </w:r>
      <w:r w:rsidR="0060079B" w:rsidRPr="001523C1">
        <w:t>the Tribunal</w:t>
      </w:r>
      <w:r w:rsidRPr="001523C1">
        <w:t>, could indicate that it will only mediate upon condition that if agreement is not reached within a fixed period, a party may seek arbitration, consent to which will have effectively been given as a condition of th</w:t>
      </w:r>
      <w:r w:rsidR="00AD0C06">
        <w:t xml:space="preserve">e original </w:t>
      </w:r>
      <w:r w:rsidRPr="001523C1">
        <w:t>agree</w:t>
      </w:r>
      <w:r w:rsidR="0060079B" w:rsidRPr="001523C1">
        <w:t xml:space="preserve">ment </w:t>
      </w:r>
      <w:r w:rsidRPr="001523C1">
        <w:t>to mediate.  Provision might again be made for notification of the arbitration outcome to the Registrar, and action by him in accordance with that outcome.</w:t>
      </w:r>
    </w:p>
    <w:p w:rsidR="00585ADF" w:rsidRPr="001523C1" w:rsidRDefault="00585ADF" w:rsidP="002569CC">
      <w:pPr>
        <w:pStyle w:val="NoNum"/>
      </w:pPr>
      <w:r w:rsidRPr="001523C1">
        <w:t xml:space="preserve">There would probably have to be legislation to allow NNTT to offer mediation services on such a condition but that, alone, </w:t>
      </w:r>
      <w:r w:rsidR="00AD0C06">
        <w:t xml:space="preserve">probably would </w:t>
      </w:r>
      <w:r w:rsidRPr="001523C1">
        <w:t xml:space="preserve">not involve the exercise of judicial power.  </w:t>
      </w:r>
    </w:p>
    <w:p w:rsidR="004B6E78" w:rsidRPr="001523C1" w:rsidRDefault="004B6E78" w:rsidP="002569CC">
      <w:pPr>
        <w:pStyle w:val="NoNum"/>
        <w:keepNext/>
        <w:rPr>
          <w:b/>
          <w:u w:val="single"/>
        </w:rPr>
      </w:pPr>
      <w:r w:rsidRPr="001523C1">
        <w:rPr>
          <w:b/>
          <w:u w:val="single"/>
        </w:rPr>
        <w:t>Example 3</w:t>
      </w:r>
    </w:p>
    <w:p w:rsidR="00585ADF" w:rsidRPr="001523C1" w:rsidRDefault="00585ADF" w:rsidP="002569CC">
      <w:pPr>
        <w:pStyle w:val="NoNum"/>
      </w:pPr>
      <w:r w:rsidRPr="001523C1">
        <w:t xml:space="preserve">This approach involves a rather more formal approach to arbitral </w:t>
      </w:r>
      <w:r w:rsidR="00B232B9">
        <w:t>dispute resolution</w:t>
      </w:r>
      <w:r w:rsidRPr="001523C1">
        <w:t xml:space="preserve"> and would probably require legislation.  The legislation might provide that whe</w:t>
      </w:r>
      <w:r w:rsidR="00B232B9">
        <w:t>re</w:t>
      </w:r>
      <w:r w:rsidRPr="001523C1">
        <w:t xml:space="preserve"> mediation has failed, a party might</w:t>
      </w:r>
      <w:r w:rsidR="00B232B9">
        <w:t xml:space="preserve"> seek arbitration by a body set up for that purpose.</w:t>
      </w:r>
      <w:r w:rsidRPr="001523C1">
        <w:t xml:space="preserve">  The body might comprise, say, the President of the NNTT and/or the Registrar (or, in each case, a nominee), together with a small number of senior Aboriginal people appointed from a panel authorized by the Minister.  In resolving the dispute, the body would be obliged to take into account:</w:t>
      </w:r>
    </w:p>
    <w:p w:rsidR="00585ADF" w:rsidRPr="001523C1" w:rsidRDefault="00585ADF" w:rsidP="002569CC">
      <w:pPr>
        <w:pStyle w:val="FCBullets"/>
      </w:pPr>
      <w:r w:rsidRPr="001523C1">
        <w:t>the interests of the native title holders;</w:t>
      </w:r>
    </w:p>
    <w:p w:rsidR="00585ADF" w:rsidRPr="001523C1" w:rsidRDefault="00585ADF" w:rsidP="002569CC">
      <w:pPr>
        <w:pStyle w:val="FCBullets"/>
      </w:pPr>
      <w:r w:rsidRPr="001523C1">
        <w:t>the effective administration of the PBC;</w:t>
      </w:r>
    </w:p>
    <w:p w:rsidR="00585ADF" w:rsidRPr="001523C1" w:rsidRDefault="00585ADF" w:rsidP="002569CC">
      <w:pPr>
        <w:pStyle w:val="FCBullets"/>
      </w:pPr>
      <w:r w:rsidRPr="001523C1">
        <w:t>the interests of Aboriginal people generally; and</w:t>
      </w:r>
    </w:p>
    <w:p w:rsidR="00585ADF" w:rsidRPr="001523C1" w:rsidRDefault="00585ADF" w:rsidP="002569CC">
      <w:pPr>
        <w:pStyle w:val="FCBullets"/>
      </w:pPr>
      <w:r w:rsidRPr="001523C1">
        <w:t>the public interest.</w:t>
      </w:r>
    </w:p>
    <w:p w:rsidR="00585ADF" w:rsidRPr="001523C1" w:rsidRDefault="00585ADF" w:rsidP="002569CC">
      <w:pPr>
        <w:pStyle w:val="FCBullets"/>
        <w:numPr>
          <w:ilvl w:val="0"/>
          <w:numId w:val="0"/>
        </w:numPr>
      </w:pPr>
      <w:r w:rsidRPr="001523C1">
        <w:t>The composition of the body</w:t>
      </w:r>
      <w:r w:rsidR="000A0995" w:rsidRPr="001523C1">
        <w:t>,</w:t>
      </w:r>
      <w:r w:rsidRPr="001523C1">
        <w:t xml:space="preserve"> and the matters to be taken into account could be tailored so as to exclude the possibility that </w:t>
      </w:r>
      <w:r w:rsidR="00C90861">
        <w:t xml:space="preserve">the process </w:t>
      </w:r>
      <w:r w:rsidR="00730656">
        <w:t xml:space="preserve">might </w:t>
      </w:r>
      <w:r w:rsidR="00C90861">
        <w:t>involve any e</w:t>
      </w:r>
      <w:r w:rsidRPr="001523C1">
        <w:t xml:space="preserve">xercise </w:t>
      </w:r>
      <w:r w:rsidR="00E06B7E">
        <w:t xml:space="preserve">of </w:t>
      </w:r>
      <w:r w:rsidRPr="001523C1">
        <w:t>judicial power.</w:t>
      </w:r>
    </w:p>
    <w:p w:rsidR="00585ADF" w:rsidRPr="001523C1" w:rsidRDefault="00585ADF" w:rsidP="002569CC">
      <w:pPr>
        <w:pStyle w:val="FCBullets"/>
        <w:numPr>
          <w:ilvl w:val="0"/>
          <w:numId w:val="0"/>
        </w:numPr>
      </w:pPr>
      <w:r w:rsidRPr="001523C1">
        <w:t>Th</w:t>
      </w:r>
      <w:r w:rsidR="000F5FCB">
        <w:t>is</w:t>
      </w:r>
      <w:r w:rsidRPr="001523C1">
        <w:t xml:space="preserve"> process would be a little clumsy and possibly, expensive.  Feasibility may depend upon there not being too many ref</w:t>
      </w:r>
      <w:r w:rsidR="000F5FCB">
        <w:t>errals</w:t>
      </w:r>
      <w:r w:rsidRPr="001523C1">
        <w:t>.  There are probably many possible variations on this approach.</w:t>
      </w:r>
    </w:p>
    <w:p w:rsidR="00585ADF" w:rsidRPr="001523C1" w:rsidRDefault="00C90861" w:rsidP="002569CC">
      <w:pPr>
        <w:pStyle w:val="FCBullets"/>
        <w:numPr>
          <w:ilvl w:val="0"/>
          <w:numId w:val="0"/>
        </w:numPr>
      </w:pPr>
      <w:r w:rsidRPr="001523C1">
        <w:t xml:space="preserve">An alternative approach might be to allow a mediator or arbitrator to make recommendations to the Registrar as to the exercise of his powers.  The making of such recommendations would certainly not involve the exercise of any judicial power.  </w:t>
      </w:r>
      <w:r w:rsidR="00585ADF" w:rsidRPr="001523C1">
        <w:t xml:space="preserve">I stress that these are only working examples.  Some care and good advice would be necessary in adopting any of them.  </w:t>
      </w:r>
    </w:p>
    <w:p w:rsidR="00371B11" w:rsidRPr="00EB1926" w:rsidRDefault="00371B11" w:rsidP="002569CC">
      <w:pPr>
        <w:pStyle w:val="FCBullets"/>
        <w:numPr>
          <w:ilvl w:val="0"/>
          <w:numId w:val="0"/>
        </w:numPr>
        <w:rPr>
          <w:b/>
          <w:szCs w:val="24"/>
        </w:rPr>
      </w:pPr>
      <w:r w:rsidRPr="00EB1926">
        <w:rPr>
          <w:b/>
          <w:szCs w:val="24"/>
        </w:rPr>
        <w:t>SOME PRACTICAL CONSIDERATIONS</w:t>
      </w:r>
    </w:p>
    <w:p w:rsidR="00585ADF" w:rsidRPr="001523C1" w:rsidRDefault="00585ADF" w:rsidP="002569CC">
      <w:pPr>
        <w:pStyle w:val="FCBullets"/>
        <w:numPr>
          <w:ilvl w:val="0"/>
          <w:numId w:val="0"/>
        </w:numPr>
      </w:pPr>
      <w:r w:rsidRPr="001523C1">
        <w:t>A matter of real concern is the amount of time and money which may be invested in non-arbitral dispute resolution, which resources are in the end, thrown away, either because the problem is not susceptible of mediated resolution, or because one party has chosen mediation for tactical reasons, with no desire to reach agreement</w:t>
      </w:r>
      <w:r w:rsidR="004339B1">
        <w:t xml:space="preserve">, </w:t>
      </w:r>
      <w:r w:rsidR="008B2899">
        <w:t>or</w:t>
      </w:r>
      <w:r w:rsidR="00357E2A">
        <w:t>,</w:t>
      </w:r>
      <w:r w:rsidR="004339B1">
        <w:t xml:space="preserve"> perhaps, because a negotiat</w:t>
      </w:r>
      <w:r w:rsidR="00647690">
        <w:t>or</w:t>
      </w:r>
      <w:r w:rsidR="004339B1">
        <w:t xml:space="preserve"> has exceed</w:t>
      </w:r>
      <w:r w:rsidR="005A2452">
        <w:t>ed</w:t>
      </w:r>
      <w:r w:rsidR="004339B1">
        <w:t xml:space="preserve"> his or her authority.  </w:t>
      </w:r>
    </w:p>
    <w:p w:rsidR="00585ADF" w:rsidRPr="001523C1" w:rsidRDefault="00585ADF" w:rsidP="002569CC">
      <w:pPr>
        <w:pStyle w:val="FCBullets"/>
        <w:numPr>
          <w:ilvl w:val="0"/>
          <w:numId w:val="0"/>
        </w:numPr>
      </w:pPr>
      <w:r w:rsidRPr="001523C1">
        <w:t>I note that the National Native Title Council has suggested that it will probably oppose any proposal</w:t>
      </w:r>
      <w:r w:rsidR="00CA4560" w:rsidRPr="001523C1">
        <w:t xml:space="preserve"> of the kind suggested above</w:t>
      </w:r>
      <w:r w:rsidRPr="001523C1">
        <w:t>.  It suggests that</w:t>
      </w:r>
      <w:r w:rsidR="00E37631">
        <w:t>,</w:t>
      </w:r>
      <w:r w:rsidRPr="001523C1">
        <w:t xml:space="preserve"> “an arbitral role for the Tribunal would appear to be inconsistent with those assistance and facilitation functions envisaged in the Explanatory Memorandum.”  This proposition is difficult to understand.  There is no reason to believe that an ultimate arbitral role would detract from the flexibility of a mediation role.  No such problem has been experienced to date in connection with the </w:t>
      </w:r>
      <w:r w:rsidR="00E37631">
        <w:t>Tribunal’s c</w:t>
      </w:r>
      <w:r w:rsidRPr="001523C1">
        <w:t>ombined mediation/arbitration role concerning future acts.  Nor is there any merit in the unexplained assertion that the proposal may</w:t>
      </w:r>
      <w:r w:rsidR="00E37631">
        <w:t>,</w:t>
      </w:r>
      <w:r w:rsidRPr="001523C1">
        <w:t xml:space="preserve"> “seriously undermine the self-determination rights of native title holders in RNT</w:t>
      </w:r>
      <w:r w:rsidR="00E37631">
        <w:t>B</w:t>
      </w:r>
      <w:r w:rsidRPr="001523C1">
        <w:t>Cs to make their own decisions …”.</w:t>
      </w:r>
    </w:p>
    <w:p w:rsidR="00585ADF" w:rsidRDefault="00585ADF" w:rsidP="002569CC">
      <w:pPr>
        <w:pStyle w:val="FCBullets"/>
        <w:numPr>
          <w:ilvl w:val="0"/>
          <w:numId w:val="0"/>
        </w:numPr>
      </w:pPr>
      <w:r w:rsidRPr="001523C1">
        <w:t xml:space="preserve">Experience demonstrates that extended disputes within organisations cost money but, more importantly, lead to extended periods of disharmony, with the real possibility of permanent damage to the underlying trust upon which such organizations </w:t>
      </w:r>
      <w:r w:rsidR="00E66F55">
        <w:t xml:space="preserve">should be </w:t>
      </w:r>
      <w:r w:rsidRPr="001523C1">
        <w:t>built.</w:t>
      </w:r>
    </w:p>
    <w:p w:rsidR="004E2C63" w:rsidRDefault="004E2C63" w:rsidP="002569CC">
      <w:pPr>
        <w:pStyle w:val="FCBullets"/>
        <w:numPr>
          <w:ilvl w:val="0"/>
          <w:numId w:val="0"/>
        </w:numPr>
      </w:pPr>
    </w:p>
    <w:p w:rsidR="004E2C63" w:rsidRPr="001523C1" w:rsidRDefault="004E2C63" w:rsidP="002569CC">
      <w:pPr>
        <w:pStyle w:val="FCBullets"/>
        <w:numPr>
          <w:ilvl w:val="0"/>
          <w:numId w:val="0"/>
        </w:numPr>
      </w:pPr>
      <w:r w:rsidRPr="004E2C63">
        <w:rPr>
          <w:noProof/>
          <w:lang w:eastAsia="en-AU"/>
        </w:rPr>
        <w:drawing>
          <wp:inline distT="0" distB="0" distL="0" distR="0" wp14:anchorId="12F2571D" wp14:editId="7C063C02">
            <wp:extent cx="1951355" cy="523875"/>
            <wp:effectExtent l="0" t="0" r="0" b="9525"/>
            <wp:docPr id="3" name="Picture 3" descr="I:\-Dowsett\ELECTRONIC SIGNATURES PRESIDENT &amp; REGISTRAR\Judge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Dowsett\ELECTRONIC SIGNATURES PRESIDENT &amp; REGISTRAR\Judge signatur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51355" cy="523875"/>
                    </a:xfrm>
                    <a:prstGeom prst="rect">
                      <a:avLst/>
                    </a:prstGeom>
                    <a:noFill/>
                    <a:ln>
                      <a:noFill/>
                    </a:ln>
                  </pic:spPr>
                </pic:pic>
              </a:graphicData>
            </a:graphic>
          </wp:inline>
        </w:drawing>
      </w:r>
    </w:p>
    <w:sectPr w:rsidR="004E2C63" w:rsidRPr="001523C1" w:rsidSect="00235432">
      <w:footerReference w:type="default" r:id="rId9"/>
      <w:headerReference w:type="first" r:id="rId10"/>
      <w:footerReference w:type="first" r:id="rId11"/>
      <w:type w:val="continuous"/>
      <w:pgSz w:w="11907" w:h="16839" w:code="9"/>
      <w:pgMar w:top="1843" w:right="1275" w:bottom="1843" w:left="1440" w:header="708" w:footer="3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3524" w:rsidRDefault="00A23524" w:rsidP="00275776">
      <w:r>
        <w:separator/>
      </w:r>
    </w:p>
  </w:endnote>
  <w:endnote w:type="continuationSeparator" w:id="0">
    <w:p w:rsidR="00A23524" w:rsidRDefault="00A23524" w:rsidP="002757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1C06" w:rsidRDefault="00691C06" w:rsidP="0038208A">
    <w:pPr>
      <w:pStyle w:val="NNTTVisionStatement"/>
      <w:jc w:val="right"/>
    </w:pPr>
    <w:r w:rsidRPr="00A458CB">
      <w:rPr>
        <w:sz w:val="18"/>
        <w:szCs w:val="18"/>
      </w:rPr>
      <w:t xml:space="preserve">Page | </w:t>
    </w:r>
    <w:r w:rsidRPr="00A458CB">
      <w:rPr>
        <w:sz w:val="18"/>
        <w:szCs w:val="18"/>
      </w:rPr>
      <w:fldChar w:fldCharType="begin"/>
    </w:r>
    <w:r w:rsidRPr="00A458CB">
      <w:rPr>
        <w:sz w:val="18"/>
        <w:szCs w:val="18"/>
      </w:rPr>
      <w:instrText xml:space="preserve"> PAGE   \* MERGEFORMAT </w:instrText>
    </w:r>
    <w:r w:rsidRPr="00A458CB">
      <w:rPr>
        <w:sz w:val="18"/>
        <w:szCs w:val="18"/>
      </w:rPr>
      <w:fldChar w:fldCharType="separate"/>
    </w:r>
    <w:r w:rsidR="009C12AF">
      <w:rPr>
        <w:noProof/>
        <w:sz w:val="18"/>
        <w:szCs w:val="18"/>
      </w:rPr>
      <w:t>3</w:t>
    </w:r>
    <w:r w:rsidRPr="00A458CB">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1C06" w:rsidRPr="00354069" w:rsidRDefault="00691C06" w:rsidP="0065751F">
    <w:pPr>
      <w:jc w:val="center"/>
      <w:rPr>
        <w:sz w:val="18"/>
        <w:szCs w:val="18"/>
      </w:rPr>
    </w:pPr>
    <w:r>
      <w:rPr>
        <w:noProof/>
        <w:lang w:eastAsia="en-AU"/>
      </w:rPr>
      <mc:AlternateContent>
        <mc:Choice Requires="wps">
          <w:drawing>
            <wp:anchor distT="0" distB="0" distL="114300" distR="114300" simplePos="0" relativeHeight="251665408" behindDoc="0" locked="0" layoutInCell="1" allowOverlap="1" wp14:anchorId="0359CCCF" wp14:editId="2712D56D">
              <wp:simplePos x="0" y="0"/>
              <wp:positionH relativeFrom="column">
                <wp:posOffset>-692851</wp:posOffset>
              </wp:positionH>
              <wp:positionV relativeFrom="paragraph">
                <wp:posOffset>-220245</wp:posOffset>
              </wp:positionV>
              <wp:extent cx="7128510" cy="43815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7128510" cy="438150"/>
                      </a:xfrm>
                      <a:prstGeom prst="rect">
                        <a:avLst/>
                      </a:prstGeom>
                      <a:noFill/>
                      <a:ln w="6350">
                        <a:noFill/>
                      </a:ln>
                    </wps:spPr>
                    <wps:txbx>
                      <w:txbxContent>
                        <w:p w:rsidR="00691C06" w:rsidRPr="00E417BF" w:rsidRDefault="00691C06" w:rsidP="0065751F">
                          <w:pPr>
                            <w:jc w:val="center"/>
                            <w:rPr>
                              <w:sz w:val="18"/>
                              <w:szCs w:val="18"/>
                            </w:rPr>
                          </w:pPr>
                          <w:r>
                            <w:rPr>
                              <w:sz w:val="18"/>
                              <w:szCs w:val="18"/>
                            </w:rPr>
                            <w:t>Level 5, Harry Gibbs Commonwealth Law Courts, 119 North Quay, Brisbane QLD 4000 | GPO Box 9973, Brisbane, QLD 4001</w:t>
                          </w:r>
                        </w:p>
                        <w:p w:rsidR="00691C06" w:rsidRDefault="00691C06" w:rsidP="00E417BF">
                          <w:pPr>
                            <w:jc w:val="center"/>
                            <w:rPr>
                              <w:rStyle w:val="Hyperlink"/>
                              <w:sz w:val="18"/>
                              <w:szCs w:val="18"/>
                            </w:rPr>
                          </w:pPr>
                          <w:r>
                            <w:rPr>
                              <w:sz w:val="18"/>
                              <w:szCs w:val="18"/>
                            </w:rPr>
                            <w:t xml:space="preserve">Email </w:t>
                          </w:r>
                          <w:hyperlink r:id="rId1" w:history="1">
                            <w:r>
                              <w:rPr>
                                <w:rStyle w:val="Hyperlink"/>
                                <w:sz w:val="18"/>
                                <w:szCs w:val="18"/>
                              </w:rPr>
                              <w:t>Enquiries@nntt.gov.au</w:t>
                            </w:r>
                          </w:hyperlink>
                          <w:r>
                            <w:rPr>
                              <w:sz w:val="18"/>
                              <w:szCs w:val="18"/>
                            </w:rPr>
                            <w:t xml:space="preserve"> | Telephone +61 7 3307 5000 | </w:t>
                          </w:r>
                          <w:hyperlink r:id="rId2" w:history="1">
                            <w:r>
                              <w:rPr>
                                <w:rStyle w:val="Hyperlink"/>
                                <w:sz w:val="18"/>
                                <w:szCs w:val="18"/>
                              </w:rPr>
                              <w:t>www.nntt.gov.au</w:t>
                            </w:r>
                          </w:hyperlink>
                        </w:p>
                        <w:p w:rsidR="00691C06" w:rsidRPr="0065751F" w:rsidRDefault="00691C06" w:rsidP="0065751F">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59CCCF" id="_x0000_t202" coordsize="21600,21600" o:spt="202" path="m,l,21600r21600,l21600,xe">
              <v:stroke joinstyle="miter"/>
              <v:path gradientshapeok="t" o:connecttype="rect"/>
            </v:shapetype>
            <v:shape id="Text Box 13" o:spid="_x0000_s1026" type="#_x0000_t202" style="position:absolute;left:0;text-align:left;margin-left:-54.55pt;margin-top:-17.35pt;width:561.3pt;height:3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" filled="f" stroked="f" strokeweight=".5pt">
              <v:textbox>
                <w:txbxContent>
                  <w:p w:rsidR="00691C06" w:rsidRPr="00E417BF" w:rsidRDefault="00691C06" w:rsidP="0065751F">
                    <w:pPr>
                      <w:jc w:val="center"/>
                      <w:rPr>
                        <w:sz w:val="18"/>
                        <w:szCs w:val="18"/>
                      </w:rPr>
                    </w:pPr>
                    <w:r>
                      <w:rPr>
                        <w:sz w:val="18"/>
                        <w:szCs w:val="18"/>
                      </w:rPr>
                      <w:t>Level 5, Harry Gibbs Commonwealth Law Courts, 119 North Quay, Brisbane QLD 4000 | GPO Box 9973, Brisbane, QLD 4001</w:t>
                    </w:r>
                  </w:p>
                  <w:p w:rsidR="00691C06" w:rsidRDefault="00691C06" w:rsidP="00E417BF">
                    <w:pPr>
                      <w:jc w:val="center"/>
                      <w:rPr>
                        <w:rStyle w:val="Hyperlink"/>
                        <w:sz w:val="18"/>
                        <w:szCs w:val="18"/>
                      </w:rPr>
                    </w:pPr>
                    <w:r>
                      <w:rPr>
                        <w:sz w:val="18"/>
                        <w:szCs w:val="18"/>
                      </w:rPr>
                      <w:t xml:space="preserve">Email </w:t>
                    </w:r>
                    <w:hyperlink r:id="rId3" w:history="1">
                      <w:r>
                        <w:rPr>
                          <w:rStyle w:val="Hyperlink"/>
                          <w:sz w:val="18"/>
                          <w:szCs w:val="18"/>
                        </w:rPr>
                        <w:t>Enquiries@nntt.gov.au</w:t>
                      </w:r>
                    </w:hyperlink>
                    <w:r>
                      <w:rPr>
                        <w:sz w:val="18"/>
                        <w:szCs w:val="18"/>
                      </w:rPr>
                      <w:t xml:space="preserve"> | Telephone +61 7 3307 5000 | </w:t>
                    </w:r>
                    <w:hyperlink r:id="rId4" w:history="1">
                      <w:r>
                        <w:rPr>
                          <w:rStyle w:val="Hyperlink"/>
                          <w:sz w:val="18"/>
                          <w:szCs w:val="18"/>
                        </w:rPr>
                        <w:t>www.nntt.gov.au</w:t>
                      </w:r>
                    </w:hyperlink>
                  </w:p>
                  <w:p w:rsidR="00691C06" w:rsidRPr="0065751F" w:rsidRDefault="00691C06" w:rsidP="0065751F">
                    <w:pPr>
                      <w:jc w:val="center"/>
                      <w:rPr>
                        <w:sz w:val="18"/>
                        <w:szCs w:val="18"/>
                      </w:rPr>
                    </w:pPr>
                  </w:p>
                </w:txbxContent>
              </v:textbox>
            </v:shape>
          </w:pict>
        </mc:Fallback>
      </mc:AlternateContent>
    </w:r>
    <w:r>
      <w:rPr>
        <w:noProof/>
        <w:lang w:eastAsia="en-AU"/>
      </w:rPr>
      <w:drawing>
        <wp:anchor distT="0" distB="0" distL="114300" distR="114300" simplePos="0" relativeHeight="251664384" behindDoc="0" locked="0" layoutInCell="1" allowOverlap="1" wp14:anchorId="1892813B" wp14:editId="4774649D">
          <wp:simplePos x="0" y="0"/>
          <wp:positionH relativeFrom="margin">
            <wp:posOffset>-726440</wp:posOffset>
          </wp:positionH>
          <wp:positionV relativeFrom="page">
            <wp:posOffset>9747184</wp:posOffset>
          </wp:positionV>
          <wp:extent cx="7128510" cy="38671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b="56178"/>
                  <a:stretch>
                    <a:fillRect/>
                  </a:stretch>
                </pic:blipFill>
                <pic:spPr bwMode="auto">
                  <a:xfrm>
                    <a:off x="0" y="0"/>
                    <a:ext cx="7128510" cy="386715"/>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3524" w:rsidRDefault="00A23524" w:rsidP="00275776">
      <w:r>
        <w:separator/>
      </w:r>
    </w:p>
  </w:footnote>
  <w:footnote w:type="continuationSeparator" w:id="0">
    <w:p w:rsidR="00A23524" w:rsidRDefault="00A23524" w:rsidP="002757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1C06" w:rsidRDefault="00691C06">
    <w:pPr>
      <w:pStyle w:val="Header"/>
    </w:pPr>
    <w:r w:rsidRPr="00144521">
      <w:rPr>
        <w:noProof/>
        <w:lang w:eastAsia="en-AU"/>
      </w:rPr>
      <w:drawing>
        <wp:anchor distT="0" distB="0" distL="114300" distR="114300" simplePos="0" relativeHeight="251659264" behindDoc="1" locked="0" layoutInCell="1" allowOverlap="1" wp14:anchorId="1340CCB4" wp14:editId="37F9C07A">
          <wp:simplePos x="0" y="0"/>
          <wp:positionH relativeFrom="column">
            <wp:posOffset>4342218</wp:posOffset>
          </wp:positionH>
          <wp:positionV relativeFrom="paragraph">
            <wp:posOffset>-74214</wp:posOffset>
          </wp:positionV>
          <wp:extent cx="1800000" cy="576000"/>
          <wp:effectExtent l="0" t="0" r="0" b="0"/>
          <wp:wrapTight wrapText="bothSides">
            <wp:wrapPolygon edited="0">
              <wp:start x="4116" y="0"/>
              <wp:lineTo x="2287" y="1429"/>
              <wp:lineTo x="0" y="7859"/>
              <wp:lineTo x="0" y="15718"/>
              <wp:lineTo x="2744" y="20719"/>
              <wp:lineTo x="18749" y="20719"/>
              <wp:lineTo x="21265" y="13574"/>
              <wp:lineTo x="21265" y="0"/>
              <wp:lineTo x="5030" y="0"/>
              <wp:lineTo x="4116" y="0"/>
            </wp:wrapPolygon>
          </wp:wrapTight>
          <wp:docPr id="1" name="Picture 1" descr="37417 NNTT_Letterhead_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7417 NNTT_Letterhead_header.png"/>
                  <pic:cNvPicPr/>
                </pic:nvPicPr>
                <pic:blipFill rotWithShape="1">
                  <a:blip r:embed="rId1"/>
                  <a:srcRect l="71663" t="30841" r="4004" b="30724"/>
                  <a:stretch/>
                </pic:blipFill>
                <pic:spPr bwMode="auto">
                  <a:xfrm>
                    <a:off x="0" y="0"/>
                    <a:ext cx="1800000" cy="576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6A2AC4"/>
    <w:multiLevelType w:val="hybridMultilevel"/>
    <w:tmpl w:val="905EDE6A"/>
    <w:lvl w:ilvl="0" w:tplc="5C966E5E">
      <w:start w:val="1"/>
      <w:numFmt w:val="decimal"/>
      <w:pStyle w:val="NNTTNumberedList"/>
      <w:lvlText w:val="%1."/>
      <w:lvlJc w:val="right"/>
      <w:pPr>
        <w:ind w:left="1080" w:hanging="360"/>
      </w:pPr>
      <w:rPr>
        <w:rFonts w:hint="default"/>
        <w:b w:val="0"/>
        <w:i w:val="0"/>
        <w:color w:val="auto"/>
        <w:sz w:val="18"/>
      </w:rPr>
    </w:lvl>
    <w:lvl w:ilvl="1" w:tplc="04090019" w:tentative="1">
      <w:start w:val="1"/>
      <w:numFmt w:val="lowerLetter"/>
      <w:lvlText w:val="%2."/>
      <w:lvlJc w:val="left"/>
      <w:pPr>
        <w:ind w:left="1803" w:hanging="360"/>
      </w:pPr>
    </w:lvl>
    <w:lvl w:ilvl="2" w:tplc="0409001B" w:tentative="1">
      <w:start w:val="1"/>
      <w:numFmt w:val="lowerRoman"/>
      <w:lvlText w:val="%3."/>
      <w:lvlJc w:val="right"/>
      <w:pPr>
        <w:ind w:left="2523" w:hanging="180"/>
      </w:pPr>
    </w:lvl>
    <w:lvl w:ilvl="3" w:tplc="0409000F" w:tentative="1">
      <w:start w:val="1"/>
      <w:numFmt w:val="decimal"/>
      <w:lvlText w:val="%4."/>
      <w:lvlJc w:val="left"/>
      <w:pPr>
        <w:ind w:left="3243" w:hanging="360"/>
      </w:pPr>
    </w:lvl>
    <w:lvl w:ilvl="4" w:tplc="04090019" w:tentative="1">
      <w:start w:val="1"/>
      <w:numFmt w:val="lowerLetter"/>
      <w:lvlText w:val="%5."/>
      <w:lvlJc w:val="left"/>
      <w:pPr>
        <w:ind w:left="3963" w:hanging="360"/>
      </w:pPr>
    </w:lvl>
    <w:lvl w:ilvl="5" w:tplc="0409001B" w:tentative="1">
      <w:start w:val="1"/>
      <w:numFmt w:val="lowerRoman"/>
      <w:lvlText w:val="%6."/>
      <w:lvlJc w:val="right"/>
      <w:pPr>
        <w:ind w:left="4683" w:hanging="180"/>
      </w:pPr>
    </w:lvl>
    <w:lvl w:ilvl="6" w:tplc="0409000F" w:tentative="1">
      <w:start w:val="1"/>
      <w:numFmt w:val="decimal"/>
      <w:lvlText w:val="%7."/>
      <w:lvlJc w:val="left"/>
      <w:pPr>
        <w:ind w:left="5403" w:hanging="360"/>
      </w:pPr>
    </w:lvl>
    <w:lvl w:ilvl="7" w:tplc="04090019" w:tentative="1">
      <w:start w:val="1"/>
      <w:numFmt w:val="lowerLetter"/>
      <w:lvlText w:val="%8."/>
      <w:lvlJc w:val="left"/>
      <w:pPr>
        <w:ind w:left="6123" w:hanging="360"/>
      </w:pPr>
    </w:lvl>
    <w:lvl w:ilvl="8" w:tplc="0409001B" w:tentative="1">
      <w:start w:val="1"/>
      <w:numFmt w:val="lowerRoman"/>
      <w:lvlText w:val="%9."/>
      <w:lvlJc w:val="right"/>
      <w:pPr>
        <w:ind w:left="6843" w:hanging="180"/>
      </w:pPr>
    </w:lvl>
  </w:abstractNum>
  <w:abstractNum w:abstractNumId="1" w15:restartNumberingAfterBreak="0">
    <w:nsid w:val="168F28D0"/>
    <w:multiLevelType w:val="multilevel"/>
    <w:tmpl w:val="93FA7D28"/>
    <w:lvl w:ilvl="0">
      <w:start w:val="1"/>
      <w:numFmt w:val="bullet"/>
      <w:pStyle w:val="FCBullets"/>
      <w:lvlText w:val=""/>
      <w:lvlJc w:val="left"/>
      <w:pPr>
        <w:tabs>
          <w:tab w:val="num" w:pos="720"/>
        </w:tabs>
        <w:ind w:left="720" w:hanging="720"/>
      </w:pPr>
      <w:rPr>
        <w:rFonts w:ascii="Symbol" w:hAnsi="Symbol"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2" w15:restartNumberingAfterBreak="0">
    <w:nsid w:val="49963665"/>
    <w:multiLevelType w:val="hybridMultilevel"/>
    <w:tmpl w:val="147423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mailMerge>
    <w:mainDocumentType w:val="formLetters"/>
    <w:dataType w:val="textFile"/>
    <w:activeRecord w:val="-1"/>
  </w:mailMerge>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DD8"/>
    <w:rsid w:val="000118AC"/>
    <w:rsid w:val="00017019"/>
    <w:rsid w:val="00043E9B"/>
    <w:rsid w:val="000504BE"/>
    <w:rsid w:val="000523AA"/>
    <w:rsid w:val="00070EB5"/>
    <w:rsid w:val="000756ED"/>
    <w:rsid w:val="00077B74"/>
    <w:rsid w:val="000925A7"/>
    <w:rsid w:val="000A0995"/>
    <w:rsid w:val="000A1103"/>
    <w:rsid w:val="000A517B"/>
    <w:rsid w:val="000B1156"/>
    <w:rsid w:val="000E1CA2"/>
    <w:rsid w:val="000E48FA"/>
    <w:rsid w:val="000F5FCB"/>
    <w:rsid w:val="00115A1D"/>
    <w:rsid w:val="001164D7"/>
    <w:rsid w:val="00142DD8"/>
    <w:rsid w:val="00144521"/>
    <w:rsid w:val="001523C1"/>
    <w:rsid w:val="0018405F"/>
    <w:rsid w:val="00196A2C"/>
    <w:rsid w:val="001B2602"/>
    <w:rsid w:val="001B5C5C"/>
    <w:rsid w:val="001C25DB"/>
    <w:rsid w:val="001D4C60"/>
    <w:rsid w:val="001E28D5"/>
    <w:rsid w:val="00220F5E"/>
    <w:rsid w:val="00235432"/>
    <w:rsid w:val="00241139"/>
    <w:rsid w:val="002569CC"/>
    <w:rsid w:val="00270C4C"/>
    <w:rsid w:val="00275776"/>
    <w:rsid w:val="0028025C"/>
    <w:rsid w:val="00281ACF"/>
    <w:rsid w:val="002B0903"/>
    <w:rsid w:val="002B2A1A"/>
    <w:rsid w:val="002B3BA9"/>
    <w:rsid w:val="002B4A28"/>
    <w:rsid w:val="002C3BAF"/>
    <w:rsid w:val="00307665"/>
    <w:rsid w:val="0034009F"/>
    <w:rsid w:val="00354069"/>
    <w:rsid w:val="00357E2A"/>
    <w:rsid w:val="003639A3"/>
    <w:rsid w:val="00371B11"/>
    <w:rsid w:val="0038208A"/>
    <w:rsid w:val="00390EA6"/>
    <w:rsid w:val="00395941"/>
    <w:rsid w:val="003C24A4"/>
    <w:rsid w:val="003C67E2"/>
    <w:rsid w:val="003D54C9"/>
    <w:rsid w:val="003E590E"/>
    <w:rsid w:val="003F0FB0"/>
    <w:rsid w:val="00400527"/>
    <w:rsid w:val="004339B1"/>
    <w:rsid w:val="00435058"/>
    <w:rsid w:val="00437794"/>
    <w:rsid w:val="004538B1"/>
    <w:rsid w:val="00474A59"/>
    <w:rsid w:val="0047585C"/>
    <w:rsid w:val="00490EA9"/>
    <w:rsid w:val="004A5877"/>
    <w:rsid w:val="004B6E78"/>
    <w:rsid w:val="004E2C63"/>
    <w:rsid w:val="004E73D6"/>
    <w:rsid w:val="004F102D"/>
    <w:rsid w:val="00524375"/>
    <w:rsid w:val="005248BB"/>
    <w:rsid w:val="005308A5"/>
    <w:rsid w:val="0055169C"/>
    <w:rsid w:val="005523F7"/>
    <w:rsid w:val="005843F9"/>
    <w:rsid w:val="00585ADF"/>
    <w:rsid w:val="005A2452"/>
    <w:rsid w:val="005B21F4"/>
    <w:rsid w:val="005C0376"/>
    <w:rsid w:val="005F324C"/>
    <w:rsid w:val="005F5D2A"/>
    <w:rsid w:val="0060079B"/>
    <w:rsid w:val="00617EEE"/>
    <w:rsid w:val="0062014F"/>
    <w:rsid w:val="00624855"/>
    <w:rsid w:val="00647690"/>
    <w:rsid w:val="0065751F"/>
    <w:rsid w:val="00662970"/>
    <w:rsid w:val="00671D56"/>
    <w:rsid w:val="00677EB9"/>
    <w:rsid w:val="00681D88"/>
    <w:rsid w:val="00691C06"/>
    <w:rsid w:val="00692503"/>
    <w:rsid w:val="0069460C"/>
    <w:rsid w:val="006D4FFE"/>
    <w:rsid w:val="006F427C"/>
    <w:rsid w:val="0070400B"/>
    <w:rsid w:val="00707AD6"/>
    <w:rsid w:val="00723B53"/>
    <w:rsid w:val="00730656"/>
    <w:rsid w:val="00737228"/>
    <w:rsid w:val="00775729"/>
    <w:rsid w:val="00780FF1"/>
    <w:rsid w:val="007B010F"/>
    <w:rsid w:val="007B5986"/>
    <w:rsid w:val="007C5BDC"/>
    <w:rsid w:val="007E01C0"/>
    <w:rsid w:val="007F71FE"/>
    <w:rsid w:val="00802043"/>
    <w:rsid w:val="00804713"/>
    <w:rsid w:val="0081524D"/>
    <w:rsid w:val="00856776"/>
    <w:rsid w:val="0087032D"/>
    <w:rsid w:val="0089461F"/>
    <w:rsid w:val="008A5050"/>
    <w:rsid w:val="008B2899"/>
    <w:rsid w:val="008B3E05"/>
    <w:rsid w:val="008D13F7"/>
    <w:rsid w:val="008D7081"/>
    <w:rsid w:val="008F5608"/>
    <w:rsid w:val="00906362"/>
    <w:rsid w:val="0091284F"/>
    <w:rsid w:val="009254E5"/>
    <w:rsid w:val="009269B3"/>
    <w:rsid w:val="0094347E"/>
    <w:rsid w:val="0097161E"/>
    <w:rsid w:val="00971E17"/>
    <w:rsid w:val="00984E9D"/>
    <w:rsid w:val="00990077"/>
    <w:rsid w:val="009A2C2A"/>
    <w:rsid w:val="009C12AF"/>
    <w:rsid w:val="00A210A5"/>
    <w:rsid w:val="00A23524"/>
    <w:rsid w:val="00A40088"/>
    <w:rsid w:val="00A54205"/>
    <w:rsid w:val="00A54E31"/>
    <w:rsid w:val="00A560F8"/>
    <w:rsid w:val="00A70801"/>
    <w:rsid w:val="00A9520B"/>
    <w:rsid w:val="00A96B70"/>
    <w:rsid w:val="00AA3FB3"/>
    <w:rsid w:val="00AC2C6A"/>
    <w:rsid w:val="00AD0C06"/>
    <w:rsid w:val="00AF1030"/>
    <w:rsid w:val="00AF7852"/>
    <w:rsid w:val="00B04262"/>
    <w:rsid w:val="00B232B9"/>
    <w:rsid w:val="00B31B9A"/>
    <w:rsid w:val="00B43F4A"/>
    <w:rsid w:val="00B84C49"/>
    <w:rsid w:val="00BC57F0"/>
    <w:rsid w:val="00BC61FD"/>
    <w:rsid w:val="00BD4B3E"/>
    <w:rsid w:val="00C21A50"/>
    <w:rsid w:val="00C2266D"/>
    <w:rsid w:val="00C45ED4"/>
    <w:rsid w:val="00C62071"/>
    <w:rsid w:val="00C67CCE"/>
    <w:rsid w:val="00C763C2"/>
    <w:rsid w:val="00C83D2B"/>
    <w:rsid w:val="00C90861"/>
    <w:rsid w:val="00C90D5E"/>
    <w:rsid w:val="00C92603"/>
    <w:rsid w:val="00C94C98"/>
    <w:rsid w:val="00CA4560"/>
    <w:rsid w:val="00CB7009"/>
    <w:rsid w:val="00CC471F"/>
    <w:rsid w:val="00CC6A35"/>
    <w:rsid w:val="00CE41D4"/>
    <w:rsid w:val="00CF0264"/>
    <w:rsid w:val="00CF04B5"/>
    <w:rsid w:val="00D0323F"/>
    <w:rsid w:val="00D114D3"/>
    <w:rsid w:val="00D11F1F"/>
    <w:rsid w:val="00D20599"/>
    <w:rsid w:val="00D442BB"/>
    <w:rsid w:val="00D57FF4"/>
    <w:rsid w:val="00D671B3"/>
    <w:rsid w:val="00DA3667"/>
    <w:rsid w:val="00DA562D"/>
    <w:rsid w:val="00DA5E18"/>
    <w:rsid w:val="00DC14A1"/>
    <w:rsid w:val="00DC37A6"/>
    <w:rsid w:val="00DD7097"/>
    <w:rsid w:val="00DF7494"/>
    <w:rsid w:val="00E03F31"/>
    <w:rsid w:val="00E06B7E"/>
    <w:rsid w:val="00E24737"/>
    <w:rsid w:val="00E37631"/>
    <w:rsid w:val="00E417BF"/>
    <w:rsid w:val="00E54145"/>
    <w:rsid w:val="00E56993"/>
    <w:rsid w:val="00E66469"/>
    <w:rsid w:val="00E66F55"/>
    <w:rsid w:val="00E819EB"/>
    <w:rsid w:val="00E867BD"/>
    <w:rsid w:val="00E93F10"/>
    <w:rsid w:val="00EB1926"/>
    <w:rsid w:val="00EB399C"/>
    <w:rsid w:val="00EC32CE"/>
    <w:rsid w:val="00EC387B"/>
    <w:rsid w:val="00ED18AB"/>
    <w:rsid w:val="00ED3351"/>
    <w:rsid w:val="00ED46CB"/>
    <w:rsid w:val="00ED5C93"/>
    <w:rsid w:val="00EE6A1D"/>
    <w:rsid w:val="00EF2124"/>
    <w:rsid w:val="00F020FA"/>
    <w:rsid w:val="00F0736E"/>
    <w:rsid w:val="00F24F35"/>
    <w:rsid w:val="00F279C9"/>
    <w:rsid w:val="00F50C78"/>
    <w:rsid w:val="00F668A3"/>
    <w:rsid w:val="00F822B9"/>
    <w:rsid w:val="00F914DB"/>
    <w:rsid w:val="00FA4607"/>
    <w:rsid w:val="00FB30C3"/>
    <w:rsid w:val="00FD3F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95D00F"/>
  <w15:docId w15:val="{1393715F-C059-4113-AFB9-9DEC560A8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NTT Body of Text"/>
    <w:rsid w:val="00275776"/>
    <w:rPr>
      <w:sz w:val="24"/>
      <w:szCs w:val="24"/>
      <w:lang w:val="en-AU"/>
    </w:rPr>
  </w:style>
  <w:style w:type="paragraph" w:styleId="Heading1">
    <w:name w:val="heading 1"/>
    <w:basedOn w:val="Normal"/>
    <w:next w:val="Normal"/>
    <w:link w:val="Heading1Char"/>
    <w:uiPriority w:val="9"/>
    <w:qFormat/>
    <w:rsid w:val="00585AD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14452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44521"/>
    <w:pPr>
      <w:keepNext/>
      <w:keepLines/>
      <w:spacing w:before="200"/>
      <w:outlineLvl w:val="2"/>
    </w:pPr>
    <w:rPr>
      <w:rFonts w:ascii="Calibri" w:eastAsiaTheme="majorEastAsia" w:hAnsi="Calibri" w:cstheme="majorBidi"/>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NTTfootnotepage">
    <w:name w:val="NNTT footnote page #"/>
    <w:qFormat/>
    <w:rsid w:val="00A40088"/>
    <w:rPr>
      <w:i/>
      <w:sz w:val="20"/>
    </w:rPr>
  </w:style>
  <w:style w:type="paragraph" w:customStyle="1" w:styleId="NNTTVisionStatement">
    <w:name w:val="NNTT  Vision Statement"/>
    <w:basedOn w:val="NNTTfootnotepage"/>
    <w:qFormat/>
    <w:rsid w:val="00A40088"/>
  </w:style>
  <w:style w:type="paragraph" w:customStyle="1" w:styleId="NNTTAddressBlock">
    <w:name w:val="NNTT Address Block"/>
    <w:qFormat/>
    <w:rsid w:val="00A40088"/>
    <w:rPr>
      <w:sz w:val="24"/>
      <w:szCs w:val="24"/>
      <w:lang w:val="en-AU"/>
    </w:rPr>
  </w:style>
  <w:style w:type="paragraph" w:customStyle="1" w:styleId="NNTTBodytext">
    <w:name w:val="NNTT Body text"/>
    <w:qFormat/>
    <w:rsid w:val="00437794"/>
    <w:pPr>
      <w:jc w:val="both"/>
    </w:pPr>
    <w:rPr>
      <w:rFonts w:ascii="Calibri" w:hAnsi="Calibri"/>
      <w:sz w:val="24"/>
    </w:rPr>
  </w:style>
  <w:style w:type="paragraph" w:customStyle="1" w:styleId="NNTTFooterPageNumber">
    <w:name w:val="NNTT Footer Page Number"/>
    <w:rsid w:val="00A40088"/>
    <w:pPr>
      <w:jc w:val="right"/>
    </w:pPr>
    <w:rPr>
      <w:rFonts w:eastAsia="Times New Roman" w:cs="Times New Roman"/>
      <w:sz w:val="18"/>
      <w:szCs w:val="18"/>
      <w:lang w:val="en-AU" w:eastAsia="en-AU"/>
    </w:rPr>
  </w:style>
  <w:style w:type="paragraph" w:customStyle="1" w:styleId="NNTTHeader-Footer-Reference">
    <w:name w:val="NNTT Header - Footer - Reference"/>
    <w:qFormat/>
    <w:rsid w:val="00144521"/>
    <w:pPr>
      <w:jc w:val="center"/>
    </w:pPr>
    <w:rPr>
      <w:sz w:val="18"/>
      <w:szCs w:val="24"/>
      <w:lang w:val="en-AU"/>
    </w:rPr>
  </w:style>
  <w:style w:type="paragraph" w:customStyle="1" w:styleId="NNTTHeading1">
    <w:name w:val="NNTT Heading 1"/>
    <w:qFormat/>
    <w:rsid w:val="00A40088"/>
    <w:pPr>
      <w:spacing w:before="200" w:after="60"/>
    </w:pPr>
    <w:rPr>
      <w:b/>
      <w:sz w:val="32"/>
    </w:rPr>
  </w:style>
  <w:style w:type="paragraph" w:customStyle="1" w:styleId="NNTTHeading2">
    <w:name w:val="NNTT Heading 2"/>
    <w:qFormat/>
    <w:rsid w:val="00A40088"/>
    <w:pPr>
      <w:spacing w:before="200" w:after="60"/>
    </w:pPr>
    <w:rPr>
      <w:sz w:val="30"/>
    </w:rPr>
  </w:style>
  <w:style w:type="paragraph" w:customStyle="1" w:styleId="NNTTHeading3">
    <w:name w:val="NNTT Heading 3"/>
    <w:qFormat/>
    <w:rsid w:val="00A40088"/>
    <w:pPr>
      <w:spacing w:before="200" w:after="60"/>
    </w:pPr>
    <w:rPr>
      <w:b/>
      <w:sz w:val="24"/>
    </w:rPr>
  </w:style>
  <w:style w:type="paragraph" w:customStyle="1" w:styleId="NNTTHeading4">
    <w:name w:val="NNTT Heading 4"/>
    <w:qFormat/>
    <w:rsid w:val="00A40088"/>
    <w:pPr>
      <w:spacing w:before="200" w:after="60"/>
    </w:pPr>
    <w:rPr>
      <w:i/>
      <w:sz w:val="24"/>
    </w:rPr>
  </w:style>
  <w:style w:type="paragraph" w:customStyle="1" w:styleId="NNTTNumberedList">
    <w:name w:val="NNTT Numbered List"/>
    <w:qFormat/>
    <w:rsid w:val="00A40088"/>
    <w:pPr>
      <w:numPr>
        <w:numId w:val="1"/>
      </w:numPr>
    </w:pPr>
    <w:rPr>
      <w:sz w:val="24"/>
    </w:rPr>
  </w:style>
  <w:style w:type="paragraph" w:customStyle="1" w:styleId="NNTTSignatureLine">
    <w:name w:val="NNTT Signature Line"/>
    <w:rsid w:val="00A40088"/>
    <w:rPr>
      <w:b/>
      <w:sz w:val="24"/>
    </w:rPr>
  </w:style>
  <w:style w:type="paragraph" w:customStyle="1" w:styleId="NNTTSubjectLine">
    <w:name w:val="NNTT Subject Line"/>
    <w:qFormat/>
    <w:rsid w:val="00275776"/>
    <w:pPr>
      <w:spacing w:line="360" w:lineRule="auto"/>
      <w:jc w:val="center"/>
    </w:pPr>
    <w:rPr>
      <w:b/>
      <w:sz w:val="24"/>
      <w:szCs w:val="24"/>
      <w:lang w:val="en-AU"/>
    </w:rPr>
  </w:style>
  <w:style w:type="paragraph" w:customStyle="1" w:styleId="NNTTTitle1">
    <w:name w:val="NNTT Title 1"/>
    <w:qFormat/>
    <w:rsid w:val="00A40088"/>
    <w:pPr>
      <w:spacing w:before="200" w:after="60"/>
    </w:pPr>
    <w:rPr>
      <w:b/>
      <w:sz w:val="60"/>
    </w:rPr>
  </w:style>
  <w:style w:type="paragraph" w:customStyle="1" w:styleId="NNTTTitle2">
    <w:name w:val="NNTT Title 2"/>
    <w:qFormat/>
    <w:rsid w:val="00A40088"/>
    <w:pPr>
      <w:spacing w:after="60"/>
    </w:pPr>
    <w:rPr>
      <w:b/>
      <w:sz w:val="40"/>
    </w:rPr>
  </w:style>
  <w:style w:type="paragraph" w:styleId="Header">
    <w:name w:val="header"/>
    <w:basedOn w:val="Normal"/>
    <w:link w:val="HeaderChar"/>
    <w:uiPriority w:val="99"/>
    <w:unhideWhenUsed/>
    <w:rsid w:val="00275776"/>
    <w:pPr>
      <w:tabs>
        <w:tab w:val="center" w:pos="4680"/>
        <w:tab w:val="right" w:pos="9360"/>
      </w:tabs>
    </w:pPr>
  </w:style>
  <w:style w:type="character" w:customStyle="1" w:styleId="HeaderChar">
    <w:name w:val="Header Char"/>
    <w:basedOn w:val="DefaultParagraphFont"/>
    <w:link w:val="Header"/>
    <w:uiPriority w:val="99"/>
    <w:rsid w:val="00275776"/>
  </w:style>
  <w:style w:type="paragraph" w:styleId="Footer">
    <w:name w:val="footer"/>
    <w:basedOn w:val="Normal"/>
    <w:link w:val="FooterChar"/>
    <w:uiPriority w:val="99"/>
    <w:unhideWhenUsed/>
    <w:rsid w:val="00275776"/>
    <w:pPr>
      <w:tabs>
        <w:tab w:val="center" w:pos="4680"/>
        <w:tab w:val="right" w:pos="9360"/>
      </w:tabs>
    </w:pPr>
  </w:style>
  <w:style w:type="character" w:customStyle="1" w:styleId="FooterChar">
    <w:name w:val="Footer Char"/>
    <w:basedOn w:val="DefaultParagraphFont"/>
    <w:link w:val="Footer"/>
    <w:uiPriority w:val="99"/>
    <w:rsid w:val="00275776"/>
  </w:style>
  <w:style w:type="paragraph" w:customStyle="1" w:styleId="NNTTSignaturebliock">
    <w:name w:val="NNTT Signature bliock"/>
    <w:qFormat/>
    <w:rsid w:val="00275776"/>
    <w:rPr>
      <w:b/>
      <w:sz w:val="24"/>
      <w:szCs w:val="24"/>
      <w:lang w:val="en-AU"/>
    </w:rPr>
  </w:style>
  <w:style w:type="character" w:customStyle="1" w:styleId="Heading2Char">
    <w:name w:val="Heading 2 Char"/>
    <w:basedOn w:val="DefaultParagraphFont"/>
    <w:link w:val="Heading2"/>
    <w:uiPriority w:val="9"/>
    <w:rsid w:val="00144521"/>
    <w:rPr>
      <w:rFonts w:asciiTheme="majorHAnsi" w:eastAsiaTheme="majorEastAsia" w:hAnsiTheme="majorHAnsi" w:cstheme="majorBidi"/>
      <w:b/>
      <w:bCs/>
      <w:color w:val="4F81BD" w:themeColor="accent1"/>
      <w:sz w:val="26"/>
      <w:szCs w:val="26"/>
      <w:lang w:val="en-AU"/>
    </w:rPr>
  </w:style>
  <w:style w:type="character" w:customStyle="1" w:styleId="Heading3Char">
    <w:name w:val="Heading 3 Char"/>
    <w:basedOn w:val="DefaultParagraphFont"/>
    <w:link w:val="Heading3"/>
    <w:uiPriority w:val="9"/>
    <w:rsid w:val="00144521"/>
    <w:rPr>
      <w:rFonts w:ascii="Calibri" w:eastAsiaTheme="majorEastAsia" w:hAnsi="Calibri" w:cstheme="majorBidi"/>
      <w:bCs/>
      <w:sz w:val="24"/>
      <w:szCs w:val="24"/>
      <w:lang w:val="en-AU"/>
    </w:rPr>
  </w:style>
  <w:style w:type="character" w:styleId="Hyperlink">
    <w:name w:val="Hyperlink"/>
    <w:basedOn w:val="DefaultParagraphFont"/>
    <w:uiPriority w:val="99"/>
    <w:unhideWhenUsed/>
    <w:rsid w:val="00144521"/>
    <w:rPr>
      <w:color w:val="0000FF" w:themeColor="hyperlink"/>
      <w:u w:val="single"/>
    </w:rPr>
  </w:style>
  <w:style w:type="paragraph" w:styleId="BalloonText">
    <w:name w:val="Balloon Text"/>
    <w:basedOn w:val="Normal"/>
    <w:link w:val="BalloonTextChar"/>
    <w:uiPriority w:val="99"/>
    <w:semiHidden/>
    <w:unhideWhenUsed/>
    <w:rsid w:val="00144521"/>
    <w:rPr>
      <w:rFonts w:ascii="Tahoma" w:hAnsi="Tahoma" w:cs="Tahoma"/>
      <w:sz w:val="16"/>
      <w:szCs w:val="16"/>
    </w:rPr>
  </w:style>
  <w:style w:type="character" w:customStyle="1" w:styleId="BalloonTextChar">
    <w:name w:val="Balloon Text Char"/>
    <w:basedOn w:val="DefaultParagraphFont"/>
    <w:link w:val="BalloonText"/>
    <w:uiPriority w:val="99"/>
    <w:semiHidden/>
    <w:rsid w:val="00144521"/>
    <w:rPr>
      <w:rFonts w:ascii="Tahoma" w:hAnsi="Tahoma" w:cs="Tahoma"/>
      <w:sz w:val="16"/>
      <w:szCs w:val="16"/>
      <w:lang w:val="en-AU"/>
    </w:rPr>
  </w:style>
  <w:style w:type="paragraph" w:styleId="NoSpacing">
    <w:name w:val="No Spacing"/>
    <w:uiPriority w:val="1"/>
    <w:qFormat/>
    <w:rsid w:val="00F0736E"/>
    <w:rPr>
      <w:sz w:val="24"/>
      <w:lang w:val="en-AU"/>
    </w:rPr>
  </w:style>
  <w:style w:type="character" w:styleId="FollowedHyperlink">
    <w:name w:val="FollowedHyperlink"/>
    <w:basedOn w:val="DefaultParagraphFont"/>
    <w:uiPriority w:val="99"/>
    <w:semiHidden/>
    <w:unhideWhenUsed/>
    <w:rsid w:val="00E417BF"/>
    <w:rPr>
      <w:color w:val="800080" w:themeColor="followedHyperlink"/>
      <w:u w:val="single"/>
    </w:rPr>
  </w:style>
  <w:style w:type="paragraph" w:styleId="ListParagraph">
    <w:name w:val="List Paragraph"/>
    <w:basedOn w:val="Normal"/>
    <w:uiPriority w:val="34"/>
    <w:qFormat/>
    <w:rsid w:val="00115A1D"/>
    <w:pPr>
      <w:ind w:left="720"/>
      <w:contextualSpacing/>
    </w:pPr>
  </w:style>
  <w:style w:type="character" w:customStyle="1" w:styleId="Heading1Char">
    <w:name w:val="Heading 1 Char"/>
    <w:basedOn w:val="DefaultParagraphFont"/>
    <w:link w:val="Heading1"/>
    <w:uiPriority w:val="9"/>
    <w:rsid w:val="00585ADF"/>
    <w:rPr>
      <w:rFonts w:asciiTheme="majorHAnsi" w:eastAsiaTheme="majorEastAsia" w:hAnsiTheme="majorHAnsi" w:cstheme="majorBidi"/>
      <w:color w:val="365F91" w:themeColor="accent1" w:themeShade="BF"/>
      <w:sz w:val="32"/>
      <w:szCs w:val="32"/>
      <w:lang w:val="en-AU"/>
    </w:rPr>
  </w:style>
  <w:style w:type="paragraph" w:customStyle="1" w:styleId="FCBullets">
    <w:name w:val="FCBullets"/>
    <w:basedOn w:val="Normal"/>
    <w:rsid w:val="00585ADF"/>
    <w:pPr>
      <w:numPr>
        <w:numId w:val="3"/>
      </w:numPr>
      <w:spacing w:before="60" w:after="60" w:line="360" w:lineRule="auto"/>
      <w:jc w:val="both"/>
    </w:pPr>
    <w:rPr>
      <w:rFonts w:ascii="Times New Roman" w:eastAsia="Batang" w:hAnsi="Times New Roman" w:cs="Times New Roman"/>
      <w:szCs w:val="20"/>
    </w:rPr>
  </w:style>
  <w:style w:type="paragraph" w:customStyle="1" w:styleId="NoNum">
    <w:name w:val="No Num"/>
    <w:basedOn w:val="Normal"/>
    <w:rsid w:val="00585ADF"/>
    <w:pPr>
      <w:spacing w:before="120" w:after="180" w:line="360" w:lineRule="auto"/>
      <w:jc w:val="both"/>
    </w:pPr>
    <w:rPr>
      <w:rFonts w:ascii="Times New Roman" w:eastAsia="Batang" w:hAnsi="Times New Roman" w:cs="Times New Roman"/>
      <w:szCs w:val="20"/>
    </w:rPr>
  </w:style>
  <w:style w:type="character" w:styleId="CommentReference">
    <w:name w:val="annotation reference"/>
    <w:basedOn w:val="DefaultParagraphFont"/>
    <w:uiPriority w:val="99"/>
    <w:semiHidden/>
    <w:unhideWhenUsed/>
    <w:rsid w:val="004F102D"/>
    <w:rPr>
      <w:sz w:val="16"/>
      <w:szCs w:val="16"/>
    </w:rPr>
  </w:style>
  <w:style w:type="paragraph" w:styleId="CommentText">
    <w:name w:val="annotation text"/>
    <w:basedOn w:val="Normal"/>
    <w:link w:val="CommentTextChar"/>
    <w:uiPriority w:val="99"/>
    <w:semiHidden/>
    <w:unhideWhenUsed/>
    <w:rsid w:val="004F102D"/>
    <w:rPr>
      <w:sz w:val="20"/>
      <w:szCs w:val="20"/>
    </w:rPr>
  </w:style>
  <w:style w:type="character" w:customStyle="1" w:styleId="CommentTextChar">
    <w:name w:val="Comment Text Char"/>
    <w:basedOn w:val="DefaultParagraphFont"/>
    <w:link w:val="CommentText"/>
    <w:uiPriority w:val="99"/>
    <w:semiHidden/>
    <w:rsid w:val="004F102D"/>
    <w:rPr>
      <w:sz w:val="20"/>
      <w:szCs w:val="20"/>
      <w:lang w:val="en-AU"/>
    </w:rPr>
  </w:style>
  <w:style w:type="paragraph" w:styleId="CommentSubject">
    <w:name w:val="annotation subject"/>
    <w:basedOn w:val="CommentText"/>
    <w:next w:val="CommentText"/>
    <w:link w:val="CommentSubjectChar"/>
    <w:uiPriority w:val="99"/>
    <w:semiHidden/>
    <w:unhideWhenUsed/>
    <w:rsid w:val="004F102D"/>
    <w:rPr>
      <w:b/>
      <w:bCs/>
    </w:rPr>
  </w:style>
  <w:style w:type="character" w:customStyle="1" w:styleId="CommentSubjectChar">
    <w:name w:val="Comment Subject Char"/>
    <w:basedOn w:val="CommentTextChar"/>
    <w:link w:val="CommentSubject"/>
    <w:uiPriority w:val="99"/>
    <w:semiHidden/>
    <w:rsid w:val="004F102D"/>
    <w:rPr>
      <w:b/>
      <w:bCs/>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2.xml.rels><?xml version="1.0" encoding="UTF-8" standalone="yes"?>
<Relationships xmlns="http://schemas.openxmlformats.org/package/2006/relationships"><Relationship Id="rId3" Type="http://schemas.openxmlformats.org/officeDocument/2006/relationships/hyperlink" Target="mailto:Enquiries@nntt.gov.au" TargetMode="External"/><Relationship Id="rId2" Type="http://schemas.openxmlformats.org/officeDocument/2006/relationships/hyperlink" Target="http://www.nntt.gov.au" TargetMode="External"/><Relationship Id="rId1" Type="http://schemas.openxmlformats.org/officeDocument/2006/relationships/hyperlink" Target="mailto:Enquiries@nntt.gov.au" TargetMode="External"/><Relationship Id="rId5" Type="http://schemas.openxmlformats.org/officeDocument/2006/relationships/image" Target="media/image3.png"/><Relationship Id="rId4" Type="http://schemas.openxmlformats.org/officeDocument/2006/relationships/hyperlink" Target="http://www.nntt.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9B58D7D72C3ED54C851955501673F8AC" ma:contentTypeVersion="12" ma:contentTypeDescription="ShareHub Document" ma:contentTypeScope="" ma:versionID="97f9b7b7c78848d4214b9782eb89bc56">
  <xsd:schema xmlns:xsd="http://www.w3.org/2001/XMLSchema" xmlns:xs="http://www.w3.org/2001/XMLSchema" xmlns:p="http://schemas.microsoft.com/office/2006/metadata/properties" xmlns:ns1="166541c0-0594-4e6a-9105-c24d4b6de6f7" xmlns:ns3="685f9fda-bd71-4433-b331-92feb9553089" targetNamespace="http://schemas.microsoft.com/office/2006/metadata/properties" ma:root="true" ma:fieldsID="76f1aafd45aee4e06fde14cce240cffd" ns1:_="" ns3:_="">
    <xsd:import namespace="166541c0-0594-4e6a-9105-c24d4b6de6f7"/>
    <xsd:import namespace="685f9fda-bd71-4433-b331-92feb9553089"/>
    <xsd:element name="properties">
      <xsd:complexType>
        <xsd:sequence>
          <xsd:element name="documentManagement">
            <xsd:complexType>
              <xsd:all>
                <xsd:element ref="ns1:ShareHubID" minOccurs="0"/>
                <xsd:element ref="ns3:NonRecordJustification" minOccurs="0"/>
                <xsd:element ref="ns1:PMCNotes" minOccurs="0"/>
                <xsd:element ref="ns1:mc5611b894cf49d8aeeb8ebf39dc09bc" minOccurs="0"/>
                <xsd:element ref="ns1:TaxCatchAll" minOccurs="0"/>
                <xsd:element ref="ns1:TaxCatchAllLabel" minOccurs="0"/>
                <xsd:element ref="ns1:jd1c641577414dfdab1686c9d5d0dbd0" minOccurs="0"/>
                <xsd:element ref="ns1:SharedWithUsers" minOccurs="0"/>
                <xsd:element ref="ns1:hc4a8f51d7584793bcee84017ea96cb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6541c0-0594-4e6a-9105-c24d4b6de6f7"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Classification" ma:default="57;#OFFICIAL|11463c70-78df-4e3b-b0ff-f66cd3cb26ec"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ea88e85-05a7-4360-91dc-760ce9bb3d8d}" ma:internalName="TaxCatchAll" ma:showField="CatchAllData"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ea88e85-05a7-4360-91dc-760ce9bb3d8d}" ma:internalName="TaxCatchAllLabel" ma:readOnly="true" ma:showField="CatchAllDataLabel"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c4a8f51d7584793bcee84017ea96cb3" ma:index="18" nillable="true" ma:taxonomy="true" ma:internalName="hc4a8f51d7584793bcee84017ea96cb3" ma:taxonomyFieldName="ESearchTags" ma:displayName="Tags" ma:fieldId="{1c4a8f51-d758-4793-bcee-84017ea96cb3}" ma:taxonomyMulti="true" ma:sspId="fdd71c70-8dda-4116-8995-314ca52d638a" ma:termSetId="8f252924-ebd5-4b35-b39d-81596a6204b5"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nillable="true" ma:displayName="Non-record justification" ma:default="None" ma:format="Dropdown" ma:internalName="NonRecordJustification" ma:readOnly="false">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c5611b894cf49d8aeeb8ebf39dc09bc xmlns="166541c0-0594-4e6a-9105-c24d4b6de6f7">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11463c70-78df-4e3b-b0ff-f66cd3cb26ec</TermId>
        </TermInfo>
      </Terms>
    </mc5611b894cf49d8aeeb8ebf39dc09bc>
    <ShareHubID xmlns="166541c0-0594-4e6a-9105-c24d4b6de6f7">DOC21-23137</ShareHubID>
    <TaxCatchAll xmlns="166541c0-0594-4e6a-9105-c24d4b6de6f7">
      <Value>39</Value>
      <Value>57</Value>
    </TaxCatchAll>
    <jd1c641577414dfdab1686c9d5d0dbd0 xmlns="166541c0-0594-4e6a-9105-c24d4b6de6f7">
      <Terms xmlns="http://schemas.microsoft.com/office/infopath/2007/PartnerControls"/>
    </jd1c641577414dfdab1686c9d5d0dbd0>
    <hc4a8f51d7584793bcee84017ea96cb3 xmlns="166541c0-0594-4e6a-9105-c24d4b6de6f7">
      <Terms xmlns="http://schemas.microsoft.com/office/infopath/2007/PartnerControls">
        <TermInfo xmlns="http://schemas.microsoft.com/office/infopath/2007/PartnerControls">
          <TermName xmlns="http://schemas.microsoft.com/office/infopath/2007/PartnerControls">Election</TermName>
          <TermId xmlns="http://schemas.microsoft.com/office/infopath/2007/PartnerControls">4090d51f-fccc-4f41-80dd-86270166a8a3</TermId>
        </TermInfo>
      </Terms>
    </hc4a8f51d7584793bcee84017ea96cb3>
    <PMCNotes xmlns="166541c0-0594-4e6a-9105-c24d4b6de6f7" xsi:nil="true"/>
    <NonRecordJustification xmlns="685f9fda-bd71-4433-b331-92feb9553089">None</NonRecordJustification>
  </documentManagement>
</p:properties>
</file>

<file path=customXml/itemProps1.xml><?xml version="1.0" encoding="utf-8"?>
<ds:datastoreItem xmlns:ds="http://schemas.openxmlformats.org/officeDocument/2006/customXml" ds:itemID="{0EA5F734-6C7A-4E3F-8313-FDBDC36D674C}">
  <ds:schemaRefs>
    <ds:schemaRef ds:uri="http://schemas.openxmlformats.org/officeDocument/2006/bibliography"/>
  </ds:schemaRefs>
</ds:datastoreItem>
</file>

<file path=customXml/itemProps2.xml><?xml version="1.0" encoding="utf-8"?>
<ds:datastoreItem xmlns:ds="http://schemas.openxmlformats.org/officeDocument/2006/customXml" ds:itemID="{6DFA6A73-814A-4045-8A14-20ACD0B0250D}"/>
</file>

<file path=customXml/itemProps3.xml><?xml version="1.0" encoding="utf-8"?>
<ds:datastoreItem xmlns:ds="http://schemas.openxmlformats.org/officeDocument/2006/customXml" ds:itemID="{F0116EC1-6DCE-4141-BF06-AE260A32BCB5}"/>
</file>

<file path=customXml/itemProps4.xml><?xml version="1.0" encoding="utf-8"?>
<ds:datastoreItem xmlns:ds="http://schemas.openxmlformats.org/officeDocument/2006/customXml" ds:itemID="{527F30A3-6286-45EC-BCE5-1C9BCEB922AF}"/>
</file>

<file path=docProps/app.xml><?xml version="1.0" encoding="utf-8"?>
<Properties xmlns="http://schemas.openxmlformats.org/officeDocument/2006/extended-properties" xmlns:vt="http://schemas.openxmlformats.org/officeDocument/2006/docPropsVTypes">
  <Template>Normal.dotm</Template>
  <TotalTime>1</TotalTime>
  <Pages>1</Pages>
  <Words>2212</Words>
  <Characters>12612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National Native Title Tribunal</Company>
  <LinksUpToDate>false</LinksUpToDate>
  <CharactersWithSpaces>14795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warren9a</dc:creator>
  <cp:lastModifiedBy>Marilyn Robins</cp:lastModifiedBy>
  <cp:revision>2</cp:revision>
  <cp:lastPrinted>2020-08-06T01:51:00Z</cp:lastPrinted>
  <dcterms:created xsi:type="dcterms:W3CDTF">2020-08-17T01:28:00Z</dcterms:created>
  <dcterms:modified xsi:type="dcterms:W3CDTF">2020-08-17T01:28:00Z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PRMSecurityLevel">
    <vt:lpwstr>57;#OFFICIAL|11463c70-78df-4e3b-b0ff-f66cd3cb26ec</vt:lpwstr>
  </property>
  <property fmtid="{D5CDD505-2E9C-101B-9397-08002B2CF9AE}" pid="3" name="ContentTypeId">
    <vt:lpwstr>0x0101002825A64A6E1845A99A9D8EE8A5686ECB009B58D7D72C3ED54C851955501673F8AC</vt:lpwstr>
  </property>
  <property fmtid="{D5CDD505-2E9C-101B-9397-08002B2CF9AE}" pid="4" name="ESearchTags">
    <vt:lpwstr>39;#Election|4090d51f-fccc-4f41-80dd-86270166a8a3</vt:lpwstr>
  </property>
  <property fmtid="{D5CDD505-2E9C-101B-9397-08002B2CF9AE}" pid="5" name="PMC.ESearch.TagGeneratedTime">
    <vt:lpwstr>2021-02-15T15:53:03</vt:lpwstr>
  </property>
  <property fmtid="{D5CDD505-2E9C-101B-9397-08002B2CF9AE}" pid="6" name="HPRMSecurityCaveat">
    <vt:lpwstr/>
  </property>
</Properties>
</file>