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EB197" w14:textId="3C225F8D" w:rsidR="00CF61D9" w:rsidRPr="00197FC8" w:rsidRDefault="00CF61D9" w:rsidP="00197FC8">
      <w:pPr>
        <w:spacing w:after="0" w:line="240" w:lineRule="auto"/>
        <w:jc w:val="center"/>
        <w:rPr>
          <w:rFonts w:ascii="Times New Roman" w:hAnsi="Times New Roman" w:cs="Times New Roman"/>
          <w:b/>
          <w:sz w:val="24"/>
          <w:szCs w:val="24"/>
        </w:rPr>
      </w:pPr>
      <w:r w:rsidRPr="00197FC8">
        <w:rPr>
          <w:rFonts w:ascii="Times New Roman" w:hAnsi="Times New Roman" w:cs="Times New Roman"/>
          <w:b/>
          <w:sz w:val="24"/>
          <w:szCs w:val="24"/>
        </w:rPr>
        <w:t>Submission to National Indigenous Australian Agency</w:t>
      </w:r>
    </w:p>
    <w:p w14:paraId="330F9D96" w14:textId="77777777" w:rsidR="00CF61D9" w:rsidRPr="00197FC8" w:rsidRDefault="00CF61D9" w:rsidP="00197FC8">
      <w:pPr>
        <w:spacing w:after="0" w:line="240" w:lineRule="auto"/>
        <w:jc w:val="center"/>
        <w:rPr>
          <w:rFonts w:ascii="Times New Roman" w:hAnsi="Times New Roman" w:cs="Times New Roman"/>
          <w:b/>
          <w:sz w:val="24"/>
          <w:szCs w:val="24"/>
        </w:rPr>
      </w:pPr>
    </w:p>
    <w:p w14:paraId="791D5204" w14:textId="458038E6" w:rsidR="00CF61D9" w:rsidRPr="00197FC8" w:rsidRDefault="00CF61D9" w:rsidP="00197FC8">
      <w:pPr>
        <w:spacing w:after="0" w:line="240" w:lineRule="auto"/>
        <w:jc w:val="center"/>
        <w:outlineLvl w:val="0"/>
        <w:rPr>
          <w:rFonts w:ascii="Times New Roman" w:eastAsia="Times New Roman" w:hAnsi="Times New Roman" w:cs="Times New Roman"/>
          <w:b/>
          <w:bCs/>
          <w:color w:val="222222"/>
          <w:kern w:val="36"/>
          <w:sz w:val="24"/>
          <w:szCs w:val="24"/>
          <w:lang w:eastAsia="en-AU"/>
        </w:rPr>
      </w:pPr>
      <w:r w:rsidRPr="00197FC8">
        <w:rPr>
          <w:rFonts w:ascii="Times New Roman" w:eastAsia="Times New Roman" w:hAnsi="Times New Roman" w:cs="Times New Roman"/>
          <w:b/>
          <w:bCs/>
          <w:color w:val="222222"/>
          <w:kern w:val="36"/>
          <w:sz w:val="24"/>
          <w:szCs w:val="24"/>
          <w:lang w:eastAsia="en-AU"/>
        </w:rPr>
        <w:t>CATSI Act Review</w:t>
      </w:r>
    </w:p>
    <w:p w14:paraId="74E04B13" w14:textId="77777777" w:rsidR="00CF61D9" w:rsidRPr="00197FC8" w:rsidRDefault="00CF61D9" w:rsidP="00197FC8">
      <w:pPr>
        <w:spacing w:after="0" w:line="240" w:lineRule="auto"/>
        <w:jc w:val="center"/>
        <w:outlineLvl w:val="0"/>
        <w:rPr>
          <w:rFonts w:ascii="Times New Roman" w:eastAsia="Times New Roman" w:hAnsi="Times New Roman" w:cs="Times New Roman"/>
          <w:b/>
          <w:bCs/>
          <w:color w:val="222222"/>
          <w:kern w:val="36"/>
          <w:sz w:val="24"/>
          <w:szCs w:val="24"/>
          <w:lang w:eastAsia="en-AU"/>
        </w:rPr>
      </w:pPr>
    </w:p>
    <w:p w14:paraId="5BAD2032" w14:textId="77777777" w:rsidR="00CF61D9" w:rsidRPr="00197FC8" w:rsidRDefault="00CF61D9" w:rsidP="00197FC8">
      <w:pPr>
        <w:spacing w:after="0" w:line="240" w:lineRule="auto"/>
        <w:jc w:val="center"/>
        <w:outlineLvl w:val="0"/>
        <w:rPr>
          <w:rFonts w:ascii="Times New Roman" w:eastAsia="Times New Roman" w:hAnsi="Times New Roman" w:cs="Times New Roman"/>
          <w:b/>
          <w:bCs/>
          <w:color w:val="222222"/>
          <w:kern w:val="36"/>
          <w:sz w:val="24"/>
          <w:szCs w:val="24"/>
          <w:lang w:eastAsia="en-AU"/>
        </w:rPr>
      </w:pPr>
    </w:p>
    <w:p w14:paraId="1BB90797" w14:textId="77777777" w:rsidR="00CF61D9" w:rsidRPr="00197FC8" w:rsidRDefault="00CF61D9" w:rsidP="00197FC8">
      <w:pPr>
        <w:spacing w:after="0" w:line="240" w:lineRule="auto"/>
        <w:rPr>
          <w:rFonts w:ascii="Times New Roman" w:hAnsi="Times New Roman" w:cs="Times New Roman"/>
          <w:sz w:val="24"/>
          <w:szCs w:val="24"/>
        </w:rPr>
      </w:pPr>
    </w:p>
    <w:p w14:paraId="2464F523" w14:textId="77777777" w:rsidR="00CF61D9" w:rsidRPr="00197FC8" w:rsidRDefault="00CF61D9" w:rsidP="00197FC8">
      <w:pPr>
        <w:spacing w:after="0" w:line="240" w:lineRule="auto"/>
        <w:jc w:val="center"/>
        <w:rPr>
          <w:rFonts w:ascii="Times New Roman" w:hAnsi="Times New Roman" w:cs="Times New Roman"/>
          <w:sz w:val="24"/>
          <w:szCs w:val="24"/>
        </w:rPr>
      </w:pPr>
      <w:r w:rsidRPr="00197FC8">
        <w:rPr>
          <w:rFonts w:ascii="Times New Roman" w:hAnsi="Times New Roman" w:cs="Times New Roman"/>
          <w:sz w:val="24"/>
          <w:szCs w:val="24"/>
        </w:rPr>
        <w:t>Dr Marina Nehme</w:t>
      </w:r>
    </w:p>
    <w:p w14:paraId="501D0BEB" w14:textId="77777777" w:rsidR="00CF61D9" w:rsidRPr="00197FC8" w:rsidRDefault="00CF61D9" w:rsidP="00197FC8">
      <w:pPr>
        <w:spacing w:after="0" w:line="240" w:lineRule="auto"/>
        <w:jc w:val="center"/>
        <w:rPr>
          <w:rFonts w:ascii="Times New Roman" w:hAnsi="Times New Roman" w:cs="Times New Roman"/>
          <w:sz w:val="24"/>
          <w:szCs w:val="24"/>
        </w:rPr>
      </w:pPr>
    </w:p>
    <w:p w14:paraId="055F05CD" w14:textId="0330A3E4" w:rsidR="00CF61D9" w:rsidRPr="00197FC8" w:rsidRDefault="00CF61D9" w:rsidP="00197FC8">
      <w:pPr>
        <w:spacing w:after="0" w:line="240" w:lineRule="auto"/>
        <w:jc w:val="center"/>
        <w:rPr>
          <w:rFonts w:ascii="Times New Roman" w:hAnsi="Times New Roman" w:cs="Times New Roman"/>
          <w:sz w:val="24"/>
          <w:szCs w:val="24"/>
        </w:rPr>
      </w:pPr>
      <w:r w:rsidRPr="00197FC8">
        <w:rPr>
          <w:rFonts w:ascii="Times New Roman" w:hAnsi="Times New Roman" w:cs="Times New Roman"/>
          <w:sz w:val="24"/>
          <w:szCs w:val="24"/>
        </w:rPr>
        <w:t>Associate Professor</w:t>
      </w:r>
    </w:p>
    <w:p w14:paraId="296E2B44" w14:textId="77777777" w:rsidR="00CF61D9" w:rsidRPr="00197FC8" w:rsidRDefault="00CF61D9" w:rsidP="00197FC8">
      <w:pPr>
        <w:spacing w:after="0" w:line="240" w:lineRule="auto"/>
        <w:jc w:val="center"/>
        <w:rPr>
          <w:rFonts w:ascii="Times New Roman" w:hAnsi="Times New Roman" w:cs="Times New Roman"/>
          <w:sz w:val="24"/>
          <w:szCs w:val="24"/>
        </w:rPr>
      </w:pPr>
      <w:r w:rsidRPr="00197FC8">
        <w:rPr>
          <w:rFonts w:ascii="Times New Roman" w:hAnsi="Times New Roman" w:cs="Times New Roman"/>
          <w:sz w:val="24"/>
          <w:szCs w:val="24"/>
        </w:rPr>
        <w:t>Law Faculty</w:t>
      </w:r>
    </w:p>
    <w:p w14:paraId="027EA679" w14:textId="77777777" w:rsidR="00CF61D9" w:rsidRPr="00197FC8" w:rsidRDefault="00CF61D9" w:rsidP="00197FC8">
      <w:pPr>
        <w:spacing w:after="0" w:line="240" w:lineRule="auto"/>
        <w:jc w:val="center"/>
        <w:rPr>
          <w:rFonts w:ascii="Times New Roman" w:hAnsi="Times New Roman" w:cs="Times New Roman"/>
          <w:sz w:val="24"/>
          <w:szCs w:val="24"/>
        </w:rPr>
      </w:pPr>
      <w:r w:rsidRPr="00197FC8">
        <w:rPr>
          <w:rFonts w:ascii="Times New Roman" w:hAnsi="Times New Roman" w:cs="Times New Roman"/>
          <w:sz w:val="24"/>
          <w:szCs w:val="24"/>
        </w:rPr>
        <w:t>University of New South Wales, Sydney</w:t>
      </w:r>
    </w:p>
    <w:p w14:paraId="4FC53078" w14:textId="77777777" w:rsidR="00CF61D9" w:rsidRPr="00197FC8" w:rsidRDefault="00CF61D9" w:rsidP="00197FC8">
      <w:pPr>
        <w:spacing w:after="0" w:line="240" w:lineRule="auto"/>
        <w:rPr>
          <w:rFonts w:ascii="Times New Roman" w:hAnsi="Times New Roman" w:cs="Times New Roman"/>
          <w:sz w:val="24"/>
          <w:szCs w:val="24"/>
        </w:rPr>
      </w:pPr>
    </w:p>
    <w:p w14:paraId="5AE1547F" w14:textId="77777777" w:rsidR="00CF61D9" w:rsidRPr="00197FC8" w:rsidRDefault="00CF61D9" w:rsidP="00197FC8">
      <w:pPr>
        <w:spacing w:after="0" w:line="240" w:lineRule="auto"/>
        <w:rPr>
          <w:rFonts w:ascii="Times New Roman" w:hAnsi="Times New Roman" w:cs="Times New Roman"/>
          <w:sz w:val="24"/>
          <w:szCs w:val="24"/>
        </w:rPr>
      </w:pPr>
    </w:p>
    <w:p w14:paraId="11736202" w14:textId="77777777" w:rsidR="00CF61D9" w:rsidRPr="00197FC8" w:rsidRDefault="00CF61D9" w:rsidP="00197FC8">
      <w:pPr>
        <w:spacing w:after="0" w:line="240" w:lineRule="auto"/>
        <w:rPr>
          <w:rFonts w:ascii="Times New Roman" w:hAnsi="Times New Roman" w:cs="Times New Roman"/>
          <w:sz w:val="24"/>
          <w:szCs w:val="24"/>
        </w:rPr>
      </w:pPr>
    </w:p>
    <w:p w14:paraId="1283A059" w14:textId="77777777" w:rsidR="00CF61D9" w:rsidRPr="007743B3" w:rsidRDefault="00CF61D9" w:rsidP="00197FC8">
      <w:pPr>
        <w:spacing w:after="0" w:line="240" w:lineRule="auto"/>
        <w:rPr>
          <w:rFonts w:ascii="Times New Roman" w:hAnsi="Times New Roman" w:cs="Times New Roman"/>
          <w:sz w:val="24"/>
          <w:szCs w:val="24"/>
        </w:rPr>
      </w:pPr>
    </w:p>
    <w:p w14:paraId="5EAB43F5" w14:textId="77777777" w:rsidR="00CF61D9" w:rsidRPr="00197FC8" w:rsidRDefault="00CF61D9" w:rsidP="00197FC8">
      <w:pPr>
        <w:keepNext/>
        <w:shd w:val="clear" w:color="auto" w:fill="C0C0C0"/>
        <w:spacing w:after="0" w:line="240" w:lineRule="auto"/>
        <w:jc w:val="center"/>
        <w:outlineLvl w:val="0"/>
        <w:rPr>
          <w:rFonts w:ascii="Times New Roman" w:hAnsi="Times New Roman" w:cs="Times New Roman"/>
          <w:b/>
          <w:bCs/>
          <w:kern w:val="32"/>
          <w:sz w:val="24"/>
          <w:szCs w:val="24"/>
        </w:rPr>
      </w:pPr>
      <w:r w:rsidRPr="00197FC8">
        <w:rPr>
          <w:rFonts w:ascii="Times New Roman" w:hAnsi="Times New Roman" w:cs="Times New Roman"/>
          <w:b/>
          <w:bCs/>
          <w:kern w:val="32"/>
          <w:sz w:val="24"/>
          <w:szCs w:val="24"/>
        </w:rPr>
        <w:t>INTRODUCTION</w:t>
      </w:r>
    </w:p>
    <w:p w14:paraId="6B5AEEBC" w14:textId="77777777" w:rsidR="00CF61D9" w:rsidRPr="007743B3" w:rsidRDefault="00CF61D9" w:rsidP="00197FC8">
      <w:pPr>
        <w:spacing w:after="0" w:line="240" w:lineRule="auto"/>
        <w:rPr>
          <w:rFonts w:ascii="Times New Roman" w:hAnsi="Times New Roman" w:cs="Times New Roman"/>
          <w:sz w:val="24"/>
          <w:szCs w:val="24"/>
        </w:rPr>
      </w:pPr>
    </w:p>
    <w:p w14:paraId="0FB999CC" w14:textId="7EF45762" w:rsidR="00197FC8" w:rsidRPr="00197FC8" w:rsidRDefault="00CF61D9" w:rsidP="007743B3">
      <w:pPr>
        <w:spacing w:after="0" w:line="240" w:lineRule="auto"/>
        <w:jc w:val="both"/>
        <w:rPr>
          <w:rFonts w:ascii="Times New Roman" w:eastAsia="Times New Roman" w:hAnsi="Times New Roman" w:cs="Times New Roman"/>
          <w:bCs/>
          <w:color w:val="222222"/>
          <w:kern w:val="36"/>
          <w:sz w:val="24"/>
          <w:szCs w:val="24"/>
          <w:lang w:eastAsia="en-AU"/>
        </w:rPr>
      </w:pPr>
      <w:r w:rsidRPr="00197FC8">
        <w:rPr>
          <w:rFonts w:ascii="Times New Roman" w:hAnsi="Times New Roman" w:cs="Times New Roman"/>
          <w:sz w:val="24"/>
          <w:szCs w:val="24"/>
        </w:rPr>
        <w:t xml:space="preserve">This submission is in response to the issue </w:t>
      </w:r>
      <w:r w:rsidR="00197FC8" w:rsidRPr="00197FC8">
        <w:rPr>
          <w:rFonts w:ascii="Times New Roman" w:hAnsi="Times New Roman" w:cs="Times New Roman"/>
          <w:sz w:val="24"/>
          <w:szCs w:val="24"/>
        </w:rPr>
        <w:t>raised by</w:t>
      </w:r>
      <w:r w:rsidRPr="007743B3">
        <w:rPr>
          <w:rFonts w:ascii="Times New Roman" w:hAnsi="Times New Roman" w:cs="Times New Roman"/>
          <w:sz w:val="24"/>
          <w:szCs w:val="24"/>
        </w:rPr>
        <w:t xml:space="preserve"> the </w:t>
      </w:r>
      <w:r w:rsidRPr="007743B3">
        <w:rPr>
          <w:rFonts w:ascii="Times New Roman" w:eastAsia="Times New Roman" w:hAnsi="Times New Roman" w:cs="Times New Roman"/>
          <w:bCs/>
          <w:color w:val="222222"/>
          <w:kern w:val="36"/>
          <w:sz w:val="24"/>
          <w:szCs w:val="24"/>
          <w:lang w:eastAsia="en-AU"/>
        </w:rPr>
        <w:t>CATSI Act Review Draft Report</w:t>
      </w:r>
      <w:r w:rsidR="0007799B" w:rsidRPr="007743B3">
        <w:rPr>
          <w:rFonts w:ascii="Times New Roman" w:eastAsia="Times New Roman" w:hAnsi="Times New Roman" w:cs="Times New Roman"/>
          <w:bCs/>
          <w:color w:val="222222"/>
          <w:kern w:val="36"/>
          <w:sz w:val="24"/>
          <w:szCs w:val="24"/>
          <w:lang w:eastAsia="en-AU"/>
        </w:rPr>
        <w:t xml:space="preserve">. </w:t>
      </w:r>
      <w:r w:rsidRPr="007743B3">
        <w:rPr>
          <w:rFonts w:ascii="Times New Roman" w:hAnsi="Times New Roman" w:cs="Times New Roman"/>
          <w:sz w:val="24"/>
          <w:szCs w:val="24"/>
        </w:rPr>
        <w:t xml:space="preserve">The aim of this submission is to provide an informed debate on the key issues considered by the </w:t>
      </w:r>
      <w:r w:rsidR="00D72885" w:rsidRPr="007743B3">
        <w:rPr>
          <w:rFonts w:ascii="Times New Roman" w:hAnsi="Times New Roman" w:cs="Times New Roman"/>
          <w:sz w:val="24"/>
          <w:szCs w:val="24"/>
        </w:rPr>
        <w:t>Draft Report</w:t>
      </w:r>
      <w:r w:rsidRPr="007743B3">
        <w:rPr>
          <w:rFonts w:ascii="Times New Roman" w:hAnsi="Times New Roman" w:cs="Times New Roman"/>
          <w:sz w:val="24"/>
          <w:szCs w:val="24"/>
        </w:rPr>
        <w:t xml:space="preserve">.  Some of the suggestions that have been provided are of a policy nature and observe the need to empower Aboriginal and Torres Strait Islander Corporations (CATSI Corporations) to provide them with more flexibility and to remove unnecessary red tape attached to the running of these </w:t>
      </w:r>
      <w:r w:rsidR="00197FC8" w:rsidRPr="007743B3">
        <w:rPr>
          <w:rFonts w:ascii="Times New Roman" w:hAnsi="Times New Roman" w:cs="Times New Roman"/>
          <w:sz w:val="24"/>
          <w:szCs w:val="24"/>
        </w:rPr>
        <w:t>entities</w:t>
      </w:r>
      <w:r w:rsidRPr="007743B3">
        <w:rPr>
          <w:rFonts w:ascii="Times New Roman" w:hAnsi="Times New Roman" w:cs="Times New Roman"/>
          <w:sz w:val="24"/>
          <w:szCs w:val="24"/>
        </w:rPr>
        <w:t xml:space="preserve">. </w:t>
      </w:r>
    </w:p>
    <w:p w14:paraId="572FDFB9" w14:textId="77777777" w:rsidR="00CF61D9" w:rsidRPr="00197FC8" w:rsidRDefault="00CF61D9" w:rsidP="00197FC8">
      <w:pPr>
        <w:spacing w:after="0" w:line="240" w:lineRule="auto"/>
        <w:jc w:val="both"/>
        <w:rPr>
          <w:rFonts w:ascii="Times New Roman" w:hAnsi="Times New Roman" w:cs="Times New Roman"/>
          <w:sz w:val="24"/>
          <w:szCs w:val="24"/>
        </w:rPr>
      </w:pPr>
    </w:p>
    <w:p w14:paraId="62A6A242" w14:textId="5B9159FD" w:rsidR="00CF61D9" w:rsidRPr="00197FC8" w:rsidRDefault="00CF61D9" w:rsidP="00E418B7">
      <w:pPr>
        <w:shd w:val="clear" w:color="auto" w:fill="FFFFFF"/>
        <w:spacing w:after="0" w:line="240" w:lineRule="auto"/>
        <w:jc w:val="both"/>
        <w:rPr>
          <w:rFonts w:ascii="Times New Roman" w:hAnsi="Times New Roman" w:cs="Times New Roman"/>
          <w:sz w:val="24"/>
          <w:szCs w:val="24"/>
        </w:rPr>
      </w:pPr>
      <w:r w:rsidRPr="00E418B7">
        <w:rPr>
          <w:rFonts w:ascii="Times New Roman" w:hAnsi="Times New Roman" w:cs="Times New Roman"/>
          <w:sz w:val="24"/>
          <w:szCs w:val="24"/>
        </w:rPr>
        <w:t>If any of the responses require further explanation</w:t>
      </w:r>
      <w:r w:rsidRPr="000A73C8">
        <w:rPr>
          <w:rFonts w:ascii="Times New Roman" w:hAnsi="Times New Roman" w:cs="Times New Roman"/>
          <w:sz w:val="24"/>
          <w:szCs w:val="24"/>
        </w:rPr>
        <w:t>s,</w:t>
      </w:r>
      <w:r w:rsidRPr="00213170">
        <w:rPr>
          <w:rFonts w:ascii="Times New Roman" w:hAnsi="Times New Roman" w:cs="Times New Roman"/>
          <w:sz w:val="24"/>
          <w:szCs w:val="24"/>
        </w:rPr>
        <w:t xml:space="preserve"> please contact</w:t>
      </w:r>
      <w:r w:rsidR="00D72885" w:rsidRPr="00213170">
        <w:rPr>
          <w:rFonts w:ascii="Times New Roman" w:hAnsi="Times New Roman" w:cs="Times New Roman"/>
          <w:sz w:val="24"/>
          <w:szCs w:val="24"/>
        </w:rPr>
        <w:t xml:space="preserve"> Associate Professor </w:t>
      </w:r>
      <w:r w:rsidRPr="00320E7B">
        <w:rPr>
          <w:rFonts w:ascii="Times New Roman" w:hAnsi="Times New Roman" w:cs="Times New Roman"/>
          <w:sz w:val="24"/>
          <w:szCs w:val="24"/>
        </w:rPr>
        <w:t xml:space="preserve">Marina Nehme at </w:t>
      </w:r>
      <w:hyperlink r:id="rId8" w:history="1">
        <w:r w:rsidRPr="007743B3">
          <w:rPr>
            <w:rStyle w:val="Hyperlink"/>
            <w:rFonts w:ascii="Times New Roman" w:hAnsi="Times New Roman" w:cs="Times New Roman"/>
            <w:sz w:val="24"/>
            <w:szCs w:val="24"/>
          </w:rPr>
          <w:t>m.nehme@unsw.edu.au</w:t>
        </w:r>
      </w:hyperlink>
      <w:r w:rsidRPr="00197FC8">
        <w:rPr>
          <w:rFonts w:ascii="Times New Roman" w:hAnsi="Times New Roman" w:cs="Times New Roman"/>
          <w:sz w:val="24"/>
          <w:szCs w:val="24"/>
        </w:rPr>
        <w:t>.</w:t>
      </w:r>
    </w:p>
    <w:p w14:paraId="6218522B" w14:textId="77777777" w:rsidR="00005F5C" w:rsidRPr="00197FC8" w:rsidRDefault="00005F5C" w:rsidP="00E418B7">
      <w:pPr>
        <w:spacing w:after="0" w:line="240" w:lineRule="auto"/>
        <w:rPr>
          <w:rFonts w:ascii="Times New Roman" w:hAnsi="Times New Roman" w:cs="Times New Roman"/>
          <w:sz w:val="24"/>
          <w:szCs w:val="24"/>
        </w:rPr>
      </w:pPr>
    </w:p>
    <w:p w14:paraId="2D30A47A" w14:textId="77777777" w:rsidR="00CF61D9" w:rsidRPr="007743B3" w:rsidRDefault="00CF61D9" w:rsidP="000A73C8">
      <w:pPr>
        <w:spacing w:after="0" w:line="240" w:lineRule="auto"/>
        <w:rPr>
          <w:rFonts w:ascii="Times New Roman" w:hAnsi="Times New Roman" w:cs="Times New Roman"/>
          <w:sz w:val="24"/>
          <w:szCs w:val="24"/>
        </w:rPr>
      </w:pPr>
    </w:p>
    <w:p w14:paraId="3E229AE3" w14:textId="77777777" w:rsidR="00CF61D9" w:rsidRPr="00197FC8" w:rsidRDefault="00CF61D9" w:rsidP="00213170">
      <w:pPr>
        <w:keepNext/>
        <w:shd w:val="clear" w:color="auto" w:fill="C0C0C0"/>
        <w:spacing w:after="0" w:line="240" w:lineRule="auto"/>
        <w:jc w:val="center"/>
        <w:outlineLvl w:val="0"/>
        <w:rPr>
          <w:rFonts w:ascii="Times New Roman" w:hAnsi="Times New Roman" w:cs="Times New Roman"/>
          <w:b/>
          <w:bCs/>
          <w:kern w:val="32"/>
          <w:sz w:val="24"/>
          <w:szCs w:val="24"/>
        </w:rPr>
      </w:pPr>
      <w:r w:rsidRPr="00197FC8">
        <w:rPr>
          <w:rFonts w:ascii="Times New Roman" w:hAnsi="Times New Roman" w:cs="Times New Roman"/>
          <w:b/>
          <w:bCs/>
          <w:kern w:val="32"/>
          <w:sz w:val="24"/>
          <w:szCs w:val="24"/>
        </w:rPr>
        <w:t>SUMMARY OF OBSERVATIONS MADE IN THIS SUBMISSION</w:t>
      </w:r>
    </w:p>
    <w:p w14:paraId="509CC3A4" w14:textId="77777777" w:rsidR="00CF61D9" w:rsidRPr="007743B3" w:rsidRDefault="00CF61D9" w:rsidP="00320E7B">
      <w:pPr>
        <w:spacing w:after="0" w:line="240" w:lineRule="auto"/>
        <w:rPr>
          <w:rFonts w:ascii="Times New Roman" w:hAnsi="Times New Roman" w:cs="Times New Roman"/>
          <w:sz w:val="24"/>
          <w:szCs w:val="24"/>
        </w:rPr>
      </w:pPr>
    </w:p>
    <w:p w14:paraId="290A47DE" w14:textId="77777777" w:rsidR="00CF61D9" w:rsidRPr="006823AE" w:rsidRDefault="00CF61D9" w:rsidP="008D7E28">
      <w:pPr>
        <w:spacing w:after="0" w:line="240" w:lineRule="auto"/>
        <w:jc w:val="both"/>
        <w:rPr>
          <w:rFonts w:ascii="Times New Roman" w:hAnsi="Times New Roman" w:cs="Times New Roman"/>
          <w:sz w:val="24"/>
          <w:szCs w:val="24"/>
        </w:rPr>
      </w:pPr>
      <w:r w:rsidRPr="00197FC8">
        <w:rPr>
          <w:rFonts w:ascii="Times New Roman" w:hAnsi="Times New Roman" w:cs="Times New Roman"/>
          <w:sz w:val="24"/>
          <w:szCs w:val="24"/>
        </w:rPr>
        <w:t>This submission makes the following recommendations:</w:t>
      </w:r>
    </w:p>
    <w:p w14:paraId="0A73C899" w14:textId="77777777" w:rsidR="00CF61D9" w:rsidRPr="00E418B7" w:rsidRDefault="00CF61D9" w:rsidP="00D02555">
      <w:pPr>
        <w:spacing w:after="0" w:line="240" w:lineRule="auto"/>
        <w:jc w:val="both"/>
        <w:rPr>
          <w:rFonts w:ascii="Times New Roman" w:hAnsi="Times New Roman" w:cs="Times New Roman"/>
          <w:sz w:val="24"/>
          <w:szCs w:val="24"/>
        </w:rPr>
      </w:pPr>
    </w:p>
    <w:p w14:paraId="6C85C7F6" w14:textId="67094095" w:rsidR="00197FC8" w:rsidRDefault="00197FC8" w:rsidP="00197FC8">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7743B3">
        <w:rPr>
          <w:rFonts w:ascii="Times New Roman" w:hAnsi="Times New Roman" w:cs="Times New Roman"/>
          <w:i/>
          <w:iCs/>
          <w:sz w:val="24"/>
          <w:szCs w:val="24"/>
        </w:rPr>
        <w:t>Corporations (Aboriginal and Torres Strait Islander) Act</w:t>
      </w:r>
      <w:r>
        <w:rPr>
          <w:rFonts w:ascii="Times New Roman" w:hAnsi="Times New Roman" w:cs="Times New Roman"/>
          <w:i/>
          <w:iCs/>
          <w:sz w:val="24"/>
          <w:szCs w:val="24"/>
        </w:rPr>
        <w:t xml:space="preserve"> 2006</w:t>
      </w:r>
      <w:r w:rsidRPr="000F3FA5">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Cth</w:t>
      </w:r>
      <w:proofErr w:type="spellEnd"/>
      <w:r>
        <w:rPr>
          <w:rFonts w:ascii="Times New Roman" w:hAnsi="Times New Roman" w:cs="Times New Roman"/>
          <w:sz w:val="24"/>
          <w:szCs w:val="24"/>
        </w:rPr>
        <w:t>) (</w:t>
      </w:r>
      <w:r w:rsidRPr="007743B3">
        <w:rPr>
          <w:rFonts w:ascii="Times New Roman" w:hAnsi="Times New Roman" w:cs="Times New Roman"/>
          <w:i/>
          <w:iCs/>
          <w:sz w:val="24"/>
          <w:szCs w:val="24"/>
        </w:rPr>
        <w:t>CATSI Act</w:t>
      </w:r>
      <w:r>
        <w:rPr>
          <w:rFonts w:ascii="Times New Roman" w:hAnsi="Times New Roman" w:cs="Times New Roman"/>
          <w:sz w:val="24"/>
          <w:szCs w:val="24"/>
        </w:rPr>
        <w:t>) should be retained as it has the potential to play an important role in closing the gap</w:t>
      </w:r>
      <w:r w:rsidR="00D21A53">
        <w:rPr>
          <w:rFonts w:ascii="Times New Roman" w:hAnsi="Times New Roman" w:cs="Times New Roman"/>
          <w:sz w:val="24"/>
          <w:szCs w:val="24"/>
        </w:rPr>
        <w:t xml:space="preserve"> and empowering </w:t>
      </w:r>
      <w:r w:rsidR="007C5440">
        <w:rPr>
          <w:rFonts w:ascii="Times New Roman" w:hAnsi="Times New Roman" w:cs="Times New Roman"/>
          <w:sz w:val="24"/>
          <w:szCs w:val="24"/>
        </w:rPr>
        <w:t>I</w:t>
      </w:r>
      <w:r w:rsidR="00D21A53">
        <w:rPr>
          <w:rFonts w:ascii="Times New Roman" w:hAnsi="Times New Roman" w:cs="Times New Roman"/>
          <w:sz w:val="24"/>
          <w:szCs w:val="24"/>
        </w:rPr>
        <w:t xml:space="preserve">ndigenous </w:t>
      </w:r>
      <w:proofErr w:type="gramStart"/>
      <w:r w:rsidR="00D21A53">
        <w:rPr>
          <w:rFonts w:ascii="Times New Roman" w:hAnsi="Times New Roman" w:cs="Times New Roman"/>
          <w:sz w:val="24"/>
          <w:szCs w:val="24"/>
        </w:rPr>
        <w:t>people;</w:t>
      </w:r>
      <w:proofErr w:type="gramEnd"/>
    </w:p>
    <w:p w14:paraId="16E34ADC" w14:textId="09564909" w:rsidR="00CF61D9" w:rsidRPr="00197FC8" w:rsidRDefault="00197FC8" w:rsidP="00197FC8">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object</w:t>
      </w:r>
      <w:r w:rsidR="00D21A53">
        <w:rPr>
          <w:rFonts w:ascii="Times New Roman" w:hAnsi="Times New Roman" w:cs="Times New Roman"/>
          <w:sz w:val="24"/>
          <w:szCs w:val="24"/>
        </w:rPr>
        <w:t>s</w:t>
      </w:r>
      <w:r>
        <w:rPr>
          <w:rFonts w:ascii="Times New Roman" w:hAnsi="Times New Roman" w:cs="Times New Roman"/>
          <w:sz w:val="24"/>
          <w:szCs w:val="24"/>
        </w:rPr>
        <w:t xml:space="preserve"> of the </w:t>
      </w:r>
      <w:r w:rsidRPr="007743B3">
        <w:rPr>
          <w:rFonts w:ascii="Times New Roman" w:hAnsi="Times New Roman" w:cs="Times New Roman"/>
          <w:i/>
          <w:iCs/>
          <w:sz w:val="24"/>
          <w:szCs w:val="24"/>
        </w:rPr>
        <w:t>CATSI Act</w:t>
      </w:r>
      <w:r>
        <w:rPr>
          <w:rFonts w:ascii="Times New Roman" w:hAnsi="Times New Roman" w:cs="Times New Roman"/>
          <w:sz w:val="24"/>
          <w:szCs w:val="24"/>
        </w:rPr>
        <w:t xml:space="preserve"> </w:t>
      </w:r>
      <w:r w:rsidR="00D21A53">
        <w:rPr>
          <w:rFonts w:ascii="Times New Roman" w:hAnsi="Times New Roman" w:cs="Times New Roman"/>
          <w:sz w:val="24"/>
          <w:szCs w:val="24"/>
        </w:rPr>
        <w:t>require a</w:t>
      </w:r>
      <w:r>
        <w:rPr>
          <w:rFonts w:ascii="Times New Roman" w:hAnsi="Times New Roman" w:cs="Times New Roman"/>
          <w:sz w:val="24"/>
          <w:szCs w:val="24"/>
        </w:rPr>
        <w:t xml:space="preserve"> review: The legislation should incorporate as part of its objectives building capacity and promoting </w:t>
      </w:r>
      <w:r w:rsidR="00D21A53">
        <w:rPr>
          <w:rFonts w:ascii="Times New Roman" w:hAnsi="Times New Roman" w:cs="Times New Roman"/>
          <w:sz w:val="24"/>
          <w:szCs w:val="24"/>
        </w:rPr>
        <w:t>I</w:t>
      </w:r>
      <w:r>
        <w:rPr>
          <w:rFonts w:ascii="Times New Roman" w:hAnsi="Times New Roman" w:cs="Times New Roman"/>
          <w:sz w:val="24"/>
          <w:szCs w:val="24"/>
        </w:rPr>
        <w:t xml:space="preserve">ndigenous </w:t>
      </w:r>
      <w:proofErr w:type="gramStart"/>
      <w:r>
        <w:rPr>
          <w:rFonts w:ascii="Times New Roman" w:hAnsi="Times New Roman" w:cs="Times New Roman"/>
          <w:sz w:val="24"/>
          <w:szCs w:val="24"/>
        </w:rPr>
        <w:t>values</w:t>
      </w:r>
      <w:r w:rsidR="00CF61D9" w:rsidRPr="00197FC8">
        <w:rPr>
          <w:rFonts w:ascii="Times New Roman" w:hAnsi="Times New Roman" w:cs="Times New Roman"/>
          <w:sz w:val="24"/>
          <w:szCs w:val="24"/>
        </w:rPr>
        <w:t>;</w:t>
      </w:r>
      <w:proofErr w:type="gramEnd"/>
    </w:p>
    <w:p w14:paraId="628E2819" w14:textId="015044CD" w:rsidR="001D5BFE" w:rsidRPr="004953E6" w:rsidRDefault="001D5BFE" w:rsidP="001D5BFE">
      <w:pPr>
        <w:pStyle w:val="ListParagraph"/>
        <w:numPr>
          <w:ilvl w:val="0"/>
          <w:numId w:val="1"/>
        </w:numPr>
        <w:spacing w:after="0" w:line="240" w:lineRule="auto"/>
        <w:jc w:val="both"/>
        <w:rPr>
          <w:rFonts w:ascii="Times New Roman" w:hAnsi="Times New Roman" w:cs="Times New Roman"/>
          <w:sz w:val="24"/>
          <w:szCs w:val="24"/>
        </w:rPr>
      </w:pPr>
      <w:r w:rsidRPr="004953E6">
        <w:rPr>
          <w:rFonts w:ascii="Times New Roman" w:hAnsi="Times New Roman" w:cs="Times New Roman"/>
          <w:sz w:val="24"/>
          <w:szCs w:val="24"/>
        </w:rPr>
        <w:t>Support the introduction of more powers to ORIC</w:t>
      </w:r>
      <w:r>
        <w:rPr>
          <w:rFonts w:ascii="Times New Roman" w:hAnsi="Times New Roman" w:cs="Times New Roman"/>
          <w:sz w:val="24"/>
          <w:szCs w:val="24"/>
        </w:rPr>
        <w:t xml:space="preserve"> including the introduction of enforceable undertakings as a sanction</w:t>
      </w:r>
      <w:r w:rsidRPr="004953E6">
        <w:rPr>
          <w:rFonts w:ascii="Times New Roman" w:hAnsi="Times New Roman" w:cs="Times New Roman"/>
          <w:sz w:val="24"/>
          <w:szCs w:val="24"/>
        </w:rPr>
        <w:t>.</w:t>
      </w:r>
    </w:p>
    <w:p w14:paraId="28BB9305" w14:textId="4E3C8F59" w:rsidR="00CF61D9" w:rsidRPr="00E42351" w:rsidRDefault="00CF61D9" w:rsidP="00197FC8">
      <w:pPr>
        <w:pStyle w:val="ListParagraph"/>
        <w:numPr>
          <w:ilvl w:val="0"/>
          <w:numId w:val="1"/>
        </w:numPr>
        <w:spacing w:after="0" w:line="240" w:lineRule="auto"/>
        <w:jc w:val="both"/>
        <w:rPr>
          <w:rFonts w:ascii="Times New Roman" w:hAnsi="Times New Roman" w:cs="Times New Roman"/>
          <w:sz w:val="24"/>
          <w:szCs w:val="24"/>
        </w:rPr>
      </w:pPr>
      <w:r w:rsidRPr="00197FC8">
        <w:rPr>
          <w:rFonts w:ascii="Times New Roman" w:hAnsi="Times New Roman" w:cs="Times New Roman"/>
          <w:sz w:val="24"/>
          <w:szCs w:val="24"/>
        </w:rPr>
        <w:t xml:space="preserve">Recommend a review of the replaceable rules in the </w:t>
      </w:r>
      <w:r w:rsidRPr="007743B3">
        <w:rPr>
          <w:rFonts w:ascii="Times New Roman" w:hAnsi="Times New Roman" w:cs="Times New Roman"/>
          <w:i/>
          <w:iCs/>
          <w:sz w:val="24"/>
          <w:szCs w:val="24"/>
        </w:rPr>
        <w:t>CATSI Act</w:t>
      </w:r>
      <w:r w:rsidRPr="00197FC8">
        <w:rPr>
          <w:rFonts w:ascii="Times New Roman" w:hAnsi="Times New Roman" w:cs="Times New Roman"/>
          <w:sz w:val="24"/>
          <w:szCs w:val="24"/>
        </w:rPr>
        <w:t xml:space="preserve"> to allow for more flexibility in the running of</w:t>
      </w:r>
      <w:r w:rsidR="00E42351">
        <w:rPr>
          <w:rFonts w:ascii="Times New Roman" w:hAnsi="Times New Roman" w:cs="Times New Roman"/>
          <w:sz w:val="24"/>
          <w:szCs w:val="24"/>
        </w:rPr>
        <w:t xml:space="preserve"> CATSI</w:t>
      </w:r>
      <w:r w:rsidRPr="00197FC8">
        <w:rPr>
          <w:rFonts w:ascii="Times New Roman" w:hAnsi="Times New Roman" w:cs="Times New Roman"/>
          <w:sz w:val="24"/>
          <w:szCs w:val="24"/>
        </w:rPr>
        <w:t xml:space="preserve"> </w:t>
      </w:r>
      <w:proofErr w:type="gramStart"/>
      <w:r w:rsidRPr="00197FC8">
        <w:rPr>
          <w:rFonts w:ascii="Times New Roman" w:hAnsi="Times New Roman" w:cs="Times New Roman"/>
          <w:sz w:val="24"/>
          <w:szCs w:val="24"/>
        </w:rPr>
        <w:t>corporations;</w:t>
      </w:r>
      <w:proofErr w:type="gramEnd"/>
    </w:p>
    <w:p w14:paraId="3F03EA07" w14:textId="2AB0C257" w:rsidR="00CF61D9" w:rsidRDefault="00CF61D9" w:rsidP="001D5BFE">
      <w:pPr>
        <w:pStyle w:val="ListParagraph"/>
        <w:numPr>
          <w:ilvl w:val="0"/>
          <w:numId w:val="1"/>
        </w:numPr>
        <w:spacing w:after="0" w:line="240" w:lineRule="auto"/>
        <w:jc w:val="both"/>
        <w:rPr>
          <w:rFonts w:ascii="Times New Roman" w:hAnsi="Times New Roman" w:cs="Times New Roman"/>
          <w:sz w:val="24"/>
          <w:szCs w:val="24"/>
        </w:rPr>
      </w:pPr>
      <w:r w:rsidRPr="00E42351">
        <w:rPr>
          <w:rFonts w:ascii="Times New Roman" w:hAnsi="Times New Roman" w:cs="Times New Roman"/>
          <w:sz w:val="24"/>
          <w:szCs w:val="24"/>
        </w:rPr>
        <w:t xml:space="preserve">Change the rules attached to </w:t>
      </w:r>
      <w:r w:rsidR="001D5BFE">
        <w:rPr>
          <w:rFonts w:ascii="Times New Roman" w:hAnsi="Times New Roman" w:cs="Times New Roman"/>
          <w:sz w:val="24"/>
          <w:szCs w:val="24"/>
        </w:rPr>
        <w:t>the composition of the board</w:t>
      </w:r>
      <w:r w:rsidRPr="001D5BFE">
        <w:rPr>
          <w:rFonts w:ascii="Times New Roman" w:hAnsi="Times New Roman" w:cs="Times New Roman"/>
          <w:sz w:val="24"/>
          <w:szCs w:val="24"/>
        </w:rPr>
        <w:t xml:space="preserve"> to make them more streamline and more aligned with the rules in the </w:t>
      </w:r>
      <w:r w:rsidRPr="001D5BFE">
        <w:rPr>
          <w:rFonts w:ascii="Times New Roman" w:hAnsi="Times New Roman" w:cs="Times New Roman"/>
          <w:i/>
          <w:sz w:val="24"/>
          <w:szCs w:val="24"/>
        </w:rPr>
        <w:t>Corporations Act 2001</w:t>
      </w:r>
      <w:r w:rsidRPr="001D5BFE">
        <w:rPr>
          <w:rFonts w:ascii="Times New Roman" w:hAnsi="Times New Roman" w:cs="Times New Roman"/>
          <w:sz w:val="24"/>
          <w:szCs w:val="24"/>
        </w:rPr>
        <w:t xml:space="preserve"> (</w:t>
      </w:r>
      <w:proofErr w:type="spellStart"/>
      <w:r w:rsidRPr="001D5BFE">
        <w:rPr>
          <w:rFonts w:ascii="Times New Roman" w:hAnsi="Times New Roman" w:cs="Times New Roman"/>
          <w:sz w:val="24"/>
          <w:szCs w:val="24"/>
        </w:rPr>
        <w:t>Cth</w:t>
      </w:r>
      <w:proofErr w:type="spellEnd"/>
      <w:proofErr w:type="gramStart"/>
      <w:r w:rsidRPr="001D5BFE">
        <w:rPr>
          <w:rFonts w:ascii="Times New Roman" w:hAnsi="Times New Roman" w:cs="Times New Roman"/>
          <w:sz w:val="24"/>
          <w:szCs w:val="24"/>
        </w:rPr>
        <w:t>);</w:t>
      </w:r>
      <w:proofErr w:type="gramEnd"/>
    </w:p>
    <w:p w14:paraId="26188ECC" w14:textId="3BEB4307" w:rsidR="008D7E28" w:rsidRDefault="008D7E28" w:rsidP="001D5BFE">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There is no need to introduce a definition of CEO. CEOs fall under the definition of officers of the corporation and as such have a clear set of rules that apply to </w:t>
      </w:r>
      <w:proofErr w:type="gramStart"/>
      <w:r>
        <w:rPr>
          <w:rFonts w:ascii="Times New Roman" w:hAnsi="Times New Roman" w:cs="Times New Roman"/>
          <w:sz w:val="24"/>
          <w:szCs w:val="24"/>
        </w:rPr>
        <w:t>them;</w:t>
      </w:r>
      <w:proofErr w:type="gramEnd"/>
    </w:p>
    <w:p w14:paraId="2F54A816" w14:textId="24670EB6" w:rsidR="001D5BFE" w:rsidRPr="001D5BFE" w:rsidRDefault="001D5BFE" w:rsidP="001D5BFE">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Reform the provisions attached to related party </w:t>
      </w:r>
      <w:proofErr w:type="gramStart"/>
      <w:r>
        <w:rPr>
          <w:rFonts w:ascii="Times New Roman" w:hAnsi="Times New Roman" w:cs="Times New Roman"/>
          <w:sz w:val="24"/>
          <w:szCs w:val="24"/>
        </w:rPr>
        <w:t>transaction</w:t>
      </w:r>
      <w:r w:rsidR="00D21A53">
        <w:rPr>
          <w:rFonts w:ascii="Times New Roman" w:hAnsi="Times New Roman" w:cs="Times New Roman"/>
          <w:sz w:val="24"/>
          <w:szCs w:val="24"/>
        </w:rPr>
        <w:t>s</w:t>
      </w:r>
      <w:r>
        <w:rPr>
          <w:rFonts w:ascii="Times New Roman" w:hAnsi="Times New Roman" w:cs="Times New Roman"/>
          <w:sz w:val="24"/>
          <w:szCs w:val="24"/>
        </w:rPr>
        <w:t>;</w:t>
      </w:r>
      <w:proofErr w:type="gramEnd"/>
    </w:p>
    <w:p w14:paraId="1435E5C3" w14:textId="68455F7A" w:rsidR="00CF61D9" w:rsidRPr="007743B3" w:rsidRDefault="00CF61D9" w:rsidP="001D5BFE">
      <w:pPr>
        <w:pStyle w:val="ListParagraph"/>
        <w:numPr>
          <w:ilvl w:val="0"/>
          <w:numId w:val="1"/>
        </w:numPr>
        <w:spacing w:after="0" w:line="240" w:lineRule="auto"/>
        <w:jc w:val="both"/>
        <w:rPr>
          <w:rFonts w:ascii="Times New Roman" w:hAnsi="Times New Roman" w:cs="Times New Roman"/>
          <w:sz w:val="24"/>
          <w:szCs w:val="24"/>
        </w:rPr>
      </w:pPr>
      <w:r w:rsidRPr="001D5BFE">
        <w:rPr>
          <w:rFonts w:ascii="Times New Roman" w:hAnsi="Times New Roman" w:cs="Times New Roman"/>
          <w:sz w:val="24"/>
          <w:szCs w:val="24"/>
        </w:rPr>
        <w:t xml:space="preserve">Review the need for Annual General Meetings for small corporations; </w:t>
      </w:r>
      <w:r w:rsidRPr="007743B3">
        <w:rPr>
          <w:rFonts w:ascii="Times New Roman" w:hAnsi="Times New Roman" w:cs="Times New Roman"/>
          <w:sz w:val="24"/>
          <w:szCs w:val="24"/>
        </w:rPr>
        <w:t>and</w:t>
      </w:r>
    </w:p>
    <w:p w14:paraId="7334D1E3" w14:textId="44DB515F" w:rsidR="001D5BFE" w:rsidRPr="001D5BFE" w:rsidRDefault="00005F5C" w:rsidP="001D5BFE">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No change to the name of ‘special administration’ is required or recommended.</w:t>
      </w:r>
    </w:p>
    <w:p w14:paraId="3835E1A6" w14:textId="77777777" w:rsidR="00CF61D9" w:rsidRPr="001D5BFE" w:rsidRDefault="00CF61D9" w:rsidP="001D5BFE">
      <w:pPr>
        <w:spacing w:after="0" w:line="240" w:lineRule="auto"/>
        <w:jc w:val="both"/>
        <w:rPr>
          <w:rFonts w:ascii="Times New Roman" w:hAnsi="Times New Roman" w:cs="Times New Roman"/>
          <w:sz w:val="24"/>
          <w:szCs w:val="24"/>
        </w:rPr>
      </w:pPr>
    </w:p>
    <w:p w14:paraId="061E5E92" w14:textId="3AC2BFEE" w:rsidR="00CF61D9" w:rsidRPr="00005F5C" w:rsidRDefault="00822ECC" w:rsidP="00005F5C">
      <w:pPr>
        <w:keepNext/>
        <w:shd w:val="clear" w:color="auto" w:fill="C0C0C0"/>
        <w:spacing w:after="0" w:line="240" w:lineRule="auto"/>
        <w:jc w:val="center"/>
        <w:outlineLvl w:val="0"/>
        <w:rPr>
          <w:rFonts w:ascii="Times New Roman" w:hAnsi="Times New Roman" w:cs="Times New Roman"/>
          <w:b/>
          <w:bCs/>
          <w:kern w:val="32"/>
          <w:sz w:val="24"/>
          <w:szCs w:val="24"/>
        </w:rPr>
      </w:pPr>
      <w:r w:rsidRPr="00005F5C">
        <w:rPr>
          <w:rFonts w:ascii="Times New Roman" w:hAnsi="Times New Roman" w:cs="Times New Roman"/>
          <w:b/>
          <w:bCs/>
          <w:kern w:val="32"/>
          <w:sz w:val="24"/>
          <w:szCs w:val="24"/>
        </w:rPr>
        <w:lastRenderedPageBreak/>
        <w:t>CHAPTER 2: OBJECT OF THE CATSI ACT</w:t>
      </w:r>
    </w:p>
    <w:p w14:paraId="561EC288" w14:textId="25E3B747" w:rsidR="00CF61D9" w:rsidRPr="00005F5C" w:rsidRDefault="00CF61D9" w:rsidP="00005F5C">
      <w:pPr>
        <w:spacing w:after="0" w:line="240" w:lineRule="auto"/>
        <w:jc w:val="both"/>
        <w:rPr>
          <w:rFonts w:ascii="Times New Roman" w:hAnsi="Times New Roman" w:cs="Times New Roman"/>
          <w:sz w:val="24"/>
          <w:szCs w:val="24"/>
        </w:rPr>
      </w:pPr>
    </w:p>
    <w:p w14:paraId="2AB6D1C6" w14:textId="52763A45" w:rsidR="00D72885" w:rsidRPr="007743B3" w:rsidRDefault="00917B13" w:rsidP="00005F5C">
      <w:pPr>
        <w:spacing w:after="0" w:line="240" w:lineRule="auto"/>
        <w:jc w:val="both"/>
        <w:rPr>
          <w:rFonts w:ascii="Times New Roman" w:hAnsi="Times New Roman" w:cs="Times New Roman"/>
          <w:i/>
          <w:iCs/>
          <w:color w:val="538135" w:themeColor="accent6" w:themeShade="BF"/>
          <w:sz w:val="24"/>
          <w:szCs w:val="24"/>
        </w:rPr>
      </w:pPr>
      <w:r w:rsidRPr="007743B3">
        <w:rPr>
          <w:rFonts w:ascii="Times New Roman" w:hAnsi="Times New Roman" w:cs="Times New Roman"/>
          <w:i/>
          <w:iCs/>
          <w:color w:val="538135" w:themeColor="accent6" w:themeShade="BF"/>
          <w:sz w:val="24"/>
          <w:szCs w:val="24"/>
        </w:rPr>
        <w:t xml:space="preserve"> Do you agree that the CATSI Act should be retained? </w:t>
      </w:r>
    </w:p>
    <w:p w14:paraId="7FF7C99E" w14:textId="77777777" w:rsidR="00D72885" w:rsidRPr="007743B3" w:rsidRDefault="00D72885" w:rsidP="00E418B7">
      <w:pPr>
        <w:spacing w:after="0" w:line="240" w:lineRule="auto"/>
        <w:jc w:val="both"/>
        <w:rPr>
          <w:rFonts w:ascii="Times New Roman" w:hAnsi="Times New Roman" w:cs="Times New Roman"/>
          <w:sz w:val="24"/>
          <w:szCs w:val="24"/>
        </w:rPr>
      </w:pPr>
    </w:p>
    <w:p w14:paraId="396B6A2A" w14:textId="7DE5DC03" w:rsidR="00D72885" w:rsidRPr="007743B3" w:rsidRDefault="00D72885" w:rsidP="000A73C8">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 xml:space="preserve">The </w:t>
      </w:r>
      <w:r w:rsidRPr="007743B3">
        <w:rPr>
          <w:rFonts w:ascii="Times New Roman" w:hAnsi="Times New Roman" w:cs="Times New Roman"/>
          <w:i/>
          <w:iCs/>
          <w:sz w:val="24"/>
          <w:szCs w:val="24"/>
        </w:rPr>
        <w:t>CATSI Act</w:t>
      </w:r>
      <w:r w:rsidRPr="007743B3">
        <w:rPr>
          <w:rFonts w:ascii="Times New Roman" w:hAnsi="Times New Roman" w:cs="Times New Roman"/>
          <w:sz w:val="24"/>
          <w:szCs w:val="24"/>
        </w:rPr>
        <w:t xml:space="preserve"> plays </w:t>
      </w:r>
      <w:r w:rsidR="009649C1" w:rsidRPr="007743B3">
        <w:rPr>
          <w:rFonts w:ascii="Times New Roman" w:hAnsi="Times New Roman" w:cs="Times New Roman"/>
          <w:sz w:val="24"/>
          <w:szCs w:val="24"/>
        </w:rPr>
        <w:t xml:space="preserve">a crucial role in promoting indigenous endeavours and as such should be retained. However, </w:t>
      </w:r>
      <w:r w:rsidR="00005F5C">
        <w:rPr>
          <w:rFonts w:ascii="Times New Roman" w:hAnsi="Times New Roman" w:cs="Times New Roman"/>
          <w:sz w:val="24"/>
          <w:szCs w:val="24"/>
        </w:rPr>
        <w:t xml:space="preserve">it is important </w:t>
      </w:r>
      <w:r w:rsidR="009649C1" w:rsidRPr="007743B3">
        <w:rPr>
          <w:rFonts w:ascii="Times New Roman" w:hAnsi="Times New Roman" w:cs="Times New Roman"/>
          <w:sz w:val="24"/>
          <w:szCs w:val="24"/>
        </w:rPr>
        <w:t xml:space="preserve">to reflect on how the legislation could better empower </w:t>
      </w:r>
      <w:r w:rsidR="000126F5" w:rsidRPr="007743B3">
        <w:rPr>
          <w:rFonts w:ascii="Times New Roman" w:hAnsi="Times New Roman" w:cs="Times New Roman"/>
          <w:sz w:val="24"/>
          <w:szCs w:val="24"/>
        </w:rPr>
        <w:t>both</w:t>
      </w:r>
      <w:r w:rsidR="009649C1" w:rsidRPr="007743B3">
        <w:rPr>
          <w:rFonts w:ascii="Times New Roman" w:hAnsi="Times New Roman" w:cs="Times New Roman"/>
          <w:sz w:val="24"/>
          <w:szCs w:val="24"/>
        </w:rPr>
        <w:t xml:space="preserve"> not</w:t>
      </w:r>
      <w:r w:rsidR="000126F5" w:rsidRPr="007743B3">
        <w:rPr>
          <w:rFonts w:ascii="Times New Roman" w:hAnsi="Times New Roman" w:cs="Times New Roman"/>
          <w:sz w:val="24"/>
          <w:szCs w:val="24"/>
        </w:rPr>
        <w:t>-</w:t>
      </w:r>
      <w:r w:rsidR="009649C1" w:rsidRPr="007743B3">
        <w:rPr>
          <w:rFonts w:ascii="Times New Roman" w:hAnsi="Times New Roman" w:cs="Times New Roman"/>
          <w:sz w:val="24"/>
          <w:szCs w:val="24"/>
        </w:rPr>
        <w:t>for</w:t>
      </w:r>
      <w:r w:rsidR="000126F5" w:rsidRPr="007743B3">
        <w:rPr>
          <w:rFonts w:ascii="Times New Roman" w:hAnsi="Times New Roman" w:cs="Times New Roman"/>
          <w:sz w:val="24"/>
          <w:szCs w:val="24"/>
        </w:rPr>
        <w:t>-</w:t>
      </w:r>
      <w:r w:rsidR="009649C1" w:rsidRPr="007743B3">
        <w:rPr>
          <w:rFonts w:ascii="Times New Roman" w:hAnsi="Times New Roman" w:cs="Times New Roman"/>
          <w:sz w:val="24"/>
          <w:szCs w:val="24"/>
        </w:rPr>
        <w:t>profit as well as for</w:t>
      </w:r>
      <w:r w:rsidR="000126F5" w:rsidRPr="007743B3">
        <w:rPr>
          <w:rFonts w:ascii="Times New Roman" w:hAnsi="Times New Roman" w:cs="Times New Roman"/>
          <w:sz w:val="24"/>
          <w:szCs w:val="24"/>
        </w:rPr>
        <w:t>-</w:t>
      </w:r>
      <w:r w:rsidR="009649C1" w:rsidRPr="007743B3">
        <w:rPr>
          <w:rFonts w:ascii="Times New Roman" w:hAnsi="Times New Roman" w:cs="Times New Roman"/>
          <w:sz w:val="24"/>
          <w:szCs w:val="24"/>
        </w:rPr>
        <w:t xml:space="preserve">profit </w:t>
      </w:r>
      <w:r w:rsidR="000126F5" w:rsidRPr="007743B3">
        <w:rPr>
          <w:rFonts w:ascii="Times New Roman" w:hAnsi="Times New Roman" w:cs="Times New Roman"/>
          <w:sz w:val="24"/>
          <w:szCs w:val="24"/>
        </w:rPr>
        <w:t xml:space="preserve">indigenous </w:t>
      </w:r>
      <w:r w:rsidR="009649C1" w:rsidRPr="007743B3">
        <w:rPr>
          <w:rFonts w:ascii="Times New Roman" w:hAnsi="Times New Roman" w:cs="Times New Roman"/>
          <w:sz w:val="24"/>
          <w:szCs w:val="24"/>
        </w:rPr>
        <w:t xml:space="preserve">businesses. As such the review is timely and </w:t>
      </w:r>
      <w:proofErr w:type="gramStart"/>
      <w:r w:rsidR="009649C1" w:rsidRPr="007743B3">
        <w:rPr>
          <w:rFonts w:ascii="Times New Roman" w:hAnsi="Times New Roman" w:cs="Times New Roman"/>
          <w:sz w:val="24"/>
          <w:szCs w:val="24"/>
        </w:rPr>
        <w:t>very important</w:t>
      </w:r>
      <w:proofErr w:type="gramEnd"/>
      <w:r w:rsidR="009649C1" w:rsidRPr="007743B3">
        <w:rPr>
          <w:rFonts w:ascii="Times New Roman" w:hAnsi="Times New Roman" w:cs="Times New Roman"/>
          <w:sz w:val="24"/>
          <w:szCs w:val="24"/>
        </w:rPr>
        <w:t xml:space="preserve"> and hopefully will result in </w:t>
      </w:r>
      <w:r w:rsidR="000126F5" w:rsidRPr="007743B3">
        <w:rPr>
          <w:rFonts w:ascii="Times New Roman" w:hAnsi="Times New Roman" w:cs="Times New Roman"/>
          <w:sz w:val="24"/>
          <w:szCs w:val="24"/>
        </w:rPr>
        <w:t>reforms that will</w:t>
      </w:r>
      <w:r w:rsidR="009649C1" w:rsidRPr="007743B3">
        <w:rPr>
          <w:rFonts w:ascii="Times New Roman" w:hAnsi="Times New Roman" w:cs="Times New Roman"/>
          <w:sz w:val="24"/>
          <w:szCs w:val="24"/>
        </w:rPr>
        <w:t xml:space="preserve"> </w:t>
      </w:r>
      <w:r w:rsidR="006823AE">
        <w:rPr>
          <w:rFonts w:ascii="Times New Roman" w:hAnsi="Times New Roman" w:cs="Times New Roman"/>
          <w:sz w:val="24"/>
          <w:szCs w:val="24"/>
        </w:rPr>
        <w:t>promote self-determination of</w:t>
      </w:r>
      <w:r w:rsidR="009649C1" w:rsidRPr="007743B3">
        <w:rPr>
          <w:rFonts w:ascii="Times New Roman" w:hAnsi="Times New Roman" w:cs="Times New Roman"/>
          <w:sz w:val="24"/>
          <w:szCs w:val="24"/>
        </w:rPr>
        <w:t xml:space="preserve"> </w:t>
      </w:r>
      <w:r w:rsidR="007C5440">
        <w:rPr>
          <w:rFonts w:ascii="Times New Roman" w:hAnsi="Times New Roman" w:cs="Times New Roman"/>
          <w:sz w:val="24"/>
          <w:szCs w:val="24"/>
        </w:rPr>
        <w:t>I</w:t>
      </w:r>
      <w:r w:rsidR="009649C1" w:rsidRPr="007743B3">
        <w:rPr>
          <w:rFonts w:ascii="Times New Roman" w:hAnsi="Times New Roman" w:cs="Times New Roman"/>
          <w:sz w:val="24"/>
          <w:szCs w:val="24"/>
        </w:rPr>
        <w:t>ndigenous people.</w:t>
      </w:r>
    </w:p>
    <w:p w14:paraId="0E755004" w14:textId="4E649A62" w:rsidR="00AC0741" w:rsidRDefault="00AC0741" w:rsidP="00197FC8">
      <w:pPr>
        <w:spacing w:after="0" w:line="240" w:lineRule="auto"/>
        <w:jc w:val="both"/>
        <w:rPr>
          <w:rFonts w:ascii="Times New Roman" w:hAnsi="Times New Roman" w:cs="Times New Roman"/>
          <w:sz w:val="24"/>
          <w:szCs w:val="24"/>
        </w:rPr>
      </w:pPr>
    </w:p>
    <w:p w14:paraId="04837E4B" w14:textId="1772D983" w:rsidR="006823AE" w:rsidRDefault="006823AE" w:rsidP="006823AE">
      <w:pPr>
        <w:spacing w:after="0" w:line="240" w:lineRule="auto"/>
        <w:jc w:val="both"/>
        <w:rPr>
          <w:rFonts w:ascii="Times New Roman" w:hAnsi="Times New Roman" w:cs="Times New Roman"/>
          <w:i/>
          <w:iCs/>
          <w:color w:val="538135" w:themeColor="accent6" w:themeShade="BF"/>
          <w:sz w:val="24"/>
          <w:szCs w:val="24"/>
        </w:rPr>
      </w:pPr>
      <w:r>
        <w:rPr>
          <w:rFonts w:ascii="Times New Roman" w:hAnsi="Times New Roman" w:cs="Times New Roman"/>
          <w:i/>
          <w:iCs/>
          <w:color w:val="538135" w:themeColor="accent6" w:themeShade="BF"/>
          <w:sz w:val="24"/>
          <w:szCs w:val="24"/>
        </w:rPr>
        <w:t>Objects of the Act</w:t>
      </w:r>
    </w:p>
    <w:p w14:paraId="2C0F40D8" w14:textId="77777777" w:rsidR="006823AE" w:rsidRPr="007743B3" w:rsidRDefault="006823AE" w:rsidP="006823AE">
      <w:pPr>
        <w:spacing w:after="0" w:line="240" w:lineRule="auto"/>
        <w:jc w:val="both"/>
        <w:rPr>
          <w:rFonts w:ascii="Times New Roman" w:hAnsi="Times New Roman" w:cs="Times New Roman"/>
          <w:i/>
          <w:iCs/>
          <w:color w:val="538135" w:themeColor="accent6" w:themeShade="BF"/>
          <w:sz w:val="24"/>
          <w:szCs w:val="24"/>
        </w:rPr>
      </w:pPr>
    </w:p>
    <w:p w14:paraId="715776B9" w14:textId="763657B9" w:rsidR="00AC0741" w:rsidRPr="007743B3" w:rsidRDefault="00AC0741" w:rsidP="006823AE">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 xml:space="preserve">One of the key </w:t>
      </w:r>
      <w:r w:rsidR="006823AE">
        <w:rPr>
          <w:rFonts w:ascii="Times New Roman" w:hAnsi="Times New Roman" w:cs="Times New Roman"/>
          <w:sz w:val="24"/>
          <w:szCs w:val="24"/>
        </w:rPr>
        <w:t>matters</w:t>
      </w:r>
      <w:r w:rsidRPr="007743B3">
        <w:rPr>
          <w:rFonts w:ascii="Times New Roman" w:hAnsi="Times New Roman" w:cs="Times New Roman"/>
          <w:sz w:val="24"/>
          <w:szCs w:val="24"/>
        </w:rPr>
        <w:t xml:space="preserve"> that should be reviewed is the object of the statute. Under s 1-25 of the </w:t>
      </w:r>
      <w:r w:rsidRPr="007743B3">
        <w:rPr>
          <w:rFonts w:ascii="Times New Roman" w:hAnsi="Times New Roman" w:cs="Times New Roman"/>
          <w:i/>
          <w:iCs/>
          <w:sz w:val="24"/>
          <w:szCs w:val="24"/>
        </w:rPr>
        <w:t>CATSI Act</w:t>
      </w:r>
      <w:r w:rsidR="006823AE">
        <w:rPr>
          <w:rFonts w:ascii="Times New Roman" w:hAnsi="Times New Roman" w:cs="Times New Roman"/>
          <w:sz w:val="24"/>
          <w:szCs w:val="24"/>
        </w:rPr>
        <w:t>,</w:t>
      </w:r>
      <w:r w:rsidRPr="007743B3">
        <w:rPr>
          <w:rFonts w:ascii="Times New Roman" w:hAnsi="Times New Roman" w:cs="Times New Roman"/>
          <w:sz w:val="24"/>
          <w:szCs w:val="24"/>
        </w:rPr>
        <w:t xml:space="preserve"> the current object is the following:</w:t>
      </w:r>
    </w:p>
    <w:p w14:paraId="2A2C3E0B" w14:textId="77777777" w:rsidR="00AC0741" w:rsidRPr="007743B3" w:rsidRDefault="00AC0741" w:rsidP="00E418B7">
      <w:pPr>
        <w:spacing w:after="0" w:line="240" w:lineRule="auto"/>
        <w:jc w:val="both"/>
        <w:rPr>
          <w:rFonts w:ascii="Times New Roman" w:hAnsi="Times New Roman" w:cs="Times New Roman"/>
          <w:sz w:val="24"/>
          <w:szCs w:val="24"/>
        </w:rPr>
      </w:pPr>
    </w:p>
    <w:p w14:paraId="43728008" w14:textId="77777777" w:rsidR="00AC0741" w:rsidRPr="007743B3" w:rsidRDefault="00AC0741" w:rsidP="007743B3">
      <w:pPr>
        <w:pStyle w:val="paragraph"/>
        <w:shd w:val="clear" w:color="auto" w:fill="FFFFFF"/>
        <w:spacing w:before="0" w:beforeAutospacing="0" w:after="0" w:afterAutospacing="0"/>
        <w:ind w:left="1644" w:hanging="1644"/>
        <w:rPr>
          <w:color w:val="000000"/>
        </w:rPr>
      </w:pPr>
      <w:r w:rsidRPr="007743B3">
        <w:rPr>
          <w:color w:val="000000"/>
        </w:rPr>
        <w:t>                     (a)  provide for the Registrar of Aboriginal and Torres Strait Islander Corporations; and</w:t>
      </w:r>
    </w:p>
    <w:p w14:paraId="1AA6913E" w14:textId="77777777" w:rsidR="00AC0741" w:rsidRPr="007743B3" w:rsidRDefault="00AC0741" w:rsidP="007743B3">
      <w:pPr>
        <w:pStyle w:val="paragraph"/>
        <w:shd w:val="clear" w:color="auto" w:fill="FFFFFF"/>
        <w:spacing w:before="0" w:beforeAutospacing="0" w:after="0" w:afterAutospacing="0"/>
        <w:ind w:left="1644" w:hanging="1644"/>
        <w:rPr>
          <w:color w:val="000000"/>
        </w:rPr>
      </w:pPr>
      <w:r w:rsidRPr="007743B3">
        <w:rPr>
          <w:color w:val="000000"/>
        </w:rPr>
        <w:t>                     (b)  provide for the Registrar’s functions and powers; and</w:t>
      </w:r>
    </w:p>
    <w:p w14:paraId="031EC54E" w14:textId="77777777" w:rsidR="00AC0741" w:rsidRPr="007743B3" w:rsidRDefault="00AC0741" w:rsidP="007743B3">
      <w:pPr>
        <w:pStyle w:val="paragraph"/>
        <w:shd w:val="clear" w:color="auto" w:fill="FFFFFF"/>
        <w:spacing w:before="0" w:beforeAutospacing="0" w:after="0" w:afterAutospacing="0"/>
        <w:ind w:left="1644" w:hanging="1644"/>
        <w:rPr>
          <w:color w:val="000000"/>
        </w:rPr>
      </w:pPr>
      <w:r w:rsidRPr="007743B3">
        <w:rPr>
          <w:color w:val="000000"/>
        </w:rPr>
        <w:t xml:space="preserve">                     (c)  provide for the incorporation, </w:t>
      </w:r>
      <w:proofErr w:type="gramStart"/>
      <w:r w:rsidRPr="007743B3">
        <w:rPr>
          <w:color w:val="000000"/>
        </w:rPr>
        <w:t>operation</w:t>
      </w:r>
      <w:proofErr w:type="gramEnd"/>
      <w:r w:rsidRPr="007743B3">
        <w:rPr>
          <w:color w:val="000000"/>
        </w:rPr>
        <w:t xml:space="preserve"> and regulation of those bodies that it is appropriate for this Act to cover; and</w:t>
      </w:r>
    </w:p>
    <w:p w14:paraId="4E83E347" w14:textId="77777777" w:rsidR="00AC0741" w:rsidRPr="007743B3" w:rsidRDefault="00AC0741" w:rsidP="007743B3">
      <w:pPr>
        <w:pStyle w:val="paragraph"/>
        <w:shd w:val="clear" w:color="auto" w:fill="FFFFFF"/>
        <w:spacing w:before="0" w:beforeAutospacing="0" w:after="0" w:afterAutospacing="0"/>
        <w:ind w:left="1644" w:hanging="1644"/>
        <w:rPr>
          <w:color w:val="000000"/>
        </w:rPr>
      </w:pPr>
      <w:r w:rsidRPr="007743B3">
        <w:rPr>
          <w:color w:val="000000"/>
        </w:rPr>
        <w:t>                     (d)  without limiting paragraph (c)—provide for the incorporation, operation and regulation of bodies that are incorporated for the purpose of becoming a registered native title body corporate; and</w:t>
      </w:r>
    </w:p>
    <w:p w14:paraId="34B2FF80" w14:textId="77777777" w:rsidR="00AC0741" w:rsidRPr="007743B3" w:rsidRDefault="00AC0741" w:rsidP="007743B3">
      <w:pPr>
        <w:pStyle w:val="paragraph"/>
        <w:shd w:val="clear" w:color="auto" w:fill="FFFFFF"/>
        <w:spacing w:before="0" w:beforeAutospacing="0" w:after="0" w:afterAutospacing="0"/>
        <w:ind w:left="1644" w:hanging="1644"/>
        <w:rPr>
          <w:color w:val="000000"/>
        </w:rPr>
      </w:pPr>
      <w:r w:rsidRPr="007743B3">
        <w:rPr>
          <w:color w:val="000000"/>
        </w:rPr>
        <w:t>                     (e)  provide for the duties of officers of Aboriginal and Torres Strait Islander corporations and regulate those officers in the performance of those duties.</w:t>
      </w:r>
    </w:p>
    <w:p w14:paraId="3036027D" w14:textId="77777777" w:rsidR="00AC0741" w:rsidRPr="007743B3" w:rsidRDefault="00AC0741" w:rsidP="00197FC8">
      <w:pPr>
        <w:spacing w:after="0" w:line="240" w:lineRule="auto"/>
        <w:jc w:val="both"/>
        <w:rPr>
          <w:rFonts w:ascii="Times New Roman" w:hAnsi="Times New Roman" w:cs="Times New Roman"/>
          <w:sz w:val="24"/>
          <w:szCs w:val="24"/>
        </w:rPr>
      </w:pPr>
    </w:p>
    <w:p w14:paraId="16F86557" w14:textId="5912B69E" w:rsidR="009C736B" w:rsidRPr="007743B3" w:rsidRDefault="00AC0741" w:rsidP="006823AE">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 xml:space="preserve">This object should be revised as it is currently very technical and does not reflect the spirit of the legislation or the purpose for which it was established. </w:t>
      </w:r>
      <w:r w:rsidR="009C736B" w:rsidRPr="007743B3">
        <w:rPr>
          <w:rFonts w:ascii="Times New Roman" w:hAnsi="Times New Roman" w:cs="Times New Roman"/>
          <w:sz w:val="24"/>
          <w:szCs w:val="24"/>
        </w:rPr>
        <w:t xml:space="preserve">While this section refers to ‘Aboriginal and Torres Strait Islander corporations’ and ‘native title body corporate’, it appears that ensuring such corporations take </w:t>
      </w:r>
      <w:r w:rsidR="007C5440">
        <w:rPr>
          <w:rFonts w:ascii="Times New Roman" w:hAnsi="Times New Roman" w:cs="Times New Roman"/>
          <w:sz w:val="24"/>
          <w:szCs w:val="24"/>
        </w:rPr>
        <w:t>I</w:t>
      </w:r>
      <w:r w:rsidR="009C736B" w:rsidRPr="007743B3">
        <w:rPr>
          <w:rFonts w:ascii="Times New Roman" w:hAnsi="Times New Roman" w:cs="Times New Roman"/>
          <w:sz w:val="24"/>
          <w:szCs w:val="24"/>
        </w:rPr>
        <w:t xml:space="preserve">ndigenous culture, customs and traditions into account is not one of the objects of the Act. Rather, the section is modelled on the </w:t>
      </w:r>
      <w:r w:rsidR="009C736B" w:rsidRPr="007743B3">
        <w:rPr>
          <w:rFonts w:ascii="Times New Roman" w:hAnsi="Times New Roman" w:cs="Times New Roman"/>
          <w:i/>
          <w:sz w:val="24"/>
          <w:szCs w:val="24"/>
        </w:rPr>
        <w:t xml:space="preserve">Australian Securities and Investments Commission Act 2001 </w:t>
      </w:r>
      <w:r w:rsidR="009C736B" w:rsidRPr="007743B3">
        <w:rPr>
          <w:rFonts w:ascii="Times New Roman" w:hAnsi="Times New Roman" w:cs="Times New Roman"/>
          <w:sz w:val="24"/>
          <w:szCs w:val="24"/>
        </w:rPr>
        <w:t>(</w:t>
      </w:r>
      <w:proofErr w:type="spellStart"/>
      <w:r w:rsidR="009C736B" w:rsidRPr="007743B3">
        <w:rPr>
          <w:rFonts w:ascii="Times New Roman" w:hAnsi="Times New Roman" w:cs="Times New Roman"/>
          <w:sz w:val="24"/>
          <w:szCs w:val="24"/>
        </w:rPr>
        <w:t>Cth</w:t>
      </w:r>
      <w:proofErr w:type="spellEnd"/>
      <w:r w:rsidR="009C736B" w:rsidRPr="007743B3">
        <w:rPr>
          <w:rFonts w:ascii="Times New Roman" w:hAnsi="Times New Roman" w:cs="Times New Roman"/>
          <w:sz w:val="24"/>
          <w:szCs w:val="24"/>
        </w:rPr>
        <w:t>).</w:t>
      </w:r>
      <w:r w:rsidR="009C736B" w:rsidRPr="007743B3">
        <w:rPr>
          <w:rStyle w:val="FootnoteReference"/>
          <w:rFonts w:ascii="Times New Roman" w:hAnsi="Times New Roman" w:cs="Times New Roman"/>
          <w:sz w:val="24"/>
          <w:szCs w:val="24"/>
        </w:rPr>
        <w:footnoteReference w:id="1"/>
      </w:r>
      <w:r w:rsidR="009C736B" w:rsidRPr="007743B3">
        <w:rPr>
          <w:rFonts w:ascii="Times New Roman" w:hAnsi="Times New Roman" w:cs="Times New Roman"/>
          <w:sz w:val="24"/>
          <w:szCs w:val="24"/>
        </w:rPr>
        <w:t xml:space="preserve">  </w:t>
      </w:r>
    </w:p>
    <w:p w14:paraId="0D32403E" w14:textId="77777777" w:rsidR="009C736B" w:rsidRPr="007743B3" w:rsidRDefault="009C736B" w:rsidP="00E418B7">
      <w:pPr>
        <w:spacing w:after="0" w:line="240" w:lineRule="auto"/>
        <w:jc w:val="both"/>
        <w:rPr>
          <w:rFonts w:ascii="Times New Roman" w:hAnsi="Times New Roman" w:cs="Times New Roman"/>
          <w:sz w:val="24"/>
          <w:szCs w:val="24"/>
        </w:rPr>
      </w:pPr>
    </w:p>
    <w:p w14:paraId="3C1A9959" w14:textId="2B72A3A3" w:rsidR="00AC0741" w:rsidRPr="007743B3" w:rsidRDefault="00AC0741" w:rsidP="000A73C8">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 xml:space="preserve">As the Draft Report has noted, the legislation does not only provide provisions for the incorporation of </w:t>
      </w:r>
      <w:r w:rsidR="00E42351">
        <w:rPr>
          <w:rFonts w:ascii="Times New Roman" w:hAnsi="Times New Roman" w:cs="Times New Roman"/>
          <w:sz w:val="24"/>
          <w:szCs w:val="24"/>
        </w:rPr>
        <w:t>CATSI</w:t>
      </w:r>
      <w:r w:rsidR="00E42351" w:rsidRPr="007743B3">
        <w:rPr>
          <w:rFonts w:ascii="Times New Roman" w:hAnsi="Times New Roman" w:cs="Times New Roman"/>
          <w:sz w:val="24"/>
          <w:szCs w:val="24"/>
        </w:rPr>
        <w:t xml:space="preserve"> </w:t>
      </w:r>
      <w:r w:rsidRPr="007743B3">
        <w:rPr>
          <w:rFonts w:ascii="Times New Roman" w:hAnsi="Times New Roman" w:cs="Times New Roman"/>
          <w:sz w:val="24"/>
          <w:szCs w:val="24"/>
        </w:rPr>
        <w:t xml:space="preserve">corporations, but it is also designed to build capacity and promote </w:t>
      </w:r>
      <w:r w:rsidR="007C5440">
        <w:rPr>
          <w:rFonts w:ascii="Times New Roman" w:hAnsi="Times New Roman" w:cs="Times New Roman"/>
          <w:sz w:val="24"/>
          <w:szCs w:val="24"/>
        </w:rPr>
        <w:t>I</w:t>
      </w:r>
      <w:r w:rsidRPr="007743B3">
        <w:rPr>
          <w:rFonts w:ascii="Times New Roman" w:hAnsi="Times New Roman" w:cs="Times New Roman"/>
          <w:sz w:val="24"/>
          <w:szCs w:val="24"/>
        </w:rPr>
        <w:t xml:space="preserve">ndigenous cultural values and practices. Currently, reference to </w:t>
      </w:r>
      <w:r w:rsidR="000325BA" w:rsidRPr="007743B3">
        <w:rPr>
          <w:rFonts w:ascii="Times New Roman" w:hAnsi="Times New Roman" w:cs="Times New Roman"/>
          <w:sz w:val="24"/>
          <w:szCs w:val="24"/>
        </w:rPr>
        <w:t xml:space="preserve">this is done indirectly in one key place: </w:t>
      </w:r>
      <w:r w:rsidR="006823AE">
        <w:rPr>
          <w:rFonts w:ascii="Times New Roman" w:hAnsi="Times New Roman" w:cs="Times New Roman"/>
          <w:sz w:val="24"/>
          <w:szCs w:val="24"/>
        </w:rPr>
        <w:t>Section</w:t>
      </w:r>
      <w:r w:rsidR="000325BA" w:rsidRPr="007743B3">
        <w:rPr>
          <w:rFonts w:ascii="Times New Roman" w:hAnsi="Times New Roman" w:cs="Times New Roman"/>
          <w:sz w:val="24"/>
          <w:szCs w:val="24"/>
        </w:rPr>
        <w:t xml:space="preserve"> 658-65</w:t>
      </w:r>
      <w:r w:rsidR="006823AE">
        <w:rPr>
          <w:rFonts w:ascii="Times New Roman" w:hAnsi="Times New Roman" w:cs="Times New Roman"/>
          <w:sz w:val="24"/>
          <w:szCs w:val="24"/>
        </w:rPr>
        <w:t xml:space="preserve"> notes that, as part of</w:t>
      </w:r>
      <w:r w:rsidR="000325BA" w:rsidRPr="007743B3">
        <w:rPr>
          <w:rFonts w:ascii="Times New Roman" w:hAnsi="Times New Roman" w:cs="Times New Roman"/>
          <w:sz w:val="24"/>
          <w:szCs w:val="24"/>
        </w:rPr>
        <w:t xml:space="preserve"> </w:t>
      </w:r>
      <w:r w:rsidR="006823AE">
        <w:rPr>
          <w:rFonts w:ascii="Times New Roman" w:hAnsi="Times New Roman" w:cs="Times New Roman"/>
          <w:sz w:val="24"/>
          <w:szCs w:val="24"/>
        </w:rPr>
        <w:t xml:space="preserve">its role, the Registrar </w:t>
      </w:r>
      <w:r w:rsidR="000325BA" w:rsidRPr="007743B3">
        <w:rPr>
          <w:rFonts w:ascii="Times New Roman" w:hAnsi="Times New Roman" w:cs="Times New Roman"/>
          <w:color w:val="000000"/>
          <w:sz w:val="24"/>
          <w:szCs w:val="24"/>
          <w:shd w:val="clear" w:color="auto" w:fill="FFFFFF"/>
        </w:rPr>
        <w:t xml:space="preserve">will ‘have regard to Aboriginal and Torres Strait Islander tradition and circumstance.’ This </w:t>
      </w:r>
      <w:r w:rsidR="000E1D62">
        <w:rPr>
          <w:rFonts w:ascii="Times New Roman" w:hAnsi="Times New Roman" w:cs="Times New Roman"/>
          <w:color w:val="000000"/>
          <w:sz w:val="24"/>
          <w:szCs w:val="24"/>
          <w:shd w:val="clear" w:color="auto" w:fill="FFFFFF"/>
        </w:rPr>
        <w:t>wor</w:t>
      </w:r>
      <w:r w:rsidR="00D21A53">
        <w:rPr>
          <w:rFonts w:ascii="Times New Roman" w:hAnsi="Times New Roman" w:cs="Times New Roman"/>
          <w:color w:val="000000"/>
          <w:sz w:val="24"/>
          <w:szCs w:val="24"/>
          <w:shd w:val="clear" w:color="auto" w:fill="FFFFFF"/>
        </w:rPr>
        <w:t>d</w:t>
      </w:r>
      <w:r w:rsidR="000E1D62">
        <w:rPr>
          <w:rFonts w:ascii="Times New Roman" w:hAnsi="Times New Roman" w:cs="Times New Roman"/>
          <w:color w:val="000000"/>
          <w:sz w:val="24"/>
          <w:szCs w:val="24"/>
          <w:shd w:val="clear" w:color="auto" w:fill="FFFFFF"/>
        </w:rPr>
        <w:t xml:space="preserve">ing </w:t>
      </w:r>
      <w:r w:rsidR="000325BA" w:rsidRPr="007743B3">
        <w:rPr>
          <w:rFonts w:ascii="Times New Roman" w:hAnsi="Times New Roman" w:cs="Times New Roman"/>
          <w:color w:val="000000"/>
          <w:sz w:val="24"/>
          <w:szCs w:val="24"/>
          <w:shd w:val="clear" w:color="auto" w:fill="FFFFFF"/>
        </w:rPr>
        <w:t>should also</w:t>
      </w:r>
      <w:r w:rsidR="000E1D62">
        <w:rPr>
          <w:rFonts w:ascii="Times New Roman" w:hAnsi="Times New Roman" w:cs="Times New Roman"/>
          <w:color w:val="000000"/>
          <w:sz w:val="24"/>
          <w:szCs w:val="24"/>
          <w:shd w:val="clear" w:color="auto" w:fill="FFFFFF"/>
        </w:rPr>
        <w:t xml:space="preserve"> be</w:t>
      </w:r>
      <w:r w:rsidR="000325BA" w:rsidRPr="007743B3">
        <w:rPr>
          <w:rFonts w:ascii="Times New Roman" w:hAnsi="Times New Roman" w:cs="Times New Roman"/>
          <w:color w:val="000000"/>
          <w:sz w:val="24"/>
          <w:szCs w:val="24"/>
          <w:shd w:val="clear" w:color="auto" w:fill="FFFFFF"/>
        </w:rPr>
        <w:t xml:space="preserve"> part of the objectives of the legislation.</w:t>
      </w:r>
      <w:r w:rsidRPr="007743B3">
        <w:rPr>
          <w:rFonts w:ascii="Times New Roman" w:hAnsi="Times New Roman" w:cs="Times New Roman"/>
          <w:sz w:val="24"/>
          <w:szCs w:val="24"/>
        </w:rPr>
        <w:t xml:space="preserve"> </w:t>
      </w:r>
      <w:r w:rsidR="009C736B" w:rsidRPr="007743B3">
        <w:rPr>
          <w:rFonts w:ascii="Times New Roman" w:hAnsi="Times New Roman" w:cs="Times New Roman"/>
          <w:sz w:val="24"/>
          <w:szCs w:val="24"/>
        </w:rPr>
        <w:t xml:space="preserve">This would put the legislation more in line with its Explanatory Memorandum which states that ‘these objects are designed to recognise that Aboriginal and Torres Strait Islander peoples in some circumstances have special needs for incorporation, assistance, monitoring and regulation which the </w:t>
      </w:r>
      <w:r w:rsidR="009C736B" w:rsidRPr="007743B3">
        <w:rPr>
          <w:rFonts w:ascii="Times New Roman" w:hAnsi="Times New Roman" w:cs="Times New Roman"/>
          <w:i/>
          <w:sz w:val="24"/>
          <w:szCs w:val="24"/>
        </w:rPr>
        <w:t>Corporations Act</w:t>
      </w:r>
      <w:r w:rsidR="009C736B" w:rsidRPr="007743B3">
        <w:rPr>
          <w:rFonts w:ascii="Times New Roman" w:hAnsi="Times New Roman" w:cs="Times New Roman"/>
          <w:sz w:val="24"/>
          <w:szCs w:val="24"/>
        </w:rPr>
        <w:t xml:space="preserve"> is unable to adequately meet as it exists primarily to provide uniform incorporation and regulation of trading corporations’.</w:t>
      </w:r>
      <w:r w:rsidR="009C736B" w:rsidRPr="007743B3">
        <w:rPr>
          <w:rStyle w:val="FootnoteReference"/>
          <w:rFonts w:ascii="Times New Roman" w:hAnsi="Times New Roman" w:cs="Times New Roman"/>
          <w:sz w:val="24"/>
          <w:szCs w:val="24"/>
        </w:rPr>
        <w:footnoteReference w:id="2"/>
      </w:r>
      <w:r w:rsidR="009C736B" w:rsidRPr="007743B3">
        <w:rPr>
          <w:rFonts w:ascii="Times New Roman" w:hAnsi="Times New Roman" w:cs="Times New Roman"/>
          <w:sz w:val="24"/>
          <w:szCs w:val="24"/>
        </w:rPr>
        <w:t xml:space="preserve">  </w:t>
      </w:r>
    </w:p>
    <w:p w14:paraId="4D323F10" w14:textId="57D89615" w:rsidR="009C736B" w:rsidRDefault="009C736B" w:rsidP="00197FC8">
      <w:pPr>
        <w:spacing w:after="0" w:line="240" w:lineRule="auto"/>
        <w:jc w:val="both"/>
        <w:rPr>
          <w:rFonts w:ascii="Times New Roman" w:hAnsi="Times New Roman" w:cs="Times New Roman"/>
          <w:sz w:val="24"/>
          <w:szCs w:val="24"/>
        </w:rPr>
      </w:pPr>
    </w:p>
    <w:p w14:paraId="2B0278E6" w14:textId="77777777" w:rsidR="000E1D62" w:rsidRPr="007743B3" w:rsidRDefault="000E1D62" w:rsidP="000E1D62">
      <w:pPr>
        <w:spacing w:after="0" w:line="240" w:lineRule="auto"/>
        <w:jc w:val="both"/>
        <w:rPr>
          <w:rFonts w:ascii="Times New Roman" w:hAnsi="Times New Roman" w:cs="Times New Roman"/>
          <w:sz w:val="24"/>
          <w:szCs w:val="24"/>
        </w:rPr>
      </w:pPr>
    </w:p>
    <w:p w14:paraId="64E6B3DF" w14:textId="33FD0D0A" w:rsidR="000126F5" w:rsidRPr="007743B3" w:rsidRDefault="00917B13" w:rsidP="000E1D62">
      <w:pPr>
        <w:spacing w:after="0" w:line="240" w:lineRule="auto"/>
        <w:jc w:val="both"/>
        <w:rPr>
          <w:rFonts w:ascii="Times New Roman" w:hAnsi="Times New Roman" w:cs="Times New Roman"/>
          <w:i/>
          <w:iCs/>
          <w:color w:val="538135" w:themeColor="accent6" w:themeShade="BF"/>
          <w:sz w:val="24"/>
          <w:szCs w:val="24"/>
        </w:rPr>
      </w:pPr>
      <w:r w:rsidRPr="007743B3">
        <w:rPr>
          <w:rFonts w:ascii="Times New Roman" w:hAnsi="Times New Roman" w:cs="Times New Roman"/>
          <w:i/>
          <w:iCs/>
          <w:color w:val="538135" w:themeColor="accent6" w:themeShade="BF"/>
          <w:sz w:val="24"/>
          <w:szCs w:val="24"/>
        </w:rPr>
        <w:lastRenderedPageBreak/>
        <w:t xml:space="preserve">Do you think that there should be a requirement in the CATSI Act that is reviewed at regular intervals? Would you agree with a </w:t>
      </w:r>
      <w:proofErr w:type="gramStart"/>
      <w:r w:rsidRPr="007743B3">
        <w:rPr>
          <w:rFonts w:ascii="Times New Roman" w:hAnsi="Times New Roman" w:cs="Times New Roman"/>
          <w:i/>
          <w:iCs/>
          <w:color w:val="538135" w:themeColor="accent6" w:themeShade="BF"/>
          <w:sz w:val="24"/>
          <w:szCs w:val="24"/>
        </w:rPr>
        <w:t>10 year</w:t>
      </w:r>
      <w:proofErr w:type="gramEnd"/>
      <w:r w:rsidRPr="007743B3">
        <w:rPr>
          <w:rFonts w:ascii="Times New Roman" w:hAnsi="Times New Roman" w:cs="Times New Roman"/>
          <w:i/>
          <w:iCs/>
          <w:color w:val="538135" w:themeColor="accent6" w:themeShade="BF"/>
          <w:sz w:val="24"/>
          <w:szCs w:val="24"/>
        </w:rPr>
        <w:t xml:space="preserve"> interval? </w:t>
      </w:r>
    </w:p>
    <w:p w14:paraId="0DEA127A" w14:textId="77777777" w:rsidR="000126F5" w:rsidRPr="007743B3" w:rsidRDefault="000126F5" w:rsidP="00E418B7">
      <w:pPr>
        <w:spacing w:after="0" w:line="240" w:lineRule="auto"/>
        <w:jc w:val="both"/>
        <w:rPr>
          <w:rFonts w:ascii="Times New Roman" w:hAnsi="Times New Roman" w:cs="Times New Roman"/>
          <w:sz w:val="24"/>
          <w:szCs w:val="24"/>
        </w:rPr>
      </w:pPr>
    </w:p>
    <w:p w14:paraId="56235D2F" w14:textId="462D7C87" w:rsidR="00AC0741" w:rsidRPr="007743B3" w:rsidRDefault="000126F5" w:rsidP="000A73C8">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The legislation should be reviewed regularly to ensure it still meets its purpose. Further it needs to evolve with the times and the needs of Indigenous people.</w:t>
      </w:r>
      <w:r w:rsidR="00AC0741" w:rsidRPr="007743B3">
        <w:rPr>
          <w:rFonts w:ascii="Times New Roman" w:hAnsi="Times New Roman" w:cs="Times New Roman"/>
          <w:sz w:val="24"/>
          <w:szCs w:val="24"/>
        </w:rPr>
        <w:t xml:space="preserve"> This will ensure that the legislation remains relevant, up-to date and able to adapt to new </w:t>
      </w:r>
      <w:r w:rsidR="000E1D62">
        <w:rPr>
          <w:rFonts w:ascii="Times New Roman" w:hAnsi="Times New Roman" w:cs="Times New Roman"/>
          <w:sz w:val="24"/>
          <w:szCs w:val="24"/>
        </w:rPr>
        <w:t>circumstances</w:t>
      </w:r>
      <w:r w:rsidR="00AC0741" w:rsidRPr="007743B3">
        <w:rPr>
          <w:rFonts w:ascii="Times New Roman" w:hAnsi="Times New Roman" w:cs="Times New Roman"/>
          <w:sz w:val="24"/>
          <w:szCs w:val="24"/>
        </w:rPr>
        <w:t xml:space="preserve">. A </w:t>
      </w:r>
      <w:proofErr w:type="gramStart"/>
      <w:r w:rsidR="000E1D62">
        <w:rPr>
          <w:rFonts w:ascii="Times New Roman" w:hAnsi="Times New Roman" w:cs="Times New Roman"/>
          <w:sz w:val="24"/>
          <w:szCs w:val="24"/>
        </w:rPr>
        <w:t>1</w:t>
      </w:r>
      <w:r w:rsidR="00AC0741" w:rsidRPr="007743B3">
        <w:rPr>
          <w:rFonts w:ascii="Times New Roman" w:hAnsi="Times New Roman" w:cs="Times New Roman"/>
          <w:sz w:val="24"/>
          <w:szCs w:val="24"/>
        </w:rPr>
        <w:t>0 year</w:t>
      </w:r>
      <w:proofErr w:type="gramEnd"/>
      <w:r w:rsidR="00AC0741" w:rsidRPr="007743B3">
        <w:rPr>
          <w:rFonts w:ascii="Times New Roman" w:hAnsi="Times New Roman" w:cs="Times New Roman"/>
          <w:sz w:val="24"/>
          <w:szCs w:val="24"/>
        </w:rPr>
        <w:t xml:space="preserve"> interval is appropriate as it allows for consistency </w:t>
      </w:r>
      <w:r w:rsidR="000E1D62">
        <w:rPr>
          <w:rFonts w:ascii="Times New Roman" w:hAnsi="Times New Roman" w:cs="Times New Roman"/>
          <w:sz w:val="24"/>
          <w:szCs w:val="24"/>
        </w:rPr>
        <w:t xml:space="preserve">and stability to be there while providing an opportunity for the law to be revisited to ensure it still meets its purpose.  </w:t>
      </w:r>
    </w:p>
    <w:p w14:paraId="715DBBDD" w14:textId="711BE4BF" w:rsidR="000126F5" w:rsidRPr="007743B3" w:rsidRDefault="00AC0741" w:rsidP="00213170">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 xml:space="preserve"> </w:t>
      </w:r>
    </w:p>
    <w:p w14:paraId="378762E1" w14:textId="086C1C21" w:rsidR="000126F5" w:rsidRPr="007743B3" w:rsidRDefault="00917B13" w:rsidP="00320E7B">
      <w:pPr>
        <w:spacing w:after="0" w:line="240" w:lineRule="auto"/>
        <w:jc w:val="both"/>
        <w:rPr>
          <w:rFonts w:ascii="Times New Roman" w:hAnsi="Times New Roman" w:cs="Times New Roman"/>
          <w:i/>
          <w:iCs/>
          <w:color w:val="538135" w:themeColor="accent6" w:themeShade="BF"/>
          <w:sz w:val="24"/>
          <w:szCs w:val="24"/>
        </w:rPr>
      </w:pPr>
      <w:r w:rsidRPr="007743B3">
        <w:rPr>
          <w:rFonts w:ascii="Times New Roman" w:hAnsi="Times New Roman" w:cs="Times New Roman"/>
          <w:i/>
          <w:iCs/>
          <w:color w:val="538135" w:themeColor="accent6" w:themeShade="BF"/>
          <w:sz w:val="24"/>
          <w:szCs w:val="24"/>
        </w:rPr>
        <w:t xml:space="preserve">Is the CATSI Act meeting the needs and expectations of Aboriginal and Torres Strait Islander people? </w:t>
      </w:r>
    </w:p>
    <w:p w14:paraId="458C515D" w14:textId="77777777" w:rsidR="000325BA" w:rsidRPr="007743B3" w:rsidRDefault="000325BA" w:rsidP="008D7E28">
      <w:pPr>
        <w:spacing w:after="0" w:line="240" w:lineRule="auto"/>
        <w:jc w:val="both"/>
        <w:rPr>
          <w:rFonts w:ascii="Times New Roman" w:hAnsi="Times New Roman" w:cs="Times New Roman"/>
          <w:sz w:val="24"/>
          <w:szCs w:val="24"/>
        </w:rPr>
      </w:pPr>
    </w:p>
    <w:p w14:paraId="0D7C127D" w14:textId="4A9BD2DA" w:rsidR="000126F5" w:rsidRPr="007743B3" w:rsidRDefault="00E42351" w:rsidP="008D7E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0E1D62" w:rsidRPr="00037890">
        <w:rPr>
          <w:rFonts w:ascii="Times New Roman" w:hAnsi="Times New Roman" w:cs="Times New Roman"/>
          <w:sz w:val="24"/>
          <w:szCs w:val="24"/>
        </w:rPr>
        <w:t>o a certain extent</w:t>
      </w:r>
      <w:r>
        <w:rPr>
          <w:rFonts w:ascii="Times New Roman" w:hAnsi="Times New Roman" w:cs="Times New Roman"/>
          <w:sz w:val="24"/>
          <w:szCs w:val="24"/>
        </w:rPr>
        <w:t>,</w:t>
      </w:r>
      <w:r w:rsidR="000E1D62" w:rsidRPr="00037890">
        <w:rPr>
          <w:rFonts w:ascii="Times New Roman" w:hAnsi="Times New Roman" w:cs="Times New Roman"/>
          <w:sz w:val="24"/>
          <w:szCs w:val="24"/>
        </w:rPr>
        <w:t xml:space="preserve"> </w:t>
      </w:r>
      <w:r>
        <w:rPr>
          <w:rFonts w:ascii="Times New Roman" w:hAnsi="Times New Roman" w:cs="Times New Roman"/>
          <w:sz w:val="24"/>
          <w:szCs w:val="24"/>
        </w:rPr>
        <w:t>t</w:t>
      </w:r>
      <w:r w:rsidR="000325BA" w:rsidRPr="007743B3">
        <w:rPr>
          <w:rFonts w:ascii="Times New Roman" w:hAnsi="Times New Roman" w:cs="Times New Roman"/>
          <w:sz w:val="24"/>
          <w:szCs w:val="24"/>
        </w:rPr>
        <w:t xml:space="preserve">he legislation is meeting the need of not-for-profit indigenous entities. However, it requires revision and updates to allow it to meet the need for for-profit indigenous business entities. This is evident </w:t>
      </w:r>
      <w:r>
        <w:rPr>
          <w:rFonts w:ascii="Times New Roman" w:hAnsi="Times New Roman" w:cs="Times New Roman"/>
          <w:sz w:val="24"/>
          <w:szCs w:val="24"/>
        </w:rPr>
        <w:t>by</w:t>
      </w:r>
      <w:r w:rsidR="000325BA" w:rsidRPr="007743B3">
        <w:rPr>
          <w:rFonts w:ascii="Times New Roman" w:hAnsi="Times New Roman" w:cs="Times New Roman"/>
          <w:sz w:val="24"/>
          <w:szCs w:val="24"/>
        </w:rPr>
        <w:t xml:space="preserve"> the fact that there are very few for profit entities registered under it. </w:t>
      </w:r>
    </w:p>
    <w:p w14:paraId="5F4BE2A5" w14:textId="77777777" w:rsidR="00AC0741" w:rsidRPr="007743B3" w:rsidRDefault="00AC0741" w:rsidP="00D02555">
      <w:pPr>
        <w:spacing w:after="0" w:line="240" w:lineRule="auto"/>
        <w:jc w:val="both"/>
        <w:rPr>
          <w:rFonts w:ascii="Times New Roman" w:hAnsi="Times New Roman" w:cs="Times New Roman"/>
          <w:sz w:val="24"/>
          <w:szCs w:val="24"/>
        </w:rPr>
      </w:pPr>
    </w:p>
    <w:p w14:paraId="5A41B7EF" w14:textId="77777777" w:rsidR="00884FFB" w:rsidRPr="007743B3" w:rsidRDefault="00917B13" w:rsidP="007743B3">
      <w:pPr>
        <w:spacing w:after="0" w:line="240" w:lineRule="auto"/>
        <w:jc w:val="both"/>
        <w:rPr>
          <w:rFonts w:ascii="Times New Roman" w:hAnsi="Times New Roman" w:cs="Times New Roman"/>
          <w:i/>
          <w:iCs/>
          <w:color w:val="538135" w:themeColor="accent6" w:themeShade="BF"/>
          <w:sz w:val="24"/>
          <w:szCs w:val="24"/>
        </w:rPr>
      </w:pPr>
      <w:r w:rsidRPr="007743B3">
        <w:rPr>
          <w:rFonts w:ascii="Times New Roman" w:hAnsi="Times New Roman" w:cs="Times New Roman"/>
          <w:i/>
          <w:iCs/>
          <w:color w:val="538135" w:themeColor="accent6" w:themeShade="BF"/>
          <w:sz w:val="24"/>
          <w:szCs w:val="24"/>
        </w:rPr>
        <w:t xml:space="preserve">Is the CATSI Act putting CATSI corporations on an even playing field with companies incorporated under the Corporations Act? </w:t>
      </w:r>
      <w:r w:rsidR="00884FFB" w:rsidRPr="007743B3">
        <w:rPr>
          <w:rFonts w:ascii="Times New Roman" w:hAnsi="Times New Roman" w:cs="Times New Roman"/>
          <w:i/>
          <w:iCs/>
          <w:color w:val="538135" w:themeColor="accent6" w:themeShade="BF"/>
          <w:sz w:val="24"/>
          <w:szCs w:val="24"/>
        </w:rPr>
        <w:t xml:space="preserve">Is the CATSI Act flexible enough to meet the needs of a whole range of different Aboriginal and Torres Strait Islander corporations? </w:t>
      </w:r>
    </w:p>
    <w:p w14:paraId="40EA5A65" w14:textId="588B37EB" w:rsidR="000126F5" w:rsidRPr="007743B3" w:rsidRDefault="000126F5" w:rsidP="007743B3">
      <w:pPr>
        <w:spacing w:after="0" w:line="240" w:lineRule="auto"/>
        <w:jc w:val="both"/>
        <w:rPr>
          <w:rFonts w:ascii="Times New Roman" w:hAnsi="Times New Roman" w:cs="Times New Roman"/>
          <w:sz w:val="24"/>
          <w:szCs w:val="24"/>
        </w:rPr>
      </w:pPr>
    </w:p>
    <w:p w14:paraId="6FED0ED4" w14:textId="5D491581" w:rsidR="000325BA" w:rsidRPr="007743B3" w:rsidRDefault="000325BA" w:rsidP="007743B3">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 xml:space="preserve">The answer to this question really </w:t>
      </w:r>
      <w:r w:rsidR="00C918E7" w:rsidRPr="007743B3">
        <w:rPr>
          <w:rFonts w:ascii="Times New Roman" w:hAnsi="Times New Roman" w:cs="Times New Roman"/>
          <w:sz w:val="24"/>
          <w:szCs w:val="24"/>
        </w:rPr>
        <w:t>varies depending on the need of the corporation.</w:t>
      </w:r>
    </w:p>
    <w:p w14:paraId="57CAE4C2" w14:textId="1DB6B9B9" w:rsidR="00C918E7" w:rsidRPr="007743B3" w:rsidRDefault="00C918E7" w:rsidP="007743B3">
      <w:pPr>
        <w:spacing w:after="0" w:line="240" w:lineRule="auto"/>
        <w:jc w:val="both"/>
        <w:rPr>
          <w:rFonts w:ascii="Times New Roman" w:hAnsi="Times New Roman" w:cs="Times New Roman"/>
          <w:sz w:val="24"/>
          <w:szCs w:val="24"/>
        </w:rPr>
      </w:pPr>
    </w:p>
    <w:p w14:paraId="05FFC07B" w14:textId="0AB706ED" w:rsidR="00C918E7" w:rsidRPr="007743B3" w:rsidRDefault="00C918E7" w:rsidP="007743B3">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 xml:space="preserve">On the positive side, the Registrar, unlike ASIC, actively build capacity of indigenous entities through education and support. </w:t>
      </w:r>
      <w:r w:rsidR="00E42351">
        <w:rPr>
          <w:rFonts w:ascii="Times New Roman" w:hAnsi="Times New Roman" w:cs="Times New Roman"/>
          <w:sz w:val="24"/>
          <w:szCs w:val="24"/>
        </w:rPr>
        <w:t>Through this support</w:t>
      </w:r>
      <w:r w:rsidRPr="007743B3">
        <w:rPr>
          <w:rFonts w:ascii="Times New Roman" w:hAnsi="Times New Roman" w:cs="Times New Roman"/>
          <w:sz w:val="24"/>
          <w:szCs w:val="24"/>
        </w:rPr>
        <w:t xml:space="preserve">, the Act does allow </w:t>
      </w:r>
      <w:r w:rsidR="00C47658" w:rsidRPr="007743B3">
        <w:rPr>
          <w:rFonts w:ascii="Times New Roman" w:hAnsi="Times New Roman" w:cs="Times New Roman"/>
          <w:sz w:val="24"/>
          <w:szCs w:val="24"/>
        </w:rPr>
        <w:t xml:space="preserve">the </w:t>
      </w:r>
      <w:r w:rsidR="00E42351">
        <w:rPr>
          <w:rFonts w:ascii="Times New Roman" w:hAnsi="Times New Roman" w:cs="Times New Roman"/>
          <w:sz w:val="24"/>
          <w:szCs w:val="24"/>
        </w:rPr>
        <w:t>CATSI</w:t>
      </w:r>
      <w:r w:rsidR="00C47658" w:rsidRPr="007743B3">
        <w:rPr>
          <w:rFonts w:ascii="Times New Roman" w:hAnsi="Times New Roman" w:cs="Times New Roman"/>
          <w:sz w:val="24"/>
          <w:szCs w:val="24"/>
        </w:rPr>
        <w:t xml:space="preserve"> corporations to be on an even playing field with companies incorporated under the </w:t>
      </w:r>
      <w:r w:rsidR="00C47658" w:rsidRPr="007743B3">
        <w:rPr>
          <w:rFonts w:ascii="Times New Roman" w:hAnsi="Times New Roman" w:cs="Times New Roman"/>
          <w:i/>
          <w:iCs/>
          <w:sz w:val="24"/>
          <w:szCs w:val="24"/>
        </w:rPr>
        <w:t>Corporations Act 2001</w:t>
      </w:r>
      <w:r w:rsidR="00C47658" w:rsidRPr="007743B3">
        <w:rPr>
          <w:rFonts w:ascii="Times New Roman" w:hAnsi="Times New Roman" w:cs="Times New Roman"/>
          <w:sz w:val="24"/>
          <w:szCs w:val="24"/>
        </w:rPr>
        <w:t xml:space="preserve"> (</w:t>
      </w:r>
      <w:proofErr w:type="spellStart"/>
      <w:r w:rsidR="00C47658" w:rsidRPr="007743B3">
        <w:rPr>
          <w:rFonts w:ascii="Times New Roman" w:hAnsi="Times New Roman" w:cs="Times New Roman"/>
          <w:sz w:val="24"/>
          <w:szCs w:val="24"/>
        </w:rPr>
        <w:t>Cth</w:t>
      </w:r>
      <w:proofErr w:type="spellEnd"/>
      <w:r w:rsidR="00C47658" w:rsidRPr="007743B3">
        <w:rPr>
          <w:rFonts w:ascii="Times New Roman" w:hAnsi="Times New Roman" w:cs="Times New Roman"/>
          <w:sz w:val="24"/>
          <w:szCs w:val="24"/>
        </w:rPr>
        <w:t>).</w:t>
      </w:r>
    </w:p>
    <w:p w14:paraId="222AA348" w14:textId="77777777" w:rsidR="000325BA" w:rsidRPr="007743B3" w:rsidRDefault="000325BA" w:rsidP="007743B3">
      <w:pPr>
        <w:spacing w:after="0" w:line="240" w:lineRule="auto"/>
        <w:jc w:val="both"/>
        <w:rPr>
          <w:rFonts w:ascii="Times New Roman" w:hAnsi="Times New Roman" w:cs="Times New Roman"/>
          <w:sz w:val="24"/>
          <w:szCs w:val="24"/>
        </w:rPr>
      </w:pPr>
    </w:p>
    <w:p w14:paraId="29AE15F3" w14:textId="262F12DF" w:rsidR="009C736B" w:rsidRDefault="00C47658" w:rsidP="00197FC8">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 xml:space="preserve">However, beyond that support, the </w:t>
      </w:r>
      <w:r w:rsidRPr="007743B3">
        <w:rPr>
          <w:rFonts w:ascii="Times New Roman" w:hAnsi="Times New Roman" w:cs="Times New Roman"/>
          <w:i/>
          <w:iCs/>
          <w:sz w:val="24"/>
          <w:szCs w:val="24"/>
        </w:rPr>
        <w:t xml:space="preserve">CATSI Act </w:t>
      </w:r>
      <w:r w:rsidRPr="007743B3">
        <w:rPr>
          <w:rFonts w:ascii="Times New Roman" w:hAnsi="Times New Roman" w:cs="Times New Roman"/>
          <w:sz w:val="24"/>
          <w:szCs w:val="24"/>
        </w:rPr>
        <w:t xml:space="preserve">is more cumbersome then the Corporations Act for both not for profit and for profit entities. </w:t>
      </w:r>
      <w:r w:rsidR="00E418B7">
        <w:rPr>
          <w:rFonts w:ascii="Times New Roman" w:hAnsi="Times New Roman" w:cs="Times New Roman"/>
          <w:sz w:val="24"/>
          <w:szCs w:val="24"/>
        </w:rPr>
        <w:t>V</w:t>
      </w:r>
      <w:r w:rsidRPr="007743B3">
        <w:rPr>
          <w:rFonts w:ascii="Times New Roman" w:hAnsi="Times New Roman" w:cs="Times New Roman"/>
          <w:sz w:val="24"/>
          <w:szCs w:val="24"/>
        </w:rPr>
        <w:t xml:space="preserve">ery few </w:t>
      </w:r>
      <w:r w:rsidR="00E42351">
        <w:rPr>
          <w:rFonts w:ascii="Times New Roman" w:hAnsi="Times New Roman" w:cs="Times New Roman"/>
          <w:sz w:val="24"/>
          <w:szCs w:val="24"/>
        </w:rPr>
        <w:t>CATSI</w:t>
      </w:r>
      <w:r w:rsidR="00E42351" w:rsidRPr="007743B3">
        <w:rPr>
          <w:rFonts w:ascii="Times New Roman" w:hAnsi="Times New Roman" w:cs="Times New Roman"/>
          <w:sz w:val="24"/>
          <w:szCs w:val="24"/>
        </w:rPr>
        <w:t xml:space="preserve"> </w:t>
      </w:r>
      <w:r w:rsidRPr="007743B3">
        <w:rPr>
          <w:rFonts w:ascii="Times New Roman" w:hAnsi="Times New Roman" w:cs="Times New Roman"/>
          <w:sz w:val="24"/>
          <w:szCs w:val="24"/>
        </w:rPr>
        <w:t xml:space="preserve">corporations are for-profit. The reason behind this is that the legislation does not fully support business entrepreneurship on </w:t>
      </w:r>
      <w:proofErr w:type="gramStart"/>
      <w:r w:rsidRPr="007743B3">
        <w:rPr>
          <w:rFonts w:ascii="Times New Roman" w:hAnsi="Times New Roman" w:cs="Times New Roman"/>
          <w:sz w:val="24"/>
          <w:szCs w:val="24"/>
        </w:rPr>
        <w:t>a number of</w:t>
      </w:r>
      <w:proofErr w:type="gramEnd"/>
      <w:r w:rsidRPr="007743B3">
        <w:rPr>
          <w:rFonts w:ascii="Times New Roman" w:hAnsi="Times New Roman" w:cs="Times New Roman"/>
          <w:sz w:val="24"/>
          <w:szCs w:val="24"/>
        </w:rPr>
        <w:t xml:space="preserve"> fronts:</w:t>
      </w:r>
    </w:p>
    <w:p w14:paraId="20A7E2D0" w14:textId="77777777" w:rsidR="00E418B7" w:rsidRPr="007743B3" w:rsidRDefault="00E418B7" w:rsidP="00E418B7">
      <w:pPr>
        <w:spacing w:after="0" w:line="240" w:lineRule="auto"/>
        <w:jc w:val="both"/>
        <w:rPr>
          <w:rFonts w:ascii="Times New Roman" w:hAnsi="Times New Roman" w:cs="Times New Roman"/>
          <w:sz w:val="24"/>
          <w:szCs w:val="24"/>
        </w:rPr>
      </w:pPr>
    </w:p>
    <w:p w14:paraId="735DE6A4" w14:textId="123BBC7F" w:rsidR="00C47658" w:rsidRDefault="00C47658" w:rsidP="00E418B7">
      <w:pPr>
        <w:pStyle w:val="ListParagraph"/>
        <w:numPr>
          <w:ilvl w:val="0"/>
          <w:numId w:val="1"/>
        </w:num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 xml:space="preserve">There is no clear distinction from a governance perspective regarding running a </w:t>
      </w:r>
      <w:r w:rsidR="00E418B7" w:rsidRPr="002C4699">
        <w:rPr>
          <w:rFonts w:ascii="Times New Roman" w:hAnsi="Times New Roman" w:cs="Times New Roman"/>
          <w:sz w:val="24"/>
          <w:szCs w:val="24"/>
        </w:rPr>
        <w:t>not-for-profit entity</w:t>
      </w:r>
      <w:r w:rsidR="00E418B7" w:rsidRPr="00E418B7" w:rsidDel="00E418B7">
        <w:rPr>
          <w:rFonts w:ascii="Times New Roman" w:hAnsi="Times New Roman" w:cs="Times New Roman"/>
          <w:sz w:val="24"/>
          <w:szCs w:val="24"/>
        </w:rPr>
        <w:t xml:space="preserve"> </w:t>
      </w:r>
      <w:r w:rsidRPr="007743B3">
        <w:rPr>
          <w:rFonts w:ascii="Times New Roman" w:hAnsi="Times New Roman" w:cs="Times New Roman"/>
          <w:sz w:val="24"/>
          <w:szCs w:val="24"/>
        </w:rPr>
        <w:t xml:space="preserve">and </w:t>
      </w:r>
      <w:r w:rsidR="00E418B7" w:rsidRPr="00A82F66">
        <w:rPr>
          <w:rFonts w:ascii="Times New Roman" w:hAnsi="Times New Roman" w:cs="Times New Roman"/>
          <w:sz w:val="24"/>
          <w:szCs w:val="24"/>
        </w:rPr>
        <w:t>a</w:t>
      </w:r>
      <w:r w:rsidR="00E418B7" w:rsidRPr="0018735E">
        <w:rPr>
          <w:rFonts w:ascii="Times New Roman" w:hAnsi="Times New Roman" w:cs="Times New Roman"/>
          <w:sz w:val="24"/>
          <w:szCs w:val="24"/>
        </w:rPr>
        <w:t xml:space="preserve"> for-profit</w:t>
      </w:r>
      <w:r w:rsidR="00E418B7" w:rsidRPr="00E418B7">
        <w:rPr>
          <w:rFonts w:ascii="Times New Roman" w:hAnsi="Times New Roman" w:cs="Times New Roman"/>
          <w:sz w:val="24"/>
          <w:szCs w:val="24"/>
        </w:rPr>
        <w:t xml:space="preserve"> </w:t>
      </w:r>
      <w:r w:rsidR="00E418B7">
        <w:rPr>
          <w:rFonts w:ascii="Times New Roman" w:hAnsi="Times New Roman" w:cs="Times New Roman"/>
          <w:sz w:val="24"/>
          <w:szCs w:val="24"/>
        </w:rPr>
        <w:t>business</w:t>
      </w:r>
      <w:r w:rsidRPr="007743B3">
        <w:rPr>
          <w:rFonts w:ascii="Times New Roman" w:hAnsi="Times New Roman" w:cs="Times New Roman"/>
          <w:sz w:val="24"/>
          <w:szCs w:val="24"/>
        </w:rPr>
        <w:t xml:space="preserve">. This distinction is needed as, for example holding annual general meetings is key in the context of not-for-profit organisation as it is one way for the entity to be held accountable to its membership regarding the public benefit it is providing. </w:t>
      </w:r>
      <w:r w:rsidR="009C736B" w:rsidRPr="007743B3">
        <w:rPr>
          <w:rFonts w:ascii="Times New Roman" w:hAnsi="Times New Roman" w:cs="Times New Roman"/>
          <w:sz w:val="24"/>
          <w:szCs w:val="24"/>
        </w:rPr>
        <w:t>However,</w:t>
      </w:r>
      <w:r w:rsidRPr="007743B3">
        <w:rPr>
          <w:rFonts w:ascii="Times New Roman" w:hAnsi="Times New Roman" w:cs="Times New Roman"/>
          <w:sz w:val="24"/>
          <w:szCs w:val="24"/>
        </w:rPr>
        <w:t xml:space="preserve"> in a for-profit business, </w:t>
      </w:r>
      <w:r w:rsidR="00E418B7" w:rsidRPr="007D0059">
        <w:rPr>
          <w:rFonts w:ascii="Times New Roman" w:hAnsi="Times New Roman" w:cs="Times New Roman"/>
          <w:sz w:val="24"/>
          <w:szCs w:val="24"/>
        </w:rPr>
        <w:t>depending on the size of the organisation</w:t>
      </w:r>
      <w:r w:rsidR="00E418B7">
        <w:rPr>
          <w:rFonts w:ascii="Times New Roman" w:hAnsi="Times New Roman" w:cs="Times New Roman"/>
          <w:sz w:val="24"/>
          <w:szCs w:val="24"/>
        </w:rPr>
        <w:t>,</w:t>
      </w:r>
      <w:r w:rsidR="00E418B7" w:rsidRPr="00E418B7">
        <w:rPr>
          <w:rFonts w:ascii="Times New Roman" w:hAnsi="Times New Roman" w:cs="Times New Roman"/>
          <w:sz w:val="24"/>
          <w:szCs w:val="24"/>
        </w:rPr>
        <w:t xml:space="preserve"> </w:t>
      </w:r>
      <w:r w:rsidRPr="007743B3">
        <w:rPr>
          <w:rFonts w:ascii="Times New Roman" w:hAnsi="Times New Roman" w:cs="Times New Roman"/>
          <w:sz w:val="24"/>
          <w:szCs w:val="24"/>
        </w:rPr>
        <w:t xml:space="preserve">this level of accountability may not </w:t>
      </w:r>
      <w:r w:rsidR="00E418B7">
        <w:rPr>
          <w:rFonts w:ascii="Times New Roman" w:hAnsi="Times New Roman" w:cs="Times New Roman"/>
          <w:sz w:val="24"/>
          <w:szCs w:val="24"/>
        </w:rPr>
        <w:t xml:space="preserve">be </w:t>
      </w:r>
      <w:r w:rsidR="009C736B" w:rsidRPr="007743B3">
        <w:rPr>
          <w:rFonts w:ascii="Times New Roman" w:hAnsi="Times New Roman" w:cs="Times New Roman"/>
          <w:sz w:val="24"/>
          <w:szCs w:val="24"/>
        </w:rPr>
        <w:t>require</w:t>
      </w:r>
      <w:r w:rsidR="00E418B7">
        <w:rPr>
          <w:rFonts w:ascii="Times New Roman" w:hAnsi="Times New Roman" w:cs="Times New Roman"/>
          <w:sz w:val="24"/>
          <w:szCs w:val="24"/>
        </w:rPr>
        <w:t>d</w:t>
      </w:r>
      <w:r w:rsidRPr="007743B3">
        <w:rPr>
          <w:rFonts w:ascii="Times New Roman" w:hAnsi="Times New Roman" w:cs="Times New Roman"/>
          <w:sz w:val="24"/>
          <w:szCs w:val="24"/>
        </w:rPr>
        <w:t xml:space="preserve">. Further, the </w:t>
      </w:r>
      <w:r w:rsidRPr="007743B3">
        <w:rPr>
          <w:rFonts w:ascii="Times New Roman" w:hAnsi="Times New Roman" w:cs="Times New Roman"/>
          <w:i/>
          <w:iCs/>
          <w:sz w:val="24"/>
          <w:szCs w:val="24"/>
        </w:rPr>
        <w:t>Corporations Act 2001</w:t>
      </w:r>
      <w:r w:rsidRPr="007743B3">
        <w:rPr>
          <w:rFonts w:ascii="Times New Roman" w:hAnsi="Times New Roman" w:cs="Times New Roman"/>
          <w:sz w:val="24"/>
          <w:szCs w:val="24"/>
        </w:rPr>
        <w:t xml:space="preserve"> (</w:t>
      </w:r>
      <w:proofErr w:type="spellStart"/>
      <w:r w:rsidRPr="007743B3">
        <w:rPr>
          <w:rFonts w:ascii="Times New Roman" w:hAnsi="Times New Roman" w:cs="Times New Roman"/>
          <w:sz w:val="24"/>
          <w:szCs w:val="24"/>
        </w:rPr>
        <w:t>Cth</w:t>
      </w:r>
      <w:proofErr w:type="spellEnd"/>
      <w:r w:rsidRPr="007743B3">
        <w:rPr>
          <w:rFonts w:ascii="Times New Roman" w:hAnsi="Times New Roman" w:cs="Times New Roman"/>
          <w:sz w:val="24"/>
          <w:szCs w:val="24"/>
        </w:rPr>
        <w:t xml:space="preserve">) has more replaceable rules </w:t>
      </w:r>
      <w:r w:rsidR="009C736B" w:rsidRPr="007743B3">
        <w:rPr>
          <w:rFonts w:ascii="Times New Roman" w:hAnsi="Times New Roman" w:cs="Times New Roman"/>
          <w:sz w:val="24"/>
          <w:szCs w:val="24"/>
        </w:rPr>
        <w:t xml:space="preserve">than the </w:t>
      </w:r>
      <w:r w:rsidR="009C736B" w:rsidRPr="007743B3">
        <w:rPr>
          <w:rFonts w:ascii="Times New Roman" w:hAnsi="Times New Roman" w:cs="Times New Roman"/>
          <w:i/>
          <w:iCs/>
          <w:sz w:val="24"/>
          <w:szCs w:val="24"/>
        </w:rPr>
        <w:t>CATSI Act</w:t>
      </w:r>
      <w:r w:rsidR="00E418B7">
        <w:rPr>
          <w:rFonts w:ascii="Times New Roman" w:hAnsi="Times New Roman" w:cs="Times New Roman"/>
          <w:sz w:val="24"/>
          <w:szCs w:val="24"/>
        </w:rPr>
        <w:t xml:space="preserve"> and as such</w:t>
      </w:r>
      <w:r w:rsidR="009C736B" w:rsidRPr="007743B3">
        <w:rPr>
          <w:rFonts w:ascii="Times New Roman" w:hAnsi="Times New Roman" w:cs="Times New Roman"/>
          <w:sz w:val="24"/>
          <w:szCs w:val="24"/>
        </w:rPr>
        <w:t xml:space="preserve"> provides more flexibility for companies to decide how they wish to be run</w:t>
      </w:r>
      <w:r w:rsidRPr="007743B3">
        <w:rPr>
          <w:rFonts w:ascii="Times New Roman" w:hAnsi="Times New Roman" w:cs="Times New Roman"/>
          <w:sz w:val="24"/>
          <w:szCs w:val="24"/>
        </w:rPr>
        <w:t>.</w:t>
      </w:r>
    </w:p>
    <w:p w14:paraId="1712625F" w14:textId="77777777" w:rsidR="000A73C8" w:rsidRPr="007743B3" w:rsidRDefault="000A73C8" w:rsidP="007743B3">
      <w:pPr>
        <w:pStyle w:val="ListParagraph"/>
        <w:spacing w:after="0" w:line="240" w:lineRule="auto"/>
        <w:jc w:val="both"/>
        <w:rPr>
          <w:rFonts w:ascii="Times New Roman" w:hAnsi="Times New Roman" w:cs="Times New Roman"/>
          <w:sz w:val="24"/>
          <w:szCs w:val="24"/>
        </w:rPr>
      </w:pPr>
    </w:p>
    <w:p w14:paraId="7ADA8FF8" w14:textId="1A00AEC5" w:rsidR="00C47658" w:rsidRPr="007743B3" w:rsidRDefault="009C736B" w:rsidP="00E418B7">
      <w:pPr>
        <w:pStyle w:val="ListParagraph"/>
        <w:numPr>
          <w:ilvl w:val="0"/>
          <w:numId w:val="1"/>
        </w:num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 xml:space="preserve">The </w:t>
      </w:r>
      <w:r w:rsidRPr="007743B3">
        <w:rPr>
          <w:rFonts w:ascii="Times New Roman" w:hAnsi="Times New Roman" w:cs="Times New Roman"/>
          <w:i/>
          <w:iCs/>
          <w:sz w:val="24"/>
          <w:szCs w:val="24"/>
        </w:rPr>
        <w:t>CATSI Act</w:t>
      </w:r>
      <w:r w:rsidRPr="007743B3">
        <w:rPr>
          <w:rFonts w:ascii="Times New Roman" w:hAnsi="Times New Roman" w:cs="Times New Roman"/>
          <w:sz w:val="24"/>
          <w:szCs w:val="24"/>
        </w:rPr>
        <w:t xml:space="preserve"> </w:t>
      </w:r>
      <w:r w:rsidR="00E418B7">
        <w:rPr>
          <w:rFonts w:ascii="Times New Roman" w:hAnsi="Times New Roman" w:cs="Times New Roman"/>
          <w:sz w:val="24"/>
          <w:szCs w:val="24"/>
        </w:rPr>
        <w:t>provides</w:t>
      </w:r>
      <w:r w:rsidRPr="007743B3">
        <w:rPr>
          <w:rFonts w:ascii="Times New Roman" w:hAnsi="Times New Roman" w:cs="Times New Roman"/>
          <w:sz w:val="24"/>
          <w:szCs w:val="24"/>
        </w:rPr>
        <w:t xml:space="preserve"> the Registrar </w:t>
      </w:r>
      <w:r w:rsidR="00E418B7">
        <w:rPr>
          <w:rFonts w:ascii="Times New Roman" w:hAnsi="Times New Roman" w:cs="Times New Roman"/>
          <w:sz w:val="24"/>
          <w:szCs w:val="24"/>
        </w:rPr>
        <w:t>with a range of powers that may intrude in the day to da</w:t>
      </w:r>
      <w:r w:rsidR="00383064">
        <w:rPr>
          <w:rFonts w:ascii="Times New Roman" w:hAnsi="Times New Roman" w:cs="Times New Roman"/>
          <w:sz w:val="24"/>
          <w:szCs w:val="24"/>
        </w:rPr>
        <w:t>y</w:t>
      </w:r>
      <w:r w:rsidR="00E418B7">
        <w:rPr>
          <w:rFonts w:ascii="Times New Roman" w:hAnsi="Times New Roman" w:cs="Times New Roman"/>
          <w:sz w:val="24"/>
          <w:szCs w:val="24"/>
        </w:rPr>
        <w:t xml:space="preserve"> running of the corporation. These powers include </w:t>
      </w:r>
      <w:r w:rsidRPr="007743B3">
        <w:rPr>
          <w:rFonts w:ascii="Times New Roman" w:hAnsi="Times New Roman" w:cs="Times New Roman"/>
          <w:sz w:val="24"/>
          <w:szCs w:val="24"/>
        </w:rPr>
        <w:t xml:space="preserve">special administration, </w:t>
      </w:r>
      <w:proofErr w:type="gramStart"/>
      <w:r w:rsidRPr="007743B3">
        <w:rPr>
          <w:rFonts w:ascii="Times New Roman" w:hAnsi="Times New Roman" w:cs="Times New Roman"/>
          <w:sz w:val="24"/>
          <w:szCs w:val="24"/>
        </w:rPr>
        <w:t>oppression</w:t>
      </w:r>
      <w:proofErr w:type="gramEnd"/>
      <w:r w:rsidRPr="007743B3">
        <w:rPr>
          <w:rFonts w:ascii="Times New Roman" w:hAnsi="Times New Roman" w:cs="Times New Roman"/>
          <w:sz w:val="24"/>
          <w:szCs w:val="24"/>
        </w:rPr>
        <w:t xml:space="preserve"> and </w:t>
      </w:r>
      <w:r w:rsidR="0067141A" w:rsidRPr="007743B3">
        <w:rPr>
          <w:rFonts w:ascii="Times New Roman" w:hAnsi="Times New Roman" w:cs="Times New Roman"/>
          <w:sz w:val="24"/>
          <w:szCs w:val="24"/>
        </w:rPr>
        <w:t>approval of constitutions. While some of these measures may be appropriate in a not-for profit setting</w:t>
      </w:r>
      <w:r w:rsidR="000A73C8">
        <w:rPr>
          <w:rFonts w:ascii="Times New Roman" w:hAnsi="Times New Roman" w:cs="Times New Roman"/>
          <w:sz w:val="24"/>
          <w:szCs w:val="24"/>
        </w:rPr>
        <w:t>,</w:t>
      </w:r>
      <w:r w:rsidR="0067141A" w:rsidRPr="007743B3">
        <w:rPr>
          <w:rFonts w:ascii="Times New Roman" w:hAnsi="Times New Roman" w:cs="Times New Roman"/>
          <w:sz w:val="24"/>
          <w:szCs w:val="24"/>
        </w:rPr>
        <w:t xml:space="preserve"> they should not apply </w:t>
      </w:r>
      <w:r w:rsidR="000A73C8">
        <w:rPr>
          <w:rFonts w:ascii="Times New Roman" w:hAnsi="Times New Roman" w:cs="Times New Roman"/>
          <w:sz w:val="24"/>
          <w:szCs w:val="24"/>
        </w:rPr>
        <w:t>to a</w:t>
      </w:r>
      <w:r w:rsidR="0067141A" w:rsidRPr="007743B3">
        <w:rPr>
          <w:rFonts w:ascii="Times New Roman" w:hAnsi="Times New Roman" w:cs="Times New Roman"/>
          <w:sz w:val="24"/>
          <w:szCs w:val="24"/>
        </w:rPr>
        <w:t xml:space="preserve"> for-profit entity. Accordingly, a dual regime needs to be created under the </w:t>
      </w:r>
      <w:r w:rsidR="0067141A" w:rsidRPr="007743B3">
        <w:rPr>
          <w:rFonts w:ascii="Times New Roman" w:hAnsi="Times New Roman" w:cs="Times New Roman"/>
          <w:i/>
          <w:iCs/>
          <w:sz w:val="24"/>
          <w:szCs w:val="24"/>
        </w:rPr>
        <w:t>CATSI Act</w:t>
      </w:r>
      <w:r w:rsidR="0067141A" w:rsidRPr="007743B3">
        <w:rPr>
          <w:rFonts w:ascii="Times New Roman" w:hAnsi="Times New Roman" w:cs="Times New Roman"/>
          <w:sz w:val="24"/>
          <w:szCs w:val="24"/>
        </w:rPr>
        <w:t xml:space="preserve"> by which there is one set of rules </w:t>
      </w:r>
      <w:r w:rsidR="000A73C8">
        <w:rPr>
          <w:rFonts w:ascii="Times New Roman" w:hAnsi="Times New Roman" w:cs="Times New Roman"/>
          <w:sz w:val="24"/>
          <w:szCs w:val="24"/>
        </w:rPr>
        <w:t xml:space="preserve">that regulate </w:t>
      </w:r>
      <w:r w:rsidR="0067141A" w:rsidRPr="007743B3">
        <w:rPr>
          <w:rFonts w:ascii="Times New Roman" w:hAnsi="Times New Roman" w:cs="Times New Roman"/>
          <w:sz w:val="24"/>
          <w:szCs w:val="24"/>
        </w:rPr>
        <w:t>for-profit entities and one set of rules for not-for-profit entities.</w:t>
      </w:r>
      <w:r w:rsidR="006E471A" w:rsidRPr="007743B3">
        <w:rPr>
          <w:rFonts w:ascii="Times New Roman" w:hAnsi="Times New Roman" w:cs="Times New Roman"/>
          <w:sz w:val="24"/>
          <w:szCs w:val="24"/>
        </w:rPr>
        <w:t xml:space="preserve"> It is key to remember that these two different entities have different needs.</w:t>
      </w:r>
    </w:p>
    <w:p w14:paraId="098BB0E7" w14:textId="7559373E" w:rsidR="000126F5" w:rsidRPr="007743B3" w:rsidRDefault="000126F5" w:rsidP="000A73C8">
      <w:pPr>
        <w:spacing w:after="0" w:line="240" w:lineRule="auto"/>
        <w:jc w:val="both"/>
        <w:rPr>
          <w:rFonts w:ascii="Times New Roman" w:hAnsi="Times New Roman" w:cs="Times New Roman"/>
          <w:sz w:val="24"/>
          <w:szCs w:val="24"/>
        </w:rPr>
      </w:pPr>
    </w:p>
    <w:p w14:paraId="59572367" w14:textId="7604A8FA" w:rsidR="006E471A" w:rsidRPr="007743B3" w:rsidRDefault="006E471A" w:rsidP="000A73C8">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lastRenderedPageBreak/>
        <w:t>Lastly, as most CATSI corporations are not-for-profit entities, it is important for the governance rules of these entities to be compared with the governance rules that apply for ACNC entities to make sure there is a</w:t>
      </w:r>
      <w:r w:rsidR="008F06A1" w:rsidRPr="007743B3">
        <w:rPr>
          <w:rFonts w:ascii="Times New Roman" w:hAnsi="Times New Roman" w:cs="Times New Roman"/>
          <w:sz w:val="24"/>
          <w:szCs w:val="24"/>
        </w:rPr>
        <w:t>n</w:t>
      </w:r>
      <w:r w:rsidRPr="007743B3">
        <w:rPr>
          <w:rFonts w:ascii="Times New Roman" w:hAnsi="Times New Roman" w:cs="Times New Roman"/>
          <w:sz w:val="24"/>
          <w:szCs w:val="24"/>
        </w:rPr>
        <w:t xml:space="preserve"> even playing field between them. </w:t>
      </w:r>
    </w:p>
    <w:p w14:paraId="7AA933AA" w14:textId="5F3397E5" w:rsidR="006E471A" w:rsidRPr="007743B3" w:rsidRDefault="006E471A" w:rsidP="00213170">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 xml:space="preserve"> </w:t>
      </w:r>
    </w:p>
    <w:p w14:paraId="4DB32E86" w14:textId="77777777" w:rsidR="008F06A1" w:rsidRPr="007743B3" w:rsidRDefault="00917B13" w:rsidP="00320E7B">
      <w:pPr>
        <w:spacing w:after="0" w:line="240" w:lineRule="auto"/>
        <w:jc w:val="both"/>
        <w:rPr>
          <w:rFonts w:ascii="Times New Roman" w:hAnsi="Times New Roman" w:cs="Times New Roman"/>
          <w:i/>
          <w:iCs/>
          <w:color w:val="538135" w:themeColor="accent6" w:themeShade="BF"/>
          <w:sz w:val="24"/>
          <w:szCs w:val="24"/>
        </w:rPr>
      </w:pPr>
      <w:r w:rsidRPr="007743B3">
        <w:rPr>
          <w:rFonts w:ascii="Times New Roman" w:hAnsi="Times New Roman" w:cs="Times New Roman"/>
          <w:i/>
          <w:iCs/>
          <w:color w:val="538135" w:themeColor="accent6" w:themeShade="BF"/>
          <w:sz w:val="24"/>
          <w:szCs w:val="24"/>
        </w:rPr>
        <w:t xml:space="preserve">Are there opportunities for changes to the CATSI Act to better cater to the traditional and cultural customs of Aboriginal and Torres Strait Islander people? </w:t>
      </w:r>
    </w:p>
    <w:p w14:paraId="77D67F8D" w14:textId="77777777" w:rsidR="008F06A1" w:rsidRPr="007743B3" w:rsidRDefault="008F06A1" w:rsidP="008D7E28">
      <w:pPr>
        <w:spacing w:after="0" w:line="240" w:lineRule="auto"/>
        <w:jc w:val="both"/>
        <w:rPr>
          <w:rFonts w:ascii="Times New Roman" w:hAnsi="Times New Roman" w:cs="Times New Roman"/>
          <w:sz w:val="24"/>
          <w:szCs w:val="24"/>
        </w:rPr>
      </w:pPr>
    </w:p>
    <w:p w14:paraId="3BACDA4F" w14:textId="5CF52E57" w:rsidR="008F06A1" w:rsidRPr="007743B3" w:rsidRDefault="008F06A1" w:rsidP="008D7E28">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Yes, there are opportunities to cha</w:t>
      </w:r>
      <w:r w:rsidR="00A34282" w:rsidRPr="007743B3">
        <w:rPr>
          <w:rFonts w:ascii="Times New Roman" w:hAnsi="Times New Roman" w:cs="Times New Roman"/>
          <w:sz w:val="24"/>
          <w:szCs w:val="24"/>
        </w:rPr>
        <w:t xml:space="preserve">nge the </w:t>
      </w:r>
      <w:r w:rsidR="00A34282" w:rsidRPr="007743B3">
        <w:rPr>
          <w:rFonts w:ascii="Times New Roman" w:hAnsi="Times New Roman" w:cs="Times New Roman"/>
          <w:i/>
          <w:iCs/>
          <w:sz w:val="24"/>
          <w:szCs w:val="24"/>
        </w:rPr>
        <w:t>CATSI Act</w:t>
      </w:r>
      <w:r w:rsidR="00A34282" w:rsidRPr="007743B3">
        <w:rPr>
          <w:rFonts w:ascii="Times New Roman" w:hAnsi="Times New Roman" w:cs="Times New Roman"/>
          <w:sz w:val="24"/>
          <w:szCs w:val="24"/>
        </w:rPr>
        <w:t xml:space="preserve"> to allow the legislation to better carer for traditional and cultural customs of Aboriginal and Torres Strait Islander people. This can be done by:</w:t>
      </w:r>
    </w:p>
    <w:p w14:paraId="44FFABA7" w14:textId="6A6BF039" w:rsidR="00A34282" w:rsidRPr="007743B3" w:rsidRDefault="00A34282" w:rsidP="008D7E28">
      <w:pPr>
        <w:pStyle w:val="ListParagraph"/>
        <w:numPr>
          <w:ilvl w:val="0"/>
          <w:numId w:val="1"/>
        </w:num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 xml:space="preserve">Adjusting the object of the </w:t>
      </w:r>
      <w:r w:rsidRPr="007743B3">
        <w:rPr>
          <w:rFonts w:ascii="Times New Roman" w:hAnsi="Times New Roman" w:cs="Times New Roman"/>
          <w:i/>
          <w:iCs/>
          <w:sz w:val="24"/>
          <w:szCs w:val="24"/>
        </w:rPr>
        <w:t>CATSI Act</w:t>
      </w:r>
      <w:r w:rsidRPr="007743B3">
        <w:rPr>
          <w:rFonts w:ascii="Times New Roman" w:hAnsi="Times New Roman" w:cs="Times New Roman"/>
          <w:sz w:val="24"/>
          <w:szCs w:val="24"/>
        </w:rPr>
        <w:t xml:space="preserve"> to include respect of traditional and cultural customs of Aboriginal and Torres Strait Islander people</w:t>
      </w:r>
    </w:p>
    <w:p w14:paraId="49EB9871" w14:textId="1E165B2B" w:rsidR="00A34282" w:rsidRPr="007743B3" w:rsidRDefault="00A34282" w:rsidP="00D02555">
      <w:pPr>
        <w:pStyle w:val="ListParagraph"/>
        <w:numPr>
          <w:ilvl w:val="0"/>
          <w:numId w:val="1"/>
        </w:num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Broaden the scope of replaceable rule.</w:t>
      </w:r>
    </w:p>
    <w:p w14:paraId="7C9EE8C5" w14:textId="273D7543" w:rsidR="00A34282" w:rsidRPr="007743B3" w:rsidRDefault="00A34282" w:rsidP="00D21A53">
      <w:pPr>
        <w:pStyle w:val="ListParagraph"/>
        <w:numPr>
          <w:ilvl w:val="0"/>
          <w:numId w:val="1"/>
        </w:num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 xml:space="preserve">Allow for traditional and cultural customs to </w:t>
      </w:r>
      <w:r w:rsidR="000A73C8">
        <w:rPr>
          <w:rFonts w:ascii="Times New Roman" w:hAnsi="Times New Roman" w:cs="Times New Roman"/>
          <w:sz w:val="24"/>
          <w:szCs w:val="24"/>
        </w:rPr>
        <w:t xml:space="preserve">play a more important role in </w:t>
      </w:r>
      <w:r w:rsidRPr="007743B3">
        <w:rPr>
          <w:rFonts w:ascii="Times New Roman" w:hAnsi="Times New Roman" w:cs="Times New Roman"/>
          <w:sz w:val="24"/>
          <w:szCs w:val="24"/>
        </w:rPr>
        <w:t>the running of CATSI Corporations.</w:t>
      </w:r>
    </w:p>
    <w:p w14:paraId="5AB4488D" w14:textId="1CE13979" w:rsidR="00A34282" w:rsidRPr="007743B3" w:rsidRDefault="00A34282" w:rsidP="007743B3">
      <w:pPr>
        <w:pStyle w:val="ListParagraph"/>
        <w:spacing w:after="0" w:line="240" w:lineRule="auto"/>
        <w:jc w:val="both"/>
        <w:rPr>
          <w:rFonts w:ascii="Times New Roman" w:hAnsi="Times New Roman" w:cs="Times New Roman"/>
          <w:sz w:val="24"/>
          <w:szCs w:val="24"/>
        </w:rPr>
      </w:pPr>
    </w:p>
    <w:p w14:paraId="58AE1067" w14:textId="0766A69C" w:rsidR="00917B13" w:rsidRPr="007743B3" w:rsidRDefault="00917B13" w:rsidP="007743B3">
      <w:pPr>
        <w:spacing w:after="0" w:line="240" w:lineRule="auto"/>
        <w:jc w:val="both"/>
        <w:rPr>
          <w:rFonts w:ascii="Times New Roman" w:hAnsi="Times New Roman" w:cs="Times New Roman"/>
          <w:i/>
          <w:iCs/>
          <w:color w:val="538135" w:themeColor="accent6" w:themeShade="BF"/>
          <w:sz w:val="24"/>
          <w:szCs w:val="24"/>
        </w:rPr>
      </w:pPr>
      <w:r w:rsidRPr="007743B3">
        <w:rPr>
          <w:rFonts w:ascii="Times New Roman" w:hAnsi="Times New Roman" w:cs="Times New Roman"/>
          <w:i/>
          <w:iCs/>
          <w:color w:val="538135" w:themeColor="accent6" w:themeShade="BF"/>
          <w:sz w:val="24"/>
          <w:szCs w:val="24"/>
        </w:rPr>
        <w:t>How can the Registrar and ORIC further develop the capacity of corporations, including ensuring that directors and members have a sound understanding of their roles and rights as well as those of others?</w:t>
      </w:r>
    </w:p>
    <w:p w14:paraId="7792B4D0" w14:textId="77777777" w:rsidR="00CF61D9" w:rsidRPr="00197FC8" w:rsidRDefault="00CF61D9" w:rsidP="007743B3">
      <w:pPr>
        <w:spacing w:after="0" w:line="240" w:lineRule="auto"/>
        <w:jc w:val="both"/>
        <w:rPr>
          <w:rFonts w:ascii="Times New Roman" w:hAnsi="Times New Roman" w:cs="Times New Roman"/>
          <w:sz w:val="24"/>
          <w:szCs w:val="24"/>
        </w:rPr>
      </w:pPr>
    </w:p>
    <w:p w14:paraId="522F85E0" w14:textId="011EE0D2" w:rsidR="00CF61D9" w:rsidRPr="007743B3" w:rsidRDefault="00004686" w:rsidP="007743B3">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The Registrar and ORIC are building capacity by providing support for corporations through public education program</w:t>
      </w:r>
      <w:r w:rsidR="000A73C8">
        <w:rPr>
          <w:rFonts w:ascii="Times New Roman" w:hAnsi="Times New Roman" w:cs="Times New Roman"/>
          <w:sz w:val="24"/>
          <w:szCs w:val="24"/>
        </w:rPr>
        <w:t>s</w:t>
      </w:r>
      <w:r w:rsidRPr="007743B3">
        <w:rPr>
          <w:rFonts w:ascii="Times New Roman" w:hAnsi="Times New Roman" w:cs="Times New Roman"/>
          <w:sz w:val="24"/>
          <w:szCs w:val="24"/>
        </w:rPr>
        <w:t xml:space="preserve">. </w:t>
      </w:r>
      <w:proofErr w:type="gramStart"/>
      <w:r w:rsidRPr="007743B3">
        <w:rPr>
          <w:rFonts w:ascii="Times New Roman" w:hAnsi="Times New Roman" w:cs="Times New Roman"/>
          <w:sz w:val="24"/>
          <w:szCs w:val="24"/>
        </w:rPr>
        <w:t>However</w:t>
      </w:r>
      <w:proofErr w:type="gramEnd"/>
      <w:r w:rsidRPr="007743B3">
        <w:rPr>
          <w:rFonts w:ascii="Times New Roman" w:hAnsi="Times New Roman" w:cs="Times New Roman"/>
          <w:sz w:val="24"/>
          <w:szCs w:val="24"/>
        </w:rPr>
        <w:t xml:space="preserve"> it appears that there are limits to these programs. For instance, during the consultation stage</w:t>
      </w:r>
      <w:r w:rsidR="000A73C8">
        <w:rPr>
          <w:rFonts w:ascii="Times New Roman" w:hAnsi="Times New Roman" w:cs="Times New Roman"/>
          <w:sz w:val="24"/>
          <w:szCs w:val="24"/>
        </w:rPr>
        <w:t xml:space="preserve"> for this review,</w:t>
      </w:r>
      <w:r w:rsidRPr="007743B3">
        <w:rPr>
          <w:rFonts w:ascii="Times New Roman" w:hAnsi="Times New Roman" w:cs="Times New Roman"/>
          <w:sz w:val="24"/>
          <w:szCs w:val="24"/>
        </w:rPr>
        <w:t xml:space="preserve"> </w:t>
      </w:r>
      <w:r w:rsidR="000A73C8">
        <w:rPr>
          <w:rFonts w:ascii="Times New Roman" w:hAnsi="Times New Roman" w:cs="Times New Roman"/>
          <w:sz w:val="24"/>
          <w:szCs w:val="24"/>
        </w:rPr>
        <w:t>there were</w:t>
      </w:r>
      <w:r w:rsidRPr="007743B3">
        <w:rPr>
          <w:rFonts w:ascii="Times New Roman" w:hAnsi="Times New Roman" w:cs="Times New Roman"/>
          <w:sz w:val="24"/>
          <w:szCs w:val="24"/>
        </w:rPr>
        <w:t xml:space="preserve"> questio</w:t>
      </w:r>
      <w:r w:rsidR="000A73C8">
        <w:rPr>
          <w:rFonts w:ascii="Times New Roman" w:hAnsi="Times New Roman" w:cs="Times New Roman"/>
          <w:sz w:val="24"/>
          <w:szCs w:val="24"/>
        </w:rPr>
        <w:t xml:space="preserve">ns raised </w:t>
      </w:r>
      <w:proofErr w:type="gramStart"/>
      <w:r w:rsidR="000A73C8">
        <w:rPr>
          <w:rFonts w:ascii="Times New Roman" w:hAnsi="Times New Roman" w:cs="Times New Roman"/>
          <w:sz w:val="24"/>
          <w:szCs w:val="24"/>
        </w:rPr>
        <w:t xml:space="preserve">regarding </w:t>
      </w:r>
      <w:r w:rsidRPr="007743B3">
        <w:rPr>
          <w:rFonts w:ascii="Times New Roman" w:hAnsi="Times New Roman" w:cs="Times New Roman"/>
          <w:sz w:val="24"/>
          <w:szCs w:val="24"/>
        </w:rPr>
        <w:t xml:space="preserve"> the</w:t>
      </w:r>
      <w:proofErr w:type="gramEnd"/>
      <w:r w:rsidRPr="007743B3">
        <w:rPr>
          <w:rFonts w:ascii="Times New Roman" w:hAnsi="Times New Roman" w:cs="Times New Roman"/>
          <w:sz w:val="24"/>
          <w:szCs w:val="24"/>
        </w:rPr>
        <w:t xml:space="preserve"> efficacy of th</w:t>
      </w:r>
      <w:r w:rsidR="000A73C8">
        <w:rPr>
          <w:rFonts w:ascii="Times New Roman" w:hAnsi="Times New Roman" w:cs="Times New Roman"/>
          <w:sz w:val="24"/>
          <w:szCs w:val="24"/>
        </w:rPr>
        <w:t>e</w:t>
      </w:r>
      <w:r w:rsidRPr="007743B3">
        <w:rPr>
          <w:rFonts w:ascii="Times New Roman" w:hAnsi="Times New Roman" w:cs="Times New Roman"/>
          <w:sz w:val="24"/>
          <w:szCs w:val="24"/>
        </w:rPr>
        <w:t xml:space="preserve">se programs and whether they lead to true change. </w:t>
      </w:r>
      <w:r w:rsidR="000A73C8">
        <w:rPr>
          <w:rFonts w:ascii="Times New Roman" w:hAnsi="Times New Roman" w:cs="Times New Roman"/>
          <w:sz w:val="24"/>
          <w:szCs w:val="24"/>
        </w:rPr>
        <w:t xml:space="preserve">Alleged instances have been reported in which the </w:t>
      </w:r>
      <w:r w:rsidRPr="007743B3">
        <w:rPr>
          <w:rFonts w:ascii="Times New Roman" w:hAnsi="Times New Roman" w:cs="Times New Roman"/>
          <w:sz w:val="24"/>
          <w:szCs w:val="24"/>
        </w:rPr>
        <w:t xml:space="preserve">directors </w:t>
      </w:r>
      <w:r w:rsidR="00383064">
        <w:rPr>
          <w:rFonts w:ascii="Times New Roman" w:hAnsi="Times New Roman" w:cs="Times New Roman"/>
          <w:sz w:val="24"/>
          <w:szCs w:val="24"/>
        </w:rPr>
        <w:t xml:space="preserve">who completed ORIC courses </w:t>
      </w:r>
      <w:r w:rsidRPr="007743B3">
        <w:rPr>
          <w:rFonts w:ascii="Times New Roman" w:hAnsi="Times New Roman" w:cs="Times New Roman"/>
          <w:sz w:val="24"/>
          <w:szCs w:val="24"/>
        </w:rPr>
        <w:t xml:space="preserve">have chosen to ignore concepts covered by the program. </w:t>
      </w:r>
      <w:r w:rsidR="000A73C8" w:rsidRPr="000A73C8">
        <w:rPr>
          <w:rFonts w:ascii="Times New Roman" w:hAnsi="Times New Roman" w:cs="Times New Roman"/>
          <w:sz w:val="24"/>
          <w:szCs w:val="24"/>
        </w:rPr>
        <w:t>Accordingly,</w:t>
      </w:r>
      <w:r w:rsidRPr="007743B3">
        <w:rPr>
          <w:rFonts w:ascii="Times New Roman" w:hAnsi="Times New Roman" w:cs="Times New Roman"/>
          <w:sz w:val="24"/>
          <w:szCs w:val="24"/>
        </w:rPr>
        <w:t xml:space="preserve"> it is important for the Registrar to </w:t>
      </w:r>
      <w:r w:rsidR="000A73C8">
        <w:rPr>
          <w:rFonts w:ascii="Times New Roman" w:hAnsi="Times New Roman" w:cs="Times New Roman"/>
          <w:sz w:val="24"/>
          <w:szCs w:val="24"/>
        </w:rPr>
        <w:t>review</w:t>
      </w:r>
      <w:r w:rsidRPr="007743B3">
        <w:rPr>
          <w:rFonts w:ascii="Times New Roman" w:hAnsi="Times New Roman" w:cs="Times New Roman"/>
          <w:sz w:val="24"/>
          <w:szCs w:val="24"/>
        </w:rPr>
        <w:t xml:space="preserve"> </w:t>
      </w:r>
      <w:r w:rsidR="000A73C8">
        <w:rPr>
          <w:rFonts w:ascii="Times New Roman" w:hAnsi="Times New Roman" w:cs="Times New Roman"/>
          <w:sz w:val="24"/>
          <w:szCs w:val="24"/>
        </w:rPr>
        <w:t>its</w:t>
      </w:r>
      <w:r w:rsidRPr="007743B3">
        <w:rPr>
          <w:rFonts w:ascii="Times New Roman" w:hAnsi="Times New Roman" w:cs="Times New Roman"/>
          <w:sz w:val="24"/>
          <w:szCs w:val="24"/>
        </w:rPr>
        <w:t xml:space="preserve"> education programs to</w:t>
      </w:r>
      <w:r w:rsidR="000A73C8">
        <w:rPr>
          <w:rFonts w:ascii="Times New Roman" w:hAnsi="Times New Roman" w:cs="Times New Roman"/>
          <w:sz w:val="24"/>
          <w:szCs w:val="24"/>
        </w:rPr>
        <w:t xml:space="preserve"> assess the</w:t>
      </w:r>
      <w:r w:rsidRPr="007743B3">
        <w:rPr>
          <w:rFonts w:ascii="Times New Roman" w:hAnsi="Times New Roman" w:cs="Times New Roman"/>
          <w:sz w:val="24"/>
          <w:szCs w:val="24"/>
        </w:rPr>
        <w:t xml:space="preserve"> extent </w:t>
      </w:r>
      <w:r w:rsidR="000A73C8">
        <w:rPr>
          <w:rFonts w:ascii="Times New Roman" w:hAnsi="Times New Roman" w:cs="Times New Roman"/>
          <w:sz w:val="24"/>
          <w:szCs w:val="24"/>
        </w:rPr>
        <w:t xml:space="preserve">to which </w:t>
      </w:r>
      <w:r w:rsidRPr="007743B3">
        <w:rPr>
          <w:rFonts w:ascii="Times New Roman" w:hAnsi="Times New Roman" w:cs="Times New Roman"/>
          <w:sz w:val="24"/>
          <w:szCs w:val="24"/>
        </w:rPr>
        <w:t>they meet the needs and expectation of the participants. This will allow for the regulator to understand whether there is a disconnect between the educational program provided and reality</w:t>
      </w:r>
    </w:p>
    <w:p w14:paraId="44C7B7EA" w14:textId="35098A0B" w:rsidR="00A34282" w:rsidRDefault="00A34282" w:rsidP="00197FC8">
      <w:pPr>
        <w:spacing w:after="0" w:line="240" w:lineRule="auto"/>
        <w:jc w:val="both"/>
        <w:rPr>
          <w:rFonts w:ascii="Times New Roman" w:hAnsi="Times New Roman" w:cs="Times New Roman"/>
          <w:sz w:val="24"/>
          <w:szCs w:val="24"/>
        </w:rPr>
      </w:pPr>
    </w:p>
    <w:p w14:paraId="4A019DF0" w14:textId="77777777" w:rsidR="000A73C8" w:rsidRPr="00197FC8" w:rsidRDefault="000A73C8" w:rsidP="000A73C8">
      <w:pPr>
        <w:spacing w:after="0" w:line="240" w:lineRule="auto"/>
        <w:jc w:val="both"/>
        <w:rPr>
          <w:rFonts w:ascii="Times New Roman" w:hAnsi="Times New Roman" w:cs="Times New Roman"/>
          <w:sz w:val="24"/>
          <w:szCs w:val="24"/>
        </w:rPr>
      </w:pPr>
    </w:p>
    <w:p w14:paraId="042FB506" w14:textId="501D1D36" w:rsidR="00CF61D9" w:rsidRPr="00197FC8" w:rsidRDefault="00822ECC" w:rsidP="000A73C8">
      <w:pPr>
        <w:keepNext/>
        <w:shd w:val="clear" w:color="auto" w:fill="C0C0C0"/>
        <w:spacing w:after="0" w:line="240" w:lineRule="auto"/>
        <w:jc w:val="center"/>
        <w:outlineLvl w:val="0"/>
        <w:rPr>
          <w:rFonts w:ascii="Times New Roman" w:hAnsi="Times New Roman" w:cs="Times New Roman"/>
          <w:b/>
          <w:bCs/>
          <w:kern w:val="32"/>
          <w:sz w:val="24"/>
          <w:szCs w:val="24"/>
        </w:rPr>
      </w:pPr>
      <w:r w:rsidRPr="00197FC8">
        <w:rPr>
          <w:rFonts w:ascii="Times New Roman" w:hAnsi="Times New Roman" w:cs="Times New Roman"/>
          <w:b/>
          <w:bCs/>
          <w:kern w:val="32"/>
          <w:sz w:val="24"/>
          <w:szCs w:val="24"/>
        </w:rPr>
        <w:t xml:space="preserve">CHAPTER 3: POWERS AND FUNCTIONS OF THE REGISTRAR </w:t>
      </w:r>
    </w:p>
    <w:p w14:paraId="35406812" w14:textId="4002319C" w:rsidR="00CF61D9" w:rsidRPr="00E418B7" w:rsidRDefault="00CF61D9" w:rsidP="00213170">
      <w:pPr>
        <w:spacing w:after="0" w:line="240" w:lineRule="auto"/>
        <w:jc w:val="both"/>
        <w:rPr>
          <w:rFonts w:ascii="Times New Roman" w:hAnsi="Times New Roman" w:cs="Times New Roman"/>
          <w:sz w:val="24"/>
          <w:szCs w:val="24"/>
        </w:rPr>
      </w:pPr>
    </w:p>
    <w:p w14:paraId="125BF106" w14:textId="77777777" w:rsidR="00004686" w:rsidRPr="007743B3" w:rsidRDefault="00917B13" w:rsidP="00320E7B">
      <w:pPr>
        <w:spacing w:after="0" w:line="240" w:lineRule="auto"/>
        <w:jc w:val="both"/>
        <w:rPr>
          <w:rFonts w:ascii="Times New Roman" w:hAnsi="Times New Roman" w:cs="Times New Roman"/>
          <w:i/>
          <w:iCs/>
          <w:color w:val="538135" w:themeColor="accent6" w:themeShade="BF"/>
          <w:sz w:val="24"/>
          <w:szCs w:val="24"/>
        </w:rPr>
      </w:pPr>
      <w:r w:rsidRPr="007743B3">
        <w:rPr>
          <w:rFonts w:ascii="Times New Roman" w:hAnsi="Times New Roman" w:cs="Times New Roman"/>
          <w:i/>
          <w:iCs/>
          <w:color w:val="538135" w:themeColor="accent6" w:themeShade="BF"/>
          <w:sz w:val="24"/>
          <w:szCs w:val="24"/>
        </w:rPr>
        <w:t xml:space="preserve">Do you agree the powers of the Registrar should be expanded to include a suite of lower level discretionary powers, modelled on those of ASIC, including the power to issue fines? </w:t>
      </w:r>
    </w:p>
    <w:p w14:paraId="10CC8B78" w14:textId="3F4F28DC" w:rsidR="00004686" w:rsidRPr="007743B3" w:rsidRDefault="00004686" w:rsidP="008D7E28">
      <w:pPr>
        <w:spacing w:after="0" w:line="240" w:lineRule="auto"/>
        <w:jc w:val="both"/>
        <w:rPr>
          <w:rFonts w:ascii="Times New Roman" w:hAnsi="Times New Roman" w:cs="Times New Roman"/>
          <w:sz w:val="24"/>
          <w:szCs w:val="24"/>
        </w:rPr>
      </w:pPr>
    </w:p>
    <w:p w14:paraId="5ADF5856" w14:textId="18A3827A" w:rsidR="00C8525F" w:rsidRPr="007743B3" w:rsidRDefault="00B7125C" w:rsidP="00D02555">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 xml:space="preserve">It is important for regulators to have a suite of low, medium as well as high ranging sanctions at their disposal. This diversity may allow the Registrar to apply responsive regulation to deal with </w:t>
      </w:r>
      <w:r w:rsidR="000A73C8">
        <w:rPr>
          <w:rFonts w:ascii="Times New Roman" w:hAnsi="Times New Roman" w:cs="Times New Roman"/>
          <w:sz w:val="24"/>
          <w:szCs w:val="24"/>
        </w:rPr>
        <w:t>breaches of the law</w:t>
      </w:r>
      <w:r w:rsidRPr="007743B3">
        <w:rPr>
          <w:rFonts w:ascii="Times New Roman" w:hAnsi="Times New Roman" w:cs="Times New Roman"/>
          <w:sz w:val="24"/>
          <w:szCs w:val="24"/>
        </w:rPr>
        <w:t>. As Braithwaite noted, both punishment and persuasion work to limit violations of the law.  Punishment by itself is not an effective method of business regulation, because the harm that can be caused is often not addressed by up-to-date laws.  To ensure regulatory effectiveness, the regulator should impose punishment when needed, but use persuasion whenever possible.</w:t>
      </w:r>
      <w:r w:rsidRPr="007743B3">
        <w:rPr>
          <w:rStyle w:val="FootnoteReference"/>
          <w:rFonts w:ascii="Times New Roman" w:hAnsi="Times New Roman" w:cs="Times New Roman"/>
          <w:sz w:val="24"/>
          <w:szCs w:val="24"/>
        </w:rPr>
        <w:t xml:space="preserve"> </w:t>
      </w:r>
      <w:r w:rsidRPr="007743B3">
        <w:rPr>
          <w:rStyle w:val="FootnoteReference"/>
          <w:rFonts w:ascii="Times New Roman" w:hAnsi="Times New Roman" w:cs="Times New Roman"/>
          <w:sz w:val="24"/>
          <w:szCs w:val="24"/>
        </w:rPr>
        <w:footnoteReference w:id="3"/>
      </w:r>
    </w:p>
    <w:p w14:paraId="48475194" w14:textId="77777777" w:rsidR="00B7125C" w:rsidRPr="007743B3" w:rsidRDefault="00B7125C" w:rsidP="007743B3">
      <w:pPr>
        <w:spacing w:after="0" w:line="240" w:lineRule="auto"/>
        <w:jc w:val="both"/>
        <w:rPr>
          <w:rFonts w:ascii="Times New Roman" w:hAnsi="Times New Roman" w:cs="Times New Roman"/>
          <w:sz w:val="24"/>
          <w:szCs w:val="24"/>
        </w:rPr>
      </w:pPr>
    </w:p>
    <w:p w14:paraId="09E92744" w14:textId="1CD727E1" w:rsidR="00B7125C" w:rsidRPr="007743B3" w:rsidRDefault="00B7125C" w:rsidP="007743B3">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 xml:space="preserve">Consequently, a mix of enforcement strategies and sanctions are needed.  A regulatory body that has only one sanction, which cannot politically or legally be used in some situations, will not be able to deliver a “punishment payoff”, since it is easy for the rational offending firm to </w:t>
      </w:r>
      <w:r w:rsidRPr="007743B3">
        <w:rPr>
          <w:rFonts w:ascii="Times New Roman" w:hAnsi="Times New Roman" w:cs="Times New Roman"/>
          <w:sz w:val="24"/>
          <w:szCs w:val="24"/>
        </w:rPr>
        <w:lastRenderedPageBreak/>
        <w:t>calculate the cost-benefit of breaking the law.  On the other hand, when a regulator has a number of weapons available for any particular offence, the information costs of calculating these probabilities will be discouragingly high, even for a large company with a legal team at its disposal.</w:t>
      </w:r>
      <w:r w:rsidRPr="007743B3">
        <w:rPr>
          <w:rStyle w:val="FootnoteReference"/>
          <w:rFonts w:ascii="Times New Roman" w:hAnsi="Times New Roman" w:cs="Times New Roman"/>
          <w:sz w:val="24"/>
          <w:szCs w:val="24"/>
        </w:rPr>
        <w:footnoteReference w:id="4"/>
      </w:r>
      <w:r w:rsidRPr="007743B3">
        <w:rPr>
          <w:rFonts w:ascii="Times New Roman" w:hAnsi="Times New Roman" w:cs="Times New Roman"/>
          <w:sz w:val="24"/>
          <w:szCs w:val="24"/>
        </w:rPr>
        <w:t xml:space="preserve"> The information costs discussed mean that the regulator with an “enforcement pyramid” may have superior resources with which it can bargain.  Compliance is most likely when an agency displays an explicit enforcement pyramid.  Braithwaite and Ayres describe such an enforcement pyramid in their </w:t>
      </w:r>
      <w:r w:rsidRPr="007743B3">
        <w:rPr>
          <w:rFonts w:ascii="Times New Roman" w:hAnsi="Times New Roman" w:cs="Times New Roman"/>
          <w:i/>
          <w:sz w:val="24"/>
          <w:szCs w:val="24"/>
        </w:rPr>
        <w:t>Responsive Regulation: Transcending the Deregulatory Debate</w:t>
      </w:r>
      <w:r w:rsidRPr="007743B3">
        <w:rPr>
          <w:rFonts w:ascii="Times New Roman" w:hAnsi="Times New Roman" w:cs="Times New Roman"/>
          <w:sz w:val="24"/>
          <w:szCs w:val="24"/>
        </w:rPr>
        <w:t>.</w:t>
      </w:r>
      <w:r w:rsidRPr="007743B3">
        <w:rPr>
          <w:rStyle w:val="FootnoteReference"/>
          <w:rFonts w:ascii="Times New Roman" w:hAnsi="Times New Roman" w:cs="Times New Roman"/>
          <w:sz w:val="24"/>
          <w:szCs w:val="24"/>
        </w:rPr>
        <w:footnoteReference w:id="5"/>
      </w:r>
      <w:r w:rsidRPr="007743B3">
        <w:rPr>
          <w:rFonts w:ascii="Times New Roman" w:hAnsi="Times New Roman" w:cs="Times New Roman"/>
          <w:sz w:val="24"/>
          <w:szCs w:val="24"/>
        </w:rPr>
        <w:t xml:space="preserve">  </w:t>
      </w:r>
    </w:p>
    <w:p w14:paraId="50941147" w14:textId="77777777" w:rsidR="00B7125C" w:rsidRPr="007743B3" w:rsidRDefault="00B7125C" w:rsidP="007743B3">
      <w:pPr>
        <w:spacing w:after="0" w:line="240" w:lineRule="auto"/>
        <w:jc w:val="both"/>
        <w:rPr>
          <w:rFonts w:ascii="Times New Roman" w:hAnsi="Times New Roman" w:cs="Times New Roman"/>
          <w:sz w:val="24"/>
          <w:szCs w:val="24"/>
        </w:rPr>
      </w:pPr>
    </w:p>
    <w:p w14:paraId="5B67A5C3" w14:textId="53D13FE9" w:rsidR="00B7125C" w:rsidRPr="007743B3" w:rsidRDefault="00B7125C" w:rsidP="007743B3">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 xml:space="preserve">As depicted below, the base of the pyramid represents the attempts to coax compliance by persuasion.  The next stage of enforcement is the warning that actions might be taken if the violation continues.  If this fails to secure compliance, civil penalties will come into play followed by criminal prosecutions.  If these methods do not work to secure </w:t>
      </w:r>
      <w:r w:rsidR="00213170" w:rsidRPr="00213170">
        <w:rPr>
          <w:rFonts w:ascii="Times New Roman" w:hAnsi="Times New Roman" w:cs="Times New Roman"/>
          <w:sz w:val="24"/>
          <w:szCs w:val="24"/>
        </w:rPr>
        <w:t>compliance,</w:t>
      </w:r>
      <w:r w:rsidRPr="007743B3">
        <w:rPr>
          <w:rFonts w:ascii="Times New Roman" w:hAnsi="Times New Roman" w:cs="Times New Roman"/>
          <w:sz w:val="24"/>
          <w:szCs w:val="24"/>
        </w:rPr>
        <w:t xml:space="preserve"> then the regulator might suspend temporarily the offender’s license to operate.  If all fails, permanent revocation of the license is the last step taken by the agency.  This escalation of sanctions is sketched in the form of a pyramid. </w:t>
      </w:r>
    </w:p>
    <w:p w14:paraId="324F02EE" w14:textId="77777777" w:rsidR="00B7125C" w:rsidRPr="007743B3" w:rsidRDefault="00B7125C" w:rsidP="007743B3">
      <w:pPr>
        <w:spacing w:after="0" w:line="240" w:lineRule="auto"/>
        <w:jc w:val="both"/>
        <w:rPr>
          <w:rFonts w:ascii="Times New Roman" w:hAnsi="Times New Roman" w:cs="Times New Roman"/>
          <w:sz w:val="24"/>
          <w:szCs w:val="24"/>
        </w:rPr>
      </w:pPr>
    </w:p>
    <w:p w14:paraId="1C303D2E" w14:textId="77777777" w:rsidR="00B7125C" w:rsidRPr="007743B3" w:rsidRDefault="00B7125C" w:rsidP="007743B3">
      <w:pPr>
        <w:spacing w:after="0" w:line="240" w:lineRule="auto"/>
        <w:jc w:val="both"/>
        <w:rPr>
          <w:rFonts w:ascii="Times New Roman" w:hAnsi="Times New Roman" w:cs="Times New Roman"/>
          <w:sz w:val="24"/>
          <w:szCs w:val="24"/>
        </w:rPr>
      </w:pPr>
    </w:p>
    <w:p w14:paraId="01A7C397" w14:textId="77697FC3" w:rsidR="00B7125C" w:rsidRPr="007743B3" w:rsidRDefault="003E4896" w:rsidP="007743B3">
      <w:pPr>
        <w:spacing w:after="0" w:line="240" w:lineRule="auto"/>
        <w:jc w:val="both"/>
        <w:rPr>
          <w:rFonts w:ascii="Times New Roman" w:hAnsi="Times New Roman" w:cs="Times New Roman"/>
          <w:sz w:val="24"/>
          <w:szCs w:val="24"/>
        </w:rPr>
      </w:pPr>
      <w:r w:rsidRPr="007743B3">
        <w:rPr>
          <w:rFonts w:ascii="Times New Roman" w:hAnsi="Times New Roman" w:cs="Times New Roman"/>
          <w:noProof/>
          <w:sz w:val="24"/>
          <w:szCs w:val="24"/>
        </w:rPr>
        <w:drawing>
          <wp:inline distT="0" distB="0" distL="0" distR="0" wp14:anchorId="25575B5F" wp14:editId="134D0991">
            <wp:extent cx="5486400" cy="3200400"/>
            <wp:effectExtent l="19050" t="38100" r="3810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C071BF9" w14:textId="167DEC44" w:rsidR="00B7125C" w:rsidRPr="007743B3" w:rsidRDefault="000A73C8" w:rsidP="007743B3">
      <w:pPr>
        <w:pStyle w:val="Caption"/>
        <w:jc w:val="center"/>
        <w:rPr>
          <w:sz w:val="24"/>
          <w:szCs w:val="24"/>
        </w:rPr>
      </w:pPr>
      <w:bookmarkStart w:id="0" w:name="_Toc107519626"/>
      <w:r>
        <w:rPr>
          <w:sz w:val="24"/>
          <w:szCs w:val="24"/>
        </w:rPr>
        <w:t>Figure 1 -</w:t>
      </w:r>
      <w:r w:rsidR="00B7125C" w:rsidRPr="007743B3">
        <w:rPr>
          <w:sz w:val="24"/>
          <w:szCs w:val="24"/>
        </w:rPr>
        <w:t xml:space="preserve"> Enforcement pyramid (Braithwaite and Ayres)</w:t>
      </w:r>
      <w:bookmarkEnd w:id="0"/>
    </w:p>
    <w:p w14:paraId="57C8E810" w14:textId="77777777" w:rsidR="00B7125C" w:rsidRPr="007743B3" w:rsidRDefault="00B7125C" w:rsidP="007743B3">
      <w:pPr>
        <w:spacing w:after="0" w:line="240" w:lineRule="auto"/>
        <w:jc w:val="both"/>
        <w:rPr>
          <w:rFonts w:ascii="Times New Roman" w:hAnsi="Times New Roman" w:cs="Times New Roman"/>
          <w:sz w:val="24"/>
          <w:szCs w:val="24"/>
        </w:rPr>
      </w:pPr>
    </w:p>
    <w:p w14:paraId="517B9387" w14:textId="77777777" w:rsidR="00B7125C" w:rsidRPr="007743B3" w:rsidRDefault="00B7125C" w:rsidP="007743B3">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The width of each layer represents the proportion of enforcement activities at that level.  The explanation for the varying size is simple.  If the regulator can plausibly threaten to match any non-compliance by moving successfully up the pyramid, then most of the regulator’s work will be done effectively at the bottom layers of the pyramid.  The lighter sanctions will dissuade the regulated entity from continuing its illegal activities because it will not want the regulator to use its strong sanctions.  Put another way, when there is an equilibrium between harsh and soft sanctions, the regulator attains the result needed by speaking softly.</w:t>
      </w:r>
      <w:r w:rsidRPr="007743B3">
        <w:rPr>
          <w:rStyle w:val="FootnoteReference"/>
          <w:rFonts w:ascii="Times New Roman" w:hAnsi="Times New Roman" w:cs="Times New Roman"/>
          <w:sz w:val="24"/>
          <w:szCs w:val="24"/>
        </w:rPr>
        <w:footnoteReference w:id="6"/>
      </w:r>
      <w:r w:rsidRPr="007743B3">
        <w:rPr>
          <w:rFonts w:ascii="Times New Roman" w:hAnsi="Times New Roman" w:cs="Times New Roman"/>
          <w:sz w:val="24"/>
          <w:szCs w:val="24"/>
        </w:rPr>
        <w:t xml:space="preserve">  </w:t>
      </w:r>
    </w:p>
    <w:p w14:paraId="0CD77ECF" w14:textId="77777777" w:rsidR="00B7125C" w:rsidRPr="007743B3" w:rsidRDefault="00B7125C" w:rsidP="007743B3">
      <w:pPr>
        <w:spacing w:after="0" w:line="240" w:lineRule="auto"/>
        <w:jc w:val="both"/>
        <w:rPr>
          <w:rFonts w:ascii="Times New Roman" w:hAnsi="Times New Roman" w:cs="Times New Roman"/>
          <w:sz w:val="24"/>
          <w:szCs w:val="24"/>
        </w:rPr>
      </w:pPr>
    </w:p>
    <w:p w14:paraId="74CECBB2" w14:textId="54C0E489" w:rsidR="00B7125C" w:rsidRPr="007743B3" w:rsidRDefault="00B7125C" w:rsidP="007743B3">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 xml:space="preserve">In summary, the basic idea of responsive regulation is that governments should respond to the conduct of those they seek to regulate in deciding whether </w:t>
      </w:r>
      <w:proofErr w:type="gramStart"/>
      <w:r w:rsidRPr="007743B3">
        <w:rPr>
          <w:rFonts w:ascii="Times New Roman" w:hAnsi="Times New Roman" w:cs="Times New Roman"/>
          <w:sz w:val="24"/>
          <w:szCs w:val="24"/>
        </w:rPr>
        <w:t>a more or less interventionist</w:t>
      </w:r>
      <w:proofErr w:type="gramEnd"/>
      <w:r w:rsidRPr="007743B3">
        <w:rPr>
          <w:rFonts w:ascii="Times New Roman" w:hAnsi="Times New Roman" w:cs="Times New Roman"/>
          <w:sz w:val="24"/>
          <w:szCs w:val="24"/>
        </w:rPr>
        <w:t xml:space="preserve"> approach is needed.  It is better to start with dialogue and then go up in severity.</w:t>
      </w:r>
      <w:r w:rsidR="003E4896" w:rsidRPr="007743B3">
        <w:rPr>
          <w:rFonts w:ascii="Times New Roman" w:hAnsi="Times New Roman" w:cs="Times New Roman"/>
          <w:sz w:val="24"/>
          <w:szCs w:val="24"/>
        </w:rPr>
        <w:t xml:space="preserve"> This approach will especially be useful to the Registrar as enforcement without persuasion may result in resentment by the regulated community.</w:t>
      </w:r>
    </w:p>
    <w:p w14:paraId="6D9AA0DC" w14:textId="77777777" w:rsidR="00004686" w:rsidRPr="007743B3" w:rsidRDefault="00004686" w:rsidP="007743B3">
      <w:pPr>
        <w:spacing w:after="0" w:line="240" w:lineRule="auto"/>
        <w:jc w:val="both"/>
        <w:rPr>
          <w:rFonts w:ascii="Times New Roman" w:hAnsi="Times New Roman" w:cs="Times New Roman"/>
          <w:sz w:val="24"/>
          <w:szCs w:val="24"/>
        </w:rPr>
      </w:pPr>
    </w:p>
    <w:p w14:paraId="2F36160C" w14:textId="7E540698" w:rsidR="00917B13" w:rsidRPr="007743B3" w:rsidRDefault="00917B13" w:rsidP="007743B3">
      <w:pPr>
        <w:spacing w:after="0" w:line="240" w:lineRule="auto"/>
        <w:jc w:val="both"/>
        <w:rPr>
          <w:rFonts w:ascii="Times New Roman" w:hAnsi="Times New Roman" w:cs="Times New Roman"/>
          <w:i/>
          <w:iCs/>
          <w:color w:val="538135" w:themeColor="accent6" w:themeShade="BF"/>
          <w:sz w:val="24"/>
          <w:szCs w:val="24"/>
        </w:rPr>
      </w:pPr>
      <w:r w:rsidRPr="007743B3">
        <w:rPr>
          <w:rFonts w:ascii="Times New Roman" w:hAnsi="Times New Roman" w:cs="Times New Roman"/>
          <w:i/>
          <w:iCs/>
          <w:color w:val="538135" w:themeColor="accent6" w:themeShade="BF"/>
          <w:sz w:val="24"/>
          <w:szCs w:val="24"/>
        </w:rPr>
        <w:t>Do you agree that the Registrar should be able to accept enforceable undertakings?</w:t>
      </w:r>
    </w:p>
    <w:p w14:paraId="2973E68C" w14:textId="77777777" w:rsidR="00004686" w:rsidRPr="007743B3" w:rsidRDefault="00004686" w:rsidP="007743B3">
      <w:pPr>
        <w:spacing w:after="0" w:line="240" w:lineRule="auto"/>
        <w:jc w:val="both"/>
        <w:rPr>
          <w:rFonts w:ascii="Times New Roman" w:hAnsi="Times New Roman" w:cs="Times New Roman"/>
          <w:sz w:val="24"/>
          <w:szCs w:val="24"/>
        </w:rPr>
      </w:pPr>
    </w:p>
    <w:p w14:paraId="23CC3998" w14:textId="1B02F9A1" w:rsidR="003E4896" w:rsidRPr="00197FC8" w:rsidRDefault="003E4896" w:rsidP="007743B3">
      <w:pPr>
        <w:spacing w:after="0" w:line="240" w:lineRule="auto"/>
        <w:jc w:val="both"/>
        <w:rPr>
          <w:rFonts w:ascii="Times New Roman" w:hAnsi="Times New Roman" w:cs="Times New Roman"/>
          <w:sz w:val="24"/>
          <w:szCs w:val="24"/>
        </w:rPr>
      </w:pPr>
      <w:r w:rsidRPr="00197FC8">
        <w:rPr>
          <w:rFonts w:ascii="Times New Roman" w:hAnsi="Times New Roman" w:cs="Times New Roman"/>
          <w:sz w:val="24"/>
          <w:szCs w:val="24"/>
        </w:rPr>
        <w:t>An enforceable undertaking can be described as a promise enforceable in court.</w:t>
      </w:r>
      <w:r w:rsidRPr="00197FC8">
        <w:rPr>
          <w:rStyle w:val="FootnoteReference"/>
          <w:rFonts w:ascii="Times New Roman" w:hAnsi="Times New Roman" w:cs="Times New Roman"/>
          <w:sz w:val="24"/>
          <w:szCs w:val="24"/>
        </w:rPr>
        <w:footnoteReference w:id="7"/>
      </w:r>
      <w:r w:rsidRPr="00197FC8">
        <w:rPr>
          <w:rFonts w:ascii="Times New Roman" w:hAnsi="Times New Roman" w:cs="Times New Roman"/>
          <w:sz w:val="24"/>
          <w:szCs w:val="24"/>
        </w:rPr>
        <w:t xml:space="preserve">  It takes the form of a settlement in which the alleged offender (who may be called “the promisor”) and the regulator start their negotiation in relation to the alleged breach.  The regulator usually has wide latitude to negotiate and accept outcomes similar to those remedies available to the Court in many respects, and also remedies not normally within the Court’s power, so long as the undertaking is accepted ‘in connection with a matter in relation to which’ the regulator has a power or function.</w:t>
      </w:r>
      <w:r w:rsidRPr="00197FC8">
        <w:rPr>
          <w:rStyle w:val="FootnoteReference"/>
          <w:rFonts w:ascii="Times New Roman" w:hAnsi="Times New Roman" w:cs="Times New Roman"/>
          <w:sz w:val="24"/>
          <w:szCs w:val="24"/>
        </w:rPr>
        <w:footnoteReference w:id="8"/>
      </w:r>
      <w:r w:rsidRPr="00197FC8">
        <w:rPr>
          <w:rFonts w:ascii="Times New Roman" w:hAnsi="Times New Roman" w:cs="Times New Roman"/>
          <w:sz w:val="24"/>
          <w:szCs w:val="24"/>
        </w:rPr>
        <w:t xml:space="preserve"> Further, the statute may allow the Court to make orders to enforce an undertaking that would ordinarily not be within its power to make.</w:t>
      </w:r>
    </w:p>
    <w:p w14:paraId="3527E443" w14:textId="566CB5DB" w:rsidR="00DF04D0" w:rsidRPr="00E418B7" w:rsidRDefault="00DF04D0" w:rsidP="007743B3">
      <w:pPr>
        <w:spacing w:after="0" w:line="240" w:lineRule="auto"/>
        <w:jc w:val="both"/>
        <w:rPr>
          <w:rFonts w:ascii="Times New Roman" w:hAnsi="Times New Roman" w:cs="Times New Roman"/>
          <w:sz w:val="24"/>
          <w:szCs w:val="24"/>
        </w:rPr>
      </w:pPr>
    </w:p>
    <w:p w14:paraId="4B2CE0BB" w14:textId="06B98009" w:rsidR="00DF04D0" w:rsidRPr="007743B3" w:rsidRDefault="00DF04D0" w:rsidP="007743B3">
      <w:pPr>
        <w:spacing w:after="0" w:line="240" w:lineRule="auto"/>
        <w:jc w:val="both"/>
        <w:rPr>
          <w:rFonts w:ascii="Times New Roman" w:hAnsi="Times New Roman" w:cs="Times New Roman"/>
          <w:color w:val="000000"/>
          <w:sz w:val="24"/>
          <w:szCs w:val="24"/>
        </w:rPr>
      </w:pPr>
      <w:r w:rsidRPr="007743B3">
        <w:rPr>
          <w:rFonts w:ascii="Times New Roman" w:hAnsi="Times New Roman" w:cs="Times New Roman"/>
          <w:sz w:val="24"/>
          <w:szCs w:val="24"/>
        </w:rPr>
        <w:t xml:space="preserve">This sanction will be an asset for the Registrar as it </w:t>
      </w:r>
      <w:r w:rsidRPr="007743B3">
        <w:rPr>
          <w:rFonts w:ascii="Times New Roman" w:hAnsi="Times New Roman" w:cs="Times New Roman"/>
          <w:color w:val="000000"/>
          <w:sz w:val="24"/>
          <w:szCs w:val="24"/>
        </w:rPr>
        <w:t>forms a bridge between the strategies of persuasion and enforcement.  On the one hand, the sanction is based on negotiation between the regulator and the alleged offender.  Such negotiations may lead to the settlement of the matter though the acceptance of an enforceable undertaking.  The use of persuasion over other enforcement strategies is often a more effective use of a regulator’s limited resources.</w:t>
      </w:r>
      <w:r w:rsidRPr="007743B3">
        <w:rPr>
          <w:rStyle w:val="FootnoteReference"/>
          <w:rFonts w:ascii="Times New Roman" w:hAnsi="Times New Roman" w:cs="Times New Roman"/>
          <w:color w:val="000000"/>
          <w:sz w:val="24"/>
          <w:szCs w:val="24"/>
        </w:rPr>
        <w:footnoteReference w:id="9"/>
      </w:r>
      <w:r w:rsidRPr="007743B3">
        <w:rPr>
          <w:rFonts w:ascii="Times New Roman" w:hAnsi="Times New Roman" w:cs="Times New Roman"/>
          <w:color w:val="000000"/>
          <w:sz w:val="24"/>
          <w:szCs w:val="24"/>
        </w:rPr>
        <w:t xml:space="preserve">  In addition, the sanction can </w:t>
      </w:r>
      <w:r w:rsidR="00AB15B0" w:rsidRPr="007743B3">
        <w:rPr>
          <w:rFonts w:ascii="Times New Roman" w:hAnsi="Times New Roman" w:cs="Times New Roman"/>
          <w:color w:val="000000"/>
          <w:sz w:val="24"/>
          <w:szCs w:val="24"/>
        </w:rPr>
        <w:t>be healing as it may be restorative in nature and accordingly make a different in the affected communities.</w:t>
      </w:r>
      <w:r w:rsidR="001F25B5" w:rsidRPr="007743B3">
        <w:rPr>
          <w:rFonts w:ascii="Times New Roman" w:hAnsi="Times New Roman" w:cs="Times New Roman"/>
          <w:color w:val="000000"/>
          <w:sz w:val="24"/>
          <w:szCs w:val="24"/>
        </w:rPr>
        <w:t xml:space="preserve"> Further, and enforceable undertaking may lead to greater education for the alleged offender and the broader community.</w:t>
      </w:r>
    </w:p>
    <w:p w14:paraId="13B634B0" w14:textId="77777777" w:rsidR="00DF04D0" w:rsidRPr="007743B3" w:rsidRDefault="00DF04D0" w:rsidP="007743B3">
      <w:pPr>
        <w:spacing w:after="0" w:line="240" w:lineRule="auto"/>
        <w:jc w:val="both"/>
        <w:rPr>
          <w:rFonts w:ascii="Times New Roman" w:hAnsi="Times New Roman" w:cs="Times New Roman"/>
          <w:color w:val="000000"/>
          <w:sz w:val="24"/>
          <w:szCs w:val="24"/>
        </w:rPr>
      </w:pPr>
    </w:p>
    <w:p w14:paraId="500FF3BE" w14:textId="30776725" w:rsidR="00DF04D0" w:rsidRPr="007743B3" w:rsidRDefault="00DF04D0" w:rsidP="007743B3">
      <w:pPr>
        <w:spacing w:after="0" w:line="240" w:lineRule="auto"/>
        <w:jc w:val="both"/>
        <w:rPr>
          <w:rFonts w:ascii="Times New Roman" w:hAnsi="Times New Roman" w:cs="Times New Roman"/>
          <w:color w:val="000000"/>
          <w:sz w:val="24"/>
          <w:szCs w:val="24"/>
        </w:rPr>
      </w:pPr>
      <w:r w:rsidRPr="007743B3">
        <w:rPr>
          <w:rFonts w:ascii="Times New Roman" w:hAnsi="Times New Roman" w:cs="Times New Roman"/>
          <w:color w:val="000000"/>
          <w:sz w:val="24"/>
          <w:szCs w:val="24"/>
        </w:rPr>
        <w:t>On the other hand, if an enforceable undertaking is not complied with, the regulator may enforce the undertaking in court.  The enforcement option gives the regulator an edge because such an option maximises the chances that an undertaking will be complied with.  Rational people will be aware that non-compliance with an undertaking can lead to enforcement.  This threat may diminish the likelihood that a promisor will not comply with the terms of his or her undertaking.</w:t>
      </w:r>
      <w:r w:rsidRPr="007743B3">
        <w:rPr>
          <w:rStyle w:val="FootnoteReference"/>
          <w:rFonts w:ascii="Times New Roman" w:hAnsi="Times New Roman" w:cs="Times New Roman"/>
          <w:color w:val="000000"/>
          <w:sz w:val="24"/>
          <w:szCs w:val="24"/>
        </w:rPr>
        <w:footnoteReference w:id="10"/>
      </w:r>
    </w:p>
    <w:p w14:paraId="6FBCCF3B" w14:textId="396704A4" w:rsidR="00AB15B0" w:rsidRPr="007743B3" w:rsidRDefault="00AB15B0" w:rsidP="007743B3">
      <w:pPr>
        <w:spacing w:after="0" w:line="240" w:lineRule="auto"/>
        <w:jc w:val="both"/>
        <w:rPr>
          <w:rFonts w:ascii="Times New Roman" w:hAnsi="Times New Roman" w:cs="Times New Roman"/>
          <w:color w:val="000000"/>
          <w:sz w:val="24"/>
          <w:szCs w:val="24"/>
        </w:rPr>
      </w:pPr>
    </w:p>
    <w:p w14:paraId="2D548C21" w14:textId="1571942B" w:rsidR="002C5F4E" w:rsidRPr="007743B3" w:rsidRDefault="00AB15B0" w:rsidP="007743B3">
      <w:pPr>
        <w:spacing w:after="0" w:line="240" w:lineRule="auto"/>
        <w:jc w:val="both"/>
        <w:rPr>
          <w:rFonts w:ascii="Times New Roman" w:hAnsi="Times New Roman" w:cs="Times New Roman"/>
          <w:color w:val="000000"/>
          <w:sz w:val="24"/>
          <w:szCs w:val="24"/>
        </w:rPr>
      </w:pPr>
      <w:r w:rsidRPr="007743B3">
        <w:rPr>
          <w:rFonts w:ascii="Times New Roman" w:hAnsi="Times New Roman" w:cs="Times New Roman"/>
          <w:color w:val="000000"/>
          <w:sz w:val="24"/>
          <w:szCs w:val="24"/>
        </w:rPr>
        <w:t>Accordingly, the Registrar would benefit from the introduction of this sanction.</w:t>
      </w:r>
      <w:r w:rsidR="00441786" w:rsidRPr="007743B3">
        <w:rPr>
          <w:rFonts w:ascii="Times New Roman" w:hAnsi="Times New Roman" w:cs="Times New Roman"/>
          <w:color w:val="000000"/>
          <w:sz w:val="24"/>
          <w:szCs w:val="24"/>
        </w:rPr>
        <w:t xml:space="preserve"> This sanction is more useful then the introduction of an infringement notice which may be viewed as a cost of business.</w:t>
      </w:r>
      <w:r w:rsidR="001F25B5" w:rsidRPr="007743B3">
        <w:rPr>
          <w:rStyle w:val="FootnoteReference"/>
          <w:rFonts w:ascii="Times New Roman" w:hAnsi="Times New Roman" w:cs="Times New Roman"/>
          <w:color w:val="000000"/>
          <w:sz w:val="24"/>
          <w:szCs w:val="24"/>
        </w:rPr>
        <w:footnoteReference w:id="11"/>
      </w:r>
    </w:p>
    <w:p w14:paraId="45373B5A" w14:textId="5D283E8A" w:rsidR="00CF61D9" w:rsidRDefault="00CF61D9" w:rsidP="00197FC8">
      <w:pPr>
        <w:spacing w:after="0" w:line="240" w:lineRule="auto"/>
        <w:jc w:val="both"/>
        <w:rPr>
          <w:rFonts w:ascii="Times New Roman" w:hAnsi="Times New Roman" w:cs="Times New Roman"/>
          <w:sz w:val="24"/>
          <w:szCs w:val="24"/>
        </w:rPr>
      </w:pPr>
    </w:p>
    <w:p w14:paraId="1FEE6014" w14:textId="724E54A1" w:rsidR="00213170" w:rsidRDefault="00213170" w:rsidP="00213170">
      <w:pPr>
        <w:spacing w:after="0" w:line="240" w:lineRule="auto"/>
        <w:jc w:val="both"/>
        <w:rPr>
          <w:rFonts w:ascii="Times New Roman" w:hAnsi="Times New Roman" w:cs="Times New Roman"/>
          <w:sz w:val="24"/>
          <w:szCs w:val="24"/>
        </w:rPr>
      </w:pPr>
    </w:p>
    <w:p w14:paraId="4211A72A" w14:textId="3A46C7B5" w:rsidR="007743B3" w:rsidRDefault="007743B3" w:rsidP="00213170">
      <w:pPr>
        <w:spacing w:after="0" w:line="240" w:lineRule="auto"/>
        <w:jc w:val="both"/>
        <w:rPr>
          <w:rFonts w:ascii="Times New Roman" w:hAnsi="Times New Roman" w:cs="Times New Roman"/>
          <w:sz w:val="24"/>
          <w:szCs w:val="24"/>
        </w:rPr>
      </w:pPr>
    </w:p>
    <w:p w14:paraId="48682F3D" w14:textId="77777777" w:rsidR="007743B3" w:rsidRPr="00197FC8" w:rsidRDefault="007743B3" w:rsidP="00213170">
      <w:pPr>
        <w:spacing w:after="0" w:line="240" w:lineRule="auto"/>
        <w:jc w:val="both"/>
        <w:rPr>
          <w:rFonts w:ascii="Times New Roman" w:hAnsi="Times New Roman" w:cs="Times New Roman"/>
          <w:sz w:val="24"/>
          <w:szCs w:val="24"/>
        </w:rPr>
      </w:pPr>
    </w:p>
    <w:p w14:paraId="72ECB68C" w14:textId="6C3E722B" w:rsidR="00CF61D9" w:rsidRPr="00197FC8" w:rsidRDefault="00822ECC" w:rsidP="00213170">
      <w:pPr>
        <w:keepNext/>
        <w:shd w:val="clear" w:color="auto" w:fill="C0C0C0"/>
        <w:spacing w:after="0" w:line="240" w:lineRule="auto"/>
        <w:jc w:val="center"/>
        <w:outlineLvl w:val="0"/>
        <w:rPr>
          <w:rFonts w:ascii="Times New Roman" w:hAnsi="Times New Roman" w:cs="Times New Roman"/>
          <w:b/>
          <w:bCs/>
          <w:kern w:val="32"/>
          <w:sz w:val="24"/>
          <w:szCs w:val="24"/>
        </w:rPr>
      </w:pPr>
      <w:r w:rsidRPr="00197FC8">
        <w:rPr>
          <w:rFonts w:ascii="Times New Roman" w:hAnsi="Times New Roman" w:cs="Times New Roman"/>
          <w:b/>
          <w:bCs/>
          <w:kern w:val="32"/>
          <w:sz w:val="24"/>
          <w:szCs w:val="24"/>
        </w:rPr>
        <w:lastRenderedPageBreak/>
        <w:t>CHAPTER 4: GOVERNANCE</w:t>
      </w:r>
    </w:p>
    <w:p w14:paraId="7E24044E" w14:textId="7F4233A0" w:rsidR="00CF61D9" w:rsidRPr="00E42351" w:rsidRDefault="00CF61D9" w:rsidP="00213170">
      <w:pPr>
        <w:spacing w:after="0" w:line="240" w:lineRule="auto"/>
        <w:jc w:val="both"/>
        <w:rPr>
          <w:rFonts w:ascii="Times New Roman" w:hAnsi="Times New Roman" w:cs="Times New Roman"/>
          <w:sz w:val="24"/>
          <w:szCs w:val="24"/>
        </w:rPr>
      </w:pPr>
    </w:p>
    <w:p w14:paraId="7822D42D" w14:textId="77777777" w:rsidR="00711697" w:rsidRPr="007743B3" w:rsidRDefault="00917B13" w:rsidP="00213170">
      <w:pPr>
        <w:spacing w:after="0" w:line="240" w:lineRule="auto"/>
        <w:jc w:val="both"/>
        <w:rPr>
          <w:rFonts w:ascii="Times New Roman" w:hAnsi="Times New Roman" w:cs="Times New Roman"/>
          <w:i/>
          <w:iCs/>
          <w:color w:val="538135" w:themeColor="accent6" w:themeShade="BF"/>
          <w:sz w:val="24"/>
          <w:szCs w:val="24"/>
        </w:rPr>
      </w:pPr>
      <w:r w:rsidRPr="007743B3">
        <w:rPr>
          <w:rFonts w:ascii="Times New Roman" w:hAnsi="Times New Roman" w:cs="Times New Roman"/>
          <w:i/>
          <w:iCs/>
          <w:color w:val="538135" w:themeColor="accent6" w:themeShade="BF"/>
          <w:sz w:val="24"/>
          <w:szCs w:val="24"/>
        </w:rPr>
        <w:t xml:space="preserve">Should corporations collect members’ phone numbers and email addresses to make it easier to contact them? </w:t>
      </w:r>
      <w:r w:rsidR="00711697" w:rsidRPr="007743B3">
        <w:rPr>
          <w:rFonts w:ascii="Times New Roman" w:hAnsi="Times New Roman" w:cs="Times New Roman"/>
          <w:i/>
          <w:iCs/>
          <w:color w:val="538135" w:themeColor="accent6" w:themeShade="BF"/>
          <w:sz w:val="24"/>
          <w:szCs w:val="24"/>
        </w:rPr>
        <w:t>Should corporations record members’ alternative contact details and use them for issuing notices of meetings as well as other communication with members, including when considering cancelling membership? − Should corporations be able to determine the nature of acceptable contact when contacting members?</w:t>
      </w:r>
    </w:p>
    <w:p w14:paraId="395EEBE4" w14:textId="098C5F40" w:rsidR="00711697" w:rsidRPr="007743B3" w:rsidRDefault="00711697" w:rsidP="00213170">
      <w:pPr>
        <w:spacing w:after="0" w:line="240" w:lineRule="auto"/>
        <w:jc w:val="both"/>
        <w:rPr>
          <w:rFonts w:ascii="Times New Roman" w:hAnsi="Times New Roman" w:cs="Times New Roman"/>
          <w:sz w:val="24"/>
          <w:szCs w:val="24"/>
        </w:rPr>
      </w:pPr>
    </w:p>
    <w:p w14:paraId="6F65CFD0" w14:textId="1F42640F" w:rsidR="00711697" w:rsidRPr="007743B3" w:rsidRDefault="00711697" w:rsidP="00320E7B">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This is an initiative that may be desirable, but it should be left at the discretion of the organisation. Members should have a key role in making decisions on these matters.</w:t>
      </w:r>
      <w:r w:rsidR="001F25B5" w:rsidRPr="007743B3">
        <w:rPr>
          <w:rFonts w:ascii="Times New Roman" w:hAnsi="Times New Roman" w:cs="Times New Roman"/>
          <w:sz w:val="24"/>
          <w:szCs w:val="24"/>
        </w:rPr>
        <w:t xml:space="preserve"> It is important for the legislation not to become prescriptive but leave it to the CATSI corporation to decide wha</w:t>
      </w:r>
      <w:r w:rsidR="00213170">
        <w:rPr>
          <w:rFonts w:ascii="Times New Roman" w:hAnsi="Times New Roman" w:cs="Times New Roman"/>
          <w:sz w:val="24"/>
          <w:szCs w:val="24"/>
        </w:rPr>
        <w:t>t is most appropriate to its situation</w:t>
      </w:r>
      <w:r w:rsidR="001F25B5" w:rsidRPr="007743B3">
        <w:rPr>
          <w:rFonts w:ascii="Times New Roman" w:hAnsi="Times New Roman" w:cs="Times New Roman"/>
          <w:sz w:val="24"/>
          <w:szCs w:val="24"/>
        </w:rPr>
        <w:t>.</w:t>
      </w:r>
      <w:r w:rsidR="00213170">
        <w:rPr>
          <w:rFonts w:ascii="Times New Roman" w:hAnsi="Times New Roman" w:cs="Times New Roman"/>
          <w:sz w:val="24"/>
          <w:szCs w:val="24"/>
        </w:rPr>
        <w:t xml:space="preserve"> One-size-fits-all approach is not recommended. </w:t>
      </w:r>
    </w:p>
    <w:p w14:paraId="6EAAAC3C" w14:textId="249E7129" w:rsidR="00917B13" w:rsidRPr="007743B3" w:rsidRDefault="00917B13" w:rsidP="008D7E28">
      <w:pPr>
        <w:spacing w:after="0" w:line="240" w:lineRule="auto"/>
        <w:jc w:val="both"/>
        <w:rPr>
          <w:rFonts w:ascii="Times New Roman" w:hAnsi="Times New Roman" w:cs="Times New Roman"/>
          <w:sz w:val="24"/>
          <w:szCs w:val="24"/>
        </w:rPr>
      </w:pPr>
    </w:p>
    <w:p w14:paraId="6D67F301" w14:textId="3A25F130" w:rsidR="00917B13" w:rsidRPr="007743B3" w:rsidRDefault="00917B13" w:rsidP="00D02555">
      <w:pPr>
        <w:spacing w:after="0" w:line="240" w:lineRule="auto"/>
        <w:jc w:val="both"/>
        <w:rPr>
          <w:rFonts w:ascii="Times New Roman" w:hAnsi="Times New Roman" w:cs="Times New Roman"/>
          <w:i/>
          <w:iCs/>
          <w:color w:val="538135" w:themeColor="accent6" w:themeShade="BF"/>
          <w:sz w:val="24"/>
          <w:szCs w:val="24"/>
        </w:rPr>
      </w:pPr>
      <w:r w:rsidRPr="007743B3">
        <w:rPr>
          <w:rFonts w:ascii="Times New Roman" w:hAnsi="Times New Roman" w:cs="Times New Roman"/>
          <w:i/>
          <w:iCs/>
          <w:color w:val="538135" w:themeColor="accent6" w:themeShade="BF"/>
          <w:sz w:val="24"/>
          <w:szCs w:val="24"/>
        </w:rPr>
        <w:t>Should members’ personal information be redacted from a corporation’s register of members in certain circumstances and if so, how should this change be implemented? Should the relevant member have to request that their information be redacted from the register, or in some circumstances, should the corporation be able to make such a decision on behalf of the member? If members are required to submit a redaction request, should the request be submitted to the corporation or in some circumstances, could it be submitted to the Registrar directly? Should there be a threshold for requesting the redaction of personal information, such as personal safety? Should some of the points above be matters for corporations to decide?</w:t>
      </w:r>
    </w:p>
    <w:p w14:paraId="5DDA06D9" w14:textId="47A76F4B" w:rsidR="00917B13" w:rsidRPr="007743B3" w:rsidRDefault="00917B13" w:rsidP="007743B3">
      <w:pPr>
        <w:spacing w:after="0" w:line="240" w:lineRule="auto"/>
        <w:jc w:val="both"/>
        <w:rPr>
          <w:rFonts w:ascii="Times New Roman" w:hAnsi="Times New Roman" w:cs="Times New Roman"/>
          <w:sz w:val="24"/>
          <w:szCs w:val="24"/>
        </w:rPr>
      </w:pPr>
    </w:p>
    <w:p w14:paraId="7D657AB7" w14:textId="51054460" w:rsidR="00711697" w:rsidRPr="007743B3" w:rsidRDefault="00711697" w:rsidP="007743B3">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 xml:space="preserve">Under certain circumstances, members’ personal information </w:t>
      </w:r>
      <w:r w:rsidR="001F25B5" w:rsidRPr="007743B3">
        <w:rPr>
          <w:rFonts w:ascii="Times New Roman" w:hAnsi="Times New Roman" w:cs="Times New Roman"/>
          <w:sz w:val="24"/>
          <w:szCs w:val="24"/>
        </w:rPr>
        <w:t xml:space="preserve">should be redacted from a corporation’s register of member. Accordingly, it may be needed to introduce a provision regarding this in the legislation. However, the decision to redact information and the circumstances under which </w:t>
      </w:r>
      <w:r w:rsidR="00213170">
        <w:rPr>
          <w:rFonts w:ascii="Times New Roman" w:hAnsi="Times New Roman" w:cs="Times New Roman"/>
          <w:sz w:val="24"/>
          <w:szCs w:val="24"/>
        </w:rPr>
        <w:t xml:space="preserve">this occurs </w:t>
      </w:r>
      <w:r w:rsidR="001F25B5" w:rsidRPr="007743B3">
        <w:rPr>
          <w:rFonts w:ascii="Times New Roman" w:hAnsi="Times New Roman" w:cs="Times New Roman"/>
          <w:sz w:val="24"/>
          <w:szCs w:val="24"/>
        </w:rPr>
        <w:t>should be left to the corporation with an option of a review by the Registrar. It is key not to make the legislation more prescriptive.</w:t>
      </w:r>
    </w:p>
    <w:p w14:paraId="0384800B" w14:textId="5CA28312" w:rsidR="001F25B5" w:rsidRPr="007743B3" w:rsidRDefault="001F25B5" w:rsidP="007743B3">
      <w:pPr>
        <w:spacing w:after="0" w:line="240" w:lineRule="auto"/>
        <w:jc w:val="both"/>
        <w:rPr>
          <w:rFonts w:ascii="Times New Roman" w:hAnsi="Times New Roman" w:cs="Times New Roman"/>
          <w:sz w:val="24"/>
          <w:szCs w:val="24"/>
        </w:rPr>
      </w:pPr>
    </w:p>
    <w:p w14:paraId="618B3210" w14:textId="340C7890" w:rsidR="001F25B5" w:rsidRPr="007743B3" w:rsidRDefault="001F25B5" w:rsidP="007743B3">
      <w:pPr>
        <w:spacing w:after="0" w:line="240" w:lineRule="auto"/>
        <w:jc w:val="both"/>
        <w:rPr>
          <w:rFonts w:ascii="Times New Roman" w:hAnsi="Times New Roman" w:cs="Times New Roman"/>
          <w:sz w:val="24"/>
          <w:szCs w:val="24"/>
        </w:rPr>
      </w:pPr>
      <w:r w:rsidRPr="007743B3">
        <w:rPr>
          <w:rFonts w:ascii="Times New Roman" w:hAnsi="Times New Roman" w:cs="Times New Roman"/>
          <w:i/>
          <w:iCs/>
          <w:color w:val="538135" w:themeColor="accent6" w:themeShade="BF"/>
          <w:sz w:val="24"/>
          <w:szCs w:val="24"/>
        </w:rPr>
        <w:t>How would members be able to organise a meeting without access to the personal information of other members? How should such a request be recorded?</w:t>
      </w:r>
    </w:p>
    <w:p w14:paraId="678C9E59" w14:textId="5D7A039A" w:rsidR="001F25B5" w:rsidRPr="007743B3" w:rsidRDefault="001F25B5" w:rsidP="007743B3">
      <w:pPr>
        <w:spacing w:after="0" w:line="240" w:lineRule="auto"/>
        <w:jc w:val="both"/>
        <w:rPr>
          <w:rFonts w:ascii="Times New Roman" w:hAnsi="Times New Roman" w:cs="Times New Roman"/>
          <w:sz w:val="24"/>
          <w:szCs w:val="24"/>
        </w:rPr>
      </w:pPr>
    </w:p>
    <w:p w14:paraId="2CE91C3D" w14:textId="28684B03" w:rsidR="001F25B5" w:rsidRPr="007743B3" w:rsidRDefault="001F25B5" w:rsidP="007743B3">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 xml:space="preserve">Under the </w:t>
      </w:r>
      <w:r w:rsidRPr="007743B3">
        <w:rPr>
          <w:rFonts w:ascii="Times New Roman" w:hAnsi="Times New Roman" w:cs="Times New Roman"/>
          <w:i/>
          <w:iCs/>
          <w:sz w:val="24"/>
          <w:szCs w:val="24"/>
        </w:rPr>
        <w:t>CATSI Act</w:t>
      </w:r>
      <w:r w:rsidRPr="007743B3">
        <w:rPr>
          <w:rFonts w:ascii="Times New Roman" w:hAnsi="Times New Roman" w:cs="Times New Roman"/>
          <w:sz w:val="24"/>
          <w:szCs w:val="24"/>
        </w:rPr>
        <w:t xml:space="preserve">, members </w:t>
      </w:r>
      <w:r w:rsidR="004032E4" w:rsidRPr="007743B3">
        <w:rPr>
          <w:rFonts w:ascii="Times New Roman" w:hAnsi="Times New Roman" w:cs="Times New Roman"/>
          <w:sz w:val="24"/>
          <w:szCs w:val="24"/>
        </w:rPr>
        <w:t>do not currently have the power to organise a meeting. Meetings are called by the directors at the request of the members.</w:t>
      </w:r>
      <w:r w:rsidR="004032E4" w:rsidRPr="007743B3">
        <w:rPr>
          <w:rStyle w:val="FootnoteReference"/>
          <w:rFonts w:ascii="Times New Roman" w:hAnsi="Times New Roman" w:cs="Times New Roman"/>
          <w:sz w:val="24"/>
          <w:szCs w:val="24"/>
        </w:rPr>
        <w:footnoteReference w:id="12"/>
      </w:r>
      <w:r w:rsidR="004032E4" w:rsidRPr="007743B3">
        <w:rPr>
          <w:rFonts w:ascii="Times New Roman" w:hAnsi="Times New Roman" w:cs="Times New Roman"/>
          <w:sz w:val="24"/>
          <w:szCs w:val="24"/>
        </w:rPr>
        <w:t xml:space="preserve"> Accordingly, the fact that members may not be able to access the addresses of members does not have an impact on the organisation of the meetings.</w:t>
      </w:r>
    </w:p>
    <w:p w14:paraId="51EC6F05" w14:textId="766C0587" w:rsidR="004032E4" w:rsidRPr="007743B3" w:rsidRDefault="004032E4" w:rsidP="007743B3">
      <w:pPr>
        <w:spacing w:after="0" w:line="240" w:lineRule="auto"/>
        <w:jc w:val="both"/>
        <w:rPr>
          <w:rFonts w:ascii="Times New Roman" w:hAnsi="Times New Roman" w:cs="Times New Roman"/>
          <w:sz w:val="24"/>
          <w:szCs w:val="24"/>
        </w:rPr>
      </w:pPr>
    </w:p>
    <w:p w14:paraId="2BFF6723" w14:textId="28D42BBA" w:rsidR="004032E4" w:rsidRPr="007743B3" w:rsidRDefault="004032E4" w:rsidP="007743B3">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 xml:space="preserve">One </w:t>
      </w:r>
      <w:proofErr w:type="gramStart"/>
      <w:r w:rsidRPr="007743B3">
        <w:rPr>
          <w:rFonts w:ascii="Times New Roman" w:hAnsi="Times New Roman" w:cs="Times New Roman"/>
          <w:sz w:val="24"/>
          <w:szCs w:val="24"/>
        </w:rPr>
        <w:t>elements</w:t>
      </w:r>
      <w:proofErr w:type="gramEnd"/>
      <w:r w:rsidRPr="007743B3">
        <w:rPr>
          <w:rFonts w:ascii="Times New Roman" w:hAnsi="Times New Roman" w:cs="Times New Roman"/>
          <w:sz w:val="24"/>
          <w:szCs w:val="24"/>
        </w:rPr>
        <w:t xml:space="preserve"> that this review may wish to consider is s 201-10. Subsection 1 of this provision notes the following:</w:t>
      </w:r>
    </w:p>
    <w:p w14:paraId="45FA2E55" w14:textId="33043C5B" w:rsidR="004032E4" w:rsidRPr="007743B3" w:rsidRDefault="004032E4" w:rsidP="007743B3">
      <w:pPr>
        <w:shd w:val="clear" w:color="auto" w:fill="FFFFFF"/>
        <w:spacing w:after="0" w:line="240" w:lineRule="auto"/>
        <w:ind w:left="1134" w:hanging="1134"/>
        <w:rPr>
          <w:rFonts w:ascii="Times New Roman" w:eastAsia="Times New Roman" w:hAnsi="Times New Roman" w:cs="Times New Roman"/>
          <w:color w:val="000000"/>
          <w:sz w:val="24"/>
          <w:szCs w:val="24"/>
          <w:lang w:eastAsia="en-AU"/>
        </w:rPr>
      </w:pPr>
      <w:r w:rsidRPr="007743B3">
        <w:rPr>
          <w:rFonts w:ascii="Times New Roman" w:eastAsia="Times New Roman" w:hAnsi="Times New Roman" w:cs="Times New Roman"/>
          <w:color w:val="000000"/>
          <w:sz w:val="24"/>
          <w:szCs w:val="24"/>
          <w:lang w:eastAsia="en-AU"/>
        </w:rPr>
        <w:t xml:space="preserve">                   If the </w:t>
      </w:r>
      <w:proofErr w:type="gramStart"/>
      <w:r w:rsidRPr="007743B3">
        <w:rPr>
          <w:rFonts w:ascii="Times New Roman" w:eastAsia="Times New Roman" w:hAnsi="Times New Roman" w:cs="Times New Roman"/>
          <w:color w:val="000000"/>
          <w:sz w:val="24"/>
          <w:szCs w:val="24"/>
          <w:lang w:eastAsia="en-AU"/>
        </w:rPr>
        <w:t>directors</w:t>
      </w:r>
      <w:proofErr w:type="gramEnd"/>
      <w:r w:rsidRPr="007743B3">
        <w:rPr>
          <w:rFonts w:ascii="Times New Roman" w:eastAsia="Times New Roman" w:hAnsi="Times New Roman" w:cs="Times New Roman"/>
          <w:color w:val="000000"/>
          <w:sz w:val="24"/>
          <w:szCs w:val="24"/>
          <w:lang w:eastAsia="en-AU"/>
        </w:rPr>
        <w:t xml:space="preserve"> resolve:</w:t>
      </w:r>
    </w:p>
    <w:p w14:paraId="29D04D05" w14:textId="77777777" w:rsidR="004032E4" w:rsidRPr="007743B3" w:rsidRDefault="004032E4" w:rsidP="007743B3">
      <w:pPr>
        <w:shd w:val="clear" w:color="auto" w:fill="FFFFFF"/>
        <w:spacing w:after="0" w:line="240" w:lineRule="auto"/>
        <w:ind w:left="1644" w:hanging="1644"/>
        <w:rPr>
          <w:rFonts w:ascii="Times New Roman" w:eastAsia="Times New Roman" w:hAnsi="Times New Roman" w:cs="Times New Roman"/>
          <w:color w:val="000000"/>
          <w:sz w:val="24"/>
          <w:szCs w:val="24"/>
          <w:lang w:eastAsia="en-AU"/>
        </w:rPr>
      </w:pPr>
      <w:r w:rsidRPr="007743B3">
        <w:rPr>
          <w:rFonts w:ascii="Times New Roman" w:eastAsia="Times New Roman" w:hAnsi="Times New Roman" w:cs="Times New Roman"/>
          <w:color w:val="000000"/>
          <w:sz w:val="24"/>
          <w:szCs w:val="24"/>
          <w:lang w:eastAsia="en-AU"/>
        </w:rPr>
        <w:t>                     (a)  that the request under section 201</w:t>
      </w:r>
      <w:r w:rsidRPr="007743B3">
        <w:rPr>
          <w:rFonts w:ascii="Times New Roman" w:eastAsia="Times New Roman" w:hAnsi="Times New Roman" w:cs="Times New Roman"/>
          <w:color w:val="000000"/>
          <w:sz w:val="24"/>
          <w:szCs w:val="24"/>
          <w:lang w:eastAsia="en-AU"/>
        </w:rPr>
        <w:noBreakHyphen/>
        <w:t>5 is frivolous or unreasonable; or</w:t>
      </w:r>
    </w:p>
    <w:p w14:paraId="37278000" w14:textId="77777777" w:rsidR="004032E4" w:rsidRPr="007743B3" w:rsidRDefault="004032E4" w:rsidP="007743B3">
      <w:pPr>
        <w:shd w:val="clear" w:color="auto" w:fill="FFFFFF"/>
        <w:spacing w:after="0" w:line="240" w:lineRule="auto"/>
        <w:ind w:left="1644" w:hanging="1644"/>
        <w:rPr>
          <w:rFonts w:ascii="Times New Roman" w:eastAsia="Times New Roman" w:hAnsi="Times New Roman" w:cs="Times New Roman"/>
          <w:color w:val="000000"/>
          <w:sz w:val="24"/>
          <w:szCs w:val="24"/>
          <w:lang w:eastAsia="en-AU"/>
        </w:rPr>
      </w:pPr>
      <w:r w:rsidRPr="007743B3">
        <w:rPr>
          <w:rFonts w:ascii="Times New Roman" w:eastAsia="Times New Roman" w:hAnsi="Times New Roman" w:cs="Times New Roman"/>
          <w:color w:val="000000"/>
          <w:sz w:val="24"/>
          <w:szCs w:val="24"/>
          <w:lang w:eastAsia="en-AU"/>
        </w:rPr>
        <w:t xml:space="preserve">                     (b)  that complying with the request would be contrary to the interests of the members as a </w:t>
      </w:r>
      <w:proofErr w:type="gramStart"/>
      <w:r w:rsidRPr="007743B3">
        <w:rPr>
          <w:rFonts w:ascii="Times New Roman" w:eastAsia="Times New Roman" w:hAnsi="Times New Roman" w:cs="Times New Roman"/>
          <w:color w:val="000000"/>
          <w:sz w:val="24"/>
          <w:szCs w:val="24"/>
          <w:lang w:eastAsia="en-AU"/>
        </w:rPr>
        <w:t>whole;</w:t>
      </w:r>
      <w:proofErr w:type="gramEnd"/>
    </w:p>
    <w:p w14:paraId="016648E9" w14:textId="77777777" w:rsidR="004032E4" w:rsidRPr="007743B3" w:rsidRDefault="004032E4" w:rsidP="007743B3">
      <w:pPr>
        <w:shd w:val="clear" w:color="auto" w:fill="FFFFFF"/>
        <w:spacing w:after="0" w:line="240" w:lineRule="auto"/>
        <w:ind w:left="1134"/>
        <w:rPr>
          <w:rFonts w:ascii="Times New Roman" w:eastAsia="Times New Roman" w:hAnsi="Times New Roman" w:cs="Times New Roman"/>
          <w:color w:val="000000"/>
          <w:sz w:val="24"/>
          <w:szCs w:val="24"/>
          <w:lang w:eastAsia="en-AU"/>
        </w:rPr>
      </w:pPr>
      <w:r w:rsidRPr="007743B3">
        <w:rPr>
          <w:rFonts w:ascii="Times New Roman" w:eastAsia="Times New Roman" w:hAnsi="Times New Roman" w:cs="Times New Roman"/>
          <w:color w:val="000000"/>
          <w:sz w:val="24"/>
          <w:szCs w:val="24"/>
          <w:lang w:eastAsia="en-AU"/>
        </w:rPr>
        <w:t xml:space="preserve">a director, on behalf of </w:t>
      </w:r>
      <w:proofErr w:type="gramStart"/>
      <w:r w:rsidRPr="007743B3">
        <w:rPr>
          <w:rFonts w:ascii="Times New Roman" w:eastAsia="Times New Roman" w:hAnsi="Times New Roman" w:cs="Times New Roman"/>
          <w:color w:val="000000"/>
          <w:sz w:val="24"/>
          <w:szCs w:val="24"/>
          <w:lang w:eastAsia="en-AU"/>
        </w:rPr>
        <w:t>all of</w:t>
      </w:r>
      <w:proofErr w:type="gramEnd"/>
      <w:r w:rsidRPr="007743B3">
        <w:rPr>
          <w:rFonts w:ascii="Times New Roman" w:eastAsia="Times New Roman" w:hAnsi="Times New Roman" w:cs="Times New Roman"/>
          <w:color w:val="000000"/>
          <w:sz w:val="24"/>
          <w:szCs w:val="24"/>
          <w:lang w:eastAsia="en-AU"/>
        </w:rPr>
        <w:t xml:space="preserve"> the directors, may apply to the Registrar for permission to deny the request.</w:t>
      </w:r>
    </w:p>
    <w:p w14:paraId="10BB7416" w14:textId="448C41C8" w:rsidR="004032E4" w:rsidRPr="007743B3" w:rsidRDefault="004032E4" w:rsidP="00197FC8">
      <w:pPr>
        <w:spacing w:after="0" w:line="240" w:lineRule="auto"/>
        <w:jc w:val="both"/>
        <w:rPr>
          <w:rFonts w:ascii="Times New Roman" w:hAnsi="Times New Roman" w:cs="Times New Roman"/>
          <w:sz w:val="24"/>
          <w:szCs w:val="24"/>
        </w:rPr>
      </w:pPr>
    </w:p>
    <w:p w14:paraId="0E0CA37A" w14:textId="521D082A" w:rsidR="004032E4" w:rsidRPr="007743B3" w:rsidRDefault="004032E4" w:rsidP="00E418B7">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lastRenderedPageBreak/>
        <w:t xml:space="preserve">This limitation may be viewed as too broad, especially </w:t>
      </w:r>
      <w:r w:rsidR="00213170">
        <w:rPr>
          <w:rFonts w:ascii="Times New Roman" w:hAnsi="Times New Roman" w:cs="Times New Roman"/>
          <w:sz w:val="24"/>
          <w:szCs w:val="24"/>
        </w:rPr>
        <w:t xml:space="preserve">as it </w:t>
      </w:r>
      <w:proofErr w:type="gramStart"/>
      <w:r w:rsidRPr="007743B3">
        <w:rPr>
          <w:rFonts w:ascii="Times New Roman" w:hAnsi="Times New Roman" w:cs="Times New Roman"/>
          <w:sz w:val="24"/>
          <w:szCs w:val="24"/>
        </w:rPr>
        <w:t>reference</w:t>
      </w:r>
      <w:proofErr w:type="gramEnd"/>
      <w:r w:rsidRPr="007743B3">
        <w:rPr>
          <w:rFonts w:ascii="Times New Roman" w:hAnsi="Times New Roman" w:cs="Times New Roman"/>
          <w:sz w:val="24"/>
          <w:szCs w:val="24"/>
        </w:rPr>
        <w:t xml:space="preserve"> the fact that the request may ‘be contrary to the interests of the members as a whole’. This language has strong links to oppression and may mean different things to different people.</w:t>
      </w:r>
    </w:p>
    <w:p w14:paraId="11AA016A" w14:textId="4204EE57" w:rsidR="00644A3E" w:rsidRPr="007743B3" w:rsidRDefault="00644A3E" w:rsidP="00E418B7">
      <w:pPr>
        <w:spacing w:after="0" w:line="240" w:lineRule="auto"/>
        <w:jc w:val="both"/>
        <w:rPr>
          <w:rFonts w:ascii="Times New Roman" w:hAnsi="Times New Roman" w:cs="Times New Roman"/>
          <w:sz w:val="24"/>
          <w:szCs w:val="24"/>
        </w:rPr>
      </w:pPr>
    </w:p>
    <w:p w14:paraId="18FA3083" w14:textId="2BE51F56" w:rsidR="00213170" w:rsidRDefault="00644A3E" w:rsidP="000A73C8">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 xml:space="preserve">This provision is further not </w:t>
      </w:r>
      <w:r w:rsidR="00213170">
        <w:rPr>
          <w:rFonts w:ascii="Times New Roman" w:hAnsi="Times New Roman" w:cs="Times New Roman"/>
          <w:sz w:val="24"/>
          <w:szCs w:val="24"/>
        </w:rPr>
        <w:t>required</w:t>
      </w:r>
      <w:r w:rsidRPr="007743B3">
        <w:rPr>
          <w:rFonts w:ascii="Times New Roman" w:hAnsi="Times New Roman" w:cs="Times New Roman"/>
          <w:sz w:val="24"/>
          <w:szCs w:val="24"/>
        </w:rPr>
        <w:t xml:space="preserve"> as s 201-55 (which is adapted from s 249Q of the </w:t>
      </w:r>
      <w:r w:rsidRPr="007743B3">
        <w:rPr>
          <w:rFonts w:ascii="Times New Roman" w:hAnsi="Times New Roman" w:cs="Times New Roman"/>
          <w:i/>
          <w:iCs/>
          <w:sz w:val="24"/>
          <w:szCs w:val="24"/>
        </w:rPr>
        <w:t>Corporations Act 2001</w:t>
      </w:r>
      <w:r w:rsidRPr="007743B3">
        <w:rPr>
          <w:rFonts w:ascii="Times New Roman" w:hAnsi="Times New Roman" w:cs="Times New Roman"/>
          <w:sz w:val="24"/>
          <w:szCs w:val="24"/>
        </w:rPr>
        <w:t xml:space="preserve"> (</w:t>
      </w:r>
      <w:proofErr w:type="spellStart"/>
      <w:r w:rsidRPr="007743B3">
        <w:rPr>
          <w:rFonts w:ascii="Times New Roman" w:hAnsi="Times New Roman" w:cs="Times New Roman"/>
          <w:sz w:val="24"/>
          <w:szCs w:val="24"/>
        </w:rPr>
        <w:t>Cth</w:t>
      </w:r>
      <w:proofErr w:type="spellEnd"/>
      <w:r w:rsidRPr="007743B3">
        <w:rPr>
          <w:rFonts w:ascii="Times New Roman" w:hAnsi="Times New Roman" w:cs="Times New Roman"/>
          <w:sz w:val="24"/>
          <w:szCs w:val="24"/>
        </w:rPr>
        <w:t>)) notes that</w:t>
      </w:r>
      <w:r w:rsidR="004032E4" w:rsidRPr="007743B3">
        <w:rPr>
          <w:rFonts w:ascii="Times New Roman" w:hAnsi="Times New Roman" w:cs="Times New Roman"/>
          <w:sz w:val="24"/>
          <w:szCs w:val="24"/>
        </w:rPr>
        <w:t xml:space="preserve"> ‘A meeting must be held for proper purpose.</w:t>
      </w:r>
      <w:r w:rsidRPr="007743B3">
        <w:rPr>
          <w:rFonts w:ascii="Times New Roman" w:hAnsi="Times New Roman" w:cs="Times New Roman"/>
          <w:sz w:val="24"/>
          <w:szCs w:val="24"/>
        </w:rPr>
        <w:t>’ Another provision may be added:</w:t>
      </w:r>
      <w:r w:rsidR="004032E4" w:rsidRPr="007743B3">
        <w:rPr>
          <w:rFonts w:ascii="Times New Roman" w:hAnsi="Times New Roman" w:cs="Times New Roman"/>
          <w:sz w:val="24"/>
          <w:szCs w:val="24"/>
        </w:rPr>
        <w:t xml:space="preserve"> </w:t>
      </w:r>
      <w:r w:rsidRPr="007743B3">
        <w:rPr>
          <w:rFonts w:ascii="Times New Roman" w:hAnsi="Times New Roman" w:cs="Times New Roman"/>
          <w:sz w:val="24"/>
          <w:szCs w:val="24"/>
        </w:rPr>
        <w:t>‘</w:t>
      </w:r>
      <w:r w:rsidR="004032E4" w:rsidRPr="007743B3">
        <w:rPr>
          <w:rFonts w:ascii="Times New Roman" w:hAnsi="Times New Roman" w:cs="Times New Roman"/>
          <w:sz w:val="24"/>
          <w:szCs w:val="24"/>
        </w:rPr>
        <w:t xml:space="preserve">In case of conflict regarding whether the proposed motion is proper purpose, the Registrar may intervene to clarify the appropriateness of the motion.’  </w:t>
      </w:r>
    </w:p>
    <w:p w14:paraId="67488C72" w14:textId="77777777" w:rsidR="00213170" w:rsidRDefault="00213170" w:rsidP="000A73C8">
      <w:pPr>
        <w:spacing w:after="0" w:line="240" w:lineRule="auto"/>
        <w:jc w:val="both"/>
        <w:rPr>
          <w:rFonts w:ascii="Times New Roman" w:hAnsi="Times New Roman" w:cs="Times New Roman"/>
          <w:sz w:val="24"/>
          <w:szCs w:val="24"/>
        </w:rPr>
      </w:pPr>
    </w:p>
    <w:p w14:paraId="53C45D83" w14:textId="0FEFF6A5" w:rsidR="004032E4" w:rsidRPr="007743B3" w:rsidRDefault="00213170" w:rsidP="000A7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Note: Under the </w:t>
      </w:r>
      <w:r w:rsidRPr="000F3FA5">
        <w:rPr>
          <w:rFonts w:ascii="Times New Roman" w:hAnsi="Times New Roman" w:cs="Times New Roman"/>
          <w:i/>
          <w:iCs/>
          <w:sz w:val="24"/>
          <w:szCs w:val="24"/>
        </w:rPr>
        <w:t>Corporations Act 2001</w:t>
      </w:r>
      <w:r w:rsidRPr="000F3FA5">
        <w:rPr>
          <w:rFonts w:ascii="Times New Roman" w:hAnsi="Times New Roman" w:cs="Times New Roman"/>
          <w:sz w:val="24"/>
          <w:szCs w:val="24"/>
        </w:rPr>
        <w:t xml:space="preserve"> (</w:t>
      </w:r>
      <w:proofErr w:type="spellStart"/>
      <w:r w:rsidRPr="000F3FA5">
        <w:rPr>
          <w:rFonts w:ascii="Times New Roman" w:hAnsi="Times New Roman" w:cs="Times New Roman"/>
          <w:sz w:val="24"/>
          <w:szCs w:val="24"/>
        </w:rPr>
        <w:t>Cth</w:t>
      </w:r>
      <w:proofErr w:type="spellEnd"/>
      <w:r w:rsidRPr="000F3FA5">
        <w:rPr>
          <w:rFonts w:ascii="Times New Roman" w:hAnsi="Times New Roman" w:cs="Times New Roman"/>
          <w:sz w:val="24"/>
          <w:szCs w:val="24"/>
        </w:rPr>
        <w:t>)</w:t>
      </w:r>
      <w:r>
        <w:rPr>
          <w:rFonts w:ascii="Times New Roman" w:hAnsi="Times New Roman" w:cs="Times New Roman"/>
          <w:sz w:val="24"/>
          <w:szCs w:val="24"/>
        </w:rPr>
        <w:t xml:space="preserve">, </w:t>
      </w:r>
      <w:r w:rsidR="00383064">
        <w:rPr>
          <w:rFonts w:ascii="Times New Roman" w:hAnsi="Times New Roman" w:cs="Times New Roman"/>
          <w:sz w:val="24"/>
          <w:szCs w:val="24"/>
        </w:rPr>
        <w:t>a</w:t>
      </w:r>
      <w:r w:rsidR="00B43027" w:rsidRPr="007743B3">
        <w:rPr>
          <w:rFonts w:ascii="Times New Roman" w:hAnsi="Times New Roman" w:cs="Times New Roman"/>
          <w:sz w:val="24"/>
          <w:szCs w:val="24"/>
        </w:rPr>
        <w:t xml:space="preserve"> meeting may not be considered for proper purpose if the proposed meeting relates to harassment or deals with management decisions that are not within members’ purview.</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This interpretation should form part of ORIC’s guideline regarding this matter.</w:t>
      </w:r>
    </w:p>
    <w:p w14:paraId="486E0B73" w14:textId="77777777" w:rsidR="004032E4" w:rsidRPr="007743B3" w:rsidRDefault="004032E4" w:rsidP="00213170">
      <w:pPr>
        <w:spacing w:after="0" w:line="240" w:lineRule="auto"/>
        <w:jc w:val="both"/>
        <w:rPr>
          <w:rFonts w:ascii="Times New Roman" w:hAnsi="Times New Roman" w:cs="Times New Roman"/>
          <w:sz w:val="24"/>
          <w:szCs w:val="24"/>
        </w:rPr>
      </w:pPr>
    </w:p>
    <w:p w14:paraId="3218845A" w14:textId="77777777" w:rsidR="00B43027" w:rsidRPr="007743B3" w:rsidRDefault="00917B13" w:rsidP="00213170">
      <w:pPr>
        <w:spacing w:after="0" w:line="240" w:lineRule="auto"/>
        <w:jc w:val="both"/>
        <w:rPr>
          <w:rFonts w:ascii="Times New Roman" w:hAnsi="Times New Roman" w:cs="Times New Roman"/>
          <w:i/>
          <w:iCs/>
          <w:color w:val="538135" w:themeColor="accent6" w:themeShade="BF"/>
          <w:sz w:val="24"/>
          <w:szCs w:val="24"/>
        </w:rPr>
      </w:pPr>
      <w:r w:rsidRPr="007743B3">
        <w:rPr>
          <w:rFonts w:ascii="Times New Roman" w:hAnsi="Times New Roman" w:cs="Times New Roman"/>
          <w:i/>
          <w:iCs/>
          <w:color w:val="538135" w:themeColor="accent6" w:themeShade="BF"/>
          <w:sz w:val="24"/>
          <w:szCs w:val="24"/>
        </w:rPr>
        <w:t xml:space="preserve">Should the CATSI Act include a statutory timeframe within which corporations need to consider membership applications and if so, the appropriate length of such a timeframe? </w:t>
      </w:r>
    </w:p>
    <w:p w14:paraId="444A5C8D" w14:textId="77777777" w:rsidR="00B43027" w:rsidRPr="007743B3" w:rsidRDefault="00B43027" w:rsidP="00320E7B">
      <w:pPr>
        <w:spacing w:after="0" w:line="240" w:lineRule="auto"/>
        <w:jc w:val="both"/>
        <w:rPr>
          <w:rFonts w:ascii="Times New Roman" w:hAnsi="Times New Roman" w:cs="Times New Roman"/>
          <w:sz w:val="24"/>
          <w:szCs w:val="24"/>
        </w:rPr>
      </w:pPr>
    </w:p>
    <w:p w14:paraId="270C441C" w14:textId="4BD4EEA7" w:rsidR="00B43027" w:rsidRDefault="00552D1D" w:rsidP="00197FC8">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A statutory timeframe is desirable.</w:t>
      </w:r>
      <w:r w:rsidR="004533BD">
        <w:rPr>
          <w:rFonts w:ascii="Times New Roman" w:hAnsi="Times New Roman" w:cs="Times New Roman"/>
          <w:sz w:val="24"/>
          <w:szCs w:val="24"/>
        </w:rPr>
        <w:t xml:space="preserve"> The statutory framework should either be:</w:t>
      </w:r>
    </w:p>
    <w:p w14:paraId="42D4523C" w14:textId="77777777" w:rsidR="004533BD" w:rsidRDefault="004533BD" w:rsidP="00197FC8">
      <w:pPr>
        <w:spacing w:after="0" w:line="240" w:lineRule="auto"/>
        <w:jc w:val="both"/>
        <w:rPr>
          <w:rFonts w:ascii="Times New Roman" w:hAnsi="Times New Roman" w:cs="Times New Roman"/>
          <w:sz w:val="24"/>
          <w:szCs w:val="24"/>
        </w:rPr>
      </w:pPr>
    </w:p>
    <w:p w14:paraId="452B49C4" w14:textId="119C7316" w:rsidR="004533BD" w:rsidRPr="007743B3" w:rsidRDefault="004533BD" w:rsidP="004533BD">
      <w:pPr>
        <w:pStyle w:val="ListParagraph"/>
        <w:numPr>
          <w:ilvl w:val="0"/>
          <w:numId w:val="1"/>
        </w:num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Two months; or</w:t>
      </w:r>
    </w:p>
    <w:p w14:paraId="2946FEBC" w14:textId="140A942C" w:rsidR="004533BD" w:rsidRPr="007743B3" w:rsidRDefault="004533BD" w:rsidP="007743B3">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next board of directors’ meeting</w:t>
      </w:r>
    </w:p>
    <w:p w14:paraId="7FCDB4C2" w14:textId="77777777" w:rsidR="004533BD" w:rsidRDefault="004533BD" w:rsidP="004533BD">
      <w:pPr>
        <w:spacing w:after="0" w:line="240" w:lineRule="auto"/>
        <w:jc w:val="both"/>
        <w:rPr>
          <w:rFonts w:ascii="Times New Roman" w:hAnsi="Times New Roman" w:cs="Times New Roman"/>
          <w:sz w:val="24"/>
          <w:szCs w:val="24"/>
        </w:rPr>
      </w:pPr>
    </w:p>
    <w:p w14:paraId="766F70CE" w14:textId="679A8C19" w:rsidR="004533BD" w:rsidRDefault="00383064" w:rsidP="004533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4533BD">
        <w:rPr>
          <w:rFonts w:ascii="Times New Roman" w:hAnsi="Times New Roman" w:cs="Times New Roman"/>
          <w:sz w:val="24"/>
          <w:szCs w:val="24"/>
        </w:rPr>
        <w:t>hichever event comes first.</w:t>
      </w:r>
    </w:p>
    <w:p w14:paraId="3B333EB6" w14:textId="77777777" w:rsidR="004533BD" w:rsidRPr="007743B3" w:rsidRDefault="004533BD" w:rsidP="004533BD">
      <w:pPr>
        <w:spacing w:after="0" w:line="240" w:lineRule="auto"/>
        <w:jc w:val="both"/>
        <w:rPr>
          <w:rFonts w:ascii="Times New Roman" w:hAnsi="Times New Roman" w:cs="Times New Roman"/>
          <w:sz w:val="24"/>
          <w:szCs w:val="24"/>
        </w:rPr>
      </w:pPr>
    </w:p>
    <w:p w14:paraId="36AF87E5" w14:textId="4F5E958B" w:rsidR="00552D1D" w:rsidRPr="007743B3" w:rsidRDefault="00917B13" w:rsidP="004533BD">
      <w:pPr>
        <w:spacing w:after="0" w:line="240" w:lineRule="auto"/>
        <w:jc w:val="both"/>
        <w:rPr>
          <w:rFonts w:ascii="Times New Roman" w:hAnsi="Times New Roman" w:cs="Times New Roman"/>
          <w:i/>
          <w:iCs/>
          <w:color w:val="538135" w:themeColor="accent6" w:themeShade="BF"/>
          <w:sz w:val="24"/>
          <w:szCs w:val="24"/>
        </w:rPr>
      </w:pPr>
      <w:r w:rsidRPr="007743B3">
        <w:rPr>
          <w:rFonts w:ascii="Times New Roman" w:hAnsi="Times New Roman" w:cs="Times New Roman"/>
          <w:i/>
          <w:iCs/>
          <w:color w:val="538135" w:themeColor="accent6" w:themeShade="BF"/>
          <w:sz w:val="24"/>
          <w:szCs w:val="24"/>
        </w:rPr>
        <w:t xml:space="preserve">Should a membership applicant be able to call a member’s meeting to reconsider a rejected application? If so, should there be a specified timeframe and quorum? </w:t>
      </w:r>
      <w:r w:rsidR="00552D1D" w:rsidRPr="007743B3">
        <w:rPr>
          <w:rFonts w:ascii="Times New Roman" w:hAnsi="Times New Roman" w:cs="Times New Roman"/>
          <w:i/>
          <w:iCs/>
          <w:color w:val="538135" w:themeColor="accent6" w:themeShade="BF"/>
          <w:sz w:val="24"/>
          <w:szCs w:val="24"/>
        </w:rPr>
        <w:t>Should a member be able to challenge the acceptance of a membership application? If so, should there be a specified timeframe and quorum?</w:t>
      </w:r>
    </w:p>
    <w:p w14:paraId="05D0CB8D" w14:textId="4ECBBBF8" w:rsidR="00B43027" w:rsidRPr="007743B3" w:rsidRDefault="00B43027" w:rsidP="00320E7B">
      <w:pPr>
        <w:spacing w:after="0" w:line="240" w:lineRule="auto"/>
        <w:jc w:val="both"/>
        <w:rPr>
          <w:rFonts w:ascii="Times New Roman" w:hAnsi="Times New Roman" w:cs="Times New Roman"/>
          <w:sz w:val="24"/>
          <w:szCs w:val="24"/>
        </w:rPr>
      </w:pPr>
    </w:p>
    <w:p w14:paraId="78F6F853" w14:textId="59E7E9BD" w:rsidR="00552D1D" w:rsidRPr="007743B3" w:rsidRDefault="00552D1D" w:rsidP="008D7E28">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Membership applicant should not be able to call for members’ meeting for the simple reason that they are not members and as such do not have that right. In case of membership dispute, this could be solved through mediation or court action.</w:t>
      </w:r>
    </w:p>
    <w:p w14:paraId="018D3D16" w14:textId="226D24E0" w:rsidR="00917B13" w:rsidRPr="007743B3" w:rsidRDefault="00917B13" w:rsidP="00D02555">
      <w:pPr>
        <w:spacing w:after="0" w:line="240" w:lineRule="auto"/>
        <w:jc w:val="both"/>
        <w:rPr>
          <w:rFonts w:ascii="Times New Roman" w:hAnsi="Times New Roman" w:cs="Times New Roman"/>
          <w:sz w:val="24"/>
          <w:szCs w:val="24"/>
        </w:rPr>
      </w:pPr>
    </w:p>
    <w:p w14:paraId="502C5B79" w14:textId="69BF45BE" w:rsidR="00917B13" w:rsidRPr="007743B3" w:rsidRDefault="00917B13" w:rsidP="007743B3">
      <w:pPr>
        <w:spacing w:after="0" w:line="240" w:lineRule="auto"/>
        <w:jc w:val="both"/>
        <w:rPr>
          <w:rFonts w:ascii="Times New Roman" w:hAnsi="Times New Roman" w:cs="Times New Roman"/>
          <w:i/>
          <w:iCs/>
          <w:color w:val="538135" w:themeColor="accent6" w:themeShade="BF"/>
          <w:sz w:val="24"/>
          <w:szCs w:val="24"/>
        </w:rPr>
      </w:pPr>
      <w:proofErr w:type="gramStart"/>
      <w:r w:rsidRPr="007743B3">
        <w:rPr>
          <w:rFonts w:ascii="Times New Roman" w:hAnsi="Times New Roman" w:cs="Times New Roman"/>
          <w:i/>
          <w:iCs/>
          <w:color w:val="538135" w:themeColor="accent6" w:themeShade="BF"/>
          <w:sz w:val="24"/>
          <w:szCs w:val="24"/>
        </w:rPr>
        <w:t>For the purpose of</w:t>
      </w:r>
      <w:proofErr w:type="gramEnd"/>
      <w:r w:rsidRPr="007743B3">
        <w:rPr>
          <w:rFonts w:ascii="Times New Roman" w:hAnsi="Times New Roman" w:cs="Times New Roman"/>
          <w:i/>
          <w:iCs/>
          <w:color w:val="538135" w:themeColor="accent6" w:themeShade="BF"/>
          <w:sz w:val="24"/>
          <w:szCs w:val="24"/>
        </w:rPr>
        <w:t xml:space="preserve"> cancelling memberships: Should the non-contactable period be reduced from two years? − If so, what would be an appropriate period? How many attempts should be made to contact a potentially uncontactable member? − How long should there be between each attempt? What are acceptable forms of attempted contact?</w:t>
      </w:r>
    </w:p>
    <w:p w14:paraId="4404DBA5" w14:textId="69E37518" w:rsidR="00917B13" w:rsidRPr="007743B3" w:rsidRDefault="00917B13" w:rsidP="007743B3">
      <w:pPr>
        <w:spacing w:after="0" w:line="240" w:lineRule="auto"/>
        <w:jc w:val="both"/>
        <w:rPr>
          <w:rFonts w:ascii="Times New Roman" w:hAnsi="Times New Roman" w:cs="Times New Roman"/>
          <w:sz w:val="24"/>
          <w:szCs w:val="24"/>
        </w:rPr>
      </w:pPr>
    </w:p>
    <w:p w14:paraId="56100936" w14:textId="1F8C863D" w:rsidR="00552D1D" w:rsidRPr="007743B3" w:rsidRDefault="00552D1D" w:rsidP="007743B3">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It may be desirable for the non-contactable period to be reduced from two years. However, instead of being prescriptive about this, s 150-25 should be a replaceable rule. Members and in turn the co</w:t>
      </w:r>
      <w:r w:rsidR="004533BD">
        <w:rPr>
          <w:rFonts w:ascii="Times New Roman" w:hAnsi="Times New Roman" w:cs="Times New Roman"/>
          <w:sz w:val="24"/>
          <w:szCs w:val="24"/>
        </w:rPr>
        <w:t>rporation</w:t>
      </w:r>
      <w:r w:rsidRPr="007743B3">
        <w:rPr>
          <w:rFonts w:ascii="Times New Roman" w:hAnsi="Times New Roman" w:cs="Times New Roman"/>
          <w:sz w:val="24"/>
          <w:szCs w:val="24"/>
        </w:rPr>
        <w:t xml:space="preserve"> should be deciding the appropriate period for cancellation of membership. This is needed to ensure flexibility of the law and acknowledge the reality that one size may not fit </w:t>
      </w:r>
      <w:r w:rsidR="004533BD">
        <w:rPr>
          <w:rFonts w:ascii="Times New Roman" w:hAnsi="Times New Roman" w:cs="Times New Roman"/>
          <w:sz w:val="24"/>
          <w:szCs w:val="24"/>
        </w:rPr>
        <w:t>all</w:t>
      </w:r>
      <w:r w:rsidRPr="007743B3">
        <w:rPr>
          <w:rFonts w:ascii="Times New Roman" w:hAnsi="Times New Roman" w:cs="Times New Roman"/>
          <w:sz w:val="24"/>
          <w:szCs w:val="24"/>
        </w:rPr>
        <w:t>.</w:t>
      </w:r>
    </w:p>
    <w:p w14:paraId="3A94D60D" w14:textId="7AE49559" w:rsidR="00552D1D" w:rsidRPr="007743B3" w:rsidRDefault="00552D1D" w:rsidP="007743B3">
      <w:pPr>
        <w:spacing w:after="0" w:line="240" w:lineRule="auto"/>
        <w:jc w:val="both"/>
        <w:rPr>
          <w:rFonts w:ascii="Times New Roman" w:hAnsi="Times New Roman" w:cs="Times New Roman"/>
          <w:sz w:val="24"/>
          <w:szCs w:val="24"/>
        </w:rPr>
      </w:pPr>
    </w:p>
    <w:p w14:paraId="2E42755D" w14:textId="5B502FD0" w:rsidR="00552D1D" w:rsidRPr="007743B3" w:rsidRDefault="00552D1D" w:rsidP="007743B3">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Additionally, if the legislation is re</w:t>
      </w:r>
      <w:r w:rsidR="004533BD">
        <w:rPr>
          <w:rFonts w:ascii="Times New Roman" w:hAnsi="Times New Roman" w:cs="Times New Roman"/>
          <w:sz w:val="24"/>
          <w:szCs w:val="24"/>
        </w:rPr>
        <w:t>framed</w:t>
      </w:r>
      <w:r w:rsidRPr="007743B3">
        <w:rPr>
          <w:rFonts w:ascii="Times New Roman" w:hAnsi="Times New Roman" w:cs="Times New Roman"/>
          <w:sz w:val="24"/>
          <w:szCs w:val="24"/>
        </w:rPr>
        <w:t xml:space="preserve"> to </w:t>
      </w:r>
      <w:r w:rsidR="004533BD">
        <w:rPr>
          <w:rFonts w:ascii="Times New Roman" w:hAnsi="Times New Roman" w:cs="Times New Roman"/>
          <w:sz w:val="24"/>
          <w:szCs w:val="24"/>
        </w:rPr>
        <w:t>promote the setting-up of</w:t>
      </w:r>
      <w:r w:rsidRPr="007743B3">
        <w:rPr>
          <w:rFonts w:ascii="Times New Roman" w:hAnsi="Times New Roman" w:cs="Times New Roman"/>
          <w:sz w:val="24"/>
          <w:szCs w:val="24"/>
        </w:rPr>
        <w:t xml:space="preserve"> for-profit entities, a cancellation of membership due to non-contactable period may not be appropriate. Accordingly, the provision regarding this notion should be </w:t>
      </w:r>
      <w:r w:rsidR="004533BD">
        <w:rPr>
          <w:rFonts w:ascii="Times New Roman" w:hAnsi="Times New Roman" w:cs="Times New Roman"/>
          <w:sz w:val="24"/>
          <w:szCs w:val="24"/>
        </w:rPr>
        <w:t xml:space="preserve">a </w:t>
      </w:r>
      <w:r w:rsidRPr="007743B3">
        <w:rPr>
          <w:rFonts w:ascii="Times New Roman" w:hAnsi="Times New Roman" w:cs="Times New Roman"/>
          <w:sz w:val="24"/>
          <w:szCs w:val="24"/>
        </w:rPr>
        <w:t>replaceable rule.</w:t>
      </w:r>
    </w:p>
    <w:p w14:paraId="1F795E43" w14:textId="77777777" w:rsidR="00552D1D" w:rsidRPr="007743B3" w:rsidRDefault="00552D1D" w:rsidP="007743B3">
      <w:pPr>
        <w:spacing w:after="0" w:line="240" w:lineRule="auto"/>
        <w:jc w:val="both"/>
        <w:rPr>
          <w:rFonts w:ascii="Times New Roman" w:hAnsi="Times New Roman" w:cs="Times New Roman"/>
          <w:sz w:val="24"/>
          <w:szCs w:val="24"/>
        </w:rPr>
      </w:pPr>
    </w:p>
    <w:p w14:paraId="6C5ED8A1" w14:textId="4B688265" w:rsidR="00917B13" w:rsidRPr="007743B3" w:rsidRDefault="00917B13" w:rsidP="007743B3">
      <w:pPr>
        <w:spacing w:after="0" w:line="240" w:lineRule="auto"/>
        <w:jc w:val="both"/>
        <w:rPr>
          <w:rFonts w:ascii="Times New Roman" w:hAnsi="Times New Roman" w:cs="Times New Roman"/>
          <w:i/>
          <w:iCs/>
          <w:color w:val="538135" w:themeColor="accent6" w:themeShade="BF"/>
          <w:sz w:val="24"/>
          <w:szCs w:val="24"/>
        </w:rPr>
      </w:pPr>
      <w:r w:rsidRPr="007743B3">
        <w:rPr>
          <w:rFonts w:ascii="Times New Roman" w:hAnsi="Times New Roman" w:cs="Times New Roman"/>
          <w:i/>
          <w:iCs/>
          <w:color w:val="538135" w:themeColor="accent6" w:themeShade="BF"/>
          <w:sz w:val="24"/>
          <w:szCs w:val="24"/>
        </w:rPr>
        <w:t>Corporate structures</w:t>
      </w:r>
    </w:p>
    <w:p w14:paraId="035F3629" w14:textId="77777777" w:rsidR="00552D1D" w:rsidRPr="007743B3" w:rsidRDefault="00552D1D" w:rsidP="007743B3">
      <w:pPr>
        <w:spacing w:after="0" w:line="240" w:lineRule="auto"/>
        <w:jc w:val="both"/>
        <w:rPr>
          <w:rFonts w:ascii="Times New Roman" w:hAnsi="Times New Roman" w:cs="Times New Roman"/>
          <w:i/>
          <w:iCs/>
          <w:color w:val="538135" w:themeColor="accent6" w:themeShade="BF"/>
          <w:sz w:val="24"/>
          <w:szCs w:val="24"/>
        </w:rPr>
      </w:pPr>
    </w:p>
    <w:p w14:paraId="272FF1FA" w14:textId="66DDC0D1" w:rsidR="00917B13" w:rsidRPr="007743B3" w:rsidRDefault="00917B13" w:rsidP="007743B3">
      <w:pPr>
        <w:spacing w:after="0" w:line="240" w:lineRule="auto"/>
        <w:jc w:val="both"/>
        <w:rPr>
          <w:rFonts w:ascii="Times New Roman" w:hAnsi="Times New Roman" w:cs="Times New Roman"/>
          <w:i/>
          <w:iCs/>
          <w:color w:val="538135" w:themeColor="accent6" w:themeShade="BF"/>
          <w:sz w:val="24"/>
          <w:szCs w:val="24"/>
        </w:rPr>
      </w:pPr>
      <w:r w:rsidRPr="007743B3">
        <w:rPr>
          <w:rFonts w:ascii="Times New Roman" w:hAnsi="Times New Roman" w:cs="Times New Roman"/>
          <w:i/>
          <w:iCs/>
          <w:color w:val="538135" w:themeColor="accent6" w:themeShade="BF"/>
          <w:sz w:val="24"/>
          <w:szCs w:val="24"/>
        </w:rPr>
        <w:t xml:space="preserve">Should the CATSI Act make it easier for a: corporation to establish a wholly-owned subsidiary CATSI corporation unless prohibited by its rule book; and group of entities to establish a CATSI corporation, similar to a joint venture where the majority Indigenous membership requirement (the ‘Indigeneity requirement’) is met by the parent entity or group of entities? </w:t>
      </w:r>
    </w:p>
    <w:p w14:paraId="4B2F8509" w14:textId="76AD71B9" w:rsidR="00917B13" w:rsidRPr="007743B3" w:rsidRDefault="00917B13" w:rsidP="007743B3">
      <w:pPr>
        <w:spacing w:after="0" w:line="240" w:lineRule="auto"/>
        <w:jc w:val="both"/>
        <w:rPr>
          <w:rFonts w:ascii="Times New Roman" w:hAnsi="Times New Roman" w:cs="Times New Roman"/>
          <w:sz w:val="24"/>
          <w:szCs w:val="24"/>
        </w:rPr>
      </w:pPr>
    </w:p>
    <w:p w14:paraId="76F0B433" w14:textId="221F3268" w:rsidR="00552D1D" w:rsidRPr="007743B3" w:rsidRDefault="007D3FE2" w:rsidP="007743B3">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 xml:space="preserve">The </w:t>
      </w:r>
      <w:r w:rsidRPr="007743B3">
        <w:rPr>
          <w:rFonts w:ascii="Times New Roman" w:hAnsi="Times New Roman" w:cs="Times New Roman"/>
          <w:i/>
          <w:iCs/>
          <w:sz w:val="24"/>
          <w:szCs w:val="24"/>
        </w:rPr>
        <w:t>CATSI Act</w:t>
      </w:r>
      <w:r w:rsidRPr="007743B3">
        <w:rPr>
          <w:rFonts w:ascii="Times New Roman" w:hAnsi="Times New Roman" w:cs="Times New Roman"/>
          <w:sz w:val="24"/>
          <w:szCs w:val="24"/>
        </w:rPr>
        <w:t xml:space="preserve"> should reviewed to make it easier for CATSI Corporations to not only set up wholly owned subsidiaries but also any subsidiary. Subsidiaries should be given an exemption from s 246-5 (3) which notes that </w:t>
      </w:r>
      <w:proofErr w:type="gramStart"/>
      <w:r w:rsidRPr="007743B3">
        <w:rPr>
          <w:rFonts w:ascii="Times New Roman" w:hAnsi="Times New Roman" w:cs="Times New Roman"/>
          <w:sz w:val="24"/>
          <w:szCs w:val="24"/>
        </w:rPr>
        <w:t>the majority of</w:t>
      </w:r>
      <w:proofErr w:type="gramEnd"/>
      <w:r w:rsidRPr="007743B3">
        <w:rPr>
          <w:rFonts w:ascii="Times New Roman" w:hAnsi="Times New Roman" w:cs="Times New Roman"/>
          <w:sz w:val="24"/>
          <w:szCs w:val="24"/>
        </w:rPr>
        <w:t xml:space="preserve"> directors must be members in the corporation. </w:t>
      </w:r>
    </w:p>
    <w:p w14:paraId="21DD74AF" w14:textId="47D21A31" w:rsidR="007D3FE2" w:rsidRPr="007743B3" w:rsidRDefault="007D3FE2" w:rsidP="007743B3">
      <w:pPr>
        <w:spacing w:after="0" w:line="240" w:lineRule="auto"/>
        <w:jc w:val="both"/>
        <w:rPr>
          <w:rFonts w:ascii="Times New Roman" w:hAnsi="Times New Roman" w:cs="Times New Roman"/>
          <w:sz w:val="24"/>
          <w:szCs w:val="24"/>
        </w:rPr>
      </w:pPr>
    </w:p>
    <w:p w14:paraId="6243A19D" w14:textId="7FE6BDFC" w:rsidR="007D3FE2" w:rsidRPr="007743B3" w:rsidRDefault="007D3FE2" w:rsidP="007743B3">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 xml:space="preserve">On </w:t>
      </w:r>
      <w:r w:rsidR="00320E7B">
        <w:rPr>
          <w:rFonts w:ascii="Times New Roman" w:hAnsi="Times New Roman" w:cs="Times New Roman"/>
          <w:sz w:val="24"/>
          <w:szCs w:val="24"/>
        </w:rPr>
        <w:t xml:space="preserve">a </w:t>
      </w:r>
      <w:r w:rsidRPr="007743B3">
        <w:rPr>
          <w:rFonts w:ascii="Times New Roman" w:hAnsi="Times New Roman" w:cs="Times New Roman"/>
          <w:sz w:val="24"/>
          <w:szCs w:val="24"/>
        </w:rPr>
        <w:t xml:space="preserve">broader note, s 246-5(3) should be revoked. It should be up to the organisation to decide whether they wish </w:t>
      </w:r>
      <w:proofErr w:type="gramStart"/>
      <w:r w:rsidRPr="007743B3">
        <w:rPr>
          <w:rFonts w:ascii="Times New Roman" w:hAnsi="Times New Roman" w:cs="Times New Roman"/>
          <w:sz w:val="24"/>
          <w:szCs w:val="24"/>
        </w:rPr>
        <w:t>the majority of</w:t>
      </w:r>
      <w:proofErr w:type="gramEnd"/>
      <w:r w:rsidRPr="007743B3">
        <w:rPr>
          <w:rFonts w:ascii="Times New Roman" w:hAnsi="Times New Roman" w:cs="Times New Roman"/>
          <w:sz w:val="24"/>
          <w:szCs w:val="24"/>
        </w:rPr>
        <w:t xml:space="preserve"> the directors to be members or not.</w:t>
      </w:r>
    </w:p>
    <w:p w14:paraId="4A7074E0" w14:textId="4ED6ACB8" w:rsidR="007D3FE2" w:rsidRPr="007743B3" w:rsidRDefault="007D3FE2" w:rsidP="007743B3">
      <w:pPr>
        <w:spacing w:after="0" w:line="240" w:lineRule="auto"/>
        <w:jc w:val="both"/>
        <w:rPr>
          <w:rFonts w:ascii="Times New Roman" w:hAnsi="Times New Roman" w:cs="Times New Roman"/>
          <w:sz w:val="24"/>
          <w:szCs w:val="24"/>
        </w:rPr>
      </w:pPr>
    </w:p>
    <w:p w14:paraId="1CAD0156" w14:textId="2E473660" w:rsidR="007D3FE2" w:rsidRPr="007743B3" w:rsidRDefault="007D3FE2" w:rsidP="007743B3">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 xml:space="preserve">The </w:t>
      </w:r>
      <w:r w:rsidRPr="007743B3">
        <w:rPr>
          <w:rFonts w:ascii="Times New Roman" w:hAnsi="Times New Roman" w:cs="Times New Roman"/>
          <w:i/>
          <w:iCs/>
          <w:sz w:val="24"/>
          <w:szCs w:val="24"/>
        </w:rPr>
        <w:t>CATSI Act</w:t>
      </w:r>
      <w:r w:rsidRPr="007743B3">
        <w:rPr>
          <w:rFonts w:ascii="Times New Roman" w:hAnsi="Times New Roman" w:cs="Times New Roman"/>
          <w:sz w:val="24"/>
          <w:szCs w:val="24"/>
        </w:rPr>
        <w:t xml:space="preserve"> should not legislate provisions regarding joint venture. This form of business is not a separate legal entity but is a contractual arrangement between entities. </w:t>
      </w:r>
      <w:r w:rsidR="004533BD">
        <w:rPr>
          <w:rFonts w:ascii="Times New Roman" w:hAnsi="Times New Roman" w:cs="Times New Roman"/>
          <w:sz w:val="24"/>
          <w:szCs w:val="24"/>
        </w:rPr>
        <w:t>Consequently,</w:t>
      </w:r>
      <w:r w:rsidRPr="007743B3">
        <w:rPr>
          <w:rFonts w:ascii="Times New Roman" w:hAnsi="Times New Roman" w:cs="Times New Roman"/>
          <w:sz w:val="24"/>
          <w:szCs w:val="24"/>
        </w:rPr>
        <w:t xml:space="preserve"> the Registrar and the legislation should not take part in this matter</w:t>
      </w:r>
      <w:r w:rsidR="004533BD">
        <w:rPr>
          <w:rFonts w:ascii="Times New Roman" w:hAnsi="Times New Roman" w:cs="Times New Roman"/>
          <w:sz w:val="24"/>
          <w:szCs w:val="24"/>
        </w:rPr>
        <w:t xml:space="preserve"> as it relates to freedom of contract</w:t>
      </w:r>
      <w:r w:rsidRPr="007743B3">
        <w:rPr>
          <w:rFonts w:ascii="Times New Roman" w:hAnsi="Times New Roman" w:cs="Times New Roman"/>
          <w:sz w:val="24"/>
          <w:szCs w:val="24"/>
        </w:rPr>
        <w:t xml:space="preserve">. Decisions regarding joint venture should be left with the CATSI Corporations. An indigeneity requirement is not needed or relevant in case of joint venture. It is up to the CATSI Corporation to decide who they wish to </w:t>
      </w:r>
      <w:proofErr w:type="gramStart"/>
      <w:r w:rsidRPr="007743B3">
        <w:rPr>
          <w:rFonts w:ascii="Times New Roman" w:hAnsi="Times New Roman" w:cs="Times New Roman"/>
          <w:sz w:val="24"/>
          <w:szCs w:val="24"/>
        </w:rPr>
        <w:t>enter into</w:t>
      </w:r>
      <w:proofErr w:type="gramEnd"/>
      <w:r w:rsidRPr="007743B3">
        <w:rPr>
          <w:rFonts w:ascii="Times New Roman" w:hAnsi="Times New Roman" w:cs="Times New Roman"/>
          <w:sz w:val="24"/>
          <w:szCs w:val="24"/>
        </w:rPr>
        <w:t xml:space="preserve"> a contract with.</w:t>
      </w:r>
    </w:p>
    <w:p w14:paraId="7AB64C55" w14:textId="77777777" w:rsidR="007D3FE2" w:rsidRPr="007743B3" w:rsidRDefault="007D3FE2" w:rsidP="007743B3">
      <w:pPr>
        <w:spacing w:after="0" w:line="240" w:lineRule="auto"/>
        <w:jc w:val="both"/>
        <w:rPr>
          <w:rFonts w:ascii="Times New Roman" w:hAnsi="Times New Roman" w:cs="Times New Roman"/>
          <w:sz w:val="24"/>
          <w:szCs w:val="24"/>
        </w:rPr>
      </w:pPr>
    </w:p>
    <w:p w14:paraId="1469CB4A" w14:textId="7ED311A4" w:rsidR="007D3FE2" w:rsidRPr="007743B3" w:rsidRDefault="00917B13" w:rsidP="007743B3">
      <w:pPr>
        <w:spacing w:after="0" w:line="240" w:lineRule="auto"/>
        <w:jc w:val="both"/>
        <w:rPr>
          <w:rFonts w:ascii="Times New Roman" w:hAnsi="Times New Roman" w:cs="Times New Roman"/>
          <w:i/>
          <w:iCs/>
          <w:color w:val="538135" w:themeColor="accent6" w:themeShade="BF"/>
          <w:sz w:val="24"/>
          <w:szCs w:val="24"/>
        </w:rPr>
      </w:pPr>
      <w:r w:rsidRPr="007743B3">
        <w:rPr>
          <w:rFonts w:ascii="Times New Roman" w:hAnsi="Times New Roman" w:cs="Times New Roman"/>
          <w:i/>
          <w:iCs/>
          <w:color w:val="538135" w:themeColor="accent6" w:themeShade="BF"/>
          <w:sz w:val="24"/>
          <w:szCs w:val="24"/>
        </w:rPr>
        <w:t xml:space="preserve">Should the CATSI Act be amended to require corporations to include in their annual report to the Registrar: information about their corporate structure, for example, where the CATSI corporation has associated subsidiaries and/or trusts? the names of the key management personnel such as the Chief Executive Officer (CEO), Chief Operating Officer and Chief Financial Officer within that structure? </w:t>
      </w:r>
    </w:p>
    <w:p w14:paraId="10B04B59" w14:textId="77777777" w:rsidR="007D3FE2" w:rsidRPr="007743B3" w:rsidRDefault="007D3FE2" w:rsidP="007743B3">
      <w:pPr>
        <w:spacing w:after="0" w:line="240" w:lineRule="auto"/>
        <w:jc w:val="both"/>
        <w:rPr>
          <w:rFonts w:ascii="Times New Roman" w:hAnsi="Times New Roman" w:cs="Times New Roman"/>
          <w:sz w:val="24"/>
          <w:szCs w:val="24"/>
        </w:rPr>
      </w:pPr>
    </w:p>
    <w:p w14:paraId="09AC88C3" w14:textId="7CFDC55B" w:rsidR="007D3FE2" w:rsidRPr="007743B3" w:rsidRDefault="00F733FC" w:rsidP="007743B3">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Annual reports are an important source of information for members</w:t>
      </w:r>
      <w:r w:rsidR="00320E7B">
        <w:rPr>
          <w:rFonts w:ascii="Times New Roman" w:hAnsi="Times New Roman" w:cs="Times New Roman"/>
          <w:sz w:val="24"/>
          <w:szCs w:val="24"/>
        </w:rPr>
        <w:t>.</w:t>
      </w:r>
      <w:r w:rsidRPr="007743B3">
        <w:rPr>
          <w:rFonts w:ascii="Times New Roman" w:hAnsi="Times New Roman" w:cs="Times New Roman"/>
          <w:sz w:val="24"/>
          <w:szCs w:val="24"/>
        </w:rPr>
        <w:t xml:space="preserve"> </w:t>
      </w:r>
      <w:r w:rsidR="00320E7B">
        <w:rPr>
          <w:rFonts w:ascii="Times New Roman" w:hAnsi="Times New Roman" w:cs="Times New Roman"/>
          <w:sz w:val="24"/>
          <w:szCs w:val="24"/>
        </w:rPr>
        <w:t>A</w:t>
      </w:r>
      <w:r w:rsidRPr="007743B3">
        <w:rPr>
          <w:rFonts w:ascii="Times New Roman" w:hAnsi="Times New Roman" w:cs="Times New Roman"/>
          <w:sz w:val="24"/>
          <w:szCs w:val="24"/>
        </w:rPr>
        <w:t>ccordingly</w:t>
      </w:r>
      <w:r w:rsidR="00320E7B">
        <w:rPr>
          <w:rFonts w:ascii="Times New Roman" w:hAnsi="Times New Roman" w:cs="Times New Roman"/>
          <w:sz w:val="24"/>
          <w:szCs w:val="24"/>
        </w:rPr>
        <w:t>,</w:t>
      </w:r>
      <w:r w:rsidRPr="007743B3">
        <w:rPr>
          <w:rFonts w:ascii="Times New Roman" w:hAnsi="Times New Roman" w:cs="Times New Roman"/>
          <w:sz w:val="24"/>
          <w:szCs w:val="24"/>
        </w:rPr>
        <w:t xml:space="preserve"> it is important that they include information regarding subsidiaries, trusts and names of key management personnel. This will enhance transparency and accountability of the organisation.</w:t>
      </w:r>
    </w:p>
    <w:p w14:paraId="76D6BAFF" w14:textId="77777777" w:rsidR="00F733FC" w:rsidRPr="007743B3" w:rsidRDefault="00F733FC" w:rsidP="007743B3">
      <w:pPr>
        <w:spacing w:after="0" w:line="240" w:lineRule="auto"/>
        <w:jc w:val="both"/>
        <w:rPr>
          <w:rFonts w:ascii="Times New Roman" w:hAnsi="Times New Roman" w:cs="Times New Roman"/>
          <w:sz w:val="24"/>
          <w:szCs w:val="24"/>
        </w:rPr>
      </w:pPr>
    </w:p>
    <w:p w14:paraId="7CDF5DA0" w14:textId="7627321E" w:rsidR="00F733FC" w:rsidRPr="007743B3" w:rsidRDefault="00917B13" w:rsidP="007743B3">
      <w:pPr>
        <w:spacing w:after="0" w:line="240" w:lineRule="auto"/>
        <w:jc w:val="both"/>
        <w:rPr>
          <w:rFonts w:ascii="Times New Roman" w:hAnsi="Times New Roman" w:cs="Times New Roman"/>
          <w:i/>
          <w:iCs/>
          <w:color w:val="538135" w:themeColor="accent6" w:themeShade="BF"/>
          <w:sz w:val="24"/>
          <w:szCs w:val="24"/>
        </w:rPr>
      </w:pPr>
      <w:r w:rsidRPr="007743B3">
        <w:rPr>
          <w:rFonts w:ascii="Times New Roman" w:hAnsi="Times New Roman" w:cs="Times New Roman"/>
          <w:i/>
          <w:iCs/>
          <w:color w:val="538135" w:themeColor="accent6" w:themeShade="BF"/>
          <w:sz w:val="24"/>
          <w:szCs w:val="24"/>
        </w:rPr>
        <w:t xml:space="preserve">Can the CATSI Act better support profit driven entities and if so, what would this support look like? </w:t>
      </w:r>
    </w:p>
    <w:p w14:paraId="48DE7429" w14:textId="3342C046" w:rsidR="00F733FC" w:rsidRPr="007743B3" w:rsidRDefault="00F733FC" w:rsidP="007743B3">
      <w:pPr>
        <w:spacing w:after="0" w:line="240" w:lineRule="auto"/>
        <w:jc w:val="both"/>
        <w:rPr>
          <w:rFonts w:ascii="Times New Roman" w:hAnsi="Times New Roman" w:cs="Times New Roman"/>
          <w:sz w:val="24"/>
          <w:szCs w:val="24"/>
        </w:rPr>
      </w:pPr>
    </w:p>
    <w:p w14:paraId="0492E87E" w14:textId="4883A54A" w:rsidR="00F733FC" w:rsidRPr="007743B3" w:rsidRDefault="00F733FC" w:rsidP="007743B3">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Currently</w:t>
      </w:r>
      <w:r w:rsidR="00320E7B">
        <w:rPr>
          <w:rFonts w:ascii="Times New Roman" w:hAnsi="Times New Roman" w:cs="Times New Roman"/>
          <w:sz w:val="24"/>
          <w:szCs w:val="24"/>
        </w:rPr>
        <w:t>,</w:t>
      </w:r>
      <w:r w:rsidRPr="007743B3">
        <w:rPr>
          <w:rFonts w:ascii="Times New Roman" w:hAnsi="Times New Roman" w:cs="Times New Roman"/>
          <w:sz w:val="24"/>
          <w:szCs w:val="24"/>
        </w:rPr>
        <w:t xml:space="preserve"> the majority of CATSI corporations are not-for-profit entities.  The legislation may promote for</w:t>
      </w:r>
      <w:r w:rsidR="00320E7B">
        <w:rPr>
          <w:rFonts w:ascii="Times New Roman" w:hAnsi="Times New Roman" w:cs="Times New Roman"/>
          <w:sz w:val="24"/>
          <w:szCs w:val="24"/>
        </w:rPr>
        <w:t>-</w:t>
      </w:r>
      <w:r w:rsidRPr="007743B3">
        <w:rPr>
          <w:rFonts w:ascii="Times New Roman" w:hAnsi="Times New Roman" w:cs="Times New Roman"/>
          <w:sz w:val="24"/>
          <w:szCs w:val="24"/>
        </w:rPr>
        <w:t xml:space="preserve">profit entities by creating a new class of corporations with a different </w:t>
      </w:r>
      <w:r w:rsidR="00320E7B">
        <w:rPr>
          <w:rFonts w:ascii="Times New Roman" w:hAnsi="Times New Roman" w:cs="Times New Roman"/>
          <w:sz w:val="24"/>
          <w:szCs w:val="24"/>
        </w:rPr>
        <w:t xml:space="preserve">less prescriptive </w:t>
      </w:r>
      <w:r w:rsidRPr="007743B3">
        <w:rPr>
          <w:rFonts w:ascii="Times New Roman" w:hAnsi="Times New Roman" w:cs="Times New Roman"/>
          <w:sz w:val="24"/>
          <w:szCs w:val="24"/>
        </w:rPr>
        <w:t xml:space="preserve">set of rules. For instance, special administration may not be appropriate in those </w:t>
      </w:r>
      <w:r w:rsidR="00D94BC8" w:rsidRPr="007743B3">
        <w:rPr>
          <w:rFonts w:ascii="Times New Roman" w:hAnsi="Times New Roman" w:cs="Times New Roman"/>
          <w:sz w:val="24"/>
          <w:szCs w:val="24"/>
        </w:rPr>
        <w:t>setting,</w:t>
      </w:r>
      <w:r w:rsidRPr="007743B3">
        <w:rPr>
          <w:rFonts w:ascii="Times New Roman" w:hAnsi="Times New Roman" w:cs="Times New Roman"/>
          <w:sz w:val="24"/>
          <w:szCs w:val="24"/>
        </w:rPr>
        <w:t xml:space="preserve"> but a form of voluntary administration would be. More replaceable rules may be desired</w:t>
      </w:r>
      <w:r w:rsidR="00D94BC8" w:rsidRPr="007743B3">
        <w:rPr>
          <w:rFonts w:ascii="Times New Roman" w:hAnsi="Times New Roman" w:cs="Times New Roman"/>
          <w:sz w:val="24"/>
          <w:szCs w:val="24"/>
        </w:rPr>
        <w:t xml:space="preserve"> (currently this number is </w:t>
      </w:r>
      <w:proofErr w:type="gramStart"/>
      <w:r w:rsidR="00D94BC8" w:rsidRPr="007743B3">
        <w:rPr>
          <w:rFonts w:ascii="Times New Roman" w:hAnsi="Times New Roman" w:cs="Times New Roman"/>
          <w:sz w:val="24"/>
          <w:szCs w:val="24"/>
        </w:rPr>
        <w:t>very small</w:t>
      </w:r>
      <w:proofErr w:type="gramEnd"/>
      <w:r w:rsidR="00D94BC8" w:rsidRPr="007743B3">
        <w:rPr>
          <w:rFonts w:ascii="Times New Roman" w:hAnsi="Times New Roman" w:cs="Times New Roman"/>
          <w:sz w:val="24"/>
          <w:szCs w:val="24"/>
        </w:rPr>
        <w:t xml:space="preserve"> compared to the</w:t>
      </w:r>
      <w:r w:rsidR="00320E7B">
        <w:rPr>
          <w:rFonts w:ascii="Times New Roman" w:hAnsi="Times New Roman" w:cs="Times New Roman"/>
          <w:sz w:val="24"/>
          <w:szCs w:val="24"/>
        </w:rPr>
        <w:t xml:space="preserve"> ones under the</w:t>
      </w:r>
      <w:r w:rsidR="00D94BC8" w:rsidRPr="007743B3">
        <w:rPr>
          <w:rFonts w:ascii="Times New Roman" w:hAnsi="Times New Roman" w:cs="Times New Roman"/>
          <w:sz w:val="24"/>
          <w:szCs w:val="24"/>
        </w:rPr>
        <w:t xml:space="preserve"> </w:t>
      </w:r>
      <w:r w:rsidR="00D94BC8" w:rsidRPr="007743B3">
        <w:rPr>
          <w:rFonts w:ascii="Times New Roman" w:hAnsi="Times New Roman" w:cs="Times New Roman"/>
          <w:i/>
          <w:iCs/>
          <w:sz w:val="24"/>
          <w:szCs w:val="24"/>
        </w:rPr>
        <w:t>Corporations Act 2001</w:t>
      </w:r>
      <w:r w:rsidR="00D94BC8" w:rsidRPr="007743B3">
        <w:rPr>
          <w:rFonts w:ascii="Times New Roman" w:hAnsi="Times New Roman" w:cs="Times New Roman"/>
          <w:sz w:val="24"/>
          <w:szCs w:val="24"/>
        </w:rPr>
        <w:t xml:space="preserve"> (</w:t>
      </w:r>
      <w:proofErr w:type="spellStart"/>
      <w:r w:rsidR="00D94BC8" w:rsidRPr="007743B3">
        <w:rPr>
          <w:rFonts w:ascii="Times New Roman" w:hAnsi="Times New Roman" w:cs="Times New Roman"/>
          <w:sz w:val="24"/>
          <w:szCs w:val="24"/>
        </w:rPr>
        <w:t>Cth</w:t>
      </w:r>
      <w:proofErr w:type="spellEnd"/>
      <w:r w:rsidR="00D94BC8" w:rsidRPr="007743B3">
        <w:rPr>
          <w:rFonts w:ascii="Times New Roman" w:hAnsi="Times New Roman" w:cs="Times New Roman"/>
          <w:sz w:val="24"/>
          <w:szCs w:val="24"/>
        </w:rPr>
        <w:t>)</w:t>
      </w:r>
      <w:r w:rsidR="00320E7B">
        <w:rPr>
          <w:rFonts w:ascii="Times New Roman" w:hAnsi="Times New Roman" w:cs="Times New Roman"/>
          <w:sz w:val="24"/>
          <w:szCs w:val="24"/>
        </w:rPr>
        <w:t>). T</w:t>
      </w:r>
      <w:r w:rsidRPr="007743B3">
        <w:rPr>
          <w:rFonts w:ascii="Times New Roman" w:hAnsi="Times New Roman" w:cs="Times New Roman"/>
          <w:sz w:val="24"/>
          <w:szCs w:val="24"/>
        </w:rPr>
        <w:t xml:space="preserve">he Registrar should have less ground for intervention in the affairs of the corporation. </w:t>
      </w:r>
      <w:r w:rsidR="00D94BC8" w:rsidRPr="007743B3">
        <w:rPr>
          <w:rFonts w:ascii="Times New Roman" w:hAnsi="Times New Roman" w:cs="Times New Roman"/>
          <w:sz w:val="24"/>
          <w:szCs w:val="24"/>
        </w:rPr>
        <w:t>The Registrar’s role should be mainly limited to building capacity of these organisations and holding directors and the</w:t>
      </w:r>
      <w:r w:rsidR="00320E7B">
        <w:rPr>
          <w:rFonts w:ascii="Times New Roman" w:hAnsi="Times New Roman" w:cs="Times New Roman"/>
          <w:sz w:val="24"/>
          <w:szCs w:val="24"/>
        </w:rPr>
        <w:t>ir</w:t>
      </w:r>
      <w:r w:rsidR="00D94BC8" w:rsidRPr="007743B3">
        <w:rPr>
          <w:rFonts w:ascii="Times New Roman" w:hAnsi="Times New Roman" w:cs="Times New Roman"/>
          <w:sz w:val="24"/>
          <w:szCs w:val="24"/>
        </w:rPr>
        <w:t xml:space="preserve"> organisation accountable when appropriate.</w:t>
      </w:r>
    </w:p>
    <w:p w14:paraId="7FF0FAB4" w14:textId="22A9A175" w:rsidR="00917B13" w:rsidRDefault="00917B13" w:rsidP="00197FC8">
      <w:pPr>
        <w:spacing w:after="0" w:line="240" w:lineRule="auto"/>
        <w:jc w:val="both"/>
        <w:rPr>
          <w:rFonts w:ascii="Times New Roman" w:hAnsi="Times New Roman" w:cs="Times New Roman"/>
          <w:sz w:val="24"/>
          <w:szCs w:val="24"/>
        </w:rPr>
      </w:pPr>
    </w:p>
    <w:p w14:paraId="60A3D561" w14:textId="083DC159" w:rsidR="00320E7B" w:rsidRDefault="00320E7B" w:rsidP="00320E7B">
      <w:pPr>
        <w:spacing w:after="0" w:line="240" w:lineRule="auto"/>
        <w:jc w:val="both"/>
        <w:rPr>
          <w:rFonts w:ascii="Times New Roman" w:hAnsi="Times New Roman" w:cs="Times New Roman"/>
          <w:sz w:val="24"/>
          <w:szCs w:val="24"/>
        </w:rPr>
      </w:pPr>
    </w:p>
    <w:p w14:paraId="442F19B2" w14:textId="5DF99B80" w:rsidR="00320E7B" w:rsidRDefault="00320E7B" w:rsidP="00320E7B">
      <w:pPr>
        <w:spacing w:after="0" w:line="240" w:lineRule="auto"/>
        <w:jc w:val="both"/>
        <w:rPr>
          <w:rFonts w:ascii="Times New Roman" w:hAnsi="Times New Roman" w:cs="Times New Roman"/>
          <w:sz w:val="24"/>
          <w:szCs w:val="24"/>
        </w:rPr>
      </w:pPr>
    </w:p>
    <w:p w14:paraId="4BCF7589" w14:textId="70DCE228" w:rsidR="00320E7B" w:rsidRDefault="00320E7B" w:rsidP="00320E7B">
      <w:pPr>
        <w:spacing w:after="0" w:line="240" w:lineRule="auto"/>
        <w:jc w:val="both"/>
        <w:rPr>
          <w:rFonts w:ascii="Times New Roman" w:hAnsi="Times New Roman" w:cs="Times New Roman"/>
          <w:sz w:val="24"/>
          <w:szCs w:val="24"/>
        </w:rPr>
      </w:pPr>
    </w:p>
    <w:p w14:paraId="64DD0D1E" w14:textId="0F4D2A04" w:rsidR="00320E7B" w:rsidRDefault="00320E7B" w:rsidP="00320E7B">
      <w:pPr>
        <w:spacing w:after="0" w:line="240" w:lineRule="auto"/>
        <w:jc w:val="both"/>
        <w:rPr>
          <w:rFonts w:ascii="Times New Roman" w:hAnsi="Times New Roman" w:cs="Times New Roman"/>
          <w:sz w:val="24"/>
          <w:szCs w:val="24"/>
        </w:rPr>
      </w:pPr>
    </w:p>
    <w:p w14:paraId="1E51A76F" w14:textId="77777777" w:rsidR="00320E7B" w:rsidRPr="007743B3" w:rsidRDefault="00320E7B" w:rsidP="00320E7B">
      <w:pPr>
        <w:spacing w:after="0" w:line="240" w:lineRule="auto"/>
        <w:jc w:val="both"/>
        <w:rPr>
          <w:rFonts w:ascii="Times New Roman" w:hAnsi="Times New Roman" w:cs="Times New Roman"/>
          <w:sz w:val="24"/>
          <w:szCs w:val="24"/>
        </w:rPr>
      </w:pPr>
    </w:p>
    <w:p w14:paraId="49A1E0C2" w14:textId="27C9C7C1" w:rsidR="00917B13" w:rsidRPr="007743B3" w:rsidRDefault="00917B13" w:rsidP="00320E7B">
      <w:pPr>
        <w:spacing w:after="0" w:line="240" w:lineRule="auto"/>
        <w:jc w:val="both"/>
        <w:rPr>
          <w:rFonts w:ascii="Times New Roman" w:hAnsi="Times New Roman" w:cs="Times New Roman"/>
          <w:i/>
          <w:iCs/>
          <w:color w:val="538135" w:themeColor="accent6" w:themeShade="BF"/>
          <w:sz w:val="24"/>
          <w:szCs w:val="24"/>
        </w:rPr>
      </w:pPr>
      <w:r w:rsidRPr="007743B3">
        <w:rPr>
          <w:rFonts w:ascii="Times New Roman" w:hAnsi="Times New Roman" w:cs="Times New Roman"/>
          <w:i/>
          <w:iCs/>
          <w:color w:val="538135" w:themeColor="accent6" w:themeShade="BF"/>
          <w:sz w:val="24"/>
          <w:szCs w:val="24"/>
        </w:rPr>
        <w:lastRenderedPageBreak/>
        <w:t>Should the size classification framework under the CATSI be the same as the Australian Charities and Not-for-profits Commission; that is, based on revenue only? − Should there be only two sizes: small and large? − What would be the criteria and thresholds if there were only two sizes?</w:t>
      </w:r>
    </w:p>
    <w:p w14:paraId="0300F78E" w14:textId="4A9F82C4" w:rsidR="00917B13" w:rsidRPr="007743B3" w:rsidRDefault="00917B13" w:rsidP="00320E7B">
      <w:pPr>
        <w:spacing w:after="0" w:line="240" w:lineRule="auto"/>
        <w:jc w:val="both"/>
        <w:rPr>
          <w:rFonts w:ascii="Times New Roman" w:hAnsi="Times New Roman" w:cs="Times New Roman"/>
          <w:sz w:val="24"/>
          <w:szCs w:val="24"/>
        </w:rPr>
      </w:pPr>
    </w:p>
    <w:p w14:paraId="64687669" w14:textId="3CBE5DC9" w:rsidR="00D94BC8" w:rsidRPr="007743B3" w:rsidRDefault="00D94BC8" w:rsidP="008D7E28">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 xml:space="preserve">A review of the classification is needed. However, applying the ACNC regime may not be appropriate as that regime is more relevant for charities </w:t>
      </w:r>
      <w:r w:rsidR="00320E7B">
        <w:rPr>
          <w:rFonts w:ascii="Times New Roman" w:hAnsi="Times New Roman" w:cs="Times New Roman"/>
          <w:sz w:val="24"/>
          <w:szCs w:val="24"/>
        </w:rPr>
        <w:t xml:space="preserve">and </w:t>
      </w:r>
      <w:r w:rsidRPr="007743B3">
        <w:rPr>
          <w:rFonts w:ascii="Times New Roman" w:hAnsi="Times New Roman" w:cs="Times New Roman"/>
          <w:sz w:val="24"/>
          <w:szCs w:val="24"/>
        </w:rPr>
        <w:t>not for other business structures.</w:t>
      </w:r>
    </w:p>
    <w:p w14:paraId="4DB87952" w14:textId="391316FB" w:rsidR="00D94BC8" w:rsidRPr="007743B3" w:rsidRDefault="00D94BC8" w:rsidP="00D02555">
      <w:pPr>
        <w:spacing w:after="0" w:line="240" w:lineRule="auto"/>
        <w:jc w:val="both"/>
        <w:rPr>
          <w:rFonts w:ascii="Times New Roman" w:hAnsi="Times New Roman" w:cs="Times New Roman"/>
          <w:sz w:val="24"/>
          <w:szCs w:val="24"/>
        </w:rPr>
      </w:pPr>
    </w:p>
    <w:p w14:paraId="0E7F7216" w14:textId="6E20B4F8" w:rsidR="00D94BC8" w:rsidRDefault="00D94BC8" w:rsidP="00197FC8">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 xml:space="preserve">A dual classification regime may be appropriate: </w:t>
      </w:r>
    </w:p>
    <w:p w14:paraId="77CB7CD6" w14:textId="77777777" w:rsidR="00320E7B" w:rsidRPr="007743B3" w:rsidRDefault="00320E7B" w:rsidP="00320E7B">
      <w:pPr>
        <w:spacing w:after="0" w:line="240" w:lineRule="auto"/>
        <w:jc w:val="both"/>
        <w:rPr>
          <w:rFonts w:ascii="Times New Roman" w:hAnsi="Times New Roman" w:cs="Times New Roman"/>
          <w:sz w:val="24"/>
          <w:szCs w:val="24"/>
        </w:rPr>
      </w:pPr>
    </w:p>
    <w:p w14:paraId="2C656D02" w14:textId="7D68D175" w:rsidR="00D94BC8" w:rsidRPr="007743B3" w:rsidRDefault="00D94BC8" w:rsidP="00320E7B">
      <w:pPr>
        <w:pStyle w:val="ListParagraph"/>
        <w:numPr>
          <w:ilvl w:val="0"/>
          <w:numId w:val="1"/>
        </w:num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 xml:space="preserve">one for charities akin to the ACNC regime: this </w:t>
      </w:r>
      <w:r w:rsidR="00320E7B">
        <w:rPr>
          <w:rFonts w:ascii="Times New Roman" w:hAnsi="Times New Roman" w:cs="Times New Roman"/>
          <w:sz w:val="24"/>
          <w:szCs w:val="24"/>
        </w:rPr>
        <w:t xml:space="preserve">may </w:t>
      </w:r>
      <w:r w:rsidRPr="007743B3">
        <w:rPr>
          <w:rFonts w:ascii="Times New Roman" w:hAnsi="Times New Roman" w:cs="Times New Roman"/>
          <w:sz w:val="24"/>
          <w:szCs w:val="24"/>
        </w:rPr>
        <w:t xml:space="preserve">also </w:t>
      </w:r>
      <w:r w:rsidR="00320E7B">
        <w:rPr>
          <w:rFonts w:ascii="Times New Roman" w:hAnsi="Times New Roman" w:cs="Times New Roman"/>
          <w:sz w:val="24"/>
          <w:szCs w:val="24"/>
        </w:rPr>
        <w:t xml:space="preserve">help </w:t>
      </w:r>
      <w:r w:rsidRPr="007743B3">
        <w:rPr>
          <w:rFonts w:ascii="Times New Roman" w:hAnsi="Times New Roman" w:cs="Times New Roman"/>
          <w:sz w:val="24"/>
          <w:szCs w:val="24"/>
        </w:rPr>
        <w:t>reduce red tape.</w:t>
      </w:r>
    </w:p>
    <w:p w14:paraId="09C742CC" w14:textId="482A99EE" w:rsidR="00D94BC8" w:rsidRPr="007743B3" w:rsidRDefault="00D94BC8" w:rsidP="00320E7B">
      <w:pPr>
        <w:pStyle w:val="ListParagraph"/>
        <w:numPr>
          <w:ilvl w:val="0"/>
          <w:numId w:val="1"/>
        </w:num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 xml:space="preserve">One for other types of entities (especially for-profit entities if there is a desire </w:t>
      </w:r>
      <w:r w:rsidR="00383064" w:rsidRPr="00383064">
        <w:rPr>
          <w:rFonts w:ascii="Times New Roman" w:hAnsi="Times New Roman" w:cs="Times New Roman"/>
          <w:sz w:val="24"/>
          <w:szCs w:val="24"/>
        </w:rPr>
        <w:t xml:space="preserve">to </w:t>
      </w:r>
      <w:r w:rsidR="00383064">
        <w:rPr>
          <w:rFonts w:ascii="Times New Roman" w:hAnsi="Times New Roman" w:cs="Times New Roman"/>
          <w:sz w:val="24"/>
          <w:szCs w:val="24"/>
        </w:rPr>
        <w:t>promote</w:t>
      </w:r>
      <w:r w:rsidR="00320E7B">
        <w:rPr>
          <w:rFonts w:ascii="Times New Roman" w:hAnsi="Times New Roman" w:cs="Times New Roman"/>
          <w:sz w:val="24"/>
          <w:szCs w:val="24"/>
        </w:rPr>
        <w:t xml:space="preserve"> this form of business</w:t>
      </w:r>
      <w:r w:rsidRPr="007743B3">
        <w:rPr>
          <w:rFonts w:ascii="Times New Roman" w:hAnsi="Times New Roman" w:cs="Times New Roman"/>
          <w:sz w:val="24"/>
          <w:szCs w:val="24"/>
        </w:rPr>
        <w:t xml:space="preserve"> with</w:t>
      </w:r>
      <w:r w:rsidR="00320E7B">
        <w:rPr>
          <w:rFonts w:ascii="Times New Roman" w:hAnsi="Times New Roman" w:cs="Times New Roman"/>
          <w:sz w:val="24"/>
          <w:szCs w:val="24"/>
        </w:rPr>
        <w:t>in</w:t>
      </w:r>
      <w:r w:rsidRPr="007743B3">
        <w:rPr>
          <w:rFonts w:ascii="Times New Roman" w:hAnsi="Times New Roman" w:cs="Times New Roman"/>
          <w:sz w:val="24"/>
          <w:szCs w:val="24"/>
        </w:rPr>
        <w:t xml:space="preserve"> the </w:t>
      </w:r>
      <w:r w:rsidRPr="007743B3">
        <w:rPr>
          <w:rFonts w:ascii="Times New Roman" w:hAnsi="Times New Roman" w:cs="Times New Roman"/>
          <w:i/>
          <w:iCs/>
          <w:sz w:val="24"/>
          <w:szCs w:val="24"/>
        </w:rPr>
        <w:t>CATSI Act</w:t>
      </w:r>
      <w:r w:rsidRPr="007743B3">
        <w:rPr>
          <w:rFonts w:ascii="Times New Roman" w:hAnsi="Times New Roman" w:cs="Times New Roman"/>
          <w:sz w:val="24"/>
          <w:szCs w:val="24"/>
        </w:rPr>
        <w:t>)</w:t>
      </w:r>
    </w:p>
    <w:p w14:paraId="1E5966D3" w14:textId="77777777" w:rsidR="00D94BC8" w:rsidRPr="007743B3" w:rsidRDefault="00D94BC8" w:rsidP="008D7E28">
      <w:pPr>
        <w:pStyle w:val="ListParagraph"/>
        <w:spacing w:after="0" w:line="240" w:lineRule="auto"/>
        <w:jc w:val="both"/>
        <w:rPr>
          <w:rFonts w:ascii="Times New Roman" w:hAnsi="Times New Roman" w:cs="Times New Roman"/>
          <w:sz w:val="24"/>
          <w:szCs w:val="24"/>
        </w:rPr>
      </w:pPr>
    </w:p>
    <w:p w14:paraId="5DFCC785" w14:textId="3865E076" w:rsidR="00917B13" w:rsidRPr="007743B3" w:rsidRDefault="00917B13" w:rsidP="00D02555">
      <w:pPr>
        <w:spacing w:after="0" w:line="240" w:lineRule="auto"/>
        <w:jc w:val="both"/>
        <w:rPr>
          <w:rFonts w:ascii="Times New Roman" w:hAnsi="Times New Roman" w:cs="Times New Roman"/>
          <w:i/>
          <w:iCs/>
          <w:color w:val="538135" w:themeColor="accent6" w:themeShade="BF"/>
          <w:sz w:val="24"/>
          <w:szCs w:val="24"/>
        </w:rPr>
      </w:pPr>
      <w:r w:rsidRPr="007743B3">
        <w:rPr>
          <w:rFonts w:ascii="Times New Roman" w:hAnsi="Times New Roman" w:cs="Times New Roman"/>
          <w:i/>
          <w:iCs/>
          <w:color w:val="538135" w:themeColor="accent6" w:themeShade="BF"/>
          <w:sz w:val="24"/>
          <w:szCs w:val="24"/>
        </w:rPr>
        <w:t>Should corporations be able to access an automatic 30-day time extension to hold a particular AGM where the corporation</w:t>
      </w:r>
      <w:r w:rsidR="00644A3E" w:rsidRPr="007743B3">
        <w:rPr>
          <w:rFonts w:ascii="Times New Roman" w:hAnsi="Times New Roman" w:cs="Times New Roman"/>
          <w:i/>
          <w:iCs/>
          <w:color w:val="538135" w:themeColor="accent6" w:themeShade="BF"/>
          <w:sz w:val="24"/>
          <w:szCs w:val="24"/>
        </w:rPr>
        <w:t>?</w:t>
      </w:r>
    </w:p>
    <w:p w14:paraId="6249AF33" w14:textId="3FD316E9" w:rsidR="00917B13" w:rsidRPr="007743B3" w:rsidRDefault="00917B13" w:rsidP="007743B3">
      <w:pPr>
        <w:spacing w:after="0" w:line="240" w:lineRule="auto"/>
        <w:jc w:val="both"/>
        <w:rPr>
          <w:rFonts w:ascii="Times New Roman" w:hAnsi="Times New Roman" w:cs="Times New Roman"/>
          <w:sz w:val="24"/>
          <w:szCs w:val="24"/>
        </w:rPr>
      </w:pPr>
    </w:p>
    <w:p w14:paraId="3BDCA640" w14:textId="7393C264" w:rsidR="00D94BC8" w:rsidRPr="007743B3" w:rsidRDefault="00644A3E" w:rsidP="007743B3">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 xml:space="preserve">An automatic 30-day time extension is desired in case of death on the community, natural disaster, cultural </w:t>
      </w:r>
      <w:proofErr w:type="gramStart"/>
      <w:r w:rsidRPr="007743B3">
        <w:rPr>
          <w:rFonts w:ascii="Times New Roman" w:hAnsi="Times New Roman" w:cs="Times New Roman"/>
          <w:sz w:val="24"/>
          <w:szCs w:val="24"/>
        </w:rPr>
        <w:t>activity</w:t>
      </w:r>
      <w:proofErr w:type="gramEnd"/>
      <w:r w:rsidRPr="007743B3">
        <w:rPr>
          <w:rFonts w:ascii="Times New Roman" w:hAnsi="Times New Roman" w:cs="Times New Roman"/>
          <w:sz w:val="24"/>
          <w:szCs w:val="24"/>
        </w:rPr>
        <w:t xml:space="preserve"> or unavoidable delay in the audit. This will allow flexibility to organisation to fulfil their obligations within a culturally appropriate setting. The Registrar should play little to no role in this matter.</w:t>
      </w:r>
      <w:r w:rsidR="00EB3A41" w:rsidRPr="007743B3">
        <w:rPr>
          <w:rFonts w:ascii="Times New Roman" w:hAnsi="Times New Roman" w:cs="Times New Roman"/>
          <w:sz w:val="24"/>
          <w:szCs w:val="24"/>
        </w:rPr>
        <w:t xml:space="preserve"> This will further allow the Registrar to redirect its resources to more pressing matters.</w:t>
      </w:r>
    </w:p>
    <w:p w14:paraId="067051EE" w14:textId="77777777" w:rsidR="00644A3E" w:rsidRPr="007743B3" w:rsidRDefault="00644A3E" w:rsidP="007743B3">
      <w:pPr>
        <w:spacing w:after="0" w:line="240" w:lineRule="auto"/>
        <w:jc w:val="both"/>
        <w:rPr>
          <w:rFonts w:ascii="Times New Roman" w:hAnsi="Times New Roman" w:cs="Times New Roman"/>
          <w:sz w:val="24"/>
          <w:szCs w:val="24"/>
        </w:rPr>
      </w:pPr>
    </w:p>
    <w:p w14:paraId="2FFF19B8" w14:textId="77777777" w:rsidR="00644A3E" w:rsidRPr="007743B3" w:rsidRDefault="00917B13" w:rsidP="007743B3">
      <w:pPr>
        <w:spacing w:after="0" w:line="240" w:lineRule="auto"/>
        <w:jc w:val="both"/>
        <w:rPr>
          <w:rFonts w:ascii="Times New Roman" w:hAnsi="Times New Roman" w:cs="Times New Roman"/>
          <w:i/>
          <w:iCs/>
          <w:color w:val="538135" w:themeColor="accent6" w:themeShade="BF"/>
          <w:sz w:val="24"/>
          <w:szCs w:val="24"/>
        </w:rPr>
      </w:pPr>
      <w:r w:rsidRPr="007743B3">
        <w:rPr>
          <w:rFonts w:ascii="Times New Roman" w:hAnsi="Times New Roman" w:cs="Times New Roman"/>
          <w:i/>
          <w:iCs/>
          <w:color w:val="538135" w:themeColor="accent6" w:themeShade="BF"/>
          <w:sz w:val="24"/>
          <w:szCs w:val="24"/>
        </w:rPr>
        <w:t xml:space="preserve">Should the Registrar be able to cancel meetings after they have been called so that corporations </w:t>
      </w:r>
      <w:proofErr w:type="gramStart"/>
      <w:r w:rsidRPr="007743B3">
        <w:rPr>
          <w:rFonts w:ascii="Times New Roman" w:hAnsi="Times New Roman" w:cs="Times New Roman"/>
          <w:i/>
          <w:iCs/>
          <w:color w:val="538135" w:themeColor="accent6" w:themeShade="BF"/>
          <w:sz w:val="24"/>
          <w:szCs w:val="24"/>
        </w:rPr>
        <w:t>don’t</w:t>
      </w:r>
      <w:proofErr w:type="gramEnd"/>
      <w:r w:rsidRPr="007743B3">
        <w:rPr>
          <w:rFonts w:ascii="Times New Roman" w:hAnsi="Times New Roman" w:cs="Times New Roman"/>
          <w:i/>
          <w:iCs/>
          <w:color w:val="538135" w:themeColor="accent6" w:themeShade="BF"/>
          <w:sz w:val="24"/>
          <w:szCs w:val="24"/>
        </w:rPr>
        <w:t xml:space="preserve"> need to seek a court order? </w:t>
      </w:r>
    </w:p>
    <w:p w14:paraId="237015D4" w14:textId="40222F41" w:rsidR="00644A3E" w:rsidRPr="007743B3" w:rsidRDefault="00644A3E" w:rsidP="007743B3">
      <w:pPr>
        <w:spacing w:after="0" w:line="240" w:lineRule="auto"/>
        <w:jc w:val="both"/>
        <w:rPr>
          <w:rFonts w:ascii="Times New Roman" w:hAnsi="Times New Roman" w:cs="Times New Roman"/>
          <w:sz w:val="24"/>
          <w:szCs w:val="24"/>
        </w:rPr>
      </w:pPr>
    </w:p>
    <w:p w14:paraId="7A7BB3F7" w14:textId="6563D718" w:rsidR="00BC42FA" w:rsidRPr="007743B3" w:rsidRDefault="00BC42FA" w:rsidP="007743B3">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 xml:space="preserve">The law needs to be changed to provide flexibility regarding this matter. Organisations should be able to cancel their meetings without court order or Registrar approval. While there may be instances while such cancellation is made in bad faith, it is important not to treat all corporations as bad apples. CATSI Corporations should be empowered to make decisions regarding these matters. A meeting may be cancelled for </w:t>
      </w:r>
      <w:proofErr w:type="gramStart"/>
      <w:r w:rsidRPr="007743B3">
        <w:rPr>
          <w:rFonts w:ascii="Times New Roman" w:hAnsi="Times New Roman" w:cs="Times New Roman"/>
          <w:sz w:val="24"/>
          <w:szCs w:val="24"/>
        </w:rPr>
        <w:t>a number of</w:t>
      </w:r>
      <w:proofErr w:type="gramEnd"/>
      <w:r w:rsidRPr="007743B3">
        <w:rPr>
          <w:rFonts w:ascii="Times New Roman" w:hAnsi="Times New Roman" w:cs="Times New Roman"/>
          <w:sz w:val="24"/>
          <w:szCs w:val="24"/>
        </w:rPr>
        <w:t xml:space="preserve"> appropriate reasons.</w:t>
      </w:r>
      <w:r w:rsidR="008D7E28">
        <w:rPr>
          <w:rFonts w:ascii="Times New Roman" w:hAnsi="Times New Roman" w:cs="Times New Roman"/>
          <w:sz w:val="24"/>
          <w:szCs w:val="24"/>
        </w:rPr>
        <w:t xml:space="preserve"> In instances of bad faith, the Registrar should be </w:t>
      </w:r>
      <w:r w:rsidR="007C5440">
        <w:rPr>
          <w:rFonts w:ascii="Times New Roman" w:hAnsi="Times New Roman" w:cs="Times New Roman"/>
          <w:sz w:val="24"/>
          <w:szCs w:val="24"/>
        </w:rPr>
        <w:t>provided with the power</w:t>
      </w:r>
      <w:r w:rsidR="008D7E28">
        <w:rPr>
          <w:rFonts w:ascii="Times New Roman" w:hAnsi="Times New Roman" w:cs="Times New Roman"/>
          <w:sz w:val="24"/>
          <w:szCs w:val="24"/>
        </w:rPr>
        <w:t xml:space="preserve"> to investigate and intervene in the matter.</w:t>
      </w:r>
    </w:p>
    <w:p w14:paraId="4066C4B5" w14:textId="77777777" w:rsidR="00644A3E" w:rsidRPr="007743B3" w:rsidRDefault="00644A3E" w:rsidP="007743B3">
      <w:pPr>
        <w:spacing w:after="0" w:line="240" w:lineRule="auto"/>
        <w:jc w:val="both"/>
        <w:rPr>
          <w:rFonts w:ascii="Times New Roman" w:hAnsi="Times New Roman" w:cs="Times New Roman"/>
          <w:sz w:val="24"/>
          <w:szCs w:val="24"/>
        </w:rPr>
      </w:pPr>
    </w:p>
    <w:p w14:paraId="532296BA" w14:textId="1DA76DED" w:rsidR="00644A3E" w:rsidRPr="007743B3" w:rsidRDefault="00917B13" w:rsidP="007743B3">
      <w:pPr>
        <w:spacing w:after="0" w:line="240" w:lineRule="auto"/>
        <w:jc w:val="both"/>
        <w:rPr>
          <w:rFonts w:ascii="Times New Roman" w:hAnsi="Times New Roman" w:cs="Times New Roman"/>
          <w:i/>
          <w:iCs/>
          <w:color w:val="538135" w:themeColor="accent6" w:themeShade="BF"/>
          <w:sz w:val="24"/>
          <w:szCs w:val="24"/>
        </w:rPr>
      </w:pPr>
      <w:r w:rsidRPr="007743B3">
        <w:rPr>
          <w:rFonts w:ascii="Times New Roman" w:hAnsi="Times New Roman" w:cs="Times New Roman"/>
          <w:i/>
          <w:iCs/>
          <w:color w:val="538135" w:themeColor="accent6" w:themeShade="BF"/>
          <w:sz w:val="24"/>
          <w:szCs w:val="24"/>
        </w:rPr>
        <w:t xml:space="preserve">Should small corporations be able to pass a resolution to not hold an AGM up to three years from their most recent AGM? </w:t>
      </w:r>
    </w:p>
    <w:p w14:paraId="3ED316D7" w14:textId="3B30D1C6" w:rsidR="00644A3E" w:rsidRPr="007743B3" w:rsidRDefault="00644A3E" w:rsidP="007743B3">
      <w:pPr>
        <w:spacing w:after="0" w:line="240" w:lineRule="auto"/>
        <w:jc w:val="both"/>
        <w:rPr>
          <w:rFonts w:ascii="Times New Roman" w:hAnsi="Times New Roman" w:cs="Times New Roman"/>
          <w:sz w:val="24"/>
          <w:szCs w:val="24"/>
        </w:rPr>
      </w:pPr>
    </w:p>
    <w:p w14:paraId="5AEC6701" w14:textId="7155E08D" w:rsidR="00BC42FA" w:rsidRPr="007743B3" w:rsidRDefault="00BC42FA" w:rsidP="007743B3">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Small corporations should have a choice on whether t</w:t>
      </w:r>
      <w:r w:rsidR="000E4284" w:rsidRPr="007743B3">
        <w:rPr>
          <w:rFonts w:ascii="Times New Roman" w:hAnsi="Times New Roman" w:cs="Times New Roman"/>
          <w:sz w:val="24"/>
          <w:szCs w:val="24"/>
        </w:rPr>
        <w:t>o run an AGM or not. The provision regarding this matter should be a replaceable rule. Each small corporation is entitled to decide, based on its circumstances whether there is a need for an AGM. Members of a corporation may still be able to call for meetings when needed.</w:t>
      </w:r>
      <w:r w:rsidR="008D7E28">
        <w:rPr>
          <w:rStyle w:val="FootnoteReference"/>
          <w:rFonts w:ascii="Times New Roman" w:hAnsi="Times New Roman" w:cs="Times New Roman"/>
          <w:sz w:val="24"/>
          <w:szCs w:val="24"/>
        </w:rPr>
        <w:footnoteReference w:id="14"/>
      </w:r>
      <w:r w:rsidR="000E4284" w:rsidRPr="007743B3">
        <w:rPr>
          <w:rFonts w:ascii="Times New Roman" w:hAnsi="Times New Roman" w:cs="Times New Roman"/>
          <w:sz w:val="24"/>
          <w:szCs w:val="24"/>
        </w:rPr>
        <w:t xml:space="preserve"> Further, making this rule a replaceable rule may also encourage </w:t>
      </w:r>
      <w:r w:rsidR="00A040FC" w:rsidRPr="007743B3">
        <w:rPr>
          <w:rFonts w:ascii="Times New Roman" w:hAnsi="Times New Roman" w:cs="Times New Roman"/>
          <w:sz w:val="24"/>
          <w:szCs w:val="24"/>
        </w:rPr>
        <w:t xml:space="preserve">the setting up of for-profit </w:t>
      </w:r>
      <w:r w:rsidR="00E42351">
        <w:rPr>
          <w:rFonts w:ascii="Times New Roman" w:hAnsi="Times New Roman" w:cs="Times New Roman"/>
          <w:sz w:val="24"/>
          <w:szCs w:val="24"/>
        </w:rPr>
        <w:t>CATSI</w:t>
      </w:r>
      <w:r w:rsidR="00E42351" w:rsidRPr="007743B3">
        <w:rPr>
          <w:rFonts w:ascii="Times New Roman" w:hAnsi="Times New Roman" w:cs="Times New Roman"/>
          <w:sz w:val="24"/>
          <w:szCs w:val="24"/>
        </w:rPr>
        <w:t xml:space="preserve"> </w:t>
      </w:r>
      <w:r w:rsidR="00A040FC" w:rsidRPr="007743B3">
        <w:rPr>
          <w:rFonts w:ascii="Times New Roman" w:hAnsi="Times New Roman" w:cs="Times New Roman"/>
          <w:sz w:val="24"/>
          <w:szCs w:val="24"/>
        </w:rPr>
        <w:t xml:space="preserve">corporations under the </w:t>
      </w:r>
      <w:r w:rsidR="00A040FC" w:rsidRPr="007743B3">
        <w:rPr>
          <w:rFonts w:ascii="Times New Roman" w:hAnsi="Times New Roman" w:cs="Times New Roman"/>
          <w:i/>
          <w:iCs/>
          <w:sz w:val="24"/>
          <w:szCs w:val="24"/>
        </w:rPr>
        <w:t>CATSI Act</w:t>
      </w:r>
      <w:r w:rsidR="00A040FC" w:rsidRPr="007743B3">
        <w:rPr>
          <w:rFonts w:ascii="Times New Roman" w:hAnsi="Times New Roman" w:cs="Times New Roman"/>
          <w:sz w:val="24"/>
          <w:szCs w:val="24"/>
        </w:rPr>
        <w:t xml:space="preserve">. These entities need greater flexibility under the </w:t>
      </w:r>
      <w:r w:rsidR="00A040FC" w:rsidRPr="007743B3">
        <w:rPr>
          <w:rFonts w:ascii="Times New Roman" w:hAnsi="Times New Roman" w:cs="Times New Roman"/>
          <w:i/>
          <w:iCs/>
          <w:sz w:val="24"/>
          <w:szCs w:val="24"/>
        </w:rPr>
        <w:t>CATSI Act</w:t>
      </w:r>
      <w:r w:rsidR="00A040FC" w:rsidRPr="007743B3">
        <w:rPr>
          <w:rFonts w:ascii="Times New Roman" w:hAnsi="Times New Roman" w:cs="Times New Roman"/>
          <w:sz w:val="24"/>
          <w:szCs w:val="24"/>
        </w:rPr>
        <w:t xml:space="preserve"> to thrive.</w:t>
      </w:r>
      <w:r w:rsidR="000E4284" w:rsidRPr="007743B3">
        <w:rPr>
          <w:rFonts w:ascii="Times New Roman" w:hAnsi="Times New Roman" w:cs="Times New Roman"/>
          <w:sz w:val="24"/>
          <w:szCs w:val="24"/>
        </w:rPr>
        <w:t xml:space="preserve"> </w:t>
      </w:r>
    </w:p>
    <w:p w14:paraId="0A884519" w14:textId="423FA1DD" w:rsidR="000E4284" w:rsidRDefault="000E4284" w:rsidP="00197FC8">
      <w:pPr>
        <w:spacing w:after="0" w:line="240" w:lineRule="auto"/>
        <w:jc w:val="both"/>
        <w:rPr>
          <w:rFonts w:ascii="Times New Roman" w:hAnsi="Times New Roman" w:cs="Times New Roman"/>
          <w:sz w:val="24"/>
          <w:szCs w:val="24"/>
        </w:rPr>
      </w:pPr>
    </w:p>
    <w:p w14:paraId="1E317593" w14:textId="6A785D85" w:rsidR="007C5440" w:rsidRDefault="007C5440" w:rsidP="007C5440">
      <w:pPr>
        <w:spacing w:after="0" w:line="240" w:lineRule="auto"/>
        <w:jc w:val="both"/>
        <w:rPr>
          <w:rFonts w:ascii="Times New Roman" w:hAnsi="Times New Roman" w:cs="Times New Roman"/>
          <w:sz w:val="24"/>
          <w:szCs w:val="24"/>
        </w:rPr>
      </w:pPr>
    </w:p>
    <w:p w14:paraId="26A89E58" w14:textId="2DCF6671" w:rsidR="007C5440" w:rsidRDefault="007C5440" w:rsidP="007C5440">
      <w:pPr>
        <w:spacing w:after="0" w:line="240" w:lineRule="auto"/>
        <w:jc w:val="both"/>
        <w:rPr>
          <w:rFonts w:ascii="Times New Roman" w:hAnsi="Times New Roman" w:cs="Times New Roman"/>
          <w:sz w:val="24"/>
          <w:szCs w:val="24"/>
        </w:rPr>
      </w:pPr>
    </w:p>
    <w:p w14:paraId="09EDF94D" w14:textId="77777777" w:rsidR="007C5440" w:rsidRPr="007743B3" w:rsidRDefault="007C5440" w:rsidP="007C5440">
      <w:pPr>
        <w:spacing w:after="0" w:line="240" w:lineRule="auto"/>
        <w:jc w:val="both"/>
        <w:rPr>
          <w:rFonts w:ascii="Times New Roman" w:hAnsi="Times New Roman" w:cs="Times New Roman"/>
          <w:sz w:val="24"/>
          <w:szCs w:val="24"/>
        </w:rPr>
      </w:pPr>
    </w:p>
    <w:p w14:paraId="2022CB41" w14:textId="76D6FE47" w:rsidR="00917B13" w:rsidRPr="007743B3" w:rsidRDefault="00917B13" w:rsidP="007C5440">
      <w:pPr>
        <w:spacing w:after="0" w:line="240" w:lineRule="auto"/>
        <w:jc w:val="both"/>
        <w:rPr>
          <w:rFonts w:ascii="Times New Roman" w:hAnsi="Times New Roman" w:cs="Times New Roman"/>
          <w:i/>
          <w:iCs/>
          <w:color w:val="538135" w:themeColor="accent6" w:themeShade="BF"/>
          <w:sz w:val="24"/>
          <w:szCs w:val="24"/>
        </w:rPr>
      </w:pPr>
      <w:r w:rsidRPr="007743B3">
        <w:rPr>
          <w:rFonts w:ascii="Times New Roman" w:hAnsi="Times New Roman" w:cs="Times New Roman"/>
          <w:i/>
          <w:iCs/>
          <w:color w:val="538135" w:themeColor="accent6" w:themeShade="BF"/>
          <w:sz w:val="24"/>
          <w:szCs w:val="24"/>
        </w:rPr>
        <w:lastRenderedPageBreak/>
        <w:t>Should arrangements such as virtual AGMs, introduced in response to COVID-19, be explicitly allowed under the CATSI Act?</w:t>
      </w:r>
    </w:p>
    <w:p w14:paraId="50FD98FD" w14:textId="4C6A12CD" w:rsidR="00917B13" w:rsidRPr="007743B3" w:rsidRDefault="00917B13" w:rsidP="007C5440">
      <w:pPr>
        <w:spacing w:after="0" w:line="240" w:lineRule="auto"/>
        <w:jc w:val="both"/>
        <w:rPr>
          <w:rFonts w:ascii="Times New Roman" w:hAnsi="Times New Roman" w:cs="Times New Roman"/>
          <w:sz w:val="24"/>
          <w:szCs w:val="24"/>
        </w:rPr>
      </w:pPr>
    </w:p>
    <w:p w14:paraId="76959A14" w14:textId="069462C8" w:rsidR="00A040FC" w:rsidRPr="007743B3" w:rsidRDefault="00A040FC" w:rsidP="007C5440">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 xml:space="preserve">Virtual AGMs meetings should be allowed under the </w:t>
      </w:r>
      <w:r w:rsidRPr="007743B3">
        <w:rPr>
          <w:rFonts w:ascii="Times New Roman" w:hAnsi="Times New Roman" w:cs="Times New Roman"/>
          <w:i/>
          <w:iCs/>
          <w:sz w:val="24"/>
          <w:szCs w:val="24"/>
        </w:rPr>
        <w:t xml:space="preserve">CATSI </w:t>
      </w:r>
      <w:r w:rsidR="00E418B7">
        <w:rPr>
          <w:rFonts w:ascii="Times New Roman" w:hAnsi="Times New Roman" w:cs="Times New Roman"/>
          <w:i/>
          <w:iCs/>
          <w:sz w:val="24"/>
          <w:szCs w:val="24"/>
        </w:rPr>
        <w:t>A</w:t>
      </w:r>
      <w:r w:rsidRPr="007743B3">
        <w:rPr>
          <w:rFonts w:ascii="Times New Roman" w:hAnsi="Times New Roman" w:cs="Times New Roman"/>
          <w:i/>
          <w:iCs/>
          <w:sz w:val="24"/>
          <w:szCs w:val="24"/>
        </w:rPr>
        <w:t>ct</w:t>
      </w:r>
      <w:r w:rsidRPr="007743B3">
        <w:rPr>
          <w:rFonts w:ascii="Times New Roman" w:hAnsi="Times New Roman" w:cs="Times New Roman"/>
          <w:sz w:val="24"/>
          <w:szCs w:val="24"/>
        </w:rPr>
        <w:t xml:space="preserve"> as an option. It will be up to the CATSI corporation to decide whether it wishes to use this option or not.</w:t>
      </w:r>
    </w:p>
    <w:p w14:paraId="171E793F" w14:textId="02C15967" w:rsidR="00A040FC" w:rsidRPr="007743B3" w:rsidRDefault="00A040FC" w:rsidP="007743B3">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 xml:space="preserve"> </w:t>
      </w:r>
    </w:p>
    <w:p w14:paraId="3E5C60DC" w14:textId="2C40AE1C" w:rsidR="00917B13" w:rsidRPr="007743B3" w:rsidRDefault="00917B13" w:rsidP="007743B3">
      <w:pPr>
        <w:spacing w:after="0" w:line="240" w:lineRule="auto"/>
        <w:jc w:val="both"/>
        <w:rPr>
          <w:rFonts w:ascii="Times New Roman" w:hAnsi="Times New Roman" w:cs="Times New Roman"/>
          <w:i/>
          <w:iCs/>
          <w:color w:val="538135" w:themeColor="accent6" w:themeShade="BF"/>
          <w:sz w:val="24"/>
          <w:szCs w:val="24"/>
        </w:rPr>
      </w:pPr>
      <w:r w:rsidRPr="007743B3">
        <w:rPr>
          <w:rFonts w:ascii="Times New Roman" w:hAnsi="Times New Roman" w:cs="Times New Roman"/>
          <w:i/>
          <w:iCs/>
          <w:color w:val="538135" w:themeColor="accent6" w:themeShade="BF"/>
          <w:sz w:val="24"/>
          <w:szCs w:val="24"/>
        </w:rPr>
        <w:t>Should large corporations be required to establish audit committees to advise the board of directors on financial matters?</w:t>
      </w:r>
    </w:p>
    <w:p w14:paraId="2F9EBC8F" w14:textId="48642DC8" w:rsidR="00917B13" w:rsidRPr="007743B3" w:rsidRDefault="00917B13" w:rsidP="007743B3">
      <w:pPr>
        <w:spacing w:after="0" w:line="240" w:lineRule="auto"/>
        <w:jc w:val="both"/>
        <w:rPr>
          <w:rFonts w:ascii="Times New Roman" w:hAnsi="Times New Roman" w:cs="Times New Roman"/>
          <w:sz w:val="24"/>
          <w:szCs w:val="24"/>
        </w:rPr>
      </w:pPr>
    </w:p>
    <w:p w14:paraId="54551DFF" w14:textId="6DADA91B" w:rsidR="00917B13" w:rsidRDefault="00A040FC" w:rsidP="00197FC8">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It should be up to large corporation</w:t>
      </w:r>
      <w:r w:rsidR="008D7E28">
        <w:rPr>
          <w:rFonts w:ascii="Times New Roman" w:hAnsi="Times New Roman" w:cs="Times New Roman"/>
          <w:sz w:val="24"/>
          <w:szCs w:val="24"/>
        </w:rPr>
        <w:t>s</w:t>
      </w:r>
      <w:r w:rsidRPr="007743B3">
        <w:rPr>
          <w:rFonts w:ascii="Times New Roman" w:hAnsi="Times New Roman" w:cs="Times New Roman"/>
          <w:sz w:val="24"/>
          <w:szCs w:val="24"/>
        </w:rPr>
        <w:t xml:space="preserve"> to decide whether </w:t>
      </w:r>
      <w:r w:rsidR="008D7E28">
        <w:rPr>
          <w:rFonts w:ascii="Times New Roman" w:hAnsi="Times New Roman" w:cs="Times New Roman"/>
          <w:sz w:val="24"/>
          <w:szCs w:val="24"/>
        </w:rPr>
        <w:t>they</w:t>
      </w:r>
      <w:r w:rsidRPr="007743B3">
        <w:rPr>
          <w:rFonts w:ascii="Times New Roman" w:hAnsi="Times New Roman" w:cs="Times New Roman"/>
          <w:sz w:val="24"/>
          <w:szCs w:val="24"/>
        </w:rPr>
        <w:t xml:space="preserve"> wish to establish an audit committee. This should not be </w:t>
      </w:r>
      <w:r w:rsidR="00F0322C" w:rsidRPr="007743B3">
        <w:rPr>
          <w:rFonts w:ascii="Times New Roman" w:hAnsi="Times New Roman" w:cs="Times New Roman"/>
          <w:sz w:val="24"/>
          <w:szCs w:val="24"/>
        </w:rPr>
        <w:t>a legal requirement</w:t>
      </w:r>
      <w:r w:rsidR="008D7E28">
        <w:rPr>
          <w:rFonts w:ascii="Times New Roman" w:hAnsi="Times New Roman" w:cs="Times New Roman"/>
          <w:sz w:val="24"/>
          <w:szCs w:val="24"/>
        </w:rPr>
        <w:t xml:space="preserve">. </w:t>
      </w:r>
      <w:r w:rsidR="00F0322C" w:rsidRPr="007743B3">
        <w:rPr>
          <w:rFonts w:ascii="Times New Roman" w:hAnsi="Times New Roman" w:cs="Times New Roman"/>
          <w:sz w:val="24"/>
          <w:szCs w:val="24"/>
        </w:rPr>
        <w:t xml:space="preserve">This is a matter of governance </w:t>
      </w:r>
      <w:r w:rsidR="008D7E28">
        <w:rPr>
          <w:rFonts w:ascii="Times New Roman" w:hAnsi="Times New Roman" w:cs="Times New Roman"/>
          <w:sz w:val="24"/>
          <w:szCs w:val="24"/>
        </w:rPr>
        <w:t>and the corporation is in best placed to decide on this matter.</w:t>
      </w:r>
    </w:p>
    <w:p w14:paraId="524EB47A" w14:textId="77777777" w:rsidR="008D7E28" w:rsidRPr="007743B3" w:rsidRDefault="008D7E28" w:rsidP="008D7E28">
      <w:pPr>
        <w:spacing w:after="0" w:line="240" w:lineRule="auto"/>
        <w:jc w:val="both"/>
        <w:rPr>
          <w:rFonts w:ascii="Times New Roman" w:hAnsi="Times New Roman" w:cs="Times New Roman"/>
          <w:sz w:val="24"/>
          <w:szCs w:val="24"/>
        </w:rPr>
      </w:pPr>
    </w:p>
    <w:p w14:paraId="0271222E" w14:textId="77777777" w:rsidR="00F0322C" w:rsidRPr="007743B3" w:rsidRDefault="00917B13" w:rsidP="00D02555">
      <w:pPr>
        <w:spacing w:after="0" w:line="240" w:lineRule="auto"/>
        <w:jc w:val="both"/>
        <w:rPr>
          <w:rFonts w:ascii="Times New Roman" w:hAnsi="Times New Roman" w:cs="Times New Roman"/>
          <w:i/>
          <w:iCs/>
          <w:color w:val="538135" w:themeColor="accent6" w:themeShade="BF"/>
          <w:sz w:val="24"/>
          <w:szCs w:val="24"/>
        </w:rPr>
      </w:pPr>
      <w:r w:rsidRPr="007743B3">
        <w:rPr>
          <w:rFonts w:ascii="Times New Roman" w:hAnsi="Times New Roman" w:cs="Times New Roman"/>
          <w:i/>
          <w:iCs/>
          <w:color w:val="538135" w:themeColor="accent6" w:themeShade="BF"/>
          <w:sz w:val="24"/>
          <w:szCs w:val="24"/>
        </w:rPr>
        <w:t xml:space="preserve">Rulebooks − Should all replaceable rules be included in rule books whether they have been adopted as they are, or are modified or replaced unless the rules are irrelevant? </w:t>
      </w:r>
    </w:p>
    <w:p w14:paraId="25F28CAB" w14:textId="650B4E3E" w:rsidR="00F0322C" w:rsidRPr="007743B3" w:rsidRDefault="00F0322C" w:rsidP="007743B3">
      <w:pPr>
        <w:spacing w:after="0" w:line="240" w:lineRule="auto"/>
        <w:jc w:val="both"/>
        <w:rPr>
          <w:rFonts w:ascii="Times New Roman" w:hAnsi="Times New Roman" w:cs="Times New Roman"/>
          <w:sz w:val="24"/>
          <w:szCs w:val="24"/>
        </w:rPr>
      </w:pPr>
    </w:p>
    <w:p w14:paraId="6AB04B03" w14:textId="58700A9F" w:rsidR="003E6A3D" w:rsidRPr="007743B3" w:rsidRDefault="00F0322C" w:rsidP="007743B3">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 xml:space="preserve">One of the key things that </w:t>
      </w:r>
      <w:r w:rsidR="008D7E28">
        <w:rPr>
          <w:rFonts w:ascii="Times New Roman" w:hAnsi="Times New Roman" w:cs="Times New Roman"/>
          <w:sz w:val="24"/>
          <w:szCs w:val="24"/>
        </w:rPr>
        <w:t xml:space="preserve">should be understood by </w:t>
      </w:r>
      <w:r w:rsidRPr="007743B3">
        <w:rPr>
          <w:rFonts w:ascii="Times New Roman" w:hAnsi="Times New Roman" w:cs="Times New Roman"/>
          <w:sz w:val="24"/>
          <w:szCs w:val="24"/>
        </w:rPr>
        <w:t xml:space="preserve">people setting up corporations is the working of the rule book including which provisions are classified as replaceable rules. Accordingly, instead of </w:t>
      </w:r>
      <w:r w:rsidR="003E6A3D" w:rsidRPr="007743B3">
        <w:rPr>
          <w:rFonts w:ascii="Times New Roman" w:hAnsi="Times New Roman" w:cs="Times New Roman"/>
          <w:sz w:val="24"/>
          <w:szCs w:val="24"/>
        </w:rPr>
        <w:t xml:space="preserve">adding more requirement on how rule books are created and what they should include, people setting up the rule book need to fully understand and appreciate the purpose of rule book and how these rule books may allow for </w:t>
      </w:r>
      <w:r w:rsidR="007C5440">
        <w:rPr>
          <w:rFonts w:ascii="Times New Roman" w:hAnsi="Times New Roman" w:cs="Times New Roman"/>
          <w:sz w:val="24"/>
          <w:szCs w:val="24"/>
        </w:rPr>
        <w:t>I</w:t>
      </w:r>
      <w:r w:rsidR="003E6A3D" w:rsidRPr="007743B3">
        <w:rPr>
          <w:rFonts w:ascii="Times New Roman" w:hAnsi="Times New Roman" w:cs="Times New Roman"/>
          <w:sz w:val="24"/>
          <w:szCs w:val="24"/>
        </w:rPr>
        <w:t xml:space="preserve">ndigenous culture and tradition to be incorporated within the organisation. </w:t>
      </w:r>
      <w:r w:rsidR="008D7E28">
        <w:rPr>
          <w:rFonts w:ascii="Times New Roman" w:hAnsi="Times New Roman" w:cs="Times New Roman"/>
          <w:sz w:val="24"/>
          <w:szCs w:val="24"/>
        </w:rPr>
        <w:t>T</w:t>
      </w:r>
      <w:r w:rsidR="003E6A3D" w:rsidRPr="007743B3">
        <w:rPr>
          <w:rFonts w:ascii="Times New Roman" w:hAnsi="Times New Roman" w:cs="Times New Roman"/>
          <w:sz w:val="24"/>
          <w:szCs w:val="24"/>
        </w:rPr>
        <w:t xml:space="preserve">he Registrar </w:t>
      </w:r>
      <w:r w:rsidR="008D7E28">
        <w:rPr>
          <w:rFonts w:ascii="Times New Roman" w:hAnsi="Times New Roman" w:cs="Times New Roman"/>
          <w:sz w:val="24"/>
          <w:szCs w:val="24"/>
        </w:rPr>
        <w:t>can</w:t>
      </w:r>
      <w:r w:rsidR="003E6A3D" w:rsidRPr="007743B3">
        <w:rPr>
          <w:rFonts w:ascii="Times New Roman" w:hAnsi="Times New Roman" w:cs="Times New Roman"/>
          <w:sz w:val="24"/>
          <w:szCs w:val="24"/>
        </w:rPr>
        <w:t xml:space="preserve"> play a</w:t>
      </w:r>
      <w:r w:rsidR="008D7E28">
        <w:rPr>
          <w:rFonts w:ascii="Times New Roman" w:hAnsi="Times New Roman" w:cs="Times New Roman"/>
          <w:sz w:val="24"/>
          <w:szCs w:val="24"/>
        </w:rPr>
        <w:t xml:space="preserve"> crucial</w:t>
      </w:r>
      <w:r w:rsidR="003E6A3D" w:rsidRPr="007743B3">
        <w:rPr>
          <w:rFonts w:ascii="Times New Roman" w:hAnsi="Times New Roman" w:cs="Times New Roman"/>
          <w:sz w:val="24"/>
          <w:szCs w:val="24"/>
        </w:rPr>
        <w:t xml:space="preserve"> education role</w:t>
      </w:r>
      <w:r w:rsidR="008D7E28">
        <w:rPr>
          <w:rFonts w:ascii="Times New Roman" w:hAnsi="Times New Roman" w:cs="Times New Roman"/>
          <w:sz w:val="24"/>
          <w:szCs w:val="24"/>
        </w:rPr>
        <w:t xml:space="preserve"> in this regard</w:t>
      </w:r>
      <w:r w:rsidR="003E6A3D" w:rsidRPr="007743B3">
        <w:rPr>
          <w:rFonts w:ascii="Times New Roman" w:hAnsi="Times New Roman" w:cs="Times New Roman"/>
          <w:sz w:val="24"/>
          <w:szCs w:val="24"/>
        </w:rPr>
        <w:t xml:space="preserve">. </w:t>
      </w:r>
      <w:proofErr w:type="gramStart"/>
      <w:r w:rsidR="008D7E28">
        <w:rPr>
          <w:rFonts w:ascii="Times New Roman" w:hAnsi="Times New Roman" w:cs="Times New Roman"/>
          <w:sz w:val="24"/>
          <w:szCs w:val="24"/>
        </w:rPr>
        <w:t>Further m</w:t>
      </w:r>
      <w:r w:rsidR="003E6A3D" w:rsidRPr="007743B3">
        <w:rPr>
          <w:rFonts w:ascii="Times New Roman" w:hAnsi="Times New Roman" w:cs="Times New Roman"/>
          <w:sz w:val="24"/>
          <w:szCs w:val="24"/>
        </w:rPr>
        <w:t>ore</w:t>
      </w:r>
      <w:proofErr w:type="gramEnd"/>
      <w:r w:rsidR="003E6A3D" w:rsidRPr="007743B3">
        <w:rPr>
          <w:rFonts w:ascii="Times New Roman" w:hAnsi="Times New Roman" w:cs="Times New Roman"/>
          <w:sz w:val="24"/>
          <w:szCs w:val="24"/>
        </w:rPr>
        <w:t xml:space="preserve"> regulation without understanding of the purpose of the rule book will not really lead to greater compliance or understanding of the legislative requirement. It will just make the rule books more complex.</w:t>
      </w:r>
    </w:p>
    <w:p w14:paraId="422B4374" w14:textId="77777777" w:rsidR="003E6A3D" w:rsidRPr="007743B3" w:rsidRDefault="003E6A3D" w:rsidP="007743B3">
      <w:pPr>
        <w:spacing w:after="0" w:line="240" w:lineRule="auto"/>
        <w:jc w:val="both"/>
        <w:rPr>
          <w:rFonts w:ascii="Times New Roman" w:hAnsi="Times New Roman" w:cs="Times New Roman"/>
          <w:i/>
          <w:iCs/>
          <w:color w:val="538135" w:themeColor="accent6" w:themeShade="BF"/>
          <w:sz w:val="24"/>
          <w:szCs w:val="24"/>
        </w:rPr>
      </w:pPr>
    </w:p>
    <w:p w14:paraId="23BD2F61" w14:textId="61818DD6" w:rsidR="00917B13" w:rsidRPr="007743B3" w:rsidRDefault="00917B13" w:rsidP="007743B3">
      <w:pPr>
        <w:spacing w:after="0" w:line="240" w:lineRule="auto"/>
        <w:jc w:val="both"/>
        <w:rPr>
          <w:rFonts w:ascii="Times New Roman" w:hAnsi="Times New Roman" w:cs="Times New Roman"/>
          <w:i/>
          <w:iCs/>
          <w:color w:val="538135" w:themeColor="accent6" w:themeShade="BF"/>
          <w:sz w:val="24"/>
          <w:szCs w:val="24"/>
        </w:rPr>
      </w:pPr>
      <w:r w:rsidRPr="007743B3">
        <w:rPr>
          <w:rFonts w:ascii="Times New Roman" w:hAnsi="Times New Roman" w:cs="Times New Roman"/>
          <w:i/>
          <w:iCs/>
          <w:color w:val="538135" w:themeColor="accent6" w:themeShade="BF"/>
          <w:sz w:val="24"/>
          <w:szCs w:val="24"/>
        </w:rPr>
        <w:t>Should the number of proxies that one member can hold—which is currently three—be reduced?</w:t>
      </w:r>
    </w:p>
    <w:p w14:paraId="5AA07522" w14:textId="58BA6D92" w:rsidR="003E6A3D" w:rsidRPr="007743B3" w:rsidRDefault="003E6A3D" w:rsidP="007743B3">
      <w:pPr>
        <w:spacing w:after="0" w:line="240" w:lineRule="auto"/>
        <w:jc w:val="both"/>
        <w:rPr>
          <w:rFonts w:ascii="Times New Roman" w:hAnsi="Times New Roman" w:cs="Times New Roman"/>
          <w:sz w:val="24"/>
          <w:szCs w:val="24"/>
        </w:rPr>
      </w:pPr>
    </w:p>
    <w:p w14:paraId="370A3C31" w14:textId="086FE23F" w:rsidR="00CF61D9" w:rsidRPr="007743B3" w:rsidRDefault="003E6A3D" w:rsidP="007743B3">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 xml:space="preserve">This matter should be left </w:t>
      </w:r>
      <w:r w:rsidR="008D7E28">
        <w:rPr>
          <w:rFonts w:ascii="Times New Roman" w:hAnsi="Times New Roman" w:cs="Times New Roman"/>
          <w:sz w:val="24"/>
          <w:szCs w:val="24"/>
        </w:rPr>
        <w:t>at</w:t>
      </w:r>
      <w:r w:rsidRPr="007743B3">
        <w:rPr>
          <w:rFonts w:ascii="Times New Roman" w:hAnsi="Times New Roman" w:cs="Times New Roman"/>
          <w:sz w:val="24"/>
          <w:szCs w:val="24"/>
        </w:rPr>
        <w:t xml:space="preserve"> the discretion of the co</w:t>
      </w:r>
      <w:r w:rsidR="008D7E28">
        <w:rPr>
          <w:rFonts w:ascii="Times New Roman" w:hAnsi="Times New Roman" w:cs="Times New Roman"/>
          <w:sz w:val="24"/>
          <w:szCs w:val="24"/>
        </w:rPr>
        <w:t>rporation</w:t>
      </w:r>
      <w:r w:rsidRPr="007743B3">
        <w:rPr>
          <w:rFonts w:ascii="Times New Roman" w:hAnsi="Times New Roman" w:cs="Times New Roman"/>
          <w:sz w:val="24"/>
          <w:szCs w:val="24"/>
        </w:rPr>
        <w:t xml:space="preserve"> and the provision should be a replaceable rule. Each corporation should decide on the matter of proxies including the number of proxies allowed. </w:t>
      </w:r>
    </w:p>
    <w:p w14:paraId="4C54B625" w14:textId="4F325A78" w:rsidR="003E6A3D" w:rsidRDefault="003E6A3D" w:rsidP="00197FC8">
      <w:pPr>
        <w:spacing w:after="0" w:line="240" w:lineRule="auto"/>
        <w:jc w:val="both"/>
        <w:rPr>
          <w:rFonts w:ascii="Times New Roman" w:hAnsi="Times New Roman" w:cs="Times New Roman"/>
          <w:sz w:val="24"/>
          <w:szCs w:val="24"/>
        </w:rPr>
      </w:pPr>
    </w:p>
    <w:p w14:paraId="59C5930C" w14:textId="77777777" w:rsidR="008D7E28" w:rsidRPr="00197FC8" w:rsidRDefault="008D7E28" w:rsidP="008D7E28">
      <w:pPr>
        <w:spacing w:after="0" w:line="240" w:lineRule="auto"/>
        <w:jc w:val="both"/>
        <w:rPr>
          <w:rFonts w:ascii="Times New Roman" w:hAnsi="Times New Roman" w:cs="Times New Roman"/>
          <w:sz w:val="24"/>
          <w:szCs w:val="24"/>
        </w:rPr>
      </w:pPr>
    </w:p>
    <w:p w14:paraId="1EB3FC98" w14:textId="37E5513C" w:rsidR="00CF61D9" w:rsidRPr="00197FC8" w:rsidRDefault="00822ECC" w:rsidP="00D02555">
      <w:pPr>
        <w:keepNext/>
        <w:shd w:val="clear" w:color="auto" w:fill="C0C0C0"/>
        <w:spacing w:after="0" w:line="240" w:lineRule="auto"/>
        <w:jc w:val="center"/>
        <w:outlineLvl w:val="0"/>
        <w:rPr>
          <w:rFonts w:ascii="Times New Roman" w:hAnsi="Times New Roman" w:cs="Times New Roman"/>
          <w:b/>
          <w:bCs/>
          <w:kern w:val="32"/>
          <w:sz w:val="24"/>
          <w:szCs w:val="24"/>
        </w:rPr>
      </w:pPr>
      <w:r w:rsidRPr="00197FC8">
        <w:rPr>
          <w:rFonts w:ascii="Times New Roman" w:hAnsi="Times New Roman" w:cs="Times New Roman"/>
          <w:b/>
          <w:bCs/>
          <w:kern w:val="32"/>
          <w:sz w:val="24"/>
          <w:szCs w:val="24"/>
        </w:rPr>
        <w:t>CHAPTER 5: OFFICERS OF CORPORATIONS</w:t>
      </w:r>
    </w:p>
    <w:p w14:paraId="733EF242" w14:textId="50E0CC88" w:rsidR="00917B13" w:rsidRPr="000E1D62" w:rsidRDefault="00917B13" w:rsidP="007743B3">
      <w:pPr>
        <w:spacing w:after="0" w:line="240" w:lineRule="auto"/>
        <w:jc w:val="both"/>
        <w:rPr>
          <w:rFonts w:ascii="Times New Roman" w:hAnsi="Times New Roman" w:cs="Times New Roman"/>
          <w:sz w:val="24"/>
          <w:szCs w:val="24"/>
        </w:rPr>
      </w:pPr>
    </w:p>
    <w:p w14:paraId="47396E0D" w14:textId="77777777" w:rsidR="003E6A3D" w:rsidRPr="007743B3" w:rsidRDefault="00917B13" w:rsidP="007743B3">
      <w:pPr>
        <w:spacing w:after="0" w:line="240" w:lineRule="auto"/>
        <w:jc w:val="both"/>
        <w:rPr>
          <w:rFonts w:ascii="Times New Roman" w:hAnsi="Times New Roman" w:cs="Times New Roman"/>
          <w:i/>
          <w:iCs/>
          <w:color w:val="538135" w:themeColor="accent6" w:themeShade="BF"/>
          <w:sz w:val="24"/>
          <w:szCs w:val="24"/>
        </w:rPr>
      </w:pPr>
      <w:r w:rsidRPr="007743B3">
        <w:rPr>
          <w:rFonts w:ascii="Times New Roman" w:hAnsi="Times New Roman" w:cs="Times New Roman"/>
          <w:i/>
          <w:iCs/>
          <w:color w:val="538135" w:themeColor="accent6" w:themeShade="BF"/>
          <w:sz w:val="24"/>
          <w:szCs w:val="24"/>
        </w:rPr>
        <w:t xml:space="preserve">Should the details and amounts of CEO’s and other senior managers’ remuneration packages, including other material benefits be reported in corporations’ Annual Reports? </w:t>
      </w:r>
    </w:p>
    <w:p w14:paraId="0503EC67" w14:textId="77777777" w:rsidR="003E6A3D" w:rsidRPr="007743B3" w:rsidRDefault="003E6A3D" w:rsidP="007743B3">
      <w:pPr>
        <w:spacing w:after="0" w:line="240" w:lineRule="auto"/>
        <w:jc w:val="both"/>
        <w:rPr>
          <w:rFonts w:ascii="Times New Roman" w:hAnsi="Times New Roman" w:cs="Times New Roman"/>
          <w:sz w:val="24"/>
          <w:szCs w:val="24"/>
        </w:rPr>
      </w:pPr>
    </w:p>
    <w:p w14:paraId="0C7E8073" w14:textId="47474DDF" w:rsidR="003E6A3D" w:rsidRPr="007743B3" w:rsidRDefault="003E6A3D" w:rsidP="007743B3">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This is a desired measure as it will pro</w:t>
      </w:r>
      <w:r w:rsidR="00DC1FCA" w:rsidRPr="007743B3">
        <w:rPr>
          <w:rFonts w:ascii="Times New Roman" w:hAnsi="Times New Roman" w:cs="Times New Roman"/>
          <w:sz w:val="24"/>
          <w:szCs w:val="24"/>
        </w:rPr>
        <w:t>vide for more transparency and accountability</w:t>
      </w:r>
      <w:r w:rsidR="008D7E28">
        <w:rPr>
          <w:rFonts w:ascii="Times New Roman" w:hAnsi="Times New Roman" w:cs="Times New Roman"/>
          <w:sz w:val="24"/>
          <w:szCs w:val="24"/>
        </w:rPr>
        <w:t xml:space="preserve"> within the organisation</w:t>
      </w:r>
      <w:r w:rsidR="00DC1FCA" w:rsidRPr="007743B3">
        <w:rPr>
          <w:rFonts w:ascii="Times New Roman" w:hAnsi="Times New Roman" w:cs="Times New Roman"/>
          <w:sz w:val="24"/>
          <w:szCs w:val="24"/>
        </w:rPr>
        <w:t>. Further the requirement is not onerous and represents good practice. Each senior manager should have any remuneration received as part of their role disclosed.</w:t>
      </w:r>
    </w:p>
    <w:p w14:paraId="727C3503" w14:textId="220A9ECA" w:rsidR="00917B13" w:rsidRPr="007743B3" w:rsidRDefault="00917B13" w:rsidP="007743B3">
      <w:pPr>
        <w:spacing w:after="0" w:line="240" w:lineRule="auto"/>
        <w:jc w:val="both"/>
        <w:rPr>
          <w:rFonts w:ascii="Times New Roman" w:hAnsi="Times New Roman" w:cs="Times New Roman"/>
          <w:sz w:val="24"/>
          <w:szCs w:val="24"/>
        </w:rPr>
      </w:pPr>
    </w:p>
    <w:p w14:paraId="2CA192EB" w14:textId="0B68EF8D" w:rsidR="00DC1FCA" w:rsidRPr="007743B3" w:rsidRDefault="00917B13" w:rsidP="007743B3">
      <w:pPr>
        <w:spacing w:after="0" w:line="240" w:lineRule="auto"/>
        <w:jc w:val="both"/>
        <w:rPr>
          <w:rFonts w:ascii="Times New Roman" w:hAnsi="Times New Roman" w:cs="Times New Roman"/>
          <w:i/>
          <w:iCs/>
          <w:color w:val="538135" w:themeColor="accent6" w:themeShade="BF"/>
          <w:sz w:val="24"/>
          <w:szCs w:val="24"/>
        </w:rPr>
      </w:pPr>
      <w:r w:rsidRPr="007743B3">
        <w:rPr>
          <w:rFonts w:ascii="Times New Roman" w:hAnsi="Times New Roman" w:cs="Times New Roman"/>
          <w:i/>
          <w:iCs/>
          <w:color w:val="538135" w:themeColor="accent6" w:themeShade="BF"/>
          <w:sz w:val="24"/>
          <w:szCs w:val="24"/>
        </w:rPr>
        <w:t>Consolidated reporting − Members should also have visibility over remuneration paid to key personnel of related entities</w:t>
      </w:r>
      <w:r w:rsidR="00DC1FCA" w:rsidRPr="007743B3">
        <w:rPr>
          <w:rFonts w:ascii="Times New Roman" w:hAnsi="Times New Roman" w:cs="Times New Roman"/>
          <w:i/>
          <w:iCs/>
          <w:color w:val="538135" w:themeColor="accent6" w:themeShade="BF"/>
          <w:sz w:val="24"/>
          <w:szCs w:val="24"/>
        </w:rPr>
        <w:t>.</w:t>
      </w:r>
      <w:r w:rsidRPr="007743B3">
        <w:rPr>
          <w:rFonts w:ascii="Times New Roman" w:hAnsi="Times New Roman" w:cs="Times New Roman"/>
          <w:i/>
          <w:iCs/>
          <w:color w:val="538135" w:themeColor="accent6" w:themeShade="BF"/>
          <w:sz w:val="24"/>
          <w:szCs w:val="24"/>
        </w:rPr>
        <w:t xml:space="preserve"> Should that information be reported in annual reports and include corporate structure including subsidiaries, key </w:t>
      </w:r>
      <w:proofErr w:type="gramStart"/>
      <w:r w:rsidRPr="007743B3">
        <w:rPr>
          <w:rFonts w:ascii="Times New Roman" w:hAnsi="Times New Roman" w:cs="Times New Roman"/>
          <w:i/>
          <w:iCs/>
          <w:color w:val="538135" w:themeColor="accent6" w:themeShade="BF"/>
          <w:sz w:val="24"/>
          <w:szCs w:val="24"/>
        </w:rPr>
        <w:t>personnel</w:t>
      </w:r>
      <w:proofErr w:type="gramEnd"/>
      <w:r w:rsidRPr="007743B3">
        <w:rPr>
          <w:rFonts w:ascii="Times New Roman" w:hAnsi="Times New Roman" w:cs="Times New Roman"/>
          <w:i/>
          <w:iCs/>
          <w:color w:val="538135" w:themeColor="accent6" w:themeShade="BF"/>
          <w:sz w:val="24"/>
          <w:szCs w:val="24"/>
        </w:rPr>
        <w:t xml:space="preserve"> and their remuneration?</w:t>
      </w:r>
    </w:p>
    <w:p w14:paraId="5DE7ED1C" w14:textId="77777777" w:rsidR="00DC1FCA" w:rsidRPr="007743B3" w:rsidRDefault="00DC1FCA" w:rsidP="007743B3">
      <w:pPr>
        <w:spacing w:after="0" w:line="240" w:lineRule="auto"/>
        <w:jc w:val="both"/>
        <w:rPr>
          <w:rFonts w:ascii="Times New Roman" w:hAnsi="Times New Roman" w:cs="Times New Roman"/>
          <w:sz w:val="24"/>
          <w:szCs w:val="24"/>
        </w:rPr>
      </w:pPr>
    </w:p>
    <w:p w14:paraId="41B98302" w14:textId="63EC0614" w:rsidR="00DC1FCA" w:rsidRPr="007743B3" w:rsidRDefault="00DC1FCA" w:rsidP="007743B3">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Yes</w:t>
      </w:r>
      <w:r w:rsidR="00B423E1" w:rsidRPr="007743B3">
        <w:rPr>
          <w:rFonts w:ascii="Times New Roman" w:hAnsi="Times New Roman" w:cs="Times New Roman"/>
          <w:sz w:val="24"/>
          <w:szCs w:val="24"/>
        </w:rPr>
        <w:t>,</w:t>
      </w:r>
      <w:r w:rsidRPr="007743B3">
        <w:rPr>
          <w:rFonts w:ascii="Times New Roman" w:hAnsi="Times New Roman" w:cs="Times New Roman"/>
          <w:sz w:val="24"/>
          <w:szCs w:val="24"/>
        </w:rPr>
        <w:t xml:space="preserve"> it should be.</w:t>
      </w:r>
      <w:r w:rsidR="00B423E1" w:rsidRPr="007743B3">
        <w:rPr>
          <w:rFonts w:ascii="Times New Roman" w:hAnsi="Times New Roman" w:cs="Times New Roman"/>
          <w:sz w:val="24"/>
          <w:szCs w:val="24"/>
        </w:rPr>
        <w:t xml:space="preserve"> This will ensure transparency and accountability to members.</w:t>
      </w:r>
    </w:p>
    <w:p w14:paraId="11FC643C" w14:textId="1A9DFEAE" w:rsidR="00917B13" w:rsidRPr="007743B3" w:rsidRDefault="00917B13" w:rsidP="007743B3">
      <w:pPr>
        <w:spacing w:after="0" w:line="240" w:lineRule="auto"/>
        <w:jc w:val="both"/>
        <w:rPr>
          <w:rFonts w:ascii="Times New Roman" w:hAnsi="Times New Roman" w:cs="Times New Roman"/>
          <w:sz w:val="24"/>
          <w:szCs w:val="24"/>
        </w:rPr>
      </w:pPr>
    </w:p>
    <w:p w14:paraId="3A402B7C" w14:textId="54E9345D" w:rsidR="00917B13" w:rsidRPr="007743B3" w:rsidRDefault="00917B13" w:rsidP="007743B3">
      <w:pPr>
        <w:spacing w:after="0" w:line="240" w:lineRule="auto"/>
        <w:jc w:val="both"/>
        <w:rPr>
          <w:rFonts w:ascii="Times New Roman" w:hAnsi="Times New Roman" w:cs="Times New Roman"/>
          <w:i/>
          <w:iCs/>
          <w:color w:val="538135" w:themeColor="accent6" w:themeShade="BF"/>
          <w:sz w:val="24"/>
          <w:szCs w:val="24"/>
        </w:rPr>
      </w:pPr>
      <w:r w:rsidRPr="007743B3">
        <w:rPr>
          <w:rFonts w:ascii="Times New Roman" w:hAnsi="Times New Roman" w:cs="Times New Roman"/>
          <w:i/>
          <w:iCs/>
          <w:color w:val="538135" w:themeColor="accent6" w:themeShade="BF"/>
          <w:sz w:val="24"/>
          <w:szCs w:val="24"/>
        </w:rPr>
        <w:lastRenderedPageBreak/>
        <w:t xml:space="preserve">Should CATSI corporations provide details of their directors’, </w:t>
      </w:r>
      <w:proofErr w:type="gramStart"/>
      <w:r w:rsidRPr="007743B3">
        <w:rPr>
          <w:rFonts w:ascii="Times New Roman" w:hAnsi="Times New Roman" w:cs="Times New Roman"/>
          <w:i/>
          <w:iCs/>
          <w:color w:val="538135" w:themeColor="accent6" w:themeShade="BF"/>
          <w:sz w:val="24"/>
          <w:szCs w:val="24"/>
        </w:rPr>
        <w:t>CEO’s</w:t>
      </w:r>
      <w:proofErr w:type="gramEnd"/>
      <w:r w:rsidRPr="007743B3">
        <w:rPr>
          <w:rFonts w:ascii="Times New Roman" w:hAnsi="Times New Roman" w:cs="Times New Roman"/>
          <w:i/>
          <w:iCs/>
          <w:color w:val="538135" w:themeColor="accent6" w:themeShade="BF"/>
          <w:sz w:val="24"/>
          <w:szCs w:val="24"/>
        </w:rPr>
        <w:t xml:space="preserve"> and other senior managers’ salary packages to the Registrar, so that the Registrar can publish de-identified information by salary bands?</w:t>
      </w:r>
    </w:p>
    <w:p w14:paraId="118AB9EA" w14:textId="3A9531A4" w:rsidR="00917B13" w:rsidRPr="007743B3" w:rsidRDefault="00917B13" w:rsidP="007743B3">
      <w:pPr>
        <w:spacing w:after="0" w:line="240" w:lineRule="auto"/>
        <w:jc w:val="both"/>
        <w:rPr>
          <w:rFonts w:ascii="Times New Roman" w:hAnsi="Times New Roman" w:cs="Times New Roman"/>
          <w:sz w:val="24"/>
          <w:szCs w:val="24"/>
        </w:rPr>
      </w:pPr>
    </w:p>
    <w:p w14:paraId="089E2B10" w14:textId="6921CC42" w:rsidR="00DC1FCA" w:rsidRPr="007743B3" w:rsidRDefault="00DC1FCA" w:rsidP="007743B3">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 xml:space="preserve">The publication of de-identified information by salary bands can be </w:t>
      </w:r>
      <w:proofErr w:type="gramStart"/>
      <w:r w:rsidRPr="007743B3">
        <w:rPr>
          <w:rFonts w:ascii="Times New Roman" w:hAnsi="Times New Roman" w:cs="Times New Roman"/>
          <w:sz w:val="24"/>
          <w:szCs w:val="24"/>
        </w:rPr>
        <w:t>very useful</w:t>
      </w:r>
      <w:proofErr w:type="gramEnd"/>
      <w:r w:rsidRPr="007743B3">
        <w:rPr>
          <w:rFonts w:ascii="Times New Roman" w:hAnsi="Times New Roman" w:cs="Times New Roman"/>
          <w:sz w:val="24"/>
          <w:szCs w:val="24"/>
        </w:rPr>
        <w:t xml:space="preserve"> to CATSI corporation as it may allow them to get a picture of the fees charged to senior management</w:t>
      </w:r>
      <w:r w:rsidR="00B423E1" w:rsidRPr="007743B3">
        <w:rPr>
          <w:rFonts w:ascii="Times New Roman" w:hAnsi="Times New Roman" w:cs="Times New Roman"/>
          <w:sz w:val="24"/>
          <w:szCs w:val="24"/>
        </w:rPr>
        <w:t xml:space="preserve"> by their peers</w:t>
      </w:r>
      <w:r w:rsidRPr="007743B3">
        <w:rPr>
          <w:rFonts w:ascii="Times New Roman" w:hAnsi="Times New Roman" w:cs="Times New Roman"/>
          <w:sz w:val="24"/>
          <w:szCs w:val="24"/>
        </w:rPr>
        <w:t>.</w:t>
      </w:r>
      <w:r w:rsidR="00EA7496">
        <w:rPr>
          <w:rFonts w:ascii="Times New Roman" w:hAnsi="Times New Roman" w:cs="Times New Roman"/>
          <w:sz w:val="24"/>
          <w:szCs w:val="24"/>
        </w:rPr>
        <w:t xml:space="preserve"> However, the corporation should not have an obligation imposed on it to supply that information to ORIC.</w:t>
      </w:r>
      <w:r w:rsidRPr="007743B3">
        <w:rPr>
          <w:rFonts w:ascii="Times New Roman" w:hAnsi="Times New Roman" w:cs="Times New Roman"/>
          <w:sz w:val="24"/>
          <w:szCs w:val="24"/>
        </w:rPr>
        <w:t xml:space="preserve"> As noted previously, the information regarding remuneration should be in the annual report which are lodge with the Registrar (s 348-1(1)). This will allow the Registrar to get the information through the documentation.  Accordingly, it will be up to the Registrar to collect that data. </w:t>
      </w:r>
    </w:p>
    <w:p w14:paraId="4A3A410D" w14:textId="77777777" w:rsidR="00DC1FCA" w:rsidRPr="007743B3" w:rsidRDefault="00DC1FCA" w:rsidP="007743B3">
      <w:pPr>
        <w:spacing w:after="0" w:line="240" w:lineRule="auto"/>
        <w:jc w:val="both"/>
        <w:rPr>
          <w:rFonts w:ascii="Times New Roman" w:hAnsi="Times New Roman" w:cs="Times New Roman"/>
          <w:sz w:val="24"/>
          <w:szCs w:val="24"/>
        </w:rPr>
      </w:pPr>
    </w:p>
    <w:p w14:paraId="4D61D591" w14:textId="195C3056" w:rsidR="00917B13" w:rsidRPr="007743B3" w:rsidRDefault="00917B13" w:rsidP="007743B3">
      <w:pPr>
        <w:spacing w:after="0" w:line="240" w:lineRule="auto"/>
        <w:jc w:val="both"/>
        <w:rPr>
          <w:rFonts w:ascii="Times New Roman" w:hAnsi="Times New Roman" w:cs="Times New Roman"/>
          <w:i/>
          <w:iCs/>
          <w:color w:val="538135" w:themeColor="accent6" w:themeShade="BF"/>
          <w:sz w:val="24"/>
          <w:szCs w:val="24"/>
        </w:rPr>
      </w:pPr>
      <w:r w:rsidRPr="007743B3">
        <w:rPr>
          <w:rFonts w:ascii="Times New Roman" w:hAnsi="Times New Roman" w:cs="Times New Roman"/>
          <w:i/>
          <w:iCs/>
          <w:color w:val="538135" w:themeColor="accent6" w:themeShade="BF"/>
          <w:sz w:val="24"/>
          <w:szCs w:val="24"/>
        </w:rPr>
        <w:t>Should CATSI corporations report on how much each director is paid in sitting fees in their annual financial reports that are lodged with the Registrar? And the number of meetings attended?</w:t>
      </w:r>
    </w:p>
    <w:p w14:paraId="3D0ED3DC" w14:textId="7CE26820" w:rsidR="00917B13" w:rsidRPr="007743B3" w:rsidRDefault="00917B13" w:rsidP="007743B3">
      <w:pPr>
        <w:spacing w:after="0" w:line="240" w:lineRule="auto"/>
        <w:jc w:val="both"/>
        <w:rPr>
          <w:rFonts w:ascii="Times New Roman" w:hAnsi="Times New Roman" w:cs="Times New Roman"/>
          <w:sz w:val="24"/>
          <w:szCs w:val="24"/>
        </w:rPr>
      </w:pPr>
    </w:p>
    <w:p w14:paraId="0A6C7CCB" w14:textId="50A5F563" w:rsidR="00B423E1" w:rsidRPr="007743B3" w:rsidRDefault="00B423E1" w:rsidP="007743B3">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The remuneration of directors should be disclosed to members in the annual report. The same can be said to the number of meeting held by the director</w:t>
      </w:r>
      <w:r w:rsidR="00EA7496">
        <w:rPr>
          <w:rFonts w:ascii="Times New Roman" w:hAnsi="Times New Roman" w:cs="Times New Roman"/>
          <w:sz w:val="24"/>
          <w:szCs w:val="24"/>
        </w:rPr>
        <w:t>s</w:t>
      </w:r>
      <w:r w:rsidRPr="007743B3">
        <w:rPr>
          <w:rFonts w:ascii="Times New Roman" w:hAnsi="Times New Roman" w:cs="Times New Roman"/>
          <w:sz w:val="24"/>
          <w:szCs w:val="24"/>
        </w:rPr>
        <w:t xml:space="preserve">. This will enhance transparency, </w:t>
      </w:r>
      <w:proofErr w:type="gramStart"/>
      <w:r w:rsidRPr="007743B3">
        <w:rPr>
          <w:rFonts w:ascii="Times New Roman" w:hAnsi="Times New Roman" w:cs="Times New Roman"/>
          <w:sz w:val="24"/>
          <w:szCs w:val="24"/>
        </w:rPr>
        <w:t>accountability</w:t>
      </w:r>
      <w:proofErr w:type="gramEnd"/>
      <w:r w:rsidRPr="007743B3">
        <w:rPr>
          <w:rFonts w:ascii="Times New Roman" w:hAnsi="Times New Roman" w:cs="Times New Roman"/>
          <w:sz w:val="24"/>
          <w:szCs w:val="24"/>
        </w:rPr>
        <w:t xml:space="preserve"> and good corporate governance </w:t>
      </w:r>
      <w:r w:rsidR="00EA7496">
        <w:rPr>
          <w:rFonts w:ascii="Times New Roman" w:hAnsi="Times New Roman" w:cs="Times New Roman"/>
          <w:sz w:val="24"/>
          <w:szCs w:val="24"/>
        </w:rPr>
        <w:t>within</w:t>
      </w:r>
      <w:r w:rsidRPr="007743B3">
        <w:rPr>
          <w:rFonts w:ascii="Times New Roman" w:hAnsi="Times New Roman" w:cs="Times New Roman"/>
          <w:sz w:val="24"/>
          <w:szCs w:val="24"/>
        </w:rPr>
        <w:t xml:space="preserve"> the corporations.</w:t>
      </w:r>
    </w:p>
    <w:p w14:paraId="66CA9BCF" w14:textId="00B7134F" w:rsidR="00B423E1" w:rsidRPr="007743B3" w:rsidRDefault="00B423E1" w:rsidP="007743B3">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 xml:space="preserve"> </w:t>
      </w:r>
    </w:p>
    <w:p w14:paraId="02FEB3E3" w14:textId="77777777" w:rsidR="00B423E1" w:rsidRPr="007743B3" w:rsidRDefault="00917B13" w:rsidP="007743B3">
      <w:pPr>
        <w:spacing w:after="0" w:line="240" w:lineRule="auto"/>
        <w:jc w:val="both"/>
        <w:rPr>
          <w:rFonts w:ascii="Times New Roman" w:hAnsi="Times New Roman" w:cs="Times New Roman"/>
          <w:i/>
          <w:iCs/>
          <w:color w:val="538135" w:themeColor="accent6" w:themeShade="BF"/>
          <w:sz w:val="24"/>
          <w:szCs w:val="24"/>
        </w:rPr>
      </w:pPr>
      <w:r w:rsidRPr="007743B3">
        <w:rPr>
          <w:rFonts w:ascii="Times New Roman" w:hAnsi="Times New Roman" w:cs="Times New Roman"/>
          <w:i/>
          <w:iCs/>
          <w:color w:val="538135" w:themeColor="accent6" w:themeShade="BF"/>
          <w:sz w:val="24"/>
          <w:szCs w:val="24"/>
        </w:rPr>
        <w:t xml:space="preserve">Executive performance − As a minimum requirement, should all corporations include the names of key management personnel (CEO, Chief Financial Officer and Chief Operating Officer) and their qualifications in their Annual Reports? </w:t>
      </w:r>
    </w:p>
    <w:p w14:paraId="597B0BFC" w14:textId="6087AF56" w:rsidR="00B423E1" w:rsidRPr="007743B3" w:rsidRDefault="00B423E1" w:rsidP="007743B3">
      <w:pPr>
        <w:spacing w:after="0" w:line="240" w:lineRule="auto"/>
        <w:jc w:val="both"/>
        <w:rPr>
          <w:rFonts w:ascii="Times New Roman" w:hAnsi="Times New Roman" w:cs="Times New Roman"/>
          <w:sz w:val="24"/>
          <w:szCs w:val="24"/>
        </w:rPr>
      </w:pPr>
    </w:p>
    <w:p w14:paraId="505E5C4B" w14:textId="7433D11D" w:rsidR="00B423E1" w:rsidRPr="007743B3" w:rsidRDefault="00B423E1" w:rsidP="007743B3">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This information should be left up to the corporation to decide. There is no need to disclose more than the remuneration of the key management personnel. Their qualifications are not required as an amount of trust should be there in the directors</w:t>
      </w:r>
      <w:r w:rsidR="00EA7496">
        <w:rPr>
          <w:rFonts w:ascii="Times New Roman" w:hAnsi="Times New Roman" w:cs="Times New Roman"/>
          <w:sz w:val="24"/>
          <w:szCs w:val="24"/>
        </w:rPr>
        <w:t xml:space="preserve">. They have a duty of care to run the organisation properly. This would include the appointment of the company’s senior management personnel. </w:t>
      </w:r>
    </w:p>
    <w:p w14:paraId="3C214E27" w14:textId="77777777" w:rsidR="00B423E1" w:rsidRPr="007743B3" w:rsidRDefault="00B423E1" w:rsidP="007743B3">
      <w:pPr>
        <w:spacing w:after="0" w:line="240" w:lineRule="auto"/>
        <w:jc w:val="both"/>
        <w:rPr>
          <w:rFonts w:ascii="Times New Roman" w:hAnsi="Times New Roman" w:cs="Times New Roman"/>
          <w:sz w:val="24"/>
          <w:szCs w:val="24"/>
        </w:rPr>
      </w:pPr>
    </w:p>
    <w:p w14:paraId="77E4FC1C" w14:textId="2E1C804D" w:rsidR="00B423E1" w:rsidRPr="007743B3" w:rsidRDefault="00917B13" w:rsidP="007743B3">
      <w:pPr>
        <w:spacing w:after="0" w:line="240" w:lineRule="auto"/>
        <w:jc w:val="both"/>
        <w:rPr>
          <w:rFonts w:ascii="Times New Roman" w:hAnsi="Times New Roman" w:cs="Times New Roman"/>
          <w:i/>
          <w:iCs/>
          <w:color w:val="538135" w:themeColor="accent6" w:themeShade="BF"/>
          <w:sz w:val="24"/>
          <w:szCs w:val="24"/>
        </w:rPr>
      </w:pPr>
      <w:r w:rsidRPr="007743B3">
        <w:rPr>
          <w:rFonts w:ascii="Times New Roman" w:hAnsi="Times New Roman" w:cs="Times New Roman"/>
          <w:i/>
          <w:iCs/>
          <w:color w:val="538135" w:themeColor="accent6" w:themeShade="BF"/>
          <w:sz w:val="24"/>
          <w:szCs w:val="24"/>
        </w:rPr>
        <w:t xml:space="preserve">Should medium and large corporations include the 10-year employment history of their CEO and senior executive in their Annual Report? </w:t>
      </w:r>
      <w:r w:rsidR="00B423E1" w:rsidRPr="007743B3">
        <w:rPr>
          <w:rFonts w:ascii="Times New Roman" w:hAnsi="Times New Roman" w:cs="Times New Roman"/>
          <w:i/>
          <w:iCs/>
          <w:color w:val="538135" w:themeColor="accent6" w:themeShade="BF"/>
          <w:sz w:val="24"/>
          <w:szCs w:val="24"/>
        </w:rPr>
        <w:t>Do medium and large corporations have the capacity to publish CEO and other senior executives’ work history in Annual Reports?</w:t>
      </w:r>
    </w:p>
    <w:p w14:paraId="3026B6DF" w14:textId="77777777" w:rsidR="00B423E1" w:rsidRPr="007743B3" w:rsidRDefault="00B423E1" w:rsidP="007743B3">
      <w:pPr>
        <w:spacing w:after="0" w:line="240" w:lineRule="auto"/>
        <w:jc w:val="both"/>
        <w:rPr>
          <w:rFonts w:ascii="Times New Roman" w:hAnsi="Times New Roman" w:cs="Times New Roman"/>
          <w:sz w:val="24"/>
          <w:szCs w:val="24"/>
        </w:rPr>
      </w:pPr>
    </w:p>
    <w:p w14:paraId="14C17F3A" w14:textId="01B60991" w:rsidR="00917B13" w:rsidRPr="007743B3" w:rsidRDefault="00B423E1" w:rsidP="007743B3">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No this is not needed for the above noted reasons. Further, there is no similar legislative requirement in other corporate legislation</w:t>
      </w:r>
      <w:r w:rsidR="00EA7496">
        <w:rPr>
          <w:rFonts w:ascii="Times New Roman" w:hAnsi="Times New Roman" w:cs="Times New Roman"/>
          <w:sz w:val="24"/>
          <w:szCs w:val="24"/>
        </w:rPr>
        <w:t>s</w:t>
      </w:r>
      <w:r w:rsidRPr="007743B3">
        <w:rPr>
          <w:rFonts w:ascii="Times New Roman" w:hAnsi="Times New Roman" w:cs="Times New Roman"/>
          <w:sz w:val="24"/>
          <w:szCs w:val="24"/>
        </w:rPr>
        <w:t xml:space="preserve">. The legislation should not be prescriptive in this regard. If members loose confidence in the choices the directors are making regarding key management </w:t>
      </w:r>
      <w:proofErr w:type="gramStart"/>
      <w:r w:rsidRPr="007743B3">
        <w:rPr>
          <w:rFonts w:ascii="Times New Roman" w:hAnsi="Times New Roman" w:cs="Times New Roman"/>
          <w:sz w:val="24"/>
          <w:szCs w:val="24"/>
        </w:rPr>
        <w:t>personnel</w:t>
      </w:r>
      <w:proofErr w:type="gramEnd"/>
      <w:r w:rsidRPr="007743B3">
        <w:rPr>
          <w:rFonts w:ascii="Times New Roman" w:hAnsi="Times New Roman" w:cs="Times New Roman"/>
          <w:sz w:val="24"/>
          <w:szCs w:val="24"/>
        </w:rPr>
        <w:t xml:space="preserve"> then members should remove the directors from their position and appoint directors that they can trust.</w:t>
      </w:r>
    </w:p>
    <w:p w14:paraId="5BEA904D" w14:textId="50AEB323" w:rsidR="00917B13" w:rsidRPr="007743B3" w:rsidRDefault="00917B13" w:rsidP="007743B3">
      <w:pPr>
        <w:spacing w:after="0" w:line="240" w:lineRule="auto"/>
        <w:jc w:val="both"/>
        <w:rPr>
          <w:rFonts w:ascii="Times New Roman" w:hAnsi="Times New Roman" w:cs="Times New Roman"/>
          <w:sz w:val="24"/>
          <w:szCs w:val="24"/>
        </w:rPr>
      </w:pPr>
    </w:p>
    <w:p w14:paraId="78BAD0F2" w14:textId="77777777" w:rsidR="00B423E1" w:rsidRPr="007743B3" w:rsidRDefault="00917B13" w:rsidP="007743B3">
      <w:pPr>
        <w:spacing w:after="0" w:line="240" w:lineRule="auto"/>
        <w:jc w:val="both"/>
        <w:rPr>
          <w:rFonts w:ascii="Times New Roman" w:hAnsi="Times New Roman" w:cs="Times New Roman"/>
          <w:i/>
          <w:iCs/>
          <w:color w:val="538135" w:themeColor="accent6" w:themeShade="BF"/>
          <w:sz w:val="24"/>
          <w:szCs w:val="24"/>
        </w:rPr>
      </w:pPr>
      <w:r w:rsidRPr="007743B3">
        <w:rPr>
          <w:rFonts w:ascii="Times New Roman" w:hAnsi="Times New Roman" w:cs="Times New Roman"/>
          <w:i/>
          <w:iCs/>
          <w:color w:val="538135" w:themeColor="accent6" w:themeShade="BF"/>
          <w:sz w:val="24"/>
          <w:szCs w:val="24"/>
        </w:rPr>
        <w:t xml:space="preserve">Should the meaning of the CEO function be clarified in the CATSI Act to specify that a CEO does not have to be an employee of the corporation? </w:t>
      </w:r>
    </w:p>
    <w:p w14:paraId="324694E8" w14:textId="77777777" w:rsidR="00B423E1" w:rsidRPr="007743B3" w:rsidRDefault="00B423E1" w:rsidP="007743B3">
      <w:pPr>
        <w:spacing w:after="0" w:line="240" w:lineRule="auto"/>
        <w:jc w:val="both"/>
        <w:rPr>
          <w:rFonts w:ascii="Times New Roman" w:hAnsi="Times New Roman" w:cs="Times New Roman"/>
          <w:sz w:val="24"/>
          <w:szCs w:val="24"/>
        </w:rPr>
      </w:pPr>
    </w:p>
    <w:p w14:paraId="09F699AD" w14:textId="02EA4511" w:rsidR="00B423E1" w:rsidRPr="007743B3" w:rsidRDefault="00B423E1" w:rsidP="007743B3">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 xml:space="preserve">This requirement will make the legislation more convoluted and complex. It does not fit with </w:t>
      </w:r>
      <w:r w:rsidR="00EA7496">
        <w:rPr>
          <w:rFonts w:ascii="Times New Roman" w:hAnsi="Times New Roman" w:cs="Times New Roman"/>
          <w:sz w:val="24"/>
          <w:szCs w:val="24"/>
        </w:rPr>
        <w:t xml:space="preserve">the need to </w:t>
      </w:r>
      <w:r w:rsidRPr="007743B3">
        <w:rPr>
          <w:rFonts w:ascii="Times New Roman" w:hAnsi="Times New Roman" w:cs="Times New Roman"/>
          <w:sz w:val="24"/>
          <w:szCs w:val="24"/>
        </w:rPr>
        <w:t>simplif</w:t>
      </w:r>
      <w:r w:rsidR="00EA7496">
        <w:rPr>
          <w:rFonts w:ascii="Times New Roman" w:hAnsi="Times New Roman" w:cs="Times New Roman"/>
          <w:sz w:val="24"/>
          <w:szCs w:val="24"/>
        </w:rPr>
        <w:t>y</w:t>
      </w:r>
      <w:r w:rsidRPr="007743B3">
        <w:rPr>
          <w:rFonts w:ascii="Times New Roman" w:hAnsi="Times New Roman" w:cs="Times New Roman"/>
          <w:sz w:val="24"/>
          <w:szCs w:val="24"/>
        </w:rPr>
        <w:t xml:space="preserve"> the law. A CEO already falls under the definition of officer and this is enough as an officer has a range of duties imposed on them akin to the one that apply to directors.</w:t>
      </w:r>
    </w:p>
    <w:p w14:paraId="6BC930DC" w14:textId="0981B693" w:rsidR="00B423E1" w:rsidRDefault="00B423E1" w:rsidP="00197FC8">
      <w:pPr>
        <w:spacing w:after="0" w:line="240" w:lineRule="auto"/>
        <w:jc w:val="both"/>
        <w:rPr>
          <w:rFonts w:ascii="Times New Roman" w:hAnsi="Times New Roman" w:cs="Times New Roman"/>
          <w:sz w:val="24"/>
          <w:szCs w:val="24"/>
        </w:rPr>
      </w:pPr>
    </w:p>
    <w:p w14:paraId="5045D056" w14:textId="77777777" w:rsidR="007C5440" w:rsidRPr="007743B3" w:rsidRDefault="007C5440" w:rsidP="007C5440">
      <w:pPr>
        <w:spacing w:after="0" w:line="240" w:lineRule="auto"/>
        <w:jc w:val="both"/>
        <w:rPr>
          <w:rFonts w:ascii="Times New Roman" w:hAnsi="Times New Roman" w:cs="Times New Roman"/>
          <w:sz w:val="24"/>
          <w:szCs w:val="24"/>
        </w:rPr>
      </w:pPr>
    </w:p>
    <w:p w14:paraId="591B2566" w14:textId="44546F0F" w:rsidR="00917B13" w:rsidRPr="007743B3" w:rsidRDefault="00917B13" w:rsidP="007C5440">
      <w:pPr>
        <w:spacing w:after="0" w:line="240" w:lineRule="auto"/>
        <w:jc w:val="both"/>
        <w:rPr>
          <w:rFonts w:ascii="Times New Roman" w:hAnsi="Times New Roman" w:cs="Times New Roman"/>
          <w:i/>
          <w:iCs/>
          <w:color w:val="538135" w:themeColor="accent6" w:themeShade="BF"/>
          <w:sz w:val="24"/>
          <w:szCs w:val="24"/>
        </w:rPr>
      </w:pPr>
      <w:r w:rsidRPr="007743B3">
        <w:rPr>
          <w:rFonts w:ascii="Times New Roman" w:hAnsi="Times New Roman" w:cs="Times New Roman"/>
          <w:i/>
          <w:iCs/>
          <w:color w:val="538135" w:themeColor="accent6" w:themeShade="BF"/>
          <w:sz w:val="24"/>
          <w:szCs w:val="24"/>
        </w:rPr>
        <w:lastRenderedPageBreak/>
        <w:t>Should corporations be required to advise ORIC within 28 days of when there is a change to key management personnel?</w:t>
      </w:r>
    </w:p>
    <w:p w14:paraId="548E0D09" w14:textId="76356C23" w:rsidR="00917B13" w:rsidRPr="007743B3" w:rsidRDefault="00917B13" w:rsidP="007743B3">
      <w:pPr>
        <w:spacing w:after="0" w:line="240" w:lineRule="auto"/>
        <w:jc w:val="both"/>
        <w:rPr>
          <w:rFonts w:ascii="Times New Roman" w:hAnsi="Times New Roman" w:cs="Times New Roman"/>
          <w:sz w:val="24"/>
          <w:szCs w:val="24"/>
        </w:rPr>
      </w:pPr>
    </w:p>
    <w:p w14:paraId="7A8264CF" w14:textId="00E15954" w:rsidR="0082343A" w:rsidRDefault="0082343A" w:rsidP="00197FC8">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This legislative requirement is no</w:t>
      </w:r>
      <w:r w:rsidR="00EA7496">
        <w:rPr>
          <w:rFonts w:ascii="Times New Roman" w:hAnsi="Times New Roman" w:cs="Times New Roman"/>
          <w:sz w:val="24"/>
          <w:szCs w:val="24"/>
        </w:rPr>
        <w:t>t</w:t>
      </w:r>
      <w:r w:rsidRPr="007743B3">
        <w:rPr>
          <w:rFonts w:ascii="Times New Roman" w:hAnsi="Times New Roman" w:cs="Times New Roman"/>
          <w:sz w:val="24"/>
          <w:szCs w:val="24"/>
        </w:rPr>
        <w:t xml:space="preserve"> needed</w:t>
      </w:r>
      <w:r w:rsidR="00EA7496">
        <w:rPr>
          <w:rFonts w:ascii="Times New Roman" w:hAnsi="Times New Roman" w:cs="Times New Roman"/>
          <w:sz w:val="24"/>
          <w:szCs w:val="24"/>
        </w:rPr>
        <w:t xml:space="preserve"> and is too prescriptive. ORIC only needs to be advised regarding </w:t>
      </w:r>
      <w:r w:rsidRPr="007743B3">
        <w:rPr>
          <w:rFonts w:ascii="Times New Roman" w:hAnsi="Times New Roman" w:cs="Times New Roman"/>
          <w:sz w:val="24"/>
          <w:szCs w:val="24"/>
        </w:rPr>
        <w:t xml:space="preserve">changes </w:t>
      </w:r>
      <w:r w:rsidR="00EA7496">
        <w:rPr>
          <w:rFonts w:ascii="Times New Roman" w:hAnsi="Times New Roman" w:cs="Times New Roman"/>
          <w:sz w:val="24"/>
          <w:szCs w:val="24"/>
        </w:rPr>
        <w:t>to the</w:t>
      </w:r>
      <w:r w:rsidRPr="007743B3">
        <w:rPr>
          <w:rFonts w:ascii="Times New Roman" w:hAnsi="Times New Roman" w:cs="Times New Roman"/>
          <w:sz w:val="24"/>
          <w:szCs w:val="24"/>
        </w:rPr>
        <w:t xml:space="preserve"> directorship </w:t>
      </w:r>
      <w:r w:rsidR="00EA7496">
        <w:rPr>
          <w:rFonts w:ascii="Times New Roman" w:hAnsi="Times New Roman" w:cs="Times New Roman"/>
          <w:sz w:val="24"/>
          <w:szCs w:val="24"/>
        </w:rPr>
        <w:t xml:space="preserve">of the corporation. </w:t>
      </w:r>
    </w:p>
    <w:p w14:paraId="35B7098E" w14:textId="77777777" w:rsidR="0082343A" w:rsidRPr="007743B3" w:rsidRDefault="0082343A" w:rsidP="00EA7496">
      <w:pPr>
        <w:spacing w:after="0" w:line="240" w:lineRule="auto"/>
        <w:jc w:val="both"/>
        <w:rPr>
          <w:rFonts w:ascii="Times New Roman" w:hAnsi="Times New Roman" w:cs="Times New Roman"/>
          <w:sz w:val="24"/>
          <w:szCs w:val="24"/>
        </w:rPr>
      </w:pPr>
    </w:p>
    <w:p w14:paraId="015FBAAD" w14:textId="638B6F99" w:rsidR="00917B13" w:rsidRPr="007743B3" w:rsidRDefault="00917B13" w:rsidP="00EA7496">
      <w:pPr>
        <w:spacing w:after="0" w:line="240" w:lineRule="auto"/>
        <w:jc w:val="both"/>
        <w:rPr>
          <w:rFonts w:ascii="Times New Roman" w:hAnsi="Times New Roman" w:cs="Times New Roman"/>
          <w:i/>
          <w:iCs/>
          <w:color w:val="538135" w:themeColor="accent6" w:themeShade="BF"/>
          <w:sz w:val="24"/>
          <w:szCs w:val="24"/>
        </w:rPr>
      </w:pPr>
      <w:r w:rsidRPr="007743B3">
        <w:rPr>
          <w:rFonts w:ascii="Times New Roman" w:hAnsi="Times New Roman" w:cs="Times New Roman"/>
          <w:i/>
          <w:iCs/>
          <w:color w:val="538135" w:themeColor="accent6" w:themeShade="BF"/>
          <w:sz w:val="24"/>
          <w:szCs w:val="24"/>
        </w:rPr>
        <w:t>Related party provisions − Should the related party provisions in the CATSI Act be revised?</w:t>
      </w:r>
    </w:p>
    <w:p w14:paraId="7745231C" w14:textId="3D4D2DA6" w:rsidR="00917B13" w:rsidRPr="007743B3" w:rsidRDefault="00917B13" w:rsidP="00D02555">
      <w:pPr>
        <w:spacing w:after="0" w:line="240" w:lineRule="auto"/>
        <w:jc w:val="both"/>
        <w:rPr>
          <w:rFonts w:ascii="Times New Roman" w:hAnsi="Times New Roman" w:cs="Times New Roman"/>
          <w:sz w:val="24"/>
          <w:szCs w:val="24"/>
        </w:rPr>
      </w:pPr>
    </w:p>
    <w:p w14:paraId="3601C783" w14:textId="2D4EEBC1" w:rsidR="0082343A" w:rsidRPr="007743B3" w:rsidRDefault="00EA7496" w:rsidP="00D025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provisions regarding r</w:t>
      </w:r>
      <w:r w:rsidR="0082343A" w:rsidRPr="007743B3">
        <w:rPr>
          <w:rFonts w:ascii="Times New Roman" w:hAnsi="Times New Roman" w:cs="Times New Roman"/>
          <w:sz w:val="24"/>
          <w:szCs w:val="24"/>
        </w:rPr>
        <w:t>elated party transactions should be revised. While the provisions protect against nepotism</w:t>
      </w:r>
      <w:r w:rsidR="00BC3CD8" w:rsidRPr="007743B3">
        <w:rPr>
          <w:rFonts w:ascii="Times New Roman" w:hAnsi="Times New Roman" w:cs="Times New Roman"/>
          <w:sz w:val="24"/>
          <w:szCs w:val="24"/>
        </w:rPr>
        <w:t xml:space="preserve">, </w:t>
      </w:r>
      <w:r>
        <w:rPr>
          <w:rFonts w:ascii="Times New Roman" w:hAnsi="Times New Roman" w:cs="Times New Roman"/>
          <w:sz w:val="24"/>
          <w:szCs w:val="24"/>
        </w:rPr>
        <w:t>they</w:t>
      </w:r>
      <w:r w:rsidR="00BC3CD8" w:rsidRPr="007743B3">
        <w:rPr>
          <w:rFonts w:ascii="Times New Roman" w:hAnsi="Times New Roman" w:cs="Times New Roman"/>
          <w:sz w:val="24"/>
          <w:szCs w:val="24"/>
        </w:rPr>
        <w:t xml:space="preserve"> add unreasonable cost to a CATSI corporation. One question to consider relates to the appropriateness of such provision</w:t>
      </w:r>
      <w:r>
        <w:rPr>
          <w:rFonts w:ascii="Times New Roman" w:hAnsi="Times New Roman" w:cs="Times New Roman"/>
          <w:sz w:val="24"/>
          <w:szCs w:val="24"/>
        </w:rPr>
        <w:t>s</w:t>
      </w:r>
      <w:r w:rsidR="00BC3CD8" w:rsidRPr="007743B3">
        <w:rPr>
          <w:rFonts w:ascii="Times New Roman" w:hAnsi="Times New Roman" w:cs="Times New Roman"/>
          <w:sz w:val="24"/>
          <w:szCs w:val="24"/>
        </w:rPr>
        <w:t xml:space="preserve"> in the context of kinship and remote communities.</w:t>
      </w:r>
    </w:p>
    <w:p w14:paraId="2E42C592" w14:textId="52A237CC" w:rsidR="00BC3CD8" w:rsidRPr="007743B3" w:rsidRDefault="00BC3CD8" w:rsidP="007743B3">
      <w:pPr>
        <w:spacing w:after="0" w:line="240" w:lineRule="auto"/>
        <w:jc w:val="both"/>
        <w:rPr>
          <w:rFonts w:ascii="Times New Roman" w:hAnsi="Times New Roman" w:cs="Times New Roman"/>
          <w:sz w:val="24"/>
          <w:szCs w:val="24"/>
        </w:rPr>
      </w:pPr>
    </w:p>
    <w:p w14:paraId="34436B12" w14:textId="5104424B" w:rsidR="00BC3CD8" w:rsidRPr="007743B3" w:rsidRDefault="00BC3CD8" w:rsidP="007743B3">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 xml:space="preserve">This provision is not appropriate as such in </w:t>
      </w:r>
      <w:proofErr w:type="gramStart"/>
      <w:r w:rsidRPr="007743B3">
        <w:rPr>
          <w:rFonts w:ascii="Times New Roman" w:hAnsi="Times New Roman" w:cs="Times New Roman"/>
          <w:sz w:val="24"/>
          <w:szCs w:val="24"/>
        </w:rPr>
        <w:t>a number of</w:t>
      </w:r>
      <w:proofErr w:type="gramEnd"/>
      <w:r w:rsidRPr="007743B3">
        <w:rPr>
          <w:rFonts w:ascii="Times New Roman" w:hAnsi="Times New Roman" w:cs="Times New Roman"/>
          <w:sz w:val="24"/>
          <w:szCs w:val="24"/>
        </w:rPr>
        <w:t xml:space="preserve"> context</w:t>
      </w:r>
      <w:r w:rsidR="00EA7496">
        <w:rPr>
          <w:rFonts w:ascii="Times New Roman" w:hAnsi="Times New Roman" w:cs="Times New Roman"/>
          <w:sz w:val="24"/>
          <w:szCs w:val="24"/>
        </w:rPr>
        <w:t>s</w:t>
      </w:r>
      <w:r w:rsidRPr="007743B3">
        <w:rPr>
          <w:rFonts w:ascii="Times New Roman" w:hAnsi="Times New Roman" w:cs="Times New Roman"/>
          <w:sz w:val="24"/>
          <w:szCs w:val="24"/>
        </w:rPr>
        <w:t>. Consequently, I recommend altering the provision to require the following:</w:t>
      </w:r>
    </w:p>
    <w:p w14:paraId="1BFF137A" w14:textId="239AFD79" w:rsidR="00BC3CD8" w:rsidRPr="007743B3" w:rsidRDefault="00BC3CD8" w:rsidP="007743B3">
      <w:pPr>
        <w:spacing w:after="0" w:line="240" w:lineRule="auto"/>
        <w:jc w:val="both"/>
        <w:rPr>
          <w:rFonts w:ascii="Times New Roman" w:hAnsi="Times New Roman" w:cs="Times New Roman"/>
          <w:sz w:val="24"/>
          <w:szCs w:val="24"/>
        </w:rPr>
      </w:pPr>
    </w:p>
    <w:p w14:paraId="5EB3AA08" w14:textId="191F482E" w:rsidR="00BC3CD8" w:rsidRPr="007743B3" w:rsidRDefault="00BC3CD8" w:rsidP="007743B3">
      <w:pPr>
        <w:spacing w:after="0" w:line="240" w:lineRule="auto"/>
        <w:ind w:left="720"/>
        <w:jc w:val="both"/>
        <w:rPr>
          <w:rFonts w:ascii="Times New Roman" w:hAnsi="Times New Roman" w:cs="Times New Roman"/>
          <w:sz w:val="24"/>
          <w:szCs w:val="24"/>
        </w:rPr>
      </w:pPr>
      <w:r w:rsidRPr="007743B3">
        <w:rPr>
          <w:rFonts w:ascii="Times New Roman" w:hAnsi="Times New Roman" w:cs="Times New Roman"/>
          <w:sz w:val="24"/>
          <w:szCs w:val="24"/>
        </w:rPr>
        <w:t xml:space="preserve">Directors </w:t>
      </w:r>
      <w:proofErr w:type="gramStart"/>
      <w:r w:rsidRPr="007743B3">
        <w:rPr>
          <w:rFonts w:ascii="Times New Roman" w:hAnsi="Times New Roman" w:cs="Times New Roman"/>
          <w:sz w:val="24"/>
          <w:szCs w:val="24"/>
        </w:rPr>
        <w:t>have to</w:t>
      </w:r>
      <w:proofErr w:type="gramEnd"/>
      <w:r w:rsidRPr="007743B3">
        <w:rPr>
          <w:rFonts w:ascii="Times New Roman" w:hAnsi="Times New Roman" w:cs="Times New Roman"/>
          <w:sz w:val="24"/>
          <w:szCs w:val="24"/>
        </w:rPr>
        <w:t xml:space="preserve"> disclose related party benefit to members prior to the benefit being provided</w:t>
      </w:r>
      <w:r w:rsidR="00EA7496">
        <w:rPr>
          <w:rFonts w:ascii="Times New Roman" w:hAnsi="Times New Roman" w:cs="Times New Roman"/>
          <w:sz w:val="24"/>
          <w:szCs w:val="24"/>
        </w:rPr>
        <w:t>.</w:t>
      </w:r>
      <w:r w:rsidRPr="007743B3">
        <w:rPr>
          <w:rFonts w:ascii="Times New Roman" w:hAnsi="Times New Roman" w:cs="Times New Roman"/>
          <w:sz w:val="24"/>
          <w:szCs w:val="24"/>
        </w:rPr>
        <w:t xml:space="preserve"> </w:t>
      </w:r>
      <w:r w:rsidR="00EA7496">
        <w:rPr>
          <w:rFonts w:ascii="Times New Roman" w:hAnsi="Times New Roman" w:cs="Times New Roman"/>
          <w:sz w:val="24"/>
          <w:szCs w:val="24"/>
        </w:rPr>
        <w:t>I</w:t>
      </w:r>
      <w:r w:rsidRPr="007743B3">
        <w:rPr>
          <w:rFonts w:ascii="Times New Roman" w:hAnsi="Times New Roman" w:cs="Times New Roman"/>
          <w:sz w:val="24"/>
          <w:szCs w:val="24"/>
        </w:rPr>
        <w:t>f members are concerned about this</w:t>
      </w:r>
      <w:r w:rsidR="00EA7496">
        <w:rPr>
          <w:rFonts w:ascii="Times New Roman" w:hAnsi="Times New Roman" w:cs="Times New Roman"/>
          <w:sz w:val="24"/>
          <w:szCs w:val="24"/>
        </w:rPr>
        <w:t>,</w:t>
      </w:r>
      <w:r w:rsidRPr="007743B3">
        <w:rPr>
          <w:rFonts w:ascii="Times New Roman" w:hAnsi="Times New Roman" w:cs="Times New Roman"/>
          <w:sz w:val="24"/>
          <w:szCs w:val="24"/>
        </w:rPr>
        <w:t xml:space="preserve"> they will have </w:t>
      </w:r>
      <w:proofErr w:type="gramStart"/>
      <w:r w:rsidRPr="007743B3">
        <w:rPr>
          <w:rFonts w:ascii="Times New Roman" w:hAnsi="Times New Roman" w:cs="Times New Roman"/>
          <w:sz w:val="24"/>
          <w:szCs w:val="24"/>
        </w:rPr>
        <w:t>a period of time</w:t>
      </w:r>
      <w:proofErr w:type="gramEnd"/>
      <w:r w:rsidRPr="007743B3">
        <w:rPr>
          <w:rFonts w:ascii="Times New Roman" w:hAnsi="Times New Roman" w:cs="Times New Roman"/>
          <w:sz w:val="24"/>
          <w:szCs w:val="24"/>
        </w:rPr>
        <w:t xml:space="preserve"> to request for more clarification and for the matter to be put forward </w:t>
      </w:r>
      <w:r w:rsidR="00EA7496">
        <w:rPr>
          <w:rFonts w:ascii="Times New Roman" w:hAnsi="Times New Roman" w:cs="Times New Roman"/>
          <w:sz w:val="24"/>
          <w:szCs w:val="24"/>
        </w:rPr>
        <w:t xml:space="preserve">for </w:t>
      </w:r>
      <w:r w:rsidRPr="007743B3">
        <w:rPr>
          <w:rFonts w:ascii="Times New Roman" w:hAnsi="Times New Roman" w:cs="Times New Roman"/>
          <w:sz w:val="24"/>
          <w:szCs w:val="24"/>
        </w:rPr>
        <w:t>members</w:t>
      </w:r>
      <w:r w:rsidR="00EA7496">
        <w:rPr>
          <w:rFonts w:ascii="Times New Roman" w:hAnsi="Times New Roman" w:cs="Times New Roman"/>
          <w:sz w:val="24"/>
          <w:szCs w:val="24"/>
        </w:rPr>
        <w:t>’</w:t>
      </w:r>
      <w:r w:rsidRPr="007743B3">
        <w:rPr>
          <w:rFonts w:ascii="Times New Roman" w:hAnsi="Times New Roman" w:cs="Times New Roman"/>
          <w:sz w:val="24"/>
          <w:szCs w:val="24"/>
        </w:rPr>
        <w:t xml:space="preserve"> approval.</w:t>
      </w:r>
    </w:p>
    <w:p w14:paraId="65DD37C3" w14:textId="77777777" w:rsidR="00BC3CD8" w:rsidRPr="007743B3" w:rsidRDefault="00BC3CD8" w:rsidP="007743B3">
      <w:pPr>
        <w:spacing w:after="0" w:line="240" w:lineRule="auto"/>
        <w:jc w:val="both"/>
        <w:rPr>
          <w:rFonts w:ascii="Times New Roman" w:hAnsi="Times New Roman" w:cs="Times New Roman"/>
          <w:sz w:val="24"/>
          <w:szCs w:val="24"/>
        </w:rPr>
      </w:pPr>
    </w:p>
    <w:p w14:paraId="0BFACFBF" w14:textId="671199B9" w:rsidR="00BC3CD8" w:rsidRPr="007743B3" w:rsidRDefault="00BC3CD8" w:rsidP="007743B3">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 xml:space="preserve">This will </w:t>
      </w:r>
      <w:r w:rsidR="00EA7496">
        <w:rPr>
          <w:rFonts w:ascii="Times New Roman" w:hAnsi="Times New Roman" w:cs="Times New Roman"/>
          <w:sz w:val="24"/>
          <w:szCs w:val="24"/>
        </w:rPr>
        <w:t>remove red tape attached to related benefit provisions while providing the necessary protection to members</w:t>
      </w:r>
      <w:r w:rsidRPr="007743B3">
        <w:rPr>
          <w:rFonts w:ascii="Times New Roman" w:hAnsi="Times New Roman" w:cs="Times New Roman"/>
          <w:sz w:val="24"/>
          <w:szCs w:val="24"/>
        </w:rPr>
        <w:t xml:space="preserve">. Exceptions should be introduced linked to urgent repairs for instance. </w:t>
      </w:r>
    </w:p>
    <w:p w14:paraId="54DD02E2" w14:textId="0E9CF222" w:rsidR="0082343A" w:rsidRPr="007743B3" w:rsidRDefault="0082343A" w:rsidP="007743B3">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 xml:space="preserve"> </w:t>
      </w:r>
    </w:p>
    <w:p w14:paraId="4A140323" w14:textId="2F71BBF7" w:rsidR="00917B13" w:rsidRPr="007743B3" w:rsidRDefault="00917B13" w:rsidP="007743B3">
      <w:pPr>
        <w:spacing w:after="0" w:line="240" w:lineRule="auto"/>
        <w:jc w:val="both"/>
        <w:rPr>
          <w:rFonts w:ascii="Times New Roman" w:hAnsi="Times New Roman" w:cs="Times New Roman"/>
          <w:i/>
          <w:iCs/>
          <w:color w:val="538135" w:themeColor="accent6" w:themeShade="BF"/>
          <w:sz w:val="24"/>
          <w:szCs w:val="24"/>
        </w:rPr>
      </w:pPr>
      <w:r w:rsidRPr="007743B3">
        <w:rPr>
          <w:rFonts w:ascii="Times New Roman" w:hAnsi="Times New Roman" w:cs="Times New Roman"/>
          <w:i/>
          <w:iCs/>
          <w:color w:val="538135" w:themeColor="accent6" w:themeShade="BF"/>
          <w:sz w:val="24"/>
          <w:szCs w:val="24"/>
        </w:rPr>
        <w:t xml:space="preserve">Appointment of directors and other requirements − Should the Registrar be able to grant exemptions to the requirement that </w:t>
      </w:r>
      <w:proofErr w:type="gramStart"/>
      <w:r w:rsidRPr="007743B3">
        <w:rPr>
          <w:rFonts w:ascii="Times New Roman" w:hAnsi="Times New Roman" w:cs="Times New Roman"/>
          <w:i/>
          <w:iCs/>
          <w:color w:val="538135" w:themeColor="accent6" w:themeShade="BF"/>
          <w:sz w:val="24"/>
          <w:szCs w:val="24"/>
        </w:rPr>
        <w:t>the majority of</w:t>
      </w:r>
      <w:proofErr w:type="gramEnd"/>
      <w:r w:rsidRPr="007743B3">
        <w:rPr>
          <w:rFonts w:ascii="Times New Roman" w:hAnsi="Times New Roman" w:cs="Times New Roman"/>
          <w:i/>
          <w:iCs/>
          <w:color w:val="538135" w:themeColor="accent6" w:themeShade="BF"/>
          <w:sz w:val="24"/>
          <w:szCs w:val="24"/>
        </w:rPr>
        <w:t xml:space="preserve"> the directors of a CATSI corporation must not be employees?  What conditions would be appropriate to support an exemption to the requirement? Should there be controls around board membership and composition? What sort of controls should be considered?</w:t>
      </w:r>
      <w:r w:rsidR="00EA7496">
        <w:rPr>
          <w:rFonts w:ascii="Times New Roman" w:hAnsi="Times New Roman" w:cs="Times New Roman"/>
          <w:i/>
          <w:iCs/>
          <w:color w:val="538135" w:themeColor="accent6" w:themeShade="BF"/>
          <w:sz w:val="24"/>
          <w:szCs w:val="24"/>
        </w:rPr>
        <w:t xml:space="preserve"> </w:t>
      </w:r>
      <w:r w:rsidRPr="007743B3">
        <w:rPr>
          <w:rFonts w:ascii="Times New Roman" w:hAnsi="Times New Roman" w:cs="Times New Roman"/>
          <w:i/>
          <w:iCs/>
          <w:color w:val="538135" w:themeColor="accent6" w:themeShade="BF"/>
          <w:sz w:val="24"/>
          <w:szCs w:val="24"/>
        </w:rPr>
        <w:t>How would this be managed in remote communities, where for instance restrictions on numbers of family members could cause major difficulties?</w:t>
      </w:r>
    </w:p>
    <w:p w14:paraId="1015A1BA" w14:textId="7FBC8AB2" w:rsidR="00917B13" w:rsidRPr="007743B3" w:rsidRDefault="00917B13" w:rsidP="007743B3">
      <w:pPr>
        <w:spacing w:after="0" w:line="240" w:lineRule="auto"/>
        <w:jc w:val="both"/>
        <w:rPr>
          <w:rFonts w:ascii="Times New Roman" w:hAnsi="Times New Roman" w:cs="Times New Roman"/>
          <w:sz w:val="24"/>
          <w:szCs w:val="24"/>
        </w:rPr>
      </w:pPr>
    </w:p>
    <w:p w14:paraId="7F21D65C" w14:textId="3944C381" w:rsidR="00BC3CD8" w:rsidRPr="007743B3" w:rsidRDefault="00BC3CD8" w:rsidP="007743B3">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 xml:space="preserve">This review provides an opportunity to relax some of the current restrictions that apply on directors. Instead of adding restrictions and creating </w:t>
      </w:r>
      <w:r w:rsidR="000E3023" w:rsidRPr="007743B3">
        <w:rPr>
          <w:rFonts w:ascii="Times New Roman" w:hAnsi="Times New Roman" w:cs="Times New Roman"/>
          <w:sz w:val="24"/>
          <w:szCs w:val="24"/>
        </w:rPr>
        <w:t xml:space="preserve">exemption and making the legislation more complex, the review should consider allowing the corporation to set up their expectations regarding board membership and composition in their rule book. This will once again highlight to the CATSI corporation the importance of the rule book. </w:t>
      </w:r>
      <w:r w:rsidR="00EA7496">
        <w:rPr>
          <w:rFonts w:ascii="Times New Roman" w:hAnsi="Times New Roman" w:cs="Times New Roman"/>
          <w:sz w:val="24"/>
          <w:szCs w:val="24"/>
        </w:rPr>
        <w:t>Lastly</w:t>
      </w:r>
      <w:r w:rsidR="000E3023" w:rsidRPr="007743B3">
        <w:rPr>
          <w:rFonts w:ascii="Times New Roman" w:hAnsi="Times New Roman" w:cs="Times New Roman"/>
          <w:sz w:val="24"/>
          <w:szCs w:val="24"/>
        </w:rPr>
        <w:t>, the current proposal to add more restrictions on the composition of the board infringes on self-determination.</w:t>
      </w:r>
    </w:p>
    <w:p w14:paraId="75EDB95B" w14:textId="77777777" w:rsidR="000E3023" w:rsidRPr="007743B3" w:rsidRDefault="000E3023" w:rsidP="007743B3">
      <w:pPr>
        <w:spacing w:after="0" w:line="240" w:lineRule="auto"/>
        <w:jc w:val="both"/>
        <w:rPr>
          <w:rFonts w:ascii="Times New Roman" w:hAnsi="Times New Roman" w:cs="Times New Roman"/>
          <w:sz w:val="24"/>
          <w:szCs w:val="24"/>
        </w:rPr>
      </w:pPr>
    </w:p>
    <w:p w14:paraId="0642EA56" w14:textId="77777777" w:rsidR="000E3023" w:rsidRPr="007743B3" w:rsidRDefault="00822ECC" w:rsidP="007743B3">
      <w:pPr>
        <w:spacing w:after="0" w:line="240" w:lineRule="auto"/>
        <w:jc w:val="both"/>
        <w:rPr>
          <w:rFonts w:ascii="Times New Roman" w:hAnsi="Times New Roman" w:cs="Times New Roman"/>
          <w:i/>
          <w:iCs/>
          <w:color w:val="538135" w:themeColor="accent6" w:themeShade="BF"/>
          <w:sz w:val="24"/>
          <w:szCs w:val="24"/>
        </w:rPr>
      </w:pPr>
      <w:r w:rsidRPr="007743B3">
        <w:rPr>
          <w:rFonts w:ascii="Times New Roman" w:hAnsi="Times New Roman" w:cs="Times New Roman"/>
          <w:i/>
          <w:iCs/>
          <w:color w:val="538135" w:themeColor="accent6" w:themeShade="BF"/>
          <w:sz w:val="24"/>
          <w:szCs w:val="24"/>
        </w:rPr>
        <w:t xml:space="preserve">Should the CATSI Act be amended to allow corporations to appoint independent directors without an explicit rule in their rule book? </w:t>
      </w:r>
    </w:p>
    <w:p w14:paraId="24FB53ED" w14:textId="58CF6F22" w:rsidR="000E3023" w:rsidRPr="007743B3" w:rsidRDefault="000E3023" w:rsidP="007743B3">
      <w:pPr>
        <w:spacing w:after="0" w:line="240" w:lineRule="auto"/>
        <w:jc w:val="both"/>
        <w:rPr>
          <w:rFonts w:ascii="Times New Roman" w:hAnsi="Times New Roman" w:cs="Times New Roman"/>
          <w:sz w:val="24"/>
          <w:szCs w:val="24"/>
        </w:rPr>
      </w:pPr>
    </w:p>
    <w:p w14:paraId="28E7427F" w14:textId="0AA40927" w:rsidR="000E3023" w:rsidRPr="007743B3" w:rsidRDefault="000E3023" w:rsidP="007743B3">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 xml:space="preserve">Yes, it should. Having independent directors may be beneficial to corporations. Accordingly, restrictions regarding this matter in the </w:t>
      </w:r>
      <w:r w:rsidRPr="007743B3">
        <w:rPr>
          <w:rFonts w:ascii="Times New Roman" w:hAnsi="Times New Roman" w:cs="Times New Roman"/>
          <w:i/>
          <w:iCs/>
          <w:sz w:val="24"/>
          <w:szCs w:val="24"/>
        </w:rPr>
        <w:t>CATSI Act</w:t>
      </w:r>
      <w:r w:rsidRPr="007743B3">
        <w:rPr>
          <w:rFonts w:ascii="Times New Roman" w:hAnsi="Times New Roman" w:cs="Times New Roman"/>
          <w:sz w:val="24"/>
          <w:szCs w:val="24"/>
        </w:rPr>
        <w:t xml:space="preserve"> should be removed.</w:t>
      </w:r>
    </w:p>
    <w:p w14:paraId="02F2EB3B" w14:textId="77777777" w:rsidR="000E3023" w:rsidRPr="007743B3" w:rsidRDefault="000E3023" w:rsidP="007743B3">
      <w:pPr>
        <w:spacing w:after="0" w:line="240" w:lineRule="auto"/>
        <w:jc w:val="both"/>
        <w:rPr>
          <w:rFonts w:ascii="Times New Roman" w:hAnsi="Times New Roman" w:cs="Times New Roman"/>
          <w:sz w:val="24"/>
          <w:szCs w:val="24"/>
        </w:rPr>
      </w:pPr>
    </w:p>
    <w:p w14:paraId="5B8B8B91" w14:textId="77777777" w:rsidR="000E3023" w:rsidRPr="007743B3" w:rsidRDefault="000E3023" w:rsidP="007743B3">
      <w:pPr>
        <w:spacing w:after="0" w:line="240" w:lineRule="auto"/>
        <w:jc w:val="both"/>
        <w:rPr>
          <w:rFonts w:ascii="Times New Roman" w:hAnsi="Times New Roman" w:cs="Times New Roman"/>
          <w:i/>
          <w:iCs/>
          <w:color w:val="538135" w:themeColor="accent6" w:themeShade="BF"/>
          <w:sz w:val="24"/>
          <w:szCs w:val="24"/>
        </w:rPr>
      </w:pPr>
      <w:r w:rsidRPr="007743B3">
        <w:rPr>
          <w:rFonts w:ascii="Times New Roman" w:hAnsi="Times New Roman" w:cs="Times New Roman"/>
          <w:i/>
          <w:iCs/>
          <w:color w:val="538135" w:themeColor="accent6" w:themeShade="BF"/>
          <w:sz w:val="24"/>
          <w:szCs w:val="24"/>
        </w:rPr>
        <w:t>S</w:t>
      </w:r>
      <w:r w:rsidR="00822ECC" w:rsidRPr="007743B3">
        <w:rPr>
          <w:rFonts w:ascii="Times New Roman" w:hAnsi="Times New Roman" w:cs="Times New Roman"/>
          <w:i/>
          <w:iCs/>
          <w:color w:val="538135" w:themeColor="accent6" w:themeShade="BF"/>
          <w:sz w:val="24"/>
          <w:szCs w:val="24"/>
        </w:rPr>
        <w:t xml:space="preserve">hould independent directors be mandated for large corporations? </w:t>
      </w:r>
    </w:p>
    <w:p w14:paraId="3530711B" w14:textId="0984B2FE" w:rsidR="000E3023" w:rsidRPr="007743B3" w:rsidRDefault="000E3023" w:rsidP="007743B3">
      <w:pPr>
        <w:spacing w:after="0" w:line="240" w:lineRule="auto"/>
        <w:jc w:val="both"/>
        <w:rPr>
          <w:rFonts w:ascii="Times New Roman" w:hAnsi="Times New Roman" w:cs="Times New Roman"/>
          <w:sz w:val="24"/>
          <w:szCs w:val="24"/>
        </w:rPr>
      </w:pPr>
    </w:p>
    <w:p w14:paraId="42D36608" w14:textId="08ED984C" w:rsidR="000E3023" w:rsidRPr="007743B3" w:rsidRDefault="000E3023" w:rsidP="007743B3">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 xml:space="preserve">No, independent directors should not be mandated in any type of corporation. This and other matters relating to composition of the board should be decided by the corporation and its members. </w:t>
      </w:r>
    </w:p>
    <w:p w14:paraId="2F8F7BB9" w14:textId="77777777" w:rsidR="000E3023" w:rsidRPr="007743B3" w:rsidRDefault="000E3023" w:rsidP="007743B3">
      <w:pPr>
        <w:spacing w:after="0" w:line="240" w:lineRule="auto"/>
        <w:jc w:val="both"/>
        <w:rPr>
          <w:rFonts w:ascii="Times New Roman" w:hAnsi="Times New Roman" w:cs="Times New Roman"/>
          <w:sz w:val="24"/>
          <w:szCs w:val="24"/>
        </w:rPr>
      </w:pPr>
    </w:p>
    <w:p w14:paraId="3883066E" w14:textId="48A65173" w:rsidR="00917B13" w:rsidRPr="007743B3" w:rsidRDefault="00822ECC" w:rsidP="007743B3">
      <w:pPr>
        <w:spacing w:after="0" w:line="240" w:lineRule="auto"/>
        <w:jc w:val="both"/>
        <w:rPr>
          <w:rFonts w:ascii="Times New Roman" w:hAnsi="Times New Roman" w:cs="Times New Roman"/>
          <w:i/>
          <w:iCs/>
          <w:color w:val="538135" w:themeColor="accent6" w:themeShade="BF"/>
          <w:sz w:val="24"/>
          <w:szCs w:val="24"/>
        </w:rPr>
      </w:pPr>
      <w:r w:rsidRPr="007743B3">
        <w:rPr>
          <w:rFonts w:ascii="Times New Roman" w:hAnsi="Times New Roman" w:cs="Times New Roman"/>
          <w:i/>
          <w:iCs/>
          <w:color w:val="538135" w:themeColor="accent6" w:themeShade="BF"/>
          <w:sz w:val="24"/>
          <w:szCs w:val="24"/>
        </w:rPr>
        <w:lastRenderedPageBreak/>
        <w:t>Do the current CATSI Act definitions of ‘CEOs (CEO functions)’ and ‘officers’ provide sufficient flexibility when considering who ‘senior executives’ are?</w:t>
      </w:r>
    </w:p>
    <w:p w14:paraId="202E57ED" w14:textId="33794DBE" w:rsidR="00822ECC" w:rsidRPr="007743B3" w:rsidRDefault="00822ECC" w:rsidP="007743B3">
      <w:pPr>
        <w:spacing w:after="0" w:line="240" w:lineRule="auto"/>
        <w:jc w:val="both"/>
        <w:rPr>
          <w:rFonts w:ascii="Times New Roman" w:hAnsi="Times New Roman" w:cs="Times New Roman"/>
          <w:sz w:val="24"/>
          <w:szCs w:val="24"/>
        </w:rPr>
      </w:pPr>
    </w:p>
    <w:p w14:paraId="4FA852FB" w14:textId="2E8A44F8" w:rsidR="000E3023" w:rsidRPr="007743B3" w:rsidRDefault="000E3023" w:rsidP="007743B3">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 xml:space="preserve">Yes, it does as </w:t>
      </w:r>
      <w:proofErr w:type="gramStart"/>
      <w:r w:rsidRPr="007743B3">
        <w:rPr>
          <w:rFonts w:ascii="Times New Roman" w:hAnsi="Times New Roman" w:cs="Times New Roman"/>
          <w:sz w:val="24"/>
          <w:szCs w:val="24"/>
        </w:rPr>
        <w:t>noted</w:t>
      </w:r>
      <w:proofErr w:type="gramEnd"/>
      <w:r w:rsidRPr="007743B3">
        <w:rPr>
          <w:rFonts w:ascii="Times New Roman" w:hAnsi="Times New Roman" w:cs="Times New Roman"/>
          <w:sz w:val="24"/>
          <w:szCs w:val="24"/>
        </w:rPr>
        <w:t xml:space="preserve"> previously.</w:t>
      </w:r>
    </w:p>
    <w:p w14:paraId="2115F7AC" w14:textId="77777777" w:rsidR="000E3023" w:rsidRPr="007743B3" w:rsidRDefault="000E3023" w:rsidP="007743B3">
      <w:pPr>
        <w:spacing w:after="0" w:line="240" w:lineRule="auto"/>
        <w:jc w:val="both"/>
        <w:rPr>
          <w:rFonts w:ascii="Times New Roman" w:hAnsi="Times New Roman" w:cs="Times New Roman"/>
          <w:sz w:val="24"/>
          <w:szCs w:val="24"/>
        </w:rPr>
      </w:pPr>
    </w:p>
    <w:p w14:paraId="0AE948C6" w14:textId="1EC1DAE7" w:rsidR="00822ECC" w:rsidRPr="007743B3" w:rsidRDefault="00822ECC" w:rsidP="007743B3">
      <w:pPr>
        <w:spacing w:after="0" w:line="240" w:lineRule="auto"/>
        <w:jc w:val="both"/>
        <w:rPr>
          <w:rFonts w:ascii="Times New Roman" w:hAnsi="Times New Roman" w:cs="Times New Roman"/>
          <w:i/>
          <w:iCs/>
          <w:color w:val="538135" w:themeColor="accent6" w:themeShade="BF"/>
          <w:sz w:val="24"/>
          <w:szCs w:val="24"/>
        </w:rPr>
      </w:pPr>
      <w:r w:rsidRPr="007743B3">
        <w:rPr>
          <w:rFonts w:ascii="Times New Roman" w:hAnsi="Times New Roman" w:cs="Times New Roman"/>
          <w:i/>
          <w:iCs/>
          <w:color w:val="538135" w:themeColor="accent6" w:themeShade="BF"/>
          <w:sz w:val="24"/>
          <w:szCs w:val="24"/>
        </w:rPr>
        <w:t xml:space="preserve">What do you think about these suggestions to incorporate culture and tradition into the operation of corporations through changes to directors’ duties and rule books by providing:  A defence for directors or officers who are complying with traditional Aboriginal customs or practices of their tribal group?  That a corporation may specify in its rules a range of traditional customs and practices, which the directors and officers may follow and that would form the basis of a safe harbour. This would mean that if the directors acted within the scope of the rules, they would be absolved from any breaches of duty that would otherwise </w:t>
      </w:r>
      <w:proofErr w:type="gramStart"/>
      <w:r w:rsidRPr="007743B3">
        <w:rPr>
          <w:rFonts w:ascii="Times New Roman" w:hAnsi="Times New Roman" w:cs="Times New Roman"/>
          <w:i/>
          <w:iCs/>
          <w:color w:val="538135" w:themeColor="accent6" w:themeShade="BF"/>
          <w:sz w:val="24"/>
          <w:szCs w:val="24"/>
        </w:rPr>
        <w:t>occur?</w:t>
      </w:r>
      <w:proofErr w:type="gramEnd"/>
    </w:p>
    <w:p w14:paraId="0DF79A66" w14:textId="6EEB03A8" w:rsidR="004D1D31" w:rsidRPr="007743B3" w:rsidRDefault="004D1D31" w:rsidP="007743B3">
      <w:pPr>
        <w:spacing w:after="0" w:line="240" w:lineRule="auto"/>
        <w:jc w:val="both"/>
        <w:rPr>
          <w:rFonts w:ascii="Times New Roman" w:hAnsi="Times New Roman" w:cs="Times New Roman"/>
          <w:sz w:val="24"/>
          <w:szCs w:val="24"/>
        </w:rPr>
      </w:pPr>
    </w:p>
    <w:p w14:paraId="7A68F708" w14:textId="2AF1A9DC" w:rsidR="00CF61D9" w:rsidRPr="007743B3" w:rsidRDefault="004D1D31" w:rsidP="007743B3">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 xml:space="preserve">The above suggestions are all worthwhile as they will </w:t>
      </w:r>
      <w:r w:rsidR="00EA7496">
        <w:rPr>
          <w:rFonts w:ascii="Times New Roman" w:hAnsi="Times New Roman" w:cs="Times New Roman"/>
          <w:sz w:val="24"/>
          <w:szCs w:val="24"/>
        </w:rPr>
        <w:t>distinguish</w:t>
      </w:r>
      <w:r w:rsidRPr="007743B3">
        <w:rPr>
          <w:rFonts w:ascii="Times New Roman" w:hAnsi="Times New Roman" w:cs="Times New Roman"/>
          <w:sz w:val="24"/>
          <w:szCs w:val="24"/>
        </w:rPr>
        <w:t xml:space="preserve"> </w:t>
      </w:r>
      <w:r w:rsidR="00EA7496" w:rsidRPr="001E3836">
        <w:rPr>
          <w:rFonts w:ascii="Times New Roman" w:hAnsi="Times New Roman" w:cs="Times New Roman"/>
          <w:sz w:val="24"/>
          <w:szCs w:val="24"/>
        </w:rPr>
        <w:t xml:space="preserve">the </w:t>
      </w:r>
      <w:r w:rsidR="00EA7496" w:rsidRPr="001E3836">
        <w:rPr>
          <w:rFonts w:ascii="Times New Roman" w:hAnsi="Times New Roman" w:cs="Times New Roman"/>
          <w:i/>
          <w:iCs/>
          <w:sz w:val="24"/>
          <w:szCs w:val="24"/>
        </w:rPr>
        <w:t>CATSI Act</w:t>
      </w:r>
      <w:r w:rsidR="00EA7496" w:rsidRPr="001E3836">
        <w:rPr>
          <w:rFonts w:ascii="Times New Roman" w:hAnsi="Times New Roman" w:cs="Times New Roman"/>
          <w:sz w:val="24"/>
          <w:szCs w:val="24"/>
        </w:rPr>
        <w:t xml:space="preserve"> </w:t>
      </w:r>
      <w:r w:rsidR="00EA7496">
        <w:rPr>
          <w:rFonts w:ascii="Times New Roman" w:hAnsi="Times New Roman" w:cs="Times New Roman"/>
          <w:sz w:val="24"/>
          <w:szCs w:val="24"/>
        </w:rPr>
        <w:t xml:space="preserve">from </w:t>
      </w:r>
      <w:r w:rsidRPr="007743B3">
        <w:rPr>
          <w:rFonts w:ascii="Times New Roman" w:hAnsi="Times New Roman" w:cs="Times New Roman"/>
          <w:sz w:val="24"/>
          <w:szCs w:val="24"/>
        </w:rPr>
        <w:t xml:space="preserve">the mainstream corporate legislation in term of director duties. It will allow for the incorporation of culture and traditions within the operation of the </w:t>
      </w:r>
      <w:r w:rsidR="00393987">
        <w:rPr>
          <w:rFonts w:ascii="Times New Roman" w:hAnsi="Times New Roman" w:cs="Times New Roman"/>
          <w:sz w:val="24"/>
          <w:szCs w:val="24"/>
        </w:rPr>
        <w:t xml:space="preserve">CATSI </w:t>
      </w:r>
      <w:r w:rsidRPr="007743B3">
        <w:rPr>
          <w:rFonts w:ascii="Times New Roman" w:hAnsi="Times New Roman" w:cs="Times New Roman"/>
          <w:sz w:val="24"/>
          <w:szCs w:val="24"/>
        </w:rPr>
        <w:t xml:space="preserve">corporation. This would be a positive move as it may also encourage other for-profit entities to register under the </w:t>
      </w:r>
      <w:r w:rsidRPr="007743B3">
        <w:rPr>
          <w:rFonts w:ascii="Times New Roman" w:hAnsi="Times New Roman" w:cs="Times New Roman"/>
          <w:i/>
          <w:iCs/>
          <w:sz w:val="24"/>
          <w:szCs w:val="24"/>
        </w:rPr>
        <w:t>CATSI Act</w:t>
      </w:r>
      <w:r w:rsidRPr="007743B3">
        <w:rPr>
          <w:rFonts w:ascii="Times New Roman" w:hAnsi="Times New Roman" w:cs="Times New Roman"/>
          <w:sz w:val="24"/>
          <w:szCs w:val="24"/>
        </w:rPr>
        <w:t xml:space="preserve"> as the legislation may be viewed </w:t>
      </w:r>
      <w:proofErr w:type="gramStart"/>
      <w:r w:rsidRPr="007743B3">
        <w:rPr>
          <w:rFonts w:ascii="Times New Roman" w:hAnsi="Times New Roman" w:cs="Times New Roman"/>
          <w:sz w:val="24"/>
          <w:szCs w:val="24"/>
        </w:rPr>
        <w:t>as a way to</w:t>
      </w:r>
      <w:proofErr w:type="gramEnd"/>
      <w:r w:rsidRPr="007743B3">
        <w:rPr>
          <w:rFonts w:ascii="Times New Roman" w:hAnsi="Times New Roman" w:cs="Times New Roman"/>
          <w:sz w:val="24"/>
          <w:szCs w:val="24"/>
        </w:rPr>
        <w:t xml:space="preserve"> promote </w:t>
      </w:r>
      <w:r w:rsidR="007C5440">
        <w:rPr>
          <w:rFonts w:ascii="Times New Roman" w:hAnsi="Times New Roman" w:cs="Times New Roman"/>
          <w:sz w:val="24"/>
          <w:szCs w:val="24"/>
        </w:rPr>
        <w:t>I</w:t>
      </w:r>
      <w:r w:rsidRPr="007743B3">
        <w:rPr>
          <w:rFonts w:ascii="Times New Roman" w:hAnsi="Times New Roman" w:cs="Times New Roman"/>
          <w:sz w:val="24"/>
          <w:szCs w:val="24"/>
        </w:rPr>
        <w:t>ndigenous values.</w:t>
      </w:r>
    </w:p>
    <w:p w14:paraId="27D9DB4E" w14:textId="29AF3F7C" w:rsidR="00CF61D9" w:rsidRDefault="00CF61D9" w:rsidP="00197FC8">
      <w:pPr>
        <w:spacing w:after="0" w:line="240" w:lineRule="auto"/>
        <w:jc w:val="both"/>
        <w:rPr>
          <w:rFonts w:ascii="Times New Roman" w:hAnsi="Times New Roman" w:cs="Times New Roman"/>
          <w:sz w:val="24"/>
          <w:szCs w:val="24"/>
        </w:rPr>
      </w:pPr>
    </w:p>
    <w:p w14:paraId="43233B1C" w14:textId="77777777" w:rsidR="00393987" w:rsidRPr="00197FC8" w:rsidRDefault="00393987" w:rsidP="00393987">
      <w:pPr>
        <w:spacing w:after="0" w:line="240" w:lineRule="auto"/>
        <w:jc w:val="both"/>
        <w:rPr>
          <w:rFonts w:ascii="Times New Roman" w:hAnsi="Times New Roman" w:cs="Times New Roman"/>
          <w:sz w:val="24"/>
          <w:szCs w:val="24"/>
        </w:rPr>
      </w:pPr>
    </w:p>
    <w:p w14:paraId="6BBEFA4D" w14:textId="4BBA4A31" w:rsidR="00CF61D9" w:rsidRPr="00197FC8" w:rsidRDefault="00822ECC" w:rsidP="00D02555">
      <w:pPr>
        <w:keepNext/>
        <w:shd w:val="clear" w:color="auto" w:fill="C0C0C0"/>
        <w:spacing w:after="0" w:line="240" w:lineRule="auto"/>
        <w:jc w:val="center"/>
        <w:outlineLvl w:val="0"/>
        <w:rPr>
          <w:rFonts w:ascii="Times New Roman" w:hAnsi="Times New Roman" w:cs="Times New Roman"/>
          <w:b/>
          <w:bCs/>
          <w:kern w:val="32"/>
          <w:sz w:val="24"/>
          <w:szCs w:val="24"/>
        </w:rPr>
      </w:pPr>
      <w:r w:rsidRPr="00197FC8">
        <w:rPr>
          <w:rFonts w:ascii="Times New Roman" w:hAnsi="Times New Roman" w:cs="Times New Roman"/>
          <w:b/>
          <w:bCs/>
          <w:kern w:val="32"/>
          <w:sz w:val="24"/>
          <w:szCs w:val="24"/>
        </w:rPr>
        <w:t xml:space="preserve">CHAPTER 6: MODERNISING THE </w:t>
      </w:r>
      <w:r w:rsidRPr="007743B3">
        <w:rPr>
          <w:rFonts w:ascii="Times New Roman" w:hAnsi="Times New Roman" w:cs="Times New Roman"/>
          <w:b/>
          <w:bCs/>
          <w:i/>
          <w:iCs/>
          <w:kern w:val="32"/>
          <w:sz w:val="24"/>
          <w:szCs w:val="24"/>
        </w:rPr>
        <w:t>CATSI ACT</w:t>
      </w:r>
    </w:p>
    <w:p w14:paraId="4A84F8F6" w14:textId="6A4FE469" w:rsidR="00822ECC" w:rsidRPr="007743B3" w:rsidRDefault="00822ECC" w:rsidP="00D02555">
      <w:pPr>
        <w:spacing w:after="0" w:line="240" w:lineRule="auto"/>
        <w:jc w:val="both"/>
        <w:rPr>
          <w:rFonts w:ascii="Times New Roman" w:hAnsi="Times New Roman" w:cs="Times New Roman"/>
          <w:sz w:val="24"/>
          <w:szCs w:val="24"/>
        </w:rPr>
      </w:pPr>
    </w:p>
    <w:p w14:paraId="2AC55FE4" w14:textId="77777777" w:rsidR="0077586C" w:rsidRPr="007743B3" w:rsidRDefault="00822ECC" w:rsidP="007743B3">
      <w:pPr>
        <w:spacing w:after="0" w:line="240" w:lineRule="auto"/>
        <w:jc w:val="both"/>
        <w:rPr>
          <w:rFonts w:ascii="Times New Roman" w:hAnsi="Times New Roman" w:cs="Times New Roman"/>
          <w:i/>
          <w:iCs/>
          <w:color w:val="538135" w:themeColor="accent6" w:themeShade="BF"/>
          <w:sz w:val="24"/>
          <w:szCs w:val="24"/>
        </w:rPr>
      </w:pPr>
      <w:r w:rsidRPr="007743B3">
        <w:rPr>
          <w:rFonts w:ascii="Times New Roman" w:hAnsi="Times New Roman" w:cs="Times New Roman"/>
          <w:i/>
          <w:iCs/>
          <w:color w:val="538135" w:themeColor="accent6" w:themeShade="BF"/>
          <w:sz w:val="24"/>
          <w:szCs w:val="24"/>
        </w:rPr>
        <w:t xml:space="preserve">Disclosure, </w:t>
      </w:r>
      <w:proofErr w:type="gramStart"/>
      <w:r w:rsidRPr="007743B3">
        <w:rPr>
          <w:rFonts w:ascii="Times New Roman" w:hAnsi="Times New Roman" w:cs="Times New Roman"/>
          <w:i/>
          <w:iCs/>
          <w:color w:val="538135" w:themeColor="accent6" w:themeShade="BF"/>
          <w:sz w:val="24"/>
          <w:szCs w:val="24"/>
        </w:rPr>
        <w:t>storage</w:t>
      </w:r>
      <w:proofErr w:type="gramEnd"/>
      <w:r w:rsidRPr="007743B3">
        <w:rPr>
          <w:rFonts w:ascii="Times New Roman" w:hAnsi="Times New Roman" w:cs="Times New Roman"/>
          <w:i/>
          <w:iCs/>
          <w:color w:val="538135" w:themeColor="accent6" w:themeShade="BF"/>
          <w:sz w:val="24"/>
          <w:szCs w:val="24"/>
        </w:rPr>
        <w:t xml:space="preserve"> and publishing of information − Should the Registrar be able to use electronic means, such as email, when required to notify people or corporations directly?</w:t>
      </w:r>
    </w:p>
    <w:p w14:paraId="22BCB5FF" w14:textId="3C9EC14B" w:rsidR="0077586C" w:rsidRPr="007743B3" w:rsidRDefault="0077586C" w:rsidP="007743B3">
      <w:pPr>
        <w:spacing w:after="0" w:line="240" w:lineRule="auto"/>
        <w:jc w:val="both"/>
        <w:rPr>
          <w:rFonts w:ascii="Times New Roman" w:hAnsi="Times New Roman" w:cs="Times New Roman"/>
          <w:sz w:val="24"/>
          <w:szCs w:val="24"/>
        </w:rPr>
      </w:pPr>
    </w:p>
    <w:p w14:paraId="316A22EE" w14:textId="140E25D5" w:rsidR="0077586C" w:rsidRPr="007743B3" w:rsidRDefault="0077586C" w:rsidP="007743B3">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 xml:space="preserve">This should be an option </w:t>
      </w:r>
      <w:r w:rsidR="00393987">
        <w:rPr>
          <w:rFonts w:ascii="Times New Roman" w:hAnsi="Times New Roman" w:cs="Times New Roman"/>
          <w:sz w:val="24"/>
          <w:szCs w:val="24"/>
        </w:rPr>
        <w:t>for</w:t>
      </w:r>
      <w:r w:rsidRPr="007743B3">
        <w:rPr>
          <w:rFonts w:ascii="Times New Roman" w:hAnsi="Times New Roman" w:cs="Times New Roman"/>
          <w:sz w:val="24"/>
          <w:szCs w:val="24"/>
        </w:rPr>
        <w:t xml:space="preserve"> the relevant people to opt in to. </w:t>
      </w:r>
    </w:p>
    <w:p w14:paraId="1DFA44A1" w14:textId="77777777" w:rsidR="0077586C" w:rsidRPr="007743B3" w:rsidRDefault="0077586C" w:rsidP="007743B3">
      <w:pPr>
        <w:spacing w:after="0" w:line="240" w:lineRule="auto"/>
        <w:jc w:val="both"/>
        <w:rPr>
          <w:rFonts w:ascii="Times New Roman" w:hAnsi="Times New Roman" w:cs="Times New Roman"/>
          <w:sz w:val="24"/>
          <w:szCs w:val="24"/>
        </w:rPr>
      </w:pPr>
    </w:p>
    <w:p w14:paraId="15FA7154" w14:textId="3B40E479" w:rsidR="00822ECC" w:rsidRDefault="00822ECC" w:rsidP="00197FC8">
      <w:pPr>
        <w:spacing w:after="0" w:line="240" w:lineRule="auto"/>
        <w:jc w:val="both"/>
        <w:rPr>
          <w:rFonts w:ascii="Times New Roman" w:hAnsi="Times New Roman" w:cs="Times New Roman"/>
          <w:i/>
          <w:iCs/>
          <w:color w:val="538135" w:themeColor="accent6" w:themeShade="BF"/>
          <w:sz w:val="24"/>
          <w:szCs w:val="24"/>
        </w:rPr>
      </w:pPr>
      <w:r w:rsidRPr="007743B3">
        <w:rPr>
          <w:rFonts w:ascii="Times New Roman" w:hAnsi="Times New Roman" w:cs="Times New Roman"/>
          <w:i/>
          <w:iCs/>
          <w:color w:val="538135" w:themeColor="accent6" w:themeShade="BF"/>
          <w:sz w:val="24"/>
          <w:szCs w:val="24"/>
        </w:rPr>
        <w:t xml:space="preserve"> Should the CATSI Act be amended to enable corporations to store their information on cloud servers noting that they would need to take reasonable steps to ensure that the information was secure and met any relevant privacy requirements?</w:t>
      </w:r>
    </w:p>
    <w:p w14:paraId="4389C29C" w14:textId="77777777" w:rsidR="00D02555" w:rsidRPr="007743B3" w:rsidRDefault="00D02555" w:rsidP="00D02555">
      <w:pPr>
        <w:spacing w:after="0" w:line="240" w:lineRule="auto"/>
        <w:jc w:val="both"/>
        <w:rPr>
          <w:rFonts w:ascii="Times New Roman" w:hAnsi="Times New Roman" w:cs="Times New Roman"/>
          <w:i/>
          <w:iCs/>
          <w:color w:val="538135" w:themeColor="accent6" w:themeShade="BF"/>
          <w:sz w:val="24"/>
          <w:szCs w:val="24"/>
        </w:rPr>
      </w:pPr>
    </w:p>
    <w:p w14:paraId="086F9DBB" w14:textId="63BF07B0" w:rsidR="00FE0514" w:rsidRPr="007743B3" w:rsidRDefault="00524C49" w:rsidP="00D02555">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 xml:space="preserve">The </w:t>
      </w:r>
      <w:r w:rsidRPr="007743B3">
        <w:rPr>
          <w:rFonts w:ascii="Times New Roman" w:hAnsi="Times New Roman" w:cs="Times New Roman"/>
          <w:i/>
          <w:iCs/>
          <w:sz w:val="24"/>
          <w:szCs w:val="24"/>
        </w:rPr>
        <w:t>CATSI Act</w:t>
      </w:r>
      <w:r w:rsidRPr="007743B3">
        <w:rPr>
          <w:rFonts w:ascii="Times New Roman" w:hAnsi="Times New Roman" w:cs="Times New Roman"/>
          <w:sz w:val="24"/>
          <w:szCs w:val="24"/>
        </w:rPr>
        <w:t xml:space="preserve"> should not intervene in this matter. The legislation should be neutral regarding technology. CATSI corporations should have the choice to use technology that may be available when needed.</w:t>
      </w:r>
      <w:r w:rsidR="00D02555">
        <w:rPr>
          <w:rStyle w:val="FootnoteReference"/>
          <w:rFonts w:ascii="Times New Roman" w:hAnsi="Times New Roman" w:cs="Times New Roman"/>
          <w:sz w:val="24"/>
          <w:szCs w:val="24"/>
        </w:rPr>
        <w:footnoteReference w:id="15"/>
      </w:r>
    </w:p>
    <w:p w14:paraId="41F3B9F1" w14:textId="3E311C6E" w:rsidR="00822ECC" w:rsidRPr="007743B3" w:rsidRDefault="00822ECC" w:rsidP="007743B3">
      <w:pPr>
        <w:spacing w:after="0" w:line="240" w:lineRule="auto"/>
        <w:jc w:val="both"/>
        <w:rPr>
          <w:rFonts w:ascii="Times New Roman" w:hAnsi="Times New Roman" w:cs="Times New Roman"/>
          <w:sz w:val="24"/>
          <w:szCs w:val="24"/>
        </w:rPr>
      </w:pPr>
    </w:p>
    <w:p w14:paraId="7D1C858B" w14:textId="777301AE" w:rsidR="00822ECC" w:rsidRPr="007743B3" w:rsidRDefault="00822ECC" w:rsidP="007743B3">
      <w:pPr>
        <w:spacing w:after="0" w:line="240" w:lineRule="auto"/>
        <w:jc w:val="both"/>
        <w:rPr>
          <w:rFonts w:ascii="Times New Roman" w:hAnsi="Times New Roman" w:cs="Times New Roman"/>
          <w:i/>
          <w:iCs/>
          <w:color w:val="538135" w:themeColor="accent6" w:themeShade="BF"/>
          <w:sz w:val="24"/>
          <w:szCs w:val="24"/>
        </w:rPr>
      </w:pPr>
      <w:r w:rsidRPr="007743B3">
        <w:rPr>
          <w:rFonts w:ascii="Times New Roman" w:hAnsi="Times New Roman" w:cs="Times New Roman"/>
          <w:i/>
          <w:iCs/>
          <w:color w:val="538135" w:themeColor="accent6" w:themeShade="BF"/>
          <w:sz w:val="24"/>
          <w:szCs w:val="24"/>
        </w:rPr>
        <w:t xml:space="preserve">Sharing data for research purposes − Should the Registrar be able to share de-identified data and information with stakeholders such as researchers, </w:t>
      </w:r>
      <w:proofErr w:type="gramStart"/>
      <w:r w:rsidRPr="007743B3">
        <w:rPr>
          <w:rFonts w:ascii="Times New Roman" w:hAnsi="Times New Roman" w:cs="Times New Roman"/>
          <w:i/>
          <w:iCs/>
          <w:color w:val="538135" w:themeColor="accent6" w:themeShade="BF"/>
          <w:sz w:val="24"/>
          <w:szCs w:val="24"/>
        </w:rPr>
        <w:t>academics</w:t>
      </w:r>
      <w:proofErr w:type="gramEnd"/>
      <w:r w:rsidRPr="007743B3">
        <w:rPr>
          <w:rFonts w:ascii="Times New Roman" w:hAnsi="Times New Roman" w:cs="Times New Roman"/>
          <w:i/>
          <w:iCs/>
          <w:color w:val="538135" w:themeColor="accent6" w:themeShade="BF"/>
          <w:sz w:val="24"/>
          <w:szCs w:val="24"/>
        </w:rPr>
        <w:t xml:space="preserve"> and peak bodies among others?</w:t>
      </w:r>
    </w:p>
    <w:p w14:paraId="1214786F" w14:textId="365CF67E" w:rsidR="00822ECC" w:rsidRPr="007743B3" w:rsidRDefault="00822ECC" w:rsidP="007743B3">
      <w:pPr>
        <w:spacing w:after="0" w:line="240" w:lineRule="auto"/>
        <w:jc w:val="both"/>
        <w:rPr>
          <w:rFonts w:ascii="Times New Roman" w:hAnsi="Times New Roman" w:cs="Times New Roman"/>
          <w:sz w:val="24"/>
          <w:szCs w:val="24"/>
        </w:rPr>
      </w:pPr>
    </w:p>
    <w:p w14:paraId="7527A7FB" w14:textId="3296D7A9" w:rsidR="001F73D4" w:rsidRPr="007743B3" w:rsidRDefault="001F73D4" w:rsidP="007743B3">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 xml:space="preserve">The </w:t>
      </w:r>
      <w:r w:rsidR="00524C49" w:rsidRPr="007743B3">
        <w:rPr>
          <w:rFonts w:ascii="Times New Roman" w:hAnsi="Times New Roman" w:cs="Times New Roman"/>
          <w:sz w:val="24"/>
          <w:szCs w:val="24"/>
        </w:rPr>
        <w:t xml:space="preserve">Registrar should have the discretion to share de-identified data and information for the purpose of research. </w:t>
      </w:r>
      <w:r w:rsidRPr="007743B3">
        <w:rPr>
          <w:rFonts w:ascii="Times New Roman" w:hAnsi="Times New Roman" w:cs="Times New Roman"/>
          <w:sz w:val="24"/>
          <w:szCs w:val="24"/>
        </w:rPr>
        <w:t xml:space="preserve">This is a common practice with other regulators. Further, research into CATSI corporations is important for future reform in this area. It will ensure that the reforms are based on sound empirical evidence. </w:t>
      </w:r>
    </w:p>
    <w:p w14:paraId="17A0FDFC" w14:textId="77777777" w:rsidR="001F73D4" w:rsidRPr="007743B3" w:rsidRDefault="001F73D4" w:rsidP="007743B3">
      <w:pPr>
        <w:spacing w:after="0" w:line="240" w:lineRule="auto"/>
        <w:jc w:val="both"/>
        <w:rPr>
          <w:rFonts w:ascii="Times New Roman" w:hAnsi="Times New Roman" w:cs="Times New Roman"/>
          <w:sz w:val="24"/>
          <w:szCs w:val="24"/>
        </w:rPr>
      </w:pPr>
    </w:p>
    <w:p w14:paraId="2D1DBF64" w14:textId="77777777" w:rsidR="001F73D4" w:rsidRPr="007743B3" w:rsidRDefault="001F73D4" w:rsidP="007743B3">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The Registrar can put conditions when appropriate on the use of the data. For example, t</w:t>
      </w:r>
      <w:r w:rsidR="00524C49" w:rsidRPr="007743B3">
        <w:rPr>
          <w:rFonts w:ascii="Times New Roman" w:hAnsi="Times New Roman" w:cs="Times New Roman"/>
          <w:sz w:val="24"/>
          <w:szCs w:val="24"/>
        </w:rPr>
        <w:t xml:space="preserve">he identity of the corporations should not be </w:t>
      </w:r>
      <w:r w:rsidRPr="007743B3">
        <w:rPr>
          <w:rFonts w:ascii="Times New Roman" w:hAnsi="Times New Roman" w:cs="Times New Roman"/>
          <w:sz w:val="24"/>
          <w:szCs w:val="24"/>
        </w:rPr>
        <w:t>compromised.</w:t>
      </w:r>
    </w:p>
    <w:p w14:paraId="775AEEEC" w14:textId="77777777" w:rsidR="001F73D4" w:rsidRPr="007743B3" w:rsidRDefault="001F73D4" w:rsidP="007743B3">
      <w:pPr>
        <w:spacing w:after="0" w:line="240" w:lineRule="auto"/>
        <w:jc w:val="both"/>
        <w:rPr>
          <w:rFonts w:ascii="Times New Roman" w:hAnsi="Times New Roman" w:cs="Times New Roman"/>
          <w:sz w:val="24"/>
          <w:szCs w:val="24"/>
        </w:rPr>
      </w:pPr>
    </w:p>
    <w:p w14:paraId="175A30CA" w14:textId="0FD32DC7" w:rsidR="00822ECC" w:rsidRPr="007743B3" w:rsidRDefault="001F73D4" w:rsidP="007743B3">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lastRenderedPageBreak/>
        <w:t>However, legislative change is not needed. The Registrar just need to use its discretion regarding this matter.</w:t>
      </w:r>
    </w:p>
    <w:p w14:paraId="2E14C20A" w14:textId="6D64D2CC" w:rsidR="00822ECC" w:rsidRPr="007743B3" w:rsidRDefault="00822ECC" w:rsidP="007743B3">
      <w:pPr>
        <w:spacing w:after="0" w:line="240" w:lineRule="auto"/>
        <w:jc w:val="both"/>
        <w:rPr>
          <w:rFonts w:ascii="Times New Roman" w:hAnsi="Times New Roman" w:cs="Times New Roman"/>
          <w:sz w:val="24"/>
          <w:szCs w:val="24"/>
        </w:rPr>
      </w:pPr>
    </w:p>
    <w:p w14:paraId="204B2F32" w14:textId="77777777" w:rsidR="00CF61D9" w:rsidRPr="00197FC8" w:rsidRDefault="00CF61D9" w:rsidP="007743B3">
      <w:pPr>
        <w:spacing w:after="0" w:line="240" w:lineRule="auto"/>
        <w:jc w:val="both"/>
        <w:rPr>
          <w:rFonts w:ascii="Times New Roman" w:hAnsi="Times New Roman" w:cs="Times New Roman"/>
          <w:sz w:val="24"/>
          <w:szCs w:val="24"/>
        </w:rPr>
      </w:pPr>
    </w:p>
    <w:p w14:paraId="7F5E429D" w14:textId="299493B4" w:rsidR="00CF61D9" w:rsidRPr="00197FC8" w:rsidRDefault="00822ECC" w:rsidP="007743B3">
      <w:pPr>
        <w:keepNext/>
        <w:shd w:val="clear" w:color="auto" w:fill="C0C0C0"/>
        <w:spacing w:after="0" w:line="240" w:lineRule="auto"/>
        <w:jc w:val="center"/>
        <w:outlineLvl w:val="0"/>
        <w:rPr>
          <w:rFonts w:ascii="Times New Roman" w:hAnsi="Times New Roman" w:cs="Times New Roman"/>
          <w:b/>
          <w:bCs/>
          <w:kern w:val="32"/>
          <w:sz w:val="24"/>
          <w:szCs w:val="24"/>
        </w:rPr>
      </w:pPr>
      <w:r w:rsidRPr="00197FC8">
        <w:rPr>
          <w:rFonts w:ascii="Times New Roman" w:hAnsi="Times New Roman" w:cs="Times New Roman"/>
          <w:b/>
          <w:bCs/>
          <w:kern w:val="32"/>
          <w:sz w:val="24"/>
          <w:szCs w:val="24"/>
        </w:rPr>
        <w:t>CHAPTER 9: SPECIAL ADMINISTRATION, INSOLVENCY AND WINDING UP</w:t>
      </w:r>
    </w:p>
    <w:p w14:paraId="5E2E7CBE" w14:textId="5F861137" w:rsidR="00CF61D9" w:rsidRPr="00E418B7" w:rsidRDefault="00CF61D9" w:rsidP="007743B3">
      <w:pPr>
        <w:spacing w:after="0" w:line="240" w:lineRule="auto"/>
        <w:jc w:val="both"/>
        <w:rPr>
          <w:rFonts w:ascii="Times New Roman" w:hAnsi="Times New Roman" w:cs="Times New Roman"/>
          <w:sz w:val="24"/>
          <w:szCs w:val="24"/>
        </w:rPr>
      </w:pPr>
    </w:p>
    <w:p w14:paraId="446CDC0D" w14:textId="660E3CC8" w:rsidR="0033468C" w:rsidRPr="007743B3" w:rsidRDefault="00822ECC" w:rsidP="007743B3">
      <w:pPr>
        <w:spacing w:after="0" w:line="240" w:lineRule="auto"/>
        <w:jc w:val="both"/>
        <w:rPr>
          <w:rFonts w:ascii="Times New Roman" w:hAnsi="Times New Roman" w:cs="Times New Roman"/>
          <w:i/>
          <w:iCs/>
          <w:color w:val="538135" w:themeColor="accent6" w:themeShade="BF"/>
          <w:sz w:val="24"/>
          <w:szCs w:val="24"/>
        </w:rPr>
      </w:pPr>
      <w:r w:rsidRPr="007743B3">
        <w:rPr>
          <w:rFonts w:ascii="Times New Roman" w:hAnsi="Times New Roman" w:cs="Times New Roman"/>
          <w:i/>
          <w:iCs/>
          <w:color w:val="538135" w:themeColor="accent6" w:themeShade="BF"/>
          <w:sz w:val="24"/>
          <w:szCs w:val="24"/>
        </w:rPr>
        <w:t xml:space="preserve">Should the title of special administration be changed? </w:t>
      </w:r>
    </w:p>
    <w:p w14:paraId="5B8A36AF" w14:textId="77777777" w:rsidR="0033468C" w:rsidRPr="007743B3" w:rsidRDefault="0033468C" w:rsidP="007743B3">
      <w:pPr>
        <w:spacing w:after="0" w:line="240" w:lineRule="auto"/>
        <w:jc w:val="both"/>
        <w:rPr>
          <w:rFonts w:ascii="Times New Roman" w:hAnsi="Times New Roman" w:cs="Times New Roman"/>
          <w:sz w:val="24"/>
          <w:szCs w:val="24"/>
        </w:rPr>
      </w:pPr>
    </w:p>
    <w:p w14:paraId="0A5C4944" w14:textId="5FFE7E95" w:rsidR="0077586C" w:rsidRPr="007743B3" w:rsidRDefault="00D02555" w:rsidP="00774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33468C" w:rsidRPr="007743B3">
        <w:rPr>
          <w:rFonts w:ascii="Times New Roman" w:hAnsi="Times New Roman" w:cs="Times New Roman"/>
          <w:sz w:val="24"/>
          <w:szCs w:val="24"/>
        </w:rPr>
        <w:t xml:space="preserve">he title of </w:t>
      </w:r>
      <w:r>
        <w:rPr>
          <w:rFonts w:ascii="Times New Roman" w:hAnsi="Times New Roman" w:cs="Times New Roman"/>
          <w:sz w:val="24"/>
          <w:szCs w:val="24"/>
        </w:rPr>
        <w:t>‘</w:t>
      </w:r>
      <w:r w:rsidR="0033468C" w:rsidRPr="007743B3">
        <w:rPr>
          <w:rFonts w:ascii="Times New Roman" w:hAnsi="Times New Roman" w:cs="Times New Roman"/>
          <w:sz w:val="24"/>
          <w:szCs w:val="24"/>
        </w:rPr>
        <w:t>special administration</w:t>
      </w:r>
      <w:r>
        <w:rPr>
          <w:rFonts w:ascii="Times New Roman" w:hAnsi="Times New Roman" w:cs="Times New Roman"/>
          <w:sz w:val="24"/>
          <w:szCs w:val="24"/>
        </w:rPr>
        <w:t>’</w:t>
      </w:r>
      <w:r w:rsidR="0033468C" w:rsidRPr="007743B3">
        <w:rPr>
          <w:rFonts w:ascii="Times New Roman" w:hAnsi="Times New Roman" w:cs="Times New Roman"/>
          <w:sz w:val="24"/>
          <w:szCs w:val="24"/>
        </w:rPr>
        <w:t xml:space="preserve"> should not be changed. Concerns raised </w:t>
      </w:r>
      <w:r w:rsidR="00747401" w:rsidRPr="007743B3">
        <w:rPr>
          <w:rFonts w:ascii="Times New Roman" w:hAnsi="Times New Roman" w:cs="Times New Roman"/>
          <w:sz w:val="24"/>
          <w:szCs w:val="24"/>
        </w:rPr>
        <w:t xml:space="preserve">regarding </w:t>
      </w:r>
      <w:r>
        <w:rPr>
          <w:rFonts w:ascii="Times New Roman" w:hAnsi="Times New Roman" w:cs="Times New Roman"/>
          <w:sz w:val="24"/>
          <w:szCs w:val="24"/>
        </w:rPr>
        <w:t>the terminology ‘</w:t>
      </w:r>
      <w:r w:rsidR="00747401" w:rsidRPr="007743B3">
        <w:rPr>
          <w:rFonts w:ascii="Times New Roman" w:hAnsi="Times New Roman" w:cs="Times New Roman"/>
          <w:sz w:val="24"/>
          <w:szCs w:val="24"/>
        </w:rPr>
        <w:t>special administration</w:t>
      </w:r>
      <w:r>
        <w:rPr>
          <w:rFonts w:ascii="Times New Roman" w:hAnsi="Times New Roman" w:cs="Times New Roman"/>
          <w:sz w:val="24"/>
          <w:szCs w:val="24"/>
        </w:rPr>
        <w:t>’</w:t>
      </w:r>
      <w:r w:rsidR="00747401" w:rsidRPr="007743B3">
        <w:rPr>
          <w:rFonts w:ascii="Times New Roman" w:hAnsi="Times New Roman" w:cs="Times New Roman"/>
          <w:sz w:val="24"/>
          <w:szCs w:val="24"/>
        </w:rPr>
        <w:t xml:space="preserve"> </w:t>
      </w:r>
      <w:r>
        <w:rPr>
          <w:rFonts w:ascii="Times New Roman" w:hAnsi="Times New Roman" w:cs="Times New Roman"/>
          <w:sz w:val="24"/>
          <w:szCs w:val="24"/>
        </w:rPr>
        <w:t xml:space="preserve">are </w:t>
      </w:r>
      <w:r w:rsidR="0033468C" w:rsidRPr="007743B3">
        <w:rPr>
          <w:rFonts w:ascii="Times New Roman" w:hAnsi="Times New Roman" w:cs="Times New Roman"/>
          <w:sz w:val="24"/>
          <w:szCs w:val="24"/>
        </w:rPr>
        <w:t xml:space="preserve">not necessarily </w:t>
      </w:r>
      <w:r>
        <w:rPr>
          <w:rFonts w:ascii="Times New Roman" w:hAnsi="Times New Roman" w:cs="Times New Roman"/>
          <w:sz w:val="24"/>
          <w:szCs w:val="24"/>
        </w:rPr>
        <w:t xml:space="preserve">linked to its name but are most likely linked to the fact that </w:t>
      </w:r>
      <w:r w:rsidR="0033468C" w:rsidRPr="007743B3">
        <w:rPr>
          <w:rFonts w:ascii="Times New Roman" w:hAnsi="Times New Roman" w:cs="Times New Roman"/>
          <w:sz w:val="24"/>
          <w:szCs w:val="24"/>
        </w:rPr>
        <w:t xml:space="preserve">an external person is being brought in the organisation because of a particular problem which could be mismanagement </w:t>
      </w:r>
      <w:r w:rsidR="00747401" w:rsidRPr="007743B3">
        <w:rPr>
          <w:rFonts w:ascii="Times New Roman" w:hAnsi="Times New Roman" w:cs="Times New Roman"/>
          <w:sz w:val="24"/>
          <w:szCs w:val="24"/>
        </w:rPr>
        <w:t>by directors or financial difficulty. Accordingly, changing the name even to something like ‘Redress scheme’ will not remove these concerns. The Registrar should play a key role in changing perceptions of people regarding special administration through education.</w:t>
      </w:r>
    </w:p>
    <w:p w14:paraId="453616B3" w14:textId="77777777" w:rsidR="0077586C" w:rsidRPr="007743B3" w:rsidRDefault="0077586C" w:rsidP="007743B3">
      <w:pPr>
        <w:spacing w:after="0" w:line="240" w:lineRule="auto"/>
        <w:jc w:val="both"/>
        <w:rPr>
          <w:rFonts w:ascii="Times New Roman" w:hAnsi="Times New Roman" w:cs="Times New Roman"/>
          <w:sz w:val="24"/>
          <w:szCs w:val="24"/>
        </w:rPr>
      </w:pPr>
    </w:p>
    <w:p w14:paraId="141C1EE6" w14:textId="77777777" w:rsidR="0077586C" w:rsidRPr="007743B3" w:rsidRDefault="00822ECC" w:rsidP="007743B3">
      <w:pPr>
        <w:spacing w:after="0" w:line="240" w:lineRule="auto"/>
        <w:jc w:val="both"/>
        <w:rPr>
          <w:rFonts w:ascii="Times New Roman" w:hAnsi="Times New Roman" w:cs="Times New Roman"/>
          <w:i/>
          <w:iCs/>
          <w:color w:val="538135" w:themeColor="accent6" w:themeShade="BF"/>
          <w:sz w:val="24"/>
          <w:szCs w:val="24"/>
        </w:rPr>
      </w:pPr>
      <w:r w:rsidRPr="007743B3">
        <w:rPr>
          <w:rFonts w:ascii="Times New Roman" w:hAnsi="Times New Roman" w:cs="Times New Roman"/>
          <w:i/>
          <w:iCs/>
          <w:color w:val="538135" w:themeColor="accent6" w:themeShade="BF"/>
          <w:sz w:val="24"/>
          <w:szCs w:val="24"/>
        </w:rPr>
        <w:t xml:space="preserve">Insolvency and winding up - − Should the CATSI Act be amended to include a rebuttable presumption of insolvency? </w:t>
      </w:r>
    </w:p>
    <w:p w14:paraId="6902FAA1" w14:textId="3255DFCF" w:rsidR="0077586C" w:rsidRPr="007743B3" w:rsidRDefault="0077586C" w:rsidP="007743B3">
      <w:pPr>
        <w:spacing w:after="0" w:line="240" w:lineRule="auto"/>
        <w:jc w:val="both"/>
        <w:rPr>
          <w:rFonts w:ascii="Times New Roman" w:hAnsi="Times New Roman" w:cs="Times New Roman"/>
          <w:sz w:val="24"/>
          <w:szCs w:val="24"/>
        </w:rPr>
      </w:pPr>
    </w:p>
    <w:p w14:paraId="3CD238D2" w14:textId="016F85E8" w:rsidR="0077586C" w:rsidRPr="007743B3" w:rsidRDefault="0077586C" w:rsidP="007743B3">
      <w:pPr>
        <w:spacing w:after="0" w:line="240" w:lineRule="auto"/>
        <w:jc w:val="both"/>
        <w:rPr>
          <w:rFonts w:ascii="Times New Roman" w:hAnsi="Times New Roman" w:cs="Times New Roman"/>
          <w:sz w:val="24"/>
          <w:szCs w:val="24"/>
        </w:rPr>
      </w:pPr>
      <w:r w:rsidRPr="007743B3">
        <w:rPr>
          <w:rFonts w:ascii="Times New Roman" w:hAnsi="Times New Roman" w:cs="Times New Roman"/>
          <w:sz w:val="24"/>
          <w:szCs w:val="24"/>
        </w:rPr>
        <w:t xml:space="preserve">Rebuttable presumption of insolvency should be introduced under the </w:t>
      </w:r>
      <w:r w:rsidRPr="007743B3">
        <w:rPr>
          <w:rFonts w:ascii="Times New Roman" w:hAnsi="Times New Roman" w:cs="Times New Roman"/>
          <w:i/>
          <w:iCs/>
          <w:sz w:val="24"/>
          <w:szCs w:val="24"/>
        </w:rPr>
        <w:t>CATSI Act</w:t>
      </w:r>
      <w:r w:rsidRPr="007743B3">
        <w:rPr>
          <w:rFonts w:ascii="Times New Roman" w:hAnsi="Times New Roman" w:cs="Times New Roman"/>
          <w:sz w:val="24"/>
          <w:szCs w:val="24"/>
        </w:rPr>
        <w:t xml:space="preserve">. These provisions should be akin to the one under the winding up provisions present under the </w:t>
      </w:r>
      <w:r w:rsidRPr="007743B3">
        <w:rPr>
          <w:rFonts w:ascii="Times New Roman" w:hAnsi="Times New Roman" w:cs="Times New Roman"/>
          <w:i/>
          <w:iCs/>
          <w:sz w:val="24"/>
          <w:szCs w:val="24"/>
        </w:rPr>
        <w:t>Corporations Act 2001</w:t>
      </w:r>
      <w:r w:rsidRPr="007743B3">
        <w:rPr>
          <w:rFonts w:ascii="Times New Roman" w:hAnsi="Times New Roman" w:cs="Times New Roman"/>
          <w:sz w:val="24"/>
          <w:szCs w:val="24"/>
        </w:rPr>
        <w:t xml:space="preserve"> (</w:t>
      </w:r>
      <w:proofErr w:type="spellStart"/>
      <w:r w:rsidRPr="007743B3">
        <w:rPr>
          <w:rFonts w:ascii="Times New Roman" w:hAnsi="Times New Roman" w:cs="Times New Roman"/>
          <w:sz w:val="24"/>
          <w:szCs w:val="24"/>
        </w:rPr>
        <w:t>Cth</w:t>
      </w:r>
      <w:proofErr w:type="spellEnd"/>
      <w:r w:rsidRPr="007743B3">
        <w:rPr>
          <w:rFonts w:ascii="Times New Roman" w:hAnsi="Times New Roman" w:cs="Times New Roman"/>
          <w:sz w:val="24"/>
          <w:szCs w:val="24"/>
        </w:rPr>
        <w:t>)</w:t>
      </w:r>
      <w:r w:rsidR="00D02555">
        <w:rPr>
          <w:rFonts w:ascii="Times New Roman" w:hAnsi="Times New Roman" w:cs="Times New Roman"/>
          <w:sz w:val="24"/>
          <w:szCs w:val="24"/>
        </w:rPr>
        <w:t xml:space="preserve">, not the one attached to s 588G of the </w:t>
      </w:r>
      <w:r w:rsidR="00D02555" w:rsidRPr="007743B3">
        <w:rPr>
          <w:rFonts w:ascii="Times New Roman" w:hAnsi="Times New Roman" w:cs="Times New Roman"/>
          <w:i/>
          <w:iCs/>
          <w:sz w:val="24"/>
          <w:szCs w:val="24"/>
        </w:rPr>
        <w:t>Corporations Act 2001</w:t>
      </w:r>
      <w:r w:rsidR="00D02555">
        <w:rPr>
          <w:rFonts w:ascii="Times New Roman" w:hAnsi="Times New Roman" w:cs="Times New Roman"/>
          <w:sz w:val="24"/>
          <w:szCs w:val="24"/>
        </w:rPr>
        <w:t xml:space="preserve"> (</w:t>
      </w:r>
      <w:proofErr w:type="spellStart"/>
      <w:r w:rsidR="00D02555">
        <w:rPr>
          <w:rFonts w:ascii="Times New Roman" w:hAnsi="Times New Roman" w:cs="Times New Roman"/>
          <w:sz w:val="24"/>
          <w:szCs w:val="24"/>
        </w:rPr>
        <w:t>Cth</w:t>
      </w:r>
      <w:proofErr w:type="spellEnd"/>
      <w:r w:rsidR="00D02555">
        <w:rPr>
          <w:rFonts w:ascii="Times New Roman" w:hAnsi="Times New Roman" w:cs="Times New Roman"/>
          <w:sz w:val="24"/>
          <w:szCs w:val="24"/>
        </w:rPr>
        <w:t>)</w:t>
      </w:r>
      <w:r w:rsidRPr="007743B3">
        <w:rPr>
          <w:rFonts w:ascii="Times New Roman" w:hAnsi="Times New Roman" w:cs="Times New Roman"/>
          <w:sz w:val="24"/>
          <w:szCs w:val="24"/>
        </w:rPr>
        <w:t xml:space="preserve">. </w:t>
      </w:r>
    </w:p>
    <w:p w14:paraId="3B00989F" w14:textId="21565028" w:rsidR="0077586C" w:rsidRDefault="0077586C" w:rsidP="00197FC8">
      <w:pPr>
        <w:spacing w:after="0" w:line="240" w:lineRule="auto"/>
        <w:jc w:val="both"/>
        <w:rPr>
          <w:rFonts w:ascii="Times New Roman" w:hAnsi="Times New Roman" w:cs="Times New Roman"/>
          <w:sz w:val="24"/>
          <w:szCs w:val="24"/>
        </w:rPr>
      </w:pPr>
    </w:p>
    <w:p w14:paraId="074DCB01" w14:textId="77777777" w:rsidR="007C5440" w:rsidRPr="007743B3" w:rsidRDefault="007C5440" w:rsidP="007C5440">
      <w:pPr>
        <w:spacing w:after="0" w:line="240" w:lineRule="auto"/>
        <w:jc w:val="both"/>
        <w:rPr>
          <w:rFonts w:ascii="Times New Roman" w:hAnsi="Times New Roman" w:cs="Times New Roman"/>
          <w:sz w:val="24"/>
          <w:szCs w:val="24"/>
        </w:rPr>
      </w:pPr>
    </w:p>
    <w:p w14:paraId="2E053290" w14:textId="67B94597" w:rsidR="00CF61D9" w:rsidRPr="00197FC8" w:rsidRDefault="00822ECC" w:rsidP="007743B3">
      <w:pPr>
        <w:keepNext/>
        <w:shd w:val="clear" w:color="auto" w:fill="C0C0C0"/>
        <w:tabs>
          <w:tab w:val="center" w:pos="4513"/>
          <w:tab w:val="left" w:pos="8088"/>
        </w:tabs>
        <w:spacing w:after="0" w:line="240" w:lineRule="auto"/>
        <w:outlineLvl w:val="0"/>
        <w:rPr>
          <w:rFonts w:ascii="Times New Roman" w:hAnsi="Times New Roman" w:cs="Times New Roman"/>
          <w:b/>
          <w:bCs/>
          <w:kern w:val="32"/>
          <w:sz w:val="24"/>
          <w:szCs w:val="24"/>
        </w:rPr>
      </w:pPr>
      <w:r w:rsidRPr="00197FC8">
        <w:rPr>
          <w:rFonts w:ascii="Times New Roman" w:hAnsi="Times New Roman" w:cs="Times New Roman"/>
          <w:b/>
          <w:bCs/>
          <w:kern w:val="32"/>
          <w:sz w:val="24"/>
          <w:szCs w:val="24"/>
        </w:rPr>
        <w:tab/>
        <w:t>CONCLUSION</w:t>
      </w:r>
    </w:p>
    <w:p w14:paraId="18718F76" w14:textId="77777777" w:rsidR="00CF61D9" w:rsidRPr="00E418B7" w:rsidRDefault="00CF61D9" w:rsidP="007743B3">
      <w:pPr>
        <w:spacing w:after="0" w:line="240" w:lineRule="auto"/>
        <w:jc w:val="both"/>
        <w:rPr>
          <w:rFonts w:ascii="Times New Roman" w:hAnsi="Times New Roman" w:cs="Times New Roman"/>
          <w:sz w:val="24"/>
          <w:szCs w:val="24"/>
        </w:rPr>
      </w:pPr>
    </w:p>
    <w:p w14:paraId="3A561C46" w14:textId="1660012A" w:rsidR="00CF61D9" w:rsidRDefault="00D02555" w:rsidP="00197F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7743B3">
        <w:rPr>
          <w:rFonts w:ascii="Times New Roman" w:hAnsi="Times New Roman" w:cs="Times New Roman"/>
          <w:i/>
          <w:iCs/>
          <w:sz w:val="24"/>
          <w:szCs w:val="24"/>
        </w:rPr>
        <w:t>CATSI Act</w:t>
      </w:r>
      <w:r>
        <w:rPr>
          <w:rFonts w:ascii="Times New Roman" w:hAnsi="Times New Roman" w:cs="Times New Roman"/>
          <w:sz w:val="24"/>
          <w:szCs w:val="24"/>
        </w:rPr>
        <w:t xml:space="preserve"> has the potential to close the gap and empower </w:t>
      </w:r>
      <w:r w:rsidR="007C5440">
        <w:rPr>
          <w:rFonts w:ascii="Times New Roman" w:hAnsi="Times New Roman" w:cs="Times New Roman"/>
          <w:sz w:val="24"/>
          <w:szCs w:val="24"/>
        </w:rPr>
        <w:t>I</w:t>
      </w:r>
      <w:r>
        <w:rPr>
          <w:rFonts w:ascii="Times New Roman" w:hAnsi="Times New Roman" w:cs="Times New Roman"/>
          <w:sz w:val="24"/>
          <w:szCs w:val="24"/>
        </w:rPr>
        <w:t xml:space="preserve">ndigenous people to set up both for-profit and not-for-profit entities that are the embodiment of </w:t>
      </w:r>
      <w:r w:rsidR="007C5440">
        <w:rPr>
          <w:rFonts w:ascii="Times New Roman" w:hAnsi="Times New Roman" w:cs="Times New Roman"/>
          <w:sz w:val="24"/>
          <w:szCs w:val="24"/>
        </w:rPr>
        <w:t>I</w:t>
      </w:r>
      <w:r>
        <w:rPr>
          <w:rFonts w:ascii="Times New Roman" w:hAnsi="Times New Roman" w:cs="Times New Roman"/>
          <w:sz w:val="24"/>
          <w:szCs w:val="24"/>
        </w:rPr>
        <w:t xml:space="preserve">ndigenous values and culture. However, for this to occur, there is a need to make substantial changes in the legislation. For instance, the object of the Act needs to be reflective of the desired purpose of the </w:t>
      </w:r>
      <w:r w:rsidR="007C5440">
        <w:rPr>
          <w:rFonts w:ascii="Times New Roman" w:hAnsi="Times New Roman" w:cs="Times New Roman"/>
          <w:sz w:val="24"/>
          <w:szCs w:val="24"/>
        </w:rPr>
        <w:t>legislation</w:t>
      </w:r>
      <w:r>
        <w:rPr>
          <w:rFonts w:ascii="Times New Roman" w:hAnsi="Times New Roman" w:cs="Times New Roman"/>
          <w:sz w:val="24"/>
          <w:szCs w:val="24"/>
        </w:rPr>
        <w:t xml:space="preserve"> which is linked to building capacity and promoting </w:t>
      </w:r>
      <w:r w:rsidR="007C5440">
        <w:rPr>
          <w:rFonts w:ascii="Times New Roman" w:hAnsi="Times New Roman" w:cs="Times New Roman"/>
          <w:sz w:val="24"/>
          <w:szCs w:val="24"/>
        </w:rPr>
        <w:t>I</w:t>
      </w:r>
      <w:r>
        <w:rPr>
          <w:rFonts w:ascii="Times New Roman" w:hAnsi="Times New Roman" w:cs="Times New Roman"/>
          <w:sz w:val="24"/>
          <w:szCs w:val="24"/>
        </w:rPr>
        <w:t>ndigenous values. Further, governance rules need to be less restrictive.</w:t>
      </w:r>
    </w:p>
    <w:p w14:paraId="76FB3958" w14:textId="1ED3E2ED" w:rsidR="00D02555" w:rsidRDefault="00D02555" w:rsidP="00D02555">
      <w:pPr>
        <w:spacing w:after="0" w:line="240" w:lineRule="auto"/>
        <w:jc w:val="both"/>
        <w:rPr>
          <w:rFonts w:ascii="Times New Roman" w:hAnsi="Times New Roman" w:cs="Times New Roman"/>
          <w:sz w:val="24"/>
          <w:szCs w:val="24"/>
        </w:rPr>
      </w:pPr>
    </w:p>
    <w:p w14:paraId="41B55E9C" w14:textId="739169A1" w:rsidR="00D02555" w:rsidRPr="000A73C8" w:rsidRDefault="00D02555" w:rsidP="00D025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Lastly, the introduction of a range of new sanctions into the legislation is a positive move as it will allow the Registrar to rely on the </w:t>
      </w:r>
      <w:r w:rsidR="007C5440">
        <w:rPr>
          <w:rFonts w:ascii="Times New Roman" w:hAnsi="Times New Roman" w:cs="Times New Roman"/>
          <w:sz w:val="24"/>
          <w:szCs w:val="24"/>
        </w:rPr>
        <w:t>best</w:t>
      </w:r>
      <w:r>
        <w:rPr>
          <w:rFonts w:ascii="Times New Roman" w:hAnsi="Times New Roman" w:cs="Times New Roman"/>
          <w:sz w:val="24"/>
          <w:szCs w:val="24"/>
        </w:rPr>
        <w:t xml:space="preserve"> likely remedy to achieve the outcome </w:t>
      </w:r>
      <w:r w:rsidR="007C5440">
        <w:rPr>
          <w:rFonts w:ascii="Times New Roman" w:hAnsi="Times New Roman" w:cs="Times New Roman"/>
          <w:sz w:val="24"/>
          <w:szCs w:val="24"/>
        </w:rPr>
        <w:t xml:space="preserve">most suited </w:t>
      </w:r>
      <w:r>
        <w:rPr>
          <w:rFonts w:ascii="Times New Roman" w:hAnsi="Times New Roman" w:cs="Times New Roman"/>
          <w:sz w:val="24"/>
          <w:szCs w:val="24"/>
        </w:rPr>
        <w:t xml:space="preserve">for the situation. Enforceable undertaking is one such sanction: It is a versatile sanction </w:t>
      </w:r>
      <w:r w:rsidR="009E0544">
        <w:rPr>
          <w:rFonts w:ascii="Times New Roman" w:hAnsi="Times New Roman" w:cs="Times New Roman"/>
          <w:sz w:val="24"/>
          <w:szCs w:val="24"/>
        </w:rPr>
        <w:t>that may lead to restorative justice and m</w:t>
      </w:r>
      <w:r w:rsidR="007C5440">
        <w:rPr>
          <w:rFonts w:ascii="Times New Roman" w:hAnsi="Times New Roman" w:cs="Times New Roman"/>
          <w:sz w:val="24"/>
          <w:szCs w:val="24"/>
        </w:rPr>
        <w:t>ay</w:t>
      </w:r>
      <w:r w:rsidR="009E0544">
        <w:rPr>
          <w:rFonts w:ascii="Times New Roman" w:hAnsi="Times New Roman" w:cs="Times New Roman"/>
          <w:sz w:val="24"/>
          <w:szCs w:val="24"/>
        </w:rPr>
        <w:t xml:space="preserve"> be used in a way that promotes </w:t>
      </w:r>
      <w:r w:rsidR="007C5440">
        <w:rPr>
          <w:rFonts w:ascii="Times New Roman" w:hAnsi="Times New Roman" w:cs="Times New Roman"/>
          <w:sz w:val="24"/>
          <w:szCs w:val="24"/>
        </w:rPr>
        <w:t>I</w:t>
      </w:r>
      <w:r w:rsidR="009E0544">
        <w:rPr>
          <w:rFonts w:ascii="Times New Roman" w:hAnsi="Times New Roman" w:cs="Times New Roman"/>
          <w:sz w:val="24"/>
          <w:szCs w:val="24"/>
        </w:rPr>
        <w:t>ndigenous values and culture.</w:t>
      </w:r>
      <w:r>
        <w:rPr>
          <w:rFonts w:ascii="Times New Roman" w:hAnsi="Times New Roman" w:cs="Times New Roman"/>
          <w:sz w:val="24"/>
          <w:szCs w:val="24"/>
        </w:rPr>
        <w:t xml:space="preserve"> </w:t>
      </w:r>
    </w:p>
    <w:p w14:paraId="72E48B6A" w14:textId="44C54F6D" w:rsidR="00822ECC" w:rsidRPr="00213170" w:rsidRDefault="00822ECC" w:rsidP="00D02555">
      <w:pPr>
        <w:spacing w:after="0" w:line="240" w:lineRule="auto"/>
        <w:jc w:val="both"/>
        <w:rPr>
          <w:rFonts w:ascii="Times New Roman" w:hAnsi="Times New Roman" w:cs="Times New Roman"/>
          <w:sz w:val="24"/>
          <w:szCs w:val="24"/>
        </w:rPr>
      </w:pPr>
    </w:p>
    <w:p w14:paraId="6084F46B" w14:textId="77777777" w:rsidR="00822ECC" w:rsidRPr="004533BD" w:rsidRDefault="00822ECC" w:rsidP="00D21A53">
      <w:pPr>
        <w:spacing w:after="0" w:line="240" w:lineRule="auto"/>
        <w:jc w:val="both"/>
        <w:rPr>
          <w:rFonts w:ascii="Times New Roman" w:hAnsi="Times New Roman" w:cs="Times New Roman"/>
          <w:sz w:val="24"/>
          <w:szCs w:val="24"/>
        </w:rPr>
      </w:pPr>
    </w:p>
    <w:p w14:paraId="14878A77" w14:textId="36599B52" w:rsidR="00CF61D9" w:rsidRDefault="009E0544" w:rsidP="00197F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Associate Professor Marina Nehme</w:t>
      </w:r>
    </w:p>
    <w:p w14:paraId="26A876AD" w14:textId="77777777" w:rsidR="009E0544" w:rsidRPr="007743B3" w:rsidRDefault="009E0544" w:rsidP="009E0544">
      <w:pPr>
        <w:spacing w:after="0" w:line="240" w:lineRule="auto"/>
        <w:jc w:val="both"/>
        <w:rPr>
          <w:rFonts w:ascii="Times New Roman" w:hAnsi="Times New Roman" w:cs="Times New Roman"/>
          <w:sz w:val="24"/>
          <w:szCs w:val="24"/>
        </w:rPr>
      </w:pPr>
    </w:p>
    <w:p w14:paraId="2ED7B353" w14:textId="56C1C688" w:rsidR="00CF61D9" w:rsidRPr="00197FC8" w:rsidRDefault="00917B13" w:rsidP="007743B3">
      <w:pPr>
        <w:spacing w:after="0" w:line="240" w:lineRule="auto"/>
        <w:jc w:val="both"/>
        <w:rPr>
          <w:rFonts w:ascii="Times New Roman" w:hAnsi="Times New Roman" w:cs="Times New Roman"/>
          <w:sz w:val="24"/>
          <w:szCs w:val="24"/>
        </w:rPr>
      </w:pPr>
      <w:r w:rsidRPr="00197FC8">
        <w:rPr>
          <w:rFonts w:ascii="Times New Roman" w:hAnsi="Times New Roman" w:cs="Times New Roman"/>
          <w:sz w:val="24"/>
          <w:szCs w:val="24"/>
        </w:rPr>
        <w:t>2 October 2020</w:t>
      </w:r>
    </w:p>
    <w:p w14:paraId="2407448E" w14:textId="77777777" w:rsidR="00CF61D9" w:rsidRPr="00E418B7" w:rsidRDefault="00CF61D9" w:rsidP="007743B3">
      <w:pPr>
        <w:spacing w:after="0" w:line="240" w:lineRule="auto"/>
        <w:jc w:val="both"/>
        <w:rPr>
          <w:rFonts w:ascii="Times New Roman" w:hAnsi="Times New Roman" w:cs="Times New Roman"/>
          <w:sz w:val="24"/>
          <w:szCs w:val="24"/>
        </w:rPr>
      </w:pPr>
    </w:p>
    <w:p w14:paraId="10D945A1" w14:textId="77777777" w:rsidR="00CF61D9" w:rsidRPr="007743B3" w:rsidRDefault="00CF61D9" w:rsidP="007743B3">
      <w:pPr>
        <w:spacing w:after="0" w:line="240" w:lineRule="auto"/>
        <w:rPr>
          <w:rFonts w:ascii="Times New Roman" w:hAnsi="Times New Roman" w:cs="Times New Roman"/>
          <w:sz w:val="24"/>
          <w:szCs w:val="24"/>
        </w:rPr>
      </w:pPr>
    </w:p>
    <w:sectPr w:rsidR="00CF61D9" w:rsidRPr="007743B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C08BE" w14:textId="77777777" w:rsidR="00703C0C" w:rsidRDefault="00703C0C" w:rsidP="00CF61D9">
      <w:pPr>
        <w:spacing w:after="0" w:line="240" w:lineRule="auto"/>
      </w:pPr>
      <w:r>
        <w:separator/>
      </w:r>
    </w:p>
  </w:endnote>
  <w:endnote w:type="continuationSeparator" w:id="0">
    <w:p w14:paraId="3ADB8671" w14:textId="77777777" w:rsidR="00703C0C" w:rsidRDefault="00703C0C" w:rsidP="00CF6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0809541"/>
      <w:docPartObj>
        <w:docPartGallery w:val="Page Numbers (Bottom of Page)"/>
        <w:docPartUnique/>
      </w:docPartObj>
    </w:sdtPr>
    <w:sdtEndPr>
      <w:rPr>
        <w:noProof/>
      </w:rPr>
    </w:sdtEndPr>
    <w:sdtContent>
      <w:p w14:paraId="569D6216" w14:textId="29A75B32" w:rsidR="004533BD" w:rsidRDefault="004533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95499F" w14:textId="77777777" w:rsidR="004533BD" w:rsidRDefault="00453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02E53" w14:textId="77777777" w:rsidR="00703C0C" w:rsidRDefault="00703C0C" w:rsidP="00CF61D9">
      <w:pPr>
        <w:spacing w:after="0" w:line="240" w:lineRule="auto"/>
      </w:pPr>
      <w:r>
        <w:separator/>
      </w:r>
    </w:p>
  </w:footnote>
  <w:footnote w:type="continuationSeparator" w:id="0">
    <w:p w14:paraId="2BCD5C8A" w14:textId="77777777" w:rsidR="00703C0C" w:rsidRDefault="00703C0C" w:rsidP="00CF61D9">
      <w:pPr>
        <w:spacing w:after="0" w:line="240" w:lineRule="auto"/>
      </w:pPr>
      <w:r>
        <w:continuationSeparator/>
      </w:r>
    </w:p>
  </w:footnote>
  <w:footnote w:id="1">
    <w:p w14:paraId="43BB9F6C" w14:textId="7A034389" w:rsidR="004533BD" w:rsidRPr="00193F9D" w:rsidRDefault="004533BD" w:rsidP="000A73C8">
      <w:pPr>
        <w:pStyle w:val="FootnoteText"/>
      </w:pPr>
      <w:r w:rsidRPr="00193F9D">
        <w:rPr>
          <w:rStyle w:val="FootnoteReference"/>
        </w:rPr>
        <w:footnoteRef/>
      </w:r>
      <w:r w:rsidRPr="00193F9D">
        <w:t xml:space="preserve"> R</w:t>
      </w:r>
      <w:r>
        <w:t>evised Explanatory Memorandum,</w:t>
      </w:r>
      <w:r w:rsidRPr="00193F9D">
        <w:t xml:space="preserve"> the</w:t>
      </w:r>
      <w:r w:rsidRPr="00193F9D">
        <w:rPr>
          <w:i/>
        </w:rPr>
        <w:t xml:space="preserve"> </w:t>
      </w:r>
      <w:r w:rsidRPr="00A452B1">
        <w:t>Corporations (Aboriginal and Torres Strait Islander) Bill 2006</w:t>
      </w:r>
      <w:r w:rsidRPr="00193F9D">
        <w:rPr>
          <w:i/>
        </w:rPr>
        <w:t xml:space="preserve"> </w:t>
      </w:r>
      <w:r w:rsidRPr="00193F9D">
        <w:t>(</w:t>
      </w:r>
      <w:proofErr w:type="spellStart"/>
      <w:r w:rsidRPr="00193F9D">
        <w:t>Cth</w:t>
      </w:r>
      <w:proofErr w:type="spellEnd"/>
      <w:r w:rsidRPr="00193F9D">
        <w:t>), 34.</w:t>
      </w:r>
    </w:p>
  </w:footnote>
  <w:footnote w:id="2">
    <w:p w14:paraId="6AF99A7A" w14:textId="77777777" w:rsidR="004533BD" w:rsidRPr="00193F9D" w:rsidRDefault="004533BD" w:rsidP="000A73C8">
      <w:pPr>
        <w:pStyle w:val="FootnoteText"/>
      </w:pPr>
      <w:r w:rsidRPr="00193F9D">
        <w:rPr>
          <w:rStyle w:val="FootnoteReference"/>
        </w:rPr>
        <w:footnoteRef/>
      </w:r>
      <w:r w:rsidRPr="00193F9D">
        <w:t xml:space="preserve"> </w:t>
      </w:r>
      <w:r w:rsidRPr="00193F9D">
        <w:rPr>
          <w:lang w:val="en-US"/>
        </w:rPr>
        <w:t>Ibid 21.</w:t>
      </w:r>
    </w:p>
  </w:footnote>
  <w:footnote w:id="3">
    <w:p w14:paraId="0A23B689" w14:textId="77777777" w:rsidR="004533BD" w:rsidRDefault="004533BD" w:rsidP="000A73C8">
      <w:pPr>
        <w:pStyle w:val="FootnoteText"/>
      </w:pPr>
      <w:r>
        <w:rPr>
          <w:rStyle w:val="FootnoteReference"/>
        </w:rPr>
        <w:footnoteRef/>
      </w:r>
      <w:r>
        <w:t xml:space="preserve"> John Braithwaite, </w:t>
      </w:r>
      <w:r>
        <w:rPr>
          <w:i/>
        </w:rPr>
        <w:t>To Punish or Persuade: Enforcement of Coal Mine Safety</w:t>
      </w:r>
      <w:r>
        <w:t xml:space="preserve"> (State University of New York State, 1985), 117-118.</w:t>
      </w:r>
    </w:p>
  </w:footnote>
  <w:footnote w:id="4">
    <w:p w14:paraId="6ED92F98" w14:textId="6A42D348" w:rsidR="004533BD" w:rsidRDefault="004533BD" w:rsidP="000A73C8">
      <w:pPr>
        <w:pStyle w:val="FootnoteText"/>
      </w:pPr>
      <w:r>
        <w:rPr>
          <w:rStyle w:val="FootnoteReference"/>
        </w:rPr>
        <w:footnoteRef/>
      </w:r>
      <w:r>
        <w:t xml:space="preserve"> </w:t>
      </w:r>
      <w:r w:rsidRPr="009D2E15">
        <w:t xml:space="preserve">Ian Ayres and John Braithwaite, </w:t>
      </w:r>
      <w:r w:rsidRPr="009D2E15">
        <w:rPr>
          <w:i/>
        </w:rPr>
        <w:t>Responsive Regulation: Transcending the Deregulation Debate</w:t>
      </w:r>
      <w:r w:rsidRPr="009D2E15">
        <w:t xml:space="preserve"> (Oxford University Press, 1992)</w:t>
      </w:r>
      <w:r>
        <w:t>, 36.</w:t>
      </w:r>
    </w:p>
  </w:footnote>
  <w:footnote w:id="5">
    <w:p w14:paraId="1D03CE96" w14:textId="77777777" w:rsidR="004533BD" w:rsidRDefault="004533BD" w:rsidP="00213170">
      <w:pPr>
        <w:pStyle w:val="FootnoteText"/>
      </w:pPr>
      <w:r>
        <w:rPr>
          <w:rStyle w:val="FootnoteReference"/>
        </w:rPr>
        <w:footnoteRef/>
      </w:r>
      <w:r>
        <w:t xml:space="preserve"> Ibid, 35-36.</w:t>
      </w:r>
    </w:p>
  </w:footnote>
  <w:footnote w:id="6">
    <w:p w14:paraId="3619076A" w14:textId="06AEA8BA" w:rsidR="004533BD" w:rsidRDefault="004533BD" w:rsidP="00320E7B">
      <w:pPr>
        <w:pStyle w:val="FootnoteText"/>
      </w:pPr>
      <w:r>
        <w:rPr>
          <w:rStyle w:val="FootnoteReference"/>
        </w:rPr>
        <w:footnoteRef/>
      </w:r>
      <w:r>
        <w:t xml:space="preserve"> Ibid.</w:t>
      </w:r>
    </w:p>
  </w:footnote>
  <w:footnote w:id="7">
    <w:p w14:paraId="23A027D3" w14:textId="77777777" w:rsidR="004533BD" w:rsidRPr="00AF2FE3" w:rsidRDefault="004533BD" w:rsidP="00320E7B">
      <w:pPr>
        <w:pStyle w:val="NormalWeb"/>
        <w:spacing w:before="0" w:beforeAutospacing="0" w:after="0" w:afterAutospacing="0"/>
        <w:rPr>
          <w:sz w:val="20"/>
          <w:szCs w:val="20"/>
        </w:rPr>
      </w:pPr>
      <w:r w:rsidRPr="00AF2FE3">
        <w:rPr>
          <w:rStyle w:val="FootnoteReference"/>
          <w:sz w:val="20"/>
          <w:szCs w:val="20"/>
        </w:rPr>
        <w:footnoteRef/>
      </w:r>
      <w:r w:rsidRPr="00AF2FE3">
        <w:rPr>
          <w:sz w:val="20"/>
          <w:szCs w:val="20"/>
        </w:rPr>
        <w:t xml:space="preserve"> Marina Nehme, ‘Enforceable Undertakings and the Court System’ (2008) 26(3) </w:t>
      </w:r>
      <w:r w:rsidRPr="00AF2FE3">
        <w:rPr>
          <w:i/>
          <w:sz w:val="20"/>
          <w:szCs w:val="20"/>
        </w:rPr>
        <w:t>Company and Securities Law Journal</w:t>
      </w:r>
      <w:r w:rsidRPr="00AF2FE3">
        <w:rPr>
          <w:sz w:val="20"/>
          <w:szCs w:val="20"/>
        </w:rPr>
        <w:t xml:space="preserve"> 147.</w:t>
      </w:r>
    </w:p>
  </w:footnote>
  <w:footnote w:id="8">
    <w:p w14:paraId="52248991" w14:textId="77777777" w:rsidR="004533BD" w:rsidRPr="00A37712" w:rsidRDefault="004533BD" w:rsidP="008D7E28">
      <w:pPr>
        <w:pStyle w:val="FootnoteText"/>
      </w:pPr>
      <w:r w:rsidRPr="00A37712">
        <w:rPr>
          <w:rStyle w:val="FootnoteReference"/>
        </w:rPr>
        <w:footnoteRef/>
      </w:r>
      <w:r w:rsidRPr="00A37712">
        <w:t xml:space="preserve"> </w:t>
      </w:r>
      <w:r w:rsidRPr="00AF2FE3">
        <w:t>Ibid</w:t>
      </w:r>
      <w:r>
        <w:t>.</w:t>
      </w:r>
    </w:p>
  </w:footnote>
  <w:footnote w:id="9">
    <w:p w14:paraId="0AA2CC76" w14:textId="3A862586" w:rsidR="004533BD" w:rsidRPr="009D2E15" w:rsidRDefault="004533BD" w:rsidP="007743B3">
      <w:pPr>
        <w:pStyle w:val="footnote"/>
        <w:spacing w:before="0" w:after="0"/>
        <w:ind w:left="284" w:hanging="284"/>
      </w:pPr>
      <w:r w:rsidRPr="009D2E15">
        <w:rPr>
          <w:rStyle w:val="FootnoteReference"/>
        </w:rPr>
        <w:footnoteRef/>
      </w:r>
      <w:r w:rsidRPr="009D2E15">
        <w:t xml:space="preserve"> Braithwaite,</w:t>
      </w:r>
      <w:r>
        <w:t xml:space="preserve"> n 3</w:t>
      </w:r>
      <w:r w:rsidRPr="009D2E15">
        <w:t>, 109.</w:t>
      </w:r>
    </w:p>
  </w:footnote>
  <w:footnote w:id="10">
    <w:p w14:paraId="6E4F0BB8" w14:textId="475A67D6" w:rsidR="004533BD" w:rsidRPr="009D2E15" w:rsidRDefault="004533BD" w:rsidP="007743B3">
      <w:pPr>
        <w:pStyle w:val="footnote"/>
        <w:spacing w:before="0" w:after="0"/>
        <w:ind w:left="284" w:hanging="284"/>
      </w:pPr>
      <w:r w:rsidRPr="009D2E15">
        <w:rPr>
          <w:rStyle w:val="FootnoteReference"/>
        </w:rPr>
        <w:footnoteRef/>
      </w:r>
      <w:r w:rsidRPr="009D2E15">
        <w:t xml:space="preserve"> </w:t>
      </w:r>
      <w:r>
        <w:t>Ibid</w:t>
      </w:r>
      <w:r w:rsidRPr="009D2E15">
        <w:t>, 118.</w:t>
      </w:r>
    </w:p>
  </w:footnote>
  <w:footnote w:id="11">
    <w:p w14:paraId="7CBC3223" w14:textId="79C9EDA1" w:rsidR="004533BD" w:rsidRPr="007743B3" w:rsidRDefault="004533BD" w:rsidP="000A73C8">
      <w:pPr>
        <w:pStyle w:val="NormalWeb"/>
        <w:spacing w:before="0" w:beforeAutospacing="0" w:after="0" w:afterAutospacing="0"/>
        <w:rPr>
          <w:color w:val="666666"/>
          <w:sz w:val="20"/>
          <w:szCs w:val="20"/>
        </w:rPr>
      </w:pPr>
      <w:r w:rsidRPr="007743B3">
        <w:rPr>
          <w:rStyle w:val="FootnoteReference"/>
          <w:sz w:val="20"/>
          <w:szCs w:val="20"/>
        </w:rPr>
        <w:footnoteRef/>
      </w:r>
      <w:r w:rsidRPr="007743B3">
        <w:rPr>
          <w:sz w:val="20"/>
          <w:szCs w:val="20"/>
        </w:rPr>
        <w:t xml:space="preserve"> For disadvantages of infringement notices, see for example: </w:t>
      </w:r>
      <w:r>
        <w:rPr>
          <w:sz w:val="20"/>
          <w:szCs w:val="20"/>
        </w:rPr>
        <w:t xml:space="preserve">Marina </w:t>
      </w:r>
      <w:r w:rsidRPr="007743B3">
        <w:rPr>
          <w:color w:val="666666"/>
          <w:sz w:val="20"/>
          <w:szCs w:val="20"/>
        </w:rPr>
        <w:t>Nehme</w:t>
      </w:r>
      <w:r>
        <w:rPr>
          <w:color w:val="666666"/>
          <w:sz w:val="20"/>
          <w:szCs w:val="20"/>
        </w:rPr>
        <w:t xml:space="preserve">, Margaret </w:t>
      </w:r>
      <w:r w:rsidRPr="007743B3">
        <w:rPr>
          <w:color w:val="666666"/>
          <w:sz w:val="20"/>
          <w:szCs w:val="20"/>
        </w:rPr>
        <w:t>Hyland</w:t>
      </w:r>
      <w:r>
        <w:rPr>
          <w:color w:val="666666"/>
          <w:sz w:val="20"/>
          <w:szCs w:val="20"/>
        </w:rPr>
        <w:t xml:space="preserve"> and Michael</w:t>
      </w:r>
      <w:r w:rsidRPr="007743B3">
        <w:rPr>
          <w:color w:val="666666"/>
          <w:sz w:val="20"/>
          <w:szCs w:val="20"/>
        </w:rPr>
        <w:t xml:space="preserve"> Adams, </w:t>
      </w:r>
      <w:r>
        <w:rPr>
          <w:color w:val="666666"/>
          <w:sz w:val="20"/>
          <w:szCs w:val="20"/>
        </w:rPr>
        <w:t>‘</w:t>
      </w:r>
      <w:r w:rsidRPr="007743B3">
        <w:rPr>
          <w:color w:val="666666"/>
          <w:sz w:val="20"/>
          <w:szCs w:val="20"/>
        </w:rPr>
        <w:t>Enforcement of Continuous Disclosure: The Use of Infringement Notice and Alternative Sanctions</w:t>
      </w:r>
      <w:r>
        <w:rPr>
          <w:color w:val="666666"/>
          <w:sz w:val="20"/>
          <w:szCs w:val="20"/>
        </w:rPr>
        <w:t>’ (2007) 21</w:t>
      </w:r>
      <w:r w:rsidRPr="007743B3">
        <w:rPr>
          <w:color w:val="666666"/>
          <w:sz w:val="20"/>
          <w:szCs w:val="20"/>
        </w:rPr>
        <w:t> </w:t>
      </w:r>
      <w:r w:rsidRPr="007743B3">
        <w:rPr>
          <w:i/>
          <w:iCs/>
          <w:color w:val="666666"/>
          <w:sz w:val="20"/>
          <w:szCs w:val="20"/>
        </w:rPr>
        <w:t>Australian Journal of Corporate Law</w:t>
      </w:r>
      <w:r w:rsidRPr="007743B3">
        <w:rPr>
          <w:color w:val="666666"/>
          <w:sz w:val="20"/>
          <w:szCs w:val="20"/>
        </w:rPr>
        <w:t xml:space="preserve"> 112</w:t>
      </w:r>
      <w:r>
        <w:rPr>
          <w:color w:val="666666"/>
          <w:sz w:val="20"/>
          <w:szCs w:val="20"/>
        </w:rPr>
        <w:t>.</w:t>
      </w:r>
    </w:p>
    <w:p w14:paraId="414DE041" w14:textId="5ADC7368" w:rsidR="004533BD" w:rsidRDefault="004533BD" w:rsidP="000A73C8">
      <w:pPr>
        <w:pStyle w:val="FootnoteText"/>
      </w:pPr>
    </w:p>
  </w:footnote>
  <w:footnote w:id="12">
    <w:p w14:paraId="44128B7B" w14:textId="26192978" w:rsidR="004533BD" w:rsidRDefault="004533BD" w:rsidP="000A73C8">
      <w:pPr>
        <w:pStyle w:val="FootnoteText"/>
      </w:pPr>
      <w:r>
        <w:rPr>
          <w:rStyle w:val="FootnoteReference"/>
        </w:rPr>
        <w:footnoteRef/>
      </w:r>
      <w:r>
        <w:t xml:space="preserve"> See </w:t>
      </w:r>
      <w:r w:rsidRPr="007743B3">
        <w:rPr>
          <w:i/>
          <w:iCs/>
        </w:rPr>
        <w:t>CATSI Act</w:t>
      </w:r>
      <w:r>
        <w:t>, ss 201-1 and 201-5.</w:t>
      </w:r>
    </w:p>
  </w:footnote>
  <w:footnote w:id="13">
    <w:p w14:paraId="2D517D26" w14:textId="59722EE8" w:rsidR="004533BD" w:rsidRDefault="004533BD">
      <w:pPr>
        <w:pStyle w:val="FootnoteText"/>
      </w:pPr>
      <w:r>
        <w:rPr>
          <w:rStyle w:val="FootnoteReference"/>
        </w:rPr>
        <w:footnoteRef/>
      </w:r>
      <w:r>
        <w:t xml:space="preserve"> See for example, </w:t>
      </w:r>
      <w:proofErr w:type="spellStart"/>
      <w:r w:rsidRPr="007743B3">
        <w:rPr>
          <w:i/>
          <w:iCs/>
        </w:rPr>
        <w:t>Humes</w:t>
      </w:r>
      <w:proofErr w:type="spellEnd"/>
      <w:r w:rsidRPr="007743B3">
        <w:rPr>
          <w:i/>
          <w:iCs/>
        </w:rPr>
        <w:t xml:space="preserve"> Ltd v Unity APA Ltd</w:t>
      </w:r>
      <w:r>
        <w:t xml:space="preserve"> [1987] VR 474; </w:t>
      </w:r>
      <w:r w:rsidRPr="007743B3">
        <w:rPr>
          <w:i/>
          <w:iCs/>
        </w:rPr>
        <w:t>NRMA Ltd v Parker</w:t>
      </w:r>
      <w:r>
        <w:t xml:space="preserve"> (1986) 11 ACLR 1; Windsor v The National Mutual Life Association of Australasia (1992) 10 ACLC 509.</w:t>
      </w:r>
    </w:p>
  </w:footnote>
  <w:footnote w:id="14">
    <w:p w14:paraId="67D6B767" w14:textId="7E10631A" w:rsidR="008D7E28" w:rsidRDefault="008D7E28">
      <w:pPr>
        <w:pStyle w:val="FootnoteText"/>
      </w:pPr>
      <w:r>
        <w:rPr>
          <w:rStyle w:val="FootnoteReference"/>
        </w:rPr>
        <w:footnoteRef/>
      </w:r>
      <w:r>
        <w:t xml:space="preserve"> See for example </w:t>
      </w:r>
      <w:r w:rsidRPr="000F3FA5">
        <w:rPr>
          <w:i/>
          <w:iCs/>
        </w:rPr>
        <w:t>CATSI Act</w:t>
      </w:r>
      <w:r>
        <w:t>, s</w:t>
      </w:r>
      <w:r>
        <w:t xml:space="preserve"> 201-5.</w:t>
      </w:r>
    </w:p>
  </w:footnote>
  <w:footnote w:id="15">
    <w:p w14:paraId="38B66690" w14:textId="46BAF840" w:rsidR="00D02555" w:rsidRPr="007743B3" w:rsidRDefault="00D02555" w:rsidP="007743B3">
      <w:pPr>
        <w:pStyle w:val="Heading2"/>
        <w:spacing w:before="0" w:after="0"/>
        <w:rPr>
          <w:rFonts w:cs="Times New Roman"/>
          <w:b w:val="0"/>
          <w:bCs w:val="0"/>
          <w:color w:val="000000"/>
          <w:sz w:val="20"/>
          <w:szCs w:val="20"/>
        </w:rPr>
      </w:pPr>
      <w:r w:rsidRPr="007743B3">
        <w:rPr>
          <w:rStyle w:val="FootnoteReference"/>
          <w:rFonts w:cs="Times New Roman"/>
          <w:b w:val="0"/>
          <w:bCs w:val="0"/>
          <w:sz w:val="20"/>
          <w:szCs w:val="20"/>
        </w:rPr>
        <w:footnoteRef/>
      </w:r>
      <w:r w:rsidRPr="007743B3">
        <w:rPr>
          <w:rFonts w:cs="Times New Roman"/>
          <w:b w:val="0"/>
          <w:bCs w:val="0"/>
          <w:sz w:val="20"/>
          <w:szCs w:val="20"/>
        </w:rPr>
        <w:t xml:space="preserve"> See for example, </w:t>
      </w:r>
      <w:proofErr w:type="spellStart"/>
      <w:r>
        <w:rPr>
          <w:rFonts w:cs="Times New Roman"/>
          <w:b w:val="0"/>
          <w:bCs w:val="0"/>
          <w:sz w:val="20"/>
          <w:szCs w:val="20"/>
        </w:rPr>
        <w:t>Lyria</w:t>
      </w:r>
      <w:proofErr w:type="spellEnd"/>
      <w:r>
        <w:rPr>
          <w:rFonts w:cs="Times New Roman"/>
          <w:b w:val="0"/>
          <w:bCs w:val="0"/>
          <w:sz w:val="20"/>
          <w:szCs w:val="20"/>
        </w:rPr>
        <w:t xml:space="preserve"> </w:t>
      </w:r>
      <w:r w:rsidRPr="007743B3">
        <w:rPr>
          <w:rFonts w:cs="Times New Roman"/>
          <w:b w:val="0"/>
          <w:bCs w:val="0"/>
          <w:color w:val="000000"/>
          <w:sz w:val="20"/>
          <w:szCs w:val="20"/>
        </w:rPr>
        <w:t xml:space="preserve">Bennett Moses, </w:t>
      </w:r>
      <w:r>
        <w:rPr>
          <w:rFonts w:cs="Times New Roman"/>
          <w:b w:val="0"/>
          <w:bCs w:val="0"/>
          <w:color w:val="000000"/>
          <w:sz w:val="20"/>
          <w:szCs w:val="20"/>
        </w:rPr>
        <w:t>‘</w:t>
      </w:r>
      <w:r w:rsidRPr="007743B3">
        <w:rPr>
          <w:rFonts w:cs="Times New Roman"/>
          <w:b w:val="0"/>
          <w:bCs w:val="0"/>
          <w:color w:val="000000"/>
          <w:sz w:val="20"/>
          <w:szCs w:val="20"/>
        </w:rPr>
        <w:t xml:space="preserve">Recurring Dilemmas: The Law's Race to Keep Up </w:t>
      </w:r>
      <w:proofErr w:type="gramStart"/>
      <w:r w:rsidRPr="007743B3">
        <w:rPr>
          <w:rFonts w:cs="Times New Roman"/>
          <w:b w:val="0"/>
          <w:bCs w:val="0"/>
          <w:color w:val="000000"/>
          <w:sz w:val="20"/>
          <w:szCs w:val="20"/>
        </w:rPr>
        <w:t>With</w:t>
      </w:r>
      <w:proofErr w:type="gramEnd"/>
      <w:r w:rsidRPr="007743B3">
        <w:rPr>
          <w:rFonts w:cs="Times New Roman"/>
          <w:b w:val="0"/>
          <w:bCs w:val="0"/>
          <w:color w:val="000000"/>
          <w:sz w:val="20"/>
          <w:szCs w:val="20"/>
        </w:rPr>
        <w:t xml:space="preserve"> Technological Change</w:t>
      </w:r>
      <w:r>
        <w:rPr>
          <w:rFonts w:cs="Times New Roman"/>
          <w:b w:val="0"/>
          <w:bCs w:val="0"/>
          <w:color w:val="000000"/>
          <w:sz w:val="20"/>
          <w:szCs w:val="20"/>
        </w:rPr>
        <w:t>’</w:t>
      </w:r>
      <w:r w:rsidRPr="007743B3">
        <w:rPr>
          <w:rFonts w:cs="Times New Roman"/>
          <w:b w:val="0"/>
          <w:bCs w:val="0"/>
          <w:color w:val="000000"/>
          <w:sz w:val="20"/>
          <w:szCs w:val="20"/>
        </w:rPr>
        <w:t xml:space="preserve"> [2007] </w:t>
      </w:r>
      <w:r w:rsidRPr="007743B3">
        <w:rPr>
          <w:rFonts w:cs="Times New Roman"/>
          <w:b w:val="0"/>
          <w:bCs w:val="0"/>
          <w:i/>
          <w:iCs w:val="0"/>
          <w:color w:val="000000"/>
          <w:sz w:val="20"/>
          <w:szCs w:val="20"/>
        </w:rPr>
        <w:t xml:space="preserve">University of New South Wales </w:t>
      </w:r>
      <w:r w:rsidRPr="007743B3">
        <w:rPr>
          <w:rFonts w:cs="Times New Roman"/>
          <w:b w:val="0"/>
          <w:bCs w:val="0"/>
          <w:i/>
          <w:iCs w:val="0"/>
          <w:color w:val="000000"/>
          <w:sz w:val="20"/>
          <w:szCs w:val="20"/>
        </w:rPr>
        <w:t>L</w:t>
      </w:r>
      <w:r w:rsidRPr="007743B3">
        <w:rPr>
          <w:rFonts w:cs="Times New Roman"/>
          <w:b w:val="0"/>
          <w:bCs w:val="0"/>
          <w:i/>
          <w:iCs w:val="0"/>
          <w:color w:val="000000"/>
          <w:sz w:val="20"/>
          <w:szCs w:val="20"/>
        </w:rPr>
        <w:t xml:space="preserve">aw </w:t>
      </w:r>
      <w:r w:rsidRPr="007743B3">
        <w:rPr>
          <w:rFonts w:cs="Times New Roman"/>
          <w:b w:val="0"/>
          <w:bCs w:val="0"/>
          <w:i/>
          <w:iCs w:val="0"/>
          <w:color w:val="000000"/>
          <w:sz w:val="20"/>
          <w:szCs w:val="20"/>
        </w:rPr>
        <w:t>R</w:t>
      </w:r>
      <w:r w:rsidRPr="007743B3">
        <w:rPr>
          <w:rFonts w:cs="Times New Roman"/>
          <w:b w:val="0"/>
          <w:bCs w:val="0"/>
          <w:i/>
          <w:iCs w:val="0"/>
          <w:color w:val="000000"/>
          <w:sz w:val="20"/>
          <w:szCs w:val="20"/>
        </w:rPr>
        <w:t>eview</w:t>
      </w:r>
      <w:r w:rsidRPr="007743B3">
        <w:rPr>
          <w:rFonts w:cs="Times New Roman"/>
          <w:b w:val="0"/>
          <w:bCs w:val="0"/>
          <w:color w:val="000000"/>
          <w:sz w:val="20"/>
          <w:szCs w:val="20"/>
        </w:rPr>
        <w:t xml:space="preserve"> 21</w:t>
      </w:r>
      <w:r>
        <w:rPr>
          <w:rFonts w:cs="Times New Roman"/>
          <w:b w:val="0"/>
          <w:bCs w:val="0"/>
          <w:color w:val="000000"/>
          <w:sz w:val="20"/>
          <w:szCs w:val="20"/>
        </w:rPr>
        <w:t>.</w:t>
      </w:r>
    </w:p>
    <w:p w14:paraId="62E286E5" w14:textId="488981D9" w:rsidR="00D02555" w:rsidRPr="007743B3" w:rsidRDefault="00D02555">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F36ED"/>
    <w:multiLevelType w:val="hybridMultilevel"/>
    <w:tmpl w:val="E2F8FF7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1C9410B8"/>
    <w:multiLevelType w:val="hybridMultilevel"/>
    <w:tmpl w:val="3C1EDD9A"/>
    <w:lvl w:ilvl="0" w:tplc="4FD28150">
      <w:start w:val="7"/>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A32625B"/>
    <w:multiLevelType w:val="multilevel"/>
    <w:tmpl w:val="79FC5C5E"/>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11.5."/>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pStyle w:val="Heading3"/>
      <w:suff w:val="nothing"/>
      <w:lvlText w:val="5.3.3."/>
      <w:lvlJc w:val="left"/>
      <w:pPr>
        <w:ind w:left="0" w:firstLine="0"/>
      </w:pPr>
      <w:rPr>
        <w:rFonts w:ascii="Times New Roman" w:hAnsi="Times New Roman" w:cs="Times New Roman" w:hint="default"/>
        <w:b w:val="0"/>
        <w:bCs w:val="0"/>
        <w:i/>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suff w:val="nothing"/>
      <w:lvlText w:val="5.3.3.%4."/>
      <w:lvlJc w:val="left"/>
      <w:pPr>
        <w:ind w:left="0" w:firstLine="0"/>
      </w:pPr>
      <w:rPr>
        <w:rFonts w:hint="default"/>
        <w:b w:val="0"/>
        <w:i/>
        <w:sz w:val="24"/>
        <w:szCs w:val="24"/>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15:restartNumberingAfterBreak="0">
    <w:nsid w:val="3E23086B"/>
    <w:multiLevelType w:val="multilevel"/>
    <w:tmpl w:val="661A5BE6"/>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490431D"/>
    <w:multiLevelType w:val="hybridMultilevel"/>
    <w:tmpl w:val="D1E85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1D9"/>
    <w:rsid w:val="00004686"/>
    <w:rsid w:val="00005F5C"/>
    <w:rsid w:val="000126F5"/>
    <w:rsid w:val="000325BA"/>
    <w:rsid w:val="0007799B"/>
    <w:rsid w:val="000A73C8"/>
    <w:rsid w:val="000E1D62"/>
    <w:rsid w:val="000E3023"/>
    <w:rsid w:val="000E4284"/>
    <w:rsid w:val="00197FC8"/>
    <w:rsid w:val="001D5BFE"/>
    <w:rsid w:val="001F25B5"/>
    <w:rsid w:val="001F73D4"/>
    <w:rsid w:val="00213170"/>
    <w:rsid w:val="002A0C1F"/>
    <w:rsid w:val="002C5F4E"/>
    <w:rsid w:val="00320E7B"/>
    <w:rsid w:val="0033468C"/>
    <w:rsid w:val="00383064"/>
    <w:rsid w:val="00393987"/>
    <w:rsid w:val="003E4896"/>
    <w:rsid w:val="003E6A3D"/>
    <w:rsid w:val="00400756"/>
    <w:rsid w:val="004032E4"/>
    <w:rsid w:val="004118E5"/>
    <w:rsid w:val="00441786"/>
    <w:rsid w:val="004533BD"/>
    <w:rsid w:val="004D1D31"/>
    <w:rsid w:val="00524C49"/>
    <w:rsid w:val="00552D1D"/>
    <w:rsid w:val="00644A3E"/>
    <w:rsid w:val="0067141A"/>
    <w:rsid w:val="006823AE"/>
    <w:rsid w:val="006E471A"/>
    <w:rsid w:val="00703C0C"/>
    <w:rsid w:val="00711697"/>
    <w:rsid w:val="00747401"/>
    <w:rsid w:val="007743B3"/>
    <w:rsid w:val="0077586C"/>
    <w:rsid w:val="007C3483"/>
    <w:rsid w:val="007C5440"/>
    <w:rsid w:val="007D3FE2"/>
    <w:rsid w:val="00822ECC"/>
    <w:rsid w:val="0082343A"/>
    <w:rsid w:val="00884FFB"/>
    <w:rsid w:val="008D7E28"/>
    <w:rsid w:val="008F06A1"/>
    <w:rsid w:val="00917B13"/>
    <w:rsid w:val="00920B9E"/>
    <w:rsid w:val="009649C1"/>
    <w:rsid w:val="009A2A84"/>
    <w:rsid w:val="009C736B"/>
    <w:rsid w:val="009E0544"/>
    <w:rsid w:val="00A040FC"/>
    <w:rsid w:val="00A34282"/>
    <w:rsid w:val="00AA3C81"/>
    <w:rsid w:val="00AB15B0"/>
    <w:rsid w:val="00AC0741"/>
    <w:rsid w:val="00B423E1"/>
    <w:rsid w:val="00B43027"/>
    <w:rsid w:val="00B7125C"/>
    <w:rsid w:val="00BC3CD8"/>
    <w:rsid w:val="00BC42FA"/>
    <w:rsid w:val="00BE6C43"/>
    <w:rsid w:val="00BE75E3"/>
    <w:rsid w:val="00C47658"/>
    <w:rsid w:val="00C8525F"/>
    <w:rsid w:val="00C918E7"/>
    <w:rsid w:val="00CF61D9"/>
    <w:rsid w:val="00D02555"/>
    <w:rsid w:val="00D21A53"/>
    <w:rsid w:val="00D72885"/>
    <w:rsid w:val="00D94BC8"/>
    <w:rsid w:val="00DC1FCA"/>
    <w:rsid w:val="00DD538A"/>
    <w:rsid w:val="00DF04D0"/>
    <w:rsid w:val="00E30464"/>
    <w:rsid w:val="00E418B7"/>
    <w:rsid w:val="00E42351"/>
    <w:rsid w:val="00EA7496"/>
    <w:rsid w:val="00EB3A41"/>
    <w:rsid w:val="00F0322C"/>
    <w:rsid w:val="00F733FC"/>
    <w:rsid w:val="00FE05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4EF5E"/>
  <w15:chartTrackingRefBased/>
  <w15:docId w15:val="{81A75A74-D672-4C56-8544-D55020A57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1D9"/>
  </w:style>
  <w:style w:type="paragraph" w:styleId="Heading1">
    <w:name w:val="heading 1"/>
    <w:basedOn w:val="Normal"/>
    <w:next w:val="Normal"/>
    <w:link w:val="Heading1Char"/>
    <w:qFormat/>
    <w:rsid w:val="00B7125C"/>
    <w:pPr>
      <w:keepNext/>
      <w:numPr>
        <w:numId w:val="5"/>
      </w:numPr>
      <w:spacing w:before="240" w:after="60" w:line="240" w:lineRule="auto"/>
      <w:jc w:val="center"/>
      <w:outlineLvl w:val="0"/>
    </w:pPr>
    <w:rPr>
      <w:rFonts w:ascii="Times New Roman" w:eastAsia="Times New Roman" w:hAnsi="Times New Roman" w:cs="Arial"/>
      <w:b/>
      <w:bCs/>
      <w:kern w:val="32"/>
      <w:sz w:val="32"/>
      <w:szCs w:val="32"/>
      <w:lang w:val="en-US"/>
    </w:rPr>
  </w:style>
  <w:style w:type="paragraph" w:styleId="Heading2">
    <w:name w:val="heading 2"/>
    <w:basedOn w:val="Normal"/>
    <w:next w:val="Normal"/>
    <w:link w:val="Heading2Char"/>
    <w:qFormat/>
    <w:rsid w:val="00B7125C"/>
    <w:pPr>
      <w:keepNext/>
      <w:numPr>
        <w:ilvl w:val="1"/>
        <w:numId w:val="5"/>
      </w:numPr>
      <w:spacing w:before="240" w:after="60" w:line="240" w:lineRule="auto"/>
      <w:outlineLvl w:val="1"/>
    </w:pPr>
    <w:rPr>
      <w:rFonts w:ascii="Times New Roman" w:eastAsia="Times New Roman" w:hAnsi="Times New Roman" w:cs="Arial"/>
      <w:b/>
      <w:bCs/>
      <w:iCs/>
      <w:sz w:val="24"/>
      <w:szCs w:val="28"/>
      <w:lang w:val="en-US"/>
    </w:rPr>
  </w:style>
  <w:style w:type="paragraph" w:styleId="Heading3">
    <w:name w:val="heading 3"/>
    <w:basedOn w:val="Normal"/>
    <w:next w:val="Normal"/>
    <w:link w:val="Heading3Char"/>
    <w:qFormat/>
    <w:rsid w:val="00B7125C"/>
    <w:pPr>
      <w:keepNext/>
      <w:numPr>
        <w:ilvl w:val="2"/>
        <w:numId w:val="5"/>
      </w:numPr>
      <w:spacing w:before="240" w:after="60" w:line="240" w:lineRule="auto"/>
      <w:outlineLvl w:val="2"/>
    </w:pPr>
    <w:rPr>
      <w:rFonts w:ascii="Times New Roman" w:eastAsia="Times New Roman" w:hAnsi="Times New Roman" w:cs="Arial"/>
      <w:b/>
      <w:bCs/>
      <w:i/>
      <w:sz w:val="24"/>
      <w:szCs w:val="26"/>
      <w:lang w:val="en-US"/>
    </w:rPr>
  </w:style>
  <w:style w:type="paragraph" w:styleId="Heading4">
    <w:name w:val="heading 4"/>
    <w:basedOn w:val="Normal"/>
    <w:next w:val="Normal"/>
    <w:link w:val="Heading4Char"/>
    <w:qFormat/>
    <w:rsid w:val="00B7125C"/>
    <w:pPr>
      <w:keepNext/>
      <w:numPr>
        <w:ilvl w:val="3"/>
        <w:numId w:val="5"/>
      </w:numPr>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qFormat/>
    <w:rsid w:val="00B7125C"/>
    <w:pPr>
      <w:numPr>
        <w:ilvl w:val="4"/>
        <w:numId w:val="5"/>
      </w:numPr>
      <w:spacing w:before="240" w:after="60" w:line="240" w:lineRule="auto"/>
      <w:outlineLvl w:val="4"/>
    </w:pPr>
    <w:rPr>
      <w:rFonts w:ascii="Times New Roman" w:eastAsia="Times New Roman" w:hAnsi="Times New Roman" w:cs="Times New Roman"/>
      <w:b/>
      <w:bCs/>
      <w:i/>
      <w:iCs/>
      <w:sz w:val="26"/>
      <w:szCs w:val="26"/>
      <w:lang w:val="en-US"/>
    </w:rPr>
  </w:style>
  <w:style w:type="paragraph" w:styleId="Heading6">
    <w:name w:val="heading 6"/>
    <w:basedOn w:val="Normal"/>
    <w:next w:val="Normal"/>
    <w:link w:val="Heading6Char"/>
    <w:qFormat/>
    <w:rsid w:val="00B7125C"/>
    <w:pPr>
      <w:numPr>
        <w:ilvl w:val="5"/>
        <w:numId w:val="5"/>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B7125C"/>
    <w:pPr>
      <w:numPr>
        <w:ilvl w:val="6"/>
        <w:numId w:val="5"/>
      </w:numPr>
      <w:spacing w:before="240" w:after="60" w:line="240" w:lineRule="auto"/>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qFormat/>
    <w:rsid w:val="00B7125C"/>
    <w:pPr>
      <w:numPr>
        <w:ilvl w:val="7"/>
        <w:numId w:val="5"/>
      </w:numPr>
      <w:spacing w:before="240" w:after="60" w:line="240" w:lineRule="auto"/>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qFormat/>
    <w:rsid w:val="00B7125C"/>
    <w:pPr>
      <w:numPr>
        <w:ilvl w:val="8"/>
        <w:numId w:val="5"/>
      </w:num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F61D9"/>
    <w:rPr>
      <w:color w:val="0000FF"/>
      <w:u w:val="single"/>
    </w:rPr>
  </w:style>
  <w:style w:type="paragraph" w:styleId="ListParagraph">
    <w:name w:val="List Paragraph"/>
    <w:basedOn w:val="Normal"/>
    <w:uiPriority w:val="34"/>
    <w:qFormat/>
    <w:rsid w:val="00CF61D9"/>
    <w:pPr>
      <w:ind w:left="720"/>
      <w:contextualSpacing/>
    </w:pPr>
  </w:style>
  <w:style w:type="paragraph" w:styleId="FootnoteText">
    <w:name w:val="footnote text"/>
    <w:basedOn w:val="Normal"/>
    <w:link w:val="FootnoteTextChar"/>
    <w:unhideWhenUsed/>
    <w:qFormat/>
    <w:rsid w:val="00CF61D9"/>
    <w:pPr>
      <w:spacing w:after="0" w:line="240" w:lineRule="auto"/>
    </w:pPr>
    <w:rPr>
      <w:rFonts w:ascii="Times New Roman" w:hAnsi="Times New Roman" w:cs="Times New Roman"/>
      <w:sz w:val="20"/>
      <w:szCs w:val="20"/>
      <w:lang w:eastAsia="en-AU"/>
    </w:rPr>
  </w:style>
  <w:style w:type="character" w:customStyle="1" w:styleId="FootnoteTextChar">
    <w:name w:val="Footnote Text Char"/>
    <w:basedOn w:val="DefaultParagraphFont"/>
    <w:link w:val="FootnoteText"/>
    <w:rsid w:val="00CF61D9"/>
    <w:rPr>
      <w:rFonts w:ascii="Times New Roman" w:hAnsi="Times New Roman" w:cs="Times New Roman"/>
      <w:sz w:val="20"/>
      <w:szCs w:val="20"/>
      <w:lang w:eastAsia="en-AU"/>
    </w:rPr>
  </w:style>
  <w:style w:type="character" w:styleId="FootnoteReference">
    <w:name w:val="footnote reference"/>
    <w:aliases w:val="Footnote EStyle"/>
    <w:basedOn w:val="DefaultParagraphFont"/>
    <w:unhideWhenUsed/>
    <w:rsid w:val="00CF61D9"/>
    <w:rPr>
      <w:vertAlign w:val="superscript"/>
    </w:rPr>
  </w:style>
  <w:style w:type="paragraph" w:customStyle="1" w:styleId="ColorfulList-Accent11">
    <w:name w:val="Colorful List - Accent 11"/>
    <w:basedOn w:val="Normal"/>
    <w:uiPriority w:val="34"/>
    <w:qFormat/>
    <w:rsid w:val="00CF61D9"/>
    <w:pPr>
      <w:spacing w:after="200" w:line="276" w:lineRule="auto"/>
      <w:ind w:left="720"/>
      <w:contextualSpacing/>
    </w:pPr>
    <w:rPr>
      <w:rFonts w:ascii="Times New Roman" w:eastAsia="Calibri" w:hAnsi="Times New Roman" w:cs="Times New Roman"/>
      <w:sz w:val="24"/>
      <w:szCs w:val="24"/>
    </w:rPr>
  </w:style>
  <w:style w:type="paragraph" w:customStyle="1" w:styleId="acthead5">
    <w:name w:val="acthead5"/>
    <w:basedOn w:val="Normal"/>
    <w:rsid w:val="00AC074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AC0741"/>
  </w:style>
  <w:style w:type="paragraph" w:customStyle="1" w:styleId="subsection">
    <w:name w:val="subsection"/>
    <w:basedOn w:val="Normal"/>
    <w:rsid w:val="00AC074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AC074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rsid w:val="00B7125C"/>
    <w:rPr>
      <w:rFonts w:ascii="Times New Roman" w:eastAsia="Times New Roman" w:hAnsi="Times New Roman" w:cs="Arial"/>
      <w:b/>
      <w:bCs/>
      <w:kern w:val="32"/>
      <w:sz w:val="32"/>
      <w:szCs w:val="32"/>
      <w:lang w:val="en-US"/>
    </w:rPr>
  </w:style>
  <w:style w:type="character" w:customStyle="1" w:styleId="Heading2Char">
    <w:name w:val="Heading 2 Char"/>
    <w:basedOn w:val="DefaultParagraphFont"/>
    <w:link w:val="Heading2"/>
    <w:rsid w:val="00B7125C"/>
    <w:rPr>
      <w:rFonts w:ascii="Times New Roman" w:eastAsia="Times New Roman" w:hAnsi="Times New Roman" w:cs="Arial"/>
      <w:b/>
      <w:bCs/>
      <w:iCs/>
      <w:sz w:val="24"/>
      <w:szCs w:val="28"/>
      <w:lang w:val="en-US"/>
    </w:rPr>
  </w:style>
  <w:style w:type="character" w:customStyle="1" w:styleId="Heading3Char">
    <w:name w:val="Heading 3 Char"/>
    <w:basedOn w:val="DefaultParagraphFont"/>
    <w:link w:val="Heading3"/>
    <w:rsid w:val="00B7125C"/>
    <w:rPr>
      <w:rFonts w:ascii="Times New Roman" w:eastAsia="Times New Roman" w:hAnsi="Times New Roman" w:cs="Arial"/>
      <w:b/>
      <w:bCs/>
      <w:i/>
      <w:sz w:val="24"/>
      <w:szCs w:val="26"/>
      <w:lang w:val="en-US"/>
    </w:rPr>
  </w:style>
  <w:style w:type="character" w:customStyle="1" w:styleId="Heading4Char">
    <w:name w:val="Heading 4 Char"/>
    <w:basedOn w:val="DefaultParagraphFont"/>
    <w:link w:val="Heading4"/>
    <w:rsid w:val="00B7125C"/>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B7125C"/>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B7125C"/>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B7125C"/>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B7125C"/>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B7125C"/>
    <w:rPr>
      <w:rFonts w:ascii="Arial" w:eastAsia="Times New Roman" w:hAnsi="Arial" w:cs="Arial"/>
      <w:lang w:val="en-US"/>
    </w:rPr>
  </w:style>
  <w:style w:type="paragraph" w:styleId="Caption">
    <w:name w:val="caption"/>
    <w:basedOn w:val="Normal"/>
    <w:next w:val="Normal"/>
    <w:qFormat/>
    <w:rsid w:val="00B7125C"/>
    <w:pPr>
      <w:spacing w:after="0" w:line="240" w:lineRule="auto"/>
    </w:pPr>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3E489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
    <w:name w:val="footnote"/>
    <w:basedOn w:val="Normal"/>
    <w:link w:val="footnoteChar"/>
    <w:qFormat/>
    <w:rsid w:val="00DF04D0"/>
    <w:pPr>
      <w:spacing w:before="240" w:after="60" w:line="240" w:lineRule="auto"/>
      <w:jc w:val="both"/>
    </w:pPr>
    <w:rPr>
      <w:rFonts w:ascii="Times New Roman" w:eastAsia="SimSun" w:hAnsi="Times New Roman" w:cs="Times New Roman"/>
      <w:sz w:val="20"/>
      <w:szCs w:val="24"/>
      <w:lang w:eastAsia="zh-CN"/>
    </w:rPr>
  </w:style>
  <w:style w:type="character" w:customStyle="1" w:styleId="footnoteChar">
    <w:name w:val="footnote Char"/>
    <w:basedOn w:val="DefaultParagraphFont"/>
    <w:link w:val="footnote"/>
    <w:rsid w:val="00DF04D0"/>
    <w:rPr>
      <w:rFonts w:ascii="Times New Roman" w:eastAsia="SimSun" w:hAnsi="Times New Roman" w:cs="Times New Roman"/>
      <w:sz w:val="20"/>
      <w:szCs w:val="24"/>
      <w:lang w:eastAsia="zh-CN"/>
    </w:rPr>
  </w:style>
  <w:style w:type="paragraph" w:styleId="BodyText">
    <w:name w:val="Body Text"/>
    <w:basedOn w:val="Normal"/>
    <w:link w:val="BodyTextChar"/>
    <w:rsid w:val="00441786"/>
    <w:pPr>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441786"/>
    <w:rPr>
      <w:rFonts w:ascii="Times New Roman" w:eastAsia="Times New Roman" w:hAnsi="Times New Roman" w:cs="Times New Roman"/>
      <w:sz w:val="24"/>
      <w:szCs w:val="24"/>
      <w:lang w:val="en-US"/>
    </w:rPr>
  </w:style>
  <w:style w:type="character" w:styleId="Strong">
    <w:name w:val="Strong"/>
    <w:basedOn w:val="DefaultParagraphFont"/>
    <w:qFormat/>
    <w:rsid w:val="00441786"/>
    <w:rPr>
      <w:b/>
      <w:bCs/>
    </w:rPr>
  </w:style>
  <w:style w:type="paragraph" w:customStyle="1" w:styleId="subsection2">
    <w:name w:val="subsection2"/>
    <w:basedOn w:val="Normal"/>
    <w:rsid w:val="004032E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97F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FC8"/>
    <w:rPr>
      <w:rFonts w:ascii="Segoe UI" w:hAnsi="Segoe UI" w:cs="Segoe UI"/>
      <w:sz w:val="18"/>
      <w:szCs w:val="18"/>
    </w:rPr>
  </w:style>
  <w:style w:type="paragraph" w:styleId="Header">
    <w:name w:val="header"/>
    <w:basedOn w:val="Normal"/>
    <w:link w:val="HeaderChar"/>
    <w:uiPriority w:val="99"/>
    <w:unhideWhenUsed/>
    <w:rsid w:val="00E418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8B7"/>
  </w:style>
  <w:style w:type="paragraph" w:styleId="Footer">
    <w:name w:val="footer"/>
    <w:basedOn w:val="Normal"/>
    <w:link w:val="FooterChar"/>
    <w:uiPriority w:val="99"/>
    <w:unhideWhenUsed/>
    <w:rsid w:val="00E418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511522">
      <w:bodyDiv w:val="1"/>
      <w:marLeft w:val="0"/>
      <w:marRight w:val="0"/>
      <w:marTop w:val="0"/>
      <w:marBottom w:val="0"/>
      <w:divBdr>
        <w:top w:val="none" w:sz="0" w:space="0" w:color="auto"/>
        <w:left w:val="none" w:sz="0" w:space="0" w:color="auto"/>
        <w:bottom w:val="none" w:sz="0" w:space="0" w:color="auto"/>
        <w:right w:val="none" w:sz="0" w:space="0" w:color="auto"/>
      </w:divBdr>
    </w:div>
    <w:div w:id="1634866965">
      <w:bodyDiv w:val="1"/>
      <w:marLeft w:val="0"/>
      <w:marRight w:val="0"/>
      <w:marTop w:val="0"/>
      <w:marBottom w:val="0"/>
      <w:divBdr>
        <w:top w:val="none" w:sz="0" w:space="0" w:color="auto"/>
        <w:left w:val="none" w:sz="0" w:space="0" w:color="auto"/>
        <w:bottom w:val="none" w:sz="0" w:space="0" w:color="auto"/>
        <w:right w:val="none" w:sz="0" w:space="0" w:color="auto"/>
      </w:divBdr>
    </w:div>
    <w:div w:id="1952515795">
      <w:bodyDiv w:val="1"/>
      <w:marLeft w:val="0"/>
      <w:marRight w:val="0"/>
      <w:marTop w:val="0"/>
      <w:marBottom w:val="0"/>
      <w:divBdr>
        <w:top w:val="none" w:sz="0" w:space="0" w:color="auto"/>
        <w:left w:val="none" w:sz="0" w:space="0" w:color="auto"/>
        <w:bottom w:val="none" w:sz="0" w:space="0" w:color="auto"/>
        <w:right w:val="none" w:sz="0" w:space="0" w:color="auto"/>
      </w:divBdr>
    </w:div>
    <w:div w:id="200647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ehme@unsw.edu.au" TargetMode="External"/><Relationship Id="rId13" Type="http://schemas.microsoft.com/office/2007/relationships/diagramDrawing" Target="diagrams/drawing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F67AC2-E330-4B7D-A869-DD62B2F6E3D2}" type="doc">
      <dgm:prSet loTypeId="urn:microsoft.com/office/officeart/2005/8/layout/pyramid1" loCatId="pyramid" qsTypeId="urn:microsoft.com/office/officeart/2005/8/quickstyle/simple1" qsCatId="simple" csTypeId="urn:microsoft.com/office/officeart/2005/8/colors/accent1_2" csCatId="accent1" phldr="1"/>
      <dgm:spPr/>
    </dgm:pt>
    <dgm:pt modelId="{FF921B30-577A-4472-B7DE-06474E7F9BA7}">
      <dgm:prSet phldrT="[Text]"/>
      <dgm:spPr/>
      <dgm:t>
        <a:bodyPr/>
        <a:lstStyle/>
        <a:p>
          <a:r>
            <a:rPr lang="en-AU"/>
            <a:t>High-range sanctions</a:t>
          </a:r>
        </a:p>
      </dgm:t>
    </dgm:pt>
    <dgm:pt modelId="{89EA9CC8-6A18-4C17-8DF0-C8BA81F1AE32}" type="parTrans" cxnId="{F2844536-6C75-4E63-94B5-2750EE010827}">
      <dgm:prSet/>
      <dgm:spPr/>
      <dgm:t>
        <a:bodyPr/>
        <a:lstStyle/>
        <a:p>
          <a:endParaRPr lang="en-AU"/>
        </a:p>
      </dgm:t>
    </dgm:pt>
    <dgm:pt modelId="{205A33DE-7805-4450-B6B0-D777629274BB}" type="sibTrans" cxnId="{F2844536-6C75-4E63-94B5-2750EE010827}">
      <dgm:prSet/>
      <dgm:spPr/>
      <dgm:t>
        <a:bodyPr/>
        <a:lstStyle/>
        <a:p>
          <a:endParaRPr lang="en-AU"/>
        </a:p>
      </dgm:t>
    </dgm:pt>
    <dgm:pt modelId="{6F417793-162A-454D-A9C1-CCBC8D13AC41}">
      <dgm:prSet phldrT="[Text]"/>
      <dgm:spPr/>
      <dgm:t>
        <a:bodyPr/>
        <a:lstStyle/>
        <a:p>
          <a:r>
            <a:rPr lang="en-AU"/>
            <a:t>Low-range sanctions</a:t>
          </a:r>
        </a:p>
      </dgm:t>
    </dgm:pt>
    <dgm:pt modelId="{82B8DD3B-D436-4019-9B14-476D33209740}" type="parTrans" cxnId="{4256C0B5-7514-4B0F-B412-D38E0082EE78}">
      <dgm:prSet/>
      <dgm:spPr/>
      <dgm:t>
        <a:bodyPr/>
        <a:lstStyle/>
        <a:p>
          <a:endParaRPr lang="en-AU"/>
        </a:p>
      </dgm:t>
    </dgm:pt>
    <dgm:pt modelId="{4E35977B-46AA-4978-9AE7-4699A0C151E3}" type="sibTrans" cxnId="{4256C0B5-7514-4B0F-B412-D38E0082EE78}">
      <dgm:prSet/>
      <dgm:spPr/>
      <dgm:t>
        <a:bodyPr/>
        <a:lstStyle/>
        <a:p>
          <a:endParaRPr lang="en-AU"/>
        </a:p>
      </dgm:t>
    </dgm:pt>
    <dgm:pt modelId="{40D895A3-DECF-47C9-8C5B-025E007B8999}">
      <dgm:prSet phldrT="[Text]"/>
      <dgm:spPr/>
      <dgm:t>
        <a:bodyPr/>
        <a:lstStyle/>
        <a:p>
          <a:r>
            <a:rPr lang="en-AU"/>
            <a:t>Persuasion</a:t>
          </a:r>
        </a:p>
      </dgm:t>
    </dgm:pt>
    <dgm:pt modelId="{D487CCAA-CB4B-4456-9859-87AEB3AB76A0}" type="parTrans" cxnId="{1C8EEFEE-8793-4740-9827-77663A04E1BB}">
      <dgm:prSet/>
      <dgm:spPr/>
      <dgm:t>
        <a:bodyPr/>
        <a:lstStyle/>
        <a:p>
          <a:endParaRPr lang="en-AU"/>
        </a:p>
      </dgm:t>
    </dgm:pt>
    <dgm:pt modelId="{5BCC3FF8-36CF-4346-8B8A-F818B50B2B58}" type="sibTrans" cxnId="{1C8EEFEE-8793-4740-9827-77663A04E1BB}">
      <dgm:prSet/>
      <dgm:spPr/>
      <dgm:t>
        <a:bodyPr/>
        <a:lstStyle/>
        <a:p>
          <a:endParaRPr lang="en-AU"/>
        </a:p>
      </dgm:t>
    </dgm:pt>
    <dgm:pt modelId="{04ADD544-E5C2-4C68-A220-F7C83F1C3248}">
      <dgm:prSet/>
      <dgm:spPr/>
      <dgm:t>
        <a:bodyPr/>
        <a:lstStyle/>
        <a:p>
          <a:r>
            <a:rPr lang="en-AU"/>
            <a:t>Mid-range sanctions</a:t>
          </a:r>
        </a:p>
      </dgm:t>
    </dgm:pt>
    <dgm:pt modelId="{110FCA2D-5313-44E1-AE89-69BDE489DE9E}" type="parTrans" cxnId="{378E863D-1BED-43CC-8625-0E72FAB147F0}">
      <dgm:prSet/>
      <dgm:spPr/>
      <dgm:t>
        <a:bodyPr/>
        <a:lstStyle/>
        <a:p>
          <a:endParaRPr lang="en-AU"/>
        </a:p>
      </dgm:t>
    </dgm:pt>
    <dgm:pt modelId="{90921111-7733-409C-A519-E350BCF6D32F}" type="sibTrans" cxnId="{378E863D-1BED-43CC-8625-0E72FAB147F0}">
      <dgm:prSet/>
      <dgm:spPr/>
      <dgm:t>
        <a:bodyPr/>
        <a:lstStyle/>
        <a:p>
          <a:endParaRPr lang="en-AU"/>
        </a:p>
      </dgm:t>
    </dgm:pt>
    <dgm:pt modelId="{BC6EEE41-837E-4F6A-83CE-D81B39641E72}" type="pres">
      <dgm:prSet presAssocID="{38F67AC2-E330-4B7D-A869-DD62B2F6E3D2}" presName="Name0" presStyleCnt="0">
        <dgm:presLayoutVars>
          <dgm:dir/>
          <dgm:animLvl val="lvl"/>
          <dgm:resizeHandles val="exact"/>
        </dgm:presLayoutVars>
      </dgm:prSet>
      <dgm:spPr/>
    </dgm:pt>
    <dgm:pt modelId="{40884863-8D1B-413D-9E3D-25EA66C110F6}" type="pres">
      <dgm:prSet presAssocID="{FF921B30-577A-4472-B7DE-06474E7F9BA7}" presName="Name8" presStyleCnt="0"/>
      <dgm:spPr/>
    </dgm:pt>
    <dgm:pt modelId="{B9EEBC5B-AA09-4517-8C57-51FB2235D07D}" type="pres">
      <dgm:prSet presAssocID="{FF921B30-577A-4472-B7DE-06474E7F9BA7}" presName="level" presStyleLbl="node1" presStyleIdx="0" presStyleCnt="4">
        <dgm:presLayoutVars>
          <dgm:chMax val="1"/>
          <dgm:bulletEnabled val="1"/>
        </dgm:presLayoutVars>
      </dgm:prSet>
      <dgm:spPr/>
    </dgm:pt>
    <dgm:pt modelId="{4E011CD7-61CD-4F31-A781-B5886DE5616C}" type="pres">
      <dgm:prSet presAssocID="{FF921B30-577A-4472-B7DE-06474E7F9BA7}" presName="levelTx" presStyleLbl="revTx" presStyleIdx="0" presStyleCnt="0">
        <dgm:presLayoutVars>
          <dgm:chMax val="1"/>
          <dgm:bulletEnabled val="1"/>
        </dgm:presLayoutVars>
      </dgm:prSet>
      <dgm:spPr/>
    </dgm:pt>
    <dgm:pt modelId="{2869F763-3A31-40A1-982F-FE8E2579E117}" type="pres">
      <dgm:prSet presAssocID="{04ADD544-E5C2-4C68-A220-F7C83F1C3248}" presName="Name8" presStyleCnt="0"/>
      <dgm:spPr/>
    </dgm:pt>
    <dgm:pt modelId="{E0014DCA-07E9-4CF9-B2DA-8F85E588DDD9}" type="pres">
      <dgm:prSet presAssocID="{04ADD544-E5C2-4C68-A220-F7C83F1C3248}" presName="level" presStyleLbl="node1" presStyleIdx="1" presStyleCnt="4">
        <dgm:presLayoutVars>
          <dgm:chMax val="1"/>
          <dgm:bulletEnabled val="1"/>
        </dgm:presLayoutVars>
      </dgm:prSet>
      <dgm:spPr/>
    </dgm:pt>
    <dgm:pt modelId="{9C7E43F1-8077-4E1D-A528-3859C33D4637}" type="pres">
      <dgm:prSet presAssocID="{04ADD544-E5C2-4C68-A220-F7C83F1C3248}" presName="levelTx" presStyleLbl="revTx" presStyleIdx="0" presStyleCnt="0">
        <dgm:presLayoutVars>
          <dgm:chMax val="1"/>
          <dgm:bulletEnabled val="1"/>
        </dgm:presLayoutVars>
      </dgm:prSet>
      <dgm:spPr/>
    </dgm:pt>
    <dgm:pt modelId="{2F713617-4444-40C5-AD88-BE688766E21C}" type="pres">
      <dgm:prSet presAssocID="{6F417793-162A-454D-A9C1-CCBC8D13AC41}" presName="Name8" presStyleCnt="0"/>
      <dgm:spPr/>
    </dgm:pt>
    <dgm:pt modelId="{58B94E3A-8B84-46EF-B368-39C80DEE8A7F}" type="pres">
      <dgm:prSet presAssocID="{6F417793-162A-454D-A9C1-CCBC8D13AC41}" presName="level" presStyleLbl="node1" presStyleIdx="2" presStyleCnt="4">
        <dgm:presLayoutVars>
          <dgm:chMax val="1"/>
          <dgm:bulletEnabled val="1"/>
        </dgm:presLayoutVars>
      </dgm:prSet>
      <dgm:spPr/>
    </dgm:pt>
    <dgm:pt modelId="{12D9373E-7AEF-4A36-9807-10B924151070}" type="pres">
      <dgm:prSet presAssocID="{6F417793-162A-454D-A9C1-CCBC8D13AC41}" presName="levelTx" presStyleLbl="revTx" presStyleIdx="0" presStyleCnt="0">
        <dgm:presLayoutVars>
          <dgm:chMax val="1"/>
          <dgm:bulletEnabled val="1"/>
        </dgm:presLayoutVars>
      </dgm:prSet>
      <dgm:spPr/>
    </dgm:pt>
    <dgm:pt modelId="{BB8C7373-2D83-4B49-B764-0241DBE9C255}" type="pres">
      <dgm:prSet presAssocID="{40D895A3-DECF-47C9-8C5B-025E007B8999}" presName="Name8" presStyleCnt="0"/>
      <dgm:spPr/>
    </dgm:pt>
    <dgm:pt modelId="{2B4228FE-D171-403A-838A-8568964A15C4}" type="pres">
      <dgm:prSet presAssocID="{40D895A3-DECF-47C9-8C5B-025E007B8999}" presName="level" presStyleLbl="node1" presStyleIdx="3" presStyleCnt="4">
        <dgm:presLayoutVars>
          <dgm:chMax val="1"/>
          <dgm:bulletEnabled val="1"/>
        </dgm:presLayoutVars>
      </dgm:prSet>
      <dgm:spPr/>
    </dgm:pt>
    <dgm:pt modelId="{337BBA74-F44D-4DBC-AE5E-488B0926E8E7}" type="pres">
      <dgm:prSet presAssocID="{40D895A3-DECF-47C9-8C5B-025E007B8999}" presName="levelTx" presStyleLbl="revTx" presStyleIdx="0" presStyleCnt="0">
        <dgm:presLayoutVars>
          <dgm:chMax val="1"/>
          <dgm:bulletEnabled val="1"/>
        </dgm:presLayoutVars>
      </dgm:prSet>
      <dgm:spPr/>
    </dgm:pt>
  </dgm:ptLst>
  <dgm:cxnLst>
    <dgm:cxn modelId="{83CF5703-E2BD-4C52-8376-F20CF01F5402}" type="presOf" srcId="{38F67AC2-E330-4B7D-A869-DD62B2F6E3D2}" destId="{BC6EEE41-837E-4F6A-83CE-D81B39641E72}" srcOrd="0" destOrd="0" presId="urn:microsoft.com/office/officeart/2005/8/layout/pyramid1"/>
    <dgm:cxn modelId="{C69F4F15-7131-49CD-BBDD-ED1C2F45B58E}" type="presOf" srcId="{FF921B30-577A-4472-B7DE-06474E7F9BA7}" destId="{4E011CD7-61CD-4F31-A781-B5886DE5616C}" srcOrd="1" destOrd="0" presId="urn:microsoft.com/office/officeart/2005/8/layout/pyramid1"/>
    <dgm:cxn modelId="{F2844536-6C75-4E63-94B5-2750EE010827}" srcId="{38F67AC2-E330-4B7D-A869-DD62B2F6E3D2}" destId="{FF921B30-577A-4472-B7DE-06474E7F9BA7}" srcOrd="0" destOrd="0" parTransId="{89EA9CC8-6A18-4C17-8DF0-C8BA81F1AE32}" sibTransId="{205A33DE-7805-4450-B6B0-D777629274BB}"/>
    <dgm:cxn modelId="{378E863D-1BED-43CC-8625-0E72FAB147F0}" srcId="{38F67AC2-E330-4B7D-A869-DD62B2F6E3D2}" destId="{04ADD544-E5C2-4C68-A220-F7C83F1C3248}" srcOrd="1" destOrd="0" parTransId="{110FCA2D-5313-44E1-AE89-69BDE489DE9E}" sibTransId="{90921111-7733-409C-A519-E350BCF6D32F}"/>
    <dgm:cxn modelId="{B8028B3D-04FA-4B11-929C-679DF5B015C8}" type="presOf" srcId="{40D895A3-DECF-47C9-8C5B-025E007B8999}" destId="{2B4228FE-D171-403A-838A-8568964A15C4}" srcOrd="0" destOrd="0" presId="urn:microsoft.com/office/officeart/2005/8/layout/pyramid1"/>
    <dgm:cxn modelId="{F065E364-8084-4ADB-BFC1-26DEE3C42F1D}" type="presOf" srcId="{04ADD544-E5C2-4C68-A220-F7C83F1C3248}" destId="{9C7E43F1-8077-4E1D-A528-3859C33D4637}" srcOrd="1" destOrd="0" presId="urn:microsoft.com/office/officeart/2005/8/layout/pyramid1"/>
    <dgm:cxn modelId="{F43A3354-E2E3-4164-AEEF-30BBF0502473}" type="presOf" srcId="{FF921B30-577A-4472-B7DE-06474E7F9BA7}" destId="{B9EEBC5B-AA09-4517-8C57-51FB2235D07D}" srcOrd="0" destOrd="0" presId="urn:microsoft.com/office/officeart/2005/8/layout/pyramid1"/>
    <dgm:cxn modelId="{036EC054-6FAD-4D72-A136-B8B5DF2867E9}" type="presOf" srcId="{6F417793-162A-454D-A9C1-CCBC8D13AC41}" destId="{58B94E3A-8B84-46EF-B368-39C80DEE8A7F}" srcOrd="0" destOrd="0" presId="urn:microsoft.com/office/officeart/2005/8/layout/pyramid1"/>
    <dgm:cxn modelId="{4256C0B5-7514-4B0F-B412-D38E0082EE78}" srcId="{38F67AC2-E330-4B7D-A869-DD62B2F6E3D2}" destId="{6F417793-162A-454D-A9C1-CCBC8D13AC41}" srcOrd="2" destOrd="0" parTransId="{82B8DD3B-D436-4019-9B14-476D33209740}" sibTransId="{4E35977B-46AA-4978-9AE7-4699A0C151E3}"/>
    <dgm:cxn modelId="{697BA3B6-DF1A-453B-9085-DE0E6627ABC9}" type="presOf" srcId="{40D895A3-DECF-47C9-8C5B-025E007B8999}" destId="{337BBA74-F44D-4DBC-AE5E-488B0926E8E7}" srcOrd="1" destOrd="0" presId="urn:microsoft.com/office/officeart/2005/8/layout/pyramid1"/>
    <dgm:cxn modelId="{C1DF7FB9-AF0E-4575-BCCA-5E7D7CAA3BB9}" type="presOf" srcId="{6F417793-162A-454D-A9C1-CCBC8D13AC41}" destId="{12D9373E-7AEF-4A36-9807-10B924151070}" srcOrd="1" destOrd="0" presId="urn:microsoft.com/office/officeart/2005/8/layout/pyramid1"/>
    <dgm:cxn modelId="{363663C6-96B6-45C8-AA51-E4D99C788225}" type="presOf" srcId="{04ADD544-E5C2-4C68-A220-F7C83F1C3248}" destId="{E0014DCA-07E9-4CF9-B2DA-8F85E588DDD9}" srcOrd="0" destOrd="0" presId="urn:microsoft.com/office/officeart/2005/8/layout/pyramid1"/>
    <dgm:cxn modelId="{1C8EEFEE-8793-4740-9827-77663A04E1BB}" srcId="{38F67AC2-E330-4B7D-A869-DD62B2F6E3D2}" destId="{40D895A3-DECF-47C9-8C5B-025E007B8999}" srcOrd="3" destOrd="0" parTransId="{D487CCAA-CB4B-4456-9859-87AEB3AB76A0}" sibTransId="{5BCC3FF8-36CF-4346-8B8A-F818B50B2B58}"/>
    <dgm:cxn modelId="{0629D247-E3B4-4CDF-B761-38A278733265}" type="presParOf" srcId="{BC6EEE41-837E-4F6A-83CE-D81B39641E72}" destId="{40884863-8D1B-413D-9E3D-25EA66C110F6}" srcOrd="0" destOrd="0" presId="urn:microsoft.com/office/officeart/2005/8/layout/pyramid1"/>
    <dgm:cxn modelId="{7AD3186F-5E50-489F-9A34-6A498A579692}" type="presParOf" srcId="{40884863-8D1B-413D-9E3D-25EA66C110F6}" destId="{B9EEBC5B-AA09-4517-8C57-51FB2235D07D}" srcOrd="0" destOrd="0" presId="urn:microsoft.com/office/officeart/2005/8/layout/pyramid1"/>
    <dgm:cxn modelId="{334ADF19-AB5C-40D4-B444-73D08FD3503B}" type="presParOf" srcId="{40884863-8D1B-413D-9E3D-25EA66C110F6}" destId="{4E011CD7-61CD-4F31-A781-B5886DE5616C}" srcOrd="1" destOrd="0" presId="urn:microsoft.com/office/officeart/2005/8/layout/pyramid1"/>
    <dgm:cxn modelId="{56D60F83-9363-40CD-96ED-0854BA7702C6}" type="presParOf" srcId="{BC6EEE41-837E-4F6A-83CE-D81B39641E72}" destId="{2869F763-3A31-40A1-982F-FE8E2579E117}" srcOrd="1" destOrd="0" presId="urn:microsoft.com/office/officeart/2005/8/layout/pyramid1"/>
    <dgm:cxn modelId="{E46C3E87-A93B-47CE-A686-1742949C4AD2}" type="presParOf" srcId="{2869F763-3A31-40A1-982F-FE8E2579E117}" destId="{E0014DCA-07E9-4CF9-B2DA-8F85E588DDD9}" srcOrd="0" destOrd="0" presId="urn:microsoft.com/office/officeart/2005/8/layout/pyramid1"/>
    <dgm:cxn modelId="{2610BDC0-1954-43C8-BFCA-D810513F4B57}" type="presParOf" srcId="{2869F763-3A31-40A1-982F-FE8E2579E117}" destId="{9C7E43F1-8077-4E1D-A528-3859C33D4637}" srcOrd="1" destOrd="0" presId="urn:microsoft.com/office/officeart/2005/8/layout/pyramid1"/>
    <dgm:cxn modelId="{DBFC6AB7-6519-4AB5-A497-6E6B79BF3A39}" type="presParOf" srcId="{BC6EEE41-837E-4F6A-83CE-D81B39641E72}" destId="{2F713617-4444-40C5-AD88-BE688766E21C}" srcOrd="2" destOrd="0" presId="urn:microsoft.com/office/officeart/2005/8/layout/pyramid1"/>
    <dgm:cxn modelId="{84AB820B-C06F-4F4B-B11A-210288F8D813}" type="presParOf" srcId="{2F713617-4444-40C5-AD88-BE688766E21C}" destId="{58B94E3A-8B84-46EF-B368-39C80DEE8A7F}" srcOrd="0" destOrd="0" presId="urn:microsoft.com/office/officeart/2005/8/layout/pyramid1"/>
    <dgm:cxn modelId="{2F0675D6-BBF4-448D-81AB-1210E4F2FA04}" type="presParOf" srcId="{2F713617-4444-40C5-AD88-BE688766E21C}" destId="{12D9373E-7AEF-4A36-9807-10B924151070}" srcOrd="1" destOrd="0" presId="urn:microsoft.com/office/officeart/2005/8/layout/pyramid1"/>
    <dgm:cxn modelId="{35C2DEEF-6AB9-456E-ADDE-859D50906C48}" type="presParOf" srcId="{BC6EEE41-837E-4F6A-83CE-D81B39641E72}" destId="{BB8C7373-2D83-4B49-B764-0241DBE9C255}" srcOrd="3" destOrd="0" presId="urn:microsoft.com/office/officeart/2005/8/layout/pyramid1"/>
    <dgm:cxn modelId="{4B972B46-8D57-4BE7-BD5E-E88CC5C22FCA}" type="presParOf" srcId="{BB8C7373-2D83-4B49-B764-0241DBE9C255}" destId="{2B4228FE-D171-403A-838A-8568964A15C4}" srcOrd="0" destOrd="0" presId="urn:microsoft.com/office/officeart/2005/8/layout/pyramid1"/>
    <dgm:cxn modelId="{C2AE1C8B-88E3-4A64-AD65-34F9578598F7}" type="presParOf" srcId="{BB8C7373-2D83-4B49-B764-0241DBE9C255}" destId="{337BBA74-F44D-4DBC-AE5E-488B0926E8E7}" srcOrd="1" destOrd="0" presId="urn:microsoft.com/office/officeart/2005/8/layout/pyramid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EEBC5B-AA09-4517-8C57-51FB2235D07D}">
      <dsp:nvSpPr>
        <dsp:cNvPr id="0" name=""/>
        <dsp:cNvSpPr/>
      </dsp:nvSpPr>
      <dsp:spPr>
        <a:xfrm>
          <a:off x="2057400" y="0"/>
          <a:ext cx="1371600" cy="800100"/>
        </a:xfrm>
        <a:prstGeom prst="trapezoid">
          <a:avLst>
            <a:gd name="adj" fmla="val 85714"/>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9210" tIns="29210" rIns="29210" bIns="29210" numCol="1" spcCol="1270" anchor="ctr" anchorCtr="0">
          <a:noAutofit/>
        </a:bodyPr>
        <a:lstStyle/>
        <a:p>
          <a:pPr marL="0" lvl="0" indent="0" algn="ctr" defTabSz="1022350">
            <a:lnSpc>
              <a:spcPct val="90000"/>
            </a:lnSpc>
            <a:spcBef>
              <a:spcPct val="0"/>
            </a:spcBef>
            <a:spcAft>
              <a:spcPct val="35000"/>
            </a:spcAft>
            <a:buNone/>
          </a:pPr>
          <a:r>
            <a:rPr lang="en-AU" sz="2300" kern="1200"/>
            <a:t>High-range sanctions</a:t>
          </a:r>
        </a:p>
      </dsp:txBody>
      <dsp:txXfrm>
        <a:off x="2057400" y="0"/>
        <a:ext cx="1371600" cy="800100"/>
      </dsp:txXfrm>
    </dsp:sp>
    <dsp:sp modelId="{E0014DCA-07E9-4CF9-B2DA-8F85E588DDD9}">
      <dsp:nvSpPr>
        <dsp:cNvPr id="0" name=""/>
        <dsp:cNvSpPr/>
      </dsp:nvSpPr>
      <dsp:spPr>
        <a:xfrm>
          <a:off x="1371600" y="800100"/>
          <a:ext cx="2743200" cy="800100"/>
        </a:xfrm>
        <a:prstGeom prst="trapezoid">
          <a:avLst>
            <a:gd name="adj" fmla="val 85714"/>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9210" tIns="29210" rIns="29210" bIns="29210" numCol="1" spcCol="1270" anchor="ctr" anchorCtr="0">
          <a:noAutofit/>
        </a:bodyPr>
        <a:lstStyle/>
        <a:p>
          <a:pPr marL="0" lvl="0" indent="0" algn="ctr" defTabSz="1022350">
            <a:lnSpc>
              <a:spcPct val="90000"/>
            </a:lnSpc>
            <a:spcBef>
              <a:spcPct val="0"/>
            </a:spcBef>
            <a:spcAft>
              <a:spcPct val="35000"/>
            </a:spcAft>
            <a:buNone/>
          </a:pPr>
          <a:r>
            <a:rPr lang="en-AU" sz="2300" kern="1200"/>
            <a:t>Mid-range sanctions</a:t>
          </a:r>
        </a:p>
      </dsp:txBody>
      <dsp:txXfrm>
        <a:off x="1851660" y="800100"/>
        <a:ext cx="1783080" cy="800100"/>
      </dsp:txXfrm>
    </dsp:sp>
    <dsp:sp modelId="{58B94E3A-8B84-46EF-B368-39C80DEE8A7F}">
      <dsp:nvSpPr>
        <dsp:cNvPr id="0" name=""/>
        <dsp:cNvSpPr/>
      </dsp:nvSpPr>
      <dsp:spPr>
        <a:xfrm>
          <a:off x="685799" y="1600200"/>
          <a:ext cx="4114800" cy="800100"/>
        </a:xfrm>
        <a:prstGeom prst="trapezoid">
          <a:avLst>
            <a:gd name="adj" fmla="val 85714"/>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9210" tIns="29210" rIns="29210" bIns="29210" numCol="1" spcCol="1270" anchor="ctr" anchorCtr="0">
          <a:noAutofit/>
        </a:bodyPr>
        <a:lstStyle/>
        <a:p>
          <a:pPr marL="0" lvl="0" indent="0" algn="ctr" defTabSz="1022350">
            <a:lnSpc>
              <a:spcPct val="90000"/>
            </a:lnSpc>
            <a:spcBef>
              <a:spcPct val="0"/>
            </a:spcBef>
            <a:spcAft>
              <a:spcPct val="35000"/>
            </a:spcAft>
            <a:buNone/>
          </a:pPr>
          <a:r>
            <a:rPr lang="en-AU" sz="2300" kern="1200"/>
            <a:t>Low-range sanctions</a:t>
          </a:r>
        </a:p>
      </dsp:txBody>
      <dsp:txXfrm>
        <a:off x="1405889" y="1600200"/>
        <a:ext cx="2674620" cy="800100"/>
      </dsp:txXfrm>
    </dsp:sp>
    <dsp:sp modelId="{2B4228FE-D171-403A-838A-8568964A15C4}">
      <dsp:nvSpPr>
        <dsp:cNvPr id="0" name=""/>
        <dsp:cNvSpPr/>
      </dsp:nvSpPr>
      <dsp:spPr>
        <a:xfrm>
          <a:off x="0" y="2400300"/>
          <a:ext cx="5486400" cy="800100"/>
        </a:xfrm>
        <a:prstGeom prst="trapezoid">
          <a:avLst>
            <a:gd name="adj" fmla="val 85714"/>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9210" tIns="29210" rIns="29210" bIns="29210" numCol="1" spcCol="1270" anchor="ctr" anchorCtr="0">
          <a:noAutofit/>
        </a:bodyPr>
        <a:lstStyle/>
        <a:p>
          <a:pPr marL="0" lvl="0" indent="0" algn="ctr" defTabSz="1022350">
            <a:lnSpc>
              <a:spcPct val="90000"/>
            </a:lnSpc>
            <a:spcBef>
              <a:spcPct val="0"/>
            </a:spcBef>
            <a:spcAft>
              <a:spcPct val="35000"/>
            </a:spcAft>
            <a:buNone/>
          </a:pPr>
          <a:r>
            <a:rPr lang="en-AU" sz="2300" kern="1200"/>
            <a:t>Persuasion</a:t>
          </a:r>
        </a:p>
      </dsp:txBody>
      <dsp:txXfrm>
        <a:off x="960119" y="2400300"/>
        <a:ext cx="3566160" cy="80010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166541c0-0594-4e6a-9105-c24d4b6de6f7">DOC21-23147</ShareHubID>
    <TaxCatchAll xmlns="166541c0-0594-4e6a-9105-c24d4b6de6f7">
      <Value>30</Value>
      <Value>57</Value>
      <Value>28</Value>
    </TaxCatchAll>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Meeting Minute</TermName>
          <TermId xmlns="http://schemas.microsoft.com/office/infopath/2007/PartnerControls">ad799f49-bdf8-4ec2-bcb1-44d38b617948</TermId>
        </TermInfo>
        <TermInfo xmlns="http://schemas.microsoft.com/office/infopath/2007/PartnerControls">
          <TermName xmlns="http://schemas.microsoft.com/office/infopath/2007/PartnerControls">ORIC</TermName>
          <TermId xmlns="http://schemas.microsoft.com/office/infopath/2007/PartnerControls">d151c637-14dd-4e1a-a8c5-ebf2e3d90de4</TermId>
        </TermInfo>
      </Terms>
    </hc4a8f51d7584793bcee84017ea96cb3>
    <PMCNotes xmlns="166541c0-0594-4e6a-9105-c24d4b6de6f7" xsi:nil="true"/>
    <NonRecordJustification xmlns="685f9fda-bd71-4433-b331-92feb9553089">None</NonRecordJustification>
  </documentManagement>
</p:properties>
</file>

<file path=customXml/itemProps1.xml><?xml version="1.0" encoding="utf-8"?>
<ds:datastoreItem xmlns:ds="http://schemas.openxmlformats.org/officeDocument/2006/customXml" ds:itemID="{56641411-4354-4CBA-B84B-15A6AB1FC6A7}">
  <ds:schemaRefs>
    <ds:schemaRef ds:uri="http://schemas.openxmlformats.org/officeDocument/2006/bibliography"/>
  </ds:schemaRefs>
</ds:datastoreItem>
</file>

<file path=customXml/itemProps2.xml><?xml version="1.0" encoding="utf-8"?>
<ds:datastoreItem xmlns:ds="http://schemas.openxmlformats.org/officeDocument/2006/customXml" ds:itemID="{D03CE0E1-2A67-49DA-BBFB-1B5578589D01}"/>
</file>

<file path=customXml/itemProps3.xml><?xml version="1.0" encoding="utf-8"?>
<ds:datastoreItem xmlns:ds="http://schemas.openxmlformats.org/officeDocument/2006/customXml" ds:itemID="{25BE893D-C47F-4155-92A1-89063F96153E}"/>
</file>

<file path=customXml/itemProps4.xml><?xml version="1.0" encoding="utf-8"?>
<ds:datastoreItem xmlns:ds="http://schemas.openxmlformats.org/officeDocument/2006/customXml" ds:itemID="{DF7CCCC2-50C9-4C9A-876B-1F9E9ABD4B81}"/>
</file>

<file path=docProps/app.xml><?xml version="1.0" encoding="utf-8"?>
<Properties xmlns="http://schemas.openxmlformats.org/officeDocument/2006/extended-properties" xmlns:vt="http://schemas.openxmlformats.org/officeDocument/2006/docPropsVTypes">
  <Template>Normal</Template>
  <TotalTime>1</TotalTime>
  <Pages>15</Pages>
  <Words>6040</Words>
  <Characters>34428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NEHME</dc:creator>
  <cp:keywords/>
  <dc:description/>
  <cp:lastModifiedBy>Marina NEHME</cp:lastModifiedBy>
  <cp:revision>2</cp:revision>
  <dcterms:created xsi:type="dcterms:W3CDTF">2020-10-02T12:42:00Z</dcterms:created>
  <dcterms:modified xsi:type="dcterms:W3CDTF">2020-10-02T12:42:00Z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57;#OFFICIAL|11463c70-78df-4e3b-b0ff-f66cd3cb26ec</vt:lpwstr>
  </property>
  <property fmtid="{D5CDD505-2E9C-101B-9397-08002B2CF9AE}" pid="3" name="ContentTypeId">
    <vt:lpwstr>0x0101002825A64A6E1845A99A9D8EE8A5686ECB009B58D7D72C3ED54C851955501673F8AC</vt:lpwstr>
  </property>
  <property fmtid="{D5CDD505-2E9C-101B-9397-08002B2CF9AE}" pid="4" name="ESearchTags">
    <vt:lpwstr>30;#Meeting Minute|ad799f49-bdf8-4ec2-bcb1-44d38b617948;#28;#ORIC|d151c637-14dd-4e1a-a8c5-ebf2e3d90de4</vt:lpwstr>
  </property>
  <property fmtid="{D5CDD505-2E9C-101B-9397-08002B2CF9AE}" pid="5" name="PMC.ESearch.TagGeneratedTime">
    <vt:lpwstr>2021-02-01T14:25:28</vt:lpwstr>
  </property>
  <property fmtid="{D5CDD505-2E9C-101B-9397-08002B2CF9AE}" pid="6" name="HPRMSecurityCaveat">
    <vt:lpwstr/>
  </property>
</Properties>
</file>