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1BA98" w14:textId="77777777" w:rsidR="00F61835" w:rsidRDefault="00F61835" w:rsidP="009F0963">
      <w:pPr>
        <w:tabs>
          <w:tab w:val="left" w:pos="9639"/>
        </w:tabs>
      </w:pPr>
    </w:p>
    <w:p w14:paraId="3D303621" w14:textId="77777777" w:rsidR="00F61835" w:rsidRPr="00594393" w:rsidRDefault="00F61835" w:rsidP="00F61835">
      <w:pPr>
        <w:pStyle w:val="Title"/>
        <w:spacing w:before="2760"/>
        <w:outlineLvl w:val="0"/>
        <w:rPr>
          <w:sz w:val="72"/>
          <w:szCs w:val="72"/>
        </w:rPr>
      </w:pPr>
      <w:bookmarkStart w:id="0" w:name="_Toc530391051"/>
      <w:bookmarkStart w:id="1" w:name="_Toc530391879"/>
      <w:bookmarkStart w:id="2" w:name="_Toc530400156"/>
      <w:bookmarkStart w:id="3" w:name="_Toc530402252"/>
      <w:bookmarkStart w:id="4" w:name="_Toc530403475"/>
      <w:bookmarkStart w:id="5" w:name="_Toc531094115"/>
      <w:bookmarkStart w:id="6" w:name="_Toc531862175"/>
      <w:r>
        <w:rPr>
          <w:sz w:val="56"/>
          <w:szCs w:val="56"/>
        </w:rPr>
        <w:t>2018</w:t>
      </w:r>
      <w:r w:rsidRPr="0056600C">
        <w:rPr>
          <w:rFonts w:ascii="Arial" w:hAnsi="Arial" w:cs="Arial"/>
          <w:color w:val="434343"/>
          <w:sz w:val="56"/>
          <w:szCs w:val="21"/>
        </w:rPr>
        <w:t>–</w:t>
      </w:r>
      <w:r w:rsidRPr="00594393">
        <w:rPr>
          <w:sz w:val="56"/>
          <w:szCs w:val="56"/>
        </w:rPr>
        <w:t>1</w:t>
      </w:r>
      <w:r>
        <w:rPr>
          <w:sz w:val="56"/>
          <w:szCs w:val="56"/>
        </w:rPr>
        <w:t>9</w:t>
      </w:r>
      <w:r>
        <w:rPr>
          <w:sz w:val="56"/>
          <w:szCs w:val="56"/>
        </w:rPr>
        <w:br/>
      </w:r>
      <w:r w:rsidRPr="00282674">
        <w:rPr>
          <w:sz w:val="72"/>
          <w:szCs w:val="72"/>
        </w:rPr>
        <w:t xml:space="preserve">Annual </w:t>
      </w:r>
      <w:r>
        <w:rPr>
          <w:sz w:val="72"/>
          <w:szCs w:val="72"/>
        </w:rPr>
        <w:t>Evaluation</w:t>
      </w:r>
      <w:r>
        <w:rPr>
          <w:sz w:val="72"/>
          <w:szCs w:val="72"/>
        </w:rPr>
        <w:br/>
      </w:r>
      <w:r w:rsidRPr="00282674">
        <w:rPr>
          <w:sz w:val="72"/>
          <w:szCs w:val="72"/>
        </w:rPr>
        <w:t>Work Plan</w:t>
      </w:r>
      <w:bookmarkEnd w:id="0"/>
      <w:bookmarkEnd w:id="1"/>
      <w:bookmarkEnd w:id="2"/>
      <w:bookmarkEnd w:id="3"/>
      <w:bookmarkEnd w:id="4"/>
      <w:bookmarkEnd w:id="5"/>
      <w:bookmarkEnd w:id="6"/>
    </w:p>
    <w:p w14:paraId="0A2CDA47" w14:textId="65B35767" w:rsidR="00AF13E5" w:rsidRPr="00E65C29" w:rsidRDefault="00F61835" w:rsidP="00E65C29">
      <w:pPr>
        <w:pStyle w:val="Title"/>
        <w:rPr>
          <w:sz w:val="36"/>
          <w:szCs w:val="36"/>
        </w:rPr>
      </w:pPr>
      <w:r w:rsidRPr="00594393">
        <w:rPr>
          <w:sz w:val="36"/>
          <w:szCs w:val="36"/>
        </w:rPr>
        <w:t>Indigenous Advancement Strategy</w:t>
      </w:r>
    </w:p>
    <w:p w14:paraId="58B75E16" w14:textId="74984A09" w:rsidR="00A37AA3" w:rsidRPr="00AF13E5" w:rsidRDefault="00A37AA3" w:rsidP="00AF13E5">
      <w:pPr>
        <w:tabs>
          <w:tab w:val="left" w:pos="8164"/>
        </w:tabs>
        <w:sectPr w:rsidR="00A37AA3" w:rsidRPr="00AF13E5" w:rsidSect="009E5681">
          <w:headerReference w:type="even" r:id="rId11"/>
          <w:headerReference w:type="default" r:id="rId12"/>
          <w:footerReference w:type="even" r:id="rId13"/>
          <w:footerReference w:type="default" r:id="rId14"/>
          <w:headerReference w:type="first" r:id="rId15"/>
          <w:pgSz w:w="11907" w:h="16839" w:code="9"/>
          <w:pgMar w:top="2977" w:right="851" w:bottom="567" w:left="851" w:header="720" w:footer="720" w:gutter="0"/>
          <w:cols w:space="720"/>
          <w:titlePg/>
          <w:docGrid w:linePitch="360"/>
        </w:sectPr>
      </w:pPr>
    </w:p>
    <w:sdt>
      <w:sdtPr>
        <w:rPr>
          <w:rFonts w:ascii="Century Gothic" w:eastAsiaTheme="minorHAnsi" w:hAnsi="Century Gothic" w:cstheme="minorBidi"/>
          <w:b w:val="0"/>
          <w:bCs w:val="0"/>
          <w:color w:val="auto"/>
          <w:sz w:val="18"/>
          <w:szCs w:val="22"/>
          <w:lang w:eastAsia="en-US"/>
        </w:rPr>
        <w:id w:val="-1419248954"/>
        <w:docPartObj>
          <w:docPartGallery w:val="Table of Contents"/>
          <w:docPartUnique/>
        </w:docPartObj>
      </w:sdtPr>
      <w:sdtEndPr>
        <w:rPr>
          <w:b/>
          <w:noProof/>
        </w:rPr>
      </w:sdtEndPr>
      <w:sdtContent>
        <w:p w14:paraId="0DA15128" w14:textId="77777777" w:rsidR="00C60131" w:rsidRPr="00C60131" w:rsidRDefault="00C60131" w:rsidP="00C60131">
          <w:pPr>
            <w:pStyle w:val="TOCHeading"/>
            <w:spacing w:before="0" w:after="240"/>
            <w:rPr>
              <w:rStyle w:val="Heading1Char"/>
              <w:b/>
            </w:rPr>
          </w:pPr>
          <w:r w:rsidRPr="00C60131">
            <w:rPr>
              <w:rStyle w:val="Heading1Char"/>
              <w:b/>
            </w:rPr>
            <w:t>Contents</w:t>
          </w:r>
        </w:p>
        <w:p w14:paraId="00B312DF" w14:textId="49A8FCC8" w:rsidR="00734F83" w:rsidRDefault="00C60131" w:rsidP="00DD0863">
          <w:pPr>
            <w:pStyle w:val="TOC1"/>
            <w:tabs>
              <w:tab w:val="right" w:leader="dot" w:pos="10195"/>
            </w:tabs>
            <w:rPr>
              <w:noProof/>
            </w:rPr>
          </w:pPr>
          <w:r w:rsidRPr="00C60131">
            <w:fldChar w:fldCharType="begin"/>
          </w:r>
          <w:r w:rsidRPr="00C60131">
            <w:instrText xml:space="preserve"> TOC \o "1-3" \h \z \u </w:instrText>
          </w:r>
          <w:r w:rsidRPr="00C60131">
            <w:fldChar w:fldCharType="separate"/>
          </w:r>
        </w:p>
        <w:p w14:paraId="70E7B659"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76" w:history="1">
            <w:r w:rsidR="00734F83" w:rsidRPr="00A959D1">
              <w:rPr>
                <w:rStyle w:val="Hyperlink"/>
                <w:noProof/>
              </w:rPr>
              <w:t>Introduction</w:t>
            </w:r>
            <w:r w:rsidR="00734F83">
              <w:rPr>
                <w:noProof/>
                <w:webHidden/>
              </w:rPr>
              <w:tab/>
            </w:r>
            <w:r w:rsidR="00734F83">
              <w:rPr>
                <w:noProof/>
                <w:webHidden/>
              </w:rPr>
              <w:fldChar w:fldCharType="begin"/>
            </w:r>
            <w:r w:rsidR="00734F83">
              <w:rPr>
                <w:noProof/>
                <w:webHidden/>
              </w:rPr>
              <w:instrText xml:space="preserve"> PAGEREF _Toc531862176 \h </w:instrText>
            </w:r>
            <w:r w:rsidR="00734F83">
              <w:rPr>
                <w:noProof/>
                <w:webHidden/>
              </w:rPr>
            </w:r>
            <w:r w:rsidR="00734F83">
              <w:rPr>
                <w:noProof/>
                <w:webHidden/>
              </w:rPr>
              <w:fldChar w:fldCharType="separate"/>
            </w:r>
            <w:r w:rsidR="00734F83">
              <w:rPr>
                <w:noProof/>
                <w:webHidden/>
              </w:rPr>
              <w:t>1</w:t>
            </w:r>
            <w:r w:rsidR="00734F83">
              <w:rPr>
                <w:noProof/>
                <w:webHidden/>
              </w:rPr>
              <w:fldChar w:fldCharType="end"/>
            </w:r>
          </w:hyperlink>
        </w:p>
        <w:p w14:paraId="044B5D29"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77" w:history="1">
            <w:r w:rsidR="00734F83" w:rsidRPr="00A959D1">
              <w:rPr>
                <w:rStyle w:val="Hyperlink"/>
                <w:noProof/>
              </w:rPr>
              <w:t>Principles and process for identifying evaluation priorities</w:t>
            </w:r>
            <w:r w:rsidR="00734F83">
              <w:rPr>
                <w:noProof/>
                <w:webHidden/>
              </w:rPr>
              <w:tab/>
            </w:r>
            <w:r w:rsidR="00734F83">
              <w:rPr>
                <w:noProof/>
                <w:webHidden/>
              </w:rPr>
              <w:fldChar w:fldCharType="begin"/>
            </w:r>
            <w:r w:rsidR="00734F83">
              <w:rPr>
                <w:noProof/>
                <w:webHidden/>
              </w:rPr>
              <w:instrText xml:space="preserve"> PAGEREF _Toc531862177 \h </w:instrText>
            </w:r>
            <w:r w:rsidR="00734F83">
              <w:rPr>
                <w:noProof/>
                <w:webHidden/>
              </w:rPr>
            </w:r>
            <w:r w:rsidR="00734F83">
              <w:rPr>
                <w:noProof/>
                <w:webHidden/>
              </w:rPr>
              <w:fldChar w:fldCharType="separate"/>
            </w:r>
            <w:r w:rsidR="00734F83">
              <w:rPr>
                <w:noProof/>
                <w:webHidden/>
              </w:rPr>
              <w:t>2</w:t>
            </w:r>
            <w:r w:rsidR="00734F83">
              <w:rPr>
                <w:noProof/>
                <w:webHidden/>
              </w:rPr>
              <w:fldChar w:fldCharType="end"/>
            </w:r>
          </w:hyperlink>
        </w:p>
        <w:p w14:paraId="5A41B167"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78" w:history="1">
            <w:r w:rsidR="00734F83" w:rsidRPr="00A959D1">
              <w:rPr>
                <w:rStyle w:val="Hyperlink"/>
                <w:noProof/>
              </w:rPr>
              <w:t>Current Evaluations/Reviews</w:t>
            </w:r>
            <w:r w:rsidR="00734F83">
              <w:rPr>
                <w:noProof/>
                <w:webHidden/>
              </w:rPr>
              <w:tab/>
            </w:r>
            <w:r w:rsidR="00734F83">
              <w:rPr>
                <w:noProof/>
                <w:webHidden/>
              </w:rPr>
              <w:fldChar w:fldCharType="begin"/>
            </w:r>
            <w:r w:rsidR="00734F83">
              <w:rPr>
                <w:noProof/>
                <w:webHidden/>
              </w:rPr>
              <w:instrText xml:space="preserve"> PAGEREF _Toc531862178 \h </w:instrText>
            </w:r>
            <w:r w:rsidR="00734F83">
              <w:rPr>
                <w:noProof/>
                <w:webHidden/>
              </w:rPr>
            </w:r>
            <w:r w:rsidR="00734F83">
              <w:rPr>
                <w:noProof/>
                <w:webHidden/>
              </w:rPr>
              <w:fldChar w:fldCharType="separate"/>
            </w:r>
            <w:r w:rsidR="00734F83">
              <w:rPr>
                <w:noProof/>
                <w:webHidden/>
              </w:rPr>
              <w:t>3</w:t>
            </w:r>
            <w:r w:rsidR="00734F83">
              <w:rPr>
                <w:noProof/>
                <w:webHidden/>
              </w:rPr>
              <w:fldChar w:fldCharType="end"/>
            </w:r>
          </w:hyperlink>
        </w:p>
        <w:p w14:paraId="253FAF83"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79" w:history="1">
            <w:r w:rsidR="00734F83" w:rsidRPr="00A959D1">
              <w:rPr>
                <w:rStyle w:val="Hyperlink"/>
                <w:noProof/>
              </w:rPr>
              <w:t>Cross-cutting evaluations/capability</w:t>
            </w:r>
            <w:r w:rsidR="00734F83">
              <w:rPr>
                <w:noProof/>
                <w:webHidden/>
              </w:rPr>
              <w:tab/>
            </w:r>
            <w:r w:rsidR="00734F83">
              <w:rPr>
                <w:noProof/>
                <w:webHidden/>
              </w:rPr>
              <w:fldChar w:fldCharType="begin"/>
            </w:r>
            <w:r w:rsidR="00734F83">
              <w:rPr>
                <w:noProof/>
                <w:webHidden/>
              </w:rPr>
              <w:instrText xml:space="preserve"> PAGEREF _Toc531862179 \h </w:instrText>
            </w:r>
            <w:r w:rsidR="00734F83">
              <w:rPr>
                <w:noProof/>
                <w:webHidden/>
              </w:rPr>
            </w:r>
            <w:r w:rsidR="00734F83">
              <w:rPr>
                <w:noProof/>
                <w:webHidden/>
              </w:rPr>
              <w:fldChar w:fldCharType="separate"/>
            </w:r>
            <w:r w:rsidR="00734F83">
              <w:rPr>
                <w:noProof/>
                <w:webHidden/>
              </w:rPr>
              <w:t>3</w:t>
            </w:r>
            <w:r w:rsidR="00734F83">
              <w:rPr>
                <w:noProof/>
                <w:webHidden/>
              </w:rPr>
              <w:fldChar w:fldCharType="end"/>
            </w:r>
          </w:hyperlink>
        </w:p>
        <w:p w14:paraId="173CE812"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80" w:history="1">
            <w:r w:rsidR="00734F83" w:rsidRPr="00A959D1">
              <w:rPr>
                <w:rStyle w:val="Hyperlink"/>
                <w:noProof/>
              </w:rPr>
              <w:t>Program evaluations/reviews</w:t>
            </w:r>
            <w:r w:rsidR="00734F83">
              <w:rPr>
                <w:noProof/>
                <w:webHidden/>
              </w:rPr>
              <w:tab/>
            </w:r>
            <w:r w:rsidR="00734F83">
              <w:rPr>
                <w:noProof/>
                <w:webHidden/>
              </w:rPr>
              <w:fldChar w:fldCharType="begin"/>
            </w:r>
            <w:r w:rsidR="00734F83">
              <w:rPr>
                <w:noProof/>
                <w:webHidden/>
              </w:rPr>
              <w:instrText xml:space="preserve"> PAGEREF _Toc531862180 \h </w:instrText>
            </w:r>
            <w:r w:rsidR="00734F83">
              <w:rPr>
                <w:noProof/>
                <w:webHidden/>
              </w:rPr>
            </w:r>
            <w:r w:rsidR="00734F83">
              <w:rPr>
                <w:noProof/>
                <w:webHidden/>
              </w:rPr>
              <w:fldChar w:fldCharType="separate"/>
            </w:r>
            <w:r w:rsidR="00734F83">
              <w:rPr>
                <w:noProof/>
                <w:webHidden/>
              </w:rPr>
              <w:t>4</w:t>
            </w:r>
            <w:r w:rsidR="00734F83">
              <w:rPr>
                <w:noProof/>
                <w:webHidden/>
              </w:rPr>
              <w:fldChar w:fldCharType="end"/>
            </w:r>
          </w:hyperlink>
        </w:p>
        <w:p w14:paraId="169FA5DA"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81" w:history="1">
            <w:r w:rsidR="00734F83" w:rsidRPr="00A959D1">
              <w:rPr>
                <w:rStyle w:val="Hyperlink"/>
                <w:noProof/>
              </w:rPr>
              <w:t>Evaluations/Reviews not carried over from previous Work Plan</w:t>
            </w:r>
            <w:r w:rsidR="00734F83">
              <w:rPr>
                <w:noProof/>
                <w:webHidden/>
              </w:rPr>
              <w:tab/>
            </w:r>
            <w:r w:rsidR="00734F83">
              <w:rPr>
                <w:noProof/>
                <w:webHidden/>
              </w:rPr>
              <w:fldChar w:fldCharType="begin"/>
            </w:r>
            <w:r w:rsidR="00734F83">
              <w:rPr>
                <w:noProof/>
                <w:webHidden/>
              </w:rPr>
              <w:instrText xml:space="preserve"> PAGEREF _Toc531862181 \h </w:instrText>
            </w:r>
            <w:r w:rsidR="00734F83">
              <w:rPr>
                <w:noProof/>
                <w:webHidden/>
              </w:rPr>
            </w:r>
            <w:r w:rsidR="00734F83">
              <w:rPr>
                <w:noProof/>
                <w:webHidden/>
              </w:rPr>
              <w:fldChar w:fldCharType="separate"/>
            </w:r>
            <w:r w:rsidR="00734F83">
              <w:rPr>
                <w:noProof/>
                <w:webHidden/>
              </w:rPr>
              <w:t>8</w:t>
            </w:r>
            <w:r w:rsidR="00734F83">
              <w:rPr>
                <w:noProof/>
                <w:webHidden/>
              </w:rPr>
              <w:fldChar w:fldCharType="end"/>
            </w:r>
          </w:hyperlink>
        </w:p>
        <w:p w14:paraId="05AA4F3A"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82" w:history="1">
            <w:r w:rsidR="00734F83" w:rsidRPr="00A959D1">
              <w:rPr>
                <w:rStyle w:val="Hyperlink"/>
                <w:noProof/>
              </w:rPr>
              <w:t>Evaluations/Reviews Published</w:t>
            </w:r>
            <w:r w:rsidR="00734F83">
              <w:rPr>
                <w:noProof/>
                <w:webHidden/>
              </w:rPr>
              <w:tab/>
            </w:r>
            <w:r w:rsidR="00734F83">
              <w:rPr>
                <w:noProof/>
                <w:webHidden/>
              </w:rPr>
              <w:fldChar w:fldCharType="begin"/>
            </w:r>
            <w:r w:rsidR="00734F83">
              <w:rPr>
                <w:noProof/>
                <w:webHidden/>
              </w:rPr>
              <w:instrText xml:space="preserve"> PAGEREF _Toc531862182 \h </w:instrText>
            </w:r>
            <w:r w:rsidR="00734F83">
              <w:rPr>
                <w:noProof/>
                <w:webHidden/>
              </w:rPr>
            </w:r>
            <w:r w:rsidR="00734F83">
              <w:rPr>
                <w:noProof/>
                <w:webHidden/>
              </w:rPr>
              <w:fldChar w:fldCharType="separate"/>
            </w:r>
            <w:r w:rsidR="00734F83">
              <w:rPr>
                <w:noProof/>
                <w:webHidden/>
              </w:rPr>
              <w:t>9</w:t>
            </w:r>
            <w:r w:rsidR="00734F83">
              <w:rPr>
                <w:noProof/>
                <w:webHidden/>
              </w:rPr>
              <w:fldChar w:fldCharType="end"/>
            </w:r>
          </w:hyperlink>
        </w:p>
        <w:p w14:paraId="71AE0BEE"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83" w:history="1">
            <w:r w:rsidR="00734F83" w:rsidRPr="00A959D1">
              <w:rPr>
                <w:rStyle w:val="Hyperlink"/>
                <w:noProof/>
              </w:rPr>
              <w:t>Cross-cutting evaluations/reviews/capability</w:t>
            </w:r>
            <w:r w:rsidR="00734F83">
              <w:rPr>
                <w:noProof/>
                <w:webHidden/>
              </w:rPr>
              <w:tab/>
            </w:r>
            <w:r w:rsidR="00734F83">
              <w:rPr>
                <w:noProof/>
                <w:webHidden/>
              </w:rPr>
              <w:fldChar w:fldCharType="begin"/>
            </w:r>
            <w:r w:rsidR="00734F83">
              <w:rPr>
                <w:noProof/>
                <w:webHidden/>
              </w:rPr>
              <w:instrText xml:space="preserve"> PAGEREF _Toc531862183 \h </w:instrText>
            </w:r>
            <w:r w:rsidR="00734F83">
              <w:rPr>
                <w:noProof/>
                <w:webHidden/>
              </w:rPr>
            </w:r>
            <w:r w:rsidR="00734F83">
              <w:rPr>
                <w:noProof/>
                <w:webHidden/>
              </w:rPr>
              <w:fldChar w:fldCharType="separate"/>
            </w:r>
            <w:r w:rsidR="00734F83">
              <w:rPr>
                <w:noProof/>
                <w:webHidden/>
              </w:rPr>
              <w:t>9</w:t>
            </w:r>
            <w:r w:rsidR="00734F83">
              <w:rPr>
                <w:noProof/>
                <w:webHidden/>
              </w:rPr>
              <w:fldChar w:fldCharType="end"/>
            </w:r>
          </w:hyperlink>
        </w:p>
        <w:p w14:paraId="3D0C9B94"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84" w:history="1">
            <w:r w:rsidR="00734F83" w:rsidRPr="00A959D1">
              <w:rPr>
                <w:rStyle w:val="Hyperlink"/>
                <w:noProof/>
              </w:rPr>
              <w:t>Program evaluations/reviews</w:t>
            </w:r>
            <w:r w:rsidR="00734F83">
              <w:rPr>
                <w:noProof/>
                <w:webHidden/>
              </w:rPr>
              <w:tab/>
            </w:r>
            <w:r w:rsidR="00734F83">
              <w:rPr>
                <w:noProof/>
                <w:webHidden/>
              </w:rPr>
              <w:fldChar w:fldCharType="begin"/>
            </w:r>
            <w:r w:rsidR="00734F83">
              <w:rPr>
                <w:noProof/>
                <w:webHidden/>
              </w:rPr>
              <w:instrText xml:space="preserve"> PAGEREF _Toc531862184 \h </w:instrText>
            </w:r>
            <w:r w:rsidR="00734F83">
              <w:rPr>
                <w:noProof/>
                <w:webHidden/>
              </w:rPr>
            </w:r>
            <w:r w:rsidR="00734F83">
              <w:rPr>
                <w:noProof/>
                <w:webHidden/>
              </w:rPr>
              <w:fldChar w:fldCharType="separate"/>
            </w:r>
            <w:r w:rsidR="00734F83">
              <w:rPr>
                <w:noProof/>
                <w:webHidden/>
              </w:rPr>
              <w:t>9</w:t>
            </w:r>
            <w:r w:rsidR="00734F83">
              <w:rPr>
                <w:noProof/>
                <w:webHidden/>
              </w:rPr>
              <w:fldChar w:fldCharType="end"/>
            </w:r>
          </w:hyperlink>
        </w:p>
        <w:p w14:paraId="27B948D2"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85" w:history="1">
            <w:r w:rsidR="00734F83" w:rsidRPr="00A959D1">
              <w:rPr>
                <w:rStyle w:val="Hyperlink"/>
                <w:noProof/>
              </w:rPr>
              <w:t>Evaluations/Reviews completed but awaiting release</w:t>
            </w:r>
            <w:r w:rsidR="00734F83">
              <w:rPr>
                <w:noProof/>
                <w:webHidden/>
              </w:rPr>
              <w:tab/>
            </w:r>
            <w:r w:rsidR="00734F83">
              <w:rPr>
                <w:noProof/>
                <w:webHidden/>
              </w:rPr>
              <w:fldChar w:fldCharType="begin"/>
            </w:r>
            <w:r w:rsidR="00734F83">
              <w:rPr>
                <w:noProof/>
                <w:webHidden/>
              </w:rPr>
              <w:instrText xml:space="preserve"> PAGEREF _Toc531862185 \h </w:instrText>
            </w:r>
            <w:r w:rsidR="00734F83">
              <w:rPr>
                <w:noProof/>
                <w:webHidden/>
              </w:rPr>
            </w:r>
            <w:r w:rsidR="00734F83">
              <w:rPr>
                <w:noProof/>
                <w:webHidden/>
              </w:rPr>
              <w:fldChar w:fldCharType="separate"/>
            </w:r>
            <w:r w:rsidR="00734F83">
              <w:rPr>
                <w:noProof/>
                <w:webHidden/>
              </w:rPr>
              <w:t>11</w:t>
            </w:r>
            <w:r w:rsidR="00734F83">
              <w:rPr>
                <w:noProof/>
                <w:webHidden/>
              </w:rPr>
              <w:fldChar w:fldCharType="end"/>
            </w:r>
          </w:hyperlink>
        </w:p>
        <w:p w14:paraId="0A2B61C8"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86" w:history="1">
            <w:r w:rsidR="00734F83" w:rsidRPr="00A959D1">
              <w:rPr>
                <w:rStyle w:val="Hyperlink"/>
                <w:noProof/>
              </w:rPr>
              <w:t>Cross-cutting evaluations/reviews/capability</w:t>
            </w:r>
            <w:r w:rsidR="00734F83">
              <w:rPr>
                <w:noProof/>
                <w:webHidden/>
              </w:rPr>
              <w:tab/>
            </w:r>
            <w:r w:rsidR="00734F83">
              <w:rPr>
                <w:noProof/>
                <w:webHidden/>
              </w:rPr>
              <w:fldChar w:fldCharType="begin"/>
            </w:r>
            <w:r w:rsidR="00734F83">
              <w:rPr>
                <w:noProof/>
                <w:webHidden/>
              </w:rPr>
              <w:instrText xml:space="preserve"> PAGEREF _Toc531862186 \h </w:instrText>
            </w:r>
            <w:r w:rsidR="00734F83">
              <w:rPr>
                <w:noProof/>
                <w:webHidden/>
              </w:rPr>
            </w:r>
            <w:r w:rsidR="00734F83">
              <w:rPr>
                <w:noProof/>
                <w:webHidden/>
              </w:rPr>
              <w:fldChar w:fldCharType="separate"/>
            </w:r>
            <w:r w:rsidR="00734F83">
              <w:rPr>
                <w:noProof/>
                <w:webHidden/>
              </w:rPr>
              <w:t>11</w:t>
            </w:r>
            <w:r w:rsidR="00734F83">
              <w:rPr>
                <w:noProof/>
                <w:webHidden/>
              </w:rPr>
              <w:fldChar w:fldCharType="end"/>
            </w:r>
          </w:hyperlink>
        </w:p>
        <w:p w14:paraId="3D52DFB1"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87" w:history="1">
            <w:r w:rsidR="00734F83" w:rsidRPr="00A959D1">
              <w:rPr>
                <w:rStyle w:val="Hyperlink"/>
                <w:noProof/>
              </w:rPr>
              <w:t>Program evaluations/reviews</w:t>
            </w:r>
            <w:r w:rsidR="00734F83">
              <w:rPr>
                <w:noProof/>
                <w:webHidden/>
              </w:rPr>
              <w:tab/>
            </w:r>
            <w:r w:rsidR="00734F83">
              <w:rPr>
                <w:noProof/>
                <w:webHidden/>
              </w:rPr>
              <w:fldChar w:fldCharType="begin"/>
            </w:r>
            <w:r w:rsidR="00734F83">
              <w:rPr>
                <w:noProof/>
                <w:webHidden/>
              </w:rPr>
              <w:instrText xml:space="preserve"> PAGEREF _Toc531862187 \h </w:instrText>
            </w:r>
            <w:r w:rsidR="00734F83">
              <w:rPr>
                <w:noProof/>
                <w:webHidden/>
              </w:rPr>
            </w:r>
            <w:r w:rsidR="00734F83">
              <w:rPr>
                <w:noProof/>
                <w:webHidden/>
              </w:rPr>
              <w:fldChar w:fldCharType="separate"/>
            </w:r>
            <w:r w:rsidR="00734F83">
              <w:rPr>
                <w:noProof/>
                <w:webHidden/>
              </w:rPr>
              <w:t>11</w:t>
            </w:r>
            <w:r w:rsidR="00734F83">
              <w:rPr>
                <w:noProof/>
                <w:webHidden/>
              </w:rPr>
              <w:fldChar w:fldCharType="end"/>
            </w:r>
          </w:hyperlink>
        </w:p>
        <w:p w14:paraId="2F5C5F52"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88" w:history="1">
            <w:r w:rsidR="00734F83" w:rsidRPr="00A959D1">
              <w:rPr>
                <w:rStyle w:val="Hyperlink"/>
                <w:noProof/>
              </w:rPr>
              <w:t>Appendix to 2018–19 Annual Evaluation Work Plan</w:t>
            </w:r>
            <w:r w:rsidR="00734F83">
              <w:rPr>
                <w:noProof/>
                <w:webHidden/>
              </w:rPr>
              <w:tab/>
            </w:r>
            <w:r w:rsidR="00734F83">
              <w:rPr>
                <w:noProof/>
                <w:webHidden/>
              </w:rPr>
              <w:fldChar w:fldCharType="begin"/>
            </w:r>
            <w:r w:rsidR="00734F83">
              <w:rPr>
                <w:noProof/>
                <w:webHidden/>
              </w:rPr>
              <w:instrText xml:space="preserve"> PAGEREF _Toc531862188 \h </w:instrText>
            </w:r>
            <w:r w:rsidR="00734F83">
              <w:rPr>
                <w:noProof/>
                <w:webHidden/>
              </w:rPr>
            </w:r>
            <w:r w:rsidR="00734F83">
              <w:rPr>
                <w:noProof/>
                <w:webHidden/>
              </w:rPr>
              <w:fldChar w:fldCharType="separate"/>
            </w:r>
            <w:r w:rsidR="00734F83">
              <w:rPr>
                <w:noProof/>
                <w:webHidden/>
              </w:rPr>
              <w:t>13</w:t>
            </w:r>
            <w:r w:rsidR="00734F83">
              <w:rPr>
                <w:noProof/>
                <w:webHidden/>
              </w:rPr>
              <w:fldChar w:fldCharType="end"/>
            </w:r>
          </w:hyperlink>
        </w:p>
        <w:p w14:paraId="05C19459" w14:textId="77777777" w:rsidR="00734F83" w:rsidRDefault="00E53C69">
          <w:pPr>
            <w:pStyle w:val="TOC3"/>
            <w:tabs>
              <w:tab w:val="right" w:leader="dot" w:pos="10195"/>
            </w:tabs>
            <w:rPr>
              <w:rFonts w:asciiTheme="minorHAnsi" w:eastAsiaTheme="minorEastAsia" w:hAnsiTheme="minorHAnsi"/>
              <w:noProof/>
              <w:sz w:val="22"/>
              <w:lang w:eastAsia="en-AU"/>
            </w:rPr>
          </w:pPr>
          <w:hyperlink w:anchor="_Toc531862189" w:history="1">
            <w:r w:rsidR="00734F83" w:rsidRPr="00A959D1">
              <w:rPr>
                <w:rStyle w:val="Hyperlink"/>
                <w:noProof/>
              </w:rPr>
              <w:t>Enabling activities</w:t>
            </w:r>
            <w:r w:rsidR="00734F83">
              <w:rPr>
                <w:noProof/>
                <w:webHidden/>
              </w:rPr>
              <w:tab/>
            </w:r>
            <w:r w:rsidR="00734F83">
              <w:rPr>
                <w:noProof/>
                <w:webHidden/>
              </w:rPr>
              <w:fldChar w:fldCharType="begin"/>
            </w:r>
            <w:r w:rsidR="00734F83">
              <w:rPr>
                <w:noProof/>
                <w:webHidden/>
              </w:rPr>
              <w:instrText xml:space="preserve"> PAGEREF _Toc531862189 \h </w:instrText>
            </w:r>
            <w:r w:rsidR="00734F83">
              <w:rPr>
                <w:noProof/>
                <w:webHidden/>
              </w:rPr>
            </w:r>
            <w:r w:rsidR="00734F83">
              <w:rPr>
                <w:noProof/>
                <w:webHidden/>
              </w:rPr>
              <w:fldChar w:fldCharType="separate"/>
            </w:r>
            <w:r w:rsidR="00734F83">
              <w:rPr>
                <w:noProof/>
                <w:webHidden/>
              </w:rPr>
              <w:t>13</w:t>
            </w:r>
            <w:r w:rsidR="00734F83">
              <w:rPr>
                <w:noProof/>
                <w:webHidden/>
              </w:rPr>
              <w:fldChar w:fldCharType="end"/>
            </w:r>
          </w:hyperlink>
        </w:p>
        <w:p w14:paraId="6E64DFB7" w14:textId="77777777" w:rsidR="00734F83" w:rsidRDefault="00E53C69">
          <w:pPr>
            <w:pStyle w:val="TOC2"/>
            <w:tabs>
              <w:tab w:val="right" w:leader="dot" w:pos="10195"/>
            </w:tabs>
            <w:rPr>
              <w:rFonts w:asciiTheme="minorHAnsi" w:eastAsiaTheme="minorEastAsia" w:hAnsiTheme="minorHAnsi"/>
              <w:noProof/>
              <w:sz w:val="22"/>
              <w:lang w:eastAsia="en-AU"/>
            </w:rPr>
          </w:pPr>
          <w:hyperlink w:anchor="_Toc531862190" w:history="1">
            <w:r w:rsidR="00734F83" w:rsidRPr="00A959D1">
              <w:rPr>
                <w:rStyle w:val="Hyperlink"/>
                <w:noProof/>
              </w:rPr>
              <w:t>Glossary</w:t>
            </w:r>
            <w:r w:rsidR="00734F83">
              <w:rPr>
                <w:noProof/>
                <w:webHidden/>
              </w:rPr>
              <w:tab/>
            </w:r>
            <w:r w:rsidR="00734F83">
              <w:rPr>
                <w:noProof/>
                <w:webHidden/>
              </w:rPr>
              <w:fldChar w:fldCharType="begin"/>
            </w:r>
            <w:r w:rsidR="00734F83">
              <w:rPr>
                <w:noProof/>
                <w:webHidden/>
              </w:rPr>
              <w:instrText xml:space="preserve"> PAGEREF _Toc531862190 \h </w:instrText>
            </w:r>
            <w:r w:rsidR="00734F83">
              <w:rPr>
                <w:noProof/>
                <w:webHidden/>
              </w:rPr>
            </w:r>
            <w:r w:rsidR="00734F83">
              <w:rPr>
                <w:noProof/>
                <w:webHidden/>
              </w:rPr>
              <w:fldChar w:fldCharType="separate"/>
            </w:r>
            <w:r w:rsidR="00734F83">
              <w:rPr>
                <w:noProof/>
                <w:webHidden/>
              </w:rPr>
              <w:t>17</w:t>
            </w:r>
            <w:r w:rsidR="00734F83">
              <w:rPr>
                <w:noProof/>
                <w:webHidden/>
              </w:rPr>
              <w:fldChar w:fldCharType="end"/>
            </w:r>
          </w:hyperlink>
        </w:p>
        <w:p w14:paraId="2EE750F7" w14:textId="77777777" w:rsidR="00C60131" w:rsidRDefault="00C60131" w:rsidP="00E9721F">
          <w:pPr>
            <w:pStyle w:val="TOC1"/>
            <w:tabs>
              <w:tab w:val="right" w:leader="dot" w:pos="10195"/>
            </w:tabs>
            <w:rPr>
              <w:noProof/>
            </w:rPr>
          </w:pPr>
          <w:r w:rsidRPr="00C60131">
            <w:rPr>
              <w:bCs/>
              <w:noProof/>
            </w:rPr>
            <w:fldChar w:fldCharType="end"/>
          </w:r>
        </w:p>
      </w:sdtContent>
    </w:sdt>
    <w:p w14:paraId="7B19D357" w14:textId="77777777" w:rsidR="00F61835" w:rsidRDefault="00F61835" w:rsidP="00F61835">
      <w:pPr>
        <w:spacing w:before="5400" w:after="0" w:line="240" w:lineRule="auto"/>
        <w:ind w:right="142"/>
        <w:jc w:val="right"/>
        <w:rPr>
          <w:sz w:val="16"/>
          <w:szCs w:val="16"/>
        </w:rPr>
      </w:pPr>
      <w:r>
        <w:rPr>
          <w:sz w:val="16"/>
          <w:szCs w:val="16"/>
        </w:rPr>
        <w:lastRenderedPageBreak/>
        <w:t>V</w:t>
      </w:r>
      <w:r w:rsidRPr="002B01B1">
        <w:rPr>
          <w:sz w:val="16"/>
          <w:szCs w:val="16"/>
        </w:rPr>
        <w:t xml:space="preserve">ersion </w:t>
      </w:r>
      <w:r w:rsidR="00DD0FCF">
        <w:rPr>
          <w:sz w:val="16"/>
          <w:szCs w:val="16"/>
        </w:rPr>
        <w:t>2</w:t>
      </w:r>
      <w:r w:rsidRPr="002B01B1">
        <w:rPr>
          <w:sz w:val="16"/>
          <w:szCs w:val="16"/>
        </w:rPr>
        <w:t xml:space="preserve"> </w:t>
      </w:r>
    </w:p>
    <w:p w14:paraId="0C2D6647" w14:textId="77777777" w:rsidR="00A37AA3" w:rsidRDefault="00266038" w:rsidP="00F61835">
      <w:pPr>
        <w:spacing w:after="200"/>
        <w:ind w:left="8789"/>
        <w:rPr>
          <w:sz w:val="16"/>
          <w:szCs w:val="16"/>
        </w:rPr>
        <w:sectPr w:rsidR="00A37AA3" w:rsidSect="009E5681">
          <w:headerReference w:type="first" r:id="rId16"/>
          <w:footerReference w:type="first" r:id="rId17"/>
          <w:pgSz w:w="11907" w:h="16839" w:code="9"/>
          <w:pgMar w:top="2977" w:right="851" w:bottom="567" w:left="851" w:header="720" w:footer="720" w:gutter="0"/>
          <w:cols w:space="720"/>
          <w:titlePg/>
          <w:docGrid w:linePitch="360"/>
        </w:sectPr>
      </w:pPr>
      <w:r>
        <w:rPr>
          <w:sz w:val="16"/>
          <w:szCs w:val="16"/>
        </w:rPr>
        <w:t>December</w:t>
      </w:r>
      <w:r w:rsidR="00F61835" w:rsidRPr="002B01B1">
        <w:rPr>
          <w:sz w:val="16"/>
          <w:szCs w:val="16"/>
        </w:rPr>
        <w:t xml:space="preserve"> 2018</w:t>
      </w:r>
    </w:p>
    <w:p w14:paraId="44B97215" w14:textId="77777777" w:rsidR="00F61835" w:rsidRDefault="00F61835" w:rsidP="00F61835">
      <w:pPr>
        <w:spacing w:after="200"/>
        <w:ind w:left="8789"/>
      </w:pPr>
    </w:p>
    <w:p w14:paraId="195A63A0" w14:textId="77777777" w:rsidR="00A844F7" w:rsidRPr="00F61835" w:rsidRDefault="007A576E" w:rsidP="00F61835">
      <w:pPr>
        <w:pStyle w:val="h2blue"/>
      </w:pPr>
      <w:bookmarkStart w:id="7" w:name="_Toc516577504"/>
      <w:bookmarkStart w:id="8" w:name="_Toc517355463"/>
      <w:bookmarkStart w:id="9" w:name="_Toc517363424"/>
      <w:bookmarkStart w:id="10" w:name="_Toc517871023"/>
      <w:bookmarkStart w:id="11" w:name="_Toc517967724"/>
      <w:bookmarkStart w:id="12" w:name="_Toc518304154"/>
      <w:bookmarkStart w:id="13" w:name="_Toc518472403"/>
      <w:bookmarkStart w:id="14" w:name="_Toc531862176"/>
      <w:r w:rsidRPr="00F61835">
        <w:t>I</w:t>
      </w:r>
      <w:r w:rsidR="00091AB8" w:rsidRPr="00F61835">
        <w:t>ntroduction</w:t>
      </w:r>
      <w:bookmarkEnd w:id="7"/>
      <w:bookmarkEnd w:id="8"/>
      <w:bookmarkEnd w:id="9"/>
      <w:bookmarkEnd w:id="10"/>
      <w:bookmarkEnd w:id="11"/>
      <w:bookmarkEnd w:id="12"/>
      <w:bookmarkEnd w:id="13"/>
      <w:bookmarkEnd w:id="14"/>
    </w:p>
    <w:p w14:paraId="3BACBC5B" w14:textId="77777777" w:rsidR="00A33C67" w:rsidRDefault="00CA5D91" w:rsidP="0075344D">
      <w:pPr>
        <w:spacing w:after="200"/>
        <w:rPr>
          <w:lang w:val="en-US"/>
        </w:rPr>
      </w:pPr>
      <w:r w:rsidRPr="0075344D">
        <w:rPr>
          <w:lang w:val="en-US"/>
        </w:rPr>
        <w:t>The Indigenous Advancement Strategy (IAS) Evaluation Framework guides evaluations conducted by the Indigenous Affairs Group (IAG) of the Department of the Prime Minister and Cabinet (PM</w:t>
      </w:r>
      <w:r w:rsidR="005A29FA">
        <w:rPr>
          <w:lang w:val="en-US"/>
        </w:rPr>
        <w:t>&amp;</w:t>
      </w:r>
      <w:r w:rsidRPr="0075344D">
        <w:rPr>
          <w:lang w:val="en-US"/>
        </w:rPr>
        <w:t>C).</w:t>
      </w:r>
    </w:p>
    <w:p w14:paraId="6CC2B09E" w14:textId="77777777" w:rsidR="001C2210" w:rsidRDefault="001C2210" w:rsidP="0075344D">
      <w:pPr>
        <w:spacing w:after="200"/>
        <w:rPr>
          <w:szCs w:val="18"/>
        </w:rPr>
      </w:pPr>
      <w:r w:rsidRPr="0075344D">
        <w:rPr>
          <w:lang w:val="en-US"/>
        </w:rPr>
        <w:t>The IAS Evaluation Framework defines evaluation activity as a</w:t>
      </w:r>
      <w:r w:rsidR="00FD76C0">
        <w:rPr>
          <w:lang w:val="en-US"/>
        </w:rPr>
        <w:t xml:space="preserve"> </w:t>
      </w:r>
      <w:r w:rsidR="009B6316">
        <w:rPr>
          <w:lang w:val="en-US"/>
        </w:rPr>
        <w:t>‘</w:t>
      </w:r>
      <w:r w:rsidR="00FD76C0">
        <w:rPr>
          <w:lang w:val="en-US"/>
        </w:rPr>
        <w:t>systematic</w:t>
      </w:r>
      <w:r w:rsidRPr="0075344D">
        <w:rPr>
          <w:lang w:val="en-US"/>
        </w:rPr>
        <w:t xml:space="preserve"> assessment </w:t>
      </w:r>
      <w:r w:rsidR="00FD76C0">
        <w:rPr>
          <w:lang w:val="en-US"/>
        </w:rPr>
        <w:t>that supports I</w:t>
      </w:r>
      <w:r w:rsidR="00FD76C0" w:rsidRPr="0075344D">
        <w:rPr>
          <w:lang w:val="en-US"/>
        </w:rPr>
        <w:t>ndigenous Australian</w:t>
      </w:r>
      <w:r w:rsidR="00FA0B65">
        <w:rPr>
          <w:lang w:val="en-US"/>
        </w:rPr>
        <w:t>s</w:t>
      </w:r>
      <w:r w:rsidR="00FD76C0">
        <w:rPr>
          <w:lang w:val="en-US"/>
        </w:rPr>
        <w:t xml:space="preserve">, communities and </w:t>
      </w:r>
      <w:r w:rsidRPr="0075344D">
        <w:rPr>
          <w:lang w:val="en-US"/>
        </w:rPr>
        <w:t xml:space="preserve">government </w:t>
      </w:r>
      <w:r w:rsidR="00FD76C0">
        <w:rPr>
          <w:lang w:val="en-US"/>
        </w:rPr>
        <w:t>to understand what is working</w:t>
      </w:r>
      <w:r w:rsidR="00FA0B65">
        <w:rPr>
          <w:lang w:val="en-US"/>
        </w:rPr>
        <w:t>, or what is not working and why</w:t>
      </w:r>
      <w:r w:rsidR="009B6316">
        <w:rPr>
          <w:lang w:val="en-US"/>
        </w:rPr>
        <w:t>’.</w:t>
      </w:r>
      <w:r w:rsidR="00FD76C0">
        <w:rPr>
          <w:lang w:val="en-US"/>
        </w:rPr>
        <w:t xml:space="preserve"> </w:t>
      </w:r>
    </w:p>
    <w:p w14:paraId="03FE9B22" w14:textId="77777777" w:rsidR="00CA5D91" w:rsidRDefault="00CA5D91" w:rsidP="0075344D">
      <w:pPr>
        <w:spacing w:after="200"/>
        <w:rPr>
          <w:szCs w:val="18"/>
        </w:rPr>
      </w:pPr>
      <w:r w:rsidRPr="0075344D">
        <w:rPr>
          <w:lang w:val="en-US"/>
        </w:rPr>
        <w:t xml:space="preserve">The Annual Evaluation Work Plan </w:t>
      </w:r>
      <w:r w:rsidR="00641814">
        <w:rPr>
          <w:szCs w:val="18"/>
        </w:rPr>
        <w:t>(</w:t>
      </w:r>
      <w:r w:rsidR="006C2C6A">
        <w:rPr>
          <w:szCs w:val="18"/>
        </w:rPr>
        <w:t xml:space="preserve">the </w:t>
      </w:r>
      <w:r w:rsidR="00641814">
        <w:rPr>
          <w:szCs w:val="18"/>
        </w:rPr>
        <w:t xml:space="preserve">Work Plan) </w:t>
      </w:r>
      <w:r>
        <w:rPr>
          <w:szCs w:val="18"/>
        </w:rPr>
        <w:t xml:space="preserve">is a key output of the </w:t>
      </w:r>
      <w:r w:rsidR="00FA0B65">
        <w:rPr>
          <w:szCs w:val="18"/>
        </w:rPr>
        <w:t xml:space="preserve">Evaluation </w:t>
      </w:r>
      <w:r>
        <w:rPr>
          <w:szCs w:val="18"/>
        </w:rPr>
        <w:t>Framework</w:t>
      </w:r>
      <w:r w:rsidR="001C2210">
        <w:rPr>
          <w:szCs w:val="18"/>
        </w:rPr>
        <w:t xml:space="preserve"> and covers evaluation</w:t>
      </w:r>
      <w:r w:rsidR="00F65310" w:rsidRPr="00F65310">
        <w:rPr>
          <w:szCs w:val="18"/>
        </w:rPr>
        <w:t xml:space="preserve"> </w:t>
      </w:r>
      <w:r w:rsidR="00F65310">
        <w:rPr>
          <w:szCs w:val="18"/>
        </w:rPr>
        <w:t>projects</w:t>
      </w:r>
      <w:r w:rsidR="00FA0B65">
        <w:rPr>
          <w:szCs w:val="18"/>
        </w:rPr>
        <w:t xml:space="preserve">, </w:t>
      </w:r>
      <w:r w:rsidR="001C2210">
        <w:rPr>
          <w:szCs w:val="18"/>
        </w:rPr>
        <w:t>reviews</w:t>
      </w:r>
      <w:r w:rsidR="00C31D65">
        <w:rPr>
          <w:szCs w:val="18"/>
        </w:rPr>
        <w:t>,</w:t>
      </w:r>
      <w:r w:rsidR="00794340">
        <w:rPr>
          <w:szCs w:val="18"/>
        </w:rPr>
        <w:t xml:space="preserve"> </w:t>
      </w:r>
      <w:r w:rsidR="00FA0B65">
        <w:rPr>
          <w:szCs w:val="18"/>
        </w:rPr>
        <w:t>and</w:t>
      </w:r>
      <w:r w:rsidR="00C31D65">
        <w:rPr>
          <w:szCs w:val="18"/>
        </w:rPr>
        <w:t xml:space="preserve"> evaluation</w:t>
      </w:r>
      <w:r w:rsidR="00FA0B65">
        <w:rPr>
          <w:szCs w:val="18"/>
        </w:rPr>
        <w:t xml:space="preserve"> capability development, </w:t>
      </w:r>
      <w:r w:rsidR="00794340">
        <w:rPr>
          <w:szCs w:val="18"/>
        </w:rPr>
        <w:t xml:space="preserve">which are planned </w:t>
      </w:r>
      <w:r w:rsidR="00A33617">
        <w:rPr>
          <w:szCs w:val="18"/>
        </w:rPr>
        <w:t>to be conducted by</w:t>
      </w:r>
      <w:r w:rsidR="00B36CA0">
        <w:rPr>
          <w:szCs w:val="18"/>
        </w:rPr>
        <w:t xml:space="preserve"> the</w:t>
      </w:r>
      <w:r w:rsidR="00A33617">
        <w:rPr>
          <w:szCs w:val="18"/>
        </w:rPr>
        <w:t xml:space="preserve"> IAG </w:t>
      </w:r>
      <w:r w:rsidR="00794340">
        <w:rPr>
          <w:szCs w:val="18"/>
        </w:rPr>
        <w:t>over the</w:t>
      </w:r>
      <w:r w:rsidR="009B6316">
        <w:rPr>
          <w:szCs w:val="18"/>
        </w:rPr>
        <w:t> </w:t>
      </w:r>
      <w:r w:rsidR="00794340">
        <w:rPr>
          <w:szCs w:val="18"/>
        </w:rPr>
        <w:t>current year.</w:t>
      </w:r>
    </w:p>
    <w:p w14:paraId="59921309" w14:textId="77777777" w:rsidR="00CA5D91" w:rsidRDefault="00CA5D91" w:rsidP="0075344D">
      <w:pPr>
        <w:spacing w:after="200"/>
        <w:rPr>
          <w:szCs w:val="18"/>
        </w:rPr>
      </w:pPr>
      <w:r w:rsidRPr="0075344D">
        <w:rPr>
          <w:lang w:val="en-US"/>
        </w:rPr>
        <w:t>The 2018</w:t>
      </w:r>
      <w:r w:rsidR="0056600C">
        <w:rPr>
          <w:rFonts w:ascii="Arial" w:hAnsi="Arial" w:cs="Arial"/>
          <w:color w:val="434343"/>
          <w:sz w:val="21"/>
          <w:szCs w:val="21"/>
        </w:rPr>
        <w:t>–</w:t>
      </w:r>
      <w:r w:rsidRPr="0075344D">
        <w:rPr>
          <w:lang w:val="en-US"/>
        </w:rPr>
        <w:t xml:space="preserve">19 Work Plan </w:t>
      </w:r>
      <w:r w:rsidR="00996852">
        <w:rPr>
          <w:lang w:val="en-US"/>
        </w:rPr>
        <w:t>supports</w:t>
      </w:r>
      <w:r w:rsidRPr="0075344D">
        <w:rPr>
          <w:lang w:val="en-US"/>
        </w:rPr>
        <w:t xml:space="preserve"> a culture of </w:t>
      </w:r>
      <w:r w:rsidR="004C1CBC" w:rsidRPr="004C1CBC">
        <w:t>evidence</w:t>
      </w:r>
      <w:r w:rsidR="009B6316">
        <w:t>-</w:t>
      </w:r>
      <w:r w:rsidR="004C1CBC" w:rsidRPr="004C1CBC">
        <w:t>based thinking and practice</w:t>
      </w:r>
      <w:r w:rsidRPr="0075344D">
        <w:rPr>
          <w:lang w:val="en-US"/>
        </w:rPr>
        <w:t>, so that evaluation is not seen as</w:t>
      </w:r>
      <w:r w:rsidR="009B6316">
        <w:rPr>
          <w:lang w:val="en-US"/>
        </w:rPr>
        <w:t> </w:t>
      </w:r>
      <w:r w:rsidRPr="0075344D">
        <w:rPr>
          <w:lang w:val="en-US"/>
        </w:rPr>
        <w:t>a compliance exercise</w:t>
      </w:r>
      <w:r w:rsidR="00FA0B65">
        <w:rPr>
          <w:lang w:val="en-US"/>
        </w:rPr>
        <w:t>,</w:t>
      </w:r>
      <w:r w:rsidRPr="0075344D">
        <w:rPr>
          <w:lang w:val="en-US"/>
        </w:rPr>
        <w:t xml:space="preserve"> but one of continuous learning, and an integral and consistent part of program and policy development. </w:t>
      </w:r>
    </w:p>
    <w:p w14:paraId="53F11623" w14:textId="77777777" w:rsidR="00CA5D91" w:rsidRPr="00812229" w:rsidRDefault="00CA5D91" w:rsidP="0075344D">
      <w:pPr>
        <w:spacing w:after="200"/>
        <w:rPr>
          <w:szCs w:val="18"/>
        </w:rPr>
      </w:pPr>
      <w:r w:rsidRPr="00166B4E">
        <w:rPr>
          <w:szCs w:val="18"/>
        </w:rPr>
        <w:t>Th</w:t>
      </w:r>
      <w:r w:rsidR="00641814" w:rsidRPr="00166B4E">
        <w:rPr>
          <w:szCs w:val="18"/>
        </w:rPr>
        <w:t>e 2018</w:t>
      </w:r>
      <w:r w:rsidR="00B4393E" w:rsidRPr="00166B4E">
        <w:rPr>
          <w:rFonts w:ascii="Arial" w:hAnsi="Arial" w:cs="Arial"/>
          <w:color w:val="434343"/>
          <w:sz w:val="21"/>
          <w:szCs w:val="21"/>
        </w:rPr>
        <w:t>–</w:t>
      </w:r>
      <w:r w:rsidR="00641814" w:rsidRPr="00166B4E">
        <w:rPr>
          <w:szCs w:val="18"/>
        </w:rPr>
        <w:t xml:space="preserve">19 </w:t>
      </w:r>
      <w:r w:rsidRPr="00166B4E">
        <w:rPr>
          <w:szCs w:val="18"/>
        </w:rPr>
        <w:t>Work Plan has been endorsed by the Indigenous Evaluation Committee and was approved by the PM</w:t>
      </w:r>
      <w:r w:rsidR="005A29FA">
        <w:rPr>
          <w:szCs w:val="18"/>
        </w:rPr>
        <w:t>&amp;</w:t>
      </w:r>
      <w:r w:rsidRPr="00166B4E">
        <w:rPr>
          <w:szCs w:val="18"/>
        </w:rPr>
        <w:t>C Executive Board.</w:t>
      </w:r>
    </w:p>
    <w:p w14:paraId="62EB1CB2" w14:textId="77777777" w:rsidR="00922E20" w:rsidRDefault="00922E20">
      <w:pPr>
        <w:spacing w:after="200"/>
        <w:rPr>
          <w:rFonts w:eastAsiaTheme="majorEastAsia" w:cstheme="majorBidi"/>
          <w:b/>
          <w:bCs/>
          <w:color w:val="4FBE9B"/>
          <w:sz w:val="28"/>
          <w:szCs w:val="26"/>
        </w:rPr>
      </w:pPr>
      <w:bookmarkStart w:id="15" w:name="_Toc516577505"/>
      <w:bookmarkStart w:id="16" w:name="_Toc517355464"/>
      <w:bookmarkStart w:id="17" w:name="_Toc517363425"/>
      <w:bookmarkStart w:id="18" w:name="_Toc517871024"/>
      <w:bookmarkStart w:id="19" w:name="_Toc517967725"/>
      <w:r>
        <w:br w:type="page"/>
      </w:r>
    </w:p>
    <w:p w14:paraId="70B8CCA7" w14:textId="77777777" w:rsidR="00A844F7" w:rsidRPr="00F61835" w:rsidRDefault="00A844F7" w:rsidP="00F61835">
      <w:pPr>
        <w:pStyle w:val="h3green"/>
      </w:pPr>
      <w:bookmarkStart w:id="20" w:name="_Toc518304155"/>
      <w:bookmarkStart w:id="21" w:name="_Toc518472404"/>
      <w:bookmarkStart w:id="22" w:name="_Toc531862177"/>
      <w:r w:rsidRPr="00F61835">
        <w:lastRenderedPageBreak/>
        <w:t>P</w:t>
      </w:r>
      <w:r w:rsidR="00091AB8" w:rsidRPr="00F61835">
        <w:t xml:space="preserve">rinciples </w:t>
      </w:r>
      <w:r w:rsidR="004A2812" w:rsidRPr="00F61835">
        <w:t xml:space="preserve">and process </w:t>
      </w:r>
      <w:r w:rsidR="00091AB8" w:rsidRPr="00F61835">
        <w:t>for identifying evaluation priorities</w:t>
      </w:r>
      <w:bookmarkEnd w:id="15"/>
      <w:bookmarkEnd w:id="16"/>
      <w:bookmarkEnd w:id="17"/>
      <w:bookmarkEnd w:id="18"/>
      <w:bookmarkEnd w:id="19"/>
      <w:bookmarkEnd w:id="20"/>
      <w:bookmarkEnd w:id="21"/>
      <w:bookmarkEnd w:id="22"/>
    </w:p>
    <w:p w14:paraId="7C900366" w14:textId="77777777" w:rsidR="001E6A1C" w:rsidRPr="0075344D" w:rsidRDefault="00CA5D91" w:rsidP="0075344D">
      <w:pPr>
        <w:spacing w:after="200"/>
        <w:rPr>
          <w:lang w:val="en-US"/>
        </w:rPr>
      </w:pPr>
      <w:r w:rsidRPr="0075344D">
        <w:rPr>
          <w:lang w:val="en-US"/>
        </w:rPr>
        <w:t xml:space="preserve">To support strategic planning of evaluation activity across the IAG, </w:t>
      </w:r>
      <w:r w:rsidRPr="007F2208">
        <w:rPr>
          <w:lang w:val="en-US"/>
        </w:rPr>
        <w:t xml:space="preserve">a list of </w:t>
      </w:r>
      <w:r w:rsidR="007F2208">
        <w:rPr>
          <w:lang w:val="en-US"/>
        </w:rPr>
        <w:t xml:space="preserve">programs </w:t>
      </w:r>
      <w:r w:rsidRPr="0075344D">
        <w:rPr>
          <w:lang w:val="en-US"/>
        </w:rPr>
        <w:t xml:space="preserve">under the IAS are identified </w:t>
      </w:r>
      <w:r w:rsidR="007F2208">
        <w:rPr>
          <w:lang w:val="en-US"/>
        </w:rPr>
        <w:t>as</w:t>
      </w:r>
      <w:r w:rsidR="00623649">
        <w:rPr>
          <w:lang w:val="en-US"/>
        </w:rPr>
        <w:t> </w:t>
      </w:r>
      <w:r w:rsidR="007F2208">
        <w:rPr>
          <w:lang w:val="en-US"/>
        </w:rPr>
        <w:t>a</w:t>
      </w:r>
      <w:r w:rsidR="00623649">
        <w:rPr>
          <w:lang w:val="en-US"/>
        </w:rPr>
        <w:t> </w:t>
      </w:r>
      <w:r w:rsidR="007F2208">
        <w:rPr>
          <w:lang w:val="en-US"/>
        </w:rPr>
        <w:t xml:space="preserve">priority </w:t>
      </w:r>
      <w:r w:rsidR="007F2208" w:rsidRPr="0075344D">
        <w:rPr>
          <w:lang w:val="en-US"/>
        </w:rPr>
        <w:t xml:space="preserve">for evaluation </w:t>
      </w:r>
      <w:r w:rsidR="00DF3FF1">
        <w:rPr>
          <w:lang w:val="en-US"/>
        </w:rPr>
        <w:t>each</w:t>
      </w:r>
      <w:r w:rsidRPr="0075344D">
        <w:rPr>
          <w:lang w:val="en-US"/>
        </w:rPr>
        <w:t xml:space="preserve"> year</w:t>
      </w:r>
      <w:r w:rsidR="00DF3FF1">
        <w:rPr>
          <w:lang w:val="en-US"/>
        </w:rPr>
        <w:t>.</w:t>
      </w:r>
      <w:r w:rsidRPr="0075344D">
        <w:rPr>
          <w:lang w:val="en-US"/>
        </w:rPr>
        <w:t xml:space="preserve"> This list is based on the best available information at </w:t>
      </w:r>
      <w:r w:rsidR="004918C0">
        <w:rPr>
          <w:lang w:val="en-US"/>
        </w:rPr>
        <w:t>this</w:t>
      </w:r>
      <w:r w:rsidRPr="0075344D">
        <w:rPr>
          <w:lang w:val="en-US"/>
        </w:rPr>
        <w:t xml:space="preserve"> point in time, taking</w:t>
      </w:r>
      <w:r w:rsidR="00266038">
        <w:rPr>
          <w:lang w:val="en-US"/>
        </w:rPr>
        <w:t> </w:t>
      </w:r>
      <w:r w:rsidRPr="0075344D">
        <w:rPr>
          <w:lang w:val="en-US"/>
        </w:rPr>
        <w:t xml:space="preserve">into consideration </w:t>
      </w:r>
      <w:r w:rsidR="00DF3FF1">
        <w:rPr>
          <w:lang w:val="en-US"/>
        </w:rPr>
        <w:t>ongoing evaluations</w:t>
      </w:r>
      <w:r w:rsidRPr="0075344D">
        <w:rPr>
          <w:lang w:val="en-US"/>
        </w:rPr>
        <w:t xml:space="preserve">, </w:t>
      </w:r>
      <w:r w:rsidR="00DF3FF1">
        <w:rPr>
          <w:lang w:val="en-US"/>
        </w:rPr>
        <w:t>known</w:t>
      </w:r>
      <w:r w:rsidRPr="0075344D">
        <w:rPr>
          <w:lang w:val="en-US"/>
        </w:rPr>
        <w:t xml:space="preserve"> risks and current events. Therefore this plan may </w:t>
      </w:r>
      <w:r w:rsidR="00641814" w:rsidRPr="0075344D">
        <w:rPr>
          <w:lang w:val="en-US"/>
        </w:rPr>
        <w:t xml:space="preserve">be updated </w:t>
      </w:r>
      <w:r w:rsidRPr="0075344D">
        <w:rPr>
          <w:lang w:val="en-US"/>
        </w:rPr>
        <w:t>as new prior</w:t>
      </w:r>
      <w:r w:rsidR="0075344D">
        <w:rPr>
          <w:lang w:val="en-US"/>
        </w:rPr>
        <w:t xml:space="preserve">ities or events come to light. </w:t>
      </w:r>
    </w:p>
    <w:p w14:paraId="3BDF4D13" w14:textId="77777777" w:rsidR="00CA5D91" w:rsidRDefault="00CA5D91" w:rsidP="00AC1434">
      <w:pPr>
        <w:spacing w:after="200"/>
        <w:rPr>
          <w:szCs w:val="18"/>
        </w:rPr>
      </w:pPr>
      <w:r w:rsidRPr="0075344D">
        <w:rPr>
          <w:lang w:val="en-US"/>
        </w:rPr>
        <w:t xml:space="preserve">The principles for identifying evaluation proposal </w:t>
      </w:r>
      <w:r>
        <w:rPr>
          <w:szCs w:val="18"/>
        </w:rPr>
        <w:t xml:space="preserve">priorities are outlined in the </w:t>
      </w:r>
      <w:r w:rsidRPr="00FA4969">
        <w:rPr>
          <w:szCs w:val="18"/>
        </w:rPr>
        <w:t>IAS Evaluation Framework</w:t>
      </w:r>
      <w:r>
        <w:rPr>
          <w:szCs w:val="18"/>
        </w:rPr>
        <w:t xml:space="preserve"> and cover issues of </w:t>
      </w:r>
      <w:r w:rsidR="00DB59CB">
        <w:rPr>
          <w:szCs w:val="18"/>
        </w:rPr>
        <w:t>s</w:t>
      </w:r>
      <w:r>
        <w:rPr>
          <w:szCs w:val="18"/>
        </w:rPr>
        <w:t xml:space="preserve">ignificance, </w:t>
      </w:r>
      <w:r w:rsidR="00DB59CB">
        <w:rPr>
          <w:szCs w:val="18"/>
        </w:rPr>
        <w:t>c</w:t>
      </w:r>
      <w:r>
        <w:rPr>
          <w:szCs w:val="18"/>
        </w:rPr>
        <w:t xml:space="preserve">ontribution and </w:t>
      </w:r>
      <w:r w:rsidR="006C2C6A">
        <w:rPr>
          <w:szCs w:val="18"/>
        </w:rPr>
        <w:t>‘</w:t>
      </w:r>
      <w:r w:rsidR="00DB59CB">
        <w:rPr>
          <w:szCs w:val="18"/>
        </w:rPr>
        <w:t>p</w:t>
      </w:r>
      <w:r w:rsidR="009D4D69">
        <w:rPr>
          <w:szCs w:val="18"/>
        </w:rPr>
        <w:t>olicy</w:t>
      </w:r>
      <w:r>
        <w:rPr>
          <w:szCs w:val="18"/>
        </w:rPr>
        <w:t xml:space="preserve"> </w:t>
      </w:r>
      <w:r w:rsidR="00DB59CB">
        <w:rPr>
          <w:szCs w:val="18"/>
        </w:rPr>
        <w:t>r</w:t>
      </w:r>
      <w:r>
        <w:rPr>
          <w:szCs w:val="18"/>
        </w:rPr>
        <w:t>isk</w:t>
      </w:r>
      <w:r w:rsidR="006C2C6A">
        <w:rPr>
          <w:szCs w:val="18"/>
        </w:rPr>
        <w:t>’ level</w:t>
      </w:r>
      <w:r>
        <w:rPr>
          <w:szCs w:val="18"/>
        </w:rPr>
        <w:t>.</w:t>
      </w:r>
    </w:p>
    <w:p w14:paraId="009CB6D6" w14:textId="77777777" w:rsidR="00CA5D91" w:rsidRPr="0075344D" w:rsidRDefault="00CA5D91" w:rsidP="0075344D">
      <w:pPr>
        <w:spacing w:after="200"/>
        <w:rPr>
          <w:lang w:val="en-US"/>
        </w:rPr>
      </w:pPr>
      <w:r w:rsidRPr="0075344D">
        <w:rPr>
          <w:lang w:val="en-US"/>
        </w:rPr>
        <w:t xml:space="preserve">The process of strategic </w:t>
      </w:r>
      <w:proofErr w:type="spellStart"/>
      <w:r w:rsidRPr="0075344D">
        <w:rPr>
          <w:lang w:val="en-US"/>
        </w:rPr>
        <w:t>prioriti</w:t>
      </w:r>
      <w:r w:rsidR="0075344D">
        <w:rPr>
          <w:lang w:val="en-US"/>
        </w:rPr>
        <w:t>sation</w:t>
      </w:r>
      <w:proofErr w:type="spellEnd"/>
      <w:r w:rsidR="0075344D">
        <w:rPr>
          <w:lang w:val="en-US"/>
        </w:rPr>
        <w:t xml:space="preserve"> also takes into account:</w:t>
      </w:r>
    </w:p>
    <w:p w14:paraId="171ED68F" w14:textId="77777777" w:rsidR="00CA5D91" w:rsidRPr="00677B24" w:rsidRDefault="00CA5D91" w:rsidP="0075344D">
      <w:pPr>
        <w:pStyle w:val="ListParagraph"/>
        <w:numPr>
          <w:ilvl w:val="0"/>
          <w:numId w:val="6"/>
        </w:numPr>
        <w:spacing w:before="120" w:after="120"/>
        <w:ind w:left="714" w:hanging="357"/>
        <w:contextualSpacing w:val="0"/>
        <w:rPr>
          <w:szCs w:val="18"/>
        </w:rPr>
      </w:pPr>
      <w:r w:rsidRPr="0075344D">
        <w:rPr>
          <w:lang w:val="en-US"/>
        </w:rPr>
        <w:t>the status</w:t>
      </w:r>
      <w:r w:rsidRPr="00677B24">
        <w:rPr>
          <w:szCs w:val="18"/>
        </w:rPr>
        <w:t xml:space="preserve"> of evaluation projects currently underway in </w:t>
      </w:r>
      <w:r w:rsidR="00B36CA0">
        <w:rPr>
          <w:szCs w:val="18"/>
        </w:rPr>
        <w:t xml:space="preserve">the </w:t>
      </w:r>
      <w:r>
        <w:rPr>
          <w:szCs w:val="18"/>
        </w:rPr>
        <w:t>IAG;</w:t>
      </w:r>
    </w:p>
    <w:p w14:paraId="1519E2E0" w14:textId="77777777" w:rsidR="00CA5D91" w:rsidRPr="00677B24" w:rsidRDefault="00CA5D91" w:rsidP="0075344D">
      <w:pPr>
        <w:pStyle w:val="ListParagraph"/>
        <w:numPr>
          <w:ilvl w:val="0"/>
          <w:numId w:val="6"/>
        </w:numPr>
        <w:spacing w:before="120" w:after="120"/>
        <w:ind w:left="714" w:hanging="357"/>
        <w:contextualSpacing w:val="0"/>
        <w:rPr>
          <w:szCs w:val="18"/>
        </w:rPr>
      </w:pPr>
      <w:r w:rsidRPr="0075344D">
        <w:rPr>
          <w:lang w:val="en-US"/>
        </w:rPr>
        <w:t>n</w:t>
      </w:r>
      <w:proofErr w:type="spellStart"/>
      <w:r w:rsidRPr="00677B24">
        <w:rPr>
          <w:szCs w:val="18"/>
        </w:rPr>
        <w:t>ew</w:t>
      </w:r>
      <w:proofErr w:type="spellEnd"/>
      <w:r w:rsidRPr="00677B24">
        <w:rPr>
          <w:szCs w:val="18"/>
        </w:rPr>
        <w:t xml:space="preserve"> evaluation proposals</w:t>
      </w:r>
      <w:r>
        <w:rPr>
          <w:szCs w:val="18"/>
        </w:rPr>
        <w:t>;</w:t>
      </w:r>
    </w:p>
    <w:p w14:paraId="1D216FD3" w14:textId="77777777" w:rsidR="00CA5D91" w:rsidRPr="00677B24" w:rsidRDefault="00CA5D91" w:rsidP="0075344D">
      <w:pPr>
        <w:pStyle w:val="ListParagraph"/>
        <w:numPr>
          <w:ilvl w:val="0"/>
          <w:numId w:val="6"/>
        </w:numPr>
        <w:spacing w:before="120" w:after="120"/>
        <w:ind w:left="714" w:hanging="357"/>
        <w:contextualSpacing w:val="0"/>
        <w:rPr>
          <w:szCs w:val="18"/>
        </w:rPr>
      </w:pPr>
      <w:r w:rsidRPr="0075344D">
        <w:rPr>
          <w:lang w:val="en-US"/>
        </w:rPr>
        <w:t>t</w:t>
      </w:r>
      <w:r w:rsidRPr="00677B24">
        <w:rPr>
          <w:szCs w:val="18"/>
        </w:rPr>
        <w:t>he types of evaluation projects, e.g., impact evaluations, implementation evaluations</w:t>
      </w:r>
      <w:r>
        <w:rPr>
          <w:szCs w:val="18"/>
        </w:rPr>
        <w:t>,</w:t>
      </w:r>
      <w:r w:rsidRPr="00677B24">
        <w:rPr>
          <w:szCs w:val="18"/>
        </w:rPr>
        <w:t xml:space="preserve"> </w:t>
      </w:r>
      <w:r>
        <w:rPr>
          <w:szCs w:val="18"/>
        </w:rPr>
        <w:t xml:space="preserve">other evaluation types, </w:t>
      </w:r>
      <w:r w:rsidRPr="00677B24">
        <w:rPr>
          <w:szCs w:val="18"/>
        </w:rPr>
        <w:t>and reviews</w:t>
      </w:r>
      <w:r>
        <w:rPr>
          <w:szCs w:val="18"/>
        </w:rPr>
        <w:t xml:space="preserve">; and </w:t>
      </w:r>
    </w:p>
    <w:p w14:paraId="26CBB594" w14:textId="77777777" w:rsidR="00CA5D91" w:rsidRPr="00677B24" w:rsidRDefault="00CA5D91" w:rsidP="0075344D">
      <w:pPr>
        <w:pStyle w:val="ListParagraph"/>
        <w:numPr>
          <w:ilvl w:val="0"/>
          <w:numId w:val="6"/>
        </w:numPr>
        <w:spacing w:before="120" w:after="120"/>
        <w:ind w:left="714" w:hanging="357"/>
        <w:contextualSpacing w:val="0"/>
        <w:rPr>
          <w:szCs w:val="18"/>
        </w:rPr>
      </w:pPr>
      <w:proofErr w:type="gramStart"/>
      <w:r w:rsidRPr="0075344D">
        <w:rPr>
          <w:lang w:val="en-US"/>
        </w:rPr>
        <w:t>t</w:t>
      </w:r>
      <w:r w:rsidRPr="00677B24">
        <w:rPr>
          <w:szCs w:val="18"/>
        </w:rPr>
        <w:t>he</w:t>
      </w:r>
      <w:proofErr w:type="gramEnd"/>
      <w:r w:rsidRPr="00677B24">
        <w:rPr>
          <w:szCs w:val="18"/>
        </w:rPr>
        <w:t xml:space="preserve"> need for evaluation capability and data improvement projects and how these contribute to </w:t>
      </w:r>
      <w:r w:rsidR="00266038">
        <w:rPr>
          <w:szCs w:val="18"/>
        </w:rPr>
        <w:t>fit for purpose</w:t>
      </w:r>
      <w:r w:rsidRPr="00677B24">
        <w:rPr>
          <w:szCs w:val="18"/>
        </w:rPr>
        <w:t xml:space="preserve"> evaluations</w:t>
      </w:r>
      <w:r>
        <w:rPr>
          <w:szCs w:val="18"/>
        </w:rPr>
        <w:t>.</w:t>
      </w:r>
    </w:p>
    <w:p w14:paraId="7001A845" w14:textId="77777777" w:rsidR="00420D31" w:rsidRPr="006F3BE6" w:rsidRDefault="00E7409F" w:rsidP="0075344D">
      <w:pPr>
        <w:spacing w:after="200"/>
        <w:rPr>
          <w:szCs w:val="18"/>
        </w:rPr>
      </w:pPr>
      <w:r w:rsidRPr="0075344D">
        <w:rPr>
          <w:lang w:val="en-US"/>
        </w:rPr>
        <w:t xml:space="preserve">In line with the IAS Evaluation Framework, impact </w:t>
      </w:r>
      <w:r w:rsidR="00764679">
        <w:rPr>
          <w:lang w:val="en-US"/>
        </w:rPr>
        <w:t xml:space="preserve">evaluations </w:t>
      </w:r>
      <w:r w:rsidRPr="0075344D">
        <w:rPr>
          <w:lang w:val="en-US"/>
        </w:rPr>
        <w:t>are the focus of this year’s Work Plan</w:t>
      </w:r>
      <w:r w:rsidR="00853436">
        <w:rPr>
          <w:lang w:val="en-US"/>
        </w:rPr>
        <w:t>.</w:t>
      </w:r>
      <w:r w:rsidRPr="0075344D">
        <w:rPr>
          <w:lang w:val="en-US"/>
        </w:rPr>
        <w:t xml:space="preserve"> </w:t>
      </w:r>
      <w:r w:rsidR="00853436">
        <w:rPr>
          <w:lang w:val="en-US"/>
        </w:rPr>
        <w:t>This is</w:t>
      </w:r>
      <w:r w:rsidRPr="0075344D">
        <w:rPr>
          <w:lang w:val="en-US"/>
        </w:rPr>
        <w:t xml:space="preserve"> to generate findings that contribute to the policy outcomes evidence base, support stakeholders to understand what works in Indigenous policy, and examine how programs impact the lives of </w:t>
      </w:r>
      <w:r w:rsidR="002F6F3B" w:rsidRPr="002F6F3B">
        <w:t>Aboriginal and Torres Strait Islander people</w:t>
      </w:r>
      <w:r w:rsidRPr="0075344D">
        <w:rPr>
          <w:lang w:val="en-US"/>
        </w:rPr>
        <w:t>.</w:t>
      </w:r>
    </w:p>
    <w:p w14:paraId="0AA15BCA" w14:textId="77777777" w:rsidR="00CA5D91" w:rsidRPr="00420D31" w:rsidRDefault="00085AB6" w:rsidP="0075344D">
      <w:pPr>
        <w:spacing w:after="200"/>
        <w:rPr>
          <w:szCs w:val="18"/>
        </w:rPr>
      </w:pPr>
      <w:r>
        <w:rPr>
          <w:lang w:val="en-US"/>
        </w:rPr>
        <w:t>Evaluation</w:t>
      </w:r>
      <w:r w:rsidR="000A1A75">
        <w:rPr>
          <w:lang w:val="en-US"/>
        </w:rPr>
        <w:t>s</w:t>
      </w:r>
      <w:r>
        <w:rPr>
          <w:lang w:val="en-US"/>
        </w:rPr>
        <w:t>/reviews</w:t>
      </w:r>
      <w:r w:rsidR="00CA5D91" w:rsidRPr="0075344D">
        <w:rPr>
          <w:lang w:val="en-US"/>
        </w:rPr>
        <w:t xml:space="preserve"> are </w:t>
      </w:r>
      <w:proofErr w:type="spellStart"/>
      <w:r w:rsidR="00CA5D91" w:rsidRPr="0075344D">
        <w:rPr>
          <w:lang w:val="en-US"/>
        </w:rPr>
        <w:t>categorised</w:t>
      </w:r>
      <w:proofErr w:type="spellEnd"/>
      <w:r w:rsidR="00CA5D91" w:rsidRPr="0075344D">
        <w:rPr>
          <w:lang w:val="en-US"/>
        </w:rPr>
        <w:t xml:space="preserve"> into </w:t>
      </w:r>
      <w:r w:rsidR="000A1A75">
        <w:rPr>
          <w:lang w:val="en-US"/>
        </w:rPr>
        <w:t>the following</w:t>
      </w:r>
      <w:r w:rsidR="00CA5D91" w:rsidRPr="0075344D">
        <w:rPr>
          <w:lang w:val="en-US"/>
        </w:rPr>
        <w:t>:</w:t>
      </w:r>
    </w:p>
    <w:p w14:paraId="6B4B01DD" w14:textId="77777777" w:rsidR="00CA5D91" w:rsidRPr="00684609" w:rsidRDefault="00CA5D91" w:rsidP="00684609">
      <w:pPr>
        <w:pStyle w:val="h4small"/>
      </w:pPr>
      <w:r w:rsidRPr="00684609">
        <w:t>Cross-cutting evaluations</w:t>
      </w:r>
      <w:r w:rsidRPr="00684609" w:rsidDel="00733B2D">
        <w:t xml:space="preserve"> </w:t>
      </w:r>
    </w:p>
    <w:p w14:paraId="37935EF1" w14:textId="77777777" w:rsidR="00CA5D91" w:rsidRDefault="00CA5D91" w:rsidP="0075344D">
      <w:pPr>
        <w:spacing w:after="200"/>
        <w:ind w:left="709"/>
        <w:rPr>
          <w:szCs w:val="18"/>
        </w:rPr>
      </w:pPr>
      <w:r w:rsidRPr="0075344D">
        <w:rPr>
          <w:lang w:val="en-US"/>
        </w:rPr>
        <w:t xml:space="preserve">These projects often have a high significance, contribution and </w:t>
      </w:r>
      <w:r w:rsidR="006C2C6A">
        <w:rPr>
          <w:lang w:val="en-US"/>
        </w:rPr>
        <w:t>‘</w:t>
      </w:r>
      <w:r w:rsidRPr="0075344D">
        <w:rPr>
          <w:lang w:val="en-US"/>
        </w:rPr>
        <w:t>policy risk</w:t>
      </w:r>
      <w:r w:rsidR="006C2C6A">
        <w:rPr>
          <w:lang w:val="en-US"/>
        </w:rPr>
        <w:t>’</w:t>
      </w:r>
      <w:r w:rsidRPr="0075344D">
        <w:rPr>
          <w:lang w:val="en-US"/>
        </w:rPr>
        <w:t xml:space="preserve"> level and can involve multiple departments, governments and delivery partners. Many of these evaluations are undertaken by </w:t>
      </w:r>
      <w:r w:rsidR="00B36CA0">
        <w:rPr>
          <w:lang w:val="en-US"/>
        </w:rPr>
        <w:t xml:space="preserve">the </w:t>
      </w:r>
      <w:r w:rsidR="001C2123" w:rsidRPr="00B36CA0">
        <w:t>IAG</w:t>
      </w:r>
      <w:r w:rsidRPr="00B36CA0">
        <w:t>’s</w:t>
      </w:r>
      <w:r w:rsidR="00B36CA0">
        <w:t> </w:t>
      </w:r>
      <w:r w:rsidR="001C2123" w:rsidRPr="00B36CA0">
        <w:t>Policy</w:t>
      </w:r>
      <w:r w:rsidR="001C2123" w:rsidRPr="001C2123">
        <w:t xml:space="preserve"> Analysis</w:t>
      </w:r>
      <w:r w:rsidR="001C2123" w:rsidRPr="001C2123" w:rsidDel="001C2123">
        <w:rPr>
          <w:lang w:val="en-US"/>
        </w:rPr>
        <w:t xml:space="preserve"> </w:t>
      </w:r>
      <w:r w:rsidRPr="0075344D">
        <w:rPr>
          <w:lang w:val="en-US"/>
        </w:rPr>
        <w:t xml:space="preserve">and Evaluation Branch in partnership with the relevant policy areas. </w:t>
      </w:r>
    </w:p>
    <w:p w14:paraId="2BAE0D82" w14:textId="77777777" w:rsidR="00CA5D91" w:rsidRDefault="00CA5D91" w:rsidP="00684609">
      <w:pPr>
        <w:pStyle w:val="h4small"/>
        <w:rPr>
          <w:szCs w:val="18"/>
        </w:rPr>
      </w:pPr>
      <w:r w:rsidRPr="0075344D">
        <w:t>Program evaluations</w:t>
      </w:r>
    </w:p>
    <w:p w14:paraId="4F48F26B" w14:textId="77777777" w:rsidR="00CA5D91" w:rsidRDefault="00CA5D91" w:rsidP="0075344D">
      <w:pPr>
        <w:spacing w:after="200"/>
        <w:ind w:left="709"/>
        <w:rPr>
          <w:szCs w:val="18"/>
        </w:rPr>
      </w:pPr>
      <w:r w:rsidRPr="0075344D">
        <w:rPr>
          <w:lang w:val="en-US"/>
        </w:rPr>
        <w:t>These projects are typically commissioned and led by IAS program areas</w:t>
      </w:r>
      <w:r w:rsidR="008B7779">
        <w:rPr>
          <w:lang w:val="en-US"/>
        </w:rPr>
        <w:t>.</w:t>
      </w:r>
      <w:r w:rsidRPr="0075344D">
        <w:rPr>
          <w:lang w:val="en-US"/>
        </w:rPr>
        <w:t xml:space="preserve"> </w:t>
      </w:r>
    </w:p>
    <w:p w14:paraId="3C88C392" w14:textId="77777777" w:rsidR="00CA5D91" w:rsidRDefault="000D7221" w:rsidP="00684609">
      <w:pPr>
        <w:pStyle w:val="h4small"/>
        <w:rPr>
          <w:szCs w:val="18"/>
        </w:rPr>
      </w:pPr>
      <w:r>
        <w:t xml:space="preserve">Enabling </w:t>
      </w:r>
      <w:r w:rsidR="00C91290">
        <w:t xml:space="preserve">activities </w:t>
      </w:r>
    </w:p>
    <w:p w14:paraId="65C38391" w14:textId="77777777" w:rsidR="00CA5D91" w:rsidRDefault="001E6AD6" w:rsidP="0075344D">
      <w:pPr>
        <w:spacing w:after="200"/>
        <w:ind w:left="709"/>
        <w:rPr>
          <w:szCs w:val="18"/>
        </w:rPr>
      </w:pPr>
      <w:r>
        <w:rPr>
          <w:lang w:val="en-US"/>
        </w:rPr>
        <w:t>E</w:t>
      </w:r>
      <w:r w:rsidR="000A1A75">
        <w:rPr>
          <w:lang w:val="en-US"/>
        </w:rPr>
        <w:t xml:space="preserve">nabling activities </w:t>
      </w:r>
      <w:r>
        <w:rPr>
          <w:lang w:val="en-US"/>
        </w:rPr>
        <w:t xml:space="preserve">include the </w:t>
      </w:r>
      <w:r w:rsidR="00887033">
        <w:rPr>
          <w:lang w:val="en-US"/>
        </w:rPr>
        <w:t>devel</w:t>
      </w:r>
      <w:r>
        <w:rPr>
          <w:lang w:val="en-US"/>
        </w:rPr>
        <w:t xml:space="preserve">opment of evaluation strategies, which will help </w:t>
      </w:r>
      <w:r w:rsidR="00887033">
        <w:rPr>
          <w:lang w:val="en-US"/>
        </w:rPr>
        <w:t>to inform the feasibility of future evaluations</w:t>
      </w:r>
      <w:r w:rsidR="000A1A75">
        <w:rPr>
          <w:lang w:val="en-US"/>
        </w:rPr>
        <w:t xml:space="preserve">. It also includes </w:t>
      </w:r>
      <w:r w:rsidR="00CA5D91" w:rsidRPr="0075344D">
        <w:rPr>
          <w:lang w:val="en-US"/>
        </w:rPr>
        <w:t xml:space="preserve">initiatives that seek to build the capability of Indigenous </w:t>
      </w:r>
      <w:proofErr w:type="spellStart"/>
      <w:r w:rsidR="00CA5D91" w:rsidRPr="0075344D">
        <w:rPr>
          <w:lang w:val="en-US"/>
        </w:rPr>
        <w:t>organisations</w:t>
      </w:r>
      <w:proofErr w:type="spellEnd"/>
      <w:r w:rsidR="00CA5D91" w:rsidRPr="0075344D">
        <w:rPr>
          <w:lang w:val="en-US"/>
        </w:rPr>
        <w:t xml:space="preserve"> to undertake high-quality evaluations for policies and programs that support </w:t>
      </w:r>
      <w:r w:rsidR="002F6F3B" w:rsidRPr="002F6F3B">
        <w:t>Aboriginal and Torres Strait Islander people</w:t>
      </w:r>
      <w:r w:rsidR="00CA5D91" w:rsidRPr="0075344D">
        <w:rPr>
          <w:lang w:val="en-US"/>
        </w:rPr>
        <w:t xml:space="preserve">. These projects are not evaluations, rather a necessary enabling factor for good quality evaluation practice to take place. </w:t>
      </w:r>
    </w:p>
    <w:p w14:paraId="189B2F1D" w14:textId="7D318154" w:rsidR="009E5681" w:rsidRDefault="009E5681" w:rsidP="0075344D">
      <w:pPr>
        <w:spacing w:after="200"/>
        <w:rPr>
          <w:i/>
          <w:iCs/>
        </w:rPr>
      </w:pPr>
      <w:r>
        <w:rPr>
          <w:i/>
          <w:iCs/>
        </w:rPr>
        <w:br w:type="page"/>
      </w:r>
    </w:p>
    <w:p w14:paraId="146B326C" w14:textId="77777777" w:rsidR="00091AB8" w:rsidRPr="00091AB8" w:rsidRDefault="00CA5D91" w:rsidP="00F61835">
      <w:pPr>
        <w:pStyle w:val="h2blue"/>
      </w:pPr>
      <w:bookmarkStart w:id="23" w:name="_Toc516577510"/>
      <w:bookmarkStart w:id="24" w:name="_Toc517355468"/>
      <w:bookmarkStart w:id="25" w:name="_Toc517363429"/>
      <w:bookmarkStart w:id="26" w:name="_Toc517871028"/>
      <w:bookmarkStart w:id="27" w:name="_Toc517967726"/>
      <w:bookmarkStart w:id="28" w:name="_Toc518304156"/>
      <w:bookmarkStart w:id="29" w:name="_Toc518472405"/>
      <w:bookmarkStart w:id="30" w:name="_Toc531862178"/>
      <w:r>
        <w:lastRenderedPageBreak/>
        <w:t xml:space="preserve">Current </w:t>
      </w:r>
      <w:bookmarkEnd w:id="23"/>
      <w:bookmarkEnd w:id="24"/>
      <w:bookmarkEnd w:id="25"/>
      <w:bookmarkEnd w:id="26"/>
      <w:bookmarkEnd w:id="27"/>
      <w:bookmarkEnd w:id="28"/>
      <w:r w:rsidR="003B74F3">
        <w:t>Evaluation</w:t>
      </w:r>
      <w:r w:rsidR="001A2E1E">
        <w:t>s</w:t>
      </w:r>
      <w:r w:rsidR="003B74F3">
        <w:t>/Reviews</w:t>
      </w:r>
      <w:bookmarkEnd w:id="29"/>
      <w:bookmarkEnd w:id="30"/>
    </w:p>
    <w:p w14:paraId="6F7A0644" w14:textId="77777777" w:rsidR="00CA5D91" w:rsidRDefault="00DD5364" w:rsidP="00CA5D91">
      <w:bookmarkStart w:id="31" w:name="_Toc494443339"/>
      <w:r>
        <w:t xml:space="preserve">The </w:t>
      </w:r>
      <w:r w:rsidR="003B74F3">
        <w:t>evaluation</w:t>
      </w:r>
      <w:r w:rsidR="001A2E1E">
        <w:t>s</w:t>
      </w:r>
      <w:r w:rsidR="003B74F3">
        <w:t xml:space="preserve"> and reviews in this section of the </w:t>
      </w:r>
      <w:r w:rsidR="00C91290">
        <w:t>Work Plan</w:t>
      </w:r>
      <w:r>
        <w:t xml:space="preserve"> are either</w:t>
      </w:r>
      <w:r w:rsidR="00CA5D91" w:rsidRPr="00A35263">
        <w:t xml:space="preserve"> </w:t>
      </w:r>
      <w:r w:rsidR="00CA5D91" w:rsidRPr="009C153B">
        <w:rPr>
          <w:b/>
        </w:rPr>
        <w:t>underway</w:t>
      </w:r>
      <w:r w:rsidR="00CA5D91" w:rsidRPr="00A35263">
        <w:t xml:space="preserve"> or </w:t>
      </w:r>
      <w:r w:rsidR="00CA5D91" w:rsidRPr="009C153B">
        <w:rPr>
          <w:b/>
        </w:rPr>
        <w:t>expected</w:t>
      </w:r>
      <w:r w:rsidR="00CA5D91" w:rsidRPr="00A35263">
        <w:t xml:space="preserve"> to commence in</w:t>
      </w:r>
      <w:r w:rsidR="00CA5D91">
        <w:t xml:space="preserve"> 2018</w:t>
      </w:r>
      <w:r w:rsidR="001C7C1F">
        <w:noBreakHyphen/>
      </w:r>
      <w:r w:rsidR="00CA5D91">
        <w:t>19.</w:t>
      </w:r>
      <w:r w:rsidR="005D7CD9" w:rsidRPr="005D7CD9">
        <w:t xml:space="preserve"> </w:t>
      </w:r>
    </w:p>
    <w:p w14:paraId="374F3EE9" w14:textId="77777777" w:rsidR="0043138A" w:rsidRPr="00ED161F" w:rsidRDefault="00CA5D91" w:rsidP="00F61835">
      <w:pPr>
        <w:pStyle w:val="h3green"/>
      </w:pPr>
      <w:bookmarkStart w:id="32" w:name="_Toc516577511"/>
      <w:bookmarkStart w:id="33" w:name="_Toc517355469"/>
      <w:bookmarkStart w:id="34" w:name="_Toc517363430"/>
      <w:bookmarkStart w:id="35" w:name="_Toc517871029"/>
      <w:bookmarkStart w:id="36" w:name="_Toc517967727"/>
      <w:bookmarkStart w:id="37" w:name="_Toc518304157"/>
      <w:bookmarkStart w:id="38" w:name="_Toc518472406"/>
      <w:bookmarkStart w:id="39" w:name="_Toc531862179"/>
      <w:bookmarkEnd w:id="31"/>
      <w:r>
        <w:t xml:space="preserve">Cross-cutting </w:t>
      </w:r>
      <w:r w:rsidR="001C7C1F">
        <w:t>evaluations/capability</w:t>
      </w:r>
      <w:bookmarkEnd w:id="32"/>
      <w:bookmarkEnd w:id="33"/>
      <w:bookmarkEnd w:id="34"/>
      <w:bookmarkEnd w:id="35"/>
      <w:bookmarkEnd w:id="36"/>
      <w:bookmarkEnd w:id="37"/>
      <w:bookmarkEnd w:id="38"/>
      <w:bookmarkEnd w:id="39"/>
    </w:p>
    <w:tbl>
      <w:tblPr>
        <w:tblpPr w:leftFromText="180" w:rightFromText="180" w:vertAnchor="text" w:horzAnchor="margin" w:tblpY="113"/>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ross-cutting evaluations/capability"/>
        <w:tblDescription w:val="This table lists current evaluations and capability projects that are cross-cutting"/>
      </w:tblPr>
      <w:tblGrid>
        <w:gridCol w:w="4515"/>
        <w:gridCol w:w="2013"/>
        <w:gridCol w:w="1555"/>
        <w:gridCol w:w="1698"/>
      </w:tblGrid>
      <w:tr w:rsidR="00CA5D91" w:rsidRPr="008654B9" w14:paraId="5F346C84" w14:textId="77777777" w:rsidTr="00212B50">
        <w:trPr>
          <w:trHeight w:val="476"/>
        </w:trPr>
        <w:tc>
          <w:tcPr>
            <w:tcW w:w="4515" w:type="dxa"/>
            <w:tcBorders>
              <w:left w:val="single" w:sz="4" w:space="0" w:color="auto"/>
            </w:tcBorders>
            <w:shd w:val="clear" w:color="auto" w:fill="BFBFBF" w:themeFill="background1" w:themeFillShade="BF"/>
            <w:hideMark/>
          </w:tcPr>
          <w:p w14:paraId="762D532C" w14:textId="77777777" w:rsidR="00CA5D91" w:rsidRPr="00B06EDE" w:rsidRDefault="00172778" w:rsidP="00CA5D91">
            <w:pPr>
              <w:rPr>
                <w:b/>
                <w:lang w:eastAsia="en-AU"/>
              </w:rPr>
            </w:pPr>
            <w:r>
              <w:rPr>
                <w:b/>
                <w:lang w:eastAsia="en-AU"/>
              </w:rPr>
              <w:t>Description</w:t>
            </w:r>
          </w:p>
        </w:tc>
        <w:tc>
          <w:tcPr>
            <w:tcW w:w="2013" w:type="dxa"/>
            <w:shd w:val="clear" w:color="auto" w:fill="BFBFBF" w:themeFill="background1" w:themeFillShade="BF"/>
          </w:tcPr>
          <w:p w14:paraId="43DCB9B8" w14:textId="77777777" w:rsidR="00CA5D91" w:rsidRPr="00B06EDE" w:rsidRDefault="00CA5D91" w:rsidP="00CA5D91">
            <w:pPr>
              <w:rPr>
                <w:b/>
                <w:lang w:eastAsia="en-AU"/>
              </w:rPr>
            </w:pPr>
            <w:r w:rsidRPr="00467864">
              <w:rPr>
                <w:b/>
                <w:lang w:eastAsia="en-AU"/>
              </w:rPr>
              <w:t xml:space="preserve">Type </w:t>
            </w:r>
          </w:p>
        </w:tc>
        <w:tc>
          <w:tcPr>
            <w:tcW w:w="1555" w:type="dxa"/>
            <w:shd w:val="clear" w:color="auto" w:fill="BFBFBF" w:themeFill="background1" w:themeFillShade="BF"/>
          </w:tcPr>
          <w:p w14:paraId="05CD8FB4" w14:textId="77777777" w:rsidR="00CA5D91" w:rsidRDefault="00CA5D91" w:rsidP="00CA5D91">
            <w:pPr>
              <w:rPr>
                <w:b/>
                <w:lang w:eastAsia="en-AU"/>
              </w:rPr>
            </w:pPr>
            <w:r>
              <w:rPr>
                <w:b/>
                <w:lang w:eastAsia="en-AU"/>
              </w:rPr>
              <w:t>Start</w:t>
            </w:r>
            <w:r w:rsidR="006C097B">
              <w:rPr>
                <w:b/>
                <w:lang w:eastAsia="en-AU"/>
              </w:rPr>
              <w:t xml:space="preserve"> Date</w:t>
            </w:r>
          </w:p>
        </w:tc>
        <w:tc>
          <w:tcPr>
            <w:tcW w:w="1698" w:type="dxa"/>
            <w:shd w:val="clear" w:color="auto" w:fill="BFBFBF" w:themeFill="background1" w:themeFillShade="BF"/>
          </w:tcPr>
          <w:p w14:paraId="3A0EA749" w14:textId="77777777" w:rsidR="00CA5D91" w:rsidRPr="00467864" w:rsidRDefault="00CA5D91" w:rsidP="00CA5D91">
            <w:pPr>
              <w:rPr>
                <w:b/>
                <w:lang w:eastAsia="en-AU"/>
              </w:rPr>
            </w:pPr>
            <w:r>
              <w:rPr>
                <w:b/>
                <w:lang w:eastAsia="en-AU"/>
              </w:rPr>
              <w:t>Expected Completion</w:t>
            </w:r>
          </w:p>
        </w:tc>
      </w:tr>
      <w:tr w:rsidR="00212B50" w:rsidRPr="008654B9" w14:paraId="27D4FC35" w14:textId="77777777" w:rsidTr="00212B50">
        <w:trPr>
          <w:trHeight w:val="1947"/>
        </w:trPr>
        <w:tc>
          <w:tcPr>
            <w:tcW w:w="4515" w:type="dxa"/>
            <w:tcBorders>
              <w:left w:val="single" w:sz="4" w:space="0" w:color="auto"/>
            </w:tcBorders>
            <w:shd w:val="clear" w:color="auto" w:fill="auto"/>
          </w:tcPr>
          <w:p w14:paraId="7933EB5A" w14:textId="77777777" w:rsidR="00212B50" w:rsidRPr="004D55B2" w:rsidRDefault="00212B50" w:rsidP="00212B50">
            <w:pPr>
              <w:rPr>
                <w:b/>
                <w:color w:val="000000"/>
                <w:lang w:eastAsia="en-AU"/>
              </w:rPr>
            </w:pPr>
            <w:r w:rsidRPr="004D55B2">
              <w:rPr>
                <w:b/>
                <w:color w:val="00B050"/>
                <w:lang w:eastAsia="en-AU"/>
              </w:rPr>
              <w:t>NEW</w:t>
            </w:r>
            <w:r w:rsidRPr="004D55B2">
              <w:rPr>
                <w:b/>
                <w:color w:val="000000"/>
                <w:lang w:eastAsia="en-AU"/>
              </w:rPr>
              <w:t xml:space="preserve"> </w:t>
            </w:r>
            <w:proofErr w:type="spellStart"/>
            <w:r w:rsidRPr="004D55B2">
              <w:rPr>
                <w:b/>
                <w:color w:val="000000"/>
                <w:lang w:eastAsia="en-AU"/>
              </w:rPr>
              <w:t>Murdi</w:t>
            </w:r>
            <w:proofErr w:type="spellEnd"/>
            <w:r w:rsidRPr="004D55B2">
              <w:rPr>
                <w:b/>
                <w:color w:val="000000"/>
                <w:lang w:eastAsia="en-AU"/>
              </w:rPr>
              <w:t xml:space="preserve"> </w:t>
            </w:r>
            <w:proofErr w:type="spellStart"/>
            <w:r w:rsidRPr="004D55B2">
              <w:rPr>
                <w:b/>
                <w:color w:val="000000"/>
                <w:lang w:eastAsia="en-AU"/>
              </w:rPr>
              <w:t>Paaki</w:t>
            </w:r>
            <w:proofErr w:type="spellEnd"/>
            <w:r w:rsidRPr="004D55B2">
              <w:rPr>
                <w:b/>
                <w:color w:val="000000"/>
                <w:lang w:eastAsia="en-AU"/>
              </w:rPr>
              <w:t xml:space="preserve"> Lessons Learned</w:t>
            </w:r>
          </w:p>
          <w:p w14:paraId="57D8CF02" w14:textId="77777777" w:rsidR="00212B50" w:rsidRPr="00E94B93" w:rsidRDefault="00D77F03" w:rsidP="00A51E7F">
            <w:pPr>
              <w:rPr>
                <w:b/>
                <w:color w:val="000000"/>
                <w:lang w:eastAsia="en-AU"/>
              </w:rPr>
            </w:pPr>
            <w:r w:rsidRPr="00D77F03">
              <w:t xml:space="preserve">This review will </w:t>
            </w:r>
            <w:r w:rsidRPr="00D77F03">
              <w:rPr>
                <w:bCs/>
              </w:rPr>
              <w:t xml:space="preserve">explore lessons learnt in the </w:t>
            </w:r>
            <w:proofErr w:type="spellStart"/>
            <w:r w:rsidRPr="00D77F03">
              <w:rPr>
                <w:bCs/>
              </w:rPr>
              <w:t>Murdi</w:t>
            </w:r>
            <w:proofErr w:type="spellEnd"/>
            <w:r w:rsidRPr="00D77F03">
              <w:rPr>
                <w:bCs/>
              </w:rPr>
              <w:t xml:space="preserve"> </w:t>
            </w:r>
            <w:proofErr w:type="spellStart"/>
            <w:r w:rsidRPr="00D77F03">
              <w:rPr>
                <w:bCs/>
              </w:rPr>
              <w:t>Paaki</w:t>
            </w:r>
            <w:proofErr w:type="spellEnd"/>
            <w:r w:rsidRPr="00D77F03">
              <w:rPr>
                <w:bCs/>
              </w:rPr>
              <w:t xml:space="preserve"> region over a long history of regional governance. </w:t>
            </w:r>
          </w:p>
        </w:tc>
        <w:tc>
          <w:tcPr>
            <w:tcW w:w="2013" w:type="dxa"/>
          </w:tcPr>
          <w:p w14:paraId="338A6E8C" w14:textId="77777777" w:rsidR="00212B50" w:rsidRDefault="00212B50" w:rsidP="00212B50">
            <w:pPr>
              <w:rPr>
                <w:color w:val="000000"/>
                <w:lang w:eastAsia="en-AU"/>
              </w:rPr>
            </w:pPr>
            <w:r>
              <w:rPr>
                <w:color w:val="000000"/>
                <w:lang w:eastAsia="en-AU"/>
              </w:rPr>
              <w:t>Capability</w:t>
            </w:r>
          </w:p>
        </w:tc>
        <w:tc>
          <w:tcPr>
            <w:tcW w:w="1555" w:type="dxa"/>
          </w:tcPr>
          <w:p w14:paraId="60BFBD22" w14:textId="77777777" w:rsidR="00212B50" w:rsidRPr="00E94B93" w:rsidRDefault="00212B50" w:rsidP="00212B50">
            <w:pPr>
              <w:rPr>
                <w:color w:val="000000"/>
                <w:lang w:eastAsia="en-AU"/>
              </w:rPr>
            </w:pPr>
            <w:r w:rsidRPr="004D55B2">
              <w:rPr>
                <w:color w:val="000000"/>
                <w:lang w:eastAsia="en-AU"/>
              </w:rPr>
              <w:t>2018</w:t>
            </w:r>
            <w:r w:rsidR="00EB3450">
              <w:rPr>
                <w:rFonts w:ascii="Arial" w:hAnsi="Arial" w:cs="Arial"/>
                <w:color w:val="434343"/>
                <w:sz w:val="21"/>
                <w:szCs w:val="21"/>
              </w:rPr>
              <w:t>–</w:t>
            </w:r>
            <w:r w:rsidRPr="004D55B2">
              <w:rPr>
                <w:color w:val="000000"/>
                <w:lang w:eastAsia="en-AU"/>
              </w:rPr>
              <w:t>19</w:t>
            </w:r>
          </w:p>
        </w:tc>
        <w:tc>
          <w:tcPr>
            <w:tcW w:w="1698" w:type="dxa"/>
          </w:tcPr>
          <w:p w14:paraId="36C7BE1C" w14:textId="77777777" w:rsidR="00212B50" w:rsidRDefault="00212B50" w:rsidP="00212B50">
            <w:pPr>
              <w:rPr>
                <w:color w:val="000000"/>
                <w:lang w:eastAsia="en-AU"/>
              </w:rPr>
            </w:pPr>
            <w:r w:rsidRPr="004D55B2">
              <w:rPr>
                <w:color w:val="000000"/>
                <w:lang w:eastAsia="en-AU"/>
              </w:rPr>
              <w:t>2019</w:t>
            </w:r>
            <w:r w:rsidR="00EB3450">
              <w:rPr>
                <w:rFonts w:ascii="Arial" w:hAnsi="Arial" w:cs="Arial"/>
                <w:color w:val="434343"/>
                <w:sz w:val="21"/>
                <w:szCs w:val="21"/>
              </w:rPr>
              <w:t>–</w:t>
            </w:r>
            <w:r w:rsidRPr="004D55B2">
              <w:rPr>
                <w:color w:val="000000"/>
                <w:lang w:eastAsia="en-AU"/>
              </w:rPr>
              <w:t>20</w:t>
            </w:r>
          </w:p>
        </w:tc>
      </w:tr>
      <w:tr w:rsidR="00212B50" w:rsidRPr="008654B9" w14:paraId="053CCD98" w14:textId="77777777" w:rsidTr="00212B50">
        <w:trPr>
          <w:trHeight w:val="1947"/>
        </w:trPr>
        <w:tc>
          <w:tcPr>
            <w:tcW w:w="4515" w:type="dxa"/>
            <w:tcBorders>
              <w:left w:val="single" w:sz="4" w:space="0" w:color="auto"/>
            </w:tcBorders>
            <w:shd w:val="clear" w:color="auto" w:fill="auto"/>
          </w:tcPr>
          <w:p w14:paraId="30DC5466" w14:textId="77777777" w:rsidR="00212B50" w:rsidRPr="00E94B93" w:rsidRDefault="00212B50" w:rsidP="00212B50">
            <w:pPr>
              <w:rPr>
                <w:b/>
                <w:color w:val="000000"/>
                <w:lang w:eastAsia="en-AU"/>
              </w:rPr>
            </w:pPr>
            <w:r w:rsidRPr="00E94B93">
              <w:rPr>
                <w:b/>
                <w:color w:val="000000"/>
                <w:lang w:eastAsia="en-AU"/>
              </w:rPr>
              <w:t xml:space="preserve">Strengthening the </w:t>
            </w:r>
            <w:r>
              <w:rPr>
                <w:b/>
                <w:color w:val="000000"/>
                <w:lang w:eastAsia="en-AU"/>
              </w:rPr>
              <w:t>S</w:t>
            </w:r>
            <w:r w:rsidRPr="00E94B93">
              <w:rPr>
                <w:b/>
                <w:color w:val="000000"/>
                <w:lang w:eastAsia="en-AU"/>
              </w:rPr>
              <w:t xml:space="preserve">ystem </w:t>
            </w:r>
            <w:r>
              <w:rPr>
                <w:b/>
                <w:color w:val="000000"/>
                <w:lang w:eastAsia="en-AU"/>
              </w:rPr>
              <w:t>E</w:t>
            </w:r>
            <w:r w:rsidRPr="00E94B93">
              <w:rPr>
                <w:b/>
                <w:color w:val="000000"/>
                <w:lang w:eastAsia="en-AU"/>
              </w:rPr>
              <w:t xml:space="preserve">ffectiveness of </w:t>
            </w:r>
            <w:r>
              <w:rPr>
                <w:b/>
                <w:color w:val="000000"/>
                <w:lang w:eastAsia="en-AU"/>
              </w:rPr>
              <w:t>E</w:t>
            </w:r>
            <w:r w:rsidRPr="00E94B93">
              <w:rPr>
                <w:b/>
                <w:color w:val="000000"/>
                <w:lang w:eastAsia="en-AU"/>
              </w:rPr>
              <w:t xml:space="preserve">arly </w:t>
            </w:r>
            <w:r>
              <w:rPr>
                <w:b/>
                <w:color w:val="000000"/>
                <w:lang w:eastAsia="en-AU"/>
              </w:rPr>
              <w:t>C</w:t>
            </w:r>
            <w:r w:rsidRPr="00E94B93">
              <w:rPr>
                <w:b/>
                <w:color w:val="000000"/>
                <w:lang w:eastAsia="en-AU"/>
              </w:rPr>
              <w:t xml:space="preserve">hildhood </w:t>
            </w:r>
            <w:r>
              <w:rPr>
                <w:b/>
                <w:color w:val="000000"/>
                <w:lang w:eastAsia="en-AU"/>
              </w:rPr>
              <w:t>I</w:t>
            </w:r>
            <w:r w:rsidRPr="00E94B93">
              <w:rPr>
                <w:b/>
                <w:color w:val="000000"/>
                <w:lang w:eastAsia="en-AU"/>
              </w:rPr>
              <w:t>nvestments</w:t>
            </w:r>
          </w:p>
          <w:p w14:paraId="0F9E8A0D" w14:textId="77777777" w:rsidR="00212B50" w:rsidRPr="00E94B93" w:rsidRDefault="00212B50" w:rsidP="00E86016">
            <w:pPr>
              <w:rPr>
                <w:b/>
                <w:color w:val="000000"/>
                <w:lang w:eastAsia="en-AU"/>
              </w:rPr>
            </w:pPr>
            <w:r w:rsidRPr="00C2670F">
              <w:rPr>
                <w:color w:val="000000"/>
                <w:szCs w:val="20"/>
              </w:rPr>
              <w:t xml:space="preserve">This impact evaluation will use an evidence informed </w:t>
            </w:r>
            <w:r>
              <w:rPr>
                <w:color w:val="000000"/>
                <w:szCs w:val="20"/>
              </w:rPr>
              <w:t xml:space="preserve">analysis of early childhood </w:t>
            </w:r>
            <w:r w:rsidRPr="00C2670F">
              <w:rPr>
                <w:color w:val="000000"/>
                <w:szCs w:val="20"/>
              </w:rPr>
              <w:t>evaluation</w:t>
            </w:r>
            <w:r>
              <w:rPr>
                <w:color w:val="000000"/>
                <w:szCs w:val="20"/>
              </w:rPr>
              <w:t>s</w:t>
            </w:r>
            <w:r w:rsidRPr="00C2670F">
              <w:rPr>
                <w:color w:val="000000"/>
                <w:szCs w:val="20"/>
              </w:rPr>
              <w:t xml:space="preserve"> to identify priorities, including examining significant impacts and cross-cutting, multi</w:t>
            </w:r>
            <w:r w:rsidR="00623649">
              <w:rPr>
                <w:color w:val="000000"/>
                <w:szCs w:val="20"/>
              </w:rPr>
              <w:noBreakHyphen/>
            </w:r>
            <w:r w:rsidRPr="00C2670F">
              <w:rPr>
                <w:color w:val="000000"/>
                <w:szCs w:val="20"/>
              </w:rPr>
              <w:t>sectoral elements to support systems’ improvement.</w:t>
            </w:r>
          </w:p>
        </w:tc>
        <w:tc>
          <w:tcPr>
            <w:tcW w:w="2013" w:type="dxa"/>
          </w:tcPr>
          <w:p w14:paraId="5022C2A7" w14:textId="77777777" w:rsidR="00212B50" w:rsidRPr="00E94B93" w:rsidRDefault="00212B50" w:rsidP="00212B50">
            <w:pPr>
              <w:rPr>
                <w:color w:val="000000"/>
                <w:lang w:eastAsia="en-AU"/>
              </w:rPr>
            </w:pPr>
            <w:r>
              <w:rPr>
                <w:color w:val="000000"/>
                <w:lang w:eastAsia="en-AU"/>
              </w:rPr>
              <w:t>Evaluation</w:t>
            </w:r>
          </w:p>
        </w:tc>
        <w:tc>
          <w:tcPr>
            <w:tcW w:w="1555" w:type="dxa"/>
          </w:tcPr>
          <w:p w14:paraId="609267C5" w14:textId="77777777" w:rsidR="00212B50" w:rsidRPr="00E94B93" w:rsidRDefault="00212B50" w:rsidP="00212B50">
            <w:pPr>
              <w:rPr>
                <w:color w:val="000000"/>
                <w:lang w:eastAsia="en-AU"/>
              </w:rPr>
            </w:pPr>
            <w:r w:rsidRPr="00E94B93">
              <w:rPr>
                <w:color w:val="000000"/>
                <w:lang w:eastAsia="en-AU"/>
              </w:rPr>
              <w:t>2016</w:t>
            </w:r>
            <w:r w:rsidR="00EB3450">
              <w:rPr>
                <w:rFonts w:ascii="Arial" w:hAnsi="Arial" w:cs="Arial"/>
                <w:color w:val="434343"/>
                <w:sz w:val="21"/>
                <w:szCs w:val="21"/>
              </w:rPr>
              <w:t>–</w:t>
            </w:r>
            <w:r w:rsidRPr="00E94B93">
              <w:rPr>
                <w:color w:val="000000"/>
                <w:lang w:eastAsia="en-AU"/>
              </w:rPr>
              <w:t>17</w:t>
            </w:r>
          </w:p>
        </w:tc>
        <w:tc>
          <w:tcPr>
            <w:tcW w:w="1698" w:type="dxa"/>
          </w:tcPr>
          <w:p w14:paraId="6BA3C801" w14:textId="77777777" w:rsidR="00212B50" w:rsidRPr="00467864" w:rsidRDefault="00212B50" w:rsidP="00212B50">
            <w:pPr>
              <w:rPr>
                <w:color w:val="000000"/>
                <w:lang w:eastAsia="en-AU"/>
              </w:rPr>
            </w:pPr>
            <w:r>
              <w:rPr>
                <w:color w:val="000000"/>
                <w:lang w:eastAsia="en-AU"/>
              </w:rPr>
              <w:t>2020</w:t>
            </w:r>
            <w:r w:rsidR="00EB3450">
              <w:rPr>
                <w:rFonts w:ascii="Arial" w:hAnsi="Arial" w:cs="Arial"/>
                <w:color w:val="434343"/>
                <w:sz w:val="21"/>
                <w:szCs w:val="21"/>
              </w:rPr>
              <w:t>–</w:t>
            </w:r>
            <w:r>
              <w:rPr>
                <w:color w:val="000000"/>
                <w:lang w:eastAsia="en-AU"/>
              </w:rPr>
              <w:t>21</w:t>
            </w:r>
          </w:p>
        </w:tc>
      </w:tr>
    </w:tbl>
    <w:p w14:paraId="08A8042F" w14:textId="77777777" w:rsidR="00CA5D91" w:rsidRDefault="00CA5D91" w:rsidP="00744823"/>
    <w:p w14:paraId="30B528E3" w14:textId="77777777" w:rsidR="002D0565" w:rsidRDefault="001D3548" w:rsidP="00D65290">
      <w:pPr>
        <w:spacing w:after="200"/>
      </w:pPr>
      <w:bookmarkStart w:id="40" w:name="_Toc516577512"/>
      <w:bookmarkStart w:id="41" w:name="_Toc517355470"/>
      <w:bookmarkStart w:id="42" w:name="_Toc517363431"/>
      <w:bookmarkStart w:id="43" w:name="_Toc517871030"/>
      <w:bookmarkStart w:id="44" w:name="_Toc517967728"/>
      <w:r>
        <w:br w:type="page"/>
      </w:r>
    </w:p>
    <w:p w14:paraId="30EE4D94" w14:textId="77777777" w:rsidR="00CA5D91" w:rsidRDefault="00CA5D91" w:rsidP="00F61835">
      <w:pPr>
        <w:pStyle w:val="h3green"/>
      </w:pPr>
      <w:bookmarkStart w:id="45" w:name="_Toc518304158"/>
      <w:bookmarkStart w:id="46" w:name="_Toc518472407"/>
      <w:bookmarkStart w:id="47" w:name="_Toc531862180"/>
      <w:r>
        <w:lastRenderedPageBreak/>
        <w:t xml:space="preserve">Program </w:t>
      </w:r>
      <w:r w:rsidR="00C91290">
        <w:t>e</w:t>
      </w:r>
      <w:r>
        <w:t>valuations</w:t>
      </w:r>
      <w:bookmarkEnd w:id="40"/>
      <w:bookmarkEnd w:id="41"/>
      <w:bookmarkEnd w:id="42"/>
      <w:bookmarkEnd w:id="43"/>
      <w:bookmarkEnd w:id="44"/>
      <w:bookmarkEnd w:id="45"/>
      <w:bookmarkEnd w:id="46"/>
      <w:r w:rsidR="00C91290">
        <w:t>/reviews</w:t>
      </w:r>
      <w:bookmarkEnd w:id="47"/>
    </w:p>
    <w:p w14:paraId="4122FAB0" w14:textId="77777777" w:rsidR="00CA5D91" w:rsidRPr="00F61835" w:rsidRDefault="00CA5D91" w:rsidP="00F61835">
      <w:pPr>
        <w:pStyle w:val="h4"/>
      </w:pPr>
      <w:bookmarkStart w:id="48" w:name="_Toc516577513"/>
      <w:bookmarkStart w:id="49" w:name="_Toc517355471"/>
      <w:bookmarkStart w:id="50" w:name="_Toc517363432"/>
      <w:bookmarkStart w:id="51" w:name="_Toc517871031"/>
      <w:bookmarkStart w:id="52" w:name="_Toc517967729"/>
      <w:bookmarkStart w:id="53" w:name="_Toc518304159"/>
      <w:bookmarkStart w:id="54" w:name="_Toc518472408"/>
      <w:r w:rsidRPr="00F61835">
        <w:t>Jobs, Land and Economy</w:t>
      </w:r>
      <w:bookmarkEnd w:id="48"/>
      <w:bookmarkEnd w:id="49"/>
      <w:bookmarkEnd w:id="50"/>
      <w:bookmarkEnd w:id="51"/>
      <w:bookmarkEnd w:id="52"/>
      <w:bookmarkEnd w:id="53"/>
      <w:bookmarkEnd w:id="54"/>
    </w:p>
    <w:tbl>
      <w:tblPr>
        <w:tblpPr w:leftFromText="180" w:rightFromText="180" w:vertAnchor="text" w:horzAnchor="margin" w:tblpY="12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Jobs, Land and Economy"/>
        <w:tblDescription w:val="This table includes a list of current Jobs, Land and Economy Program evaluations  and review topics and project descriptions. It also states the project start dates and expected completion dates."/>
      </w:tblPr>
      <w:tblGrid>
        <w:gridCol w:w="4531"/>
        <w:gridCol w:w="1985"/>
        <w:gridCol w:w="1559"/>
        <w:gridCol w:w="1701"/>
      </w:tblGrid>
      <w:tr w:rsidR="00CA5D91" w:rsidRPr="008654B9" w14:paraId="288D86AD" w14:textId="77777777" w:rsidTr="00D230FF">
        <w:trPr>
          <w:trHeight w:val="476"/>
          <w:tblHeader/>
        </w:trPr>
        <w:tc>
          <w:tcPr>
            <w:tcW w:w="4531" w:type="dxa"/>
            <w:tcBorders>
              <w:left w:val="single" w:sz="4" w:space="0" w:color="auto"/>
            </w:tcBorders>
            <w:shd w:val="clear" w:color="auto" w:fill="BFBFBF" w:themeFill="background1" w:themeFillShade="BF"/>
            <w:hideMark/>
          </w:tcPr>
          <w:p w14:paraId="75F7F632" w14:textId="77777777" w:rsidR="00CA5D91" w:rsidRPr="00B06EDE" w:rsidRDefault="00A26DAA" w:rsidP="00CA5D91">
            <w:pPr>
              <w:rPr>
                <w:b/>
                <w:lang w:eastAsia="en-AU"/>
              </w:rPr>
            </w:pPr>
            <w:r w:rsidRPr="00A26DAA">
              <w:rPr>
                <w:b/>
                <w:lang w:eastAsia="en-AU"/>
              </w:rPr>
              <w:t>Description</w:t>
            </w:r>
          </w:p>
        </w:tc>
        <w:tc>
          <w:tcPr>
            <w:tcW w:w="1985" w:type="dxa"/>
            <w:shd w:val="clear" w:color="auto" w:fill="BFBFBF" w:themeFill="background1" w:themeFillShade="BF"/>
          </w:tcPr>
          <w:p w14:paraId="44ACC836" w14:textId="77777777" w:rsidR="00CA5D91" w:rsidRPr="00B06EDE" w:rsidRDefault="00CA5D91" w:rsidP="00CA5D91">
            <w:pPr>
              <w:rPr>
                <w:b/>
                <w:lang w:eastAsia="en-AU"/>
              </w:rPr>
            </w:pPr>
            <w:r w:rsidRPr="00467864">
              <w:rPr>
                <w:b/>
                <w:lang w:eastAsia="en-AU"/>
              </w:rPr>
              <w:t xml:space="preserve">Type </w:t>
            </w:r>
          </w:p>
        </w:tc>
        <w:tc>
          <w:tcPr>
            <w:tcW w:w="1559" w:type="dxa"/>
            <w:shd w:val="clear" w:color="auto" w:fill="BFBFBF" w:themeFill="background1" w:themeFillShade="BF"/>
          </w:tcPr>
          <w:p w14:paraId="338996C3" w14:textId="77777777" w:rsidR="00CA5D91" w:rsidRDefault="00CA5D91" w:rsidP="00CA5D91">
            <w:pPr>
              <w:rPr>
                <w:b/>
                <w:lang w:eastAsia="en-AU"/>
              </w:rPr>
            </w:pPr>
            <w:r>
              <w:rPr>
                <w:b/>
                <w:lang w:eastAsia="en-AU"/>
              </w:rPr>
              <w:t>Start</w:t>
            </w:r>
            <w:r w:rsidR="006C097B">
              <w:rPr>
                <w:b/>
                <w:lang w:eastAsia="en-AU"/>
              </w:rPr>
              <w:t xml:space="preserve"> Date</w:t>
            </w:r>
          </w:p>
        </w:tc>
        <w:tc>
          <w:tcPr>
            <w:tcW w:w="1701" w:type="dxa"/>
            <w:shd w:val="clear" w:color="auto" w:fill="BFBFBF" w:themeFill="background1" w:themeFillShade="BF"/>
          </w:tcPr>
          <w:p w14:paraId="406973D5" w14:textId="77777777" w:rsidR="00CA5D91" w:rsidRPr="00467864" w:rsidRDefault="00CA5D91" w:rsidP="00CA5D91">
            <w:pPr>
              <w:rPr>
                <w:b/>
                <w:lang w:eastAsia="en-AU"/>
              </w:rPr>
            </w:pPr>
            <w:r>
              <w:rPr>
                <w:b/>
                <w:lang w:eastAsia="en-AU"/>
              </w:rPr>
              <w:t>Expected Completion</w:t>
            </w:r>
          </w:p>
        </w:tc>
      </w:tr>
      <w:tr w:rsidR="00EC5908" w:rsidRPr="008654B9" w14:paraId="0C1E2696" w14:textId="77777777" w:rsidTr="00D230FF">
        <w:trPr>
          <w:trHeight w:val="830"/>
        </w:trPr>
        <w:tc>
          <w:tcPr>
            <w:tcW w:w="4531" w:type="dxa"/>
            <w:tcBorders>
              <w:left w:val="single" w:sz="4" w:space="0" w:color="auto"/>
            </w:tcBorders>
            <w:shd w:val="clear" w:color="auto" w:fill="auto"/>
          </w:tcPr>
          <w:p w14:paraId="58745B96" w14:textId="77777777" w:rsidR="00EC5908" w:rsidRPr="006B16EE" w:rsidRDefault="00EC5908" w:rsidP="00EC5908">
            <w:pPr>
              <w:rPr>
                <w:b/>
                <w:color w:val="000000"/>
                <w:lang w:eastAsia="en-AU"/>
              </w:rPr>
            </w:pPr>
            <w:r>
              <w:rPr>
                <w:b/>
                <w:color w:val="000000"/>
                <w:lang w:eastAsia="en-AU"/>
              </w:rPr>
              <w:t>Indigenous Cadetship Support</w:t>
            </w:r>
          </w:p>
          <w:p w14:paraId="02EA60F0" w14:textId="77777777" w:rsidR="00EC5908" w:rsidRPr="003E55EC" w:rsidRDefault="00EC5908" w:rsidP="00A12F95">
            <w:pPr>
              <w:rPr>
                <w:b/>
                <w:color w:val="000000"/>
                <w:szCs w:val="18"/>
                <w:lang w:eastAsia="en-AU"/>
              </w:rPr>
            </w:pPr>
            <w:r w:rsidRPr="00667D18">
              <w:rPr>
                <w:rFonts w:cs="Calibri Light"/>
                <w:szCs w:val="18"/>
                <w:lang w:eastAsia="en-AU"/>
              </w:rPr>
              <w:t>This impact evaluation will examine the</w:t>
            </w:r>
            <w:r w:rsidRPr="00667D18">
              <w:rPr>
                <w:rFonts w:cs="Calibri Light"/>
                <w:szCs w:val="18"/>
              </w:rPr>
              <w:t xml:space="preserve"> </w:t>
            </w:r>
            <w:r w:rsidRPr="00667D18">
              <w:rPr>
                <w:rFonts w:cs="Calibri Light"/>
                <w:szCs w:val="18"/>
                <w:lang w:eastAsia="en-AU"/>
              </w:rPr>
              <w:t>effectiveness of the Indigenous Cadetship Support progra</w:t>
            </w:r>
            <w:r>
              <w:rPr>
                <w:rFonts w:cs="Calibri Light"/>
                <w:szCs w:val="18"/>
                <w:lang w:eastAsia="en-AU"/>
              </w:rPr>
              <w:t>m</w:t>
            </w:r>
            <w:r w:rsidRPr="00667D18">
              <w:rPr>
                <w:rFonts w:cs="Calibri Light"/>
                <w:szCs w:val="18"/>
                <w:lang w:eastAsia="en-AU"/>
              </w:rPr>
              <w:t xml:space="preserve"> in supporting</w:t>
            </w:r>
            <w:r w:rsidR="002F6F3B" w:rsidRPr="002F6F3B">
              <w:rPr>
                <w:rFonts w:asciiTheme="minorHAnsi" w:eastAsiaTheme="minorEastAsia" w:hAnsiTheme="minorHAnsi"/>
                <w:sz w:val="21"/>
                <w:szCs w:val="21"/>
                <w:lang w:eastAsia="en-AU"/>
              </w:rPr>
              <w:t xml:space="preserve"> </w:t>
            </w:r>
            <w:r w:rsidR="002F6F3B" w:rsidRPr="002F6F3B">
              <w:rPr>
                <w:rFonts w:cs="Calibri Light"/>
                <w:szCs w:val="18"/>
                <w:lang w:eastAsia="en-AU"/>
              </w:rPr>
              <w:t>Aboriginal and Torres Strait Islander people</w:t>
            </w:r>
            <w:r w:rsidR="002F6F3B" w:rsidRPr="002F6F3B" w:rsidDel="002F6F3B">
              <w:rPr>
                <w:rFonts w:cs="Calibri Light"/>
                <w:szCs w:val="18"/>
                <w:lang w:eastAsia="en-AU"/>
              </w:rPr>
              <w:t xml:space="preserve"> </w:t>
            </w:r>
            <w:r w:rsidRPr="00667D18">
              <w:rPr>
                <w:rFonts w:cs="Calibri Light"/>
                <w:szCs w:val="18"/>
                <w:lang w:eastAsia="en-AU"/>
              </w:rPr>
              <w:t>to complete their degree and move to ongoing employment.</w:t>
            </w:r>
          </w:p>
        </w:tc>
        <w:tc>
          <w:tcPr>
            <w:tcW w:w="1985" w:type="dxa"/>
          </w:tcPr>
          <w:p w14:paraId="749589B0" w14:textId="77777777" w:rsidR="00EC5908" w:rsidRPr="008654B9" w:rsidRDefault="009A360C" w:rsidP="00EC5908">
            <w:pPr>
              <w:rPr>
                <w:color w:val="000000"/>
                <w:lang w:eastAsia="en-AU"/>
              </w:rPr>
            </w:pPr>
            <w:r>
              <w:rPr>
                <w:color w:val="000000"/>
                <w:lang w:eastAsia="en-AU"/>
              </w:rPr>
              <w:t>Evaluation</w:t>
            </w:r>
          </w:p>
        </w:tc>
        <w:tc>
          <w:tcPr>
            <w:tcW w:w="1559" w:type="dxa"/>
          </w:tcPr>
          <w:p w14:paraId="27D00F1D" w14:textId="77777777" w:rsidR="00EC5908" w:rsidRPr="00F67AE6" w:rsidRDefault="00EC5908" w:rsidP="00EC5908">
            <w:pPr>
              <w:rPr>
                <w:color w:val="000000"/>
                <w:lang w:eastAsia="en-AU"/>
              </w:rPr>
            </w:pPr>
            <w:r w:rsidRPr="00F67AE6">
              <w:rPr>
                <w:color w:val="000000"/>
                <w:lang w:eastAsia="en-AU"/>
              </w:rPr>
              <w:t>2017</w:t>
            </w:r>
            <w:r w:rsidR="00EB3450">
              <w:rPr>
                <w:rFonts w:ascii="Arial" w:hAnsi="Arial" w:cs="Arial"/>
                <w:color w:val="434343"/>
                <w:sz w:val="21"/>
                <w:szCs w:val="21"/>
              </w:rPr>
              <w:t>–</w:t>
            </w:r>
            <w:r w:rsidRPr="00F67AE6">
              <w:rPr>
                <w:color w:val="000000"/>
                <w:lang w:eastAsia="en-AU"/>
              </w:rPr>
              <w:t>18</w:t>
            </w:r>
          </w:p>
        </w:tc>
        <w:tc>
          <w:tcPr>
            <w:tcW w:w="1701" w:type="dxa"/>
          </w:tcPr>
          <w:p w14:paraId="73E0A4C6" w14:textId="77777777" w:rsidR="00EC5908" w:rsidRPr="00F67AE6" w:rsidRDefault="00EC5908" w:rsidP="00EC5908">
            <w:pPr>
              <w:rPr>
                <w:color w:val="000000"/>
                <w:lang w:eastAsia="en-AU"/>
              </w:rPr>
            </w:pPr>
            <w:r w:rsidRPr="00F67AE6">
              <w:rPr>
                <w:color w:val="000000"/>
                <w:lang w:eastAsia="en-AU"/>
              </w:rPr>
              <w:t>2019</w:t>
            </w:r>
            <w:r w:rsidR="00EB3450">
              <w:rPr>
                <w:rFonts w:ascii="Arial" w:hAnsi="Arial" w:cs="Arial"/>
                <w:color w:val="434343"/>
                <w:sz w:val="21"/>
                <w:szCs w:val="21"/>
              </w:rPr>
              <w:t>–</w:t>
            </w:r>
            <w:r w:rsidRPr="00F67AE6">
              <w:rPr>
                <w:color w:val="000000"/>
                <w:lang w:eastAsia="en-AU"/>
              </w:rPr>
              <w:t>20</w:t>
            </w:r>
          </w:p>
        </w:tc>
      </w:tr>
      <w:tr w:rsidR="00212B50" w:rsidRPr="008654B9" w14:paraId="7D4E1D1C" w14:textId="77777777" w:rsidTr="00D230FF">
        <w:trPr>
          <w:trHeight w:val="830"/>
        </w:trPr>
        <w:tc>
          <w:tcPr>
            <w:tcW w:w="4531" w:type="dxa"/>
            <w:tcBorders>
              <w:left w:val="single" w:sz="4" w:space="0" w:color="auto"/>
            </w:tcBorders>
            <w:shd w:val="clear" w:color="auto" w:fill="auto"/>
          </w:tcPr>
          <w:p w14:paraId="7BBAF645" w14:textId="77777777" w:rsidR="00212B50" w:rsidRPr="00454DE7" w:rsidRDefault="00212B50" w:rsidP="00212B50">
            <w:pPr>
              <w:spacing w:before="40"/>
              <w:rPr>
                <w:rStyle w:val="Strong"/>
              </w:rPr>
            </w:pPr>
            <w:r w:rsidRPr="00C067A7">
              <w:rPr>
                <w:rStyle w:val="Strong"/>
              </w:rPr>
              <w:t>Indigenous Procurement Policy</w:t>
            </w:r>
            <w:r w:rsidR="00623649">
              <w:rPr>
                <w:rStyle w:val="Strong"/>
              </w:rPr>
              <w:t xml:space="preserve"> </w:t>
            </w:r>
          </w:p>
          <w:p w14:paraId="4E86B498" w14:textId="77777777" w:rsidR="00212B50" w:rsidRDefault="00212B50" w:rsidP="00E86016">
            <w:pPr>
              <w:rPr>
                <w:b/>
                <w:color w:val="000000"/>
                <w:lang w:eastAsia="en-AU"/>
              </w:rPr>
            </w:pPr>
            <w:r>
              <w:rPr>
                <w:rFonts w:cs="Calibri Light"/>
                <w:szCs w:val="18"/>
                <w:lang w:eastAsia="en-AU"/>
              </w:rPr>
              <w:t>This i</w:t>
            </w:r>
            <w:r w:rsidRPr="001B0810">
              <w:rPr>
                <w:rFonts w:cs="Calibri Light"/>
                <w:szCs w:val="18"/>
                <w:lang w:eastAsia="en-AU"/>
              </w:rPr>
              <w:t xml:space="preserve">mpact evaluation </w:t>
            </w:r>
            <w:r w:rsidR="00B71B9F">
              <w:rPr>
                <w:rFonts w:cs="Calibri Light"/>
                <w:szCs w:val="18"/>
                <w:lang w:eastAsia="en-AU"/>
              </w:rPr>
              <w:t>will examine</w:t>
            </w:r>
            <w:r w:rsidRPr="001B0810">
              <w:rPr>
                <w:rFonts w:cs="Calibri Light"/>
                <w:szCs w:val="18"/>
                <w:lang w:eastAsia="en-AU"/>
              </w:rPr>
              <w:t xml:space="preserve"> </w:t>
            </w:r>
            <w:r w:rsidRPr="00C067A7">
              <w:rPr>
                <w:rFonts w:cs="Calibri Light"/>
                <w:szCs w:val="18"/>
                <w:lang w:eastAsia="en-AU"/>
              </w:rPr>
              <w:t>three years of</w:t>
            </w:r>
            <w:r w:rsidR="00623649">
              <w:rPr>
                <w:rFonts w:cs="Calibri Light"/>
                <w:szCs w:val="18"/>
                <w:lang w:eastAsia="en-AU"/>
              </w:rPr>
              <w:t> </w:t>
            </w:r>
            <w:r w:rsidRPr="00C067A7">
              <w:rPr>
                <w:rFonts w:cs="Calibri Light"/>
                <w:szCs w:val="18"/>
                <w:lang w:eastAsia="en-AU"/>
              </w:rPr>
              <w:t>the Indigenous Procurement Policy</w:t>
            </w:r>
            <w:r>
              <w:rPr>
                <w:rFonts w:cs="Calibri Light"/>
                <w:szCs w:val="18"/>
                <w:lang w:eastAsia="en-AU"/>
              </w:rPr>
              <w:t xml:space="preserve">. </w:t>
            </w:r>
          </w:p>
        </w:tc>
        <w:tc>
          <w:tcPr>
            <w:tcW w:w="1985" w:type="dxa"/>
          </w:tcPr>
          <w:p w14:paraId="20CB0B0E" w14:textId="77777777" w:rsidR="00212B50" w:rsidRDefault="00212B50" w:rsidP="00212B50">
            <w:pPr>
              <w:rPr>
                <w:color w:val="000000"/>
                <w:lang w:eastAsia="en-AU"/>
              </w:rPr>
            </w:pPr>
            <w:r>
              <w:rPr>
                <w:color w:val="000000"/>
                <w:lang w:eastAsia="en-AU"/>
              </w:rPr>
              <w:t>Evaluation</w:t>
            </w:r>
          </w:p>
        </w:tc>
        <w:tc>
          <w:tcPr>
            <w:tcW w:w="1559" w:type="dxa"/>
          </w:tcPr>
          <w:p w14:paraId="2873D7C7" w14:textId="77777777" w:rsidR="00212B50" w:rsidRPr="00F67AE6" w:rsidRDefault="00212B50" w:rsidP="00212B50">
            <w:pPr>
              <w:rPr>
                <w:color w:val="000000"/>
                <w:lang w:eastAsia="en-AU"/>
              </w:rPr>
            </w:pPr>
            <w:r>
              <w:rPr>
                <w:color w:val="000000"/>
                <w:lang w:eastAsia="en-AU"/>
              </w:rPr>
              <w:t>2017</w:t>
            </w:r>
            <w:r w:rsidR="00EB3450">
              <w:rPr>
                <w:rFonts w:ascii="Arial" w:hAnsi="Arial" w:cs="Arial"/>
                <w:color w:val="434343"/>
                <w:sz w:val="21"/>
                <w:szCs w:val="21"/>
              </w:rPr>
              <w:t>–</w:t>
            </w:r>
            <w:r>
              <w:rPr>
                <w:color w:val="000000"/>
                <w:lang w:eastAsia="en-AU"/>
              </w:rPr>
              <w:t>18</w:t>
            </w:r>
          </w:p>
        </w:tc>
        <w:tc>
          <w:tcPr>
            <w:tcW w:w="1701" w:type="dxa"/>
          </w:tcPr>
          <w:p w14:paraId="7F29AFE7" w14:textId="77777777" w:rsidR="00212B50" w:rsidRPr="00F67AE6" w:rsidRDefault="00212B50" w:rsidP="00212B50">
            <w:pPr>
              <w:rPr>
                <w:color w:val="000000"/>
                <w:lang w:eastAsia="en-AU"/>
              </w:rPr>
            </w:pPr>
            <w:r>
              <w:rPr>
                <w:color w:val="000000"/>
                <w:lang w:eastAsia="en-AU"/>
              </w:rPr>
              <w:t>2018</w:t>
            </w:r>
            <w:r w:rsidR="00EB3450">
              <w:rPr>
                <w:rFonts w:ascii="Arial" w:hAnsi="Arial" w:cs="Arial"/>
                <w:color w:val="434343"/>
                <w:sz w:val="21"/>
                <w:szCs w:val="21"/>
              </w:rPr>
              <w:t>–</w:t>
            </w:r>
            <w:r>
              <w:rPr>
                <w:color w:val="000000"/>
                <w:lang w:eastAsia="en-AU"/>
              </w:rPr>
              <w:t>19</w:t>
            </w:r>
          </w:p>
        </w:tc>
      </w:tr>
      <w:tr w:rsidR="00212B50" w:rsidRPr="008654B9" w14:paraId="51767267" w14:textId="77777777" w:rsidTr="00D230FF">
        <w:trPr>
          <w:trHeight w:val="830"/>
        </w:trPr>
        <w:tc>
          <w:tcPr>
            <w:tcW w:w="4531" w:type="dxa"/>
            <w:tcBorders>
              <w:left w:val="single" w:sz="4" w:space="0" w:color="auto"/>
            </w:tcBorders>
            <w:shd w:val="clear" w:color="auto" w:fill="auto"/>
          </w:tcPr>
          <w:p w14:paraId="38BFC677" w14:textId="77777777" w:rsidR="00212B50" w:rsidRPr="00B75A48" w:rsidRDefault="00212B50" w:rsidP="00212B50">
            <w:pPr>
              <w:spacing w:before="40"/>
              <w:rPr>
                <w:rStyle w:val="Strong"/>
              </w:rPr>
            </w:pPr>
            <w:r w:rsidRPr="00B75A48">
              <w:rPr>
                <w:rStyle w:val="Strong"/>
              </w:rPr>
              <w:t>Native Title Representative Bodies and Service Providers (merged with Role of Land Councils and Native Title Representative Bodies)</w:t>
            </w:r>
          </w:p>
          <w:p w14:paraId="302D907C" w14:textId="77777777" w:rsidR="00212B50" w:rsidRDefault="00212B50" w:rsidP="00E86016">
            <w:pPr>
              <w:rPr>
                <w:b/>
                <w:color w:val="000000"/>
                <w:lang w:eastAsia="en-AU"/>
              </w:rPr>
            </w:pPr>
            <w:r>
              <w:rPr>
                <w:rStyle w:val="Strong"/>
                <w:b w:val="0"/>
              </w:rPr>
              <w:t>This r</w:t>
            </w:r>
            <w:r w:rsidRPr="00B75A48">
              <w:rPr>
                <w:rStyle w:val="Strong"/>
                <w:b w:val="0"/>
              </w:rPr>
              <w:t>eview of Native Title Representative Bodies and Service Providers cover</w:t>
            </w:r>
            <w:r>
              <w:rPr>
                <w:rStyle w:val="Strong"/>
                <w:b w:val="0"/>
              </w:rPr>
              <w:t>s</w:t>
            </w:r>
            <w:r w:rsidRPr="00B75A48">
              <w:rPr>
                <w:rStyle w:val="Strong"/>
                <w:b w:val="0"/>
              </w:rPr>
              <w:t xml:space="preserve"> p</w:t>
            </w:r>
            <w:r w:rsidR="00A51E7F">
              <w:rPr>
                <w:rStyle w:val="Strong"/>
                <w:b w:val="0"/>
              </w:rPr>
              <w:t>erformance and relative efficiency.</w:t>
            </w:r>
          </w:p>
        </w:tc>
        <w:tc>
          <w:tcPr>
            <w:tcW w:w="1985" w:type="dxa"/>
          </w:tcPr>
          <w:p w14:paraId="5F0CA2F0" w14:textId="77777777" w:rsidR="00212B50" w:rsidRDefault="00212B50" w:rsidP="00212B50">
            <w:pPr>
              <w:rPr>
                <w:color w:val="000000"/>
                <w:lang w:eastAsia="en-AU"/>
              </w:rPr>
            </w:pPr>
            <w:r>
              <w:rPr>
                <w:color w:val="000000"/>
                <w:lang w:eastAsia="en-AU"/>
              </w:rPr>
              <w:t>Review</w:t>
            </w:r>
          </w:p>
        </w:tc>
        <w:tc>
          <w:tcPr>
            <w:tcW w:w="1559" w:type="dxa"/>
          </w:tcPr>
          <w:p w14:paraId="02D3AC61" w14:textId="77777777" w:rsidR="00212B50" w:rsidRPr="00F67AE6" w:rsidRDefault="00212B50" w:rsidP="00212B50">
            <w:pPr>
              <w:rPr>
                <w:color w:val="000000"/>
                <w:lang w:eastAsia="en-AU"/>
              </w:rPr>
            </w:pPr>
            <w:r>
              <w:rPr>
                <w:color w:val="000000"/>
                <w:lang w:eastAsia="en-AU"/>
              </w:rPr>
              <w:t>2017</w:t>
            </w:r>
            <w:r w:rsidR="0056600C">
              <w:rPr>
                <w:rFonts w:ascii="Arial" w:hAnsi="Arial" w:cs="Arial"/>
                <w:color w:val="434343"/>
                <w:sz w:val="21"/>
                <w:szCs w:val="21"/>
              </w:rPr>
              <w:t>–</w:t>
            </w:r>
            <w:r>
              <w:rPr>
                <w:color w:val="000000"/>
                <w:lang w:eastAsia="en-AU"/>
              </w:rPr>
              <w:t>18</w:t>
            </w:r>
          </w:p>
        </w:tc>
        <w:tc>
          <w:tcPr>
            <w:tcW w:w="1701" w:type="dxa"/>
          </w:tcPr>
          <w:p w14:paraId="0D88BAE4" w14:textId="77777777" w:rsidR="00212B50" w:rsidRPr="00F67AE6" w:rsidRDefault="00212B50" w:rsidP="00212B50">
            <w:pPr>
              <w:rPr>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tc>
      </w:tr>
      <w:tr w:rsidR="00281766" w:rsidRPr="008654B9" w14:paraId="2510A08B" w14:textId="77777777" w:rsidTr="00D230FF">
        <w:trPr>
          <w:trHeight w:val="830"/>
        </w:trPr>
        <w:tc>
          <w:tcPr>
            <w:tcW w:w="4531" w:type="dxa"/>
            <w:tcBorders>
              <w:left w:val="single" w:sz="4" w:space="0" w:color="auto"/>
            </w:tcBorders>
            <w:shd w:val="clear" w:color="auto" w:fill="auto"/>
          </w:tcPr>
          <w:p w14:paraId="480FC564" w14:textId="77777777" w:rsidR="00710900" w:rsidRDefault="00710900" w:rsidP="00281766">
            <w:pPr>
              <w:spacing w:before="40"/>
              <w:rPr>
                <w:rStyle w:val="Strong"/>
              </w:rPr>
            </w:pPr>
            <w:r w:rsidRPr="00710900">
              <w:rPr>
                <w:rStyle w:val="Strong"/>
              </w:rPr>
              <w:t>Prescribed Bodies Corporate</w:t>
            </w:r>
            <w:r w:rsidR="0030078C">
              <w:rPr>
                <w:rStyle w:val="Strong"/>
              </w:rPr>
              <w:t xml:space="preserve"> (P</w:t>
            </w:r>
            <w:r w:rsidR="00A77ACE">
              <w:rPr>
                <w:rStyle w:val="Strong"/>
              </w:rPr>
              <w:t>BC</w:t>
            </w:r>
            <w:r w:rsidR="0030078C">
              <w:rPr>
                <w:rStyle w:val="Strong"/>
              </w:rPr>
              <w:t>)</w:t>
            </w:r>
            <w:r w:rsidRPr="00710900">
              <w:rPr>
                <w:rStyle w:val="Strong"/>
              </w:rPr>
              <w:t xml:space="preserve"> </w:t>
            </w:r>
            <w:r w:rsidR="00A77ACE">
              <w:rPr>
                <w:rStyle w:val="Strong"/>
              </w:rPr>
              <w:t>T</w:t>
            </w:r>
            <w:r w:rsidRPr="00710900">
              <w:rPr>
                <w:rStyle w:val="Strong"/>
              </w:rPr>
              <w:t xml:space="preserve">raining </w:t>
            </w:r>
            <w:r w:rsidR="00A77ACE">
              <w:rPr>
                <w:rStyle w:val="Strong"/>
              </w:rPr>
              <w:t>P</w:t>
            </w:r>
            <w:r w:rsidRPr="00710900">
              <w:rPr>
                <w:rStyle w:val="Strong"/>
              </w:rPr>
              <w:t>rogram</w:t>
            </w:r>
          </w:p>
          <w:p w14:paraId="20145D5B" w14:textId="77777777" w:rsidR="00281766" w:rsidRPr="0030078C" w:rsidRDefault="00281766" w:rsidP="00E86016">
            <w:pPr>
              <w:rPr>
                <w:rStyle w:val="Strong"/>
                <w:b w:val="0"/>
              </w:rPr>
            </w:pPr>
            <w:r w:rsidRPr="00710900">
              <w:rPr>
                <w:rStyle w:val="Strong"/>
                <w:b w:val="0"/>
              </w:rPr>
              <w:t>This review</w:t>
            </w:r>
            <w:r w:rsidR="0030078C">
              <w:rPr>
                <w:rStyle w:val="Strong"/>
                <w:b w:val="0"/>
              </w:rPr>
              <w:t xml:space="preserve"> will</w:t>
            </w:r>
            <w:r w:rsidRPr="00710900">
              <w:rPr>
                <w:rStyle w:val="Strong"/>
                <w:b w:val="0"/>
              </w:rPr>
              <w:t xml:space="preserve"> </w:t>
            </w:r>
            <w:r w:rsidR="0030078C" w:rsidRPr="0030078C">
              <w:rPr>
                <w:rStyle w:val="Strong"/>
                <w:b w:val="0"/>
              </w:rPr>
              <w:t xml:space="preserve">inform whether to </w:t>
            </w:r>
            <w:r w:rsidR="0030078C">
              <w:rPr>
                <w:rStyle w:val="Strong"/>
                <w:b w:val="0"/>
              </w:rPr>
              <w:t>move to</w:t>
            </w:r>
            <w:r w:rsidR="0030078C" w:rsidRPr="0030078C">
              <w:rPr>
                <w:rStyle w:val="Strong"/>
                <w:b w:val="0"/>
              </w:rPr>
              <w:t xml:space="preserve"> a</w:t>
            </w:r>
            <w:r w:rsidR="00623649">
              <w:rPr>
                <w:rStyle w:val="Strong"/>
                <w:b w:val="0"/>
              </w:rPr>
              <w:t> </w:t>
            </w:r>
            <w:r w:rsidR="0030078C" w:rsidRPr="0030078C">
              <w:rPr>
                <w:rStyle w:val="Strong"/>
                <w:b w:val="0"/>
              </w:rPr>
              <w:t>second phase</w:t>
            </w:r>
            <w:r w:rsidR="00DB7230">
              <w:rPr>
                <w:rStyle w:val="Strong"/>
                <w:b w:val="0"/>
              </w:rPr>
              <w:t>.</w:t>
            </w:r>
            <w:r w:rsidR="0030078C" w:rsidRPr="0030078C">
              <w:rPr>
                <w:rStyle w:val="Strong"/>
                <w:b w:val="0"/>
              </w:rPr>
              <w:t xml:space="preserve"> </w:t>
            </w:r>
            <w:r w:rsidR="00A51E7F">
              <w:rPr>
                <w:rStyle w:val="Strong"/>
                <w:b w:val="0"/>
              </w:rPr>
              <w:t>I</w:t>
            </w:r>
            <w:r w:rsidR="00BE6A38">
              <w:rPr>
                <w:rStyle w:val="Strong"/>
                <w:b w:val="0"/>
              </w:rPr>
              <w:t xml:space="preserve">t will </w:t>
            </w:r>
            <w:r w:rsidR="0030078C">
              <w:rPr>
                <w:rStyle w:val="Strong"/>
                <w:b w:val="0"/>
              </w:rPr>
              <w:t>i</w:t>
            </w:r>
            <w:r w:rsidR="0030078C" w:rsidRPr="0030078C">
              <w:rPr>
                <w:rStyle w:val="Strong"/>
                <w:b w:val="0"/>
              </w:rPr>
              <w:t>dentify</w:t>
            </w:r>
            <w:r w:rsidR="00DB7230">
              <w:rPr>
                <w:rStyle w:val="Strong"/>
                <w:b w:val="0"/>
              </w:rPr>
              <w:t xml:space="preserve"> </w:t>
            </w:r>
            <w:r w:rsidR="0030078C" w:rsidRPr="0030078C">
              <w:rPr>
                <w:rStyle w:val="Strong"/>
                <w:b w:val="0"/>
              </w:rPr>
              <w:t>opportunities to improve the design and delivery of the PBC training.</w:t>
            </w:r>
          </w:p>
        </w:tc>
        <w:tc>
          <w:tcPr>
            <w:tcW w:w="1985" w:type="dxa"/>
          </w:tcPr>
          <w:p w14:paraId="484E1F3C" w14:textId="77777777" w:rsidR="00281766" w:rsidRDefault="00281766" w:rsidP="00212B50">
            <w:pPr>
              <w:rPr>
                <w:color w:val="000000"/>
                <w:lang w:eastAsia="en-AU"/>
              </w:rPr>
            </w:pPr>
            <w:r>
              <w:rPr>
                <w:color w:val="000000"/>
                <w:lang w:eastAsia="en-AU"/>
              </w:rPr>
              <w:t>Review</w:t>
            </w:r>
          </w:p>
        </w:tc>
        <w:tc>
          <w:tcPr>
            <w:tcW w:w="1559" w:type="dxa"/>
          </w:tcPr>
          <w:p w14:paraId="78111CF5" w14:textId="77777777" w:rsidR="00281766" w:rsidRDefault="00281766" w:rsidP="00212B50">
            <w:pPr>
              <w:rPr>
                <w:color w:val="000000"/>
                <w:lang w:eastAsia="en-AU"/>
              </w:rPr>
            </w:pPr>
            <w:r>
              <w:rPr>
                <w:color w:val="000000"/>
                <w:lang w:eastAsia="en-AU"/>
              </w:rPr>
              <w:t>2017</w:t>
            </w:r>
            <w:r>
              <w:rPr>
                <w:rFonts w:ascii="Arial" w:hAnsi="Arial" w:cs="Arial"/>
                <w:color w:val="434343"/>
                <w:sz w:val="21"/>
                <w:szCs w:val="21"/>
              </w:rPr>
              <w:t>–</w:t>
            </w:r>
            <w:r>
              <w:rPr>
                <w:color w:val="000000"/>
                <w:lang w:eastAsia="en-AU"/>
              </w:rPr>
              <w:t>18</w:t>
            </w:r>
          </w:p>
        </w:tc>
        <w:tc>
          <w:tcPr>
            <w:tcW w:w="1701" w:type="dxa"/>
          </w:tcPr>
          <w:p w14:paraId="4390CCE1" w14:textId="77777777" w:rsidR="00281766" w:rsidRDefault="00281766" w:rsidP="00212B50">
            <w:pPr>
              <w:rPr>
                <w:color w:val="000000"/>
                <w:lang w:eastAsia="en-AU"/>
              </w:rPr>
            </w:pPr>
            <w:r w:rsidRPr="00281766">
              <w:rPr>
                <w:color w:val="000000"/>
                <w:lang w:eastAsia="en-AU"/>
              </w:rPr>
              <w:t>2018–19</w:t>
            </w:r>
          </w:p>
        </w:tc>
      </w:tr>
    </w:tbl>
    <w:p w14:paraId="09EBAEF2" w14:textId="77777777" w:rsidR="00C2670F" w:rsidRDefault="00C2670F" w:rsidP="00744823">
      <w:bookmarkStart w:id="55" w:name="_Toc516577514"/>
      <w:bookmarkStart w:id="56" w:name="_Toc517355472"/>
      <w:bookmarkStart w:id="57" w:name="_Toc517363433"/>
      <w:bookmarkStart w:id="58" w:name="_Toc517871032"/>
      <w:bookmarkStart w:id="59" w:name="_Toc517967730"/>
    </w:p>
    <w:p w14:paraId="31A3211A" w14:textId="77777777" w:rsidR="00812271" w:rsidRDefault="00812271">
      <w:pPr>
        <w:spacing w:after="200"/>
        <w:rPr>
          <w:rFonts w:eastAsiaTheme="majorEastAsia" w:cstheme="majorBidi"/>
          <w:b/>
          <w:bCs/>
          <w:color w:val="403152" w:themeColor="accent4" w:themeShade="80"/>
          <w:sz w:val="28"/>
          <w:szCs w:val="26"/>
        </w:rPr>
      </w:pPr>
      <w:r>
        <w:rPr>
          <w:color w:val="403152" w:themeColor="accent4" w:themeShade="80"/>
        </w:rPr>
        <w:br w:type="page"/>
      </w:r>
    </w:p>
    <w:p w14:paraId="5A39BC35" w14:textId="77777777" w:rsidR="00E65A24" w:rsidRDefault="00E65A24" w:rsidP="00F61835">
      <w:bookmarkStart w:id="60" w:name="_Toc518304160"/>
      <w:bookmarkStart w:id="61" w:name="_Toc518472409"/>
    </w:p>
    <w:p w14:paraId="73F62E51" w14:textId="77777777" w:rsidR="00CA5D91" w:rsidRPr="0025060F" w:rsidRDefault="00CA5D91" w:rsidP="00F61835">
      <w:pPr>
        <w:pStyle w:val="h4"/>
      </w:pPr>
      <w:r>
        <w:t>Children and Schooling</w:t>
      </w:r>
      <w:bookmarkEnd w:id="55"/>
      <w:bookmarkEnd w:id="56"/>
      <w:bookmarkEnd w:id="57"/>
      <w:bookmarkEnd w:id="58"/>
      <w:bookmarkEnd w:id="59"/>
      <w:bookmarkEnd w:id="60"/>
      <w:bookmarkEnd w:id="61"/>
    </w:p>
    <w:tbl>
      <w:tblPr>
        <w:tblpPr w:leftFromText="180" w:rightFromText="180" w:vertAnchor="text" w:horzAnchor="margin" w:tblpY="11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ren and Schooling"/>
        <w:tblDescription w:val="This table includes a list of current Children and Schooling Program evaluations  and review topics and project descriptions. It also states the project start dates and expected completion dates."/>
      </w:tblPr>
      <w:tblGrid>
        <w:gridCol w:w="4531"/>
        <w:gridCol w:w="1985"/>
        <w:gridCol w:w="1559"/>
        <w:gridCol w:w="1701"/>
      </w:tblGrid>
      <w:tr w:rsidR="00CA5D91" w:rsidRPr="008654B9" w14:paraId="6749FB38" w14:textId="77777777" w:rsidTr="00684609">
        <w:trPr>
          <w:trHeight w:val="476"/>
        </w:trPr>
        <w:tc>
          <w:tcPr>
            <w:tcW w:w="4531" w:type="dxa"/>
            <w:tcBorders>
              <w:left w:val="single" w:sz="4" w:space="0" w:color="auto"/>
            </w:tcBorders>
            <w:shd w:val="clear" w:color="auto" w:fill="BFBFBF" w:themeFill="background1" w:themeFillShade="BF"/>
            <w:hideMark/>
          </w:tcPr>
          <w:p w14:paraId="465BDD4D" w14:textId="77777777" w:rsidR="00CA5D91" w:rsidRPr="00B06EDE" w:rsidRDefault="00A26DAA" w:rsidP="00CA5D91">
            <w:pPr>
              <w:rPr>
                <w:b/>
                <w:lang w:eastAsia="en-AU"/>
              </w:rPr>
            </w:pPr>
            <w:r w:rsidRPr="00A26DAA">
              <w:rPr>
                <w:b/>
                <w:lang w:eastAsia="en-AU"/>
              </w:rPr>
              <w:t>Description</w:t>
            </w:r>
          </w:p>
        </w:tc>
        <w:tc>
          <w:tcPr>
            <w:tcW w:w="1985" w:type="dxa"/>
            <w:shd w:val="clear" w:color="auto" w:fill="BFBFBF" w:themeFill="background1" w:themeFillShade="BF"/>
          </w:tcPr>
          <w:p w14:paraId="4D45A0D3" w14:textId="77777777" w:rsidR="00CA5D91" w:rsidRPr="00B06EDE" w:rsidRDefault="00CA5D91" w:rsidP="00CA5D91">
            <w:pPr>
              <w:rPr>
                <w:b/>
                <w:lang w:eastAsia="en-AU"/>
              </w:rPr>
            </w:pPr>
            <w:r w:rsidRPr="00467864">
              <w:rPr>
                <w:b/>
                <w:lang w:eastAsia="en-AU"/>
              </w:rPr>
              <w:t xml:space="preserve">Type </w:t>
            </w:r>
          </w:p>
        </w:tc>
        <w:tc>
          <w:tcPr>
            <w:tcW w:w="1559" w:type="dxa"/>
            <w:shd w:val="clear" w:color="auto" w:fill="BFBFBF" w:themeFill="background1" w:themeFillShade="BF"/>
          </w:tcPr>
          <w:p w14:paraId="03378DEE" w14:textId="77777777" w:rsidR="00CA5D91" w:rsidRDefault="00CA5D91" w:rsidP="00CA5D91">
            <w:pPr>
              <w:rPr>
                <w:b/>
                <w:lang w:eastAsia="en-AU"/>
              </w:rPr>
            </w:pPr>
            <w:r>
              <w:rPr>
                <w:b/>
                <w:lang w:eastAsia="en-AU"/>
              </w:rPr>
              <w:t>Start</w:t>
            </w:r>
            <w:r w:rsidR="006C097B">
              <w:rPr>
                <w:b/>
                <w:lang w:eastAsia="en-AU"/>
              </w:rPr>
              <w:t xml:space="preserve"> Date</w:t>
            </w:r>
          </w:p>
        </w:tc>
        <w:tc>
          <w:tcPr>
            <w:tcW w:w="1701" w:type="dxa"/>
            <w:shd w:val="clear" w:color="auto" w:fill="BFBFBF" w:themeFill="background1" w:themeFillShade="BF"/>
          </w:tcPr>
          <w:p w14:paraId="054C9DAF" w14:textId="77777777" w:rsidR="00CA5D91" w:rsidRPr="00467864" w:rsidRDefault="00CA5D91" w:rsidP="00CA5D91">
            <w:pPr>
              <w:rPr>
                <w:b/>
                <w:lang w:eastAsia="en-AU"/>
              </w:rPr>
            </w:pPr>
            <w:r>
              <w:rPr>
                <w:b/>
                <w:lang w:eastAsia="en-AU"/>
              </w:rPr>
              <w:t>Expected Completion</w:t>
            </w:r>
          </w:p>
        </w:tc>
      </w:tr>
      <w:tr w:rsidR="00212B50" w:rsidRPr="008654B9" w14:paraId="728AC005" w14:textId="77777777" w:rsidTr="00684609">
        <w:trPr>
          <w:trHeight w:val="1304"/>
        </w:trPr>
        <w:tc>
          <w:tcPr>
            <w:tcW w:w="4531" w:type="dxa"/>
            <w:tcBorders>
              <w:left w:val="single" w:sz="4" w:space="0" w:color="auto"/>
            </w:tcBorders>
            <w:shd w:val="clear" w:color="auto" w:fill="auto"/>
            <w:vAlign w:val="center"/>
          </w:tcPr>
          <w:p w14:paraId="1C379078" w14:textId="77777777" w:rsidR="00212B50" w:rsidRPr="00D340DB" w:rsidRDefault="00212B50" w:rsidP="00212B50">
            <w:pPr>
              <w:rPr>
                <w:b/>
                <w:color w:val="000000"/>
                <w:lang w:eastAsia="en-AU"/>
              </w:rPr>
            </w:pPr>
            <w:r w:rsidRPr="00D340DB">
              <w:rPr>
                <w:b/>
                <w:color w:val="000000"/>
                <w:lang w:eastAsia="en-AU"/>
              </w:rPr>
              <w:t>Aboriginal Families as First Educators Program</w:t>
            </w:r>
          </w:p>
          <w:p w14:paraId="1AADFCD3" w14:textId="77777777" w:rsidR="00212B50" w:rsidRDefault="00A1048B" w:rsidP="00A51E7F">
            <w:pPr>
              <w:rPr>
                <w:b/>
                <w:color w:val="000000"/>
                <w:lang w:eastAsia="en-AU"/>
              </w:rPr>
            </w:pPr>
            <w:r w:rsidRPr="00A1048B">
              <w:rPr>
                <w:lang w:eastAsia="en-AU"/>
              </w:rPr>
              <w:t>This impact evaluation will examine in what circumstances the Aboriginal Families as First Educators Program contributes to stronger early childhood development outcomes, how and why.</w:t>
            </w:r>
          </w:p>
        </w:tc>
        <w:tc>
          <w:tcPr>
            <w:tcW w:w="1985" w:type="dxa"/>
          </w:tcPr>
          <w:p w14:paraId="1FC8EB18" w14:textId="77777777" w:rsidR="00212B50" w:rsidRDefault="00212B50" w:rsidP="00212B50">
            <w:pPr>
              <w:rPr>
                <w:color w:val="000000"/>
                <w:lang w:eastAsia="en-AU"/>
              </w:rPr>
            </w:pPr>
            <w:r>
              <w:rPr>
                <w:color w:val="000000"/>
                <w:lang w:eastAsia="en-AU"/>
              </w:rPr>
              <w:t>Evaluation</w:t>
            </w:r>
          </w:p>
        </w:tc>
        <w:tc>
          <w:tcPr>
            <w:tcW w:w="1559" w:type="dxa"/>
          </w:tcPr>
          <w:p w14:paraId="79EFB349" w14:textId="77777777" w:rsidR="00212B50" w:rsidRPr="0025060F" w:rsidRDefault="00212B50" w:rsidP="00212B50">
            <w:pPr>
              <w:rPr>
                <w:b/>
                <w:color w:val="000000"/>
                <w:lang w:eastAsia="en-AU"/>
              </w:rPr>
            </w:pPr>
            <w:r>
              <w:rPr>
                <w:color w:val="000000"/>
                <w:lang w:eastAsia="en-AU"/>
              </w:rPr>
              <w:t>2016</w:t>
            </w:r>
            <w:r w:rsidR="0056600C">
              <w:rPr>
                <w:rFonts w:ascii="Arial" w:hAnsi="Arial" w:cs="Arial"/>
                <w:color w:val="434343"/>
                <w:sz w:val="21"/>
                <w:szCs w:val="21"/>
              </w:rPr>
              <w:t>–</w:t>
            </w:r>
            <w:r>
              <w:rPr>
                <w:color w:val="000000"/>
                <w:lang w:eastAsia="en-AU"/>
              </w:rPr>
              <w:t>17</w:t>
            </w:r>
          </w:p>
          <w:p w14:paraId="7BBDE0DE" w14:textId="77777777" w:rsidR="00212B50" w:rsidRDefault="00212B50" w:rsidP="00212B50">
            <w:pPr>
              <w:rPr>
                <w:color w:val="000000"/>
                <w:lang w:eastAsia="en-AU"/>
              </w:rPr>
            </w:pPr>
          </w:p>
        </w:tc>
        <w:tc>
          <w:tcPr>
            <w:tcW w:w="1701" w:type="dxa"/>
          </w:tcPr>
          <w:p w14:paraId="3E688D79" w14:textId="77777777" w:rsidR="00212B50" w:rsidRPr="0025060F" w:rsidRDefault="00212B50" w:rsidP="00212B50">
            <w:pPr>
              <w:rPr>
                <w:b/>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p w14:paraId="4C08394B" w14:textId="77777777" w:rsidR="00212B50" w:rsidRDefault="00212B50" w:rsidP="00212B50">
            <w:pPr>
              <w:rPr>
                <w:color w:val="000000"/>
                <w:lang w:eastAsia="en-AU"/>
              </w:rPr>
            </w:pPr>
          </w:p>
        </w:tc>
      </w:tr>
      <w:tr w:rsidR="00212B50" w:rsidRPr="008654B9" w14:paraId="38D83780" w14:textId="77777777" w:rsidTr="00684609">
        <w:trPr>
          <w:trHeight w:val="1304"/>
        </w:trPr>
        <w:tc>
          <w:tcPr>
            <w:tcW w:w="4531" w:type="dxa"/>
            <w:tcBorders>
              <w:left w:val="single" w:sz="4" w:space="0" w:color="auto"/>
            </w:tcBorders>
            <w:shd w:val="clear" w:color="auto" w:fill="auto"/>
            <w:vAlign w:val="center"/>
            <w:hideMark/>
          </w:tcPr>
          <w:p w14:paraId="4FF56E7C" w14:textId="77777777" w:rsidR="00212B50" w:rsidRPr="0025060F" w:rsidRDefault="00212B50" w:rsidP="00212B50">
            <w:pPr>
              <w:rPr>
                <w:b/>
                <w:color w:val="000000"/>
                <w:lang w:eastAsia="en-AU"/>
              </w:rPr>
            </w:pPr>
            <w:r>
              <w:rPr>
                <w:b/>
                <w:color w:val="000000"/>
                <w:lang w:eastAsia="en-AU"/>
              </w:rPr>
              <w:t>Girls Academies</w:t>
            </w:r>
          </w:p>
          <w:p w14:paraId="159C6FD4" w14:textId="77777777" w:rsidR="00212B50" w:rsidRPr="0025060F" w:rsidRDefault="00212B50" w:rsidP="00806E57">
            <w:pPr>
              <w:rPr>
                <w:b/>
                <w:color w:val="000000"/>
                <w:lang w:eastAsia="en-AU"/>
              </w:rPr>
            </w:pPr>
            <w:r>
              <w:rPr>
                <w:lang w:eastAsia="en-AU"/>
              </w:rPr>
              <w:t>This i</w:t>
            </w:r>
            <w:r w:rsidRPr="000F5365">
              <w:rPr>
                <w:lang w:eastAsia="en-AU"/>
              </w:rPr>
              <w:t xml:space="preserve">mpact evaluation </w:t>
            </w:r>
            <w:r w:rsidR="0088084A">
              <w:rPr>
                <w:lang w:eastAsia="en-AU"/>
              </w:rPr>
              <w:t xml:space="preserve">of the Girls Academies </w:t>
            </w:r>
            <w:r>
              <w:rPr>
                <w:lang w:eastAsia="en-AU"/>
              </w:rPr>
              <w:t>will</w:t>
            </w:r>
            <w:r w:rsidRPr="000F5365">
              <w:rPr>
                <w:lang w:eastAsia="en-AU"/>
              </w:rPr>
              <w:t xml:space="preserve"> assess what’s working, what isn’t, any unintended consequences</w:t>
            </w:r>
            <w:r w:rsidR="00C91290">
              <w:rPr>
                <w:lang w:eastAsia="en-AU"/>
              </w:rPr>
              <w:t>,</w:t>
            </w:r>
            <w:r w:rsidRPr="000F5365">
              <w:rPr>
                <w:lang w:eastAsia="en-AU"/>
              </w:rPr>
              <w:t xml:space="preserve"> and what could be improved.</w:t>
            </w:r>
          </w:p>
        </w:tc>
        <w:tc>
          <w:tcPr>
            <w:tcW w:w="1985" w:type="dxa"/>
          </w:tcPr>
          <w:p w14:paraId="2D7AD742" w14:textId="77777777" w:rsidR="00212B50" w:rsidRPr="00151950" w:rsidRDefault="00212B50" w:rsidP="00212B50">
            <w:pPr>
              <w:rPr>
                <w:color w:val="000000"/>
                <w:lang w:eastAsia="en-AU"/>
              </w:rPr>
            </w:pPr>
            <w:r>
              <w:rPr>
                <w:color w:val="000000"/>
                <w:lang w:eastAsia="en-AU"/>
              </w:rPr>
              <w:t>Evaluation</w:t>
            </w:r>
          </w:p>
        </w:tc>
        <w:tc>
          <w:tcPr>
            <w:tcW w:w="1559" w:type="dxa"/>
          </w:tcPr>
          <w:p w14:paraId="5CA0BE24" w14:textId="77777777" w:rsidR="00212B50" w:rsidRPr="0025060F" w:rsidRDefault="00212B50" w:rsidP="00212B50">
            <w:pPr>
              <w:rPr>
                <w:b/>
                <w:color w:val="000000"/>
                <w:lang w:eastAsia="en-AU"/>
              </w:rPr>
            </w:pPr>
            <w:r>
              <w:rPr>
                <w:color w:val="000000"/>
                <w:lang w:eastAsia="en-AU"/>
              </w:rPr>
              <w:t>2016</w:t>
            </w:r>
            <w:r w:rsidR="0056600C">
              <w:rPr>
                <w:rFonts w:ascii="Arial" w:hAnsi="Arial" w:cs="Arial"/>
                <w:color w:val="434343"/>
                <w:sz w:val="21"/>
                <w:szCs w:val="21"/>
              </w:rPr>
              <w:t>–</w:t>
            </w:r>
            <w:r>
              <w:rPr>
                <w:color w:val="000000"/>
                <w:lang w:eastAsia="en-AU"/>
              </w:rPr>
              <w:t>17</w:t>
            </w:r>
          </w:p>
          <w:p w14:paraId="1DAB49A4" w14:textId="77777777" w:rsidR="00212B50" w:rsidRPr="0025060F" w:rsidRDefault="00212B50" w:rsidP="00212B50">
            <w:pPr>
              <w:rPr>
                <w:b/>
                <w:color w:val="000000"/>
                <w:lang w:eastAsia="en-AU"/>
              </w:rPr>
            </w:pPr>
          </w:p>
        </w:tc>
        <w:tc>
          <w:tcPr>
            <w:tcW w:w="1701" w:type="dxa"/>
          </w:tcPr>
          <w:p w14:paraId="4F34D4E5" w14:textId="77777777" w:rsidR="00212B50" w:rsidRPr="0025060F" w:rsidRDefault="00212B50" w:rsidP="00212B50">
            <w:pPr>
              <w:rPr>
                <w:b/>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tc>
      </w:tr>
      <w:tr w:rsidR="00212B50" w:rsidRPr="008654B9" w14:paraId="19AD8F78" w14:textId="77777777" w:rsidTr="00684609">
        <w:trPr>
          <w:trHeight w:val="1564"/>
        </w:trPr>
        <w:tc>
          <w:tcPr>
            <w:tcW w:w="4531" w:type="dxa"/>
            <w:tcBorders>
              <w:left w:val="single" w:sz="4" w:space="0" w:color="auto"/>
            </w:tcBorders>
            <w:shd w:val="clear" w:color="auto" w:fill="auto"/>
            <w:vAlign w:val="center"/>
            <w:hideMark/>
          </w:tcPr>
          <w:p w14:paraId="59D5E8F7" w14:textId="77777777" w:rsidR="00212B50" w:rsidRPr="0025060F" w:rsidRDefault="00212B50" w:rsidP="00212B50">
            <w:pPr>
              <w:rPr>
                <w:b/>
                <w:color w:val="000000"/>
                <w:lang w:eastAsia="en-AU"/>
              </w:rPr>
            </w:pPr>
            <w:r>
              <w:rPr>
                <w:b/>
                <w:color w:val="000000"/>
                <w:lang w:eastAsia="en-AU"/>
              </w:rPr>
              <w:t>Models of Studying Away from Home</w:t>
            </w:r>
          </w:p>
          <w:p w14:paraId="7E571FCC" w14:textId="77777777" w:rsidR="00212B50" w:rsidRPr="0025060F" w:rsidRDefault="00212B50" w:rsidP="00A12F95">
            <w:pPr>
              <w:rPr>
                <w:b/>
                <w:color w:val="000000"/>
                <w:lang w:eastAsia="en-AU"/>
              </w:rPr>
            </w:pPr>
            <w:r>
              <w:rPr>
                <w:lang w:eastAsia="en-AU"/>
              </w:rPr>
              <w:t>This impact evaluation will</w:t>
            </w:r>
            <w:r w:rsidRPr="000F5365">
              <w:rPr>
                <w:lang w:eastAsia="en-AU"/>
              </w:rPr>
              <w:t xml:space="preserve"> assess the costs, benefits</w:t>
            </w:r>
            <w:r w:rsidR="003223E0">
              <w:rPr>
                <w:lang w:eastAsia="en-AU"/>
              </w:rPr>
              <w:t xml:space="preserve"> and </w:t>
            </w:r>
            <w:r w:rsidR="003223E0" w:rsidRPr="000F5365">
              <w:rPr>
                <w:lang w:eastAsia="en-AU"/>
              </w:rPr>
              <w:t xml:space="preserve">impacts </w:t>
            </w:r>
            <w:r w:rsidRPr="000F5365">
              <w:rPr>
                <w:lang w:eastAsia="en-AU"/>
              </w:rPr>
              <w:t xml:space="preserve">of different models for students studying away from home with a view to understanding what works for different students and whether there </w:t>
            </w:r>
            <w:r>
              <w:rPr>
                <w:lang w:eastAsia="en-AU"/>
              </w:rPr>
              <w:t>are more effective models.</w:t>
            </w:r>
          </w:p>
        </w:tc>
        <w:tc>
          <w:tcPr>
            <w:tcW w:w="1985" w:type="dxa"/>
            <w:shd w:val="clear" w:color="auto" w:fill="auto"/>
          </w:tcPr>
          <w:p w14:paraId="6F6BCDAB" w14:textId="77777777" w:rsidR="00212B50" w:rsidRPr="0025060F" w:rsidRDefault="00212B50" w:rsidP="00212B50">
            <w:pPr>
              <w:rPr>
                <w:b/>
                <w:color w:val="000000"/>
                <w:lang w:eastAsia="en-AU"/>
              </w:rPr>
            </w:pPr>
            <w:r>
              <w:rPr>
                <w:color w:val="000000"/>
                <w:lang w:eastAsia="en-AU"/>
              </w:rPr>
              <w:t>Evaluation</w:t>
            </w:r>
          </w:p>
        </w:tc>
        <w:tc>
          <w:tcPr>
            <w:tcW w:w="1559" w:type="dxa"/>
            <w:shd w:val="clear" w:color="auto" w:fill="auto"/>
          </w:tcPr>
          <w:p w14:paraId="15BDFD01" w14:textId="77777777" w:rsidR="00212B50" w:rsidRPr="00F03A01" w:rsidRDefault="00212B50" w:rsidP="00212B50">
            <w:pPr>
              <w:rPr>
                <w:b/>
                <w:color w:val="000000"/>
                <w:lang w:eastAsia="en-AU"/>
              </w:rPr>
            </w:pPr>
            <w:r w:rsidRPr="00C06F0A">
              <w:rPr>
                <w:color w:val="000000"/>
                <w:lang w:eastAsia="en-AU"/>
              </w:rPr>
              <w:t>2017</w:t>
            </w:r>
            <w:r w:rsidR="0056600C">
              <w:rPr>
                <w:rFonts w:ascii="Arial" w:hAnsi="Arial" w:cs="Arial"/>
                <w:color w:val="434343"/>
                <w:sz w:val="21"/>
                <w:szCs w:val="21"/>
              </w:rPr>
              <w:t>–</w:t>
            </w:r>
            <w:r w:rsidRPr="00C06F0A">
              <w:rPr>
                <w:color w:val="000000"/>
                <w:lang w:eastAsia="en-AU"/>
              </w:rPr>
              <w:t>18</w:t>
            </w:r>
          </w:p>
          <w:p w14:paraId="349FC7C9" w14:textId="77777777" w:rsidR="00212B50" w:rsidRPr="00C06F0A" w:rsidRDefault="00212B50" w:rsidP="00212B50">
            <w:pPr>
              <w:rPr>
                <w:b/>
                <w:color w:val="000000"/>
                <w:lang w:eastAsia="en-AU"/>
              </w:rPr>
            </w:pPr>
          </w:p>
        </w:tc>
        <w:tc>
          <w:tcPr>
            <w:tcW w:w="1701" w:type="dxa"/>
            <w:shd w:val="clear" w:color="auto" w:fill="auto"/>
          </w:tcPr>
          <w:p w14:paraId="70C03B3D" w14:textId="77777777" w:rsidR="00212B50" w:rsidRPr="00467864" w:rsidRDefault="00212B50" w:rsidP="00212B50">
            <w:pPr>
              <w:rPr>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tc>
      </w:tr>
    </w:tbl>
    <w:p w14:paraId="3265AF42" w14:textId="77777777" w:rsidR="008748E5" w:rsidRDefault="008748E5" w:rsidP="00744823">
      <w:bookmarkStart w:id="62" w:name="_Toc516577515"/>
      <w:bookmarkStart w:id="63" w:name="_Toc517355473"/>
      <w:bookmarkStart w:id="64" w:name="_Toc517363434"/>
      <w:bookmarkStart w:id="65" w:name="_Toc517871033"/>
      <w:bookmarkStart w:id="66" w:name="_Toc517967731"/>
      <w:bookmarkStart w:id="67" w:name="_Toc518304161"/>
    </w:p>
    <w:p w14:paraId="02014774" w14:textId="77777777" w:rsidR="000A1A75" w:rsidRDefault="000A1A75">
      <w:pPr>
        <w:spacing w:after="200"/>
        <w:rPr>
          <w:rFonts w:eastAsiaTheme="majorEastAsia" w:cstheme="majorBidi"/>
          <w:b/>
          <w:bCs/>
          <w:color w:val="403152" w:themeColor="accent4" w:themeShade="80"/>
          <w:sz w:val="28"/>
          <w:szCs w:val="26"/>
        </w:rPr>
      </w:pPr>
      <w:bookmarkStart w:id="68" w:name="_Toc518472410"/>
      <w:r>
        <w:rPr>
          <w:color w:val="403152" w:themeColor="accent4" w:themeShade="80"/>
        </w:rPr>
        <w:br w:type="page"/>
      </w:r>
    </w:p>
    <w:p w14:paraId="061EE3C4" w14:textId="77777777" w:rsidR="00CA5D91" w:rsidRPr="0025060F" w:rsidRDefault="00CA5D91" w:rsidP="00F61835">
      <w:pPr>
        <w:pStyle w:val="h4"/>
      </w:pPr>
      <w:r>
        <w:lastRenderedPageBreak/>
        <w:t>Safety and Wellbeing</w:t>
      </w:r>
      <w:bookmarkEnd w:id="62"/>
      <w:bookmarkEnd w:id="63"/>
      <w:bookmarkEnd w:id="64"/>
      <w:bookmarkEnd w:id="65"/>
      <w:bookmarkEnd w:id="66"/>
      <w:bookmarkEnd w:id="67"/>
      <w:bookmarkEnd w:id="6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and Wellbeing Program"/>
        <w:tblDescription w:val="This table includes a list of Safety and Wellbeing Program evaluations  and review topics and project descriptions. It also states the project start dates and expected completion dates."/>
      </w:tblPr>
      <w:tblGrid>
        <w:gridCol w:w="4531"/>
        <w:gridCol w:w="1985"/>
        <w:gridCol w:w="1559"/>
        <w:gridCol w:w="1701"/>
      </w:tblGrid>
      <w:tr w:rsidR="00CA5D91" w:rsidRPr="008654B9" w14:paraId="59D125DD" w14:textId="77777777" w:rsidTr="008748E5">
        <w:trPr>
          <w:cantSplit/>
          <w:trHeight w:val="476"/>
          <w:tblHeader/>
        </w:trPr>
        <w:tc>
          <w:tcPr>
            <w:tcW w:w="4531" w:type="dxa"/>
            <w:tcBorders>
              <w:left w:val="single" w:sz="4" w:space="0" w:color="auto"/>
            </w:tcBorders>
            <w:shd w:val="clear" w:color="auto" w:fill="BFBFBF" w:themeFill="background1" w:themeFillShade="BF"/>
            <w:hideMark/>
          </w:tcPr>
          <w:p w14:paraId="6A1499A4" w14:textId="77777777" w:rsidR="00CA5D91" w:rsidRPr="00B06EDE" w:rsidRDefault="00A26DAA" w:rsidP="008748E5">
            <w:pPr>
              <w:rPr>
                <w:b/>
                <w:lang w:eastAsia="en-AU"/>
              </w:rPr>
            </w:pPr>
            <w:r w:rsidRPr="00A26DAA">
              <w:rPr>
                <w:b/>
                <w:lang w:eastAsia="en-AU"/>
              </w:rPr>
              <w:t>Description</w:t>
            </w:r>
          </w:p>
        </w:tc>
        <w:tc>
          <w:tcPr>
            <w:tcW w:w="1985" w:type="dxa"/>
            <w:shd w:val="clear" w:color="auto" w:fill="BFBFBF" w:themeFill="background1" w:themeFillShade="BF"/>
          </w:tcPr>
          <w:p w14:paraId="33570555" w14:textId="77777777" w:rsidR="00CA5D91" w:rsidRPr="00B06EDE" w:rsidRDefault="00CA5D91" w:rsidP="008748E5">
            <w:pPr>
              <w:rPr>
                <w:b/>
                <w:lang w:eastAsia="en-AU"/>
              </w:rPr>
            </w:pPr>
            <w:r w:rsidRPr="00467864">
              <w:rPr>
                <w:b/>
                <w:lang w:eastAsia="en-AU"/>
              </w:rPr>
              <w:t xml:space="preserve">Type </w:t>
            </w:r>
          </w:p>
        </w:tc>
        <w:tc>
          <w:tcPr>
            <w:tcW w:w="1559" w:type="dxa"/>
            <w:shd w:val="clear" w:color="auto" w:fill="BFBFBF" w:themeFill="background1" w:themeFillShade="BF"/>
          </w:tcPr>
          <w:p w14:paraId="2C74537D" w14:textId="77777777" w:rsidR="00CA5D91" w:rsidRDefault="00CA5D91" w:rsidP="008748E5">
            <w:pPr>
              <w:rPr>
                <w:b/>
                <w:lang w:eastAsia="en-AU"/>
              </w:rPr>
            </w:pPr>
            <w:r>
              <w:rPr>
                <w:b/>
                <w:lang w:eastAsia="en-AU"/>
              </w:rPr>
              <w:t>Start</w:t>
            </w:r>
            <w:r w:rsidR="006C097B">
              <w:rPr>
                <w:b/>
                <w:lang w:eastAsia="en-AU"/>
              </w:rPr>
              <w:t xml:space="preserve"> Date</w:t>
            </w:r>
          </w:p>
        </w:tc>
        <w:tc>
          <w:tcPr>
            <w:tcW w:w="1701" w:type="dxa"/>
            <w:shd w:val="clear" w:color="auto" w:fill="BFBFBF" w:themeFill="background1" w:themeFillShade="BF"/>
          </w:tcPr>
          <w:p w14:paraId="05B3B270" w14:textId="77777777" w:rsidR="00CA5D91" w:rsidRPr="00467864" w:rsidRDefault="00CA5D91" w:rsidP="008748E5">
            <w:pPr>
              <w:rPr>
                <w:b/>
                <w:lang w:eastAsia="en-AU"/>
              </w:rPr>
            </w:pPr>
            <w:r>
              <w:rPr>
                <w:b/>
                <w:lang w:eastAsia="en-AU"/>
              </w:rPr>
              <w:t>Expected Completion</w:t>
            </w:r>
          </w:p>
        </w:tc>
      </w:tr>
      <w:tr w:rsidR="00212B50" w:rsidRPr="008654B9" w14:paraId="5BED9DA5" w14:textId="77777777" w:rsidTr="009D6D07">
        <w:trPr>
          <w:trHeight w:val="2175"/>
        </w:trPr>
        <w:tc>
          <w:tcPr>
            <w:tcW w:w="4531" w:type="dxa"/>
            <w:tcBorders>
              <w:left w:val="single" w:sz="4" w:space="0" w:color="auto"/>
            </w:tcBorders>
            <w:shd w:val="clear" w:color="auto" w:fill="auto"/>
          </w:tcPr>
          <w:p w14:paraId="47A66B72" w14:textId="77777777" w:rsidR="00212B50" w:rsidRPr="00C2670F" w:rsidRDefault="00212B50" w:rsidP="00212B50">
            <w:pPr>
              <w:rPr>
                <w:b/>
              </w:rPr>
            </w:pPr>
            <w:r w:rsidRPr="00C2670F">
              <w:rPr>
                <w:b/>
              </w:rPr>
              <w:t xml:space="preserve">Alcohol and </w:t>
            </w:r>
            <w:r>
              <w:rPr>
                <w:b/>
              </w:rPr>
              <w:t>O</w:t>
            </w:r>
            <w:r w:rsidRPr="00C2670F">
              <w:rPr>
                <w:b/>
              </w:rPr>
              <w:t xml:space="preserve">ther </w:t>
            </w:r>
            <w:r>
              <w:rPr>
                <w:b/>
              </w:rPr>
              <w:t>D</w:t>
            </w:r>
            <w:r w:rsidRPr="00C2670F">
              <w:rPr>
                <w:b/>
              </w:rPr>
              <w:t xml:space="preserve">rug </w:t>
            </w:r>
            <w:r>
              <w:rPr>
                <w:b/>
              </w:rPr>
              <w:t>T</w:t>
            </w:r>
            <w:r w:rsidRPr="00C2670F">
              <w:rPr>
                <w:b/>
              </w:rPr>
              <w:t xml:space="preserve">reatment </w:t>
            </w:r>
            <w:r>
              <w:rPr>
                <w:b/>
              </w:rPr>
              <w:t>S</w:t>
            </w:r>
            <w:r w:rsidRPr="00C2670F">
              <w:rPr>
                <w:b/>
              </w:rPr>
              <w:t>ervices</w:t>
            </w:r>
          </w:p>
          <w:p w14:paraId="5674DE49" w14:textId="77777777" w:rsidR="00212B50" w:rsidRDefault="00212B50" w:rsidP="00A51E7F">
            <w:pPr>
              <w:rPr>
                <w:b/>
                <w:color w:val="000000"/>
                <w:lang w:eastAsia="en-AU"/>
              </w:rPr>
            </w:pPr>
            <w:r>
              <w:t>This impact evaluation is working with treatment services in NSW to embed evaluation capacity into services, quantify the impact of a model of follow</w:t>
            </w:r>
            <w:r w:rsidR="00FA00DC">
              <w:t>-</w:t>
            </w:r>
            <w:r>
              <w:t>up care on the health and social outcomes of clients</w:t>
            </w:r>
            <w:r w:rsidR="00FA00DC">
              <w:t>,</w:t>
            </w:r>
            <w:r>
              <w:t xml:space="preserve"> and quantify the costs and benefits of services</w:t>
            </w:r>
            <w:r w:rsidR="00A51E7F">
              <w:t>.</w:t>
            </w:r>
            <w:r>
              <w:t xml:space="preserve"> </w:t>
            </w:r>
          </w:p>
        </w:tc>
        <w:tc>
          <w:tcPr>
            <w:tcW w:w="1985" w:type="dxa"/>
          </w:tcPr>
          <w:p w14:paraId="5C80899C" w14:textId="77777777" w:rsidR="00212B50" w:rsidRDefault="00212B50" w:rsidP="00212B50">
            <w:pPr>
              <w:rPr>
                <w:color w:val="000000"/>
                <w:lang w:eastAsia="en-AU"/>
              </w:rPr>
            </w:pPr>
            <w:r>
              <w:rPr>
                <w:color w:val="000000"/>
                <w:lang w:eastAsia="en-AU"/>
              </w:rPr>
              <w:t>Evaluation</w:t>
            </w:r>
          </w:p>
        </w:tc>
        <w:tc>
          <w:tcPr>
            <w:tcW w:w="1559" w:type="dxa"/>
          </w:tcPr>
          <w:p w14:paraId="4A2BFF83" w14:textId="77777777" w:rsidR="00212B50" w:rsidRDefault="00212B50" w:rsidP="00212B50">
            <w:pPr>
              <w:rPr>
                <w:b/>
                <w:color w:val="000000"/>
                <w:lang w:eastAsia="en-AU"/>
              </w:rPr>
            </w:pPr>
            <w:r>
              <w:rPr>
                <w:color w:val="000000"/>
                <w:lang w:eastAsia="en-AU"/>
              </w:rPr>
              <w:t>2017</w:t>
            </w:r>
            <w:r w:rsidR="0056600C">
              <w:rPr>
                <w:rFonts w:ascii="Arial" w:hAnsi="Arial" w:cs="Arial"/>
                <w:color w:val="434343"/>
                <w:sz w:val="21"/>
                <w:szCs w:val="21"/>
              </w:rPr>
              <w:t>–</w:t>
            </w:r>
            <w:r>
              <w:rPr>
                <w:color w:val="000000"/>
                <w:lang w:eastAsia="en-AU"/>
              </w:rPr>
              <w:t>18</w:t>
            </w:r>
          </w:p>
          <w:p w14:paraId="14F61644" w14:textId="77777777" w:rsidR="00212B50" w:rsidRPr="00A40355" w:rsidRDefault="00212B50" w:rsidP="00212B50">
            <w:pPr>
              <w:rPr>
                <w:color w:val="000000"/>
                <w:lang w:eastAsia="en-AU"/>
              </w:rPr>
            </w:pPr>
          </w:p>
        </w:tc>
        <w:tc>
          <w:tcPr>
            <w:tcW w:w="1701" w:type="dxa"/>
          </w:tcPr>
          <w:p w14:paraId="3FC0E1BB" w14:textId="77777777" w:rsidR="00212B50" w:rsidRDefault="00212B50" w:rsidP="00212B50">
            <w:pPr>
              <w:rPr>
                <w:b/>
                <w:color w:val="000000"/>
                <w:lang w:eastAsia="en-AU"/>
              </w:rPr>
            </w:pPr>
            <w:r>
              <w:rPr>
                <w:color w:val="000000"/>
                <w:lang w:eastAsia="en-AU"/>
              </w:rPr>
              <w:t>2020</w:t>
            </w:r>
            <w:r w:rsidR="0056600C">
              <w:rPr>
                <w:rFonts w:ascii="Arial" w:hAnsi="Arial" w:cs="Arial"/>
                <w:color w:val="434343"/>
                <w:sz w:val="21"/>
                <w:szCs w:val="21"/>
              </w:rPr>
              <w:t>–</w:t>
            </w:r>
            <w:r>
              <w:rPr>
                <w:color w:val="000000"/>
                <w:lang w:eastAsia="en-AU"/>
              </w:rPr>
              <w:t>21</w:t>
            </w:r>
          </w:p>
          <w:p w14:paraId="65A09128" w14:textId="77777777" w:rsidR="00212B50" w:rsidRPr="00A40355" w:rsidRDefault="00212B50" w:rsidP="00212B50">
            <w:pPr>
              <w:rPr>
                <w:color w:val="000000"/>
                <w:lang w:eastAsia="en-AU"/>
              </w:rPr>
            </w:pPr>
          </w:p>
        </w:tc>
      </w:tr>
      <w:tr w:rsidR="00026731" w:rsidRPr="008654B9" w14:paraId="67007091" w14:textId="77777777" w:rsidTr="00026731">
        <w:trPr>
          <w:trHeight w:val="1485"/>
        </w:trPr>
        <w:tc>
          <w:tcPr>
            <w:tcW w:w="4531" w:type="dxa"/>
            <w:tcBorders>
              <w:left w:val="single" w:sz="4" w:space="0" w:color="auto"/>
            </w:tcBorders>
            <w:shd w:val="clear" w:color="auto" w:fill="auto"/>
          </w:tcPr>
          <w:p w14:paraId="45C5B548" w14:textId="77777777" w:rsidR="00026731" w:rsidRPr="002B7FB0" w:rsidRDefault="00026731" w:rsidP="00026731">
            <w:pPr>
              <w:rPr>
                <w:b/>
                <w:color w:val="000000"/>
                <w:lang w:eastAsia="en-AU"/>
              </w:rPr>
            </w:pPr>
            <w:r>
              <w:rPr>
                <w:b/>
                <w:color w:val="000000"/>
                <w:lang w:eastAsia="en-AU"/>
              </w:rPr>
              <w:t>Family Violence Prevention Legal Services</w:t>
            </w:r>
            <w:r w:rsidR="009D6D07">
              <w:rPr>
                <w:b/>
                <w:color w:val="000000"/>
                <w:lang w:eastAsia="en-AU"/>
              </w:rPr>
              <w:t xml:space="preserve"> (FVPLS)</w:t>
            </w:r>
          </w:p>
          <w:p w14:paraId="4CC86C0A" w14:textId="77777777" w:rsidR="00026731" w:rsidRDefault="00026731">
            <w:pPr>
              <w:rPr>
                <w:b/>
                <w:color w:val="000000"/>
                <w:lang w:eastAsia="en-AU"/>
              </w:rPr>
            </w:pPr>
            <w:r w:rsidRPr="009D6D07">
              <w:rPr>
                <w:rFonts w:cs="Calibri Light"/>
                <w:lang w:eastAsia="en-AU"/>
              </w:rPr>
              <w:t xml:space="preserve">This impact evaluation will </w:t>
            </w:r>
            <w:r w:rsidR="005A07AA" w:rsidRPr="005A07AA">
              <w:rPr>
                <w:rFonts w:cs="Calibri Light"/>
                <w:lang w:eastAsia="en-AU"/>
              </w:rPr>
              <w:t>assess if the FVPLS activity is improving access to justice</w:t>
            </w:r>
            <w:r w:rsidR="00623649">
              <w:rPr>
                <w:rFonts w:cs="Calibri Light"/>
                <w:lang w:eastAsia="en-AU"/>
              </w:rPr>
              <w:t>,</w:t>
            </w:r>
            <w:r w:rsidR="005A07AA" w:rsidRPr="005A07AA">
              <w:rPr>
                <w:rFonts w:cs="Calibri Light"/>
                <w:lang w:eastAsia="en-AU"/>
              </w:rPr>
              <w:t xml:space="preserve"> increasing safety outcomes and empowering Aboriginal and</w:t>
            </w:r>
            <w:r w:rsidR="005A07AA">
              <w:rPr>
                <w:rFonts w:cs="Calibri Light"/>
                <w:lang w:eastAsia="en-AU"/>
              </w:rPr>
              <w:t xml:space="preserve"> Torres Strait Islander </w:t>
            </w:r>
            <w:r w:rsidR="005A07AA" w:rsidRPr="005A07AA">
              <w:rPr>
                <w:rFonts w:cs="Calibri Light"/>
                <w:lang w:eastAsia="en-AU"/>
              </w:rPr>
              <w:t>survivors to manage the impact of family violence in their lives.</w:t>
            </w:r>
          </w:p>
        </w:tc>
        <w:tc>
          <w:tcPr>
            <w:tcW w:w="1985" w:type="dxa"/>
          </w:tcPr>
          <w:p w14:paraId="3FE59027" w14:textId="77777777" w:rsidR="00026731" w:rsidRDefault="00026731" w:rsidP="00026731">
            <w:pPr>
              <w:rPr>
                <w:color w:val="000000"/>
                <w:lang w:eastAsia="en-AU"/>
              </w:rPr>
            </w:pPr>
            <w:r>
              <w:rPr>
                <w:color w:val="000000"/>
                <w:lang w:eastAsia="en-AU"/>
              </w:rPr>
              <w:t>Evaluation</w:t>
            </w:r>
          </w:p>
        </w:tc>
        <w:tc>
          <w:tcPr>
            <w:tcW w:w="1559" w:type="dxa"/>
          </w:tcPr>
          <w:p w14:paraId="64D7FDCF" w14:textId="77777777" w:rsidR="00026731" w:rsidRPr="00A40355" w:rsidRDefault="00026731" w:rsidP="00026731">
            <w:pPr>
              <w:rPr>
                <w:color w:val="000000"/>
                <w:lang w:eastAsia="en-AU"/>
              </w:rPr>
            </w:pPr>
            <w:r w:rsidRPr="00CF45A4">
              <w:rPr>
                <w:color w:val="000000"/>
                <w:lang w:eastAsia="en-AU"/>
              </w:rPr>
              <w:t>2017</w:t>
            </w:r>
            <w:r w:rsidR="0056600C">
              <w:rPr>
                <w:rFonts w:ascii="Arial" w:hAnsi="Arial" w:cs="Arial"/>
                <w:color w:val="434343"/>
                <w:sz w:val="21"/>
                <w:szCs w:val="21"/>
              </w:rPr>
              <w:t>–</w:t>
            </w:r>
            <w:r w:rsidRPr="00CF45A4">
              <w:rPr>
                <w:color w:val="000000"/>
                <w:lang w:eastAsia="en-AU"/>
              </w:rPr>
              <w:t>18</w:t>
            </w:r>
          </w:p>
        </w:tc>
        <w:tc>
          <w:tcPr>
            <w:tcW w:w="1701" w:type="dxa"/>
          </w:tcPr>
          <w:p w14:paraId="4D30DFA4" w14:textId="77777777" w:rsidR="00026731" w:rsidRPr="00A40355" w:rsidRDefault="00026731" w:rsidP="00026731">
            <w:pPr>
              <w:rPr>
                <w:color w:val="000000"/>
                <w:lang w:eastAsia="en-AU"/>
              </w:rPr>
            </w:pPr>
            <w:r w:rsidRPr="00CF45A4">
              <w:rPr>
                <w:color w:val="000000"/>
                <w:lang w:eastAsia="en-AU"/>
              </w:rPr>
              <w:t>2018</w:t>
            </w:r>
            <w:r w:rsidR="0056600C">
              <w:rPr>
                <w:rFonts w:ascii="Arial" w:hAnsi="Arial" w:cs="Arial"/>
                <w:color w:val="434343"/>
                <w:sz w:val="21"/>
                <w:szCs w:val="21"/>
              </w:rPr>
              <w:t>–</w:t>
            </w:r>
            <w:r w:rsidRPr="00CF45A4">
              <w:rPr>
                <w:color w:val="000000"/>
                <w:lang w:eastAsia="en-AU"/>
              </w:rPr>
              <w:t>19</w:t>
            </w:r>
          </w:p>
        </w:tc>
      </w:tr>
      <w:tr w:rsidR="00026731" w:rsidRPr="008654B9" w14:paraId="5E49C507" w14:textId="77777777" w:rsidTr="009D6D07">
        <w:trPr>
          <w:trHeight w:val="1669"/>
        </w:trPr>
        <w:tc>
          <w:tcPr>
            <w:tcW w:w="4531" w:type="dxa"/>
            <w:tcBorders>
              <w:left w:val="single" w:sz="4" w:space="0" w:color="auto"/>
            </w:tcBorders>
            <w:shd w:val="clear" w:color="auto" w:fill="auto"/>
          </w:tcPr>
          <w:p w14:paraId="16EB4A4A" w14:textId="77777777" w:rsidR="00026731" w:rsidRPr="0025060F" w:rsidRDefault="00026731" w:rsidP="00026731">
            <w:pPr>
              <w:rPr>
                <w:b/>
                <w:color w:val="000000"/>
                <w:lang w:eastAsia="en-AU"/>
              </w:rPr>
            </w:pPr>
            <w:r>
              <w:rPr>
                <w:b/>
                <w:color w:val="000000"/>
                <w:lang w:eastAsia="en-AU"/>
              </w:rPr>
              <w:t>Link Up Services Program</w:t>
            </w:r>
          </w:p>
          <w:p w14:paraId="5B8DA3AA" w14:textId="77777777" w:rsidR="00026731" w:rsidRDefault="00026731">
            <w:pPr>
              <w:rPr>
                <w:b/>
                <w:color w:val="000000"/>
                <w:lang w:eastAsia="en-AU"/>
              </w:rPr>
            </w:pPr>
            <w:r>
              <w:rPr>
                <w:rFonts w:cs="Calibri Light"/>
              </w:rPr>
              <w:t xml:space="preserve">This impact </w:t>
            </w:r>
            <w:r w:rsidRPr="00F3067F">
              <w:rPr>
                <w:rFonts w:cs="Calibri Light"/>
              </w:rPr>
              <w:t>evaluation</w:t>
            </w:r>
            <w:r>
              <w:rPr>
                <w:rFonts w:cs="Calibri Light"/>
              </w:rPr>
              <w:t xml:space="preserve"> </w:t>
            </w:r>
            <w:r w:rsidRPr="00F3067F">
              <w:rPr>
                <w:rFonts w:cs="Calibri Light"/>
              </w:rPr>
              <w:t>will consider</w:t>
            </w:r>
            <w:r w:rsidR="00FA00DC">
              <w:rPr>
                <w:rFonts w:cs="Calibri Light"/>
              </w:rPr>
              <w:t xml:space="preserve"> the</w:t>
            </w:r>
            <w:r w:rsidRPr="00F3067F">
              <w:rPr>
                <w:rFonts w:cs="Calibri Light"/>
              </w:rPr>
              <w:t xml:space="preserve"> need and the impact of healing, wellbeing and resilience</w:t>
            </w:r>
            <w:r w:rsidR="00623649">
              <w:rPr>
                <w:rFonts w:cs="Calibri Light"/>
              </w:rPr>
              <w:noBreakHyphen/>
            </w:r>
            <w:r w:rsidRPr="00F3067F">
              <w:rPr>
                <w:rFonts w:cs="Calibri Light"/>
              </w:rPr>
              <w:t xml:space="preserve">building programs and connections to family, community and culture. </w:t>
            </w:r>
          </w:p>
        </w:tc>
        <w:tc>
          <w:tcPr>
            <w:tcW w:w="1985" w:type="dxa"/>
          </w:tcPr>
          <w:p w14:paraId="63CCA618" w14:textId="77777777" w:rsidR="00026731" w:rsidRDefault="00026731" w:rsidP="00026731">
            <w:pPr>
              <w:rPr>
                <w:color w:val="000000"/>
                <w:lang w:eastAsia="en-AU"/>
              </w:rPr>
            </w:pPr>
            <w:r>
              <w:rPr>
                <w:color w:val="000000"/>
                <w:lang w:eastAsia="en-AU"/>
              </w:rPr>
              <w:t>Evaluation</w:t>
            </w:r>
          </w:p>
        </w:tc>
        <w:tc>
          <w:tcPr>
            <w:tcW w:w="1559" w:type="dxa"/>
          </w:tcPr>
          <w:p w14:paraId="3D0CD1CB" w14:textId="77777777" w:rsidR="00026731" w:rsidRPr="00A40355" w:rsidRDefault="00026731" w:rsidP="00026731">
            <w:pPr>
              <w:rPr>
                <w:b/>
                <w:color w:val="000000"/>
                <w:lang w:eastAsia="en-AU"/>
              </w:rPr>
            </w:pPr>
            <w:r w:rsidRPr="00A40355">
              <w:rPr>
                <w:color w:val="000000"/>
                <w:lang w:eastAsia="en-AU"/>
              </w:rPr>
              <w:t>2018</w:t>
            </w:r>
            <w:r w:rsidR="0056600C">
              <w:rPr>
                <w:rFonts w:ascii="Arial" w:hAnsi="Arial" w:cs="Arial"/>
                <w:color w:val="434343"/>
                <w:sz w:val="21"/>
                <w:szCs w:val="21"/>
              </w:rPr>
              <w:t>–</w:t>
            </w:r>
            <w:r w:rsidRPr="00A40355">
              <w:rPr>
                <w:color w:val="000000"/>
                <w:lang w:eastAsia="en-AU"/>
              </w:rPr>
              <w:t>19</w:t>
            </w:r>
          </w:p>
          <w:p w14:paraId="2FD921E1" w14:textId="77777777" w:rsidR="00026731" w:rsidRPr="00A40355" w:rsidRDefault="00026731" w:rsidP="00026731">
            <w:pPr>
              <w:rPr>
                <w:color w:val="000000"/>
                <w:lang w:eastAsia="en-AU"/>
              </w:rPr>
            </w:pPr>
          </w:p>
        </w:tc>
        <w:tc>
          <w:tcPr>
            <w:tcW w:w="1701" w:type="dxa"/>
          </w:tcPr>
          <w:p w14:paraId="37F57301" w14:textId="77777777" w:rsidR="00026731" w:rsidRPr="00A40355" w:rsidRDefault="00026731" w:rsidP="00026731">
            <w:pPr>
              <w:rPr>
                <w:color w:val="000000"/>
                <w:lang w:eastAsia="en-AU"/>
              </w:rPr>
            </w:pPr>
            <w:r w:rsidRPr="00A40355">
              <w:rPr>
                <w:color w:val="000000"/>
                <w:lang w:eastAsia="en-AU"/>
              </w:rPr>
              <w:t>2020</w:t>
            </w:r>
            <w:r w:rsidR="0056600C">
              <w:rPr>
                <w:rFonts w:ascii="Arial" w:hAnsi="Arial" w:cs="Arial"/>
                <w:color w:val="434343"/>
                <w:sz w:val="21"/>
                <w:szCs w:val="21"/>
              </w:rPr>
              <w:t>–</w:t>
            </w:r>
            <w:r w:rsidRPr="00A40355">
              <w:rPr>
                <w:color w:val="000000"/>
                <w:lang w:eastAsia="en-AU"/>
              </w:rPr>
              <w:t>21</w:t>
            </w:r>
          </w:p>
        </w:tc>
      </w:tr>
      <w:tr w:rsidR="00026731" w:rsidRPr="008654B9" w14:paraId="4AFC4A1B" w14:textId="77777777" w:rsidTr="009D6D07">
        <w:trPr>
          <w:trHeight w:val="1835"/>
        </w:trPr>
        <w:tc>
          <w:tcPr>
            <w:tcW w:w="4531" w:type="dxa"/>
            <w:tcBorders>
              <w:left w:val="single" w:sz="4" w:space="0" w:color="auto"/>
            </w:tcBorders>
            <w:shd w:val="clear" w:color="auto" w:fill="auto"/>
          </w:tcPr>
          <w:p w14:paraId="4F188B50" w14:textId="77777777" w:rsidR="00026731" w:rsidRDefault="00026731" w:rsidP="00026731">
            <w:pPr>
              <w:rPr>
                <w:b/>
                <w:color w:val="000000"/>
                <w:lang w:eastAsia="en-AU"/>
              </w:rPr>
            </w:pPr>
            <w:r>
              <w:rPr>
                <w:b/>
                <w:color w:val="000000"/>
                <w:lang w:eastAsia="en-AU"/>
              </w:rPr>
              <w:t>National Indigenous Critical Response Service</w:t>
            </w:r>
          </w:p>
          <w:p w14:paraId="7BA559DF" w14:textId="77777777" w:rsidR="00026731" w:rsidRDefault="00026731" w:rsidP="00A51E7F">
            <w:pPr>
              <w:rPr>
                <w:b/>
                <w:color w:val="000000"/>
                <w:lang w:eastAsia="en-AU"/>
              </w:rPr>
            </w:pPr>
            <w:r>
              <w:rPr>
                <w:rFonts w:cs="Calibri Light"/>
              </w:rPr>
              <w:t>This</w:t>
            </w:r>
            <w:r w:rsidRPr="00F3067F">
              <w:rPr>
                <w:rFonts w:cs="Calibri Light"/>
              </w:rPr>
              <w:t xml:space="preserve"> </w:t>
            </w:r>
            <w:r>
              <w:rPr>
                <w:rFonts w:cs="Calibri Light"/>
              </w:rPr>
              <w:t>evaluation</w:t>
            </w:r>
            <w:r w:rsidRPr="00F3067F">
              <w:rPr>
                <w:rFonts w:cs="Calibri Light"/>
              </w:rPr>
              <w:t xml:space="preserve"> will a</w:t>
            </w:r>
            <w:r w:rsidR="00A51E7F">
              <w:rPr>
                <w:rFonts w:cs="Calibri Light"/>
              </w:rPr>
              <w:t xml:space="preserve">ssess the effectiveness of the </w:t>
            </w:r>
            <w:r w:rsidR="00A51E7F" w:rsidRPr="00A51E7F">
              <w:rPr>
                <w:rFonts w:cs="Calibri Light"/>
              </w:rPr>
              <w:t>National Indigenous Critical Response Service</w:t>
            </w:r>
            <w:r w:rsidRPr="00F3067F">
              <w:rPr>
                <w:rFonts w:cs="Calibri Light"/>
              </w:rPr>
              <w:t xml:space="preserve"> in providing culturally appropriate support to Aboriginal and Torres Strait Islander people affected by suicide-related or other trauma.</w:t>
            </w:r>
          </w:p>
        </w:tc>
        <w:tc>
          <w:tcPr>
            <w:tcW w:w="1985" w:type="dxa"/>
          </w:tcPr>
          <w:p w14:paraId="1175A9BD" w14:textId="77777777" w:rsidR="00026731" w:rsidRDefault="00026731" w:rsidP="00026731">
            <w:pPr>
              <w:rPr>
                <w:color w:val="000000"/>
                <w:lang w:eastAsia="en-AU"/>
              </w:rPr>
            </w:pPr>
            <w:r w:rsidRPr="000B2FFE">
              <w:rPr>
                <w:color w:val="000000"/>
                <w:lang w:eastAsia="en-AU"/>
              </w:rPr>
              <w:t>Evaluation</w:t>
            </w:r>
          </w:p>
        </w:tc>
        <w:tc>
          <w:tcPr>
            <w:tcW w:w="1559" w:type="dxa"/>
          </w:tcPr>
          <w:p w14:paraId="69FD7686" w14:textId="77777777" w:rsidR="00026731" w:rsidRDefault="00026731" w:rsidP="00026731">
            <w:pPr>
              <w:rPr>
                <w:b/>
                <w:color w:val="000000"/>
                <w:lang w:eastAsia="en-AU"/>
              </w:rPr>
            </w:pPr>
            <w:r>
              <w:rPr>
                <w:color w:val="000000"/>
                <w:lang w:eastAsia="en-AU"/>
              </w:rPr>
              <w:t>2017</w:t>
            </w:r>
            <w:r w:rsidR="0056600C">
              <w:rPr>
                <w:rFonts w:ascii="Arial" w:hAnsi="Arial" w:cs="Arial"/>
                <w:color w:val="434343"/>
                <w:sz w:val="21"/>
                <w:szCs w:val="21"/>
              </w:rPr>
              <w:t>–</w:t>
            </w:r>
            <w:r>
              <w:rPr>
                <w:color w:val="000000"/>
                <w:lang w:eastAsia="en-AU"/>
              </w:rPr>
              <w:t>18</w:t>
            </w:r>
          </w:p>
          <w:p w14:paraId="3BB8DBBB" w14:textId="77777777" w:rsidR="00026731" w:rsidRPr="00A40355" w:rsidRDefault="00026731" w:rsidP="00026731">
            <w:pPr>
              <w:rPr>
                <w:color w:val="000000"/>
                <w:lang w:eastAsia="en-AU"/>
              </w:rPr>
            </w:pPr>
          </w:p>
        </w:tc>
        <w:tc>
          <w:tcPr>
            <w:tcW w:w="1701" w:type="dxa"/>
          </w:tcPr>
          <w:p w14:paraId="3DD261BC" w14:textId="77777777" w:rsidR="00026731" w:rsidRPr="00A40355" w:rsidRDefault="00026731" w:rsidP="00026731">
            <w:pPr>
              <w:rPr>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tc>
      </w:tr>
      <w:tr w:rsidR="00026731" w:rsidRPr="008654B9" w14:paraId="25143CED" w14:textId="77777777" w:rsidTr="00166B4E">
        <w:trPr>
          <w:trHeight w:val="1537"/>
        </w:trPr>
        <w:tc>
          <w:tcPr>
            <w:tcW w:w="4531" w:type="dxa"/>
            <w:tcBorders>
              <w:left w:val="single" w:sz="4" w:space="0" w:color="auto"/>
            </w:tcBorders>
            <w:shd w:val="clear" w:color="auto" w:fill="auto"/>
          </w:tcPr>
          <w:p w14:paraId="4BB3BB5C" w14:textId="77777777" w:rsidR="00026731" w:rsidRPr="00390FB4" w:rsidRDefault="00026731" w:rsidP="00026731">
            <w:pPr>
              <w:rPr>
                <w:b/>
                <w:color w:val="000000"/>
                <w:lang w:eastAsia="en-AU"/>
              </w:rPr>
            </w:pPr>
            <w:r w:rsidRPr="00390FB4">
              <w:rPr>
                <w:b/>
                <w:color w:val="000000"/>
                <w:lang w:eastAsia="en-AU"/>
              </w:rPr>
              <w:t xml:space="preserve">Petrol </w:t>
            </w:r>
            <w:r>
              <w:rPr>
                <w:b/>
                <w:color w:val="000000"/>
                <w:lang w:eastAsia="en-AU"/>
              </w:rPr>
              <w:t>S</w:t>
            </w:r>
            <w:r w:rsidRPr="00390FB4">
              <w:rPr>
                <w:b/>
                <w:color w:val="000000"/>
                <w:lang w:eastAsia="en-AU"/>
              </w:rPr>
              <w:t>niffing</w:t>
            </w:r>
          </w:p>
          <w:p w14:paraId="49279230" w14:textId="77777777" w:rsidR="00026731" w:rsidRDefault="00026731" w:rsidP="00026731">
            <w:pPr>
              <w:rPr>
                <w:b/>
                <w:color w:val="000000"/>
                <w:lang w:eastAsia="en-AU"/>
              </w:rPr>
            </w:pPr>
            <w:r>
              <w:rPr>
                <w:rFonts w:cs="Calibri Light"/>
                <w:lang w:eastAsia="en-AU"/>
              </w:rPr>
              <w:t>This review involves a l</w:t>
            </w:r>
            <w:r w:rsidRPr="00F3067F">
              <w:rPr>
                <w:rFonts w:cs="Calibri Light"/>
                <w:lang w:eastAsia="en-AU"/>
              </w:rPr>
              <w:t>ongitudinal study</w:t>
            </w:r>
            <w:r>
              <w:rPr>
                <w:rFonts w:cs="Calibri Light"/>
                <w:lang w:eastAsia="en-AU"/>
              </w:rPr>
              <w:t xml:space="preserve"> to</w:t>
            </w:r>
            <w:r w:rsidRPr="00F3067F">
              <w:rPr>
                <w:rFonts w:cs="Calibri Light"/>
                <w:lang w:eastAsia="en-AU"/>
              </w:rPr>
              <w:t xml:space="preserve"> examin</w:t>
            </w:r>
            <w:r>
              <w:rPr>
                <w:rFonts w:cs="Calibri Light"/>
                <w:lang w:eastAsia="en-AU"/>
              </w:rPr>
              <w:t>e</w:t>
            </w:r>
            <w:r w:rsidRPr="00F3067F">
              <w:rPr>
                <w:rFonts w:cs="Calibri Light"/>
                <w:lang w:eastAsia="en-AU"/>
              </w:rPr>
              <w:t xml:space="preserve"> the prevalence of petrol sniffing and other substance misuse in selected remote communities.</w:t>
            </w:r>
          </w:p>
        </w:tc>
        <w:tc>
          <w:tcPr>
            <w:tcW w:w="1985" w:type="dxa"/>
          </w:tcPr>
          <w:p w14:paraId="0E200625" w14:textId="77777777" w:rsidR="00026731" w:rsidRPr="007530CE" w:rsidRDefault="00026731" w:rsidP="00026731">
            <w:pPr>
              <w:rPr>
                <w:b/>
                <w:color w:val="000000"/>
                <w:lang w:eastAsia="en-AU"/>
              </w:rPr>
            </w:pPr>
            <w:r w:rsidRPr="0077092D">
              <w:rPr>
                <w:color w:val="000000"/>
                <w:lang w:eastAsia="en-AU"/>
              </w:rPr>
              <w:t>Review</w:t>
            </w:r>
          </w:p>
          <w:p w14:paraId="7D987096" w14:textId="77777777" w:rsidR="00026731" w:rsidRDefault="00026731" w:rsidP="00026731">
            <w:pPr>
              <w:rPr>
                <w:color w:val="000000"/>
                <w:lang w:eastAsia="en-AU"/>
              </w:rPr>
            </w:pPr>
          </w:p>
        </w:tc>
        <w:tc>
          <w:tcPr>
            <w:tcW w:w="1559" w:type="dxa"/>
          </w:tcPr>
          <w:p w14:paraId="5C241EB4" w14:textId="77777777" w:rsidR="00026731" w:rsidRDefault="00026731" w:rsidP="00026731">
            <w:pPr>
              <w:rPr>
                <w:b/>
                <w:color w:val="000000"/>
                <w:lang w:eastAsia="en-AU"/>
              </w:rPr>
            </w:pPr>
            <w:r>
              <w:rPr>
                <w:color w:val="000000"/>
                <w:lang w:eastAsia="en-AU"/>
              </w:rPr>
              <w:t>2017</w:t>
            </w:r>
            <w:r w:rsidR="0056600C">
              <w:rPr>
                <w:rFonts w:ascii="Arial" w:hAnsi="Arial" w:cs="Arial"/>
                <w:color w:val="434343"/>
                <w:sz w:val="21"/>
                <w:szCs w:val="21"/>
              </w:rPr>
              <w:t>–</w:t>
            </w:r>
            <w:r>
              <w:rPr>
                <w:color w:val="000000"/>
                <w:lang w:eastAsia="en-AU"/>
              </w:rPr>
              <w:t>18</w:t>
            </w:r>
          </w:p>
          <w:p w14:paraId="70BAD51A" w14:textId="77777777" w:rsidR="00026731" w:rsidRPr="00A40355" w:rsidRDefault="00026731" w:rsidP="00026731">
            <w:pPr>
              <w:rPr>
                <w:color w:val="000000"/>
                <w:lang w:eastAsia="en-AU"/>
              </w:rPr>
            </w:pPr>
          </w:p>
        </w:tc>
        <w:tc>
          <w:tcPr>
            <w:tcW w:w="1701" w:type="dxa"/>
          </w:tcPr>
          <w:p w14:paraId="4A8E2DFF" w14:textId="77777777" w:rsidR="00026731" w:rsidRDefault="00026731" w:rsidP="00026731">
            <w:pPr>
              <w:rPr>
                <w:b/>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p w14:paraId="4B876AAD" w14:textId="77777777" w:rsidR="00026731" w:rsidRPr="00A40355" w:rsidRDefault="00026731" w:rsidP="00026731">
            <w:pPr>
              <w:rPr>
                <w:color w:val="000000"/>
                <w:lang w:eastAsia="en-AU"/>
              </w:rPr>
            </w:pPr>
          </w:p>
        </w:tc>
      </w:tr>
      <w:tr w:rsidR="00026731" w:rsidRPr="008654B9" w14:paraId="3BD9B339" w14:textId="77777777" w:rsidTr="008748E5">
        <w:trPr>
          <w:trHeight w:val="2384"/>
        </w:trPr>
        <w:tc>
          <w:tcPr>
            <w:tcW w:w="4531" w:type="dxa"/>
            <w:tcBorders>
              <w:left w:val="single" w:sz="4" w:space="0" w:color="auto"/>
            </w:tcBorders>
            <w:shd w:val="clear" w:color="auto" w:fill="auto"/>
            <w:vAlign w:val="center"/>
          </w:tcPr>
          <w:p w14:paraId="14720DEB" w14:textId="77777777" w:rsidR="00026731" w:rsidRPr="00E17F1A" w:rsidRDefault="00026731" w:rsidP="00026731">
            <w:pPr>
              <w:rPr>
                <w:b/>
                <w:color w:val="000000"/>
                <w:lang w:eastAsia="en-AU"/>
              </w:rPr>
            </w:pPr>
            <w:r w:rsidRPr="00E17F1A">
              <w:rPr>
                <w:b/>
                <w:color w:val="00B050"/>
                <w:lang w:eastAsia="en-AU"/>
              </w:rPr>
              <w:t xml:space="preserve">NEW </w:t>
            </w:r>
            <w:r>
              <w:rPr>
                <w:b/>
                <w:color w:val="000000"/>
                <w:lang w:eastAsia="en-AU"/>
              </w:rPr>
              <w:t>Social and Emotional Wellbeing Investment</w:t>
            </w:r>
            <w:r w:rsidR="00623649">
              <w:rPr>
                <w:b/>
                <w:color w:val="000000"/>
                <w:lang w:eastAsia="en-AU"/>
              </w:rPr>
              <w:t> </w:t>
            </w:r>
          </w:p>
          <w:p w14:paraId="768C9E39" w14:textId="77777777" w:rsidR="00026731" w:rsidRDefault="00026731" w:rsidP="00A51E7F">
            <w:pPr>
              <w:rPr>
                <w:b/>
                <w:color w:val="000000"/>
                <w:lang w:eastAsia="en-AU"/>
              </w:rPr>
            </w:pPr>
            <w:r w:rsidRPr="00987723">
              <w:t xml:space="preserve">This impact evaluation of </w:t>
            </w:r>
            <w:r>
              <w:t xml:space="preserve">four </w:t>
            </w:r>
            <w:r w:rsidRPr="005B3FAF">
              <w:t>social and emotional wellbeing</w:t>
            </w:r>
            <w:r w:rsidRPr="00987723">
              <w:t xml:space="preserve"> (SEWB) </w:t>
            </w:r>
            <w:r>
              <w:t>projects</w:t>
            </w:r>
            <w:r w:rsidRPr="00987723">
              <w:t xml:space="preserve"> will examine </w:t>
            </w:r>
            <w:r>
              <w:t xml:space="preserve">their </w:t>
            </w:r>
            <w:r w:rsidRPr="00987723">
              <w:t xml:space="preserve">contribution to </w:t>
            </w:r>
            <w:r>
              <w:t>s</w:t>
            </w:r>
            <w:r w:rsidRPr="005B3FAF">
              <w:t>ocial and</w:t>
            </w:r>
            <w:r w:rsidRPr="00987723">
              <w:t xml:space="preserve"> economic prosperity outcomes, and will consider the</w:t>
            </w:r>
            <w:r w:rsidR="00805382">
              <w:t> </w:t>
            </w:r>
            <w:r w:rsidRPr="00987723">
              <w:t xml:space="preserve">impact and efficacy of SEWB investment more broadly. </w:t>
            </w:r>
          </w:p>
        </w:tc>
        <w:tc>
          <w:tcPr>
            <w:tcW w:w="1985" w:type="dxa"/>
          </w:tcPr>
          <w:p w14:paraId="0B9EF735" w14:textId="77777777" w:rsidR="00026731" w:rsidRDefault="00026731" w:rsidP="00026731">
            <w:pPr>
              <w:rPr>
                <w:color w:val="000000"/>
                <w:lang w:eastAsia="en-AU"/>
              </w:rPr>
            </w:pPr>
            <w:r>
              <w:rPr>
                <w:color w:val="000000"/>
                <w:lang w:eastAsia="en-AU"/>
              </w:rPr>
              <w:t>Evaluation</w:t>
            </w:r>
          </w:p>
        </w:tc>
        <w:tc>
          <w:tcPr>
            <w:tcW w:w="1559" w:type="dxa"/>
          </w:tcPr>
          <w:p w14:paraId="6C7E6187" w14:textId="77777777" w:rsidR="00026731" w:rsidRPr="00A40355" w:rsidRDefault="00026731" w:rsidP="00026731">
            <w:pPr>
              <w:rPr>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tc>
        <w:tc>
          <w:tcPr>
            <w:tcW w:w="1701" w:type="dxa"/>
          </w:tcPr>
          <w:p w14:paraId="47705780" w14:textId="77777777" w:rsidR="00026731" w:rsidRPr="00A40355" w:rsidRDefault="00026731" w:rsidP="00026731">
            <w:pPr>
              <w:rPr>
                <w:color w:val="000000"/>
                <w:lang w:eastAsia="en-AU"/>
              </w:rPr>
            </w:pPr>
            <w:r>
              <w:rPr>
                <w:color w:val="000000"/>
                <w:lang w:eastAsia="en-AU"/>
              </w:rPr>
              <w:t>2019</w:t>
            </w:r>
            <w:r w:rsidR="0056600C">
              <w:rPr>
                <w:rFonts w:ascii="Arial" w:hAnsi="Arial" w:cs="Arial"/>
                <w:color w:val="434343"/>
                <w:sz w:val="21"/>
                <w:szCs w:val="21"/>
              </w:rPr>
              <w:t>–</w:t>
            </w:r>
            <w:r>
              <w:rPr>
                <w:color w:val="000000"/>
                <w:lang w:eastAsia="en-AU"/>
              </w:rPr>
              <w:t xml:space="preserve">20 </w:t>
            </w:r>
          </w:p>
        </w:tc>
      </w:tr>
      <w:tr w:rsidR="00026731" w:rsidRPr="008654B9" w14:paraId="3635838F" w14:textId="77777777" w:rsidTr="00026731">
        <w:trPr>
          <w:trHeight w:val="1922"/>
        </w:trPr>
        <w:tc>
          <w:tcPr>
            <w:tcW w:w="4531" w:type="dxa"/>
            <w:tcBorders>
              <w:left w:val="single" w:sz="4" w:space="0" w:color="auto"/>
            </w:tcBorders>
            <w:shd w:val="clear" w:color="auto" w:fill="auto"/>
          </w:tcPr>
          <w:p w14:paraId="29BD76DD" w14:textId="77777777" w:rsidR="00026731" w:rsidRPr="00390FB4" w:rsidRDefault="00026731" w:rsidP="00026731">
            <w:pPr>
              <w:rPr>
                <w:b/>
                <w:i/>
                <w:color w:val="000000"/>
                <w:lang w:eastAsia="en-AU"/>
              </w:rPr>
            </w:pPr>
            <w:r w:rsidRPr="00390FB4">
              <w:rPr>
                <w:b/>
              </w:rPr>
              <w:t>Sugar Reduction Strategy for Remote Community Stores</w:t>
            </w:r>
          </w:p>
          <w:p w14:paraId="6485B800" w14:textId="77777777" w:rsidR="00026731" w:rsidRDefault="00026731" w:rsidP="00026731">
            <w:pPr>
              <w:rPr>
                <w:b/>
                <w:color w:val="000000"/>
                <w:lang w:eastAsia="en-AU"/>
              </w:rPr>
            </w:pPr>
            <w:r>
              <w:rPr>
                <w:rFonts w:cs="Calibri Light"/>
                <w:lang w:eastAsia="en-AU"/>
              </w:rPr>
              <w:t xml:space="preserve">This impact </w:t>
            </w:r>
            <w:r w:rsidRPr="00F3067F">
              <w:rPr>
                <w:rFonts w:cs="Calibri Light"/>
                <w:lang w:eastAsia="en-AU"/>
              </w:rPr>
              <w:t>evaluation will examine the impact of the</w:t>
            </w:r>
            <w:r>
              <w:rPr>
                <w:rFonts w:cs="Calibri Light"/>
                <w:lang w:eastAsia="en-AU"/>
              </w:rPr>
              <w:t xml:space="preserve"> Sugar Reduction</w:t>
            </w:r>
            <w:r w:rsidRPr="00F3067F">
              <w:rPr>
                <w:rFonts w:cs="Calibri Light"/>
                <w:lang w:eastAsia="en-AU"/>
              </w:rPr>
              <w:t xml:space="preserve"> </w:t>
            </w:r>
            <w:r>
              <w:rPr>
                <w:rFonts w:cs="Calibri Light"/>
                <w:lang w:eastAsia="en-AU"/>
              </w:rPr>
              <w:t>S</w:t>
            </w:r>
            <w:r w:rsidRPr="00F3067F">
              <w:rPr>
                <w:rFonts w:cs="Calibri Light"/>
                <w:lang w:eastAsia="en-AU"/>
              </w:rPr>
              <w:t>trategy overall</w:t>
            </w:r>
            <w:r w:rsidR="00FA00DC">
              <w:rPr>
                <w:rFonts w:cs="Calibri Light"/>
                <w:lang w:eastAsia="en-AU"/>
              </w:rPr>
              <w:t>,</w:t>
            </w:r>
            <w:r w:rsidRPr="00F3067F">
              <w:rPr>
                <w:rFonts w:cs="Calibri Light"/>
                <w:lang w:eastAsia="en-AU"/>
              </w:rPr>
              <w:t xml:space="preserve"> and test targeted interventions being trialled in </w:t>
            </w:r>
            <w:r>
              <w:rPr>
                <w:rFonts w:cs="Calibri Light"/>
                <w:lang w:eastAsia="en-AU"/>
              </w:rPr>
              <w:t xml:space="preserve">remote community </w:t>
            </w:r>
            <w:r w:rsidRPr="00F3067F">
              <w:rPr>
                <w:rFonts w:cs="Calibri Light"/>
                <w:lang w:eastAsia="en-AU"/>
              </w:rPr>
              <w:t>stores which aim to reduce sales of sugared products.</w:t>
            </w:r>
          </w:p>
        </w:tc>
        <w:tc>
          <w:tcPr>
            <w:tcW w:w="1985" w:type="dxa"/>
          </w:tcPr>
          <w:p w14:paraId="78F0CF48" w14:textId="77777777" w:rsidR="00026731" w:rsidRDefault="00026731" w:rsidP="00026731">
            <w:pPr>
              <w:rPr>
                <w:color w:val="000000"/>
                <w:lang w:eastAsia="en-AU"/>
              </w:rPr>
            </w:pPr>
            <w:r>
              <w:rPr>
                <w:color w:val="000000"/>
                <w:lang w:eastAsia="en-AU"/>
              </w:rPr>
              <w:t>Evaluation</w:t>
            </w:r>
          </w:p>
        </w:tc>
        <w:tc>
          <w:tcPr>
            <w:tcW w:w="1559" w:type="dxa"/>
          </w:tcPr>
          <w:p w14:paraId="494D03F4" w14:textId="77777777" w:rsidR="00026731" w:rsidRDefault="00026731" w:rsidP="00026731">
            <w:pPr>
              <w:rPr>
                <w:b/>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p w14:paraId="2A9D78CA" w14:textId="77777777" w:rsidR="00026731" w:rsidRPr="00A40355" w:rsidRDefault="00026731" w:rsidP="00026731">
            <w:pPr>
              <w:rPr>
                <w:color w:val="000000"/>
                <w:lang w:eastAsia="en-AU"/>
              </w:rPr>
            </w:pPr>
          </w:p>
        </w:tc>
        <w:tc>
          <w:tcPr>
            <w:tcW w:w="1701" w:type="dxa"/>
          </w:tcPr>
          <w:p w14:paraId="762FAC5B" w14:textId="77777777" w:rsidR="00026731" w:rsidRDefault="00026731" w:rsidP="00026731">
            <w:pPr>
              <w:rPr>
                <w:b/>
                <w:color w:val="000000"/>
                <w:lang w:eastAsia="en-AU"/>
              </w:rPr>
            </w:pPr>
            <w:r>
              <w:rPr>
                <w:color w:val="000000"/>
                <w:lang w:eastAsia="en-AU"/>
              </w:rPr>
              <w:t>2018</w:t>
            </w:r>
            <w:r w:rsidR="0056600C">
              <w:rPr>
                <w:rFonts w:ascii="Arial" w:hAnsi="Arial" w:cs="Arial"/>
                <w:color w:val="434343"/>
                <w:sz w:val="21"/>
                <w:szCs w:val="21"/>
              </w:rPr>
              <w:t>–</w:t>
            </w:r>
            <w:r>
              <w:rPr>
                <w:color w:val="000000"/>
                <w:lang w:eastAsia="en-AU"/>
              </w:rPr>
              <w:t>19</w:t>
            </w:r>
          </w:p>
          <w:p w14:paraId="1DF40A22" w14:textId="77777777" w:rsidR="00026731" w:rsidRPr="00A40355" w:rsidRDefault="00026731" w:rsidP="00026731">
            <w:pPr>
              <w:rPr>
                <w:color w:val="000000"/>
                <w:lang w:eastAsia="en-AU"/>
              </w:rPr>
            </w:pPr>
          </w:p>
        </w:tc>
      </w:tr>
      <w:tr w:rsidR="00026731" w:rsidRPr="008654B9" w14:paraId="0E400820" w14:textId="77777777" w:rsidTr="009D6D07">
        <w:trPr>
          <w:trHeight w:val="2125"/>
        </w:trPr>
        <w:tc>
          <w:tcPr>
            <w:tcW w:w="4531" w:type="dxa"/>
            <w:tcBorders>
              <w:left w:val="single" w:sz="4" w:space="0" w:color="auto"/>
            </w:tcBorders>
            <w:shd w:val="clear" w:color="auto" w:fill="auto"/>
          </w:tcPr>
          <w:p w14:paraId="3E04CA2F" w14:textId="77777777" w:rsidR="00026731" w:rsidRDefault="00026731" w:rsidP="00026731">
            <w:pPr>
              <w:rPr>
                <w:rFonts w:ascii="Calibri" w:hAnsi="Calibri"/>
                <w:b/>
                <w:bCs/>
                <w:i/>
                <w:iCs/>
                <w:color w:val="000000"/>
                <w:sz w:val="22"/>
                <w:lang w:val="en-US" w:eastAsia="en-AU"/>
              </w:rPr>
            </w:pPr>
            <w:r>
              <w:rPr>
                <w:b/>
                <w:bCs/>
                <w:lang w:val="en-US"/>
              </w:rPr>
              <w:t xml:space="preserve">Testing Community Safety and Justice Outcomes using </w:t>
            </w:r>
            <w:proofErr w:type="spellStart"/>
            <w:r>
              <w:rPr>
                <w:b/>
                <w:bCs/>
                <w:lang w:val="en-US"/>
              </w:rPr>
              <w:t>Randomised</w:t>
            </w:r>
            <w:proofErr w:type="spellEnd"/>
            <w:r>
              <w:rPr>
                <w:b/>
                <w:bCs/>
                <w:lang w:val="en-US"/>
              </w:rPr>
              <w:t xml:space="preserve"> Controlled Trials</w:t>
            </w:r>
          </w:p>
          <w:p w14:paraId="58CD409E" w14:textId="77777777" w:rsidR="00026731" w:rsidRPr="00836038" w:rsidRDefault="00026731" w:rsidP="00A51E7F">
            <w:pPr>
              <w:rPr>
                <w:b/>
                <w:i/>
                <w:color w:val="000000"/>
                <w:lang w:eastAsia="en-AU"/>
              </w:rPr>
            </w:pPr>
            <w:r>
              <w:rPr>
                <w:lang w:val="en-US" w:eastAsia="en-AU"/>
              </w:rPr>
              <w:t>Th</w:t>
            </w:r>
            <w:r w:rsidR="00166B4E">
              <w:rPr>
                <w:lang w:val="en-US" w:eastAsia="en-AU"/>
              </w:rPr>
              <w:t>e</w:t>
            </w:r>
            <w:r>
              <w:rPr>
                <w:lang w:val="en-US" w:eastAsia="en-AU"/>
              </w:rPr>
              <w:t xml:space="preserve"> impact evaluation </w:t>
            </w:r>
            <w:proofErr w:type="spellStart"/>
            <w:r>
              <w:rPr>
                <w:lang w:val="en-US" w:eastAsia="en-AU"/>
              </w:rPr>
              <w:t>utili</w:t>
            </w:r>
            <w:r w:rsidR="00FA00DC">
              <w:rPr>
                <w:lang w:val="en-US" w:eastAsia="en-AU"/>
              </w:rPr>
              <w:t>s</w:t>
            </w:r>
            <w:r>
              <w:rPr>
                <w:lang w:val="en-US" w:eastAsia="en-AU"/>
              </w:rPr>
              <w:t>ing</w:t>
            </w:r>
            <w:proofErr w:type="spellEnd"/>
            <w:r>
              <w:rPr>
                <w:lang w:val="en-US" w:eastAsia="en-AU"/>
              </w:rPr>
              <w:t xml:space="preserve"> five </w:t>
            </w:r>
            <w:proofErr w:type="spellStart"/>
            <w:r w:rsidR="00FA00DC">
              <w:rPr>
                <w:lang w:val="en-US" w:eastAsia="en-AU"/>
              </w:rPr>
              <w:t>randomised</w:t>
            </w:r>
            <w:proofErr w:type="spellEnd"/>
            <w:r w:rsidR="00FA00DC">
              <w:rPr>
                <w:lang w:val="en-US" w:eastAsia="en-AU"/>
              </w:rPr>
              <w:t xml:space="preserve"> </w:t>
            </w:r>
            <w:r>
              <w:rPr>
                <w:lang w:val="en-US" w:eastAsia="en-AU"/>
              </w:rPr>
              <w:t xml:space="preserve">control trials will test the impact of activities on reducing offending, violence and improving community safety outcomes for </w:t>
            </w:r>
            <w:r w:rsidR="001E6D22" w:rsidRPr="001E6D22">
              <w:rPr>
                <w:lang w:eastAsia="en-AU"/>
              </w:rPr>
              <w:t>Aboriginal and Torres Strait Islander people</w:t>
            </w:r>
            <w:r>
              <w:rPr>
                <w:lang w:val="en-US" w:eastAsia="en-AU"/>
              </w:rPr>
              <w:t xml:space="preserve">. </w:t>
            </w:r>
          </w:p>
        </w:tc>
        <w:tc>
          <w:tcPr>
            <w:tcW w:w="1985" w:type="dxa"/>
          </w:tcPr>
          <w:p w14:paraId="5534DB8B" w14:textId="77777777" w:rsidR="00026731" w:rsidRPr="008654B9" w:rsidRDefault="00026731" w:rsidP="00026731">
            <w:pPr>
              <w:rPr>
                <w:color w:val="000000"/>
                <w:lang w:eastAsia="en-AU"/>
              </w:rPr>
            </w:pPr>
            <w:r>
              <w:rPr>
                <w:color w:val="000000"/>
                <w:lang w:eastAsia="en-AU"/>
              </w:rPr>
              <w:t>Evaluation</w:t>
            </w:r>
          </w:p>
        </w:tc>
        <w:tc>
          <w:tcPr>
            <w:tcW w:w="1559" w:type="dxa"/>
          </w:tcPr>
          <w:p w14:paraId="67D73DC8" w14:textId="77777777" w:rsidR="00026731" w:rsidRDefault="00026731" w:rsidP="00026731">
            <w:pPr>
              <w:rPr>
                <w:b/>
                <w:color w:val="000000"/>
                <w:lang w:eastAsia="en-AU"/>
              </w:rPr>
            </w:pPr>
            <w:r w:rsidRPr="003E5645">
              <w:rPr>
                <w:color w:val="000000"/>
                <w:lang w:eastAsia="en-AU"/>
              </w:rPr>
              <w:t>2017</w:t>
            </w:r>
            <w:r w:rsidR="0056600C">
              <w:rPr>
                <w:rFonts w:ascii="Arial" w:hAnsi="Arial" w:cs="Arial"/>
                <w:color w:val="434343"/>
                <w:sz w:val="21"/>
                <w:szCs w:val="21"/>
              </w:rPr>
              <w:t>–</w:t>
            </w:r>
            <w:r w:rsidRPr="003E5645">
              <w:rPr>
                <w:color w:val="000000"/>
                <w:lang w:eastAsia="en-AU"/>
              </w:rPr>
              <w:t>18</w:t>
            </w:r>
          </w:p>
          <w:p w14:paraId="476A1D23" w14:textId="77777777" w:rsidR="00026731" w:rsidRPr="00467864" w:rsidRDefault="00026731" w:rsidP="00026731">
            <w:pPr>
              <w:rPr>
                <w:color w:val="000000"/>
                <w:lang w:eastAsia="en-AU"/>
              </w:rPr>
            </w:pPr>
          </w:p>
        </w:tc>
        <w:tc>
          <w:tcPr>
            <w:tcW w:w="1701" w:type="dxa"/>
          </w:tcPr>
          <w:p w14:paraId="4CECAEBE" w14:textId="77777777" w:rsidR="00026731" w:rsidRDefault="00026731" w:rsidP="00026731">
            <w:pPr>
              <w:rPr>
                <w:b/>
                <w:color w:val="000000"/>
                <w:lang w:eastAsia="en-AU"/>
              </w:rPr>
            </w:pPr>
            <w:r>
              <w:rPr>
                <w:color w:val="000000"/>
                <w:lang w:eastAsia="en-AU"/>
              </w:rPr>
              <w:t>2020</w:t>
            </w:r>
            <w:r w:rsidR="0056600C">
              <w:rPr>
                <w:rFonts w:ascii="Arial" w:hAnsi="Arial" w:cs="Arial"/>
                <w:color w:val="434343"/>
                <w:sz w:val="21"/>
                <w:szCs w:val="21"/>
              </w:rPr>
              <w:t>–</w:t>
            </w:r>
            <w:r>
              <w:rPr>
                <w:color w:val="000000"/>
                <w:lang w:eastAsia="en-AU"/>
              </w:rPr>
              <w:t>21</w:t>
            </w:r>
          </w:p>
          <w:p w14:paraId="2EF87F7F" w14:textId="77777777" w:rsidR="00026731" w:rsidRPr="00467864" w:rsidRDefault="00026731" w:rsidP="00026731">
            <w:pPr>
              <w:rPr>
                <w:color w:val="000000"/>
                <w:lang w:eastAsia="en-AU"/>
              </w:rPr>
            </w:pPr>
          </w:p>
        </w:tc>
      </w:tr>
      <w:tr w:rsidR="00026731" w:rsidRPr="008654B9" w14:paraId="7936882C" w14:textId="77777777" w:rsidTr="009D6D07">
        <w:trPr>
          <w:trHeight w:val="1559"/>
        </w:trPr>
        <w:tc>
          <w:tcPr>
            <w:tcW w:w="4531" w:type="dxa"/>
            <w:tcBorders>
              <w:left w:val="single" w:sz="4" w:space="0" w:color="auto"/>
            </w:tcBorders>
            <w:shd w:val="clear" w:color="auto" w:fill="auto"/>
          </w:tcPr>
          <w:p w14:paraId="4984770F" w14:textId="77777777" w:rsidR="00026731" w:rsidRPr="00D60BD0" w:rsidRDefault="00026731" w:rsidP="00026731">
            <w:pPr>
              <w:rPr>
                <w:b/>
                <w:color w:val="000000"/>
                <w:lang w:eastAsia="en-AU"/>
              </w:rPr>
            </w:pPr>
            <w:r w:rsidRPr="00D60BD0">
              <w:rPr>
                <w:b/>
              </w:rPr>
              <w:lastRenderedPageBreak/>
              <w:t xml:space="preserve">Third Action Plan to </w:t>
            </w:r>
            <w:r>
              <w:rPr>
                <w:b/>
              </w:rPr>
              <w:t>R</w:t>
            </w:r>
            <w:r w:rsidRPr="00D60BD0">
              <w:rPr>
                <w:b/>
              </w:rPr>
              <w:t xml:space="preserve">educe </w:t>
            </w:r>
            <w:r>
              <w:rPr>
                <w:b/>
              </w:rPr>
              <w:t>F</w:t>
            </w:r>
            <w:r w:rsidRPr="00D60BD0">
              <w:rPr>
                <w:b/>
              </w:rPr>
              <w:t xml:space="preserve">amily </w:t>
            </w:r>
            <w:r>
              <w:rPr>
                <w:b/>
              </w:rPr>
              <w:t>V</w:t>
            </w:r>
            <w:r w:rsidRPr="00D60BD0">
              <w:rPr>
                <w:b/>
              </w:rPr>
              <w:t xml:space="preserve">iolence – Indigenous </w:t>
            </w:r>
            <w:r>
              <w:rPr>
                <w:b/>
              </w:rPr>
              <w:t>S</w:t>
            </w:r>
            <w:r w:rsidRPr="00D60BD0">
              <w:rPr>
                <w:b/>
              </w:rPr>
              <w:t xml:space="preserve">pecific </w:t>
            </w:r>
            <w:r>
              <w:rPr>
                <w:b/>
              </w:rPr>
              <w:t>M</w:t>
            </w:r>
            <w:r w:rsidRPr="00D60BD0">
              <w:rPr>
                <w:b/>
              </w:rPr>
              <w:t>easures</w:t>
            </w:r>
          </w:p>
          <w:p w14:paraId="79D86691" w14:textId="77777777" w:rsidR="00026731" w:rsidRPr="00D60BD0" w:rsidRDefault="00026731" w:rsidP="00A51E7F">
            <w:pPr>
              <w:rPr>
                <w:b/>
                <w:color w:val="000000"/>
                <w:lang w:eastAsia="en-AU"/>
              </w:rPr>
            </w:pPr>
            <w:r>
              <w:rPr>
                <w:rFonts w:cs="Calibri Light"/>
                <w:lang w:eastAsia="en-AU"/>
              </w:rPr>
              <w:t>This</w:t>
            </w:r>
            <w:r w:rsidRPr="00F3067F">
              <w:rPr>
                <w:rFonts w:cs="Calibri Light"/>
                <w:lang w:eastAsia="en-AU"/>
              </w:rPr>
              <w:t xml:space="preserve"> evaluation includes a program review and assessment using in-depth interviews and existing service provider data. </w:t>
            </w:r>
          </w:p>
        </w:tc>
        <w:tc>
          <w:tcPr>
            <w:tcW w:w="1985" w:type="dxa"/>
          </w:tcPr>
          <w:p w14:paraId="7DE3CCFF" w14:textId="77777777" w:rsidR="00026731" w:rsidRPr="008654B9" w:rsidRDefault="00026731" w:rsidP="00026731">
            <w:pPr>
              <w:rPr>
                <w:color w:val="000000"/>
                <w:lang w:eastAsia="en-AU"/>
              </w:rPr>
            </w:pPr>
            <w:r>
              <w:rPr>
                <w:color w:val="000000"/>
                <w:lang w:eastAsia="en-AU"/>
              </w:rPr>
              <w:t>Evaluation</w:t>
            </w:r>
          </w:p>
        </w:tc>
        <w:tc>
          <w:tcPr>
            <w:tcW w:w="1559" w:type="dxa"/>
          </w:tcPr>
          <w:p w14:paraId="273C4A73" w14:textId="77777777" w:rsidR="00026731" w:rsidRPr="00CF45A4" w:rsidRDefault="00026731" w:rsidP="00026731">
            <w:pPr>
              <w:rPr>
                <w:b/>
                <w:color w:val="000000"/>
                <w:lang w:eastAsia="en-AU"/>
              </w:rPr>
            </w:pPr>
            <w:r w:rsidRPr="00CF45A4">
              <w:rPr>
                <w:color w:val="000000"/>
                <w:lang w:eastAsia="en-AU"/>
              </w:rPr>
              <w:t>2016</w:t>
            </w:r>
            <w:r w:rsidR="0056600C">
              <w:rPr>
                <w:rFonts w:ascii="Arial" w:hAnsi="Arial" w:cs="Arial"/>
                <w:color w:val="434343"/>
                <w:sz w:val="21"/>
                <w:szCs w:val="21"/>
              </w:rPr>
              <w:t>–</w:t>
            </w:r>
            <w:r w:rsidRPr="00CF45A4">
              <w:rPr>
                <w:color w:val="000000"/>
                <w:lang w:eastAsia="en-AU"/>
              </w:rPr>
              <w:t>17</w:t>
            </w:r>
          </w:p>
          <w:p w14:paraId="4F00E256" w14:textId="77777777" w:rsidR="00026731" w:rsidRPr="00CF45A4" w:rsidRDefault="00026731" w:rsidP="00026731">
            <w:pPr>
              <w:rPr>
                <w:color w:val="000000"/>
                <w:lang w:eastAsia="en-AU"/>
              </w:rPr>
            </w:pPr>
          </w:p>
        </w:tc>
        <w:tc>
          <w:tcPr>
            <w:tcW w:w="1701" w:type="dxa"/>
          </w:tcPr>
          <w:p w14:paraId="6FF7DECC" w14:textId="77777777" w:rsidR="00026731" w:rsidRPr="00CF45A4" w:rsidRDefault="00026731" w:rsidP="00026731">
            <w:pPr>
              <w:rPr>
                <w:b/>
                <w:color w:val="000000"/>
                <w:lang w:eastAsia="en-AU"/>
              </w:rPr>
            </w:pPr>
            <w:r w:rsidRPr="00CF45A4">
              <w:rPr>
                <w:color w:val="000000"/>
                <w:lang w:eastAsia="en-AU"/>
              </w:rPr>
              <w:t>2018</w:t>
            </w:r>
            <w:r w:rsidR="0056600C">
              <w:rPr>
                <w:rFonts w:ascii="Arial" w:hAnsi="Arial" w:cs="Arial"/>
                <w:color w:val="434343"/>
                <w:sz w:val="21"/>
                <w:szCs w:val="21"/>
              </w:rPr>
              <w:t>–</w:t>
            </w:r>
            <w:r w:rsidRPr="00CF45A4">
              <w:rPr>
                <w:color w:val="000000"/>
                <w:lang w:eastAsia="en-AU"/>
              </w:rPr>
              <w:t>19</w:t>
            </w:r>
          </w:p>
          <w:p w14:paraId="132B24FC" w14:textId="77777777" w:rsidR="00026731" w:rsidRPr="00CF45A4" w:rsidRDefault="00026731" w:rsidP="00026731">
            <w:pPr>
              <w:rPr>
                <w:color w:val="000000"/>
                <w:lang w:eastAsia="en-AU"/>
              </w:rPr>
            </w:pPr>
          </w:p>
        </w:tc>
      </w:tr>
    </w:tbl>
    <w:p w14:paraId="3C12FBC4" w14:textId="77777777" w:rsidR="008748E5" w:rsidRDefault="008748E5">
      <w:pPr>
        <w:spacing w:after="200"/>
      </w:pPr>
      <w:bookmarkStart w:id="69" w:name="_Toc517355476"/>
      <w:bookmarkStart w:id="70" w:name="_Toc517363437"/>
      <w:bookmarkStart w:id="71" w:name="_Toc517871036"/>
      <w:bookmarkStart w:id="72" w:name="_Toc517967734"/>
      <w:bookmarkStart w:id="73" w:name="_Toc518304164"/>
      <w:r>
        <w:br w:type="page"/>
      </w:r>
    </w:p>
    <w:p w14:paraId="3F516ABD" w14:textId="77777777" w:rsidR="000B2AA2" w:rsidRDefault="00235169" w:rsidP="00F61835">
      <w:pPr>
        <w:pStyle w:val="h2blue"/>
      </w:pPr>
      <w:bookmarkStart w:id="74" w:name="_Toc518472412"/>
      <w:bookmarkStart w:id="75" w:name="_Toc531862181"/>
      <w:r>
        <w:lastRenderedPageBreak/>
        <w:t>Evaluations/Reviews</w:t>
      </w:r>
      <w:r w:rsidR="000B2AA2">
        <w:t xml:space="preserve"> </w:t>
      </w:r>
      <w:r w:rsidR="00686564">
        <w:t>not carried over</w:t>
      </w:r>
      <w:r w:rsidR="000B2AA2">
        <w:t xml:space="preserve"> from previous </w:t>
      </w:r>
      <w:r w:rsidR="00507BD9">
        <w:t>W</w:t>
      </w:r>
      <w:r w:rsidR="00686564">
        <w:t xml:space="preserve">ork </w:t>
      </w:r>
      <w:r w:rsidR="00507BD9">
        <w:t>P</w:t>
      </w:r>
      <w:r w:rsidR="00686564">
        <w:t>lan</w:t>
      </w:r>
      <w:bookmarkEnd w:id="69"/>
      <w:bookmarkEnd w:id="70"/>
      <w:bookmarkEnd w:id="71"/>
      <w:bookmarkEnd w:id="72"/>
      <w:bookmarkEnd w:id="73"/>
      <w:bookmarkEnd w:id="74"/>
      <w:bookmarkEnd w:id="75"/>
    </w:p>
    <w:p w14:paraId="3178BB03" w14:textId="77777777" w:rsidR="00466D9A" w:rsidRPr="00D6101D" w:rsidRDefault="00073576" w:rsidP="0043138A">
      <w:pPr>
        <w:rPr>
          <w:lang w:val="en-US"/>
        </w:rPr>
      </w:pPr>
      <w:r w:rsidRPr="00D6101D">
        <w:rPr>
          <w:lang w:val="en-US"/>
        </w:rPr>
        <w:t>S</w:t>
      </w:r>
      <w:r w:rsidR="00466D9A" w:rsidRPr="00D6101D">
        <w:rPr>
          <w:lang w:val="en-US"/>
        </w:rPr>
        <w:t xml:space="preserve">ome </w:t>
      </w:r>
      <w:r w:rsidR="00235169">
        <w:rPr>
          <w:lang w:val="en-US"/>
        </w:rPr>
        <w:t>evaluation</w:t>
      </w:r>
      <w:r w:rsidR="00884A80">
        <w:rPr>
          <w:lang w:val="en-US"/>
        </w:rPr>
        <w:t>s</w:t>
      </w:r>
      <w:r w:rsidR="00235169">
        <w:rPr>
          <w:lang w:val="en-US"/>
        </w:rPr>
        <w:t>/reviews</w:t>
      </w:r>
      <w:r w:rsidR="00466D9A" w:rsidRPr="00D6101D">
        <w:rPr>
          <w:lang w:val="en-US"/>
        </w:rPr>
        <w:t xml:space="preserve"> that were listed in the 2017</w:t>
      </w:r>
      <w:r w:rsidR="0056600C">
        <w:rPr>
          <w:rFonts w:ascii="Arial" w:hAnsi="Arial" w:cs="Arial"/>
          <w:color w:val="434343"/>
          <w:sz w:val="21"/>
          <w:szCs w:val="21"/>
        </w:rPr>
        <w:t>–</w:t>
      </w:r>
      <w:r w:rsidR="00466D9A" w:rsidRPr="00D6101D">
        <w:rPr>
          <w:lang w:val="en-US"/>
        </w:rPr>
        <w:t>18 Work Plan have not been carried ov</w:t>
      </w:r>
      <w:r w:rsidR="000B2AA2" w:rsidRPr="00D6101D">
        <w:rPr>
          <w:lang w:val="en-US"/>
        </w:rPr>
        <w:t>er into the 2018</w:t>
      </w:r>
      <w:r w:rsidR="00805382">
        <w:rPr>
          <w:rFonts w:ascii="Arial" w:hAnsi="Arial" w:cs="Arial"/>
          <w:color w:val="434343"/>
          <w:sz w:val="21"/>
          <w:szCs w:val="21"/>
        </w:rPr>
        <w:noBreakHyphen/>
      </w:r>
      <w:r w:rsidR="000B2AA2" w:rsidRPr="00D6101D">
        <w:rPr>
          <w:lang w:val="en-US"/>
        </w:rPr>
        <w:t>19</w:t>
      </w:r>
      <w:r w:rsidR="00805382">
        <w:rPr>
          <w:lang w:val="en-US"/>
        </w:rPr>
        <w:t> </w:t>
      </w:r>
      <w:r w:rsidR="000B2AA2" w:rsidRPr="00D6101D">
        <w:rPr>
          <w:lang w:val="en-US"/>
        </w:rPr>
        <w:t>Work</w:t>
      </w:r>
      <w:r w:rsidR="00805382">
        <w:rPr>
          <w:lang w:val="en-US"/>
        </w:rPr>
        <w:t> </w:t>
      </w:r>
      <w:r w:rsidR="000B2AA2" w:rsidRPr="00D6101D">
        <w:rPr>
          <w:lang w:val="en-US"/>
        </w:rPr>
        <w:t xml:space="preserve">Plan. </w:t>
      </w:r>
      <w:r w:rsidR="004E02ED">
        <w:rPr>
          <w:lang w:val="en-US"/>
        </w:rPr>
        <w:t>The reason each activity has not been carried over is provided below.</w:t>
      </w:r>
    </w:p>
    <w:tbl>
      <w:tblPr>
        <w:tblStyle w:val="TableGrid"/>
        <w:tblW w:w="9776" w:type="dxa"/>
        <w:tblLook w:val="04A0" w:firstRow="1" w:lastRow="0" w:firstColumn="1" w:lastColumn="0" w:noHBand="0" w:noVBand="1"/>
        <w:tblCaption w:val="Evaluations and reviews not carried over from previous Work Plan"/>
        <w:tblDescription w:val="This table list evaluations and reviews that were included in the 2017-18 Work Plan but have not carried over into the 2018-19 Work Plan. The reason each activity has not been carried over has been provided."/>
      </w:tblPr>
      <w:tblGrid>
        <w:gridCol w:w="4840"/>
        <w:gridCol w:w="4936"/>
      </w:tblGrid>
      <w:tr w:rsidR="00466D9A" w:rsidRPr="0061799E" w14:paraId="1024F5F7" w14:textId="77777777" w:rsidTr="00D230FF">
        <w:trPr>
          <w:trHeight w:val="486"/>
          <w:tblHeader/>
        </w:trPr>
        <w:tc>
          <w:tcPr>
            <w:tcW w:w="4840" w:type="dxa"/>
            <w:shd w:val="clear" w:color="auto" w:fill="BFBFBF" w:themeFill="background1" w:themeFillShade="BF"/>
          </w:tcPr>
          <w:p w14:paraId="7FAB4092" w14:textId="77777777" w:rsidR="00466D9A" w:rsidRPr="00466D9A" w:rsidRDefault="00A26DAA" w:rsidP="00466D9A">
            <w:pPr>
              <w:spacing w:line="276" w:lineRule="auto"/>
              <w:rPr>
                <w:b/>
                <w:lang w:eastAsia="en-AU"/>
              </w:rPr>
            </w:pPr>
            <w:r w:rsidRPr="00A26DAA">
              <w:rPr>
                <w:b/>
                <w:lang w:eastAsia="en-AU"/>
              </w:rPr>
              <w:t>Description</w:t>
            </w:r>
          </w:p>
        </w:tc>
        <w:tc>
          <w:tcPr>
            <w:tcW w:w="4936" w:type="dxa"/>
            <w:shd w:val="clear" w:color="auto" w:fill="BFBFBF" w:themeFill="background1" w:themeFillShade="BF"/>
          </w:tcPr>
          <w:p w14:paraId="67D9231D" w14:textId="77777777" w:rsidR="00466D9A" w:rsidRPr="00466D9A" w:rsidRDefault="00466D9A" w:rsidP="00466D9A">
            <w:pPr>
              <w:spacing w:line="276" w:lineRule="auto"/>
              <w:rPr>
                <w:b/>
                <w:lang w:eastAsia="en-AU"/>
              </w:rPr>
            </w:pPr>
            <w:r w:rsidRPr="00466D9A">
              <w:rPr>
                <w:b/>
                <w:lang w:eastAsia="en-AU"/>
              </w:rPr>
              <w:t>Reason</w:t>
            </w:r>
          </w:p>
        </w:tc>
      </w:tr>
      <w:tr w:rsidR="008E0E17" w:rsidRPr="0061799E" w14:paraId="5B8CD50D" w14:textId="77777777" w:rsidTr="00D230FF">
        <w:tc>
          <w:tcPr>
            <w:tcW w:w="4840" w:type="dxa"/>
          </w:tcPr>
          <w:p w14:paraId="74FCC3D1" w14:textId="77777777" w:rsidR="008E0E17" w:rsidRPr="00466D9A" w:rsidRDefault="008E0E17" w:rsidP="008E0E17">
            <w:pPr>
              <w:rPr>
                <w:b/>
                <w:color w:val="000000"/>
                <w:lang w:eastAsia="en-AU"/>
              </w:rPr>
            </w:pPr>
            <w:r w:rsidRPr="00466D9A">
              <w:rPr>
                <w:b/>
                <w:color w:val="000000"/>
                <w:lang w:eastAsia="en-AU"/>
              </w:rPr>
              <w:t xml:space="preserve">Community </w:t>
            </w:r>
            <w:r>
              <w:rPr>
                <w:b/>
                <w:color w:val="000000"/>
                <w:lang w:eastAsia="en-AU"/>
              </w:rPr>
              <w:t>N</w:t>
            </w:r>
            <w:r w:rsidRPr="00466D9A">
              <w:rPr>
                <w:b/>
                <w:color w:val="000000"/>
                <w:lang w:eastAsia="en-AU"/>
              </w:rPr>
              <w:t xml:space="preserve">ight </w:t>
            </w:r>
            <w:r>
              <w:rPr>
                <w:b/>
                <w:color w:val="000000"/>
                <w:lang w:eastAsia="en-AU"/>
              </w:rPr>
              <w:t>P</w:t>
            </w:r>
            <w:r w:rsidRPr="00466D9A">
              <w:rPr>
                <w:b/>
                <w:color w:val="000000"/>
                <w:lang w:eastAsia="en-AU"/>
              </w:rPr>
              <w:t>atrols</w:t>
            </w:r>
          </w:p>
        </w:tc>
        <w:tc>
          <w:tcPr>
            <w:tcW w:w="4936" w:type="dxa"/>
          </w:tcPr>
          <w:p w14:paraId="1FF126E2" w14:textId="77777777" w:rsidR="008E0E17" w:rsidRDefault="008E0E17" w:rsidP="0056600C">
            <w:pPr>
              <w:spacing w:after="120"/>
            </w:pPr>
            <w:r>
              <w:t>This</w:t>
            </w:r>
            <w:r w:rsidRPr="00F87220">
              <w:t xml:space="preserve"> evaluation was aiming to understand the impact of community night patrols on community safety outcomes in three communities in the APY Lands. During the design stage it became clear that, due to the small numbers involved, there were difficulties obtaining the required outcome data at the community level. Consequently</w:t>
            </w:r>
            <w:r>
              <w:t>,</w:t>
            </w:r>
            <w:r w:rsidRPr="00F87220">
              <w:t xml:space="preserve"> this evaluation was not able to proceed. </w:t>
            </w:r>
          </w:p>
          <w:p w14:paraId="016D6C9E" w14:textId="77777777" w:rsidR="00363EBC" w:rsidRDefault="008E0E17" w:rsidP="0056600C">
            <w:pPr>
              <w:spacing w:after="120"/>
            </w:pPr>
            <w:r>
              <w:t>PM</w:t>
            </w:r>
            <w:r w:rsidR="005A29FA">
              <w:t>&amp;</w:t>
            </w:r>
            <w:r>
              <w:t>C</w:t>
            </w:r>
            <w:r w:rsidRPr="00F87220">
              <w:t xml:space="preserve"> </w:t>
            </w:r>
            <w:r>
              <w:t xml:space="preserve">is </w:t>
            </w:r>
            <w:r w:rsidRPr="00F87220">
              <w:t>work</w:t>
            </w:r>
            <w:r>
              <w:t>ing</w:t>
            </w:r>
            <w:r w:rsidRPr="00F87220">
              <w:t xml:space="preserve"> with the service provider </w:t>
            </w:r>
            <w:r w:rsidRPr="00464924">
              <w:t xml:space="preserve">to </w:t>
            </w:r>
            <w:r>
              <w:t>identify alternative data types to assess the</w:t>
            </w:r>
            <w:r w:rsidRPr="00F87220">
              <w:t xml:space="preserve"> impact</w:t>
            </w:r>
            <w:r>
              <w:t xml:space="preserve"> of the </w:t>
            </w:r>
            <w:r w:rsidRPr="00E74C8D">
              <w:t>Community Night Patrols</w:t>
            </w:r>
            <w:r w:rsidRPr="00F87220">
              <w:t xml:space="preserve"> </w:t>
            </w:r>
            <w:r>
              <w:t>in the communities.</w:t>
            </w:r>
            <w:r w:rsidR="00363EBC">
              <w:t xml:space="preserve"> </w:t>
            </w:r>
          </w:p>
          <w:p w14:paraId="5DECABEF" w14:textId="77777777" w:rsidR="008E0E17" w:rsidRDefault="00363EBC" w:rsidP="0056600C">
            <w:pPr>
              <w:spacing w:after="120"/>
              <w:rPr>
                <w:lang w:val="en-US"/>
              </w:rPr>
            </w:pPr>
            <w:r>
              <w:t xml:space="preserve">This will be further explored in the new evaluation strategy proposal on </w:t>
            </w:r>
            <w:r w:rsidRPr="00363EBC">
              <w:t>Indigenous Justice and Community Safety</w:t>
            </w:r>
            <w:r>
              <w:t xml:space="preserve"> (see Appendix)</w:t>
            </w:r>
            <w:r w:rsidRPr="00363EBC">
              <w:t>.</w:t>
            </w:r>
          </w:p>
        </w:tc>
      </w:tr>
      <w:tr w:rsidR="008E0E17" w:rsidRPr="0061799E" w14:paraId="29FCE404" w14:textId="77777777" w:rsidTr="00D230FF">
        <w:tc>
          <w:tcPr>
            <w:tcW w:w="4840" w:type="dxa"/>
          </w:tcPr>
          <w:p w14:paraId="44D6483C" w14:textId="77777777" w:rsidR="008E0E17" w:rsidRPr="00466D9A" w:rsidRDefault="008E0E17" w:rsidP="008E0E17">
            <w:pPr>
              <w:spacing w:line="276" w:lineRule="auto"/>
              <w:rPr>
                <w:b/>
                <w:sz w:val="20"/>
                <w:lang w:val="en-US"/>
              </w:rPr>
            </w:pPr>
            <w:r w:rsidRPr="00466D9A">
              <w:rPr>
                <w:b/>
                <w:color w:val="000000"/>
                <w:lang w:eastAsia="en-AU"/>
              </w:rPr>
              <w:t>Role of Land Councils and Native Title Representative Bodies</w:t>
            </w:r>
          </w:p>
        </w:tc>
        <w:tc>
          <w:tcPr>
            <w:tcW w:w="4936" w:type="dxa"/>
          </w:tcPr>
          <w:p w14:paraId="6B9E10F1" w14:textId="77777777" w:rsidR="008E0E17" w:rsidRPr="0061799E" w:rsidRDefault="008E0E17" w:rsidP="0056600C">
            <w:pPr>
              <w:spacing w:after="120"/>
              <w:rPr>
                <w:lang w:val="en-US"/>
              </w:rPr>
            </w:pPr>
            <w:r>
              <w:rPr>
                <w:lang w:val="en-US"/>
              </w:rPr>
              <w:t xml:space="preserve">This review has been subsumed into the Native Title Representative Bodies and Service Providers review (that is included under </w:t>
            </w:r>
            <w:r w:rsidR="00884A80">
              <w:rPr>
                <w:lang w:val="en-US"/>
              </w:rPr>
              <w:t xml:space="preserve">the </w:t>
            </w:r>
            <w:r>
              <w:rPr>
                <w:lang w:val="en-US"/>
              </w:rPr>
              <w:t>Current Evaluations/</w:t>
            </w:r>
            <w:r w:rsidR="00884A80">
              <w:rPr>
                <w:lang w:val="en-US"/>
              </w:rPr>
              <w:t xml:space="preserve"> </w:t>
            </w:r>
            <w:r>
              <w:rPr>
                <w:lang w:val="en-US"/>
              </w:rPr>
              <w:t>Reviews section)</w:t>
            </w:r>
            <w:r w:rsidR="00FA00DC">
              <w:rPr>
                <w:lang w:val="en-US"/>
              </w:rPr>
              <w:t>.</w:t>
            </w:r>
          </w:p>
        </w:tc>
      </w:tr>
    </w:tbl>
    <w:p w14:paraId="65C427AC" w14:textId="77777777" w:rsidR="008748E5" w:rsidRDefault="008748E5" w:rsidP="00A87B3D">
      <w:pPr>
        <w:rPr>
          <w:rFonts w:eastAsiaTheme="majorEastAsia" w:cstheme="majorBidi"/>
          <w:color w:val="28597C"/>
          <w:sz w:val="40"/>
          <w:szCs w:val="28"/>
        </w:rPr>
      </w:pPr>
      <w:bookmarkStart w:id="76" w:name="_Toc516577506"/>
      <w:bookmarkStart w:id="77" w:name="_Toc517355465"/>
      <w:bookmarkStart w:id="78" w:name="_Toc517363426"/>
      <w:bookmarkStart w:id="79" w:name="_Toc517871025"/>
    </w:p>
    <w:p w14:paraId="3132D07F" w14:textId="77777777" w:rsidR="008748E5" w:rsidRDefault="008748E5">
      <w:pPr>
        <w:spacing w:after="200"/>
        <w:rPr>
          <w:rFonts w:eastAsiaTheme="majorEastAsia" w:cstheme="majorBidi"/>
          <w:color w:val="28597C"/>
          <w:sz w:val="40"/>
          <w:szCs w:val="28"/>
        </w:rPr>
      </w:pPr>
      <w:r>
        <w:rPr>
          <w:rFonts w:eastAsiaTheme="majorEastAsia" w:cstheme="majorBidi"/>
          <w:color w:val="28597C"/>
          <w:sz w:val="40"/>
          <w:szCs w:val="28"/>
        </w:rPr>
        <w:br w:type="page"/>
      </w:r>
    </w:p>
    <w:p w14:paraId="057557E8" w14:textId="77777777" w:rsidR="00A87B3D" w:rsidRDefault="00A87B3D" w:rsidP="00F61835">
      <w:pPr>
        <w:pStyle w:val="h2blue"/>
      </w:pPr>
      <w:bookmarkStart w:id="80" w:name="_Toc517967735"/>
      <w:bookmarkStart w:id="81" w:name="_Toc518304165"/>
      <w:bookmarkStart w:id="82" w:name="_Toc518472413"/>
      <w:bookmarkStart w:id="83" w:name="_Toc531862182"/>
      <w:r>
        <w:lastRenderedPageBreak/>
        <w:t>Evaluations</w:t>
      </w:r>
      <w:bookmarkEnd w:id="76"/>
      <w:bookmarkEnd w:id="77"/>
      <w:bookmarkEnd w:id="78"/>
      <w:bookmarkEnd w:id="79"/>
      <w:bookmarkEnd w:id="80"/>
      <w:bookmarkEnd w:id="81"/>
      <w:bookmarkEnd w:id="82"/>
      <w:r w:rsidR="00FA00DC">
        <w:t>/</w:t>
      </w:r>
      <w:r w:rsidR="00521B92">
        <w:t>R</w:t>
      </w:r>
      <w:r w:rsidR="00661915">
        <w:t>eviews</w:t>
      </w:r>
      <w:r w:rsidR="00A51E7F">
        <w:t xml:space="preserve"> </w:t>
      </w:r>
      <w:r w:rsidR="00BC66D1">
        <w:t>Published</w:t>
      </w:r>
      <w:bookmarkEnd w:id="83"/>
    </w:p>
    <w:p w14:paraId="01BA0280" w14:textId="77777777" w:rsidR="00A87B3D" w:rsidRDefault="00A87B3D" w:rsidP="0056600C">
      <w:pPr>
        <w:rPr>
          <w:szCs w:val="18"/>
        </w:rPr>
      </w:pPr>
      <w:bookmarkStart w:id="84" w:name="_Toc489013066"/>
      <w:bookmarkStart w:id="85" w:name="_Toc489021720"/>
      <w:bookmarkStart w:id="86" w:name="_Toc494443335"/>
      <w:bookmarkStart w:id="87" w:name="_Toc499892555"/>
      <w:r>
        <w:rPr>
          <w:szCs w:val="18"/>
        </w:rPr>
        <w:t>The evaluations</w:t>
      </w:r>
      <w:r w:rsidR="00943CE5">
        <w:rPr>
          <w:szCs w:val="18"/>
        </w:rPr>
        <w:t>/reviews</w:t>
      </w:r>
      <w:r>
        <w:rPr>
          <w:szCs w:val="18"/>
        </w:rPr>
        <w:t xml:space="preserve"> listed below were </w:t>
      </w:r>
      <w:r w:rsidR="00BC66D1">
        <w:rPr>
          <w:szCs w:val="18"/>
        </w:rPr>
        <w:t>published</w:t>
      </w:r>
      <w:r>
        <w:rPr>
          <w:szCs w:val="18"/>
        </w:rPr>
        <w:t xml:space="preserve"> in 2017</w:t>
      </w:r>
      <w:r w:rsidR="0056600C">
        <w:rPr>
          <w:rFonts w:ascii="Arial" w:hAnsi="Arial" w:cs="Arial"/>
          <w:color w:val="434343"/>
          <w:sz w:val="21"/>
          <w:szCs w:val="21"/>
        </w:rPr>
        <w:t>–</w:t>
      </w:r>
      <w:r>
        <w:rPr>
          <w:szCs w:val="18"/>
        </w:rPr>
        <w:t xml:space="preserve">18. </w:t>
      </w:r>
    </w:p>
    <w:p w14:paraId="5FD4BEEC" w14:textId="77777777" w:rsidR="00A87B3D" w:rsidRPr="00F61835" w:rsidRDefault="00A87B3D" w:rsidP="00F61835">
      <w:pPr>
        <w:pStyle w:val="h3green"/>
      </w:pPr>
      <w:bookmarkStart w:id="88" w:name="_Toc516577507"/>
      <w:bookmarkStart w:id="89" w:name="_Toc517355466"/>
      <w:bookmarkStart w:id="90" w:name="_Toc517363427"/>
      <w:bookmarkStart w:id="91" w:name="_Toc517871026"/>
      <w:bookmarkStart w:id="92" w:name="_Toc517967736"/>
      <w:bookmarkStart w:id="93" w:name="_Toc518304166"/>
      <w:bookmarkStart w:id="94" w:name="_Toc518472414"/>
      <w:bookmarkStart w:id="95" w:name="_Toc531862183"/>
      <w:r w:rsidRPr="00091AB8">
        <w:t>Cross</w:t>
      </w:r>
      <w:r>
        <w:t>-</w:t>
      </w:r>
      <w:r w:rsidRPr="00091AB8">
        <w:t xml:space="preserve">cutting </w:t>
      </w:r>
      <w:bookmarkEnd w:id="84"/>
      <w:bookmarkEnd w:id="85"/>
      <w:bookmarkEnd w:id="86"/>
      <w:bookmarkEnd w:id="87"/>
      <w:bookmarkEnd w:id="88"/>
      <w:bookmarkEnd w:id="89"/>
      <w:bookmarkEnd w:id="90"/>
      <w:bookmarkEnd w:id="91"/>
      <w:bookmarkEnd w:id="92"/>
      <w:bookmarkEnd w:id="93"/>
      <w:bookmarkEnd w:id="94"/>
      <w:r w:rsidR="00943CE5">
        <w:t>evaluations/reviews/capability</w:t>
      </w:r>
      <w:bookmarkEnd w:id="95"/>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leted cross-cutting evaluations/reviews/capability"/>
        <w:tblDescription w:val="This table lists cross-cutting evaluations, reviews and capability projects that were completed in 2017-18. It  provides a description and, where available, a link to the report."/>
      </w:tblPr>
      <w:tblGrid>
        <w:gridCol w:w="8130"/>
        <w:gridCol w:w="1793"/>
      </w:tblGrid>
      <w:tr w:rsidR="00BC77E0" w:rsidRPr="00467864" w14:paraId="7E04106A" w14:textId="77777777" w:rsidTr="000F50BD">
        <w:trPr>
          <w:trHeight w:val="728"/>
          <w:tblHeader/>
        </w:trPr>
        <w:tc>
          <w:tcPr>
            <w:tcW w:w="8130" w:type="dxa"/>
            <w:shd w:val="clear" w:color="auto" w:fill="BFBFBF" w:themeFill="background1" w:themeFillShade="BF"/>
            <w:hideMark/>
          </w:tcPr>
          <w:p w14:paraId="7FAD4463" w14:textId="77777777" w:rsidR="00BC77E0" w:rsidRPr="00467864" w:rsidRDefault="00A26DAA" w:rsidP="002D4DC1">
            <w:pPr>
              <w:rPr>
                <w:b/>
                <w:lang w:eastAsia="en-AU"/>
              </w:rPr>
            </w:pPr>
            <w:r w:rsidRPr="00A26DAA">
              <w:rPr>
                <w:b/>
                <w:lang w:eastAsia="en-AU"/>
              </w:rPr>
              <w:t>Description</w:t>
            </w:r>
          </w:p>
        </w:tc>
        <w:tc>
          <w:tcPr>
            <w:tcW w:w="1793" w:type="dxa"/>
            <w:shd w:val="clear" w:color="auto" w:fill="BFBFBF" w:themeFill="background1" w:themeFillShade="BF"/>
          </w:tcPr>
          <w:p w14:paraId="3525964E" w14:textId="77777777" w:rsidR="00BC77E0" w:rsidRPr="00467864" w:rsidRDefault="00BC77E0" w:rsidP="002D4DC1">
            <w:pPr>
              <w:rPr>
                <w:b/>
                <w:lang w:eastAsia="en-AU"/>
              </w:rPr>
            </w:pPr>
            <w:r>
              <w:rPr>
                <w:b/>
                <w:lang w:eastAsia="en-AU"/>
              </w:rPr>
              <w:t>Type</w:t>
            </w:r>
          </w:p>
        </w:tc>
      </w:tr>
      <w:tr w:rsidR="000F50BD" w:rsidRPr="00467864" w14:paraId="427445D5" w14:textId="77777777" w:rsidTr="000F50BD">
        <w:trPr>
          <w:trHeight w:val="1001"/>
        </w:trPr>
        <w:tc>
          <w:tcPr>
            <w:tcW w:w="8130" w:type="dxa"/>
            <w:shd w:val="clear" w:color="auto" w:fill="auto"/>
          </w:tcPr>
          <w:p w14:paraId="7CF6A9CA" w14:textId="77777777" w:rsidR="000F50BD" w:rsidRPr="00DA19CE" w:rsidRDefault="000F50BD" w:rsidP="000F50BD">
            <w:pPr>
              <w:rPr>
                <w:b/>
                <w:color w:val="000000"/>
                <w:lang w:eastAsia="en-AU"/>
              </w:rPr>
            </w:pPr>
            <w:r w:rsidRPr="00D340DB">
              <w:rPr>
                <w:b/>
                <w:color w:val="000000"/>
                <w:lang w:eastAsia="en-AU"/>
              </w:rPr>
              <w:t>Re</w:t>
            </w:r>
            <w:r>
              <w:rPr>
                <w:b/>
                <w:color w:val="000000"/>
                <w:lang w:eastAsia="en-AU"/>
              </w:rPr>
              <w:t>mote School Attendance Strategy</w:t>
            </w:r>
            <w:r w:rsidR="001E3A63">
              <w:rPr>
                <w:b/>
                <w:color w:val="000000"/>
                <w:lang w:eastAsia="en-AU"/>
              </w:rPr>
              <w:t xml:space="preserve"> (RSAS)</w:t>
            </w:r>
          </w:p>
          <w:p w14:paraId="1DDCB12E" w14:textId="77777777" w:rsidR="000F50BD" w:rsidRDefault="000F50BD" w:rsidP="000F50BD">
            <w:pPr>
              <w:rPr>
                <w:szCs w:val="18"/>
                <w:lang w:eastAsia="en-AU"/>
              </w:rPr>
            </w:pPr>
            <w:r>
              <w:rPr>
                <w:color w:val="000000"/>
                <w:szCs w:val="18"/>
              </w:rPr>
              <w:t>This impact evaluation m</w:t>
            </w:r>
            <w:r w:rsidRPr="007A576E">
              <w:rPr>
                <w:color w:val="000000"/>
                <w:szCs w:val="18"/>
              </w:rPr>
              <w:t>easur</w:t>
            </w:r>
            <w:r>
              <w:rPr>
                <w:color w:val="000000"/>
                <w:szCs w:val="18"/>
              </w:rPr>
              <w:t xml:space="preserve">ed </w:t>
            </w:r>
            <w:r w:rsidRPr="007A576E">
              <w:rPr>
                <w:color w:val="000000"/>
                <w:szCs w:val="18"/>
              </w:rPr>
              <w:t xml:space="preserve">the impact of </w:t>
            </w:r>
            <w:r w:rsidR="001E3A63">
              <w:rPr>
                <w:color w:val="000000"/>
                <w:szCs w:val="18"/>
              </w:rPr>
              <w:t>RSAS</w:t>
            </w:r>
            <w:r w:rsidRPr="007A576E">
              <w:rPr>
                <w:color w:val="000000"/>
                <w:szCs w:val="18"/>
              </w:rPr>
              <w:t xml:space="preserve"> on school attendance rates through an analysis of quantitative data. A q</w:t>
            </w:r>
            <w:r w:rsidRPr="007A576E">
              <w:rPr>
                <w:szCs w:val="18"/>
                <w:lang w:eastAsia="en-AU"/>
              </w:rPr>
              <w:t>ualitative impact study also explore</w:t>
            </w:r>
            <w:r>
              <w:rPr>
                <w:szCs w:val="18"/>
                <w:lang w:eastAsia="en-AU"/>
              </w:rPr>
              <w:t>d</w:t>
            </w:r>
            <w:r w:rsidRPr="007A576E">
              <w:rPr>
                <w:szCs w:val="18"/>
                <w:lang w:eastAsia="en-AU"/>
              </w:rPr>
              <w:t xml:space="preserve"> how </w:t>
            </w:r>
            <w:r w:rsidR="001E3A63">
              <w:rPr>
                <w:szCs w:val="18"/>
                <w:lang w:eastAsia="en-AU"/>
              </w:rPr>
              <w:t xml:space="preserve">RSAS </w:t>
            </w:r>
            <w:r w:rsidRPr="007A576E">
              <w:rPr>
                <w:szCs w:val="18"/>
                <w:lang w:eastAsia="en-AU"/>
              </w:rPr>
              <w:t>may influence parental behaviour and choices that generate patterns of school attendance.</w:t>
            </w:r>
          </w:p>
          <w:p w14:paraId="368602DC" w14:textId="77777777" w:rsidR="000F50BD" w:rsidRPr="00F87220" w:rsidRDefault="000F50BD" w:rsidP="000F50BD">
            <w:pPr>
              <w:rPr>
                <w:i/>
                <w:szCs w:val="18"/>
                <w:lang w:eastAsia="en-AU"/>
              </w:rPr>
            </w:pPr>
            <w:r w:rsidRPr="00F87220">
              <w:rPr>
                <w:i/>
                <w:szCs w:val="18"/>
                <w:lang w:eastAsia="en-AU"/>
              </w:rPr>
              <w:t>Publication date:</w:t>
            </w:r>
            <w:r w:rsidRPr="00F87220">
              <w:rPr>
                <w:i/>
                <w:color w:val="000000"/>
                <w:lang w:eastAsia="en-AU"/>
              </w:rPr>
              <w:t xml:space="preserve"> </w:t>
            </w:r>
            <w:r w:rsidR="00884A80">
              <w:rPr>
                <w:i/>
                <w:color w:val="000000"/>
                <w:lang w:eastAsia="en-AU"/>
              </w:rPr>
              <w:t>May 2018</w:t>
            </w:r>
            <w:r w:rsidRPr="00F87220">
              <w:rPr>
                <w:i/>
                <w:color w:val="000000"/>
                <w:lang w:eastAsia="en-AU"/>
              </w:rPr>
              <w:t xml:space="preserve"> 2018</w:t>
            </w:r>
          </w:p>
          <w:p w14:paraId="4E2880E5" w14:textId="77777777" w:rsidR="000F50BD" w:rsidRDefault="000F50BD" w:rsidP="000F50BD">
            <w:pPr>
              <w:rPr>
                <w:b/>
                <w:color w:val="000000"/>
                <w:lang w:eastAsia="en-AU"/>
              </w:rPr>
            </w:pPr>
            <w:r w:rsidRPr="00BC77E0">
              <w:rPr>
                <w:szCs w:val="18"/>
                <w:lang w:eastAsia="en-AU"/>
              </w:rPr>
              <w:t>Link:</w:t>
            </w:r>
            <w:r>
              <w:rPr>
                <w:szCs w:val="18"/>
                <w:lang w:eastAsia="en-AU"/>
              </w:rPr>
              <w:t xml:space="preserve"> </w:t>
            </w:r>
            <w:hyperlink r:id="rId18" w:history="1">
              <w:r w:rsidRPr="007729A8">
                <w:rPr>
                  <w:rStyle w:val="Hyperlink"/>
                  <w:szCs w:val="18"/>
                  <w:lang w:eastAsia="en-AU"/>
                </w:rPr>
                <w:t>Understanding family perspectives of school attendance in remote communities</w:t>
              </w:r>
            </w:hyperlink>
            <w:r w:rsidRPr="00BC77E0">
              <w:rPr>
                <w:szCs w:val="18"/>
                <w:lang w:eastAsia="en-AU"/>
              </w:rPr>
              <w:t xml:space="preserve"> </w:t>
            </w:r>
          </w:p>
        </w:tc>
        <w:tc>
          <w:tcPr>
            <w:tcW w:w="1793" w:type="dxa"/>
          </w:tcPr>
          <w:p w14:paraId="02E5BC45" w14:textId="77777777" w:rsidR="000F50BD" w:rsidRDefault="000F50BD" w:rsidP="000F50BD">
            <w:pPr>
              <w:tabs>
                <w:tab w:val="left" w:pos="1215"/>
              </w:tabs>
              <w:rPr>
                <w:color w:val="000000"/>
                <w:lang w:eastAsia="en-AU"/>
              </w:rPr>
            </w:pPr>
            <w:r>
              <w:rPr>
                <w:color w:val="000000"/>
                <w:lang w:eastAsia="en-AU"/>
              </w:rPr>
              <w:t>Evaluation</w:t>
            </w:r>
          </w:p>
        </w:tc>
      </w:tr>
    </w:tbl>
    <w:p w14:paraId="01A7E104" w14:textId="77777777" w:rsidR="00A87B3D" w:rsidRDefault="00A87B3D" w:rsidP="00A87B3D"/>
    <w:p w14:paraId="206FF866" w14:textId="77777777" w:rsidR="00887033" w:rsidRDefault="00887033">
      <w:pPr>
        <w:spacing w:after="200"/>
        <w:rPr>
          <w:rFonts w:eastAsiaTheme="majorEastAsia" w:cstheme="majorBidi"/>
          <w:b/>
          <w:bCs/>
          <w:color w:val="4FBE9B"/>
          <w:sz w:val="28"/>
          <w:szCs w:val="26"/>
        </w:rPr>
      </w:pPr>
      <w:bookmarkStart w:id="96" w:name="_Toc516577508"/>
      <w:bookmarkStart w:id="97" w:name="_Toc517355467"/>
      <w:bookmarkStart w:id="98" w:name="_Toc517363428"/>
      <w:bookmarkStart w:id="99" w:name="_Toc517871027"/>
      <w:bookmarkStart w:id="100" w:name="_Toc517967737"/>
      <w:bookmarkStart w:id="101" w:name="_Toc518304167"/>
      <w:bookmarkStart w:id="102" w:name="_Toc518472415"/>
    </w:p>
    <w:p w14:paraId="02991F66" w14:textId="77777777" w:rsidR="00A87B3D" w:rsidRPr="00DD5364" w:rsidRDefault="00A87B3D" w:rsidP="00F61835">
      <w:pPr>
        <w:pStyle w:val="h3green"/>
      </w:pPr>
      <w:bookmarkStart w:id="103" w:name="_Toc531862184"/>
      <w:r>
        <w:t xml:space="preserve">Program </w:t>
      </w:r>
      <w:r w:rsidR="0056600C">
        <w:t>e</w:t>
      </w:r>
      <w:r>
        <w:t>valuations</w:t>
      </w:r>
      <w:bookmarkEnd w:id="96"/>
      <w:bookmarkEnd w:id="97"/>
      <w:bookmarkEnd w:id="98"/>
      <w:bookmarkEnd w:id="99"/>
      <w:bookmarkEnd w:id="100"/>
      <w:bookmarkEnd w:id="101"/>
      <w:bookmarkEnd w:id="102"/>
      <w:r w:rsidR="00FA00DC">
        <w:t>/</w:t>
      </w:r>
      <w:r w:rsidR="0056600C">
        <w:t>r</w:t>
      </w:r>
      <w:r w:rsidR="00FA00DC">
        <w:t>eviews</w:t>
      </w:r>
      <w:bookmarkEnd w:id="103"/>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leted program evaluations and reviews"/>
        <w:tblDescription w:val="This table lists program evaluations and reviews that were completed in 2017-18. It lists provides a description, the program and, where available, a link to the report."/>
      </w:tblPr>
      <w:tblGrid>
        <w:gridCol w:w="7508"/>
        <w:gridCol w:w="1417"/>
        <w:gridCol w:w="1417"/>
      </w:tblGrid>
      <w:tr w:rsidR="00BC77E0" w:rsidRPr="00467864" w14:paraId="6A5DE5B8" w14:textId="77777777" w:rsidTr="00A517AB">
        <w:trPr>
          <w:cantSplit/>
          <w:trHeight w:val="627"/>
          <w:tblHeader/>
        </w:trPr>
        <w:tc>
          <w:tcPr>
            <w:tcW w:w="7508" w:type="dxa"/>
            <w:shd w:val="clear" w:color="auto" w:fill="BFBFBF" w:themeFill="background1" w:themeFillShade="BF"/>
            <w:hideMark/>
          </w:tcPr>
          <w:p w14:paraId="47564FD4" w14:textId="77777777" w:rsidR="00BC77E0" w:rsidRPr="00467864" w:rsidRDefault="00A26DAA" w:rsidP="002D4DC1">
            <w:pPr>
              <w:rPr>
                <w:b/>
                <w:lang w:eastAsia="en-AU"/>
              </w:rPr>
            </w:pPr>
            <w:r w:rsidRPr="00A26DAA">
              <w:rPr>
                <w:b/>
                <w:lang w:eastAsia="en-AU"/>
              </w:rPr>
              <w:t>Description</w:t>
            </w:r>
          </w:p>
        </w:tc>
        <w:tc>
          <w:tcPr>
            <w:tcW w:w="1417" w:type="dxa"/>
            <w:shd w:val="clear" w:color="auto" w:fill="BFBFBF" w:themeFill="background1" w:themeFillShade="BF"/>
            <w:hideMark/>
          </w:tcPr>
          <w:p w14:paraId="554149F3" w14:textId="77777777" w:rsidR="00BC77E0" w:rsidRPr="00467864" w:rsidRDefault="00BC77E0" w:rsidP="002D4DC1">
            <w:pPr>
              <w:rPr>
                <w:b/>
                <w:lang w:eastAsia="en-AU"/>
              </w:rPr>
            </w:pPr>
            <w:r>
              <w:rPr>
                <w:b/>
                <w:lang w:eastAsia="en-AU"/>
              </w:rPr>
              <w:t xml:space="preserve">IAS </w:t>
            </w:r>
            <w:r w:rsidRPr="00467864">
              <w:rPr>
                <w:b/>
                <w:lang w:eastAsia="en-AU"/>
              </w:rPr>
              <w:t>Program</w:t>
            </w:r>
            <w:r w:rsidR="001E6AD6">
              <w:rPr>
                <w:b/>
                <w:lang w:eastAsia="en-AU"/>
              </w:rPr>
              <w:t>me</w:t>
            </w:r>
          </w:p>
        </w:tc>
        <w:tc>
          <w:tcPr>
            <w:tcW w:w="1417" w:type="dxa"/>
            <w:shd w:val="clear" w:color="auto" w:fill="BFBFBF" w:themeFill="background1" w:themeFillShade="BF"/>
          </w:tcPr>
          <w:p w14:paraId="44BEE4D7" w14:textId="77777777" w:rsidR="00BC77E0" w:rsidRPr="00467864" w:rsidRDefault="00BC77E0" w:rsidP="001C3493">
            <w:pPr>
              <w:rPr>
                <w:b/>
                <w:lang w:eastAsia="en-AU"/>
              </w:rPr>
            </w:pPr>
            <w:r>
              <w:rPr>
                <w:b/>
                <w:lang w:eastAsia="en-AU"/>
              </w:rPr>
              <w:t>Type</w:t>
            </w:r>
          </w:p>
        </w:tc>
      </w:tr>
      <w:tr w:rsidR="00A13ACB" w:rsidRPr="00467864" w14:paraId="374EDC6A" w14:textId="77777777" w:rsidTr="002F73C4">
        <w:trPr>
          <w:trHeight w:val="2469"/>
        </w:trPr>
        <w:tc>
          <w:tcPr>
            <w:tcW w:w="7508" w:type="dxa"/>
            <w:shd w:val="clear" w:color="auto" w:fill="auto"/>
            <w:vAlign w:val="center"/>
          </w:tcPr>
          <w:p w14:paraId="2F42A6FA" w14:textId="77777777" w:rsidR="00A13ACB" w:rsidRPr="00D340DB" w:rsidRDefault="00A13ACB" w:rsidP="00A13ACB">
            <w:pPr>
              <w:rPr>
                <w:b/>
                <w:color w:val="000000"/>
                <w:lang w:eastAsia="en-AU"/>
              </w:rPr>
            </w:pPr>
            <w:r w:rsidRPr="00D340DB">
              <w:rPr>
                <w:b/>
                <w:color w:val="000000"/>
                <w:lang w:eastAsia="en-AU"/>
              </w:rPr>
              <w:t>Community Stores</w:t>
            </w:r>
          </w:p>
          <w:p w14:paraId="2B0C8436" w14:textId="77777777" w:rsidR="00A13ACB" w:rsidRDefault="00A13ACB" w:rsidP="00A13ACB">
            <w:pPr>
              <w:rPr>
                <w:color w:val="000000"/>
                <w:szCs w:val="20"/>
              </w:rPr>
            </w:pPr>
            <w:r>
              <w:rPr>
                <w:rFonts w:cs="Calibri Light"/>
                <w:lang w:eastAsia="en-AU"/>
              </w:rPr>
              <w:t>This capability development work enabled</w:t>
            </w:r>
            <w:r w:rsidRPr="00F3067F">
              <w:rPr>
                <w:rFonts w:cs="Calibri Light"/>
                <w:lang w:eastAsia="en-AU"/>
              </w:rPr>
              <w:t xml:space="preserve"> the </w:t>
            </w:r>
            <w:r>
              <w:rPr>
                <w:rFonts w:cs="Calibri Light"/>
                <w:lang w:eastAsia="en-AU"/>
              </w:rPr>
              <w:t>development</w:t>
            </w:r>
            <w:r w:rsidRPr="00F3067F">
              <w:rPr>
                <w:rFonts w:cs="Calibri Light"/>
                <w:lang w:eastAsia="en-AU"/>
              </w:rPr>
              <w:t xml:space="preserve"> of a real-time store food sales monitoring system to provide info</w:t>
            </w:r>
            <w:r w:rsidRPr="00D16BEB">
              <w:rPr>
                <w:rFonts w:cs="Calibri Light"/>
                <w:lang w:eastAsia="en-AU"/>
              </w:rPr>
              <w:t>rmation to</w:t>
            </w:r>
            <w:r>
              <w:rPr>
                <w:rFonts w:cs="Calibri Light"/>
                <w:lang w:eastAsia="en-AU"/>
              </w:rPr>
              <w:t xml:space="preserve"> decision-makers </w:t>
            </w:r>
            <w:r w:rsidRPr="00D16BEB">
              <w:rPr>
                <w:rFonts w:cs="Calibri Light"/>
                <w:lang w:eastAsia="en-AU"/>
              </w:rPr>
              <w:t>at all l</w:t>
            </w:r>
            <w:r w:rsidRPr="00F3067F">
              <w:rPr>
                <w:rFonts w:cs="Calibri Light"/>
                <w:lang w:eastAsia="en-AU"/>
              </w:rPr>
              <w:t>evels, including participating store boards and other relevant policy makers, covering key food and nutrient performance indicators.</w:t>
            </w:r>
            <w:r>
              <w:rPr>
                <w:color w:val="000000"/>
                <w:szCs w:val="20"/>
              </w:rPr>
              <w:t xml:space="preserve"> </w:t>
            </w:r>
          </w:p>
          <w:p w14:paraId="1A38D8B9" w14:textId="77777777" w:rsidR="00A13ACB" w:rsidRPr="00D340DB" w:rsidRDefault="00A13ACB">
            <w:pPr>
              <w:rPr>
                <w:b/>
                <w:color w:val="000000"/>
                <w:lang w:eastAsia="en-AU"/>
              </w:rPr>
            </w:pPr>
            <w:r w:rsidRPr="00C31D65">
              <w:rPr>
                <w:i/>
                <w:color w:val="000000"/>
                <w:szCs w:val="20"/>
              </w:rPr>
              <w:t>Note</w:t>
            </w:r>
            <w:r>
              <w:rPr>
                <w:color w:val="000000"/>
                <w:szCs w:val="20"/>
              </w:rPr>
              <w:t xml:space="preserve">: as this project </w:t>
            </w:r>
            <w:r w:rsidR="001E3A63">
              <w:rPr>
                <w:color w:val="000000"/>
                <w:szCs w:val="20"/>
              </w:rPr>
              <w:t xml:space="preserve">was to create a database to enable the </w:t>
            </w:r>
            <w:r>
              <w:rPr>
                <w:color w:val="000000"/>
                <w:szCs w:val="20"/>
              </w:rPr>
              <w:t>continuous monitoring of store sale activities in real time</w:t>
            </w:r>
            <w:r w:rsidR="0056600C">
              <w:rPr>
                <w:color w:val="000000"/>
                <w:szCs w:val="20"/>
              </w:rPr>
              <w:t>,</w:t>
            </w:r>
            <w:r>
              <w:rPr>
                <w:color w:val="000000"/>
                <w:szCs w:val="20"/>
              </w:rPr>
              <w:t xml:space="preserve"> </w:t>
            </w:r>
            <w:r w:rsidR="001E3A63">
              <w:rPr>
                <w:color w:val="000000"/>
                <w:szCs w:val="20"/>
              </w:rPr>
              <w:t xml:space="preserve">there is no </w:t>
            </w:r>
            <w:r>
              <w:rPr>
                <w:color w:val="000000"/>
                <w:szCs w:val="20"/>
              </w:rPr>
              <w:t xml:space="preserve">evaluation report available for </w:t>
            </w:r>
            <w:r w:rsidR="001E3A63">
              <w:rPr>
                <w:color w:val="000000"/>
                <w:szCs w:val="20"/>
              </w:rPr>
              <w:t>publication</w:t>
            </w:r>
            <w:r>
              <w:rPr>
                <w:color w:val="000000"/>
                <w:szCs w:val="20"/>
              </w:rPr>
              <w:t>.</w:t>
            </w:r>
          </w:p>
        </w:tc>
        <w:tc>
          <w:tcPr>
            <w:tcW w:w="1417" w:type="dxa"/>
            <w:shd w:val="clear" w:color="auto" w:fill="auto"/>
          </w:tcPr>
          <w:p w14:paraId="11DEE12A" w14:textId="77777777" w:rsidR="00A13ACB" w:rsidRPr="00467864" w:rsidRDefault="00A13ACB" w:rsidP="00A13ACB">
            <w:pPr>
              <w:rPr>
                <w:color w:val="000000"/>
                <w:lang w:eastAsia="en-AU"/>
              </w:rPr>
            </w:pPr>
            <w:r w:rsidRPr="00467864">
              <w:rPr>
                <w:color w:val="000000"/>
                <w:lang w:eastAsia="en-AU"/>
              </w:rPr>
              <w:t>Safety and Wellbeing</w:t>
            </w:r>
          </w:p>
        </w:tc>
        <w:tc>
          <w:tcPr>
            <w:tcW w:w="1417" w:type="dxa"/>
          </w:tcPr>
          <w:p w14:paraId="2E70C553" w14:textId="77777777" w:rsidR="00A13ACB" w:rsidRDefault="00A13ACB" w:rsidP="00A13ACB">
            <w:pPr>
              <w:rPr>
                <w:color w:val="000000"/>
                <w:lang w:eastAsia="en-AU"/>
              </w:rPr>
            </w:pPr>
            <w:r>
              <w:rPr>
                <w:color w:val="000000"/>
                <w:lang w:eastAsia="en-AU"/>
              </w:rPr>
              <w:t>Capability</w:t>
            </w:r>
          </w:p>
        </w:tc>
      </w:tr>
      <w:tr w:rsidR="00A13ACB" w:rsidRPr="00467864" w14:paraId="534845C1" w14:textId="77777777" w:rsidTr="002F73C4">
        <w:trPr>
          <w:trHeight w:val="2817"/>
        </w:trPr>
        <w:tc>
          <w:tcPr>
            <w:tcW w:w="7508" w:type="dxa"/>
            <w:shd w:val="clear" w:color="auto" w:fill="auto"/>
          </w:tcPr>
          <w:p w14:paraId="676AB17C" w14:textId="77777777" w:rsidR="00A13ACB" w:rsidRPr="00D340DB" w:rsidRDefault="00A13ACB" w:rsidP="00A13ACB">
            <w:pPr>
              <w:rPr>
                <w:b/>
                <w:color w:val="000000"/>
                <w:lang w:eastAsia="en-AU"/>
              </w:rPr>
            </w:pPr>
            <w:r w:rsidRPr="00D340DB">
              <w:rPr>
                <w:b/>
                <w:color w:val="000000"/>
                <w:lang w:eastAsia="en-AU"/>
              </w:rPr>
              <w:t>Indigenous Broadcasting</w:t>
            </w:r>
          </w:p>
          <w:p w14:paraId="0327E03B" w14:textId="77777777" w:rsidR="00A13ACB" w:rsidRDefault="00A13ACB" w:rsidP="00A13ACB">
            <w:pPr>
              <w:rPr>
                <w:rFonts w:cs="Calibri Light"/>
                <w:szCs w:val="18"/>
                <w:lang w:eastAsia="en-AU"/>
              </w:rPr>
            </w:pPr>
            <w:r w:rsidRPr="00F3067F">
              <w:rPr>
                <w:rFonts w:cs="Calibri Light"/>
                <w:szCs w:val="18"/>
                <w:lang w:eastAsia="en-AU"/>
              </w:rPr>
              <w:t>This review</w:t>
            </w:r>
            <w:r>
              <w:rPr>
                <w:rFonts w:cs="Calibri Light"/>
                <w:szCs w:val="18"/>
                <w:lang w:eastAsia="en-AU"/>
              </w:rPr>
              <w:t xml:space="preserve"> on </w:t>
            </w:r>
            <w:r w:rsidRPr="00F3067F">
              <w:rPr>
                <w:rFonts w:cs="Calibri Light"/>
                <w:szCs w:val="18"/>
                <w:lang w:eastAsia="en-AU"/>
              </w:rPr>
              <w:t>Indigenous Broadcasting provide</w:t>
            </w:r>
            <w:r>
              <w:rPr>
                <w:rFonts w:cs="Calibri Light"/>
                <w:szCs w:val="18"/>
                <w:lang w:eastAsia="en-AU"/>
              </w:rPr>
              <w:t>d</w:t>
            </w:r>
            <w:r w:rsidRPr="00F3067F">
              <w:rPr>
                <w:rFonts w:cs="Calibri Light"/>
                <w:szCs w:val="18"/>
                <w:lang w:eastAsia="en-AU"/>
              </w:rPr>
              <w:t xml:space="preserve"> insight into the impact</w:t>
            </w:r>
            <w:r w:rsidR="001E3A63">
              <w:rPr>
                <w:rFonts w:cs="Calibri Light"/>
                <w:szCs w:val="18"/>
                <w:lang w:eastAsia="en-AU"/>
              </w:rPr>
              <w:t xml:space="preserve"> </w:t>
            </w:r>
            <w:r w:rsidRPr="00F3067F">
              <w:rPr>
                <w:rFonts w:cs="Calibri Light"/>
                <w:szCs w:val="18"/>
                <w:lang w:eastAsia="en-AU"/>
              </w:rPr>
              <w:t>Indigenous Broadcasting is having on stakeholders through stakeholder surveys and indicators</w:t>
            </w:r>
            <w:r>
              <w:rPr>
                <w:rFonts w:cs="Calibri Light"/>
                <w:szCs w:val="18"/>
                <w:lang w:eastAsia="en-AU"/>
              </w:rPr>
              <w:t>,</w:t>
            </w:r>
            <w:r w:rsidRPr="00F3067F">
              <w:rPr>
                <w:rFonts w:cs="Calibri Light"/>
                <w:szCs w:val="18"/>
                <w:lang w:eastAsia="en-AU"/>
              </w:rPr>
              <w:t xml:space="preserve"> and </w:t>
            </w:r>
            <w:r>
              <w:rPr>
                <w:rFonts w:cs="Calibri Light"/>
                <w:szCs w:val="18"/>
                <w:lang w:eastAsia="en-AU"/>
              </w:rPr>
              <w:t>used</w:t>
            </w:r>
            <w:r w:rsidRPr="00F3067F">
              <w:rPr>
                <w:rFonts w:cs="Calibri Light"/>
                <w:szCs w:val="18"/>
                <w:lang w:eastAsia="en-AU"/>
              </w:rPr>
              <w:t xml:space="preserve"> financial proxies to value outcomes.</w:t>
            </w:r>
          </w:p>
          <w:p w14:paraId="2BD1E66A" w14:textId="77777777" w:rsidR="00A13ACB" w:rsidRPr="00F87220" w:rsidRDefault="00A13ACB" w:rsidP="00A13ACB">
            <w:pPr>
              <w:rPr>
                <w:rFonts w:cs="Calibri Light"/>
                <w:i/>
                <w:szCs w:val="18"/>
                <w:lang w:eastAsia="en-AU"/>
              </w:rPr>
            </w:pPr>
            <w:r w:rsidRPr="00F87220">
              <w:rPr>
                <w:rFonts w:cs="Calibri Light"/>
                <w:i/>
                <w:szCs w:val="18"/>
                <w:lang w:eastAsia="en-AU"/>
              </w:rPr>
              <w:t>Publication date:</w:t>
            </w:r>
            <w:r w:rsidRPr="00F87220">
              <w:rPr>
                <w:i/>
                <w:color w:val="000000"/>
                <w:lang w:eastAsia="en-AU"/>
              </w:rPr>
              <w:t xml:space="preserve"> </w:t>
            </w:r>
            <w:r w:rsidR="00884A80">
              <w:rPr>
                <w:i/>
                <w:color w:val="000000"/>
                <w:lang w:eastAsia="en-AU"/>
              </w:rPr>
              <w:t>March 2018</w:t>
            </w:r>
          </w:p>
          <w:p w14:paraId="1E678B63" w14:textId="77777777" w:rsidR="00805382" w:rsidRDefault="005E2FE2" w:rsidP="002F73C4">
            <w:pPr>
              <w:rPr>
                <w:rStyle w:val="Hyperlink"/>
                <w:rFonts w:cs="Calibri Light"/>
                <w:szCs w:val="18"/>
                <w:lang w:eastAsia="en-AU"/>
              </w:rPr>
            </w:pPr>
            <w:r>
              <w:rPr>
                <w:rFonts w:cs="Calibri Light"/>
                <w:szCs w:val="18"/>
                <w:lang w:eastAsia="en-AU"/>
              </w:rPr>
              <w:t>Report</w:t>
            </w:r>
            <w:r w:rsidR="00A13ACB" w:rsidRPr="00BC77E0">
              <w:rPr>
                <w:rFonts w:cs="Calibri Light"/>
                <w:szCs w:val="18"/>
                <w:lang w:eastAsia="en-AU"/>
              </w:rPr>
              <w:t xml:space="preserve">: </w:t>
            </w:r>
            <w:hyperlink r:id="rId19" w:history="1">
              <w:r w:rsidRPr="005E2FE2">
                <w:rPr>
                  <w:rStyle w:val="Hyperlink"/>
                  <w:rFonts w:cs="Calibri Light"/>
                  <w:szCs w:val="18"/>
                  <w:lang w:eastAsia="en-AU"/>
                </w:rPr>
                <w:t>More than radio – a community asset: Social Return on Investment analyses of Indigenous Broadcasting Services</w:t>
              </w:r>
            </w:hyperlink>
          </w:p>
          <w:p w14:paraId="78678647" w14:textId="50C13052" w:rsidR="002F73C4" w:rsidRPr="00D340DB" w:rsidRDefault="002F73C4" w:rsidP="002F73C4">
            <w:pPr>
              <w:rPr>
                <w:b/>
                <w:color w:val="000000"/>
                <w:lang w:eastAsia="en-AU"/>
              </w:rPr>
            </w:pPr>
          </w:p>
        </w:tc>
        <w:tc>
          <w:tcPr>
            <w:tcW w:w="1417" w:type="dxa"/>
            <w:shd w:val="clear" w:color="auto" w:fill="auto"/>
          </w:tcPr>
          <w:p w14:paraId="36975837" w14:textId="77777777" w:rsidR="00A13ACB" w:rsidRPr="00467864" w:rsidRDefault="00A13ACB" w:rsidP="00A13ACB">
            <w:pPr>
              <w:rPr>
                <w:color w:val="000000"/>
                <w:lang w:eastAsia="en-AU"/>
              </w:rPr>
            </w:pPr>
            <w:r w:rsidRPr="00467864">
              <w:rPr>
                <w:color w:val="000000"/>
                <w:lang w:eastAsia="en-AU"/>
              </w:rPr>
              <w:t>Culture and Capability</w:t>
            </w:r>
          </w:p>
        </w:tc>
        <w:tc>
          <w:tcPr>
            <w:tcW w:w="1417" w:type="dxa"/>
          </w:tcPr>
          <w:p w14:paraId="67200AB9" w14:textId="77777777" w:rsidR="00A13ACB" w:rsidRDefault="00A13ACB" w:rsidP="00A13ACB">
            <w:pPr>
              <w:rPr>
                <w:color w:val="000000"/>
                <w:lang w:eastAsia="en-AU"/>
              </w:rPr>
            </w:pPr>
            <w:r w:rsidRPr="00F05D6E">
              <w:rPr>
                <w:color w:val="000000"/>
                <w:lang w:eastAsia="en-AU"/>
              </w:rPr>
              <w:t>Review</w:t>
            </w:r>
          </w:p>
        </w:tc>
      </w:tr>
      <w:tr w:rsidR="00A13ACB" w:rsidRPr="00467864" w14:paraId="4BE2DD3E" w14:textId="77777777" w:rsidTr="000F2C1E">
        <w:trPr>
          <w:trHeight w:val="340"/>
        </w:trPr>
        <w:tc>
          <w:tcPr>
            <w:tcW w:w="7508" w:type="dxa"/>
            <w:shd w:val="clear" w:color="auto" w:fill="auto"/>
          </w:tcPr>
          <w:p w14:paraId="16A8E232" w14:textId="77777777" w:rsidR="00A13ACB" w:rsidRPr="00D340DB" w:rsidRDefault="00A13ACB" w:rsidP="00A13ACB">
            <w:pPr>
              <w:rPr>
                <w:b/>
                <w:color w:val="000000"/>
                <w:lang w:eastAsia="en-AU"/>
              </w:rPr>
            </w:pPr>
            <w:r w:rsidRPr="00D340DB">
              <w:rPr>
                <w:b/>
                <w:color w:val="000000"/>
                <w:lang w:eastAsia="en-AU"/>
              </w:rPr>
              <w:t>Indigenous Procurement Policy</w:t>
            </w:r>
          </w:p>
          <w:p w14:paraId="67FA4CE9" w14:textId="77777777" w:rsidR="00A13ACB" w:rsidRDefault="00A13ACB" w:rsidP="00A13ACB">
            <w:pPr>
              <w:rPr>
                <w:rFonts w:cs="Calibri Light"/>
                <w:szCs w:val="18"/>
                <w:lang w:eastAsia="en-AU"/>
              </w:rPr>
            </w:pPr>
            <w:r>
              <w:rPr>
                <w:rFonts w:cs="Calibri Light"/>
                <w:szCs w:val="18"/>
                <w:lang w:eastAsia="en-AU"/>
              </w:rPr>
              <w:t xml:space="preserve">This </w:t>
            </w:r>
            <w:r w:rsidRPr="00667D18">
              <w:rPr>
                <w:rFonts w:cs="Calibri Light"/>
                <w:szCs w:val="18"/>
                <w:lang w:eastAsia="en-AU"/>
              </w:rPr>
              <w:t xml:space="preserve">review </w:t>
            </w:r>
            <w:r>
              <w:rPr>
                <w:rFonts w:cs="Calibri Light"/>
                <w:szCs w:val="18"/>
                <w:lang w:eastAsia="en-AU"/>
              </w:rPr>
              <w:t xml:space="preserve">examined </w:t>
            </w:r>
            <w:r w:rsidRPr="00667D18">
              <w:rPr>
                <w:rFonts w:cs="Calibri Light"/>
                <w:szCs w:val="18"/>
                <w:lang w:eastAsia="en-AU"/>
              </w:rPr>
              <w:t>the first year of implementation of the Indigenous Procurement Policy.</w:t>
            </w:r>
          </w:p>
          <w:p w14:paraId="0865820E" w14:textId="77777777" w:rsidR="00A13ACB" w:rsidRPr="00F87220" w:rsidRDefault="00A13ACB" w:rsidP="00A13ACB">
            <w:pPr>
              <w:spacing w:before="40"/>
              <w:rPr>
                <w:i/>
                <w:color w:val="000000"/>
                <w:szCs w:val="20"/>
              </w:rPr>
            </w:pPr>
            <w:r w:rsidRPr="00F87220">
              <w:rPr>
                <w:i/>
                <w:color w:val="000000"/>
                <w:szCs w:val="20"/>
              </w:rPr>
              <w:t>Publication date:</w:t>
            </w:r>
            <w:r w:rsidRPr="00F87220">
              <w:rPr>
                <w:i/>
                <w:color w:val="000000"/>
                <w:lang w:eastAsia="en-AU"/>
              </w:rPr>
              <w:t xml:space="preserve"> </w:t>
            </w:r>
            <w:r w:rsidR="00884A80">
              <w:rPr>
                <w:i/>
                <w:color w:val="000000"/>
                <w:lang w:eastAsia="en-AU"/>
              </w:rPr>
              <w:t xml:space="preserve">November </w:t>
            </w:r>
            <w:r w:rsidRPr="00F87220">
              <w:rPr>
                <w:i/>
                <w:color w:val="000000"/>
                <w:lang w:eastAsia="en-AU"/>
              </w:rPr>
              <w:t>2017</w:t>
            </w:r>
          </w:p>
          <w:p w14:paraId="393B0CC8" w14:textId="77777777" w:rsidR="00A13ACB" w:rsidRPr="00D340DB" w:rsidRDefault="00FB3711" w:rsidP="00A13ACB">
            <w:pPr>
              <w:rPr>
                <w:b/>
                <w:color w:val="000000"/>
                <w:lang w:eastAsia="en-AU"/>
              </w:rPr>
            </w:pPr>
            <w:r>
              <w:rPr>
                <w:color w:val="000000"/>
                <w:szCs w:val="20"/>
              </w:rPr>
              <w:t>Report</w:t>
            </w:r>
            <w:r w:rsidR="00A13ACB">
              <w:rPr>
                <w:color w:val="000000"/>
                <w:szCs w:val="20"/>
              </w:rPr>
              <w:t xml:space="preserve">: </w:t>
            </w:r>
            <w:hyperlink r:id="rId20" w:history="1">
              <w:r w:rsidR="00A13ACB" w:rsidRPr="00DE063B">
                <w:rPr>
                  <w:rStyle w:val="Hyperlink"/>
                  <w:szCs w:val="20"/>
                </w:rPr>
                <w:t>Year one review of the Indigenous Procurement Policy</w:t>
              </w:r>
            </w:hyperlink>
            <w:r w:rsidR="00A13ACB">
              <w:rPr>
                <w:color w:val="000000"/>
                <w:szCs w:val="20"/>
              </w:rPr>
              <w:t xml:space="preserve"> </w:t>
            </w:r>
          </w:p>
        </w:tc>
        <w:tc>
          <w:tcPr>
            <w:tcW w:w="1417" w:type="dxa"/>
            <w:shd w:val="clear" w:color="auto" w:fill="auto"/>
          </w:tcPr>
          <w:p w14:paraId="29662941" w14:textId="77777777" w:rsidR="00A13ACB" w:rsidRPr="00467864" w:rsidRDefault="00A13ACB" w:rsidP="00A13ACB">
            <w:pPr>
              <w:rPr>
                <w:color w:val="000000"/>
                <w:lang w:eastAsia="en-AU"/>
              </w:rPr>
            </w:pPr>
            <w:r w:rsidRPr="00467864">
              <w:rPr>
                <w:color w:val="000000"/>
                <w:lang w:eastAsia="en-AU"/>
              </w:rPr>
              <w:t>Jobs, Land and Economy</w:t>
            </w:r>
          </w:p>
        </w:tc>
        <w:tc>
          <w:tcPr>
            <w:tcW w:w="1417" w:type="dxa"/>
          </w:tcPr>
          <w:p w14:paraId="4F4958DC" w14:textId="77777777" w:rsidR="00A13ACB" w:rsidRDefault="00A13ACB" w:rsidP="00A13ACB">
            <w:pPr>
              <w:rPr>
                <w:color w:val="000000"/>
                <w:lang w:eastAsia="en-AU"/>
              </w:rPr>
            </w:pPr>
            <w:r>
              <w:rPr>
                <w:color w:val="000000"/>
                <w:lang w:eastAsia="en-AU"/>
              </w:rPr>
              <w:t>Review</w:t>
            </w:r>
          </w:p>
        </w:tc>
      </w:tr>
      <w:tr w:rsidR="00A13ACB" w:rsidRPr="00467864" w14:paraId="683F4726" w14:textId="77777777" w:rsidTr="00A517AB">
        <w:trPr>
          <w:trHeight w:val="1175"/>
        </w:trPr>
        <w:tc>
          <w:tcPr>
            <w:tcW w:w="7508" w:type="dxa"/>
            <w:shd w:val="clear" w:color="auto" w:fill="auto"/>
          </w:tcPr>
          <w:p w14:paraId="594E6DE3" w14:textId="77777777" w:rsidR="00A13ACB" w:rsidRPr="00D340DB" w:rsidRDefault="00A13ACB" w:rsidP="00A13ACB">
            <w:pPr>
              <w:rPr>
                <w:b/>
                <w:color w:val="000000"/>
                <w:lang w:eastAsia="en-AU"/>
              </w:rPr>
            </w:pPr>
            <w:r w:rsidRPr="00D340DB">
              <w:rPr>
                <w:b/>
                <w:color w:val="000000"/>
                <w:lang w:eastAsia="en-AU"/>
              </w:rPr>
              <w:t>Indigenous Scholarships</w:t>
            </w:r>
          </w:p>
          <w:p w14:paraId="30DA798E" w14:textId="77777777" w:rsidR="00A13ACB" w:rsidRDefault="00A13ACB" w:rsidP="00A13ACB">
            <w:pPr>
              <w:rPr>
                <w:lang w:eastAsia="en-AU"/>
              </w:rPr>
            </w:pPr>
            <w:r>
              <w:rPr>
                <w:lang w:eastAsia="en-AU"/>
              </w:rPr>
              <w:t xml:space="preserve">This </w:t>
            </w:r>
            <w:r w:rsidRPr="000F5365">
              <w:rPr>
                <w:lang w:eastAsia="en-AU"/>
              </w:rPr>
              <w:t xml:space="preserve">initial review of IAS funded secondary school scholarships </w:t>
            </w:r>
            <w:r w:rsidR="0016188E">
              <w:rPr>
                <w:lang w:eastAsia="en-AU"/>
              </w:rPr>
              <w:t xml:space="preserve">identified areas for data </w:t>
            </w:r>
            <w:r w:rsidRPr="000F5365">
              <w:rPr>
                <w:lang w:eastAsia="en-AU"/>
              </w:rPr>
              <w:t>improvement to support ongoing monitoring and impact evaluation.</w:t>
            </w:r>
          </w:p>
          <w:p w14:paraId="4875F921" w14:textId="77777777" w:rsidR="00A13ACB" w:rsidRPr="00F87220" w:rsidRDefault="00A13ACB" w:rsidP="00A13ACB">
            <w:pPr>
              <w:spacing w:before="40"/>
              <w:rPr>
                <w:i/>
                <w:color w:val="000000"/>
                <w:szCs w:val="20"/>
              </w:rPr>
            </w:pPr>
            <w:r w:rsidRPr="00F87220">
              <w:rPr>
                <w:i/>
                <w:color w:val="000000"/>
                <w:szCs w:val="20"/>
              </w:rPr>
              <w:t>Publication date:</w:t>
            </w:r>
            <w:r w:rsidRPr="00F87220">
              <w:rPr>
                <w:i/>
                <w:color w:val="000000"/>
                <w:lang w:eastAsia="en-AU"/>
              </w:rPr>
              <w:t xml:space="preserve"> </w:t>
            </w:r>
            <w:r w:rsidR="00884A80">
              <w:rPr>
                <w:i/>
                <w:color w:val="000000"/>
                <w:lang w:eastAsia="en-AU"/>
              </w:rPr>
              <w:t>March</w:t>
            </w:r>
            <w:r w:rsidRPr="00F87220">
              <w:rPr>
                <w:i/>
                <w:color w:val="000000"/>
                <w:lang w:eastAsia="en-AU"/>
              </w:rPr>
              <w:t xml:space="preserve"> 201</w:t>
            </w:r>
            <w:r w:rsidR="00884A80">
              <w:rPr>
                <w:i/>
                <w:color w:val="000000"/>
                <w:lang w:eastAsia="en-AU"/>
              </w:rPr>
              <w:t>8</w:t>
            </w:r>
          </w:p>
          <w:p w14:paraId="70E337D5" w14:textId="77777777" w:rsidR="00A13ACB" w:rsidRPr="00D340DB" w:rsidRDefault="00FB3711" w:rsidP="00FB3711">
            <w:pPr>
              <w:rPr>
                <w:b/>
                <w:color w:val="000000"/>
                <w:lang w:eastAsia="en-AU"/>
              </w:rPr>
            </w:pPr>
            <w:r>
              <w:rPr>
                <w:color w:val="000000"/>
                <w:szCs w:val="20"/>
              </w:rPr>
              <w:lastRenderedPageBreak/>
              <w:t xml:space="preserve">Report: </w:t>
            </w:r>
            <w:hyperlink r:id="rId21" w:history="1">
              <w:r w:rsidRPr="00FB3711">
                <w:rPr>
                  <w:rStyle w:val="Hyperlink"/>
                  <w:szCs w:val="20"/>
                </w:rPr>
                <w:t>Review of the IAS funded secondary school scholarships for Aboriginal and Torres Strait Islander Students</w:t>
              </w:r>
            </w:hyperlink>
          </w:p>
        </w:tc>
        <w:tc>
          <w:tcPr>
            <w:tcW w:w="1417" w:type="dxa"/>
            <w:shd w:val="clear" w:color="auto" w:fill="auto"/>
          </w:tcPr>
          <w:p w14:paraId="57E1E635" w14:textId="77777777" w:rsidR="00A13ACB" w:rsidRPr="00467864" w:rsidRDefault="00A13ACB" w:rsidP="00A13ACB">
            <w:pPr>
              <w:rPr>
                <w:color w:val="000000"/>
                <w:lang w:eastAsia="en-AU"/>
              </w:rPr>
            </w:pPr>
            <w:r w:rsidRPr="00467864">
              <w:rPr>
                <w:color w:val="000000"/>
                <w:lang w:eastAsia="en-AU"/>
              </w:rPr>
              <w:lastRenderedPageBreak/>
              <w:t>Children and Schooling</w:t>
            </w:r>
          </w:p>
        </w:tc>
        <w:tc>
          <w:tcPr>
            <w:tcW w:w="1417" w:type="dxa"/>
          </w:tcPr>
          <w:p w14:paraId="1049549A" w14:textId="77777777" w:rsidR="00A13ACB" w:rsidRDefault="00A13ACB" w:rsidP="00A13ACB">
            <w:pPr>
              <w:rPr>
                <w:color w:val="000000"/>
                <w:lang w:eastAsia="en-AU"/>
              </w:rPr>
            </w:pPr>
            <w:r>
              <w:rPr>
                <w:color w:val="000000"/>
                <w:lang w:eastAsia="en-AU"/>
              </w:rPr>
              <w:t>Review</w:t>
            </w:r>
          </w:p>
        </w:tc>
      </w:tr>
      <w:tr w:rsidR="00A13ACB" w:rsidRPr="00467864" w14:paraId="3AED1098" w14:textId="77777777" w:rsidTr="00A517AB">
        <w:trPr>
          <w:trHeight w:val="1029"/>
        </w:trPr>
        <w:tc>
          <w:tcPr>
            <w:tcW w:w="7508" w:type="dxa"/>
            <w:shd w:val="clear" w:color="auto" w:fill="auto"/>
          </w:tcPr>
          <w:p w14:paraId="5E996747" w14:textId="77777777" w:rsidR="00A13ACB" w:rsidRPr="00D340DB" w:rsidRDefault="00A13ACB" w:rsidP="00A13ACB">
            <w:pPr>
              <w:rPr>
                <w:b/>
                <w:color w:val="000000"/>
                <w:lang w:eastAsia="en-AU"/>
              </w:rPr>
            </w:pPr>
            <w:r w:rsidRPr="00D340DB">
              <w:rPr>
                <w:b/>
                <w:color w:val="000000"/>
                <w:lang w:eastAsia="en-AU"/>
              </w:rPr>
              <w:t>Stronger Communities for Children</w:t>
            </w:r>
            <w:r>
              <w:rPr>
                <w:b/>
                <w:color w:val="000000"/>
                <w:lang w:eastAsia="en-AU"/>
              </w:rPr>
              <w:t xml:space="preserve"> Program</w:t>
            </w:r>
          </w:p>
          <w:p w14:paraId="3E1BECE7" w14:textId="77777777" w:rsidR="00A13ACB" w:rsidRDefault="00A13ACB" w:rsidP="00A13ACB">
            <w:pPr>
              <w:rPr>
                <w:lang w:eastAsia="en-AU"/>
              </w:rPr>
            </w:pPr>
            <w:r>
              <w:rPr>
                <w:lang w:eastAsia="en-AU"/>
              </w:rPr>
              <w:t>This</w:t>
            </w:r>
            <w:r w:rsidRPr="000F5365">
              <w:rPr>
                <w:lang w:eastAsia="en-AU"/>
              </w:rPr>
              <w:t xml:space="preserve"> </w:t>
            </w:r>
            <w:r>
              <w:rPr>
                <w:lang w:eastAsia="en-AU"/>
              </w:rPr>
              <w:t xml:space="preserve">implementation </w:t>
            </w:r>
            <w:r w:rsidRPr="000F5365">
              <w:rPr>
                <w:lang w:eastAsia="en-AU"/>
              </w:rPr>
              <w:t>evaluation assess</w:t>
            </w:r>
            <w:r>
              <w:rPr>
                <w:lang w:eastAsia="en-AU"/>
              </w:rPr>
              <w:t xml:space="preserve">ed the </w:t>
            </w:r>
            <w:r w:rsidRPr="000F5365">
              <w:rPr>
                <w:lang w:eastAsia="en-AU"/>
              </w:rPr>
              <w:t xml:space="preserve">progress </w:t>
            </w:r>
            <w:r w:rsidR="0016188E">
              <w:rPr>
                <w:lang w:eastAsia="en-AU"/>
              </w:rPr>
              <w:t xml:space="preserve">achieved to date on the delivery of </w:t>
            </w:r>
            <w:r w:rsidRPr="000F5365">
              <w:rPr>
                <w:lang w:eastAsia="en-AU"/>
              </w:rPr>
              <w:t xml:space="preserve">a range of </w:t>
            </w:r>
            <w:r w:rsidR="0016188E">
              <w:rPr>
                <w:lang w:eastAsia="en-AU"/>
              </w:rPr>
              <w:t xml:space="preserve">program </w:t>
            </w:r>
            <w:r w:rsidRPr="000F5365">
              <w:rPr>
                <w:lang w:eastAsia="en-AU"/>
              </w:rPr>
              <w:t>outcomes.</w:t>
            </w:r>
          </w:p>
          <w:p w14:paraId="505C3927" w14:textId="77777777" w:rsidR="00A13ACB" w:rsidRPr="00F87220" w:rsidRDefault="00A13ACB" w:rsidP="00A13ACB">
            <w:pPr>
              <w:spacing w:before="40"/>
              <w:rPr>
                <w:i/>
                <w:color w:val="000000"/>
                <w:szCs w:val="20"/>
              </w:rPr>
            </w:pPr>
            <w:r w:rsidRPr="00F87220">
              <w:rPr>
                <w:i/>
                <w:color w:val="000000"/>
                <w:szCs w:val="20"/>
              </w:rPr>
              <w:t>Publication date:</w:t>
            </w:r>
            <w:r w:rsidRPr="00F87220">
              <w:rPr>
                <w:i/>
                <w:color w:val="000000"/>
                <w:lang w:eastAsia="en-AU"/>
              </w:rPr>
              <w:t xml:space="preserve"> December 2017</w:t>
            </w:r>
          </w:p>
          <w:p w14:paraId="7D0961D5" w14:textId="77777777" w:rsidR="00A13ACB" w:rsidRPr="00D340DB" w:rsidRDefault="00FB3711" w:rsidP="00FB3711">
            <w:pPr>
              <w:spacing w:before="40"/>
              <w:rPr>
                <w:b/>
                <w:color w:val="000000"/>
                <w:lang w:eastAsia="en-AU"/>
              </w:rPr>
            </w:pPr>
            <w:r>
              <w:rPr>
                <w:color w:val="000000"/>
                <w:szCs w:val="20"/>
              </w:rPr>
              <w:t>Report</w:t>
            </w:r>
            <w:r w:rsidR="00A13ACB">
              <w:rPr>
                <w:color w:val="000000"/>
                <w:szCs w:val="20"/>
              </w:rPr>
              <w:t>:</w:t>
            </w:r>
            <w:r>
              <w:rPr>
                <w:color w:val="000000"/>
                <w:szCs w:val="20"/>
              </w:rPr>
              <w:t xml:space="preserve"> </w:t>
            </w:r>
            <w:hyperlink r:id="rId22" w:history="1">
              <w:r w:rsidRPr="00FB3711">
                <w:rPr>
                  <w:rStyle w:val="Hyperlink"/>
                  <w:szCs w:val="20"/>
                </w:rPr>
                <w:t>Stronger Communities for Children</w:t>
              </w:r>
            </w:hyperlink>
          </w:p>
        </w:tc>
        <w:tc>
          <w:tcPr>
            <w:tcW w:w="1417" w:type="dxa"/>
            <w:shd w:val="clear" w:color="auto" w:fill="auto"/>
          </w:tcPr>
          <w:p w14:paraId="6BFB3252" w14:textId="77777777" w:rsidR="00A13ACB" w:rsidRPr="00467864" w:rsidRDefault="00A13ACB" w:rsidP="00A13ACB">
            <w:pPr>
              <w:rPr>
                <w:color w:val="000000"/>
                <w:lang w:eastAsia="en-AU"/>
              </w:rPr>
            </w:pPr>
            <w:r w:rsidRPr="00467864">
              <w:rPr>
                <w:color w:val="000000"/>
                <w:lang w:eastAsia="en-AU"/>
              </w:rPr>
              <w:t>Children and Schooling</w:t>
            </w:r>
          </w:p>
        </w:tc>
        <w:tc>
          <w:tcPr>
            <w:tcW w:w="1417" w:type="dxa"/>
          </w:tcPr>
          <w:p w14:paraId="1EC65D11" w14:textId="77777777" w:rsidR="00A13ACB" w:rsidRPr="00467864" w:rsidRDefault="00A13ACB" w:rsidP="00A13ACB">
            <w:pPr>
              <w:rPr>
                <w:color w:val="000000"/>
                <w:lang w:eastAsia="en-AU"/>
              </w:rPr>
            </w:pPr>
            <w:r w:rsidRPr="00156E22">
              <w:rPr>
                <w:color w:val="000000"/>
                <w:lang w:eastAsia="en-AU"/>
              </w:rPr>
              <w:t>Evaluation</w:t>
            </w:r>
          </w:p>
        </w:tc>
      </w:tr>
    </w:tbl>
    <w:p w14:paraId="33A272A2" w14:textId="77777777" w:rsidR="008748E5" w:rsidRDefault="00323914">
      <w:pPr>
        <w:spacing w:after="200"/>
        <w:rPr>
          <w:sz w:val="56"/>
          <w:szCs w:val="56"/>
        </w:rPr>
      </w:pPr>
      <w:r>
        <w:rPr>
          <w:sz w:val="56"/>
          <w:szCs w:val="56"/>
        </w:rPr>
        <w:br w:type="page"/>
      </w:r>
    </w:p>
    <w:p w14:paraId="7A147B67" w14:textId="77777777" w:rsidR="008E3ECD" w:rsidRDefault="00A51E7F" w:rsidP="008E3ECD">
      <w:pPr>
        <w:pStyle w:val="h2blue"/>
      </w:pPr>
      <w:bookmarkStart w:id="104" w:name="_Toc531862185"/>
      <w:r w:rsidRPr="00A51E7F">
        <w:lastRenderedPageBreak/>
        <w:t>E</w:t>
      </w:r>
      <w:r w:rsidR="00152F3E">
        <w:t>valuations</w:t>
      </w:r>
      <w:r w:rsidRPr="00A51E7F">
        <w:t>/R</w:t>
      </w:r>
      <w:r w:rsidR="00521B92">
        <w:t xml:space="preserve">eviews </w:t>
      </w:r>
      <w:r w:rsidR="00E03DE2">
        <w:t>c</w:t>
      </w:r>
      <w:r w:rsidR="00BC66D1">
        <w:t xml:space="preserve">ompleted </w:t>
      </w:r>
      <w:r w:rsidR="00E03DE2">
        <w:t>b</w:t>
      </w:r>
      <w:r w:rsidR="00192945">
        <w:t xml:space="preserve">ut </w:t>
      </w:r>
      <w:r w:rsidR="00E03DE2">
        <w:t>a</w:t>
      </w:r>
      <w:r w:rsidR="008E3ECD">
        <w:t xml:space="preserve">waiting </w:t>
      </w:r>
      <w:r w:rsidR="00E03DE2">
        <w:t>r</w:t>
      </w:r>
      <w:r w:rsidR="00BC66D1">
        <w:t>e</w:t>
      </w:r>
      <w:r w:rsidR="00247C1A">
        <w:t>lease</w:t>
      </w:r>
      <w:bookmarkEnd w:id="104"/>
    </w:p>
    <w:p w14:paraId="7ECF145A" w14:textId="77777777" w:rsidR="008E3ECD" w:rsidRDefault="008E3ECD" w:rsidP="009565B9">
      <w:pPr>
        <w:rPr>
          <w:szCs w:val="18"/>
        </w:rPr>
      </w:pPr>
      <w:r>
        <w:rPr>
          <w:szCs w:val="18"/>
        </w:rPr>
        <w:t>The evaluations/reviews listed below are</w:t>
      </w:r>
      <w:r w:rsidR="00BC66D1">
        <w:rPr>
          <w:szCs w:val="18"/>
        </w:rPr>
        <w:t xml:space="preserve"> completed but </w:t>
      </w:r>
      <w:r>
        <w:rPr>
          <w:szCs w:val="18"/>
        </w:rPr>
        <w:t xml:space="preserve">awaiting </w:t>
      </w:r>
      <w:r w:rsidR="00BC66D1">
        <w:rPr>
          <w:szCs w:val="18"/>
        </w:rPr>
        <w:t>re</w:t>
      </w:r>
      <w:r w:rsidR="00247C1A">
        <w:rPr>
          <w:szCs w:val="18"/>
        </w:rPr>
        <w:t>lease</w:t>
      </w:r>
      <w:r w:rsidR="00BC66D1">
        <w:rPr>
          <w:szCs w:val="18"/>
        </w:rPr>
        <w:t xml:space="preserve">. </w:t>
      </w:r>
      <w:r w:rsidR="009565B9">
        <w:rPr>
          <w:szCs w:val="18"/>
        </w:rPr>
        <w:t xml:space="preserve"> </w:t>
      </w:r>
    </w:p>
    <w:p w14:paraId="694CBD4D" w14:textId="77777777" w:rsidR="008E3ECD" w:rsidRPr="00F61835" w:rsidRDefault="008E3ECD" w:rsidP="008E3ECD">
      <w:pPr>
        <w:pStyle w:val="h3green"/>
      </w:pPr>
      <w:bookmarkStart w:id="105" w:name="_Toc531862186"/>
      <w:r w:rsidRPr="00091AB8">
        <w:t>Cross</w:t>
      </w:r>
      <w:r>
        <w:t>-</w:t>
      </w:r>
      <w:r w:rsidRPr="00091AB8">
        <w:t xml:space="preserve">cutting </w:t>
      </w:r>
      <w:r>
        <w:t>evaluations/reviews/capability</w:t>
      </w:r>
      <w:bookmarkEnd w:id="105"/>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leted cross-cutting evaluations/reviews/capability"/>
        <w:tblDescription w:val="This table lists cross-cutting evaluations, reviews and capability projects that were completed in 2017-18. It  provides a description and, where available, a link to the report."/>
      </w:tblPr>
      <w:tblGrid>
        <w:gridCol w:w="8130"/>
        <w:gridCol w:w="1793"/>
      </w:tblGrid>
      <w:tr w:rsidR="008E3ECD" w:rsidRPr="00467864" w14:paraId="70EA103F" w14:textId="77777777" w:rsidTr="008E3ECD">
        <w:trPr>
          <w:trHeight w:val="728"/>
          <w:tblHeader/>
        </w:trPr>
        <w:tc>
          <w:tcPr>
            <w:tcW w:w="8130" w:type="dxa"/>
            <w:shd w:val="clear" w:color="auto" w:fill="BFBFBF" w:themeFill="background1" w:themeFillShade="BF"/>
            <w:hideMark/>
          </w:tcPr>
          <w:p w14:paraId="40070F82" w14:textId="77777777" w:rsidR="008E3ECD" w:rsidRPr="00467864" w:rsidRDefault="008E3ECD" w:rsidP="008E3ECD">
            <w:pPr>
              <w:rPr>
                <w:b/>
                <w:lang w:eastAsia="en-AU"/>
              </w:rPr>
            </w:pPr>
            <w:r w:rsidRPr="00A26DAA">
              <w:rPr>
                <w:b/>
                <w:lang w:eastAsia="en-AU"/>
              </w:rPr>
              <w:t>Description</w:t>
            </w:r>
          </w:p>
        </w:tc>
        <w:tc>
          <w:tcPr>
            <w:tcW w:w="1793" w:type="dxa"/>
            <w:shd w:val="clear" w:color="auto" w:fill="BFBFBF" w:themeFill="background1" w:themeFillShade="BF"/>
          </w:tcPr>
          <w:p w14:paraId="69EAD494" w14:textId="77777777" w:rsidR="008E3ECD" w:rsidRPr="00467864" w:rsidRDefault="008E3ECD" w:rsidP="008E3ECD">
            <w:pPr>
              <w:rPr>
                <w:b/>
                <w:lang w:eastAsia="en-AU"/>
              </w:rPr>
            </w:pPr>
            <w:r>
              <w:rPr>
                <w:b/>
                <w:lang w:eastAsia="en-AU"/>
              </w:rPr>
              <w:t>Type</w:t>
            </w:r>
          </w:p>
        </w:tc>
      </w:tr>
      <w:tr w:rsidR="008E3ECD" w:rsidRPr="00467864" w14:paraId="5DE74E1E" w14:textId="77777777" w:rsidTr="008E3ECD">
        <w:trPr>
          <w:trHeight w:val="921"/>
        </w:trPr>
        <w:tc>
          <w:tcPr>
            <w:tcW w:w="8130" w:type="dxa"/>
            <w:shd w:val="clear" w:color="auto" w:fill="auto"/>
            <w:hideMark/>
          </w:tcPr>
          <w:p w14:paraId="5E7E42F6" w14:textId="77777777" w:rsidR="008E3ECD" w:rsidRPr="00DA19CE" w:rsidRDefault="008E3ECD" w:rsidP="008E3ECD">
            <w:pPr>
              <w:rPr>
                <w:b/>
                <w:color w:val="000000"/>
                <w:lang w:eastAsia="en-AU"/>
              </w:rPr>
            </w:pPr>
            <w:r>
              <w:rPr>
                <w:b/>
                <w:color w:val="000000"/>
                <w:lang w:eastAsia="en-AU"/>
              </w:rPr>
              <w:t>Closing the Gap</w:t>
            </w:r>
          </w:p>
          <w:p w14:paraId="2CDBBDCC" w14:textId="77777777" w:rsidR="008E3ECD" w:rsidRPr="00DA19CE" w:rsidRDefault="008E3ECD" w:rsidP="008E3ECD">
            <w:pPr>
              <w:spacing w:before="40"/>
              <w:rPr>
                <w:b/>
                <w:color w:val="000000"/>
                <w:lang w:eastAsia="en-AU"/>
              </w:rPr>
            </w:pPr>
            <w:r>
              <w:rPr>
                <w:color w:val="000000"/>
                <w:szCs w:val="20"/>
              </w:rPr>
              <w:t>This review covered a q</w:t>
            </w:r>
            <w:r w:rsidRPr="000F5365">
              <w:rPr>
                <w:color w:val="000000"/>
                <w:szCs w:val="20"/>
              </w:rPr>
              <w:t>ualitative analysis of attitudes and reflections on 10 years of the Closing the Gap initiative.</w:t>
            </w:r>
            <w:r>
              <w:rPr>
                <w:color w:val="000000"/>
                <w:szCs w:val="20"/>
              </w:rPr>
              <w:t xml:space="preserve"> </w:t>
            </w:r>
          </w:p>
        </w:tc>
        <w:tc>
          <w:tcPr>
            <w:tcW w:w="1793" w:type="dxa"/>
          </w:tcPr>
          <w:p w14:paraId="050CFA34" w14:textId="77777777" w:rsidR="008E3ECD" w:rsidRPr="00467864" w:rsidRDefault="008E3ECD" w:rsidP="008E3ECD">
            <w:pPr>
              <w:rPr>
                <w:color w:val="000000"/>
                <w:lang w:eastAsia="en-AU"/>
              </w:rPr>
            </w:pPr>
            <w:r>
              <w:rPr>
                <w:color w:val="000000"/>
                <w:lang w:eastAsia="en-AU"/>
              </w:rPr>
              <w:t>Review</w:t>
            </w:r>
          </w:p>
        </w:tc>
      </w:tr>
      <w:tr w:rsidR="008E3ECD" w:rsidRPr="00467864" w14:paraId="1F69805F" w14:textId="77777777" w:rsidTr="008E3ECD">
        <w:trPr>
          <w:trHeight w:val="1001"/>
        </w:trPr>
        <w:tc>
          <w:tcPr>
            <w:tcW w:w="8130" w:type="dxa"/>
            <w:shd w:val="clear" w:color="auto" w:fill="auto"/>
          </w:tcPr>
          <w:p w14:paraId="0DACBBB4" w14:textId="77777777" w:rsidR="008E3ECD" w:rsidRPr="00D340DB" w:rsidRDefault="008E3ECD" w:rsidP="008E3ECD">
            <w:pPr>
              <w:rPr>
                <w:b/>
                <w:color w:val="000000"/>
                <w:lang w:eastAsia="en-AU"/>
              </w:rPr>
            </w:pPr>
            <w:r w:rsidRPr="00D340DB">
              <w:rPr>
                <w:b/>
                <w:color w:val="000000"/>
                <w:lang w:eastAsia="en-AU"/>
              </w:rPr>
              <w:t>Community Development Program (CDP)</w:t>
            </w:r>
          </w:p>
          <w:p w14:paraId="36A9A3F6" w14:textId="77777777" w:rsidR="008E3ECD" w:rsidRDefault="008E3ECD" w:rsidP="00205580">
            <w:pPr>
              <w:rPr>
                <w:color w:val="000000"/>
                <w:lang w:eastAsia="en-AU"/>
              </w:rPr>
            </w:pPr>
            <w:r>
              <w:rPr>
                <w:color w:val="000000"/>
                <w:szCs w:val="18"/>
              </w:rPr>
              <w:t xml:space="preserve">This </w:t>
            </w:r>
            <w:r w:rsidRPr="007A576E">
              <w:rPr>
                <w:color w:val="000000"/>
                <w:szCs w:val="18"/>
              </w:rPr>
              <w:t>multi-year impact evaluation us</w:t>
            </w:r>
            <w:r>
              <w:rPr>
                <w:color w:val="000000"/>
                <w:szCs w:val="18"/>
              </w:rPr>
              <w:t xml:space="preserve">ed </w:t>
            </w:r>
            <w:r w:rsidRPr="007A576E">
              <w:rPr>
                <w:color w:val="000000"/>
                <w:szCs w:val="18"/>
              </w:rPr>
              <w:t xml:space="preserve">mixed methods </w:t>
            </w:r>
            <w:r>
              <w:rPr>
                <w:color w:val="000000"/>
                <w:szCs w:val="18"/>
              </w:rPr>
              <w:t xml:space="preserve">to </w:t>
            </w:r>
            <w:r w:rsidRPr="007A576E">
              <w:rPr>
                <w:color w:val="000000"/>
                <w:szCs w:val="18"/>
              </w:rPr>
              <w:t>examine outcomes in the first two years, and explore</w:t>
            </w:r>
            <w:r>
              <w:rPr>
                <w:color w:val="000000"/>
                <w:szCs w:val="18"/>
              </w:rPr>
              <w:t>d</w:t>
            </w:r>
            <w:r w:rsidRPr="007A576E">
              <w:rPr>
                <w:color w:val="000000"/>
                <w:szCs w:val="18"/>
              </w:rPr>
              <w:t xml:space="preserve"> how and why the </w:t>
            </w:r>
            <w:r w:rsidR="00205580">
              <w:rPr>
                <w:color w:val="000000"/>
                <w:szCs w:val="18"/>
              </w:rPr>
              <w:t xml:space="preserve">CDP </w:t>
            </w:r>
            <w:r w:rsidRPr="007A576E">
              <w:rPr>
                <w:color w:val="000000"/>
                <w:szCs w:val="18"/>
              </w:rPr>
              <w:t>works in various contexts.</w:t>
            </w:r>
            <w:r w:rsidRPr="007A576E" w:rsidDel="004C7DA7">
              <w:rPr>
                <w:color w:val="000000"/>
                <w:szCs w:val="18"/>
              </w:rPr>
              <w:t xml:space="preserve"> </w:t>
            </w:r>
          </w:p>
        </w:tc>
        <w:tc>
          <w:tcPr>
            <w:tcW w:w="1793" w:type="dxa"/>
          </w:tcPr>
          <w:p w14:paraId="2503D75B" w14:textId="77777777" w:rsidR="008E3ECD" w:rsidRDefault="008E3ECD" w:rsidP="008E3ECD">
            <w:pPr>
              <w:rPr>
                <w:color w:val="000000"/>
                <w:lang w:eastAsia="en-AU"/>
              </w:rPr>
            </w:pPr>
            <w:r>
              <w:rPr>
                <w:color w:val="000000"/>
                <w:lang w:eastAsia="en-AU"/>
              </w:rPr>
              <w:t>Evaluation</w:t>
            </w:r>
          </w:p>
        </w:tc>
      </w:tr>
      <w:tr w:rsidR="008E3ECD" w:rsidRPr="00467864" w14:paraId="201EB19C" w14:textId="77777777" w:rsidTr="008E3ECD">
        <w:trPr>
          <w:trHeight w:val="1001"/>
        </w:trPr>
        <w:tc>
          <w:tcPr>
            <w:tcW w:w="8130" w:type="dxa"/>
            <w:shd w:val="clear" w:color="auto" w:fill="auto"/>
          </w:tcPr>
          <w:p w14:paraId="2D6E8CD6" w14:textId="77777777" w:rsidR="008E3ECD" w:rsidRPr="0025060F" w:rsidRDefault="008E3ECD" w:rsidP="008E3ECD">
            <w:pPr>
              <w:rPr>
                <w:b/>
                <w:color w:val="000000"/>
                <w:lang w:eastAsia="en-AU"/>
              </w:rPr>
            </w:pPr>
            <w:r>
              <w:rPr>
                <w:b/>
                <w:color w:val="000000"/>
                <w:lang w:eastAsia="en-AU"/>
              </w:rPr>
              <w:t>Mental Health First Aid Training</w:t>
            </w:r>
          </w:p>
          <w:p w14:paraId="051DBCCC" w14:textId="77777777" w:rsidR="008E3ECD" w:rsidRPr="002328EA" w:rsidRDefault="008E3ECD" w:rsidP="008E3ECD">
            <w:pPr>
              <w:rPr>
                <w:b/>
                <w:color w:val="000000"/>
                <w:lang w:eastAsia="en-AU"/>
              </w:rPr>
            </w:pPr>
            <w:r w:rsidRPr="005F15BA">
              <w:rPr>
                <w:color w:val="000000"/>
                <w:szCs w:val="20"/>
              </w:rPr>
              <w:t>This review include</w:t>
            </w:r>
            <w:r>
              <w:rPr>
                <w:color w:val="000000"/>
                <w:szCs w:val="20"/>
              </w:rPr>
              <w:t>d</w:t>
            </w:r>
            <w:r w:rsidRPr="005F15BA">
              <w:rPr>
                <w:color w:val="000000"/>
                <w:szCs w:val="20"/>
              </w:rPr>
              <w:t xml:space="preserve"> a participatory outcome study of Mental Health First Aid training delivered on Groote Eylandt and </w:t>
            </w:r>
            <w:proofErr w:type="spellStart"/>
            <w:r w:rsidRPr="005F15BA">
              <w:rPr>
                <w:color w:val="000000"/>
                <w:szCs w:val="20"/>
              </w:rPr>
              <w:t>Bickerton</w:t>
            </w:r>
            <w:proofErr w:type="spellEnd"/>
            <w:r w:rsidRPr="005F15BA">
              <w:rPr>
                <w:color w:val="000000"/>
                <w:szCs w:val="20"/>
              </w:rPr>
              <w:t xml:space="preserve"> Island, and an assessment of how well the training was implemented with a focus on community engagement.</w:t>
            </w:r>
            <w:r w:rsidRPr="00081C1F">
              <w:rPr>
                <w:color w:val="000000"/>
                <w:szCs w:val="20"/>
              </w:rPr>
              <w:t xml:space="preserve"> </w:t>
            </w:r>
          </w:p>
        </w:tc>
        <w:tc>
          <w:tcPr>
            <w:tcW w:w="1793" w:type="dxa"/>
          </w:tcPr>
          <w:p w14:paraId="60E0836C" w14:textId="77777777" w:rsidR="008E3ECD" w:rsidRDefault="008E3ECD" w:rsidP="008E3ECD">
            <w:pPr>
              <w:tabs>
                <w:tab w:val="left" w:pos="1215"/>
              </w:tabs>
              <w:rPr>
                <w:color w:val="000000"/>
                <w:lang w:eastAsia="en-AU"/>
              </w:rPr>
            </w:pPr>
            <w:r>
              <w:rPr>
                <w:color w:val="000000"/>
                <w:lang w:eastAsia="en-AU"/>
              </w:rPr>
              <w:t>Review</w:t>
            </w:r>
          </w:p>
        </w:tc>
      </w:tr>
      <w:tr w:rsidR="00AF7D3A" w:rsidRPr="00467864" w14:paraId="0EA17F8F" w14:textId="77777777" w:rsidTr="00AF7D3A">
        <w:trPr>
          <w:trHeight w:val="1001"/>
        </w:trPr>
        <w:tc>
          <w:tcPr>
            <w:tcW w:w="8130" w:type="dxa"/>
            <w:tcBorders>
              <w:top w:val="single" w:sz="4" w:space="0" w:color="auto"/>
              <w:left w:val="single" w:sz="4" w:space="0" w:color="auto"/>
              <w:bottom w:val="single" w:sz="4" w:space="0" w:color="auto"/>
              <w:right w:val="single" w:sz="4" w:space="0" w:color="auto"/>
            </w:tcBorders>
            <w:shd w:val="clear" w:color="auto" w:fill="auto"/>
          </w:tcPr>
          <w:p w14:paraId="54906C50" w14:textId="77777777" w:rsidR="00AF7D3A" w:rsidRPr="002328EA" w:rsidRDefault="00AF7D3A" w:rsidP="005703E5">
            <w:pPr>
              <w:rPr>
                <w:b/>
                <w:color w:val="000000"/>
                <w:lang w:eastAsia="en-AU"/>
              </w:rPr>
            </w:pPr>
            <w:r w:rsidRPr="002328EA">
              <w:rPr>
                <w:b/>
                <w:color w:val="000000"/>
                <w:lang w:eastAsia="en-AU"/>
              </w:rPr>
              <w:t>School Enrolment and Attendance Measure (SEAM)</w:t>
            </w:r>
          </w:p>
          <w:p w14:paraId="43980D35" w14:textId="77777777" w:rsidR="00AF7D3A" w:rsidRPr="00AF7D3A" w:rsidRDefault="00AF7D3A" w:rsidP="005703E5">
            <w:pPr>
              <w:rPr>
                <w:color w:val="000000"/>
                <w:lang w:eastAsia="en-AU"/>
              </w:rPr>
            </w:pPr>
            <w:r w:rsidRPr="00AF7D3A">
              <w:rPr>
                <w:color w:val="000000"/>
                <w:lang w:eastAsia="en-AU"/>
              </w:rPr>
              <w:t xml:space="preserve">This impact evaluation through a randomised controlled trial examined the impact of SEAM on school attendance rates. </w:t>
            </w:r>
          </w:p>
        </w:tc>
        <w:tc>
          <w:tcPr>
            <w:tcW w:w="1793" w:type="dxa"/>
            <w:tcBorders>
              <w:top w:val="single" w:sz="4" w:space="0" w:color="auto"/>
              <w:left w:val="single" w:sz="4" w:space="0" w:color="auto"/>
              <w:bottom w:val="single" w:sz="4" w:space="0" w:color="auto"/>
              <w:right w:val="single" w:sz="4" w:space="0" w:color="auto"/>
            </w:tcBorders>
          </w:tcPr>
          <w:p w14:paraId="3B3F836B" w14:textId="77777777" w:rsidR="00AF7D3A" w:rsidRDefault="00AF7D3A" w:rsidP="005703E5">
            <w:pPr>
              <w:tabs>
                <w:tab w:val="left" w:pos="1215"/>
              </w:tabs>
              <w:rPr>
                <w:color w:val="000000"/>
                <w:lang w:eastAsia="en-AU"/>
              </w:rPr>
            </w:pPr>
            <w:r>
              <w:rPr>
                <w:color w:val="000000"/>
                <w:lang w:eastAsia="en-AU"/>
              </w:rPr>
              <w:t>Evaluation</w:t>
            </w:r>
            <w:r>
              <w:rPr>
                <w:color w:val="000000"/>
                <w:lang w:eastAsia="en-AU"/>
              </w:rPr>
              <w:tab/>
            </w:r>
          </w:p>
        </w:tc>
      </w:tr>
    </w:tbl>
    <w:p w14:paraId="64A742B3" w14:textId="77777777" w:rsidR="008748E5" w:rsidRDefault="008748E5">
      <w:pPr>
        <w:spacing w:after="200"/>
        <w:rPr>
          <w:sz w:val="56"/>
          <w:szCs w:val="56"/>
        </w:rPr>
      </w:pPr>
    </w:p>
    <w:p w14:paraId="7FB6BE3E" w14:textId="77777777" w:rsidR="00AF7D3A" w:rsidRPr="00DD5364" w:rsidRDefault="00AF7D3A" w:rsidP="00AF7D3A">
      <w:pPr>
        <w:pStyle w:val="h3green"/>
      </w:pPr>
      <w:bookmarkStart w:id="106" w:name="_Toc531862187"/>
      <w:r>
        <w:t>Program evaluations/reviews</w:t>
      </w:r>
      <w:bookmarkEnd w:id="106"/>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leted program evaluations and reviews"/>
        <w:tblDescription w:val="This table lists program evaluations and reviews that were completed in 2017-18. It lists provides a description, the program and, where available, a link to the report."/>
      </w:tblPr>
      <w:tblGrid>
        <w:gridCol w:w="7508"/>
        <w:gridCol w:w="1417"/>
        <w:gridCol w:w="1417"/>
      </w:tblGrid>
      <w:tr w:rsidR="00AF7D3A" w:rsidRPr="00467864" w14:paraId="6CE92AD8" w14:textId="77777777" w:rsidTr="005703E5">
        <w:trPr>
          <w:cantSplit/>
          <w:trHeight w:val="627"/>
          <w:tblHeader/>
        </w:trPr>
        <w:tc>
          <w:tcPr>
            <w:tcW w:w="7508" w:type="dxa"/>
            <w:shd w:val="clear" w:color="auto" w:fill="BFBFBF" w:themeFill="background1" w:themeFillShade="BF"/>
            <w:hideMark/>
          </w:tcPr>
          <w:p w14:paraId="20AD3BF9" w14:textId="77777777" w:rsidR="00AF7D3A" w:rsidRPr="00467864" w:rsidRDefault="00AF7D3A" w:rsidP="005703E5">
            <w:pPr>
              <w:rPr>
                <w:b/>
                <w:lang w:eastAsia="en-AU"/>
              </w:rPr>
            </w:pPr>
            <w:r w:rsidRPr="00A26DAA">
              <w:rPr>
                <w:b/>
                <w:lang w:eastAsia="en-AU"/>
              </w:rPr>
              <w:t>Description</w:t>
            </w:r>
          </w:p>
        </w:tc>
        <w:tc>
          <w:tcPr>
            <w:tcW w:w="1417" w:type="dxa"/>
            <w:shd w:val="clear" w:color="auto" w:fill="BFBFBF" w:themeFill="background1" w:themeFillShade="BF"/>
            <w:hideMark/>
          </w:tcPr>
          <w:p w14:paraId="30E28537" w14:textId="77777777" w:rsidR="00AF7D3A" w:rsidRPr="00467864" w:rsidRDefault="00AF7D3A" w:rsidP="005703E5">
            <w:pPr>
              <w:rPr>
                <w:b/>
                <w:lang w:eastAsia="en-AU"/>
              </w:rPr>
            </w:pPr>
            <w:r>
              <w:rPr>
                <w:b/>
                <w:lang w:eastAsia="en-AU"/>
              </w:rPr>
              <w:t xml:space="preserve">IAS </w:t>
            </w:r>
            <w:r w:rsidRPr="00467864">
              <w:rPr>
                <w:b/>
                <w:lang w:eastAsia="en-AU"/>
              </w:rPr>
              <w:t>Program</w:t>
            </w:r>
            <w:r>
              <w:rPr>
                <w:b/>
                <w:lang w:eastAsia="en-AU"/>
              </w:rPr>
              <w:t>me</w:t>
            </w:r>
          </w:p>
        </w:tc>
        <w:tc>
          <w:tcPr>
            <w:tcW w:w="1417" w:type="dxa"/>
            <w:shd w:val="clear" w:color="auto" w:fill="BFBFBF" w:themeFill="background1" w:themeFillShade="BF"/>
          </w:tcPr>
          <w:p w14:paraId="7D1D6CF0" w14:textId="77777777" w:rsidR="00AF7D3A" w:rsidRPr="00467864" w:rsidRDefault="00AF7D3A" w:rsidP="005703E5">
            <w:pPr>
              <w:rPr>
                <w:b/>
                <w:lang w:eastAsia="en-AU"/>
              </w:rPr>
            </w:pPr>
            <w:r>
              <w:rPr>
                <w:b/>
                <w:lang w:eastAsia="en-AU"/>
              </w:rPr>
              <w:t>Type</w:t>
            </w:r>
          </w:p>
        </w:tc>
      </w:tr>
      <w:tr w:rsidR="00AF7D3A" w:rsidRPr="00467864" w14:paraId="115954D3" w14:textId="77777777" w:rsidTr="005703E5">
        <w:trPr>
          <w:trHeight w:val="1282"/>
        </w:trPr>
        <w:tc>
          <w:tcPr>
            <w:tcW w:w="7508" w:type="dxa"/>
            <w:shd w:val="clear" w:color="auto" w:fill="auto"/>
            <w:hideMark/>
          </w:tcPr>
          <w:p w14:paraId="481DA3D1" w14:textId="77777777" w:rsidR="00AF7D3A" w:rsidRPr="00D340DB" w:rsidRDefault="00AF7D3A" w:rsidP="005703E5">
            <w:pPr>
              <w:rPr>
                <w:b/>
                <w:color w:val="000000"/>
                <w:lang w:eastAsia="en-AU"/>
              </w:rPr>
            </w:pPr>
            <w:r w:rsidRPr="00D340DB">
              <w:rPr>
                <w:b/>
                <w:color w:val="000000"/>
                <w:lang w:eastAsia="en-AU"/>
              </w:rPr>
              <w:t xml:space="preserve">Aboriginal </w:t>
            </w:r>
            <w:r>
              <w:rPr>
                <w:b/>
                <w:color w:val="000000"/>
                <w:lang w:eastAsia="en-AU"/>
              </w:rPr>
              <w:t>E</w:t>
            </w:r>
            <w:r w:rsidRPr="00D340DB">
              <w:rPr>
                <w:b/>
                <w:color w:val="000000"/>
                <w:lang w:eastAsia="en-AU"/>
              </w:rPr>
              <w:t xml:space="preserve">mployment and </w:t>
            </w:r>
            <w:r>
              <w:rPr>
                <w:b/>
                <w:color w:val="000000"/>
                <w:lang w:eastAsia="en-AU"/>
              </w:rPr>
              <w:t>T</w:t>
            </w:r>
            <w:r w:rsidRPr="00D340DB">
              <w:rPr>
                <w:b/>
                <w:color w:val="000000"/>
                <w:lang w:eastAsia="en-AU"/>
              </w:rPr>
              <w:t xml:space="preserve">raining </w:t>
            </w:r>
            <w:r>
              <w:rPr>
                <w:b/>
                <w:color w:val="000000"/>
                <w:lang w:eastAsia="en-AU"/>
              </w:rPr>
              <w:t>A</w:t>
            </w:r>
            <w:r w:rsidRPr="00D340DB">
              <w:rPr>
                <w:b/>
                <w:color w:val="000000"/>
                <w:lang w:eastAsia="en-AU"/>
              </w:rPr>
              <w:t>ctivity</w:t>
            </w:r>
          </w:p>
          <w:p w14:paraId="342272CD" w14:textId="77777777" w:rsidR="00AF7D3A" w:rsidRPr="00D340DB" w:rsidRDefault="00AF7D3A" w:rsidP="005703E5">
            <w:pPr>
              <w:rPr>
                <w:b/>
                <w:color w:val="000000"/>
                <w:lang w:eastAsia="en-AU"/>
              </w:rPr>
            </w:pPr>
            <w:r>
              <w:rPr>
                <w:rFonts w:cs="Calibri Light"/>
                <w:szCs w:val="18"/>
                <w:lang w:eastAsia="en-AU"/>
              </w:rPr>
              <w:t>This impact evaluation</w:t>
            </w:r>
            <w:r w:rsidRPr="00667D18">
              <w:rPr>
                <w:rFonts w:cs="Calibri Light"/>
                <w:szCs w:val="18"/>
                <w:lang w:eastAsia="en-AU"/>
              </w:rPr>
              <w:t xml:space="preserve"> examine</w:t>
            </w:r>
            <w:r>
              <w:rPr>
                <w:rFonts w:cs="Calibri Light"/>
                <w:szCs w:val="18"/>
                <w:lang w:eastAsia="en-AU"/>
              </w:rPr>
              <w:t>d</w:t>
            </w:r>
            <w:r w:rsidRPr="00667D18">
              <w:rPr>
                <w:rFonts w:cs="Calibri Light"/>
                <w:szCs w:val="18"/>
                <w:lang w:eastAsia="en-AU"/>
              </w:rPr>
              <w:t xml:space="preserve"> employment outcomes for those participating in a tailored Aboriginal employment strategy and how these compare to outcomes for similar job seekers under other employment programs.</w:t>
            </w:r>
            <w:r>
              <w:rPr>
                <w:color w:val="000000"/>
                <w:szCs w:val="20"/>
              </w:rPr>
              <w:t xml:space="preserve"> </w:t>
            </w:r>
          </w:p>
        </w:tc>
        <w:tc>
          <w:tcPr>
            <w:tcW w:w="1417" w:type="dxa"/>
            <w:shd w:val="clear" w:color="auto" w:fill="auto"/>
            <w:hideMark/>
          </w:tcPr>
          <w:p w14:paraId="289AEF33" w14:textId="77777777" w:rsidR="00AF7D3A" w:rsidRPr="00467864" w:rsidRDefault="00AF7D3A" w:rsidP="005703E5">
            <w:pPr>
              <w:rPr>
                <w:color w:val="000000"/>
                <w:lang w:eastAsia="en-AU"/>
              </w:rPr>
            </w:pPr>
            <w:r w:rsidRPr="00467864">
              <w:rPr>
                <w:color w:val="000000"/>
                <w:lang w:eastAsia="en-AU"/>
              </w:rPr>
              <w:t>Jobs, Land and Economy</w:t>
            </w:r>
          </w:p>
        </w:tc>
        <w:tc>
          <w:tcPr>
            <w:tcW w:w="1417" w:type="dxa"/>
          </w:tcPr>
          <w:p w14:paraId="5AD7515D" w14:textId="77777777" w:rsidR="00AF7D3A" w:rsidRPr="00467864" w:rsidRDefault="00AF7D3A" w:rsidP="005703E5">
            <w:pPr>
              <w:rPr>
                <w:color w:val="000000"/>
                <w:lang w:eastAsia="en-AU"/>
              </w:rPr>
            </w:pPr>
            <w:r>
              <w:rPr>
                <w:color w:val="000000"/>
                <w:lang w:eastAsia="en-AU"/>
              </w:rPr>
              <w:t>Evaluation</w:t>
            </w:r>
          </w:p>
        </w:tc>
      </w:tr>
      <w:tr w:rsidR="00AF7D3A" w:rsidRPr="00467864" w14:paraId="2ACC5A6D" w14:textId="77777777" w:rsidTr="005703E5">
        <w:trPr>
          <w:trHeight w:val="1175"/>
        </w:trPr>
        <w:tc>
          <w:tcPr>
            <w:tcW w:w="7508" w:type="dxa"/>
            <w:shd w:val="clear" w:color="auto" w:fill="auto"/>
          </w:tcPr>
          <w:p w14:paraId="2B17D5AE" w14:textId="77777777" w:rsidR="00AF7D3A" w:rsidRPr="00467864" w:rsidRDefault="00AF7D3A" w:rsidP="005703E5">
            <w:pPr>
              <w:rPr>
                <w:color w:val="000000"/>
                <w:lang w:eastAsia="en-AU"/>
              </w:rPr>
            </w:pPr>
            <w:r w:rsidRPr="00D340DB">
              <w:rPr>
                <w:b/>
                <w:color w:val="000000"/>
                <w:lang w:eastAsia="en-AU"/>
              </w:rPr>
              <w:t>Army Aboriginal Community Assistance</w:t>
            </w:r>
            <w:r>
              <w:rPr>
                <w:b/>
                <w:color w:val="000000"/>
                <w:lang w:eastAsia="en-AU"/>
              </w:rPr>
              <w:t xml:space="preserve"> Program</w:t>
            </w:r>
          </w:p>
          <w:p w14:paraId="4C6D4270" w14:textId="77777777" w:rsidR="00AF7D3A" w:rsidRPr="00D340DB" w:rsidRDefault="00AF7D3A" w:rsidP="005703E5">
            <w:pPr>
              <w:rPr>
                <w:b/>
                <w:color w:val="000000"/>
                <w:lang w:eastAsia="en-AU"/>
              </w:rPr>
            </w:pPr>
            <w:r w:rsidRPr="00F3067F">
              <w:rPr>
                <w:rFonts w:cs="Calibri Light"/>
                <w:szCs w:val="18"/>
                <w:lang w:eastAsia="en-AU"/>
              </w:rPr>
              <w:t>This review examine</w:t>
            </w:r>
            <w:r>
              <w:rPr>
                <w:rFonts w:cs="Calibri Light"/>
                <w:szCs w:val="18"/>
                <w:lang w:eastAsia="en-AU"/>
              </w:rPr>
              <w:t>d</w:t>
            </w:r>
            <w:r w:rsidRPr="00F3067F">
              <w:rPr>
                <w:rFonts w:cs="Calibri Light"/>
                <w:szCs w:val="18"/>
                <w:lang w:eastAsia="en-AU"/>
              </w:rPr>
              <w:t xml:space="preserve"> </w:t>
            </w:r>
            <w:r w:rsidRPr="00F3067F">
              <w:rPr>
                <w:rFonts w:cs="Calibri Light"/>
                <w:szCs w:val="18"/>
              </w:rPr>
              <w:t>effectiveness, sustainability and governance. It also look</w:t>
            </w:r>
            <w:r>
              <w:rPr>
                <w:rFonts w:cs="Calibri Light"/>
                <w:szCs w:val="18"/>
              </w:rPr>
              <w:t>ed</w:t>
            </w:r>
            <w:r w:rsidRPr="00F3067F">
              <w:rPr>
                <w:rFonts w:cs="Calibri Light"/>
                <w:szCs w:val="18"/>
              </w:rPr>
              <w:t xml:space="preserve"> at ways to leverage broader benefits to achieve better training, employment and economic development outcomes in communities where the program is implemented.</w:t>
            </w:r>
          </w:p>
        </w:tc>
        <w:tc>
          <w:tcPr>
            <w:tcW w:w="1417" w:type="dxa"/>
            <w:shd w:val="clear" w:color="auto" w:fill="auto"/>
          </w:tcPr>
          <w:p w14:paraId="169A8E71" w14:textId="77777777" w:rsidR="00AF7D3A" w:rsidRPr="00467864" w:rsidRDefault="00AF7D3A" w:rsidP="005703E5">
            <w:pPr>
              <w:rPr>
                <w:color w:val="000000"/>
                <w:lang w:eastAsia="en-AU"/>
              </w:rPr>
            </w:pPr>
            <w:r w:rsidRPr="00467864">
              <w:rPr>
                <w:color w:val="000000"/>
                <w:lang w:eastAsia="en-AU"/>
              </w:rPr>
              <w:t>Culture and Capability</w:t>
            </w:r>
          </w:p>
        </w:tc>
        <w:tc>
          <w:tcPr>
            <w:tcW w:w="1417" w:type="dxa"/>
          </w:tcPr>
          <w:p w14:paraId="42575107" w14:textId="77777777" w:rsidR="00AF7D3A" w:rsidRDefault="00AF7D3A" w:rsidP="005703E5">
            <w:pPr>
              <w:rPr>
                <w:color w:val="000000"/>
                <w:lang w:eastAsia="en-AU"/>
              </w:rPr>
            </w:pPr>
            <w:r w:rsidRPr="00467864">
              <w:rPr>
                <w:color w:val="000000"/>
                <w:lang w:eastAsia="en-AU"/>
              </w:rPr>
              <w:t>Review</w:t>
            </w:r>
          </w:p>
        </w:tc>
      </w:tr>
      <w:tr w:rsidR="00AF7D3A" w:rsidRPr="00467864" w14:paraId="1C3019D4" w14:textId="77777777" w:rsidTr="00AF7D3A">
        <w:trPr>
          <w:trHeight w:val="117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7CB5DC1D" w14:textId="77777777" w:rsidR="00AF7D3A" w:rsidRPr="00AF7D3A" w:rsidRDefault="00AF7D3A" w:rsidP="005703E5">
            <w:pPr>
              <w:rPr>
                <w:b/>
                <w:color w:val="000000"/>
                <w:lang w:eastAsia="en-AU"/>
              </w:rPr>
            </w:pPr>
            <w:r w:rsidRPr="00A4425F">
              <w:rPr>
                <w:b/>
                <w:color w:val="000000"/>
                <w:lang w:eastAsia="en-AU"/>
              </w:rPr>
              <w:t>Indigenous Rangers and Protected Areas Fee for Service</w:t>
            </w:r>
          </w:p>
          <w:p w14:paraId="67CA408A" w14:textId="77777777" w:rsidR="00AF7D3A" w:rsidRPr="00AF7D3A" w:rsidRDefault="00AF7D3A" w:rsidP="005703E5">
            <w:pPr>
              <w:rPr>
                <w:color w:val="000000"/>
                <w:lang w:eastAsia="en-AU"/>
              </w:rPr>
            </w:pPr>
            <w:r w:rsidRPr="00AF7D3A">
              <w:rPr>
                <w:color w:val="000000"/>
                <w:lang w:eastAsia="en-AU"/>
              </w:rPr>
              <w:t xml:space="preserve">This impact evaluation involved an assessment of the Indigenous Rangers and Protected Areas programs as a catalyst for economic and employment outcomes through fee-for-service commercial activities. The project identified lessons and success factors, and identified opportunities for government to support the growing interest in developing fee-for-service opportunities.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ADFA6" w14:textId="77777777" w:rsidR="00AF7D3A" w:rsidRPr="00467864" w:rsidRDefault="00AF7D3A" w:rsidP="005703E5">
            <w:pPr>
              <w:rPr>
                <w:color w:val="000000"/>
                <w:lang w:eastAsia="en-AU"/>
              </w:rPr>
            </w:pPr>
            <w:r w:rsidRPr="00467864">
              <w:rPr>
                <w:color w:val="000000"/>
                <w:lang w:eastAsia="en-AU"/>
              </w:rPr>
              <w:t>Jobs, Land and Economy</w:t>
            </w:r>
          </w:p>
        </w:tc>
        <w:tc>
          <w:tcPr>
            <w:tcW w:w="1417" w:type="dxa"/>
            <w:tcBorders>
              <w:top w:val="single" w:sz="4" w:space="0" w:color="auto"/>
              <w:left w:val="single" w:sz="4" w:space="0" w:color="auto"/>
              <w:bottom w:val="single" w:sz="4" w:space="0" w:color="auto"/>
              <w:right w:val="single" w:sz="4" w:space="0" w:color="auto"/>
            </w:tcBorders>
          </w:tcPr>
          <w:p w14:paraId="0302C444" w14:textId="77777777" w:rsidR="00AF7D3A" w:rsidRDefault="00AF7D3A" w:rsidP="005703E5">
            <w:pPr>
              <w:rPr>
                <w:color w:val="000000"/>
                <w:lang w:eastAsia="en-AU"/>
              </w:rPr>
            </w:pPr>
            <w:r>
              <w:rPr>
                <w:color w:val="000000"/>
                <w:lang w:eastAsia="en-AU"/>
              </w:rPr>
              <w:t>Evaluation</w:t>
            </w:r>
          </w:p>
        </w:tc>
      </w:tr>
      <w:tr w:rsidR="00AF7D3A" w:rsidRPr="00467864" w14:paraId="6EC2E18F" w14:textId="77777777" w:rsidTr="00AF7D3A">
        <w:trPr>
          <w:trHeight w:val="117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7C5BAB89" w14:textId="77777777" w:rsidR="00AF7D3A" w:rsidRPr="00D340DB" w:rsidRDefault="00AF7D3A" w:rsidP="005703E5">
            <w:pPr>
              <w:rPr>
                <w:b/>
                <w:color w:val="000000"/>
                <w:lang w:eastAsia="en-AU"/>
              </w:rPr>
            </w:pPr>
            <w:r w:rsidRPr="00D340DB">
              <w:rPr>
                <w:b/>
                <w:color w:val="000000"/>
                <w:lang w:eastAsia="en-AU"/>
              </w:rPr>
              <w:lastRenderedPageBreak/>
              <w:t>Indigenous Rangers Cost Analysis</w:t>
            </w:r>
          </w:p>
          <w:p w14:paraId="63D0AF96" w14:textId="77777777" w:rsidR="00AF7D3A" w:rsidRPr="00AF7D3A" w:rsidRDefault="00AF7D3A" w:rsidP="005703E5">
            <w:pPr>
              <w:rPr>
                <w:color w:val="000000"/>
                <w:lang w:eastAsia="en-AU"/>
              </w:rPr>
            </w:pPr>
            <w:r w:rsidRPr="00AF7D3A">
              <w:rPr>
                <w:color w:val="000000"/>
                <w:lang w:eastAsia="en-AU"/>
              </w:rPr>
              <w:t>This review covered a cost analysis to inform the development of funding guidelines that can be used to ensure consistency and fairness in funding Indigenous Rangers.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D0168" w14:textId="77777777" w:rsidR="00AF7D3A" w:rsidRPr="00467864" w:rsidRDefault="00AF7D3A" w:rsidP="005703E5">
            <w:pPr>
              <w:rPr>
                <w:color w:val="000000"/>
                <w:lang w:eastAsia="en-AU"/>
              </w:rPr>
            </w:pPr>
            <w:r w:rsidRPr="00467864">
              <w:rPr>
                <w:color w:val="000000"/>
                <w:lang w:eastAsia="en-AU"/>
              </w:rPr>
              <w:t>Jobs, Land and Economy</w:t>
            </w:r>
          </w:p>
        </w:tc>
        <w:tc>
          <w:tcPr>
            <w:tcW w:w="1417" w:type="dxa"/>
            <w:tcBorders>
              <w:top w:val="single" w:sz="4" w:space="0" w:color="auto"/>
              <w:left w:val="single" w:sz="4" w:space="0" w:color="auto"/>
              <w:bottom w:val="single" w:sz="4" w:space="0" w:color="auto"/>
              <w:right w:val="single" w:sz="4" w:space="0" w:color="auto"/>
            </w:tcBorders>
          </w:tcPr>
          <w:p w14:paraId="3A5BCC8C" w14:textId="77777777" w:rsidR="00AF7D3A" w:rsidRDefault="00AF7D3A" w:rsidP="005703E5">
            <w:pPr>
              <w:rPr>
                <w:color w:val="000000"/>
                <w:lang w:eastAsia="en-AU"/>
              </w:rPr>
            </w:pPr>
            <w:r w:rsidRPr="000A02F9">
              <w:rPr>
                <w:color w:val="000000"/>
                <w:lang w:eastAsia="en-AU"/>
              </w:rPr>
              <w:t>Review</w:t>
            </w:r>
          </w:p>
        </w:tc>
      </w:tr>
      <w:tr w:rsidR="00AF7D3A" w:rsidRPr="00467864" w14:paraId="7C9173B1" w14:textId="77777777" w:rsidTr="00AF7D3A">
        <w:trPr>
          <w:trHeight w:val="117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45542ED3" w14:textId="77777777" w:rsidR="00AF7D3A" w:rsidRPr="00A4425F" w:rsidRDefault="00AF7D3A" w:rsidP="005703E5">
            <w:pPr>
              <w:rPr>
                <w:b/>
                <w:color w:val="000000"/>
                <w:lang w:eastAsia="en-AU"/>
              </w:rPr>
            </w:pPr>
            <w:r w:rsidRPr="00A4425F">
              <w:rPr>
                <w:b/>
                <w:color w:val="000000"/>
                <w:lang w:eastAsia="en-AU"/>
              </w:rPr>
              <w:t xml:space="preserve">National Aboriginal and Torres Strait Islander Leaders Program Pilot </w:t>
            </w:r>
          </w:p>
          <w:p w14:paraId="49952281" w14:textId="77777777" w:rsidR="00AF7D3A" w:rsidRPr="00AF7D3A" w:rsidRDefault="00AF7D3A" w:rsidP="005703E5">
            <w:pPr>
              <w:rPr>
                <w:color w:val="000000"/>
                <w:lang w:eastAsia="en-AU"/>
              </w:rPr>
            </w:pPr>
            <w:r w:rsidRPr="00AF7D3A">
              <w:rPr>
                <w:color w:val="000000"/>
                <w:lang w:eastAsia="en-AU"/>
              </w:rPr>
              <w:t xml:space="preserve">This review of the pilot program covered implementation, delivery and assessment of outcomes for building leadership aspirations.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97E22" w14:textId="77777777" w:rsidR="00AF7D3A" w:rsidRPr="00467864" w:rsidRDefault="00AF7D3A" w:rsidP="005703E5">
            <w:pPr>
              <w:rPr>
                <w:color w:val="000000"/>
                <w:lang w:eastAsia="en-AU"/>
              </w:rPr>
            </w:pPr>
            <w:r>
              <w:rPr>
                <w:color w:val="000000"/>
                <w:lang w:eastAsia="en-AU"/>
              </w:rPr>
              <w:t>Culture and Capability</w:t>
            </w:r>
          </w:p>
        </w:tc>
        <w:tc>
          <w:tcPr>
            <w:tcW w:w="1417" w:type="dxa"/>
            <w:tcBorders>
              <w:top w:val="single" w:sz="4" w:space="0" w:color="auto"/>
              <w:left w:val="single" w:sz="4" w:space="0" w:color="auto"/>
              <w:bottom w:val="single" w:sz="4" w:space="0" w:color="auto"/>
              <w:right w:val="single" w:sz="4" w:space="0" w:color="auto"/>
            </w:tcBorders>
          </w:tcPr>
          <w:p w14:paraId="7948E54B" w14:textId="77777777" w:rsidR="00AF7D3A" w:rsidRDefault="00AF7D3A" w:rsidP="005703E5">
            <w:pPr>
              <w:rPr>
                <w:color w:val="000000"/>
                <w:lang w:eastAsia="en-AU"/>
              </w:rPr>
            </w:pPr>
            <w:r>
              <w:rPr>
                <w:color w:val="000000"/>
                <w:lang w:eastAsia="en-AU"/>
              </w:rPr>
              <w:t>Review</w:t>
            </w:r>
          </w:p>
        </w:tc>
      </w:tr>
      <w:tr w:rsidR="00AF7D3A" w:rsidRPr="00467864" w14:paraId="066F8663" w14:textId="77777777" w:rsidTr="00884A80">
        <w:trPr>
          <w:trHeight w:val="1106"/>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73103A78" w14:textId="77777777" w:rsidR="00AF7D3A" w:rsidRPr="00384274" w:rsidRDefault="00AF7D3A" w:rsidP="005703E5">
            <w:pPr>
              <w:rPr>
                <w:b/>
                <w:color w:val="000000"/>
                <w:lang w:eastAsia="en-AU"/>
              </w:rPr>
            </w:pPr>
            <w:r w:rsidRPr="00384274">
              <w:rPr>
                <w:b/>
                <w:color w:val="000000"/>
                <w:lang w:eastAsia="en-AU"/>
              </w:rPr>
              <w:t>National Disability Insurance Scheme – East Arnhem Land Co-</w:t>
            </w:r>
            <w:r>
              <w:rPr>
                <w:b/>
                <w:color w:val="000000"/>
                <w:lang w:eastAsia="en-AU"/>
              </w:rPr>
              <w:t>D</w:t>
            </w:r>
            <w:r w:rsidRPr="00384274">
              <w:rPr>
                <w:b/>
                <w:color w:val="000000"/>
                <w:lang w:eastAsia="en-AU"/>
              </w:rPr>
              <w:t xml:space="preserve">esign </w:t>
            </w:r>
            <w:r>
              <w:rPr>
                <w:b/>
                <w:color w:val="000000"/>
                <w:lang w:eastAsia="en-AU"/>
              </w:rPr>
              <w:t>P</w:t>
            </w:r>
            <w:r w:rsidRPr="00384274">
              <w:rPr>
                <w:b/>
                <w:color w:val="000000"/>
                <w:lang w:eastAsia="en-AU"/>
              </w:rPr>
              <w:t>roject</w:t>
            </w:r>
          </w:p>
          <w:p w14:paraId="50A00075" w14:textId="77777777" w:rsidR="00AF7D3A" w:rsidRPr="00AF7D3A" w:rsidRDefault="00AF7D3A" w:rsidP="005703E5">
            <w:pPr>
              <w:rPr>
                <w:color w:val="000000"/>
                <w:lang w:eastAsia="en-AU"/>
              </w:rPr>
            </w:pPr>
            <w:r w:rsidRPr="00AF7D3A">
              <w:rPr>
                <w:color w:val="000000"/>
                <w:lang w:eastAsia="en-AU"/>
              </w:rPr>
              <w:t xml:space="preserve">This implementation evaluation studied the first 12 months of implementation of the East Arnhem Land co-design project using a participatory action research method.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E73E1" w14:textId="77777777" w:rsidR="00AF7D3A" w:rsidRPr="00467864" w:rsidRDefault="00AF7D3A" w:rsidP="005703E5">
            <w:pPr>
              <w:rPr>
                <w:color w:val="000000"/>
                <w:lang w:eastAsia="en-AU"/>
              </w:rPr>
            </w:pPr>
            <w:r>
              <w:rPr>
                <w:color w:val="000000"/>
                <w:lang w:eastAsia="en-AU"/>
              </w:rPr>
              <w:t>Safety and Wellbeing</w:t>
            </w:r>
          </w:p>
        </w:tc>
        <w:tc>
          <w:tcPr>
            <w:tcW w:w="1417" w:type="dxa"/>
            <w:tcBorders>
              <w:top w:val="single" w:sz="4" w:space="0" w:color="auto"/>
              <w:left w:val="single" w:sz="4" w:space="0" w:color="auto"/>
              <w:bottom w:val="single" w:sz="4" w:space="0" w:color="auto"/>
              <w:right w:val="single" w:sz="4" w:space="0" w:color="auto"/>
            </w:tcBorders>
          </w:tcPr>
          <w:p w14:paraId="67F03D60" w14:textId="77777777" w:rsidR="00AF7D3A" w:rsidRDefault="00AF7D3A" w:rsidP="005703E5">
            <w:pPr>
              <w:rPr>
                <w:color w:val="000000"/>
                <w:lang w:eastAsia="en-AU"/>
              </w:rPr>
            </w:pPr>
            <w:r>
              <w:rPr>
                <w:color w:val="000000"/>
                <w:lang w:eastAsia="en-AU"/>
              </w:rPr>
              <w:t>Evaluation</w:t>
            </w:r>
          </w:p>
        </w:tc>
      </w:tr>
      <w:tr w:rsidR="00AF7D3A" w:rsidRPr="00467864" w14:paraId="7701E085" w14:textId="77777777" w:rsidTr="00AF7D3A">
        <w:trPr>
          <w:trHeight w:val="117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7F8336C3" w14:textId="77777777" w:rsidR="00AF7D3A" w:rsidRPr="00D340DB" w:rsidRDefault="00AF7D3A" w:rsidP="005703E5">
            <w:pPr>
              <w:rPr>
                <w:b/>
                <w:color w:val="000000"/>
                <w:lang w:eastAsia="en-AU"/>
              </w:rPr>
            </w:pPr>
            <w:r w:rsidRPr="00D340DB">
              <w:rPr>
                <w:b/>
                <w:color w:val="000000"/>
                <w:lang w:eastAsia="en-AU"/>
              </w:rPr>
              <w:t>Review of Indigenous Entrepreneurs Fund –</w:t>
            </w:r>
            <w:r>
              <w:rPr>
                <w:b/>
                <w:color w:val="000000"/>
                <w:lang w:eastAsia="en-AU"/>
              </w:rPr>
              <w:t xml:space="preserve"> </w:t>
            </w:r>
            <w:r w:rsidRPr="00D340DB">
              <w:rPr>
                <w:b/>
                <w:color w:val="000000"/>
                <w:lang w:eastAsia="en-AU"/>
              </w:rPr>
              <w:t>Business Advisors</w:t>
            </w:r>
          </w:p>
          <w:p w14:paraId="67D8DCE2" w14:textId="77777777" w:rsidR="00AF7D3A" w:rsidRPr="00AF7D3A" w:rsidRDefault="00AF7D3A" w:rsidP="005703E5">
            <w:pPr>
              <w:rPr>
                <w:color w:val="000000"/>
                <w:lang w:eastAsia="en-AU"/>
              </w:rPr>
            </w:pPr>
            <w:r w:rsidRPr="00AF7D3A">
              <w:rPr>
                <w:color w:val="000000"/>
                <w:lang w:eastAsia="en-AU"/>
              </w:rPr>
              <w:t xml:space="preserve">This review assessed the effectiveness of the business advisor model and considered options beyond the initial 12-month pilot period.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9EC8A9" w14:textId="77777777" w:rsidR="00AF7D3A" w:rsidRPr="00467864" w:rsidRDefault="00AF7D3A" w:rsidP="005703E5">
            <w:pPr>
              <w:rPr>
                <w:color w:val="000000"/>
                <w:lang w:eastAsia="en-AU"/>
              </w:rPr>
            </w:pPr>
            <w:r>
              <w:rPr>
                <w:color w:val="000000"/>
                <w:lang w:eastAsia="en-AU"/>
              </w:rPr>
              <w:t>Jobs, Land and Economy</w:t>
            </w:r>
          </w:p>
        </w:tc>
        <w:tc>
          <w:tcPr>
            <w:tcW w:w="1417" w:type="dxa"/>
            <w:tcBorders>
              <w:top w:val="single" w:sz="4" w:space="0" w:color="auto"/>
              <w:left w:val="single" w:sz="4" w:space="0" w:color="auto"/>
              <w:bottom w:val="single" w:sz="4" w:space="0" w:color="auto"/>
              <w:right w:val="single" w:sz="4" w:space="0" w:color="auto"/>
            </w:tcBorders>
          </w:tcPr>
          <w:p w14:paraId="3784A6DB" w14:textId="77777777" w:rsidR="00AF7D3A" w:rsidRDefault="00AF7D3A" w:rsidP="005703E5">
            <w:pPr>
              <w:rPr>
                <w:color w:val="000000"/>
                <w:lang w:eastAsia="en-AU"/>
              </w:rPr>
            </w:pPr>
            <w:r>
              <w:rPr>
                <w:color w:val="000000"/>
                <w:lang w:eastAsia="en-AU"/>
              </w:rPr>
              <w:t>Review</w:t>
            </w:r>
          </w:p>
        </w:tc>
      </w:tr>
      <w:tr w:rsidR="00AF7D3A" w:rsidRPr="00467864" w14:paraId="08A49BE8" w14:textId="77777777" w:rsidTr="00AF7D3A">
        <w:trPr>
          <w:trHeight w:val="117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1E0F3AAA" w14:textId="77777777" w:rsidR="00AF7D3A" w:rsidRPr="00D340DB" w:rsidRDefault="00AF7D3A" w:rsidP="005703E5">
            <w:pPr>
              <w:rPr>
                <w:b/>
                <w:color w:val="000000"/>
                <w:lang w:eastAsia="en-AU"/>
              </w:rPr>
            </w:pPr>
            <w:r w:rsidRPr="00D340DB">
              <w:rPr>
                <w:b/>
                <w:color w:val="000000"/>
                <w:lang w:eastAsia="en-AU"/>
              </w:rPr>
              <w:t>Review of Regional Employment Targets under the Community Development Program</w:t>
            </w:r>
          </w:p>
          <w:p w14:paraId="494A5869" w14:textId="77777777" w:rsidR="00AF7D3A" w:rsidRPr="00AF7D3A" w:rsidRDefault="00AF7D3A" w:rsidP="005703E5">
            <w:pPr>
              <w:rPr>
                <w:color w:val="000000"/>
                <w:lang w:eastAsia="en-AU"/>
              </w:rPr>
            </w:pPr>
            <w:r w:rsidRPr="00AF7D3A">
              <w:rPr>
                <w:color w:val="000000"/>
                <w:lang w:eastAsia="en-AU"/>
              </w:rPr>
              <w:t xml:space="preserve">This review focused on the Regional Employment Target methodology and developed a tool for setting future employment targets.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2E8704" w14:textId="77777777" w:rsidR="00AF7D3A" w:rsidRPr="00467864" w:rsidRDefault="00AF7D3A" w:rsidP="005703E5">
            <w:pPr>
              <w:rPr>
                <w:color w:val="000000"/>
                <w:lang w:eastAsia="en-AU"/>
              </w:rPr>
            </w:pPr>
            <w:r>
              <w:rPr>
                <w:color w:val="000000"/>
                <w:lang w:eastAsia="en-AU"/>
              </w:rPr>
              <w:t>Jobs, Land and Economy</w:t>
            </w:r>
          </w:p>
        </w:tc>
        <w:tc>
          <w:tcPr>
            <w:tcW w:w="1417" w:type="dxa"/>
            <w:tcBorders>
              <w:top w:val="single" w:sz="4" w:space="0" w:color="auto"/>
              <w:left w:val="single" w:sz="4" w:space="0" w:color="auto"/>
              <w:bottom w:val="single" w:sz="4" w:space="0" w:color="auto"/>
              <w:right w:val="single" w:sz="4" w:space="0" w:color="auto"/>
            </w:tcBorders>
          </w:tcPr>
          <w:p w14:paraId="47FE7A3F" w14:textId="77777777" w:rsidR="00AF7D3A" w:rsidRDefault="00AF7D3A" w:rsidP="005703E5">
            <w:pPr>
              <w:rPr>
                <w:color w:val="000000"/>
                <w:lang w:eastAsia="en-AU"/>
              </w:rPr>
            </w:pPr>
            <w:r>
              <w:rPr>
                <w:color w:val="000000"/>
                <w:lang w:eastAsia="en-AU"/>
              </w:rPr>
              <w:t>Review</w:t>
            </w:r>
          </w:p>
        </w:tc>
      </w:tr>
      <w:tr w:rsidR="00AF7D3A" w:rsidRPr="00467864" w14:paraId="64E3A519" w14:textId="77777777" w:rsidTr="00AF7D3A">
        <w:trPr>
          <w:trHeight w:val="117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2DFDBEAB" w14:textId="77777777" w:rsidR="00AF7D3A" w:rsidRPr="00D340DB" w:rsidRDefault="00AF7D3A" w:rsidP="005703E5">
            <w:pPr>
              <w:rPr>
                <w:b/>
                <w:color w:val="000000"/>
                <w:lang w:eastAsia="en-AU"/>
              </w:rPr>
            </w:pPr>
            <w:r w:rsidRPr="00D340DB">
              <w:rPr>
                <w:b/>
                <w:color w:val="000000"/>
                <w:lang w:eastAsia="en-AU"/>
              </w:rPr>
              <w:t>School Nutrition Program</w:t>
            </w:r>
          </w:p>
          <w:p w14:paraId="7A88601D" w14:textId="77777777" w:rsidR="00AF7D3A" w:rsidRPr="00AF7D3A" w:rsidRDefault="00AF7D3A" w:rsidP="005703E5">
            <w:pPr>
              <w:rPr>
                <w:color w:val="000000"/>
                <w:lang w:eastAsia="en-AU"/>
              </w:rPr>
            </w:pPr>
            <w:r w:rsidRPr="00AF7D3A">
              <w:rPr>
                <w:color w:val="000000"/>
                <w:lang w:eastAsia="en-AU"/>
              </w:rPr>
              <w:t xml:space="preserve">This review examined whether the School Nutrition Program meets the dietary requirements of students in remote Indigenous schools, as well as the delivery and sustainability of the program.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C2900" w14:textId="77777777" w:rsidR="00AF7D3A" w:rsidRPr="00467864" w:rsidRDefault="00AF7D3A" w:rsidP="005703E5">
            <w:pPr>
              <w:rPr>
                <w:color w:val="000000"/>
                <w:lang w:eastAsia="en-AU"/>
              </w:rPr>
            </w:pPr>
            <w:r w:rsidRPr="00467864">
              <w:rPr>
                <w:color w:val="000000"/>
                <w:lang w:eastAsia="en-AU"/>
              </w:rPr>
              <w:t>Safety and Wellbeing</w:t>
            </w:r>
          </w:p>
        </w:tc>
        <w:tc>
          <w:tcPr>
            <w:tcW w:w="1417" w:type="dxa"/>
            <w:tcBorders>
              <w:top w:val="single" w:sz="4" w:space="0" w:color="auto"/>
              <w:left w:val="single" w:sz="4" w:space="0" w:color="auto"/>
              <w:bottom w:val="single" w:sz="4" w:space="0" w:color="auto"/>
              <w:right w:val="single" w:sz="4" w:space="0" w:color="auto"/>
            </w:tcBorders>
          </w:tcPr>
          <w:p w14:paraId="051DD792" w14:textId="77777777" w:rsidR="00AF7D3A" w:rsidRDefault="00AF7D3A" w:rsidP="005703E5">
            <w:pPr>
              <w:rPr>
                <w:color w:val="000000"/>
                <w:lang w:eastAsia="en-AU"/>
              </w:rPr>
            </w:pPr>
            <w:r>
              <w:rPr>
                <w:color w:val="000000"/>
                <w:lang w:eastAsia="en-AU"/>
              </w:rPr>
              <w:t xml:space="preserve">Review </w:t>
            </w:r>
          </w:p>
        </w:tc>
      </w:tr>
    </w:tbl>
    <w:p w14:paraId="0C419E9B" w14:textId="77777777" w:rsidR="008748E5" w:rsidRDefault="008748E5">
      <w:pPr>
        <w:spacing w:after="200"/>
        <w:rPr>
          <w:sz w:val="56"/>
          <w:szCs w:val="56"/>
        </w:rPr>
      </w:pPr>
      <w:r>
        <w:rPr>
          <w:sz w:val="56"/>
          <w:szCs w:val="56"/>
        </w:rPr>
        <w:br w:type="page"/>
      </w:r>
    </w:p>
    <w:p w14:paraId="4C6E50B6" w14:textId="77777777" w:rsidR="00A87B3D" w:rsidRPr="00F61835" w:rsidRDefault="00B35C14" w:rsidP="00F61835">
      <w:pPr>
        <w:pStyle w:val="h2blue"/>
        <w:rPr>
          <w:sz w:val="48"/>
          <w:szCs w:val="48"/>
        </w:rPr>
      </w:pPr>
      <w:bookmarkStart w:id="107" w:name="_Toc518472416"/>
      <w:bookmarkStart w:id="108" w:name="_Toc531862188"/>
      <w:r w:rsidRPr="00F61835">
        <w:rPr>
          <w:sz w:val="48"/>
          <w:szCs w:val="48"/>
        </w:rPr>
        <w:lastRenderedPageBreak/>
        <w:t>A</w:t>
      </w:r>
      <w:r w:rsidR="00A87B3D" w:rsidRPr="00F61835">
        <w:rPr>
          <w:sz w:val="48"/>
          <w:szCs w:val="48"/>
        </w:rPr>
        <w:t>ppendix</w:t>
      </w:r>
      <w:r w:rsidRPr="00F61835">
        <w:rPr>
          <w:sz w:val="48"/>
          <w:szCs w:val="48"/>
        </w:rPr>
        <w:t xml:space="preserve"> to 2018</w:t>
      </w:r>
      <w:r w:rsidR="0056600C" w:rsidRPr="00F61835">
        <w:rPr>
          <w:sz w:val="48"/>
          <w:szCs w:val="48"/>
        </w:rPr>
        <w:t>–</w:t>
      </w:r>
      <w:r w:rsidRPr="00F61835">
        <w:rPr>
          <w:sz w:val="48"/>
          <w:szCs w:val="48"/>
        </w:rPr>
        <w:t>19 Annual Evaluation Work Plan</w:t>
      </w:r>
      <w:bookmarkEnd w:id="107"/>
      <w:bookmarkEnd w:id="108"/>
      <w:r w:rsidR="00F91A85" w:rsidRPr="00F61835">
        <w:rPr>
          <w:sz w:val="48"/>
          <w:szCs w:val="48"/>
        </w:rPr>
        <w:t xml:space="preserve"> </w:t>
      </w:r>
    </w:p>
    <w:p w14:paraId="3F1B3CFE" w14:textId="77777777" w:rsidR="00A87B3D" w:rsidRDefault="00A87B3D" w:rsidP="00A87B3D">
      <w:pPr>
        <w:spacing w:after="200"/>
      </w:pPr>
      <w:r>
        <w:t>The</w:t>
      </w:r>
      <w:r w:rsidR="00F91A85">
        <w:t>se are all enabling activ</w:t>
      </w:r>
      <w:r w:rsidR="00323914">
        <w:t>ities</w:t>
      </w:r>
      <w:r w:rsidR="00F91A85">
        <w:t xml:space="preserve"> that support future evaluations. This includes</w:t>
      </w:r>
      <w:r>
        <w:t xml:space="preserve"> evaluation </w:t>
      </w:r>
      <w:r w:rsidR="00323914">
        <w:t>strategies</w:t>
      </w:r>
      <w:r w:rsidR="00887ACB">
        <w:t>, capability</w:t>
      </w:r>
      <w:r w:rsidR="00C64334">
        <w:t> </w:t>
      </w:r>
      <w:r w:rsidR="00887ACB">
        <w:t>development</w:t>
      </w:r>
      <w:r w:rsidR="00F91A85">
        <w:t xml:space="preserve"> </w:t>
      </w:r>
      <w:r w:rsidR="003563E4">
        <w:t xml:space="preserve">projects, </w:t>
      </w:r>
      <w:r w:rsidR="00F91A85">
        <w:t>and</w:t>
      </w:r>
      <w:r w:rsidR="006A3FD9">
        <w:t xml:space="preserve"> </w:t>
      </w:r>
      <w:r>
        <w:t>data improvement projects.</w:t>
      </w:r>
    </w:p>
    <w:p w14:paraId="12FFC52D" w14:textId="77777777" w:rsidR="00036B65" w:rsidRPr="007729A8" w:rsidRDefault="000B3FF9" w:rsidP="00F61835">
      <w:pPr>
        <w:pStyle w:val="h3green"/>
      </w:pPr>
      <w:bookmarkStart w:id="109" w:name="_Toc518472417"/>
      <w:bookmarkStart w:id="110" w:name="_Toc531862189"/>
      <w:r w:rsidRPr="00D25EF9">
        <w:t>E</w:t>
      </w:r>
      <w:r w:rsidR="00887033" w:rsidRPr="007729A8">
        <w:t xml:space="preserve">nabling </w:t>
      </w:r>
      <w:r w:rsidR="00943CE5">
        <w:t>a</w:t>
      </w:r>
      <w:r w:rsidR="00887033">
        <w:t>ctivities</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to 2018-19 Annual Evaluation Work Plan"/>
        <w:tblDescription w:val="This is an appendix table that lists all enabling projects that support future evaluations. This includes strategies, capability projects and data improvement projects."/>
      </w:tblPr>
      <w:tblGrid>
        <w:gridCol w:w="8690"/>
        <w:gridCol w:w="1505"/>
      </w:tblGrid>
      <w:tr w:rsidR="008435F3" w:rsidRPr="008654B9" w14:paraId="08446B14" w14:textId="77777777" w:rsidTr="000914C9">
        <w:trPr>
          <w:cantSplit/>
          <w:trHeight w:val="476"/>
          <w:tblHeader/>
        </w:trPr>
        <w:tc>
          <w:tcPr>
            <w:tcW w:w="0" w:type="auto"/>
            <w:tcBorders>
              <w:left w:val="single" w:sz="4" w:space="0" w:color="auto"/>
            </w:tcBorders>
            <w:shd w:val="clear" w:color="auto" w:fill="BFBFBF" w:themeFill="background1" w:themeFillShade="BF"/>
            <w:hideMark/>
          </w:tcPr>
          <w:p w14:paraId="793C0E36" w14:textId="77777777" w:rsidR="008435F3" w:rsidRPr="00B06EDE" w:rsidRDefault="00A26DAA" w:rsidP="00A26DAA">
            <w:pPr>
              <w:rPr>
                <w:b/>
                <w:lang w:eastAsia="en-AU"/>
              </w:rPr>
            </w:pPr>
            <w:r w:rsidRPr="00A26DAA">
              <w:rPr>
                <w:b/>
                <w:lang w:eastAsia="en-AU"/>
              </w:rPr>
              <w:t>Description</w:t>
            </w:r>
          </w:p>
        </w:tc>
        <w:tc>
          <w:tcPr>
            <w:tcW w:w="0" w:type="auto"/>
            <w:shd w:val="clear" w:color="auto" w:fill="BFBFBF" w:themeFill="background1" w:themeFillShade="BF"/>
          </w:tcPr>
          <w:p w14:paraId="0FFA16AC" w14:textId="77777777" w:rsidR="008435F3" w:rsidRPr="00B06EDE" w:rsidRDefault="008435F3" w:rsidP="008748E5">
            <w:pPr>
              <w:rPr>
                <w:b/>
                <w:lang w:eastAsia="en-AU"/>
              </w:rPr>
            </w:pPr>
            <w:r>
              <w:rPr>
                <w:b/>
                <w:lang w:eastAsia="en-AU"/>
              </w:rPr>
              <w:t>Type</w:t>
            </w:r>
          </w:p>
        </w:tc>
      </w:tr>
      <w:tr w:rsidR="00C030FC" w:rsidRPr="008654B9" w14:paraId="022D8512" w14:textId="77777777" w:rsidTr="00522D74">
        <w:trPr>
          <w:trHeight w:val="907"/>
        </w:trPr>
        <w:tc>
          <w:tcPr>
            <w:tcW w:w="0" w:type="auto"/>
            <w:tcBorders>
              <w:left w:val="single" w:sz="4" w:space="0" w:color="auto"/>
            </w:tcBorders>
            <w:shd w:val="clear" w:color="auto" w:fill="FFFFFF" w:themeFill="background1"/>
          </w:tcPr>
          <w:p w14:paraId="43CC8048" w14:textId="77777777" w:rsidR="00C030FC" w:rsidRPr="00AD2EB1" w:rsidRDefault="00C030FC" w:rsidP="00C030FC">
            <w:pPr>
              <w:pStyle w:val="ListParagraph"/>
              <w:ind w:left="0"/>
              <w:rPr>
                <w:b/>
                <w:color w:val="000000"/>
                <w:lang w:eastAsia="en-AU"/>
              </w:rPr>
            </w:pPr>
            <w:r w:rsidRPr="00AD2EB1">
              <w:rPr>
                <w:b/>
                <w:color w:val="000000"/>
                <w:lang w:eastAsia="en-AU"/>
              </w:rPr>
              <w:t xml:space="preserve">AIATSIS </w:t>
            </w:r>
            <w:r>
              <w:rPr>
                <w:b/>
                <w:color w:val="000000"/>
                <w:lang w:eastAsia="en-AU"/>
              </w:rPr>
              <w:t>E</w:t>
            </w:r>
            <w:r w:rsidRPr="00AD2EB1">
              <w:rPr>
                <w:b/>
                <w:color w:val="000000"/>
                <w:lang w:eastAsia="en-AU"/>
              </w:rPr>
              <w:t xml:space="preserve">thics </w:t>
            </w:r>
            <w:r>
              <w:rPr>
                <w:b/>
                <w:color w:val="000000"/>
                <w:lang w:eastAsia="en-AU"/>
              </w:rPr>
              <w:t>P</w:t>
            </w:r>
            <w:r w:rsidRPr="00AD2EB1">
              <w:rPr>
                <w:b/>
                <w:color w:val="000000"/>
                <w:lang w:eastAsia="en-AU"/>
              </w:rPr>
              <w:t>roject</w:t>
            </w:r>
          </w:p>
          <w:p w14:paraId="176235D5" w14:textId="77777777" w:rsidR="00C030FC" w:rsidRDefault="00C030FC" w:rsidP="00C030FC">
            <w:pPr>
              <w:rPr>
                <w:b/>
                <w:color w:val="00B050"/>
                <w:lang w:eastAsia="en-AU"/>
              </w:rPr>
            </w:pPr>
            <w:r w:rsidRPr="00C768A1">
              <w:rPr>
                <w:color w:val="000000"/>
                <w:lang w:eastAsia="en-AU"/>
              </w:rPr>
              <w:t>This ca</w:t>
            </w:r>
            <w:r>
              <w:rPr>
                <w:color w:val="000000"/>
                <w:lang w:eastAsia="en-AU"/>
              </w:rPr>
              <w:t xml:space="preserve">pability development project will </w:t>
            </w:r>
            <w:r w:rsidRPr="00AD2EB1">
              <w:rPr>
                <w:color w:val="000000"/>
                <w:lang w:eastAsia="en-AU"/>
              </w:rPr>
              <w:t>embed AIATSIS ethics clearance processes in IAS evaluation activities.</w:t>
            </w:r>
          </w:p>
        </w:tc>
        <w:tc>
          <w:tcPr>
            <w:tcW w:w="0" w:type="auto"/>
            <w:shd w:val="clear" w:color="auto" w:fill="FFFFFF" w:themeFill="background1"/>
          </w:tcPr>
          <w:p w14:paraId="2DB7E088" w14:textId="77777777" w:rsidR="00C030FC" w:rsidRPr="00E7703E" w:rsidRDefault="00C030FC" w:rsidP="00C64334">
            <w:pPr>
              <w:rPr>
                <w:color w:val="000000"/>
                <w:lang w:eastAsia="en-AU"/>
              </w:rPr>
            </w:pPr>
            <w:r>
              <w:rPr>
                <w:color w:val="000000"/>
                <w:lang w:eastAsia="en-AU"/>
              </w:rPr>
              <w:t>C</w:t>
            </w:r>
            <w:r w:rsidRPr="00887ACB">
              <w:rPr>
                <w:color w:val="000000"/>
                <w:lang w:eastAsia="en-AU"/>
              </w:rPr>
              <w:t xml:space="preserve">apability </w:t>
            </w:r>
          </w:p>
        </w:tc>
      </w:tr>
      <w:tr w:rsidR="00C030FC" w:rsidRPr="008654B9" w14:paraId="09DFD936" w14:textId="77777777" w:rsidTr="00522D74">
        <w:trPr>
          <w:trHeight w:val="1117"/>
        </w:trPr>
        <w:tc>
          <w:tcPr>
            <w:tcW w:w="0" w:type="auto"/>
            <w:tcBorders>
              <w:left w:val="single" w:sz="4" w:space="0" w:color="auto"/>
            </w:tcBorders>
            <w:shd w:val="clear" w:color="auto" w:fill="FFFFFF" w:themeFill="background1"/>
          </w:tcPr>
          <w:p w14:paraId="2756B7D7" w14:textId="77777777" w:rsidR="00C030FC" w:rsidRPr="00B052BB" w:rsidRDefault="00C030FC" w:rsidP="00C030FC">
            <w:pPr>
              <w:rPr>
                <w:b/>
                <w:color w:val="000000"/>
                <w:lang w:eastAsia="en-AU"/>
              </w:rPr>
            </w:pPr>
            <w:r w:rsidRPr="00B052BB">
              <w:rPr>
                <w:b/>
                <w:color w:val="00B050"/>
                <w:lang w:eastAsia="en-AU"/>
              </w:rPr>
              <w:t>NEW</w:t>
            </w:r>
            <w:r w:rsidRPr="00B052BB">
              <w:rPr>
                <w:color w:val="00B050"/>
                <w:lang w:eastAsia="en-AU"/>
              </w:rPr>
              <w:t xml:space="preserve"> </w:t>
            </w:r>
            <w:r w:rsidRPr="00B052BB">
              <w:rPr>
                <w:b/>
                <w:color w:val="000000"/>
                <w:lang w:eastAsia="en-AU"/>
              </w:rPr>
              <w:t>Allied Health in Remote Schools Trial</w:t>
            </w:r>
          </w:p>
          <w:p w14:paraId="44D784B4" w14:textId="77777777" w:rsidR="00C030FC" w:rsidRDefault="003563E4" w:rsidP="00790C77">
            <w:pPr>
              <w:rPr>
                <w:b/>
                <w:color w:val="00B050"/>
                <w:lang w:eastAsia="en-AU"/>
              </w:rPr>
            </w:pPr>
            <w:r>
              <w:rPr>
                <w:color w:val="000000"/>
                <w:lang w:eastAsia="en-AU"/>
              </w:rPr>
              <w:t>This</w:t>
            </w:r>
            <w:r w:rsidR="00C030FC">
              <w:rPr>
                <w:color w:val="000000"/>
                <w:lang w:eastAsia="en-AU"/>
              </w:rPr>
              <w:t xml:space="preserve"> e</w:t>
            </w:r>
            <w:r w:rsidR="00C030FC" w:rsidRPr="00B052BB">
              <w:rPr>
                <w:color w:val="000000"/>
                <w:lang w:eastAsia="en-AU"/>
              </w:rPr>
              <w:t xml:space="preserve">valuation </w:t>
            </w:r>
            <w:r w:rsidR="00C030FC">
              <w:rPr>
                <w:color w:val="000000"/>
                <w:lang w:eastAsia="en-AU"/>
              </w:rPr>
              <w:t xml:space="preserve">strategy </w:t>
            </w:r>
            <w:r w:rsidR="00C030FC" w:rsidRPr="00B052BB">
              <w:rPr>
                <w:color w:val="000000"/>
                <w:lang w:eastAsia="en-AU"/>
              </w:rPr>
              <w:t xml:space="preserve">under the </w:t>
            </w:r>
            <w:r w:rsidR="00C030FC" w:rsidRPr="00BF4C84">
              <w:rPr>
                <w:color w:val="000000"/>
                <w:lang w:eastAsia="en-AU"/>
              </w:rPr>
              <w:t>Australian Government</w:t>
            </w:r>
            <w:r w:rsidR="001E3A63">
              <w:rPr>
                <w:color w:val="000000"/>
                <w:lang w:eastAsia="en-AU"/>
              </w:rPr>
              <w:t>’s</w:t>
            </w:r>
            <w:r w:rsidR="00C030FC" w:rsidRPr="00BF4C84">
              <w:rPr>
                <w:color w:val="000000"/>
                <w:lang w:eastAsia="en-AU"/>
              </w:rPr>
              <w:t xml:space="preserve"> Plan to Improve Outcomes for Aboriginal and Torres Strait Islander People with</w:t>
            </w:r>
            <w:r>
              <w:rPr>
                <w:color w:val="000000"/>
                <w:lang w:eastAsia="en-AU"/>
              </w:rPr>
              <w:t xml:space="preserve"> a</w:t>
            </w:r>
            <w:r w:rsidR="00C030FC" w:rsidRPr="00BF4C84">
              <w:rPr>
                <w:color w:val="000000"/>
                <w:lang w:eastAsia="en-AU"/>
              </w:rPr>
              <w:t xml:space="preserve"> </w:t>
            </w:r>
            <w:r w:rsidR="0016188E">
              <w:rPr>
                <w:color w:val="000000"/>
                <w:lang w:eastAsia="en-AU"/>
              </w:rPr>
              <w:t>d</w:t>
            </w:r>
            <w:r w:rsidR="00C030FC" w:rsidRPr="00BF4C84">
              <w:rPr>
                <w:color w:val="000000"/>
                <w:lang w:eastAsia="en-AU"/>
              </w:rPr>
              <w:t>isability</w:t>
            </w:r>
            <w:r w:rsidR="00C030FC">
              <w:rPr>
                <w:color w:val="000000"/>
                <w:lang w:eastAsia="en-AU"/>
              </w:rPr>
              <w:t xml:space="preserve"> will</w:t>
            </w:r>
            <w:r w:rsidR="00C030FC" w:rsidRPr="00B052BB">
              <w:rPr>
                <w:color w:val="000000"/>
                <w:lang w:eastAsia="en-AU"/>
              </w:rPr>
              <w:t xml:space="preserve"> </w:t>
            </w:r>
            <w:r w:rsidR="00C030FC" w:rsidRPr="00BF4C84">
              <w:rPr>
                <w:color w:val="000000"/>
                <w:lang w:eastAsia="en-AU"/>
              </w:rPr>
              <w:t>identify whether the intended objectives and outcomes of the trial have been, or are on the way to being, achieved.</w:t>
            </w:r>
          </w:p>
        </w:tc>
        <w:tc>
          <w:tcPr>
            <w:tcW w:w="0" w:type="auto"/>
            <w:shd w:val="clear" w:color="auto" w:fill="FFFFFF" w:themeFill="background1"/>
          </w:tcPr>
          <w:p w14:paraId="1B0AD6D1" w14:textId="77777777" w:rsidR="00C030FC" w:rsidRPr="00E7703E" w:rsidRDefault="00C030FC" w:rsidP="00C030FC">
            <w:pPr>
              <w:rPr>
                <w:color w:val="000000"/>
                <w:lang w:eastAsia="en-AU"/>
              </w:rPr>
            </w:pPr>
            <w:r>
              <w:rPr>
                <w:color w:val="000000"/>
                <w:lang w:eastAsia="en-AU"/>
              </w:rPr>
              <w:t>Strategy</w:t>
            </w:r>
          </w:p>
        </w:tc>
      </w:tr>
      <w:tr w:rsidR="00C030FC" w:rsidRPr="008654B9" w14:paraId="08D6173E" w14:textId="77777777" w:rsidTr="00522D74">
        <w:trPr>
          <w:trHeight w:val="1049"/>
        </w:trPr>
        <w:tc>
          <w:tcPr>
            <w:tcW w:w="0" w:type="auto"/>
            <w:tcBorders>
              <w:left w:val="single" w:sz="4" w:space="0" w:color="auto"/>
            </w:tcBorders>
            <w:shd w:val="clear" w:color="auto" w:fill="FFFFFF" w:themeFill="background1"/>
          </w:tcPr>
          <w:p w14:paraId="6B9C9274" w14:textId="77777777" w:rsidR="00C030FC" w:rsidRPr="00E7703E" w:rsidRDefault="00C030FC" w:rsidP="00C030FC">
            <w:pPr>
              <w:rPr>
                <w:b/>
                <w:color w:val="000000"/>
                <w:lang w:eastAsia="en-AU"/>
              </w:rPr>
            </w:pPr>
            <w:r w:rsidRPr="00033153">
              <w:rPr>
                <w:b/>
                <w:color w:val="00B050"/>
                <w:lang w:eastAsia="en-AU"/>
              </w:rPr>
              <w:t>NEW</w:t>
            </w:r>
            <w:r w:rsidRPr="00E7703E">
              <w:rPr>
                <w:b/>
                <w:color w:val="000000"/>
                <w:lang w:eastAsia="en-AU"/>
              </w:rPr>
              <w:t xml:space="preserve"> Australian Institute of Health and Welfare Regional Profiles</w:t>
            </w:r>
          </w:p>
          <w:p w14:paraId="70AB61ED" w14:textId="77777777" w:rsidR="00C030FC" w:rsidRPr="00E94B93" w:rsidRDefault="00C030FC" w:rsidP="00C030FC">
            <w:pPr>
              <w:rPr>
                <w:b/>
                <w:color w:val="000000"/>
                <w:lang w:eastAsia="en-AU"/>
              </w:rPr>
            </w:pPr>
            <w:r w:rsidRPr="00E7703E">
              <w:rPr>
                <w:color w:val="000000"/>
                <w:lang w:eastAsia="en-AU"/>
              </w:rPr>
              <w:t xml:space="preserve">This </w:t>
            </w:r>
            <w:r>
              <w:rPr>
                <w:color w:val="000000"/>
                <w:lang w:eastAsia="en-AU"/>
              </w:rPr>
              <w:t>d</w:t>
            </w:r>
            <w:r w:rsidRPr="007B6F86">
              <w:rPr>
                <w:color w:val="000000"/>
                <w:lang w:eastAsia="en-AU"/>
              </w:rPr>
              <w:t xml:space="preserve">ata improvement </w:t>
            </w:r>
            <w:r>
              <w:rPr>
                <w:color w:val="000000"/>
                <w:lang w:eastAsia="en-AU"/>
              </w:rPr>
              <w:t xml:space="preserve">project </w:t>
            </w:r>
            <w:r w:rsidRPr="00E7703E">
              <w:rPr>
                <w:color w:val="000000"/>
                <w:lang w:eastAsia="en-AU"/>
              </w:rPr>
              <w:t xml:space="preserve">will involve analysis of data to produce statistics describing geographic variation in the health and welfare of </w:t>
            </w:r>
            <w:r w:rsidR="001E6D22" w:rsidRPr="001E6D22">
              <w:rPr>
                <w:color w:val="000000"/>
                <w:lang w:eastAsia="en-AU"/>
              </w:rPr>
              <w:t>Aboriginal and Torres Strait Islander people</w:t>
            </w:r>
            <w:r w:rsidR="001E6D22" w:rsidRPr="001E6D22" w:rsidDel="001E6D22">
              <w:rPr>
                <w:color w:val="000000"/>
                <w:lang w:eastAsia="en-AU"/>
              </w:rPr>
              <w:t xml:space="preserve"> </w:t>
            </w:r>
            <w:r w:rsidRPr="00E7703E">
              <w:rPr>
                <w:color w:val="000000"/>
                <w:lang w:eastAsia="en-AU"/>
              </w:rPr>
              <w:t>at</w:t>
            </w:r>
            <w:r w:rsidR="003563E4">
              <w:rPr>
                <w:color w:val="000000"/>
                <w:lang w:eastAsia="en-AU"/>
              </w:rPr>
              <w:t xml:space="preserve"> the</w:t>
            </w:r>
            <w:r w:rsidRPr="00E7703E">
              <w:rPr>
                <w:color w:val="000000"/>
                <w:lang w:eastAsia="en-AU"/>
              </w:rPr>
              <w:t xml:space="preserve"> regional level.</w:t>
            </w:r>
          </w:p>
        </w:tc>
        <w:tc>
          <w:tcPr>
            <w:tcW w:w="0" w:type="auto"/>
            <w:shd w:val="clear" w:color="auto" w:fill="FFFFFF" w:themeFill="background1"/>
          </w:tcPr>
          <w:p w14:paraId="79D8AF9D" w14:textId="77777777" w:rsidR="00C030FC" w:rsidRDefault="00C030FC" w:rsidP="00C030FC">
            <w:pPr>
              <w:rPr>
                <w:color w:val="000000"/>
                <w:lang w:eastAsia="en-AU"/>
              </w:rPr>
            </w:pPr>
            <w:r w:rsidRPr="00E7703E">
              <w:rPr>
                <w:color w:val="000000"/>
                <w:lang w:eastAsia="en-AU"/>
              </w:rPr>
              <w:t>Data improvement</w:t>
            </w:r>
          </w:p>
        </w:tc>
      </w:tr>
      <w:tr w:rsidR="00C030FC" w:rsidRPr="008654B9" w14:paraId="13F8EEF2" w14:textId="77777777" w:rsidTr="00522D74">
        <w:trPr>
          <w:trHeight w:val="584"/>
        </w:trPr>
        <w:tc>
          <w:tcPr>
            <w:tcW w:w="0" w:type="auto"/>
            <w:tcBorders>
              <w:left w:val="single" w:sz="4" w:space="0" w:color="auto"/>
            </w:tcBorders>
            <w:shd w:val="clear" w:color="auto" w:fill="FFFFFF" w:themeFill="background1"/>
          </w:tcPr>
          <w:p w14:paraId="18466D15" w14:textId="77777777" w:rsidR="00C030FC" w:rsidRDefault="00C030FC" w:rsidP="00C030FC">
            <w:pPr>
              <w:rPr>
                <w:b/>
                <w:color w:val="000000"/>
                <w:lang w:eastAsia="en-AU"/>
              </w:rPr>
            </w:pPr>
            <w:r w:rsidRPr="00AF1191">
              <w:rPr>
                <w:b/>
                <w:color w:val="00B050"/>
                <w:lang w:eastAsia="en-AU"/>
              </w:rPr>
              <w:t>NEW</w:t>
            </w:r>
            <w:r>
              <w:rPr>
                <w:b/>
                <w:color w:val="000000"/>
                <w:lang w:eastAsia="en-AU"/>
              </w:rPr>
              <w:t xml:space="preserve"> </w:t>
            </w:r>
            <w:r w:rsidRPr="007C2FB2">
              <w:rPr>
                <w:b/>
                <w:color w:val="000000"/>
                <w:lang w:eastAsia="en-AU"/>
              </w:rPr>
              <w:t>Business Development and Assistance Program</w:t>
            </w:r>
          </w:p>
          <w:p w14:paraId="60D38403" w14:textId="77777777" w:rsidR="00C030FC" w:rsidRPr="00E94B93" w:rsidRDefault="00C030FC" w:rsidP="008D5E5E">
            <w:pPr>
              <w:rPr>
                <w:b/>
                <w:color w:val="000000"/>
                <w:lang w:eastAsia="en-AU"/>
              </w:rPr>
            </w:pPr>
            <w:r w:rsidRPr="00DC6167">
              <w:rPr>
                <w:color w:val="000000"/>
                <w:lang w:eastAsia="en-AU"/>
              </w:rPr>
              <w:t xml:space="preserve">This </w:t>
            </w:r>
            <w:r w:rsidR="0016188E" w:rsidRPr="00DC6167">
              <w:rPr>
                <w:color w:val="000000"/>
                <w:lang w:eastAsia="en-AU"/>
              </w:rPr>
              <w:t xml:space="preserve">evaluation </w:t>
            </w:r>
            <w:r w:rsidR="008D5E5E" w:rsidRPr="00DC6167">
              <w:rPr>
                <w:color w:val="000000"/>
                <w:lang w:eastAsia="en-AU"/>
              </w:rPr>
              <w:t>strategy will cover methods to examine if the program is meeting its objectives.</w:t>
            </w:r>
          </w:p>
        </w:tc>
        <w:tc>
          <w:tcPr>
            <w:tcW w:w="0" w:type="auto"/>
            <w:shd w:val="clear" w:color="auto" w:fill="FFFFFF" w:themeFill="background1"/>
          </w:tcPr>
          <w:p w14:paraId="2D7C4893" w14:textId="77777777" w:rsidR="00C030FC" w:rsidRDefault="00C030FC" w:rsidP="00C030FC">
            <w:pPr>
              <w:rPr>
                <w:color w:val="000000"/>
                <w:lang w:eastAsia="en-AU"/>
              </w:rPr>
            </w:pPr>
            <w:r>
              <w:rPr>
                <w:color w:val="000000"/>
                <w:lang w:eastAsia="en-AU"/>
              </w:rPr>
              <w:t>Strategy</w:t>
            </w:r>
          </w:p>
        </w:tc>
      </w:tr>
      <w:tr w:rsidR="005A75D1" w:rsidRPr="008654B9" w14:paraId="219581CD" w14:textId="77777777" w:rsidTr="004C5E14">
        <w:trPr>
          <w:trHeight w:val="1034"/>
        </w:trPr>
        <w:tc>
          <w:tcPr>
            <w:tcW w:w="0" w:type="auto"/>
            <w:tcBorders>
              <w:left w:val="single" w:sz="4" w:space="0" w:color="auto"/>
            </w:tcBorders>
            <w:shd w:val="clear" w:color="auto" w:fill="FFFFFF" w:themeFill="background1"/>
          </w:tcPr>
          <w:p w14:paraId="4FF36E97" w14:textId="77777777" w:rsidR="005A75D1" w:rsidRPr="005B2A56" w:rsidRDefault="005A75D1" w:rsidP="005A75D1">
            <w:pPr>
              <w:rPr>
                <w:b/>
                <w:color w:val="000000"/>
                <w:lang w:eastAsia="en-AU"/>
              </w:rPr>
            </w:pPr>
            <w:r w:rsidRPr="00033153">
              <w:rPr>
                <w:b/>
                <w:color w:val="00B050"/>
                <w:lang w:eastAsia="en-AU"/>
              </w:rPr>
              <w:t xml:space="preserve">NEW </w:t>
            </w:r>
            <w:r>
              <w:rPr>
                <w:b/>
                <w:color w:val="000000"/>
                <w:lang w:eastAsia="en-AU"/>
              </w:rPr>
              <w:t>Community Development Program (CDP)</w:t>
            </w:r>
          </w:p>
          <w:p w14:paraId="48E664EE" w14:textId="77777777" w:rsidR="005A75D1" w:rsidRPr="00033153" w:rsidRDefault="004C5E14" w:rsidP="004C5E14">
            <w:pPr>
              <w:rPr>
                <w:b/>
                <w:color w:val="00B050"/>
                <w:lang w:eastAsia="en-AU"/>
              </w:rPr>
            </w:pPr>
            <w:r w:rsidRPr="00FD72F3">
              <w:rPr>
                <w:color w:val="000000"/>
                <w:lang w:eastAsia="en-AU"/>
              </w:rPr>
              <w:t xml:space="preserve">This </w:t>
            </w:r>
            <w:r>
              <w:rPr>
                <w:color w:val="000000"/>
                <w:lang w:eastAsia="en-AU"/>
              </w:rPr>
              <w:t xml:space="preserve">evaluation </w:t>
            </w:r>
            <w:r w:rsidRPr="00FD72F3">
              <w:rPr>
                <w:color w:val="000000"/>
                <w:lang w:eastAsia="en-AU"/>
              </w:rPr>
              <w:t xml:space="preserve">strategy will identify methods for evaluating the effect of the CDP reforms in improving outcomes for participants </w:t>
            </w:r>
            <w:r w:rsidRPr="00FD72F3">
              <w:rPr>
                <w:bCs/>
                <w:color w:val="000000"/>
                <w:lang w:eastAsia="en-AU"/>
              </w:rPr>
              <w:t>and communities</w:t>
            </w:r>
            <w:r w:rsidR="005E5B2B" w:rsidRPr="005E5B2B">
              <w:rPr>
                <w:color w:val="000000"/>
                <w:lang w:eastAsia="en-AU"/>
              </w:rPr>
              <w:t>.</w:t>
            </w:r>
          </w:p>
        </w:tc>
        <w:tc>
          <w:tcPr>
            <w:tcW w:w="0" w:type="auto"/>
            <w:shd w:val="clear" w:color="auto" w:fill="FFFFFF" w:themeFill="background1"/>
          </w:tcPr>
          <w:p w14:paraId="49BAE2A4" w14:textId="77777777" w:rsidR="005A75D1" w:rsidRDefault="005A75D1" w:rsidP="00C030FC">
            <w:pPr>
              <w:rPr>
                <w:color w:val="000000"/>
                <w:lang w:eastAsia="en-AU"/>
              </w:rPr>
            </w:pPr>
            <w:r>
              <w:rPr>
                <w:color w:val="000000"/>
                <w:lang w:eastAsia="en-AU"/>
              </w:rPr>
              <w:t>S</w:t>
            </w:r>
            <w:r w:rsidRPr="005B2A56">
              <w:rPr>
                <w:color w:val="000000"/>
                <w:lang w:eastAsia="en-AU"/>
              </w:rPr>
              <w:t>trategy</w:t>
            </w:r>
          </w:p>
        </w:tc>
      </w:tr>
      <w:tr w:rsidR="00C030FC" w:rsidRPr="008654B9" w14:paraId="6EAA911E" w14:textId="77777777" w:rsidTr="00522D74">
        <w:trPr>
          <w:trHeight w:val="852"/>
        </w:trPr>
        <w:tc>
          <w:tcPr>
            <w:tcW w:w="0" w:type="auto"/>
            <w:tcBorders>
              <w:left w:val="single" w:sz="4" w:space="0" w:color="auto"/>
            </w:tcBorders>
            <w:shd w:val="clear" w:color="auto" w:fill="FFFFFF" w:themeFill="background1"/>
          </w:tcPr>
          <w:p w14:paraId="7FA14F3D" w14:textId="77777777" w:rsidR="00C030FC" w:rsidRPr="005B2A56" w:rsidRDefault="00C030FC" w:rsidP="00C030FC">
            <w:pPr>
              <w:rPr>
                <w:b/>
                <w:color w:val="000000"/>
                <w:lang w:eastAsia="en-AU"/>
              </w:rPr>
            </w:pPr>
            <w:r w:rsidRPr="00033153">
              <w:rPr>
                <w:b/>
                <w:color w:val="00B050"/>
                <w:lang w:eastAsia="en-AU"/>
              </w:rPr>
              <w:t xml:space="preserve">NEW </w:t>
            </w:r>
            <w:r w:rsidRPr="005B2A56">
              <w:rPr>
                <w:b/>
                <w:color w:val="000000"/>
                <w:lang w:eastAsia="en-AU"/>
              </w:rPr>
              <w:t xml:space="preserve">Cross-Portfolio Review of Away from Base </w:t>
            </w:r>
            <w:r>
              <w:rPr>
                <w:b/>
                <w:color w:val="000000"/>
                <w:lang w:eastAsia="en-AU"/>
              </w:rPr>
              <w:t>A</w:t>
            </w:r>
            <w:r w:rsidRPr="005B2A56">
              <w:rPr>
                <w:b/>
                <w:color w:val="000000"/>
                <w:lang w:eastAsia="en-AU"/>
              </w:rPr>
              <w:t>ctivities</w:t>
            </w:r>
          </w:p>
          <w:p w14:paraId="6A69D915" w14:textId="77777777" w:rsidR="00C030FC" w:rsidRPr="00E94B93" w:rsidRDefault="00C030FC" w:rsidP="00772E2C">
            <w:pPr>
              <w:rPr>
                <w:b/>
                <w:color w:val="000000"/>
                <w:lang w:eastAsia="en-AU"/>
              </w:rPr>
            </w:pPr>
            <w:r>
              <w:rPr>
                <w:color w:val="000000"/>
                <w:lang w:eastAsia="en-AU"/>
              </w:rPr>
              <w:t>This</w:t>
            </w:r>
            <w:r w:rsidRPr="000A12BB">
              <w:rPr>
                <w:color w:val="000000"/>
                <w:lang w:eastAsia="en-AU"/>
              </w:rPr>
              <w:t xml:space="preserve"> evaluation strategy</w:t>
            </w:r>
            <w:r>
              <w:rPr>
                <w:color w:val="000000"/>
                <w:lang w:eastAsia="en-AU"/>
              </w:rPr>
              <w:t xml:space="preserve"> </w:t>
            </w:r>
            <w:r w:rsidR="007330AB">
              <w:rPr>
                <w:color w:val="000000"/>
                <w:lang w:eastAsia="en-AU"/>
              </w:rPr>
              <w:t>about</w:t>
            </w:r>
            <w:r w:rsidRPr="000A12BB">
              <w:rPr>
                <w:color w:val="000000"/>
                <w:lang w:eastAsia="en-AU"/>
              </w:rPr>
              <w:t xml:space="preserve"> current </w:t>
            </w:r>
            <w:r>
              <w:rPr>
                <w:color w:val="000000"/>
                <w:lang w:eastAsia="en-AU"/>
              </w:rPr>
              <w:t xml:space="preserve">Away from Base </w:t>
            </w:r>
            <w:r w:rsidRPr="000A12BB">
              <w:rPr>
                <w:color w:val="000000"/>
                <w:lang w:eastAsia="en-AU"/>
              </w:rPr>
              <w:t>activit</w:t>
            </w:r>
            <w:r>
              <w:rPr>
                <w:color w:val="000000"/>
                <w:lang w:eastAsia="en-AU"/>
              </w:rPr>
              <w:t>ies</w:t>
            </w:r>
            <w:r w:rsidRPr="000A12BB">
              <w:rPr>
                <w:color w:val="000000"/>
                <w:lang w:eastAsia="en-AU"/>
              </w:rPr>
              <w:t>, assess the need and impact of</w:t>
            </w:r>
            <w:r w:rsidR="00772E2C">
              <w:rPr>
                <w:color w:val="000000"/>
                <w:lang w:eastAsia="en-AU"/>
              </w:rPr>
              <w:t xml:space="preserve"> </w:t>
            </w:r>
            <w:r w:rsidRPr="000A12BB">
              <w:rPr>
                <w:color w:val="000000"/>
                <w:lang w:eastAsia="en-AU"/>
              </w:rPr>
              <w:t>distance learning support for</w:t>
            </w:r>
            <w:r w:rsidR="001E6D22">
              <w:rPr>
                <w:color w:val="000000"/>
                <w:lang w:eastAsia="en-AU"/>
              </w:rPr>
              <w:t xml:space="preserve"> </w:t>
            </w:r>
            <w:r w:rsidR="001E6D22" w:rsidRPr="001E6D22">
              <w:rPr>
                <w:color w:val="000000"/>
                <w:lang w:eastAsia="en-AU"/>
              </w:rPr>
              <w:t xml:space="preserve">Aboriginal and Torres Strait Islander </w:t>
            </w:r>
            <w:r w:rsidRPr="000A12BB">
              <w:rPr>
                <w:color w:val="000000"/>
                <w:lang w:eastAsia="en-AU"/>
              </w:rPr>
              <w:t>tertiary students</w:t>
            </w:r>
            <w:r w:rsidR="007330AB">
              <w:rPr>
                <w:color w:val="000000"/>
                <w:lang w:eastAsia="en-AU"/>
              </w:rPr>
              <w:t>.</w:t>
            </w:r>
          </w:p>
        </w:tc>
        <w:tc>
          <w:tcPr>
            <w:tcW w:w="0" w:type="auto"/>
            <w:shd w:val="clear" w:color="auto" w:fill="FFFFFF" w:themeFill="background1"/>
          </w:tcPr>
          <w:p w14:paraId="79B9F9A1" w14:textId="77777777" w:rsidR="00C030FC" w:rsidRDefault="00C030FC" w:rsidP="00C030FC">
            <w:pPr>
              <w:rPr>
                <w:color w:val="000000"/>
                <w:lang w:eastAsia="en-AU"/>
              </w:rPr>
            </w:pPr>
            <w:r>
              <w:rPr>
                <w:color w:val="000000"/>
                <w:lang w:eastAsia="en-AU"/>
              </w:rPr>
              <w:t>S</w:t>
            </w:r>
            <w:r w:rsidRPr="005B2A56">
              <w:rPr>
                <w:color w:val="000000"/>
                <w:lang w:eastAsia="en-AU"/>
              </w:rPr>
              <w:t>trategy</w:t>
            </w:r>
          </w:p>
        </w:tc>
      </w:tr>
      <w:tr w:rsidR="0002058D" w:rsidRPr="008654B9" w14:paraId="16B49385" w14:textId="77777777" w:rsidTr="00E53C69">
        <w:trPr>
          <w:trHeight w:val="2040"/>
        </w:trPr>
        <w:tc>
          <w:tcPr>
            <w:tcW w:w="0" w:type="auto"/>
            <w:tcBorders>
              <w:left w:val="single" w:sz="4" w:space="0" w:color="auto"/>
            </w:tcBorders>
            <w:shd w:val="clear" w:color="auto" w:fill="FFFFFF" w:themeFill="background1"/>
          </w:tcPr>
          <w:p w14:paraId="208E2103" w14:textId="77777777" w:rsidR="0002058D" w:rsidRPr="0025060F" w:rsidRDefault="0002058D" w:rsidP="0002058D">
            <w:pPr>
              <w:rPr>
                <w:b/>
                <w:color w:val="000000"/>
                <w:lang w:eastAsia="en-AU"/>
              </w:rPr>
            </w:pPr>
            <w:r w:rsidRPr="00E94B93">
              <w:rPr>
                <w:b/>
                <w:color w:val="000000"/>
                <w:lang w:eastAsia="en-AU"/>
              </w:rPr>
              <w:t>Empowered Communities</w:t>
            </w:r>
            <w:r w:rsidR="0020427C">
              <w:rPr>
                <w:b/>
                <w:color w:val="000000"/>
                <w:lang w:eastAsia="en-AU"/>
              </w:rPr>
              <w:t xml:space="preserve"> </w:t>
            </w:r>
            <w:r w:rsidR="00884A80">
              <w:rPr>
                <w:b/>
                <w:color w:val="000000"/>
                <w:lang w:eastAsia="en-AU"/>
              </w:rPr>
              <w:t>(EC)</w:t>
            </w:r>
          </w:p>
          <w:p w14:paraId="07954656" w14:textId="77777777" w:rsidR="0002058D" w:rsidRPr="00C40B6C" w:rsidRDefault="0002058D" w:rsidP="0002058D">
            <w:pPr>
              <w:rPr>
                <w:color w:val="000000"/>
                <w:szCs w:val="20"/>
              </w:rPr>
            </w:pPr>
            <w:r>
              <w:rPr>
                <w:color w:val="000000"/>
                <w:szCs w:val="20"/>
              </w:rPr>
              <w:t>This framework developm</w:t>
            </w:r>
            <w:r w:rsidR="00772E2C">
              <w:rPr>
                <w:color w:val="000000"/>
                <w:szCs w:val="20"/>
              </w:rPr>
              <w:t xml:space="preserve">ent is the preliminary step to an </w:t>
            </w:r>
            <w:r>
              <w:rPr>
                <w:color w:val="000000"/>
                <w:szCs w:val="20"/>
              </w:rPr>
              <w:t>evaluation of the E</w:t>
            </w:r>
            <w:r w:rsidR="00884A80">
              <w:rPr>
                <w:color w:val="000000"/>
                <w:szCs w:val="20"/>
              </w:rPr>
              <w:t>C</w:t>
            </w:r>
            <w:r>
              <w:rPr>
                <w:color w:val="000000"/>
                <w:szCs w:val="20"/>
              </w:rPr>
              <w:t xml:space="preserve"> initiative following the first three years of implementation. I</w:t>
            </w:r>
            <w:r w:rsidRPr="00C40B6C">
              <w:rPr>
                <w:color w:val="000000"/>
                <w:szCs w:val="20"/>
              </w:rPr>
              <w:t>n 2018-19, the</w:t>
            </w:r>
            <w:r>
              <w:rPr>
                <w:color w:val="000000"/>
                <w:szCs w:val="20"/>
              </w:rPr>
              <w:t xml:space="preserve"> project will focus on</w:t>
            </w:r>
            <w:r w:rsidRPr="00C40B6C">
              <w:rPr>
                <w:color w:val="000000"/>
                <w:szCs w:val="20"/>
              </w:rPr>
              <w:t xml:space="preserve"> the development of a national </w:t>
            </w:r>
            <w:r>
              <w:rPr>
                <w:color w:val="000000"/>
                <w:szCs w:val="20"/>
              </w:rPr>
              <w:t>‘</w:t>
            </w:r>
            <w:r w:rsidRPr="00C40B6C">
              <w:rPr>
                <w:color w:val="000000"/>
                <w:szCs w:val="20"/>
              </w:rPr>
              <w:t>EC monitoring and evaluation framework</w:t>
            </w:r>
            <w:r>
              <w:rPr>
                <w:color w:val="000000"/>
                <w:szCs w:val="20"/>
              </w:rPr>
              <w:t>’</w:t>
            </w:r>
            <w:r w:rsidRPr="00C40B6C">
              <w:rPr>
                <w:color w:val="000000"/>
                <w:szCs w:val="20"/>
              </w:rPr>
              <w:t xml:space="preserve">, in partnership with EC </w:t>
            </w:r>
            <w:r w:rsidR="001E6D22" w:rsidRPr="001E6D22">
              <w:rPr>
                <w:color w:val="000000"/>
                <w:szCs w:val="20"/>
              </w:rPr>
              <w:t xml:space="preserve">Aboriginal and Torres Strait Islander </w:t>
            </w:r>
            <w:r w:rsidRPr="00C40B6C">
              <w:rPr>
                <w:color w:val="000000"/>
                <w:szCs w:val="20"/>
              </w:rPr>
              <w:t xml:space="preserve">leaders. </w:t>
            </w:r>
          </w:p>
          <w:p w14:paraId="04B80758" w14:textId="77777777" w:rsidR="0002058D" w:rsidRDefault="0002058D">
            <w:pPr>
              <w:pStyle w:val="ListParagraph"/>
              <w:ind w:left="0"/>
              <w:rPr>
                <w:b/>
                <w:color w:val="00B050"/>
                <w:szCs w:val="18"/>
                <w:lang w:eastAsia="en-AU"/>
              </w:rPr>
            </w:pPr>
            <w:r w:rsidRPr="00C40B6C">
              <w:rPr>
                <w:color w:val="000000"/>
                <w:szCs w:val="20"/>
              </w:rPr>
              <w:t xml:space="preserve">The purpose is to support EC regions to continue to embed adaptive learning and to help inform the subsequent </w:t>
            </w:r>
            <w:bookmarkStart w:id="111" w:name="_GoBack"/>
            <w:bookmarkEnd w:id="111"/>
            <w:r w:rsidRPr="00C40B6C">
              <w:rPr>
                <w:color w:val="000000"/>
                <w:szCs w:val="20"/>
              </w:rPr>
              <w:t>evaluation to be co-designed with EC Indigenous leaders.  </w:t>
            </w:r>
          </w:p>
        </w:tc>
        <w:tc>
          <w:tcPr>
            <w:tcW w:w="0" w:type="auto"/>
            <w:shd w:val="clear" w:color="auto" w:fill="FFFFFF" w:themeFill="background1"/>
          </w:tcPr>
          <w:p w14:paraId="22FE73FE" w14:textId="77777777" w:rsidR="0002058D" w:rsidRDefault="0002058D" w:rsidP="0002058D">
            <w:pPr>
              <w:rPr>
                <w:color w:val="000000"/>
                <w:lang w:eastAsia="en-AU"/>
              </w:rPr>
            </w:pPr>
            <w:r>
              <w:rPr>
                <w:color w:val="000000"/>
                <w:lang w:eastAsia="en-AU"/>
              </w:rPr>
              <w:t>Framework</w:t>
            </w:r>
          </w:p>
        </w:tc>
      </w:tr>
      <w:tr w:rsidR="0002058D" w:rsidRPr="008654B9" w14:paraId="0D0F43A0" w14:textId="77777777" w:rsidTr="007F7D47">
        <w:trPr>
          <w:trHeight w:val="1061"/>
        </w:trPr>
        <w:tc>
          <w:tcPr>
            <w:tcW w:w="0" w:type="auto"/>
            <w:tcBorders>
              <w:left w:val="single" w:sz="4" w:space="0" w:color="auto"/>
            </w:tcBorders>
            <w:shd w:val="clear" w:color="auto" w:fill="FFFFFF" w:themeFill="background1"/>
          </w:tcPr>
          <w:p w14:paraId="288C0A4B" w14:textId="77777777" w:rsidR="0002058D" w:rsidRDefault="0002058D" w:rsidP="0002058D">
            <w:pPr>
              <w:pStyle w:val="ListParagraph"/>
              <w:ind w:left="0"/>
              <w:rPr>
                <w:b/>
                <w:color w:val="000000"/>
                <w:lang w:eastAsia="en-AU"/>
              </w:rPr>
            </w:pPr>
            <w:r w:rsidRPr="00887ACB">
              <w:rPr>
                <w:b/>
                <w:color w:val="00B050"/>
                <w:szCs w:val="18"/>
                <w:lang w:eastAsia="en-AU"/>
              </w:rPr>
              <w:t>NEW</w:t>
            </w:r>
            <w:r w:rsidRPr="00E31E61">
              <w:rPr>
                <w:b/>
                <w:color w:val="00B050"/>
                <w:lang w:eastAsia="en-AU"/>
              </w:rPr>
              <w:t xml:space="preserve"> </w:t>
            </w:r>
            <w:r>
              <w:rPr>
                <w:b/>
                <w:color w:val="000000"/>
                <w:lang w:eastAsia="en-AU"/>
              </w:rPr>
              <w:t>Employment Parity Initiative</w:t>
            </w:r>
            <w:r w:rsidR="007F7D47">
              <w:rPr>
                <w:b/>
                <w:color w:val="000000"/>
                <w:lang w:eastAsia="en-AU"/>
              </w:rPr>
              <w:t xml:space="preserve"> (EPI)</w:t>
            </w:r>
          </w:p>
          <w:p w14:paraId="1F73A2D5" w14:textId="77777777" w:rsidR="0002058D" w:rsidRPr="00E94B93" w:rsidRDefault="003563E4" w:rsidP="007F7D47">
            <w:pPr>
              <w:rPr>
                <w:b/>
                <w:color w:val="000000"/>
                <w:lang w:eastAsia="en-AU"/>
              </w:rPr>
            </w:pPr>
            <w:r>
              <w:rPr>
                <w:color w:val="000000"/>
                <w:lang w:eastAsia="en-AU"/>
              </w:rPr>
              <w:t>This</w:t>
            </w:r>
            <w:r w:rsidR="0002058D">
              <w:rPr>
                <w:color w:val="000000"/>
                <w:lang w:eastAsia="en-AU"/>
              </w:rPr>
              <w:t xml:space="preserve"> evaluation strategy </w:t>
            </w:r>
            <w:r w:rsidR="00600593">
              <w:rPr>
                <w:color w:val="000000"/>
                <w:lang w:eastAsia="en-AU"/>
              </w:rPr>
              <w:t>covers</w:t>
            </w:r>
            <w:r w:rsidR="0002058D" w:rsidRPr="001660A0">
              <w:rPr>
                <w:color w:val="000000"/>
                <w:lang w:eastAsia="en-AU"/>
              </w:rPr>
              <w:t xml:space="preserve"> the effectiveness of the EPI in increasing the number of large Australian companies with a workforce reflective of the size of the Indigenous </w:t>
            </w:r>
            <w:r w:rsidR="00600593">
              <w:rPr>
                <w:color w:val="000000"/>
                <w:lang w:eastAsia="en-AU"/>
              </w:rPr>
              <w:t>population</w:t>
            </w:r>
            <w:r w:rsidR="00790C77">
              <w:rPr>
                <w:color w:val="000000"/>
                <w:lang w:eastAsia="en-AU"/>
              </w:rPr>
              <w:t>.</w:t>
            </w:r>
          </w:p>
        </w:tc>
        <w:tc>
          <w:tcPr>
            <w:tcW w:w="0" w:type="auto"/>
            <w:shd w:val="clear" w:color="auto" w:fill="FFFFFF" w:themeFill="background1"/>
          </w:tcPr>
          <w:p w14:paraId="323A9913" w14:textId="77777777" w:rsidR="0002058D" w:rsidRDefault="0002058D" w:rsidP="0002058D">
            <w:pPr>
              <w:rPr>
                <w:color w:val="000000"/>
                <w:lang w:eastAsia="en-AU"/>
              </w:rPr>
            </w:pPr>
            <w:r>
              <w:rPr>
                <w:color w:val="000000"/>
                <w:lang w:eastAsia="en-AU"/>
              </w:rPr>
              <w:t>Strategy</w:t>
            </w:r>
          </w:p>
        </w:tc>
      </w:tr>
      <w:tr w:rsidR="0002058D" w:rsidRPr="008654B9" w14:paraId="29DD0D86" w14:textId="77777777" w:rsidTr="00522D74">
        <w:trPr>
          <w:trHeight w:val="881"/>
        </w:trPr>
        <w:tc>
          <w:tcPr>
            <w:tcW w:w="0" w:type="auto"/>
            <w:tcBorders>
              <w:left w:val="single" w:sz="4" w:space="0" w:color="auto"/>
            </w:tcBorders>
            <w:shd w:val="clear" w:color="auto" w:fill="FFFFFF" w:themeFill="background1"/>
          </w:tcPr>
          <w:p w14:paraId="1DA1FCD0" w14:textId="77777777" w:rsidR="0002058D" w:rsidRPr="00AD2EB1" w:rsidRDefault="0002058D" w:rsidP="0002058D">
            <w:pPr>
              <w:pStyle w:val="ListParagraph"/>
              <w:ind w:left="0"/>
              <w:rPr>
                <w:b/>
                <w:color w:val="000000"/>
                <w:lang w:eastAsia="en-AU"/>
              </w:rPr>
            </w:pPr>
            <w:r w:rsidRPr="00E17F1A">
              <w:rPr>
                <w:b/>
                <w:color w:val="00B050"/>
                <w:lang w:eastAsia="en-AU"/>
              </w:rPr>
              <w:t>NEW</w:t>
            </w:r>
            <w:r w:rsidRPr="00AD2EB1">
              <w:rPr>
                <w:b/>
                <w:color w:val="000000"/>
                <w:lang w:eastAsia="en-AU"/>
              </w:rPr>
              <w:t xml:space="preserve"> IAS </w:t>
            </w:r>
            <w:r>
              <w:rPr>
                <w:b/>
                <w:color w:val="000000"/>
                <w:lang w:eastAsia="en-AU"/>
              </w:rPr>
              <w:t>E</w:t>
            </w:r>
            <w:r w:rsidRPr="00AD2EB1">
              <w:rPr>
                <w:b/>
                <w:color w:val="000000"/>
                <w:lang w:eastAsia="en-AU"/>
              </w:rPr>
              <w:t>valuation</w:t>
            </w:r>
            <w:r>
              <w:rPr>
                <w:b/>
                <w:color w:val="000000"/>
                <w:lang w:eastAsia="en-AU"/>
              </w:rPr>
              <w:t xml:space="preserve"> Guidance Materials</w:t>
            </w:r>
          </w:p>
          <w:p w14:paraId="6A6C6711" w14:textId="77777777" w:rsidR="0002058D" w:rsidRPr="00E94B93" w:rsidRDefault="0002058D" w:rsidP="0002058D">
            <w:pPr>
              <w:rPr>
                <w:b/>
                <w:color w:val="000000"/>
                <w:lang w:eastAsia="en-AU"/>
              </w:rPr>
            </w:pPr>
            <w:r w:rsidRPr="00AD2EB1">
              <w:rPr>
                <w:color w:val="000000"/>
                <w:lang w:eastAsia="en-AU"/>
              </w:rPr>
              <w:t>Th</w:t>
            </w:r>
            <w:r>
              <w:rPr>
                <w:color w:val="000000"/>
                <w:lang w:eastAsia="en-AU"/>
              </w:rPr>
              <w:t>is capability development project will focus on</w:t>
            </w:r>
            <w:r w:rsidRPr="00AD2EB1">
              <w:rPr>
                <w:color w:val="000000"/>
                <w:lang w:eastAsia="en-AU"/>
              </w:rPr>
              <w:t xml:space="preserve"> develo</w:t>
            </w:r>
            <w:r>
              <w:rPr>
                <w:color w:val="000000"/>
                <w:lang w:eastAsia="en-AU"/>
              </w:rPr>
              <w:t>ping</w:t>
            </w:r>
            <w:r w:rsidRPr="00AD2EB1">
              <w:rPr>
                <w:color w:val="000000"/>
                <w:lang w:eastAsia="en-AU"/>
              </w:rPr>
              <w:t xml:space="preserve"> </w:t>
            </w:r>
            <w:r>
              <w:rPr>
                <w:color w:val="000000"/>
                <w:lang w:eastAsia="en-AU"/>
              </w:rPr>
              <w:t>guidance material</w:t>
            </w:r>
            <w:r w:rsidRPr="00AD2EB1">
              <w:rPr>
                <w:color w:val="000000"/>
                <w:lang w:eastAsia="en-AU"/>
              </w:rPr>
              <w:t xml:space="preserve"> </w:t>
            </w:r>
            <w:r>
              <w:rPr>
                <w:color w:val="000000"/>
                <w:lang w:eastAsia="en-AU"/>
              </w:rPr>
              <w:t xml:space="preserve">for evaluators </w:t>
            </w:r>
            <w:r w:rsidRPr="00AD2EB1">
              <w:rPr>
                <w:color w:val="000000"/>
                <w:lang w:eastAsia="en-AU"/>
              </w:rPr>
              <w:t xml:space="preserve">to ensure evaluation activities </w:t>
            </w:r>
            <w:r>
              <w:rPr>
                <w:color w:val="000000"/>
                <w:lang w:eastAsia="en-AU"/>
              </w:rPr>
              <w:t>are undertaken in alignment with</w:t>
            </w:r>
            <w:r w:rsidRPr="00AD2EB1">
              <w:rPr>
                <w:color w:val="000000"/>
                <w:lang w:eastAsia="en-AU"/>
              </w:rPr>
              <w:t xml:space="preserve"> the IAS </w:t>
            </w:r>
            <w:r>
              <w:rPr>
                <w:color w:val="000000"/>
                <w:lang w:eastAsia="en-AU"/>
              </w:rPr>
              <w:t>E</w:t>
            </w:r>
            <w:r w:rsidRPr="00AD2EB1">
              <w:rPr>
                <w:color w:val="000000"/>
                <w:lang w:eastAsia="en-AU"/>
              </w:rPr>
              <w:t xml:space="preserve">valuation </w:t>
            </w:r>
            <w:r>
              <w:rPr>
                <w:color w:val="000000"/>
                <w:lang w:eastAsia="en-AU"/>
              </w:rPr>
              <w:t>F</w:t>
            </w:r>
            <w:r w:rsidRPr="00AD2EB1">
              <w:rPr>
                <w:color w:val="000000"/>
                <w:lang w:eastAsia="en-AU"/>
              </w:rPr>
              <w:t>ramework</w:t>
            </w:r>
            <w:r w:rsidRPr="006A3FD9">
              <w:rPr>
                <w:i/>
                <w:color w:val="000000"/>
                <w:lang w:eastAsia="en-AU"/>
              </w:rPr>
              <w:t xml:space="preserve">. </w:t>
            </w:r>
          </w:p>
        </w:tc>
        <w:tc>
          <w:tcPr>
            <w:tcW w:w="0" w:type="auto"/>
            <w:shd w:val="clear" w:color="auto" w:fill="FFFFFF" w:themeFill="background1"/>
          </w:tcPr>
          <w:p w14:paraId="5BBAD728" w14:textId="77777777" w:rsidR="0002058D" w:rsidRDefault="0002058D" w:rsidP="00C64334">
            <w:pPr>
              <w:rPr>
                <w:color w:val="000000"/>
                <w:lang w:eastAsia="en-AU"/>
              </w:rPr>
            </w:pPr>
            <w:r>
              <w:rPr>
                <w:color w:val="000000"/>
                <w:lang w:eastAsia="en-AU"/>
              </w:rPr>
              <w:t>C</w:t>
            </w:r>
            <w:r w:rsidRPr="00887ACB">
              <w:rPr>
                <w:color w:val="000000"/>
                <w:lang w:eastAsia="en-AU"/>
              </w:rPr>
              <w:t xml:space="preserve">apability </w:t>
            </w:r>
          </w:p>
        </w:tc>
      </w:tr>
      <w:tr w:rsidR="0002058D" w:rsidRPr="008654B9" w14:paraId="4047D409" w14:textId="77777777" w:rsidTr="00522D74">
        <w:trPr>
          <w:trHeight w:val="653"/>
        </w:trPr>
        <w:tc>
          <w:tcPr>
            <w:tcW w:w="0" w:type="auto"/>
            <w:tcBorders>
              <w:left w:val="single" w:sz="4" w:space="0" w:color="auto"/>
            </w:tcBorders>
            <w:shd w:val="clear" w:color="auto" w:fill="FFFFFF" w:themeFill="background1"/>
          </w:tcPr>
          <w:p w14:paraId="205C880D" w14:textId="77777777" w:rsidR="0002058D" w:rsidRPr="00F23751" w:rsidRDefault="0002058D" w:rsidP="0002058D">
            <w:pPr>
              <w:rPr>
                <w:b/>
                <w:color w:val="000000"/>
                <w:lang w:eastAsia="en-AU"/>
              </w:rPr>
            </w:pPr>
            <w:r w:rsidRPr="005B2A56">
              <w:rPr>
                <w:b/>
                <w:color w:val="00B050"/>
                <w:lang w:eastAsia="en-AU"/>
              </w:rPr>
              <w:t>NEW</w:t>
            </w:r>
            <w:r>
              <w:rPr>
                <w:b/>
                <w:color w:val="000000"/>
                <w:lang w:eastAsia="en-AU"/>
              </w:rPr>
              <w:t xml:space="preserve"> </w:t>
            </w:r>
            <w:r w:rsidRPr="00F23751">
              <w:rPr>
                <w:b/>
                <w:color w:val="000000"/>
                <w:lang w:eastAsia="en-AU"/>
              </w:rPr>
              <w:t>Indigenous Girls STEM Academy</w:t>
            </w:r>
          </w:p>
          <w:p w14:paraId="18DC214F" w14:textId="77777777" w:rsidR="0002058D" w:rsidRPr="00E94B93" w:rsidRDefault="0002058D" w:rsidP="00C61D06">
            <w:pPr>
              <w:rPr>
                <w:b/>
                <w:color w:val="000000"/>
                <w:lang w:eastAsia="en-AU"/>
              </w:rPr>
            </w:pPr>
            <w:r w:rsidRPr="00433443">
              <w:rPr>
                <w:color w:val="000000"/>
                <w:lang w:eastAsia="en-AU"/>
              </w:rPr>
              <w:t xml:space="preserve">This evaluation strategy </w:t>
            </w:r>
            <w:r>
              <w:rPr>
                <w:color w:val="000000"/>
                <w:lang w:eastAsia="en-AU"/>
              </w:rPr>
              <w:t xml:space="preserve">will </w:t>
            </w:r>
            <w:r w:rsidR="00C61D06">
              <w:rPr>
                <w:color w:val="000000"/>
                <w:lang w:eastAsia="en-AU"/>
              </w:rPr>
              <w:t>cover</w:t>
            </w:r>
            <w:r w:rsidRPr="00286049">
              <w:rPr>
                <w:color w:val="000000"/>
                <w:lang w:eastAsia="en-AU"/>
              </w:rPr>
              <w:t xml:space="preserve"> the program’s design and implementation. </w:t>
            </w:r>
          </w:p>
        </w:tc>
        <w:tc>
          <w:tcPr>
            <w:tcW w:w="0" w:type="auto"/>
            <w:shd w:val="clear" w:color="auto" w:fill="FFFFFF" w:themeFill="background1"/>
          </w:tcPr>
          <w:p w14:paraId="4FF68B38" w14:textId="77777777" w:rsidR="0002058D" w:rsidRDefault="0002058D" w:rsidP="0002058D">
            <w:pPr>
              <w:rPr>
                <w:color w:val="000000"/>
                <w:lang w:eastAsia="en-AU"/>
              </w:rPr>
            </w:pPr>
            <w:r>
              <w:rPr>
                <w:color w:val="000000"/>
                <w:lang w:eastAsia="en-AU"/>
              </w:rPr>
              <w:t xml:space="preserve">Strategy </w:t>
            </w:r>
          </w:p>
        </w:tc>
      </w:tr>
      <w:tr w:rsidR="0002058D" w:rsidRPr="008654B9" w14:paraId="0304429E" w14:textId="77777777" w:rsidTr="00522D74">
        <w:trPr>
          <w:trHeight w:val="1399"/>
        </w:trPr>
        <w:tc>
          <w:tcPr>
            <w:tcW w:w="0" w:type="auto"/>
            <w:tcBorders>
              <w:left w:val="single" w:sz="4" w:space="0" w:color="auto"/>
            </w:tcBorders>
            <w:shd w:val="clear" w:color="auto" w:fill="FFFFFF" w:themeFill="background1"/>
          </w:tcPr>
          <w:p w14:paraId="1E9E3E4E" w14:textId="77777777" w:rsidR="0002058D" w:rsidRDefault="0002058D" w:rsidP="0002058D">
            <w:pPr>
              <w:rPr>
                <w:rFonts w:ascii="Calibri" w:hAnsi="Calibri"/>
                <w:b/>
                <w:bCs/>
                <w:sz w:val="22"/>
              </w:rPr>
            </w:pPr>
            <w:r w:rsidRPr="005B2A56">
              <w:rPr>
                <w:b/>
                <w:color w:val="00B050"/>
                <w:lang w:eastAsia="en-AU"/>
              </w:rPr>
              <w:t>NEW</w:t>
            </w:r>
            <w:r>
              <w:rPr>
                <w:b/>
                <w:color w:val="000000"/>
                <w:lang w:eastAsia="en-AU"/>
              </w:rPr>
              <w:t xml:space="preserve">  </w:t>
            </w:r>
            <w:r>
              <w:rPr>
                <w:b/>
                <w:bCs/>
              </w:rPr>
              <w:t>Indigenous Grants Policy</w:t>
            </w:r>
          </w:p>
          <w:p w14:paraId="37C8F26E" w14:textId="77777777" w:rsidR="0002058D" w:rsidRPr="00E94B93" w:rsidRDefault="0002058D" w:rsidP="0002058D">
            <w:pPr>
              <w:rPr>
                <w:b/>
                <w:color w:val="000000"/>
                <w:lang w:eastAsia="en-AU"/>
              </w:rPr>
            </w:pPr>
            <w:r w:rsidRPr="008D3CCA">
              <w:t xml:space="preserve">This evaluation strategy will focus on </w:t>
            </w:r>
            <w:r>
              <w:rPr>
                <w:color w:val="000000"/>
                <w:lang w:val="en-US"/>
              </w:rPr>
              <w:t xml:space="preserve">the effectiveness of the </w:t>
            </w:r>
            <w:r>
              <w:t xml:space="preserve">Indigenous Grants Policy, </w:t>
            </w:r>
            <w:r>
              <w:rPr>
                <w:color w:val="000000"/>
                <w:lang w:val="en-US"/>
              </w:rPr>
              <w:t xml:space="preserve">including the impact on Indigenous </w:t>
            </w:r>
            <w:proofErr w:type="spellStart"/>
            <w:r>
              <w:rPr>
                <w:color w:val="000000"/>
                <w:lang w:val="en-US"/>
              </w:rPr>
              <w:t>organisations</w:t>
            </w:r>
            <w:proofErr w:type="spellEnd"/>
            <w:r>
              <w:rPr>
                <w:color w:val="000000"/>
                <w:lang w:val="en-US"/>
              </w:rPr>
              <w:t xml:space="preserve">, individuals and communities through increasing Indigenous participation in the design and delivery of funded activities, and </w:t>
            </w:r>
            <w:r>
              <w:rPr>
                <w:lang w:val="en-US"/>
              </w:rPr>
              <w:t xml:space="preserve">the impacts and benefits </w:t>
            </w:r>
            <w:r>
              <w:rPr>
                <w:color w:val="000000"/>
                <w:lang w:val="en-US"/>
              </w:rPr>
              <w:t xml:space="preserve">of </w:t>
            </w:r>
            <w:r>
              <w:rPr>
                <w:lang w:val="en-US"/>
              </w:rPr>
              <w:t xml:space="preserve">extending the </w:t>
            </w:r>
            <w:r>
              <w:rPr>
                <w:color w:val="000000"/>
                <w:lang w:val="en-US"/>
              </w:rPr>
              <w:t xml:space="preserve">application </w:t>
            </w:r>
            <w:r>
              <w:rPr>
                <w:lang w:val="en-US"/>
              </w:rPr>
              <w:t>of the policy.</w:t>
            </w:r>
            <w:r>
              <w:rPr>
                <w:color w:val="000000"/>
                <w:lang w:val="en-US"/>
              </w:rPr>
              <w:t xml:space="preserve">  </w:t>
            </w:r>
          </w:p>
        </w:tc>
        <w:tc>
          <w:tcPr>
            <w:tcW w:w="0" w:type="auto"/>
            <w:shd w:val="clear" w:color="auto" w:fill="FFFFFF" w:themeFill="background1"/>
          </w:tcPr>
          <w:p w14:paraId="3309335D" w14:textId="77777777" w:rsidR="0002058D" w:rsidRDefault="0002058D" w:rsidP="0002058D">
            <w:pPr>
              <w:rPr>
                <w:color w:val="000000"/>
                <w:lang w:eastAsia="en-AU"/>
              </w:rPr>
            </w:pPr>
            <w:r>
              <w:rPr>
                <w:color w:val="000000"/>
                <w:lang w:eastAsia="en-AU"/>
              </w:rPr>
              <w:t>S</w:t>
            </w:r>
            <w:r w:rsidRPr="002D4DC1">
              <w:rPr>
                <w:color w:val="000000"/>
                <w:lang w:eastAsia="en-AU"/>
              </w:rPr>
              <w:t>trategy</w:t>
            </w:r>
          </w:p>
        </w:tc>
      </w:tr>
      <w:tr w:rsidR="004F0F37" w:rsidRPr="008654B9" w14:paraId="633FA79E" w14:textId="77777777" w:rsidTr="00522D74">
        <w:trPr>
          <w:trHeight w:val="810"/>
        </w:trPr>
        <w:tc>
          <w:tcPr>
            <w:tcW w:w="0" w:type="auto"/>
            <w:tcBorders>
              <w:left w:val="single" w:sz="4" w:space="0" w:color="auto"/>
            </w:tcBorders>
            <w:shd w:val="clear" w:color="auto" w:fill="FFFFFF" w:themeFill="background1"/>
          </w:tcPr>
          <w:p w14:paraId="557C53FB" w14:textId="77777777" w:rsidR="004F0F37" w:rsidRDefault="004F0F37" w:rsidP="0002058D">
            <w:pPr>
              <w:rPr>
                <w:b/>
                <w:color w:val="000000"/>
                <w:lang w:eastAsia="en-AU"/>
              </w:rPr>
            </w:pPr>
            <w:r w:rsidRPr="005B2A56">
              <w:rPr>
                <w:b/>
                <w:color w:val="00B050"/>
                <w:lang w:eastAsia="en-AU"/>
              </w:rPr>
              <w:t>NEW</w:t>
            </w:r>
            <w:r>
              <w:rPr>
                <w:b/>
                <w:color w:val="000000"/>
                <w:lang w:eastAsia="en-AU"/>
              </w:rPr>
              <w:t xml:space="preserve"> Indigenous Justice and C</w:t>
            </w:r>
            <w:r w:rsidRPr="004F0F37">
              <w:rPr>
                <w:b/>
                <w:color w:val="000000"/>
                <w:lang w:eastAsia="en-AU"/>
              </w:rPr>
              <w:t>ommunity</w:t>
            </w:r>
            <w:r>
              <w:rPr>
                <w:b/>
                <w:color w:val="000000"/>
                <w:lang w:eastAsia="en-AU"/>
              </w:rPr>
              <w:t xml:space="preserve"> S</w:t>
            </w:r>
            <w:r w:rsidRPr="004F0F37">
              <w:rPr>
                <w:b/>
                <w:color w:val="000000"/>
                <w:lang w:eastAsia="en-AU"/>
              </w:rPr>
              <w:t>afety</w:t>
            </w:r>
          </w:p>
          <w:p w14:paraId="1DAEA0F3" w14:textId="77777777" w:rsidR="004F0F37" w:rsidRDefault="004F0F37" w:rsidP="00F3389C">
            <w:pPr>
              <w:rPr>
                <w:b/>
                <w:color w:val="000000"/>
                <w:lang w:eastAsia="en-AU"/>
              </w:rPr>
            </w:pPr>
            <w:r w:rsidRPr="004F0F37">
              <w:rPr>
                <w:color w:val="000000"/>
                <w:lang w:val="en-US"/>
              </w:rPr>
              <w:t xml:space="preserve">This evaluation strategy </w:t>
            </w:r>
            <w:r w:rsidR="00F3389C">
              <w:rPr>
                <w:color w:val="000000"/>
                <w:lang w:val="en-US"/>
              </w:rPr>
              <w:t>will cover</w:t>
            </w:r>
            <w:r w:rsidRPr="004F0F37">
              <w:rPr>
                <w:color w:val="000000"/>
                <w:lang w:val="en-US"/>
              </w:rPr>
              <w:t xml:space="preserve"> the impact of the Commonwealth contribution to Indigenous justice and community safety</w:t>
            </w:r>
            <w:r>
              <w:rPr>
                <w:color w:val="000000"/>
                <w:lang w:val="en-US"/>
              </w:rPr>
              <w:t>.</w:t>
            </w:r>
          </w:p>
        </w:tc>
        <w:tc>
          <w:tcPr>
            <w:tcW w:w="0" w:type="auto"/>
            <w:shd w:val="clear" w:color="auto" w:fill="FFFFFF" w:themeFill="background1"/>
          </w:tcPr>
          <w:p w14:paraId="4F614FCF" w14:textId="77777777" w:rsidR="004F0F37" w:rsidRDefault="004F0F37" w:rsidP="0002058D">
            <w:pPr>
              <w:rPr>
                <w:color w:val="000000"/>
                <w:lang w:eastAsia="en-AU"/>
              </w:rPr>
            </w:pPr>
            <w:r w:rsidRPr="004F0F37">
              <w:rPr>
                <w:color w:val="000000"/>
                <w:lang w:eastAsia="en-AU"/>
              </w:rPr>
              <w:t>Strategy</w:t>
            </w:r>
          </w:p>
        </w:tc>
      </w:tr>
      <w:tr w:rsidR="0002058D" w:rsidRPr="008654B9" w14:paraId="662ED921" w14:textId="77777777" w:rsidTr="00522D74">
        <w:trPr>
          <w:trHeight w:val="1163"/>
        </w:trPr>
        <w:tc>
          <w:tcPr>
            <w:tcW w:w="0" w:type="auto"/>
            <w:tcBorders>
              <w:left w:val="single" w:sz="4" w:space="0" w:color="auto"/>
            </w:tcBorders>
            <w:shd w:val="clear" w:color="auto" w:fill="FFFFFF" w:themeFill="background1"/>
          </w:tcPr>
          <w:p w14:paraId="1C0E3610" w14:textId="77777777" w:rsidR="0002058D" w:rsidRPr="0025060F" w:rsidRDefault="0002058D" w:rsidP="0002058D">
            <w:pPr>
              <w:rPr>
                <w:b/>
                <w:color w:val="000000"/>
                <w:lang w:eastAsia="en-AU"/>
              </w:rPr>
            </w:pPr>
            <w:r>
              <w:rPr>
                <w:b/>
                <w:color w:val="000000"/>
                <w:lang w:eastAsia="en-AU"/>
              </w:rPr>
              <w:t>Indigenous Rangers and Protected Areas</w:t>
            </w:r>
          </w:p>
          <w:p w14:paraId="683CB93C" w14:textId="77777777" w:rsidR="0002058D" w:rsidRPr="00E94B93" w:rsidRDefault="0002058D" w:rsidP="005F4E4E">
            <w:pPr>
              <w:rPr>
                <w:b/>
                <w:color w:val="000000"/>
                <w:lang w:eastAsia="en-AU"/>
              </w:rPr>
            </w:pPr>
            <w:r w:rsidRPr="00585DEC">
              <w:rPr>
                <w:rFonts w:cs="Calibri Light"/>
                <w:szCs w:val="18"/>
                <w:lang w:eastAsia="en-AU"/>
              </w:rPr>
              <w:t>Th</w:t>
            </w:r>
            <w:r>
              <w:rPr>
                <w:rFonts w:cs="Calibri Light"/>
                <w:szCs w:val="18"/>
                <w:lang w:eastAsia="en-AU"/>
              </w:rPr>
              <w:t xml:space="preserve">is evaluation strategy will </w:t>
            </w:r>
            <w:r w:rsidR="005F4E4E">
              <w:rPr>
                <w:rFonts w:cs="Calibri Light"/>
                <w:szCs w:val="18"/>
                <w:lang w:eastAsia="en-AU"/>
              </w:rPr>
              <w:t>cover</w:t>
            </w:r>
            <w:r>
              <w:rPr>
                <w:rFonts w:cs="Calibri Light"/>
                <w:szCs w:val="18"/>
                <w:lang w:eastAsia="en-AU"/>
              </w:rPr>
              <w:t xml:space="preserve"> the </w:t>
            </w:r>
            <w:r w:rsidRPr="00585DEC">
              <w:rPr>
                <w:rFonts w:cs="Calibri Light"/>
                <w:szCs w:val="18"/>
                <w:lang w:eastAsia="en-AU"/>
              </w:rPr>
              <w:t xml:space="preserve">development of a shared </w:t>
            </w:r>
            <w:r>
              <w:rPr>
                <w:rFonts w:cs="Calibri Light"/>
                <w:szCs w:val="18"/>
                <w:lang w:eastAsia="en-AU"/>
              </w:rPr>
              <w:t>outcomes</w:t>
            </w:r>
            <w:r w:rsidRPr="00585DEC">
              <w:rPr>
                <w:rFonts w:cs="Calibri Light"/>
                <w:szCs w:val="18"/>
                <w:lang w:eastAsia="en-AU"/>
              </w:rPr>
              <w:t xml:space="preserve"> framework for the Indigenous Rangers and Indigenous Protected Areas programs, developed in collaboration with stakeholders</w:t>
            </w:r>
            <w:r>
              <w:rPr>
                <w:rFonts w:cs="Calibri Light"/>
                <w:szCs w:val="18"/>
                <w:lang w:eastAsia="en-AU"/>
              </w:rPr>
              <w:t>.</w:t>
            </w:r>
          </w:p>
        </w:tc>
        <w:tc>
          <w:tcPr>
            <w:tcW w:w="0" w:type="auto"/>
            <w:shd w:val="clear" w:color="auto" w:fill="FFFFFF" w:themeFill="background1"/>
          </w:tcPr>
          <w:p w14:paraId="7C9B2030" w14:textId="77777777" w:rsidR="0002058D" w:rsidRDefault="0002058D" w:rsidP="0002058D">
            <w:pPr>
              <w:rPr>
                <w:color w:val="000000"/>
                <w:lang w:eastAsia="en-AU"/>
              </w:rPr>
            </w:pPr>
            <w:r>
              <w:rPr>
                <w:color w:val="000000"/>
                <w:lang w:eastAsia="en-AU"/>
              </w:rPr>
              <w:t>S</w:t>
            </w:r>
            <w:r w:rsidRPr="002D4DC1">
              <w:rPr>
                <w:color w:val="000000"/>
                <w:lang w:eastAsia="en-AU"/>
              </w:rPr>
              <w:t xml:space="preserve">trategy </w:t>
            </w:r>
          </w:p>
        </w:tc>
      </w:tr>
      <w:tr w:rsidR="0002058D" w:rsidRPr="008654B9" w14:paraId="6386E2B0" w14:textId="77777777" w:rsidTr="00522D74">
        <w:trPr>
          <w:trHeight w:val="1110"/>
        </w:trPr>
        <w:tc>
          <w:tcPr>
            <w:tcW w:w="0" w:type="auto"/>
            <w:tcBorders>
              <w:left w:val="single" w:sz="4" w:space="0" w:color="auto"/>
            </w:tcBorders>
            <w:shd w:val="clear" w:color="auto" w:fill="FFFFFF" w:themeFill="background1"/>
          </w:tcPr>
          <w:p w14:paraId="2E4CC565" w14:textId="77777777" w:rsidR="0002058D" w:rsidRPr="00EB5A2B" w:rsidRDefault="0002058D" w:rsidP="0002058D">
            <w:pPr>
              <w:rPr>
                <w:b/>
                <w:color w:val="000000"/>
                <w:szCs w:val="18"/>
                <w:lang w:eastAsia="en-AU"/>
              </w:rPr>
            </w:pPr>
            <w:r w:rsidRPr="005B2A56">
              <w:rPr>
                <w:b/>
                <w:color w:val="00B050"/>
                <w:lang w:eastAsia="en-AU"/>
              </w:rPr>
              <w:t>NEW</w:t>
            </w:r>
            <w:r>
              <w:rPr>
                <w:b/>
                <w:color w:val="000000"/>
                <w:lang w:eastAsia="en-AU"/>
              </w:rPr>
              <w:t xml:space="preserve"> </w:t>
            </w:r>
            <w:r>
              <w:rPr>
                <w:b/>
                <w:color w:val="000000"/>
                <w:szCs w:val="18"/>
                <w:lang w:eastAsia="en-AU"/>
              </w:rPr>
              <w:t>Indigenous Scholarships</w:t>
            </w:r>
          </w:p>
          <w:p w14:paraId="523D7793" w14:textId="77777777" w:rsidR="0002058D" w:rsidRPr="00E94B93" w:rsidRDefault="0002058D" w:rsidP="0002058D">
            <w:pPr>
              <w:rPr>
                <w:b/>
                <w:color w:val="000000"/>
                <w:lang w:eastAsia="en-AU"/>
              </w:rPr>
            </w:pPr>
            <w:r w:rsidRPr="00433443">
              <w:rPr>
                <w:szCs w:val="18"/>
              </w:rPr>
              <w:t xml:space="preserve">This evaluation strategy </w:t>
            </w:r>
            <w:r>
              <w:rPr>
                <w:szCs w:val="18"/>
              </w:rPr>
              <w:t xml:space="preserve">will focus on </w:t>
            </w:r>
            <w:r w:rsidRPr="008167BE">
              <w:rPr>
                <w:szCs w:val="18"/>
              </w:rPr>
              <w:t>IAS Secondary School Scholarships for Aboriginal and Torres Strait Islander students</w:t>
            </w:r>
            <w:r>
              <w:rPr>
                <w:szCs w:val="18"/>
              </w:rPr>
              <w:t>. It will include</w:t>
            </w:r>
            <w:r w:rsidRPr="008167BE">
              <w:rPr>
                <w:szCs w:val="18"/>
              </w:rPr>
              <w:t xml:space="preserve"> the development of a monitoring strategy and the impact of IAS secondary scholarship activities.</w:t>
            </w:r>
          </w:p>
        </w:tc>
        <w:tc>
          <w:tcPr>
            <w:tcW w:w="0" w:type="auto"/>
            <w:shd w:val="clear" w:color="auto" w:fill="FFFFFF" w:themeFill="background1"/>
          </w:tcPr>
          <w:p w14:paraId="1B2131F9" w14:textId="77777777" w:rsidR="0002058D" w:rsidRDefault="0002058D" w:rsidP="0002058D">
            <w:pPr>
              <w:rPr>
                <w:color w:val="000000"/>
                <w:lang w:eastAsia="en-AU"/>
              </w:rPr>
            </w:pPr>
            <w:r>
              <w:rPr>
                <w:color w:val="000000"/>
                <w:szCs w:val="18"/>
                <w:lang w:eastAsia="en-AU"/>
              </w:rPr>
              <w:t>Strategy</w:t>
            </w:r>
          </w:p>
        </w:tc>
      </w:tr>
      <w:tr w:rsidR="0002058D" w:rsidRPr="008654B9" w14:paraId="3FBC6D45" w14:textId="77777777" w:rsidTr="00522D74">
        <w:trPr>
          <w:trHeight w:val="1468"/>
        </w:trPr>
        <w:tc>
          <w:tcPr>
            <w:tcW w:w="0" w:type="auto"/>
            <w:tcBorders>
              <w:left w:val="single" w:sz="4" w:space="0" w:color="auto"/>
            </w:tcBorders>
            <w:shd w:val="clear" w:color="auto" w:fill="FFFFFF" w:themeFill="background1"/>
          </w:tcPr>
          <w:p w14:paraId="48B373D8" w14:textId="77777777" w:rsidR="0002058D" w:rsidRDefault="0002058D" w:rsidP="0002058D">
            <w:pPr>
              <w:rPr>
                <w:b/>
                <w:color w:val="000000"/>
                <w:lang w:eastAsia="en-AU"/>
              </w:rPr>
            </w:pPr>
            <w:r w:rsidRPr="00033153">
              <w:rPr>
                <w:b/>
                <w:color w:val="00B050"/>
                <w:lang w:eastAsia="en-AU"/>
              </w:rPr>
              <w:t>NEW</w:t>
            </w:r>
            <w:r>
              <w:rPr>
                <w:b/>
                <w:color w:val="00B050"/>
                <w:lang w:eastAsia="en-AU"/>
              </w:rPr>
              <w:t xml:space="preserve"> </w:t>
            </w:r>
            <w:r>
              <w:rPr>
                <w:b/>
                <w:color w:val="000000"/>
                <w:lang w:eastAsia="en-AU"/>
              </w:rPr>
              <w:t xml:space="preserve">Mental Health First Aid </w:t>
            </w:r>
            <w:r w:rsidR="005759AC">
              <w:rPr>
                <w:b/>
                <w:color w:val="000000"/>
                <w:lang w:eastAsia="en-AU"/>
              </w:rPr>
              <w:t xml:space="preserve">(MHFA) </w:t>
            </w:r>
            <w:r>
              <w:rPr>
                <w:b/>
                <w:color w:val="000000"/>
                <w:lang w:eastAsia="en-AU"/>
              </w:rPr>
              <w:t>training – Community Empowerment through Local Instructors</w:t>
            </w:r>
          </w:p>
          <w:p w14:paraId="2770139D" w14:textId="77777777" w:rsidR="0002058D" w:rsidRPr="00E94B93" w:rsidRDefault="0002058D" w:rsidP="00D7572B">
            <w:pPr>
              <w:rPr>
                <w:b/>
                <w:color w:val="000000"/>
                <w:lang w:eastAsia="en-AU"/>
              </w:rPr>
            </w:pPr>
            <w:r>
              <w:rPr>
                <w:color w:val="000000"/>
                <w:lang w:eastAsia="en-AU"/>
              </w:rPr>
              <w:t>This evaluation strategy will</w:t>
            </w:r>
            <w:r w:rsidRPr="00DC428C">
              <w:rPr>
                <w:color w:val="000000"/>
                <w:lang w:eastAsia="en-AU"/>
              </w:rPr>
              <w:t xml:space="preserve"> </w:t>
            </w:r>
            <w:r w:rsidR="00D7572B">
              <w:rPr>
                <w:color w:val="000000"/>
                <w:lang w:eastAsia="en-AU"/>
              </w:rPr>
              <w:t>cover the</w:t>
            </w:r>
            <w:r>
              <w:rPr>
                <w:color w:val="000000"/>
                <w:lang w:eastAsia="en-AU"/>
              </w:rPr>
              <w:t xml:space="preserve"> approach required to assess how the training of local MHFA instructors and the delivery of 15 MHFA workshops to </w:t>
            </w:r>
            <w:r w:rsidR="005759AC">
              <w:rPr>
                <w:color w:val="000000"/>
                <w:lang w:eastAsia="en-AU"/>
              </w:rPr>
              <w:t xml:space="preserve">a </w:t>
            </w:r>
            <w:r>
              <w:rPr>
                <w:color w:val="000000"/>
                <w:lang w:eastAsia="en-AU"/>
              </w:rPr>
              <w:t>broader community</w:t>
            </w:r>
            <w:r w:rsidRPr="00DC428C">
              <w:rPr>
                <w:color w:val="000000"/>
                <w:lang w:eastAsia="en-AU"/>
              </w:rPr>
              <w:t xml:space="preserve"> </w:t>
            </w:r>
            <w:r>
              <w:rPr>
                <w:color w:val="000000"/>
                <w:lang w:eastAsia="en-AU"/>
              </w:rPr>
              <w:t xml:space="preserve">has had an impact on </w:t>
            </w:r>
            <w:r w:rsidRPr="00DC428C">
              <w:rPr>
                <w:color w:val="000000"/>
                <w:lang w:eastAsia="en-AU"/>
              </w:rPr>
              <w:t>addressing suicide and mental health issues</w:t>
            </w:r>
            <w:r>
              <w:rPr>
                <w:color w:val="000000"/>
                <w:lang w:eastAsia="en-AU"/>
              </w:rPr>
              <w:t>.</w:t>
            </w:r>
          </w:p>
        </w:tc>
        <w:tc>
          <w:tcPr>
            <w:tcW w:w="0" w:type="auto"/>
            <w:shd w:val="clear" w:color="auto" w:fill="FFFFFF" w:themeFill="background1"/>
          </w:tcPr>
          <w:p w14:paraId="11AD4854" w14:textId="77777777" w:rsidR="0002058D" w:rsidRDefault="0002058D" w:rsidP="0002058D">
            <w:pPr>
              <w:rPr>
                <w:color w:val="000000"/>
                <w:lang w:eastAsia="en-AU"/>
              </w:rPr>
            </w:pPr>
            <w:r>
              <w:rPr>
                <w:color w:val="000000"/>
                <w:lang w:eastAsia="en-AU"/>
              </w:rPr>
              <w:t>Strategy</w:t>
            </w:r>
          </w:p>
        </w:tc>
      </w:tr>
      <w:tr w:rsidR="0002058D" w:rsidRPr="008654B9" w14:paraId="683590D1" w14:textId="77777777" w:rsidTr="00522D74">
        <w:trPr>
          <w:trHeight w:val="1133"/>
        </w:trPr>
        <w:tc>
          <w:tcPr>
            <w:tcW w:w="0" w:type="auto"/>
            <w:tcBorders>
              <w:left w:val="single" w:sz="4" w:space="0" w:color="auto"/>
            </w:tcBorders>
            <w:shd w:val="clear" w:color="auto" w:fill="FFFFFF" w:themeFill="background1"/>
          </w:tcPr>
          <w:p w14:paraId="3AB8D718" w14:textId="77777777" w:rsidR="0002058D" w:rsidRDefault="0002058D" w:rsidP="0002058D">
            <w:pPr>
              <w:rPr>
                <w:b/>
                <w:color w:val="000000"/>
                <w:lang w:eastAsia="en-AU"/>
              </w:rPr>
            </w:pPr>
            <w:r>
              <w:rPr>
                <w:b/>
                <w:color w:val="000000"/>
                <w:lang w:eastAsia="en-AU"/>
              </w:rPr>
              <w:t>National Partnership Agreement on Remote Indigenous Housing and Remote Housing Strategy</w:t>
            </w:r>
          </w:p>
          <w:p w14:paraId="60208431" w14:textId="77777777" w:rsidR="0002058D" w:rsidRPr="00E94B93" w:rsidRDefault="0002058D" w:rsidP="00EB3450">
            <w:pPr>
              <w:rPr>
                <w:b/>
                <w:color w:val="000000"/>
                <w:lang w:eastAsia="en-AU"/>
              </w:rPr>
            </w:pPr>
            <w:r>
              <w:rPr>
                <w:color w:val="000000"/>
                <w:lang w:eastAsia="en-AU"/>
              </w:rPr>
              <w:t xml:space="preserve">This </w:t>
            </w:r>
            <w:r w:rsidRPr="00661915">
              <w:rPr>
                <w:color w:val="000000"/>
                <w:lang w:eastAsia="en-AU"/>
              </w:rPr>
              <w:t>evaluation strategy</w:t>
            </w:r>
            <w:r>
              <w:rPr>
                <w:color w:val="000000"/>
                <w:lang w:eastAsia="en-AU"/>
              </w:rPr>
              <w:t xml:space="preserve"> will develop and implement an approach to </w:t>
            </w:r>
            <w:r w:rsidR="00EB3450">
              <w:rPr>
                <w:color w:val="000000"/>
                <w:lang w:eastAsia="en-AU"/>
              </w:rPr>
              <w:t xml:space="preserve">a </w:t>
            </w:r>
            <w:r>
              <w:rPr>
                <w:color w:val="000000"/>
                <w:lang w:eastAsia="en-AU"/>
              </w:rPr>
              <w:t>cross-cutting impact evaluation</w:t>
            </w:r>
            <w:r w:rsidR="00EB3450">
              <w:rPr>
                <w:color w:val="000000"/>
                <w:lang w:eastAsia="en-AU"/>
              </w:rPr>
              <w:t xml:space="preserve">. It will </w:t>
            </w:r>
            <w:r>
              <w:rPr>
                <w:color w:val="000000"/>
                <w:lang w:eastAsia="en-AU"/>
              </w:rPr>
              <w:t xml:space="preserve">focus on examining </w:t>
            </w:r>
            <w:r w:rsidR="00EB3450">
              <w:rPr>
                <w:color w:val="000000"/>
                <w:lang w:eastAsia="en-AU"/>
              </w:rPr>
              <w:t xml:space="preserve">any </w:t>
            </w:r>
            <w:r>
              <w:rPr>
                <w:color w:val="000000"/>
                <w:lang w:eastAsia="en-AU"/>
              </w:rPr>
              <w:t xml:space="preserve">effects </w:t>
            </w:r>
            <w:r w:rsidR="00EB3450">
              <w:rPr>
                <w:color w:val="000000"/>
                <w:lang w:eastAsia="en-AU"/>
              </w:rPr>
              <w:t>that overcrowding and non-shelter outcomes have on the</w:t>
            </w:r>
            <w:r>
              <w:rPr>
                <w:color w:val="000000"/>
                <w:lang w:eastAsia="en-AU"/>
              </w:rPr>
              <w:t xml:space="preserve"> employment, health and education</w:t>
            </w:r>
            <w:r w:rsidR="00EB3450">
              <w:rPr>
                <w:color w:val="000000"/>
                <w:lang w:eastAsia="en-AU"/>
              </w:rPr>
              <w:t xml:space="preserve"> of Aboriginal and Torres Strait Islander People</w:t>
            </w:r>
            <w:r>
              <w:rPr>
                <w:color w:val="000000"/>
                <w:lang w:eastAsia="en-AU"/>
              </w:rPr>
              <w:t>.</w:t>
            </w:r>
          </w:p>
        </w:tc>
        <w:tc>
          <w:tcPr>
            <w:tcW w:w="0" w:type="auto"/>
            <w:shd w:val="clear" w:color="auto" w:fill="FFFFFF" w:themeFill="background1"/>
          </w:tcPr>
          <w:p w14:paraId="5A7C28C9" w14:textId="77777777" w:rsidR="0002058D" w:rsidRDefault="0002058D" w:rsidP="0002058D">
            <w:pPr>
              <w:rPr>
                <w:color w:val="000000"/>
                <w:lang w:eastAsia="en-AU"/>
              </w:rPr>
            </w:pPr>
            <w:r w:rsidRPr="00661915">
              <w:rPr>
                <w:color w:val="000000"/>
                <w:lang w:eastAsia="en-AU"/>
              </w:rPr>
              <w:t>Strategy</w:t>
            </w:r>
          </w:p>
        </w:tc>
      </w:tr>
      <w:tr w:rsidR="0002058D" w:rsidRPr="008654B9" w14:paraId="682E37E7" w14:textId="77777777" w:rsidTr="00522D74">
        <w:trPr>
          <w:trHeight w:val="1628"/>
        </w:trPr>
        <w:tc>
          <w:tcPr>
            <w:tcW w:w="0" w:type="auto"/>
            <w:tcBorders>
              <w:left w:val="single" w:sz="4" w:space="0" w:color="auto"/>
            </w:tcBorders>
            <w:shd w:val="clear" w:color="auto" w:fill="FFFFFF" w:themeFill="background1"/>
          </w:tcPr>
          <w:p w14:paraId="6A018E0C" w14:textId="77777777" w:rsidR="0002058D" w:rsidRPr="0025060F" w:rsidRDefault="0002058D" w:rsidP="0002058D">
            <w:pPr>
              <w:rPr>
                <w:b/>
                <w:color w:val="000000"/>
                <w:lang w:eastAsia="en-AU"/>
              </w:rPr>
            </w:pPr>
            <w:r w:rsidRPr="00E94B93">
              <w:rPr>
                <w:b/>
                <w:color w:val="000000"/>
                <w:lang w:eastAsia="en-AU"/>
              </w:rPr>
              <w:t>Our North, Our Future: White Paper of Developing Northern Australia</w:t>
            </w:r>
          </w:p>
          <w:p w14:paraId="58B34051" w14:textId="77777777" w:rsidR="0002058D" w:rsidRPr="00E94B93" w:rsidRDefault="0002058D" w:rsidP="00281766">
            <w:pPr>
              <w:rPr>
                <w:b/>
                <w:color w:val="000000"/>
                <w:lang w:eastAsia="en-AU"/>
              </w:rPr>
            </w:pPr>
            <w:r>
              <w:rPr>
                <w:rFonts w:cs="Calibri Light"/>
                <w:szCs w:val="18"/>
                <w:lang w:eastAsia="en-AU"/>
              </w:rPr>
              <w:t xml:space="preserve">Three </w:t>
            </w:r>
            <w:r w:rsidRPr="00667D18">
              <w:rPr>
                <w:rFonts w:cs="Calibri Light"/>
                <w:szCs w:val="18"/>
                <w:lang w:eastAsia="en-AU"/>
              </w:rPr>
              <w:t xml:space="preserve">evaluation </w:t>
            </w:r>
            <w:r>
              <w:rPr>
                <w:rFonts w:cs="Calibri Light"/>
                <w:szCs w:val="18"/>
                <w:lang w:eastAsia="en-AU"/>
              </w:rPr>
              <w:t xml:space="preserve">strategies </w:t>
            </w:r>
            <w:r w:rsidR="0016188E">
              <w:rPr>
                <w:rFonts w:cs="Calibri Light"/>
                <w:szCs w:val="18"/>
                <w:lang w:eastAsia="en-AU"/>
              </w:rPr>
              <w:t xml:space="preserve">will be developed for the following </w:t>
            </w:r>
            <w:r>
              <w:rPr>
                <w:rFonts w:cs="Calibri Light"/>
                <w:szCs w:val="18"/>
                <w:lang w:eastAsia="en-AU"/>
              </w:rPr>
              <w:t xml:space="preserve">three measures </w:t>
            </w:r>
            <w:r w:rsidR="00C31D65">
              <w:rPr>
                <w:rFonts w:cs="Calibri Light"/>
                <w:szCs w:val="18"/>
                <w:lang w:eastAsia="en-AU"/>
              </w:rPr>
              <w:t>identified in</w:t>
            </w:r>
            <w:r>
              <w:rPr>
                <w:rFonts w:cs="Calibri Light"/>
                <w:szCs w:val="18"/>
                <w:lang w:eastAsia="en-AU"/>
              </w:rPr>
              <w:t xml:space="preserve"> the White Paper: Township leasing in the Northern Territory, Prescribed Bodies Corporate capacity building, and Pilot land reform projects in the </w:t>
            </w:r>
            <w:r w:rsidR="005759AC">
              <w:rPr>
                <w:rFonts w:cs="Calibri Light"/>
                <w:szCs w:val="18"/>
                <w:lang w:eastAsia="en-AU"/>
              </w:rPr>
              <w:t>N</w:t>
            </w:r>
            <w:r>
              <w:rPr>
                <w:rFonts w:cs="Calibri Light"/>
                <w:szCs w:val="18"/>
                <w:lang w:eastAsia="en-AU"/>
              </w:rPr>
              <w:t xml:space="preserve">orth. This work will guide measurement, data collection and periodic evaluation over the long term, </w:t>
            </w:r>
            <w:r w:rsidR="0056600C">
              <w:rPr>
                <w:rFonts w:cs="Calibri Light"/>
                <w:szCs w:val="18"/>
                <w:lang w:eastAsia="en-AU"/>
              </w:rPr>
              <w:t xml:space="preserve">for </w:t>
            </w:r>
            <w:r>
              <w:rPr>
                <w:rFonts w:cs="Calibri Light"/>
                <w:szCs w:val="18"/>
                <w:lang w:eastAsia="en-AU"/>
              </w:rPr>
              <w:t>up to 20 years</w:t>
            </w:r>
            <w:r w:rsidRPr="00667D18">
              <w:rPr>
                <w:rFonts w:cs="Calibri Light"/>
                <w:szCs w:val="18"/>
                <w:lang w:eastAsia="en-AU"/>
              </w:rPr>
              <w:t>.</w:t>
            </w:r>
          </w:p>
        </w:tc>
        <w:tc>
          <w:tcPr>
            <w:tcW w:w="0" w:type="auto"/>
            <w:shd w:val="clear" w:color="auto" w:fill="FFFFFF" w:themeFill="background1"/>
          </w:tcPr>
          <w:p w14:paraId="6FB75B15" w14:textId="77777777" w:rsidR="0002058D" w:rsidRDefault="0002058D" w:rsidP="0002058D">
            <w:pPr>
              <w:rPr>
                <w:color w:val="000000"/>
                <w:lang w:eastAsia="en-AU"/>
              </w:rPr>
            </w:pPr>
            <w:r>
              <w:rPr>
                <w:color w:val="000000"/>
                <w:lang w:eastAsia="en-AU"/>
              </w:rPr>
              <w:t>S</w:t>
            </w:r>
            <w:r w:rsidRPr="00D50435">
              <w:rPr>
                <w:color w:val="000000"/>
                <w:lang w:eastAsia="en-AU"/>
              </w:rPr>
              <w:t>trategy</w:t>
            </w:r>
          </w:p>
        </w:tc>
      </w:tr>
      <w:tr w:rsidR="0002058D" w:rsidRPr="008654B9" w14:paraId="5231A1CC" w14:textId="77777777" w:rsidTr="00522D74">
        <w:trPr>
          <w:trHeight w:val="1203"/>
        </w:trPr>
        <w:tc>
          <w:tcPr>
            <w:tcW w:w="0" w:type="auto"/>
            <w:tcBorders>
              <w:left w:val="single" w:sz="4" w:space="0" w:color="auto"/>
            </w:tcBorders>
            <w:shd w:val="clear" w:color="auto" w:fill="FFFFFF" w:themeFill="background1"/>
          </w:tcPr>
          <w:p w14:paraId="50237BBF" w14:textId="77777777" w:rsidR="0002058D" w:rsidRDefault="0002058D" w:rsidP="0002058D">
            <w:pPr>
              <w:rPr>
                <w:b/>
                <w:color w:val="000000"/>
                <w:lang w:eastAsia="en-AU"/>
              </w:rPr>
            </w:pPr>
            <w:r w:rsidRPr="00887ACB">
              <w:rPr>
                <w:b/>
                <w:color w:val="00B050"/>
                <w:szCs w:val="18"/>
                <w:lang w:eastAsia="en-AU"/>
              </w:rPr>
              <w:t>NEW</w:t>
            </w:r>
            <w:r w:rsidRPr="00E31E61">
              <w:rPr>
                <w:b/>
                <w:color w:val="00B050"/>
                <w:lang w:eastAsia="en-AU"/>
              </w:rPr>
              <w:t xml:space="preserve"> </w:t>
            </w:r>
            <w:r w:rsidRPr="00E31E61">
              <w:rPr>
                <w:b/>
                <w:color w:val="000000"/>
                <w:lang w:eastAsia="en-AU"/>
              </w:rPr>
              <w:t xml:space="preserve">Remote School Attendance Strategy </w:t>
            </w:r>
            <w:r w:rsidR="005759AC">
              <w:rPr>
                <w:b/>
                <w:color w:val="000000"/>
                <w:lang w:eastAsia="en-AU"/>
              </w:rPr>
              <w:t xml:space="preserve">(RSAS) </w:t>
            </w:r>
            <w:r w:rsidRPr="00E31E61">
              <w:rPr>
                <w:b/>
                <w:color w:val="000000"/>
                <w:lang w:eastAsia="en-AU"/>
              </w:rPr>
              <w:t>Reforms</w:t>
            </w:r>
          </w:p>
          <w:p w14:paraId="7C4F3EA0" w14:textId="77777777" w:rsidR="0002058D" w:rsidRPr="00E94B93" w:rsidRDefault="008878CC" w:rsidP="008878CC">
            <w:pPr>
              <w:rPr>
                <w:b/>
                <w:color w:val="000000"/>
                <w:lang w:eastAsia="en-AU"/>
              </w:rPr>
            </w:pPr>
            <w:r>
              <w:rPr>
                <w:color w:val="000000"/>
                <w:lang w:eastAsia="en-AU"/>
              </w:rPr>
              <w:t>The</w:t>
            </w:r>
            <w:r w:rsidR="0002058D">
              <w:rPr>
                <w:color w:val="000000"/>
                <w:lang w:eastAsia="en-AU"/>
              </w:rPr>
              <w:t xml:space="preserve"> evaluation strategy will </w:t>
            </w:r>
            <w:r>
              <w:rPr>
                <w:color w:val="000000"/>
                <w:lang w:eastAsia="en-AU"/>
              </w:rPr>
              <w:t>cover</w:t>
            </w:r>
            <w:r w:rsidR="0002058D">
              <w:rPr>
                <w:color w:val="000000"/>
                <w:lang w:eastAsia="en-AU"/>
              </w:rPr>
              <w:t xml:space="preserve"> the implementation, effectiveness and impact of the</w:t>
            </w:r>
            <w:r>
              <w:rPr>
                <w:color w:val="000000"/>
                <w:lang w:eastAsia="en-AU"/>
              </w:rPr>
              <w:t xml:space="preserve"> existing RSAS minor/medium reforms that have been implemented to the current ‘franchise’ model and the</w:t>
            </w:r>
            <w:r w:rsidR="0002058D">
              <w:rPr>
                <w:color w:val="000000"/>
                <w:lang w:eastAsia="en-AU"/>
              </w:rPr>
              <w:t xml:space="preserve"> reforms</w:t>
            </w:r>
            <w:r>
              <w:rPr>
                <w:color w:val="000000"/>
                <w:lang w:eastAsia="en-AU"/>
              </w:rPr>
              <w:t xml:space="preserve"> to be</w:t>
            </w:r>
            <w:r w:rsidR="0002058D">
              <w:rPr>
                <w:color w:val="000000"/>
                <w:lang w:eastAsia="en-AU"/>
              </w:rPr>
              <w:t xml:space="preserve"> implemented in 2019</w:t>
            </w:r>
            <w:r>
              <w:rPr>
                <w:color w:val="000000"/>
                <w:lang w:eastAsia="en-AU"/>
              </w:rPr>
              <w:t>.</w:t>
            </w:r>
          </w:p>
        </w:tc>
        <w:tc>
          <w:tcPr>
            <w:tcW w:w="0" w:type="auto"/>
            <w:shd w:val="clear" w:color="auto" w:fill="FFFFFF" w:themeFill="background1"/>
          </w:tcPr>
          <w:p w14:paraId="07228414" w14:textId="77777777" w:rsidR="0002058D" w:rsidRDefault="0002058D" w:rsidP="0002058D">
            <w:pPr>
              <w:rPr>
                <w:color w:val="000000"/>
                <w:lang w:eastAsia="en-AU"/>
              </w:rPr>
            </w:pPr>
            <w:r>
              <w:rPr>
                <w:color w:val="000000"/>
                <w:lang w:eastAsia="en-AU"/>
              </w:rPr>
              <w:t>Strategy</w:t>
            </w:r>
          </w:p>
        </w:tc>
      </w:tr>
      <w:tr w:rsidR="00E86016" w:rsidRPr="008654B9" w14:paraId="548D9B14" w14:textId="77777777" w:rsidTr="00522D74">
        <w:trPr>
          <w:trHeight w:val="1332"/>
        </w:trPr>
        <w:tc>
          <w:tcPr>
            <w:tcW w:w="0" w:type="auto"/>
            <w:tcBorders>
              <w:left w:val="single" w:sz="4" w:space="0" w:color="auto"/>
            </w:tcBorders>
            <w:shd w:val="clear" w:color="auto" w:fill="FFFFFF" w:themeFill="background1"/>
            <w:hideMark/>
          </w:tcPr>
          <w:p w14:paraId="5518E13B" w14:textId="77777777" w:rsidR="00E86016" w:rsidRPr="00E94B93" w:rsidRDefault="00E86016" w:rsidP="00E86016">
            <w:pPr>
              <w:rPr>
                <w:b/>
                <w:color w:val="000000"/>
                <w:lang w:eastAsia="en-AU"/>
              </w:rPr>
            </w:pPr>
            <w:r w:rsidRPr="00E94B93">
              <w:rPr>
                <w:b/>
                <w:color w:val="000000"/>
                <w:lang w:eastAsia="en-AU"/>
              </w:rPr>
              <w:t>Strengthening Organisational Governance Policy</w:t>
            </w:r>
          </w:p>
          <w:p w14:paraId="36857145" w14:textId="77777777" w:rsidR="00E86016" w:rsidRPr="00E94B93" w:rsidRDefault="00E86016" w:rsidP="00E86016">
            <w:pPr>
              <w:rPr>
                <w:b/>
                <w:color w:val="000000"/>
                <w:lang w:eastAsia="en-AU"/>
              </w:rPr>
            </w:pPr>
            <w:r w:rsidRPr="00E74C8D">
              <w:rPr>
                <w:color w:val="000000"/>
                <w:szCs w:val="20"/>
              </w:rPr>
              <w:t xml:space="preserve">This evaluation strategy </w:t>
            </w:r>
            <w:r>
              <w:rPr>
                <w:color w:val="000000"/>
                <w:szCs w:val="20"/>
              </w:rPr>
              <w:t>will focus on</w:t>
            </w:r>
            <w:r w:rsidRPr="00E74C8D">
              <w:rPr>
                <w:color w:val="000000"/>
                <w:szCs w:val="20"/>
              </w:rPr>
              <w:t xml:space="preserve"> the effectiveness of the Strengthening Organisational Governance Policy, including the benefits to organisations, communities and beneficiaries of grant funded services and for the management of Commonwealth funding; and the implications of any application beyond the Indigenous Affairs portfolio.</w:t>
            </w:r>
          </w:p>
        </w:tc>
        <w:tc>
          <w:tcPr>
            <w:tcW w:w="0" w:type="auto"/>
            <w:shd w:val="clear" w:color="auto" w:fill="FFFFFF" w:themeFill="background1"/>
          </w:tcPr>
          <w:p w14:paraId="38573FEE" w14:textId="77777777" w:rsidR="00E86016" w:rsidRPr="002D4DC1" w:rsidRDefault="00E86016" w:rsidP="00E86016">
            <w:pPr>
              <w:rPr>
                <w:color w:val="000000"/>
                <w:lang w:eastAsia="en-AU"/>
              </w:rPr>
            </w:pPr>
            <w:r>
              <w:rPr>
                <w:color w:val="000000"/>
                <w:lang w:eastAsia="en-AU"/>
              </w:rPr>
              <w:t>S</w:t>
            </w:r>
            <w:r w:rsidRPr="002D4DC1">
              <w:rPr>
                <w:color w:val="000000"/>
                <w:lang w:eastAsia="en-AU"/>
              </w:rPr>
              <w:t>trategy</w:t>
            </w:r>
          </w:p>
          <w:p w14:paraId="063C5B77" w14:textId="77777777" w:rsidR="00E86016" w:rsidRPr="00E94B93" w:rsidRDefault="00E86016" w:rsidP="00E86016">
            <w:pPr>
              <w:rPr>
                <w:color w:val="000000"/>
                <w:lang w:eastAsia="en-AU"/>
              </w:rPr>
            </w:pPr>
          </w:p>
        </w:tc>
      </w:tr>
      <w:tr w:rsidR="00E86016" w:rsidRPr="008654B9" w14:paraId="135CD813" w14:textId="77777777" w:rsidTr="00522D74">
        <w:trPr>
          <w:trHeight w:val="884"/>
        </w:trPr>
        <w:tc>
          <w:tcPr>
            <w:tcW w:w="0" w:type="auto"/>
            <w:tcBorders>
              <w:left w:val="single" w:sz="4" w:space="0" w:color="auto"/>
            </w:tcBorders>
            <w:shd w:val="clear" w:color="auto" w:fill="FFFFFF" w:themeFill="background1"/>
          </w:tcPr>
          <w:p w14:paraId="5783269B" w14:textId="77777777" w:rsidR="00E86016" w:rsidRDefault="00E86016" w:rsidP="00E86016">
            <w:pPr>
              <w:rPr>
                <w:b/>
                <w:color w:val="000000"/>
                <w:lang w:eastAsia="en-AU"/>
              </w:rPr>
            </w:pPr>
            <w:r w:rsidRPr="00081C1F">
              <w:rPr>
                <w:b/>
                <w:color w:val="00B050"/>
                <w:szCs w:val="18"/>
                <w:lang w:eastAsia="en-AU"/>
              </w:rPr>
              <w:t>NEW</w:t>
            </w:r>
            <w:r w:rsidRPr="00811C2F">
              <w:rPr>
                <w:b/>
                <w:color w:val="00B050"/>
                <w:lang w:eastAsia="en-AU"/>
              </w:rPr>
              <w:t xml:space="preserve"> </w:t>
            </w:r>
            <w:r>
              <w:rPr>
                <w:b/>
                <w:color w:val="000000"/>
                <w:lang w:eastAsia="en-AU"/>
              </w:rPr>
              <w:t>System Effectiveness</w:t>
            </w:r>
          </w:p>
          <w:p w14:paraId="5D6CE811" w14:textId="77777777" w:rsidR="00E86016" w:rsidRPr="00E94B93" w:rsidRDefault="00E86016" w:rsidP="00E86016">
            <w:pPr>
              <w:rPr>
                <w:b/>
                <w:color w:val="000000"/>
                <w:lang w:eastAsia="en-AU"/>
              </w:rPr>
            </w:pPr>
            <w:r w:rsidRPr="00C041BD">
              <w:rPr>
                <w:color w:val="000000"/>
                <w:szCs w:val="20"/>
              </w:rPr>
              <w:t>An eva</w:t>
            </w:r>
            <w:r>
              <w:rPr>
                <w:color w:val="000000"/>
                <w:szCs w:val="20"/>
              </w:rPr>
              <w:t xml:space="preserve">luation strategy about the system effectiveness of </w:t>
            </w:r>
            <w:r w:rsidRPr="00C041BD">
              <w:rPr>
                <w:color w:val="000000"/>
                <w:szCs w:val="20"/>
              </w:rPr>
              <w:t>the Indigenous Advancement Strategy</w:t>
            </w:r>
            <w:r>
              <w:rPr>
                <w:color w:val="000000"/>
                <w:szCs w:val="20"/>
              </w:rPr>
              <w:t>.</w:t>
            </w:r>
            <w:r>
              <w:rPr>
                <w:b/>
                <w:color w:val="000000"/>
                <w:lang w:eastAsia="en-AU"/>
              </w:rPr>
              <w:t xml:space="preserve"> </w:t>
            </w:r>
          </w:p>
        </w:tc>
        <w:tc>
          <w:tcPr>
            <w:tcW w:w="0" w:type="auto"/>
            <w:shd w:val="clear" w:color="auto" w:fill="FFFFFF" w:themeFill="background1"/>
          </w:tcPr>
          <w:p w14:paraId="360FB343" w14:textId="77777777" w:rsidR="00E86016" w:rsidRDefault="00E86016" w:rsidP="00E86016">
            <w:pPr>
              <w:rPr>
                <w:color w:val="000000"/>
                <w:lang w:eastAsia="en-AU"/>
              </w:rPr>
            </w:pPr>
            <w:r>
              <w:rPr>
                <w:color w:val="000000"/>
                <w:lang w:eastAsia="en-AU"/>
              </w:rPr>
              <w:t>Strategy</w:t>
            </w:r>
          </w:p>
        </w:tc>
      </w:tr>
      <w:tr w:rsidR="00E86016" w:rsidRPr="008654B9" w14:paraId="52CE98C2" w14:textId="77777777" w:rsidTr="00522D74">
        <w:trPr>
          <w:trHeight w:val="1777"/>
        </w:trPr>
        <w:tc>
          <w:tcPr>
            <w:tcW w:w="0" w:type="auto"/>
            <w:tcBorders>
              <w:left w:val="single" w:sz="4" w:space="0" w:color="auto"/>
            </w:tcBorders>
            <w:shd w:val="clear" w:color="auto" w:fill="FFFFFF" w:themeFill="background1"/>
          </w:tcPr>
          <w:p w14:paraId="6BDA165C" w14:textId="77777777" w:rsidR="00E86016" w:rsidRDefault="00E86016" w:rsidP="00E86016">
            <w:pPr>
              <w:rPr>
                <w:b/>
                <w:bCs/>
              </w:rPr>
            </w:pPr>
            <w:r w:rsidRPr="00081C1F">
              <w:rPr>
                <w:b/>
                <w:color w:val="00B050"/>
                <w:szCs w:val="18"/>
                <w:lang w:eastAsia="en-AU"/>
              </w:rPr>
              <w:t>NEW</w:t>
            </w:r>
            <w:r w:rsidRPr="00811C2F">
              <w:rPr>
                <w:b/>
                <w:color w:val="00B050"/>
                <w:lang w:eastAsia="en-AU"/>
              </w:rPr>
              <w:t xml:space="preserve"> </w:t>
            </w:r>
            <w:r>
              <w:rPr>
                <w:b/>
                <w:bCs/>
              </w:rPr>
              <w:t>Tailored Assistance Employment Grants (TAEG)</w:t>
            </w:r>
          </w:p>
          <w:p w14:paraId="2898AFE0" w14:textId="77777777" w:rsidR="00E86016" w:rsidRDefault="00E86016" w:rsidP="00E86016">
            <w:pPr>
              <w:rPr>
                <w:lang w:val="en-US" w:eastAsia="en-AU"/>
              </w:rPr>
            </w:pPr>
            <w:r w:rsidRPr="00D667D9">
              <w:rPr>
                <w:lang w:val="en-US" w:eastAsia="en-AU"/>
              </w:rPr>
              <w:t xml:space="preserve">An evaluation strategy </w:t>
            </w:r>
            <w:r>
              <w:rPr>
                <w:lang w:val="en-US" w:eastAsia="en-AU"/>
              </w:rPr>
              <w:t xml:space="preserve">about assessing the effectiveness of </w:t>
            </w:r>
            <w:r w:rsidRPr="00D667D9">
              <w:rPr>
                <w:lang w:val="en-US" w:eastAsia="en-AU"/>
              </w:rPr>
              <w:t>TAEG in:</w:t>
            </w:r>
          </w:p>
          <w:p w14:paraId="049FDFF2" w14:textId="77777777" w:rsidR="00E86016" w:rsidRPr="00A77ACE" w:rsidRDefault="00E86016" w:rsidP="00E86016">
            <w:pPr>
              <w:pStyle w:val="ListParagraph"/>
              <w:numPr>
                <w:ilvl w:val="0"/>
                <w:numId w:val="18"/>
              </w:numPr>
              <w:rPr>
                <w:lang w:val="en-US" w:eastAsia="en-AU"/>
              </w:rPr>
            </w:pPr>
            <w:r w:rsidRPr="00A77ACE">
              <w:rPr>
                <w:lang w:val="en-US" w:eastAsia="en-AU"/>
              </w:rPr>
              <w:t xml:space="preserve">supporting Aboriginal and Torres Strait Islander people to find and remain in sustainable work, and </w:t>
            </w:r>
          </w:p>
          <w:p w14:paraId="045F09E7" w14:textId="77777777" w:rsidR="00E86016" w:rsidRPr="009E6589" w:rsidRDefault="00E86016" w:rsidP="00E86016">
            <w:pPr>
              <w:pStyle w:val="ListParagraph"/>
              <w:numPr>
                <w:ilvl w:val="0"/>
                <w:numId w:val="18"/>
              </w:numPr>
              <w:rPr>
                <w:b/>
                <w:color w:val="00B050"/>
                <w:szCs w:val="18"/>
                <w:lang w:eastAsia="en-AU"/>
              </w:rPr>
            </w:pPr>
            <w:proofErr w:type="gramStart"/>
            <w:r w:rsidRPr="00A77ACE">
              <w:rPr>
                <w:lang w:val="en-US" w:eastAsia="en-AU"/>
              </w:rPr>
              <w:t>increasing</w:t>
            </w:r>
            <w:proofErr w:type="gramEnd"/>
            <w:r w:rsidRPr="00A77ACE">
              <w:rPr>
                <w:lang w:val="en-US" w:eastAsia="en-AU"/>
              </w:rPr>
              <w:t xml:space="preserve"> the proportion of school/tertiary students connecting to real employment through </w:t>
            </w:r>
            <w:r w:rsidRPr="009E6589">
              <w:rPr>
                <w:lang w:val="en-US" w:eastAsia="en-AU"/>
              </w:rPr>
              <w:t>pathway activities such as school based traineeships and cadetships.</w:t>
            </w:r>
          </w:p>
        </w:tc>
        <w:tc>
          <w:tcPr>
            <w:tcW w:w="0" w:type="auto"/>
            <w:shd w:val="clear" w:color="auto" w:fill="FFFFFF" w:themeFill="background1"/>
          </w:tcPr>
          <w:p w14:paraId="4D0BA53B" w14:textId="77777777" w:rsidR="00E86016" w:rsidRDefault="00E86016" w:rsidP="00E86016">
            <w:pPr>
              <w:rPr>
                <w:color w:val="000000"/>
                <w:lang w:eastAsia="en-AU"/>
              </w:rPr>
            </w:pPr>
            <w:r>
              <w:rPr>
                <w:color w:val="000000"/>
                <w:lang w:eastAsia="en-AU"/>
              </w:rPr>
              <w:t>Strategy</w:t>
            </w:r>
          </w:p>
        </w:tc>
      </w:tr>
      <w:tr w:rsidR="00E86016" w:rsidRPr="008654B9" w14:paraId="10461BFD" w14:textId="77777777" w:rsidTr="00522D74">
        <w:trPr>
          <w:trHeight w:val="1136"/>
        </w:trPr>
        <w:tc>
          <w:tcPr>
            <w:tcW w:w="0" w:type="auto"/>
            <w:tcBorders>
              <w:left w:val="single" w:sz="4" w:space="0" w:color="auto"/>
            </w:tcBorders>
            <w:shd w:val="clear" w:color="auto" w:fill="FFFFFF" w:themeFill="background1"/>
          </w:tcPr>
          <w:p w14:paraId="5AC71986" w14:textId="77777777" w:rsidR="00E86016" w:rsidRPr="004B7C2E" w:rsidRDefault="00E86016" w:rsidP="00E86016">
            <w:pPr>
              <w:rPr>
                <w:b/>
                <w:bCs/>
                <w:color w:val="000000"/>
                <w:szCs w:val="18"/>
                <w:lang w:val="en-US" w:eastAsia="en-AU"/>
              </w:rPr>
            </w:pPr>
            <w:r w:rsidRPr="004B7C2E">
              <w:rPr>
                <w:b/>
                <w:bCs/>
                <w:color w:val="000000"/>
                <w:lang w:val="en-US" w:eastAsia="en-AU"/>
              </w:rPr>
              <w:t xml:space="preserve">Testing the </w:t>
            </w:r>
            <w:r>
              <w:rPr>
                <w:b/>
                <w:bCs/>
                <w:color w:val="000000"/>
                <w:lang w:val="en-US" w:eastAsia="en-AU"/>
              </w:rPr>
              <w:t>I</w:t>
            </w:r>
            <w:r w:rsidRPr="004B7C2E">
              <w:rPr>
                <w:b/>
                <w:bCs/>
                <w:color w:val="000000"/>
                <w:lang w:val="en-US" w:eastAsia="en-AU"/>
              </w:rPr>
              <w:t xml:space="preserve">mpact of the </w:t>
            </w:r>
            <w:r>
              <w:rPr>
                <w:b/>
                <w:bCs/>
                <w:color w:val="000000"/>
                <w:lang w:val="en-US" w:eastAsia="en-AU"/>
              </w:rPr>
              <w:t>P</w:t>
            </w:r>
            <w:r w:rsidRPr="004B7C2E">
              <w:rPr>
                <w:b/>
                <w:lang w:val="en-US"/>
              </w:rPr>
              <w:t xml:space="preserve">risoner </w:t>
            </w:r>
            <w:r>
              <w:rPr>
                <w:b/>
                <w:lang w:val="en-US"/>
              </w:rPr>
              <w:t>T</w:t>
            </w:r>
            <w:r w:rsidRPr="004B7C2E">
              <w:rPr>
                <w:b/>
                <w:lang w:val="en-US"/>
              </w:rPr>
              <w:t xml:space="preserve">hrough-care </w:t>
            </w:r>
            <w:r>
              <w:rPr>
                <w:b/>
                <w:lang w:val="en-US"/>
              </w:rPr>
              <w:t>S</w:t>
            </w:r>
            <w:r w:rsidRPr="004B7C2E">
              <w:rPr>
                <w:b/>
                <w:lang w:val="en-US"/>
              </w:rPr>
              <w:t xml:space="preserve">ervice </w:t>
            </w:r>
            <w:r>
              <w:rPr>
                <w:b/>
                <w:lang w:val="en-US"/>
              </w:rPr>
              <w:t>M</w:t>
            </w:r>
            <w:r w:rsidRPr="004B7C2E">
              <w:rPr>
                <w:b/>
                <w:bCs/>
                <w:color w:val="000000"/>
                <w:lang w:val="en-US" w:eastAsia="en-AU"/>
              </w:rPr>
              <w:t>odel</w:t>
            </w:r>
            <w:r w:rsidRPr="004B7C2E">
              <w:rPr>
                <w:b/>
                <w:bCs/>
                <w:color w:val="FF0000"/>
                <w:lang w:val="en-US" w:eastAsia="en-AU"/>
              </w:rPr>
              <w:t xml:space="preserve"> </w:t>
            </w:r>
            <w:r w:rsidRPr="004B7C2E">
              <w:rPr>
                <w:b/>
                <w:bCs/>
                <w:color w:val="000000"/>
                <w:lang w:val="en-US" w:eastAsia="en-AU"/>
              </w:rPr>
              <w:t xml:space="preserve">for </w:t>
            </w:r>
            <w:r>
              <w:rPr>
                <w:b/>
                <w:bCs/>
                <w:color w:val="000000"/>
                <w:lang w:val="en-US" w:eastAsia="en-AU"/>
              </w:rPr>
              <w:t>I</w:t>
            </w:r>
            <w:r w:rsidRPr="004B7C2E">
              <w:rPr>
                <w:b/>
                <w:bCs/>
                <w:color w:val="000000"/>
                <w:lang w:val="en-US" w:eastAsia="en-AU"/>
              </w:rPr>
              <w:t xml:space="preserve">mproving </w:t>
            </w:r>
            <w:r>
              <w:rPr>
                <w:b/>
                <w:bCs/>
                <w:color w:val="000000"/>
                <w:lang w:val="en-US" w:eastAsia="en-AU"/>
              </w:rPr>
              <w:t>C</w:t>
            </w:r>
            <w:r w:rsidRPr="004B7C2E">
              <w:rPr>
                <w:b/>
                <w:bCs/>
                <w:color w:val="000000"/>
                <w:lang w:val="en-US" w:eastAsia="en-AU"/>
              </w:rPr>
              <w:t xml:space="preserve">ommunity </w:t>
            </w:r>
            <w:r>
              <w:rPr>
                <w:b/>
                <w:bCs/>
                <w:color w:val="000000"/>
                <w:lang w:val="en-US" w:eastAsia="en-AU"/>
              </w:rPr>
              <w:t>S</w:t>
            </w:r>
            <w:r w:rsidRPr="004B7C2E">
              <w:rPr>
                <w:b/>
                <w:bCs/>
                <w:color w:val="000000"/>
                <w:lang w:val="en-US" w:eastAsia="en-AU"/>
              </w:rPr>
              <w:t xml:space="preserve">afety and </w:t>
            </w:r>
            <w:r>
              <w:rPr>
                <w:b/>
                <w:bCs/>
                <w:color w:val="000000"/>
                <w:lang w:val="en-US" w:eastAsia="en-AU"/>
              </w:rPr>
              <w:t>J</w:t>
            </w:r>
            <w:r w:rsidRPr="004B7C2E">
              <w:rPr>
                <w:b/>
                <w:bCs/>
                <w:color w:val="000000"/>
                <w:lang w:val="en-US" w:eastAsia="en-AU"/>
              </w:rPr>
              <w:t xml:space="preserve">ustice </w:t>
            </w:r>
            <w:r>
              <w:rPr>
                <w:b/>
                <w:bCs/>
                <w:color w:val="000000"/>
                <w:lang w:val="en-US" w:eastAsia="en-AU"/>
              </w:rPr>
              <w:t>O</w:t>
            </w:r>
            <w:r w:rsidRPr="004B7C2E">
              <w:rPr>
                <w:b/>
                <w:bCs/>
                <w:color w:val="000000"/>
                <w:lang w:val="en-US" w:eastAsia="en-AU"/>
              </w:rPr>
              <w:t>utcomes</w:t>
            </w:r>
          </w:p>
          <w:p w14:paraId="232B1BB9" w14:textId="77777777" w:rsidR="00E86016" w:rsidRDefault="00E86016" w:rsidP="00E86016">
            <w:pPr>
              <w:rPr>
                <w:b/>
                <w:color w:val="00B050"/>
                <w:lang w:eastAsia="en-AU"/>
              </w:rPr>
            </w:pPr>
            <w:r>
              <w:rPr>
                <w:lang w:val="en-US" w:eastAsia="en-AU"/>
              </w:rPr>
              <w:t xml:space="preserve">An evaluation strategy covering the impact </w:t>
            </w:r>
            <w:r>
              <w:rPr>
                <w:lang w:val="en-US"/>
              </w:rPr>
              <w:t>of a program model to enhance existing prisoner through-care services for</w:t>
            </w:r>
            <w:r w:rsidRPr="001E6D22">
              <w:rPr>
                <w:rFonts w:asciiTheme="minorHAnsi" w:eastAsiaTheme="minorEastAsia" w:hAnsiTheme="minorHAnsi"/>
                <w:sz w:val="21"/>
                <w:szCs w:val="21"/>
                <w:lang w:eastAsia="en-AU"/>
              </w:rPr>
              <w:t xml:space="preserve"> </w:t>
            </w:r>
            <w:r w:rsidRPr="001E6D22">
              <w:t>Aborigi</w:t>
            </w:r>
            <w:r>
              <w:t xml:space="preserve">nal and Torres Strait Islander </w:t>
            </w:r>
            <w:r>
              <w:rPr>
                <w:lang w:val="en-US"/>
              </w:rPr>
              <w:t>prisoners.</w:t>
            </w:r>
          </w:p>
        </w:tc>
        <w:tc>
          <w:tcPr>
            <w:tcW w:w="0" w:type="auto"/>
            <w:shd w:val="clear" w:color="auto" w:fill="FFFFFF" w:themeFill="background1"/>
          </w:tcPr>
          <w:p w14:paraId="47D34D37" w14:textId="77777777" w:rsidR="00E86016" w:rsidRDefault="00E86016" w:rsidP="00E86016">
            <w:pPr>
              <w:rPr>
                <w:color w:val="000000"/>
                <w:szCs w:val="18"/>
                <w:lang w:eastAsia="en-AU"/>
              </w:rPr>
            </w:pPr>
            <w:r>
              <w:rPr>
                <w:color w:val="000000"/>
                <w:szCs w:val="18"/>
                <w:lang w:eastAsia="en-AU"/>
              </w:rPr>
              <w:t>Strategy</w:t>
            </w:r>
          </w:p>
        </w:tc>
      </w:tr>
      <w:tr w:rsidR="00E86016" w:rsidRPr="008654B9" w14:paraId="292FA1DE" w14:textId="77777777" w:rsidTr="00D65290">
        <w:trPr>
          <w:trHeight w:val="1125"/>
        </w:trPr>
        <w:tc>
          <w:tcPr>
            <w:tcW w:w="0" w:type="auto"/>
            <w:tcBorders>
              <w:left w:val="single" w:sz="4" w:space="0" w:color="auto"/>
            </w:tcBorders>
            <w:shd w:val="clear" w:color="auto" w:fill="FFFFFF" w:themeFill="background1"/>
          </w:tcPr>
          <w:p w14:paraId="6CAC66B0" w14:textId="77777777" w:rsidR="00E86016" w:rsidRPr="004D1430" w:rsidRDefault="00E86016" w:rsidP="00E86016">
            <w:pPr>
              <w:jc w:val="both"/>
              <w:rPr>
                <w:b/>
                <w:bCs/>
                <w:color w:val="000000"/>
                <w:szCs w:val="18"/>
                <w:lang w:val="en-US" w:eastAsia="en-AU"/>
              </w:rPr>
            </w:pPr>
            <w:r w:rsidRPr="004D1430">
              <w:rPr>
                <w:b/>
                <w:bCs/>
                <w:color w:val="000000"/>
                <w:lang w:val="en-US" w:eastAsia="en-AU"/>
              </w:rPr>
              <w:t xml:space="preserve">Testing the </w:t>
            </w:r>
            <w:r>
              <w:rPr>
                <w:b/>
                <w:bCs/>
                <w:color w:val="000000"/>
                <w:lang w:val="en-US" w:eastAsia="en-AU"/>
              </w:rPr>
              <w:t>I</w:t>
            </w:r>
            <w:r w:rsidRPr="004D1430">
              <w:rPr>
                <w:b/>
                <w:bCs/>
                <w:color w:val="000000"/>
                <w:lang w:val="en-US" w:eastAsia="en-AU"/>
              </w:rPr>
              <w:t xml:space="preserve">mpact of </w:t>
            </w:r>
            <w:r>
              <w:rPr>
                <w:b/>
                <w:bCs/>
                <w:color w:val="000000"/>
                <w:lang w:val="en-US" w:eastAsia="en-AU"/>
              </w:rPr>
              <w:t>Y</w:t>
            </w:r>
            <w:r w:rsidRPr="004D1430">
              <w:rPr>
                <w:b/>
                <w:lang w:val="en-US"/>
              </w:rPr>
              <w:t xml:space="preserve">outh </w:t>
            </w:r>
            <w:r>
              <w:rPr>
                <w:b/>
                <w:lang w:val="en-US"/>
              </w:rPr>
              <w:t>T</w:t>
            </w:r>
            <w:r w:rsidRPr="004D1430">
              <w:rPr>
                <w:b/>
                <w:lang w:val="en-US"/>
              </w:rPr>
              <w:t xml:space="preserve">hrough-care </w:t>
            </w:r>
            <w:r>
              <w:rPr>
                <w:b/>
                <w:lang w:val="en-US"/>
              </w:rPr>
              <w:t>P</w:t>
            </w:r>
            <w:r w:rsidRPr="004D1430">
              <w:rPr>
                <w:b/>
                <w:lang w:val="en-US"/>
              </w:rPr>
              <w:t xml:space="preserve">rogram </w:t>
            </w:r>
            <w:r>
              <w:rPr>
                <w:b/>
                <w:bCs/>
                <w:color w:val="000000"/>
                <w:lang w:val="en-US" w:eastAsia="en-AU"/>
              </w:rPr>
              <w:t>M</w:t>
            </w:r>
            <w:r w:rsidRPr="004D1430">
              <w:rPr>
                <w:b/>
                <w:bCs/>
                <w:color w:val="000000"/>
                <w:lang w:val="en-US" w:eastAsia="en-AU"/>
              </w:rPr>
              <w:t xml:space="preserve">odels for </w:t>
            </w:r>
            <w:r>
              <w:rPr>
                <w:b/>
                <w:bCs/>
                <w:color w:val="000000"/>
                <w:lang w:val="en-US" w:eastAsia="en-AU"/>
              </w:rPr>
              <w:t>I</w:t>
            </w:r>
            <w:r w:rsidRPr="004D1430">
              <w:rPr>
                <w:b/>
                <w:bCs/>
                <w:color w:val="000000"/>
                <w:lang w:val="en-US" w:eastAsia="en-AU"/>
              </w:rPr>
              <w:t xml:space="preserve">mproving </w:t>
            </w:r>
            <w:r>
              <w:rPr>
                <w:b/>
                <w:bCs/>
                <w:color w:val="000000"/>
                <w:lang w:val="en-US" w:eastAsia="en-AU"/>
              </w:rPr>
              <w:t>C</w:t>
            </w:r>
            <w:r w:rsidRPr="004D1430">
              <w:rPr>
                <w:b/>
                <w:bCs/>
                <w:color w:val="000000"/>
                <w:lang w:val="en-US" w:eastAsia="en-AU"/>
              </w:rPr>
              <w:t xml:space="preserve">ommunity </w:t>
            </w:r>
            <w:r>
              <w:rPr>
                <w:b/>
                <w:bCs/>
                <w:color w:val="000000"/>
                <w:lang w:val="en-US" w:eastAsia="en-AU"/>
              </w:rPr>
              <w:t>S</w:t>
            </w:r>
            <w:r w:rsidRPr="004D1430">
              <w:rPr>
                <w:b/>
                <w:bCs/>
                <w:color w:val="000000"/>
                <w:lang w:val="en-US" w:eastAsia="en-AU"/>
              </w:rPr>
              <w:t xml:space="preserve">afety and </w:t>
            </w:r>
            <w:r>
              <w:rPr>
                <w:b/>
                <w:bCs/>
                <w:color w:val="000000"/>
                <w:lang w:val="en-US" w:eastAsia="en-AU"/>
              </w:rPr>
              <w:t>J</w:t>
            </w:r>
            <w:r w:rsidRPr="004D1430">
              <w:rPr>
                <w:b/>
                <w:bCs/>
                <w:color w:val="000000"/>
                <w:lang w:val="en-US" w:eastAsia="en-AU"/>
              </w:rPr>
              <w:t xml:space="preserve">ustice </w:t>
            </w:r>
            <w:r>
              <w:rPr>
                <w:b/>
                <w:bCs/>
                <w:color w:val="000000"/>
                <w:lang w:val="en-US" w:eastAsia="en-AU"/>
              </w:rPr>
              <w:t>O</w:t>
            </w:r>
            <w:r w:rsidRPr="004D1430">
              <w:rPr>
                <w:b/>
                <w:bCs/>
                <w:color w:val="000000"/>
                <w:lang w:val="en-US" w:eastAsia="en-AU"/>
              </w:rPr>
              <w:t>utcomes</w:t>
            </w:r>
          </w:p>
          <w:p w14:paraId="2CEC6D78" w14:textId="77777777" w:rsidR="00E86016" w:rsidRPr="005B2A56" w:rsidRDefault="00E86016" w:rsidP="00E86016">
            <w:pPr>
              <w:rPr>
                <w:b/>
                <w:color w:val="00B050"/>
                <w:lang w:eastAsia="en-AU"/>
              </w:rPr>
            </w:pPr>
            <w:r>
              <w:rPr>
                <w:lang w:val="en-US" w:eastAsia="en-AU"/>
              </w:rPr>
              <w:t xml:space="preserve">The development of an evaluation strategy </w:t>
            </w:r>
            <w:r w:rsidRPr="006060C8">
              <w:rPr>
                <w:lang w:val="en-US" w:eastAsia="en-AU"/>
              </w:rPr>
              <w:t xml:space="preserve">covering </w:t>
            </w:r>
            <w:r>
              <w:rPr>
                <w:lang w:val="en-US" w:eastAsia="en-AU"/>
              </w:rPr>
              <w:t xml:space="preserve">the impact </w:t>
            </w:r>
            <w:r>
              <w:rPr>
                <w:lang w:val="en-US"/>
              </w:rPr>
              <w:t>o</w:t>
            </w:r>
            <w:r w:rsidR="007F7D47">
              <w:rPr>
                <w:lang w:val="en-US"/>
              </w:rPr>
              <w:t xml:space="preserve">f a program model that trials </w:t>
            </w:r>
            <w:r>
              <w:rPr>
                <w:lang w:val="en-US"/>
              </w:rPr>
              <w:t xml:space="preserve">youth through-care program services for young </w:t>
            </w:r>
            <w:r w:rsidRPr="001E6D22">
              <w:t>Aboriginal and Torres Strait Islander</w:t>
            </w:r>
            <w:r w:rsidRPr="001E6D22" w:rsidDel="001E6D22">
              <w:rPr>
                <w:lang w:val="en-US"/>
              </w:rPr>
              <w:t xml:space="preserve"> </w:t>
            </w:r>
            <w:r>
              <w:rPr>
                <w:lang w:val="en-US"/>
              </w:rPr>
              <w:t>people exiting detention.</w:t>
            </w:r>
          </w:p>
        </w:tc>
        <w:tc>
          <w:tcPr>
            <w:tcW w:w="0" w:type="auto"/>
            <w:shd w:val="clear" w:color="auto" w:fill="FFFFFF" w:themeFill="background1"/>
          </w:tcPr>
          <w:p w14:paraId="05304E11" w14:textId="77777777" w:rsidR="00E86016" w:rsidRDefault="00E86016" w:rsidP="00E86016">
            <w:pPr>
              <w:rPr>
                <w:color w:val="000000"/>
                <w:szCs w:val="18"/>
                <w:lang w:eastAsia="en-AU"/>
              </w:rPr>
            </w:pPr>
            <w:r>
              <w:rPr>
                <w:color w:val="000000"/>
                <w:szCs w:val="18"/>
                <w:lang w:eastAsia="en-AU"/>
              </w:rPr>
              <w:t>Strategy</w:t>
            </w:r>
          </w:p>
        </w:tc>
      </w:tr>
      <w:tr w:rsidR="00E86016" w:rsidRPr="008654B9" w14:paraId="4E2CCE42" w14:textId="77777777" w:rsidTr="00961C97">
        <w:trPr>
          <w:trHeight w:val="1486"/>
        </w:trPr>
        <w:tc>
          <w:tcPr>
            <w:tcW w:w="0" w:type="auto"/>
            <w:tcBorders>
              <w:left w:val="single" w:sz="4" w:space="0" w:color="auto"/>
            </w:tcBorders>
            <w:shd w:val="clear" w:color="auto" w:fill="auto"/>
          </w:tcPr>
          <w:p w14:paraId="23618443" w14:textId="77777777" w:rsidR="00E86016" w:rsidRPr="006B16EE" w:rsidRDefault="00E86016" w:rsidP="00E86016">
            <w:pPr>
              <w:rPr>
                <w:b/>
                <w:color w:val="000000"/>
                <w:lang w:eastAsia="en-AU"/>
              </w:rPr>
            </w:pPr>
            <w:r w:rsidRPr="00081C1F">
              <w:rPr>
                <w:b/>
                <w:color w:val="00B050"/>
                <w:szCs w:val="18"/>
                <w:lang w:eastAsia="en-AU"/>
              </w:rPr>
              <w:t>NEW</w:t>
            </w:r>
            <w:r w:rsidRPr="00811C2F">
              <w:rPr>
                <w:b/>
                <w:color w:val="00B050"/>
                <w:lang w:eastAsia="en-AU"/>
              </w:rPr>
              <w:t xml:space="preserve"> </w:t>
            </w:r>
            <w:r>
              <w:rPr>
                <w:b/>
                <w:color w:val="000000"/>
                <w:lang w:eastAsia="en-AU"/>
              </w:rPr>
              <w:t>Time to Work Employment Service</w:t>
            </w:r>
          </w:p>
          <w:p w14:paraId="6F1BC42C" w14:textId="77777777" w:rsidR="00E86016" w:rsidRPr="0075597E" w:rsidRDefault="00E86016" w:rsidP="00E86016">
            <w:pPr>
              <w:rPr>
                <w:b/>
                <w:color w:val="00B050"/>
                <w:lang w:eastAsia="en-AU"/>
              </w:rPr>
            </w:pPr>
            <w:r>
              <w:rPr>
                <w:rFonts w:eastAsiaTheme="minorEastAsia" w:cstheme="minorHAnsi"/>
              </w:rPr>
              <w:t xml:space="preserve">This </w:t>
            </w:r>
            <w:r w:rsidRPr="00C84B48">
              <w:rPr>
                <w:rFonts w:eastAsiaTheme="minorEastAsia" w:cstheme="minorHAnsi"/>
              </w:rPr>
              <w:t xml:space="preserve">evaluation </w:t>
            </w:r>
            <w:r>
              <w:rPr>
                <w:rFonts w:eastAsiaTheme="minorEastAsia" w:cstheme="minorHAnsi"/>
              </w:rPr>
              <w:t>strategy covers</w:t>
            </w:r>
            <w:r w:rsidRPr="004C54CC">
              <w:rPr>
                <w:rFonts w:eastAsiaTheme="minorEastAsia" w:cstheme="minorHAnsi"/>
              </w:rPr>
              <w:t xml:space="preserve"> </w:t>
            </w:r>
            <w:r w:rsidRPr="00C84B48">
              <w:rPr>
                <w:rFonts w:eastAsiaTheme="minorEastAsia" w:cstheme="minorHAnsi"/>
              </w:rPr>
              <w:t xml:space="preserve">the effectiveness of the </w:t>
            </w:r>
            <w:r>
              <w:rPr>
                <w:rFonts w:eastAsiaTheme="minorEastAsia" w:cstheme="minorHAnsi"/>
              </w:rPr>
              <w:t>Time to Work Employment Service</w:t>
            </w:r>
            <w:r w:rsidRPr="00C84B48">
              <w:rPr>
                <w:rFonts w:eastAsiaTheme="minorEastAsia" w:cstheme="minorHAnsi"/>
              </w:rPr>
              <w:t xml:space="preserve"> </w:t>
            </w:r>
            <w:r w:rsidRPr="00C84B48">
              <w:rPr>
                <w:rFonts w:eastAsia="Times New Roman" w:cstheme="minorHAnsi"/>
                <w:lang w:val="en" w:eastAsia="en-AU"/>
              </w:rPr>
              <w:t xml:space="preserve">in assisting </w:t>
            </w:r>
            <w:r w:rsidRPr="001E6D22">
              <w:rPr>
                <w:rFonts w:eastAsia="Times New Roman" w:cstheme="minorHAnsi"/>
                <w:lang w:eastAsia="en-AU"/>
              </w:rPr>
              <w:t>Aboriginal and Torres Strait Islander</w:t>
            </w:r>
            <w:r w:rsidRPr="00C84B48">
              <w:rPr>
                <w:rFonts w:eastAsia="Times New Roman" w:cstheme="minorHAnsi"/>
                <w:lang w:val="en" w:eastAsia="en-AU"/>
              </w:rPr>
              <w:t xml:space="preserve"> people in prison to access the support they need to better prepare them</w:t>
            </w:r>
            <w:r>
              <w:rPr>
                <w:rFonts w:eastAsia="Times New Roman" w:cstheme="minorHAnsi"/>
                <w:lang w:val="en" w:eastAsia="en-AU"/>
              </w:rPr>
              <w:t>selves</w:t>
            </w:r>
            <w:r w:rsidRPr="00C84B48">
              <w:rPr>
                <w:rFonts w:eastAsia="Times New Roman" w:cstheme="minorHAnsi"/>
                <w:lang w:val="en" w:eastAsia="en-AU"/>
              </w:rPr>
              <w:t xml:space="preserve"> to find employment and reintegrate into the community upon their release from prison.</w:t>
            </w:r>
          </w:p>
        </w:tc>
        <w:tc>
          <w:tcPr>
            <w:tcW w:w="0" w:type="auto"/>
            <w:shd w:val="clear" w:color="auto" w:fill="auto"/>
          </w:tcPr>
          <w:p w14:paraId="1741B0EA" w14:textId="77777777" w:rsidR="00E86016" w:rsidRDefault="00E86016" w:rsidP="00E86016">
            <w:pPr>
              <w:rPr>
                <w:color w:val="000000"/>
                <w:lang w:eastAsia="en-AU"/>
              </w:rPr>
            </w:pPr>
            <w:r>
              <w:rPr>
                <w:color w:val="000000"/>
                <w:lang w:eastAsia="en-AU"/>
              </w:rPr>
              <w:t>Strategy</w:t>
            </w:r>
          </w:p>
        </w:tc>
      </w:tr>
      <w:tr w:rsidR="00E86016" w:rsidRPr="008654B9" w14:paraId="4512F2DE" w14:textId="77777777" w:rsidTr="00522D74">
        <w:trPr>
          <w:trHeight w:val="698"/>
        </w:trPr>
        <w:tc>
          <w:tcPr>
            <w:tcW w:w="0" w:type="auto"/>
            <w:tcBorders>
              <w:left w:val="single" w:sz="4" w:space="0" w:color="auto"/>
            </w:tcBorders>
            <w:shd w:val="clear" w:color="auto" w:fill="auto"/>
          </w:tcPr>
          <w:p w14:paraId="27F19E3B" w14:textId="77777777" w:rsidR="00E86016" w:rsidRDefault="00E86016" w:rsidP="00E86016">
            <w:pPr>
              <w:rPr>
                <w:b/>
                <w:color w:val="000000"/>
                <w:lang w:eastAsia="en-AU"/>
              </w:rPr>
            </w:pPr>
            <w:r w:rsidRPr="00AF1191">
              <w:rPr>
                <w:b/>
                <w:color w:val="00B050"/>
                <w:lang w:eastAsia="en-AU"/>
              </w:rPr>
              <w:t>NEW</w:t>
            </w:r>
            <w:r>
              <w:rPr>
                <w:b/>
                <w:color w:val="000000"/>
                <w:lang w:eastAsia="en-AU"/>
              </w:rPr>
              <w:t xml:space="preserve"> </w:t>
            </w:r>
            <w:r w:rsidRPr="007C2FB2">
              <w:rPr>
                <w:b/>
                <w:color w:val="000000"/>
                <w:lang w:eastAsia="en-AU"/>
              </w:rPr>
              <w:t>V</w:t>
            </w:r>
            <w:r>
              <w:rPr>
                <w:b/>
                <w:color w:val="000000"/>
                <w:lang w:eastAsia="en-AU"/>
              </w:rPr>
              <w:t>ocational Training and Employment Centres (VTEC)</w:t>
            </w:r>
          </w:p>
          <w:p w14:paraId="7B50189E" w14:textId="77777777" w:rsidR="00E86016" w:rsidRPr="0004784B" w:rsidRDefault="00E86016" w:rsidP="00E86016">
            <w:pPr>
              <w:rPr>
                <w:color w:val="00B050"/>
                <w:lang w:eastAsia="en-AU"/>
              </w:rPr>
            </w:pPr>
            <w:r>
              <w:rPr>
                <w:color w:val="000000"/>
                <w:lang w:eastAsia="en-AU"/>
              </w:rPr>
              <w:t>An evaluation strategy covers the long-term effectiveness of the VTEC program.</w:t>
            </w:r>
          </w:p>
        </w:tc>
        <w:tc>
          <w:tcPr>
            <w:tcW w:w="0" w:type="auto"/>
            <w:shd w:val="clear" w:color="auto" w:fill="auto"/>
          </w:tcPr>
          <w:p w14:paraId="4ACD67C6" w14:textId="77777777" w:rsidR="00E86016" w:rsidRPr="00E7703E" w:rsidRDefault="00E86016" w:rsidP="00E86016">
            <w:pPr>
              <w:rPr>
                <w:color w:val="000000"/>
                <w:lang w:eastAsia="en-AU"/>
              </w:rPr>
            </w:pPr>
            <w:r>
              <w:rPr>
                <w:color w:val="000000"/>
                <w:lang w:eastAsia="en-AU"/>
              </w:rPr>
              <w:t>Strategy</w:t>
            </w:r>
          </w:p>
        </w:tc>
      </w:tr>
    </w:tbl>
    <w:p w14:paraId="02FC039F" w14:textId="77777777" w:rsidR="00134255" w:rsidRDefault="00134255" w:rsidP="00F61835">
      <w:bookmarkStart w:id="112" w:name="_Toc518472418"/>
    </w:p>
    <w:p w14:paraId="19239D7E" w14:textId="77777777" w:rsidR="00134255" w:rsidRDefault="00134255">
      <w:pPr>
        <w:spacing w:after="200"/>
      </w:pPr>
      <w:r>
        <w:br w:type="page"/>
      </w:r>
    </w:p>
    <w:p w14:paraId="1579D5D6" w14:textId="77777777" w:rsidR="007F7D47" w:rsidRDefault="007F7D47" w:rsidP="00E65C29">
      <w:pPr>
        <w:spacing w:before="4000"/>
        <w:jc w:val="center"/>
        <w:rPr>
          <w:b/>
          <w:color w:val="000000"/>
          <w:sz w:val="24"/>
          <w:szCs w:val="24"/>
          <w:lang w:eastAsia="en-AU"/>
        </w:rPr>
      </w:pPr>
    </w:p>
    <w:p w14:paraId="7E0D3799" w14:textId="77777777" w:rsidR="007F7D47" w:rsidRPr="007F7D47" w:rsidRDefault="007F7D47" w:rsidP="00E65C29">
      <w:pPr>
        <w:spacing w:before="5000"/>
        <w:jc w:val="center"/>
        <w:rPr>
          <w:b/>
          <w:color w:val="000000"/>
          <w:sz w:val="24"/>
          <w:szCs w:val="24"/>
          <w:lang w:eastAsia="en-AU"/>
        </w:rPr>
      </w:pPr>
      <w:r w:rsidRPr="007F7D47">
        <w:rPr>
          <w:b/>
          <w:color w:val="000000"/>
          <w:sz w:val="24"/>
          <w:szCs w:val="24"/>
          <w:lang w:eastAsia="en-AU"/>
        </w:rPr>
        <w:t>This page is blank</w:t>
      </w:r>
    </w:p>
    <w:p w14:paraId="6AD0D3F8" w14:textId="77777777" w:rsidR="001B321C" w:rsidRDefault="001B321C" w:rsidP="001B321C">
      <w:r>
        <w:br w:type="page"/>
      </w:r>
    </w:p>
    <w:p w14:paraId="6860CF0C" w14:textId="77777777" w:rsidR="007F7D47" w:rsidRDefault="007F7D47" w:rsidP="001B321C">
      <w:pPr>
        <w:rPr>
          <w:rFonts w:eastAsiaTheme="majorEastAsia" w:cstheme="majorBidi"/>
          <w:color w:val="28597C"/>
          <w:sz w:val="40"/>
          <w:szCs w:val="28"/>
        </w:rPr>
      </w:pPr>
    </w:p>
    <w:p w14:paraId="64F3E63C" w14:textId="77777777" w:rsidR="00F33C25" w:rsidRPr="00ED161F" w:rsidRDefault="00F33C25" w:rsidP="00F61835">
      <w:pPr>
        <w:pStyle w:val="h2blue"/>
      </w:pPr>
      <w:bookmarkStart w:id="113" w:name="_Toc531862190"/>
      <w:r>
        <w:t>Glossary</w:t>
      </w:r>
      <w:bookmarkEnd w:id="112"/>
      <w:bookmarkEnd w:id="1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w:tblDescription w:val="This is a glossary of terms uses in this document"/>
      </w:tblPr>
      <w:tblGrid>
        <w:gridCol w:w="2122"/>
        <w:gridCol w:w="8073"/>
      </w:tblGrid>
      <w:tr w:rsidR="00F61835" w14:paraId="7787D4F3" w14:textId="77777777" w:rsidTr="00523AC2">
        <w:trPr>
          <w:tblHeader/>
        </w:trPr>
        <w:tc>
          <w:tcPr>
            <w:tcW w:w="2122" w:type="dxa"/>
          </w:tcPr>
          <w:p w14:paraId="7BD474B1" w14:textId="77777777" w:rsidR="00F61835" w:rsidRPr="00F61835" w:rsidRDefault="00F61835">
            <w:pPr>
              <w:spacing w:after="200"/>
              <w:rPr>
                <w:b/>
              </w:rPr>
            </w:pPr>
            <w:r w:rsidRPr="00F61835">
              <w:rPr>
                <w:b/>
              </w:rPr>
              <w:t>Term</w:t>
            </w:r>
          </w:p>
        </w:tc>
        <w:tc>
          <w:tcPr>
            <w:tcW w:w="8073" w:type="dxa"/>
          </w:tcPr>
          <w:p w14:paraId="208DB5E5" w14:textId="77777777" w:rsidR="00F61835" w:rsidRPr="00F61835" w:rsidRDefault="00F61835" w:rsidP="00FB3711">
            <w:pPr>
              <w:spacing w:after="200"/>
              <w:rPr>
                <w:b/>
              </w:rPr>
            </w:pPr>
            <w:r w:rsidRPr="00F61835">
              <w:rPr>
                <w:b/>
              </w:rPr>
              <w:t>Definition</w:t>
            </w:r>
          </w:p>
        </w:tc>
      </w:tr>
      <w:tr w:rsidR="00BC78DF" w14:paraId="4F08590C" w14:textId="77777777" w:rsidTr="00523AC2">
        <w:trPr>
          <w:tblHeader/>
        </w:trPr>
        <w:tc>
          <w:tcPr>
            <w:tcW w:w="2122" w:type="dxa"/>
          </w:tcPr>
          <w:p w14:paraId="31016869" w14:textId="77777777" w:rsidR="00BC78DF" w:rsidRPr="007C6026" w:rsidRDefault="00BC78DF">
            <w:pPr>
              <w:spacing w:after="200"/>
              <w:rPr>
                <w:b/>
              </w:rPr>
            </w:pPr>
            <w:r>
              <w:rPr>
                <w:b/>
              </w:rPr>
              <w:t>2017</w:t>
            </w:r>
            <w:r w:rsidR="0056600C">
              <w:rPr>
                <w:rFonts w:ascii="Arial" w:hAnsi="Arial" w:cs="Arial"/>
                <w:color w:val="434343"/>
                <w:sz w:val="21"/>
                <w:szCs w:val="21"/>
              </w:rPr>
              <w:t>–</w:t>
            </w:r>
            <w:r>
              <w:rPr>
                <w:b/>
              </w:rPr>
              <w:t>18 Annual Evaluation Work Plan</w:t>
            </w:r>
          </w:p>
        </w:tc>
        <w:tc>
          <w:tcPr>
            <w:tcW w:w="8073" w:type="dxa"/>
          </w:tcPr>
          <w:p w14:paraId="1E0F60FC" w14:textId="77777777" w:rsidR="00BC78DF" w:rsidRDefault="00BC78DF" w:rsidP="00FB3711">
            <w:pPr>
              <w:spacing w:after="200"/>
            </w:pPr>
            <w:r>
              <w:t xml:space="preserve">See </w:t>
            </w:r>
            <w:hyperlink r:id="rId23" w:history="1">
              <w:r w:rsidR="00FB3711" w:rsidRPr="00FB3711">
                <w:rPr>
                  <w:rStyle w:val="Hyperlink"/>
                </w:rPr>
                <w:t>2017-18 Annual Evaluation Work Plan</w:t>
              </w:r>
            </w:hyperlink>
          </w:p>
        </w:tc>
      </w:tr>
      <w:tr w:rsidR="00BC78DF" w14:paraId="23A6AC01" w14:textId="77777777" w:rsidTr="00523AC2">
        <w:trPr>
          <w:tblHeader/>
        </w:trPr>
        <w:tc>
          <w:tcPr>
            <w:tcW w:w="2122" w:type="dxa"/>
          </w:tcPr>
          <w:p w14:paraId="0E4CEF5D" w14:textId="77777777" w:rsidR="00BC78DF" w:rsidRDefault="00BC78DF">
            <w:pPr>
              <w:spacing w:after="200"/>
              <w:rPr>
                <w:b/>
              </w:rPr>
            </w:pPr>
            <w:r w:rsidRPr="007C6026">
              <w:rPr>
                <w:b/>
              </w:rPr>
              <w:t>Capability</w:t>
            </w:r>
            <w:r>
              <w:rPr>
                <w:b/>
              </w:rPr>
              <w:t xml:space="preserve"> development</w:t>
            </w:r>
          </w:p>
        </w:tc>
        <w:tc>
          <w:tcPr>
            <w:tcW w:w="8073" w:type="dxa"/>
          </w:tcPr>
          <w:p w14:paraId="388779A2" w14:textId="77777777" w:rsidR="00686464" w:rsidRDefault="00686464" w:rsidP="00686464">
            <w:pPr>
              <w:spacing w:after="0"/>
              <w:rPr>
                <w:szCs w:val="18"/>
              </w:rPr>
            </w:pPr>
            <w:r w:rsidRPr="00686464">
              <w:rPr>
                <w:szCs w:val="18"/>
              </w:rPr>
              <w:t>A proj</w:t>
            </w:r>
            <w:r>
              <w:rPr>
                <w:szCs w:val="18"/>
              </w:rPr>
              <w:t>ect that encompasses one or more of the following:</w:t>
            </w:r>
            <w:r w:rsidRPr="00686464">
              <w:rPr>
                <w:szCs w:val="18"/>
              </w:rPr>
              <w:t xml:space="preserve"> </w:t>
            </w:r>
          </w:p>
          <w:p w14:paraId="40521431" w14:textId="77777777" w:rsidR="00686464" w:rsidRPr="00686464" w:rsidRDefault="00686464" w:rsidP="00686464">
            <w:pPr>
              <w:pStyle w:val="ListParagraph"/>
              <w:numPr>
                <w:ilvl w:val="0"/>
                <w:numId w:val="20"/>
              </w:numPr>
              <w:spacing w:after="200"/>
              <w:rPr>
                <w:szCs w:val="18"/>
              </w:rPr>
            </w:pPr>
            <w:r w:rsidRPr="00686464">
              <w:rPr>
                <w:szCs w:val="18"/>
              </w:rPr>
              <w:t xml:space="preserve">encourages the development of understanding and capability in evaluation skills, </w:t>
            </w:r>
          </w:p>
          <w:p w14:paraId="27DD7B90" w14:textId="77777777" w:rsidR="00686464" w:rsidRPr="00686464" w:rsidRDefault="00686464" w:rsidP="00686464">
            <w:pPr>
              <w:pStyle w:val="ListParagraph"/>
              <w:numPr>
                <w:ilvl w:val="0"/>
                <w:numId w:val="20"/>
              </w:numPr>
              <w:spacing w:after="200"/>
              <w:rPr>
                <w:szCs w:val="18"/>
              </w:rPr>
            </w:pPr>
            <w:r w:rsidRPr="00686464">
              <w:rPr>
                <w:szCs w:val="18"/>
              </w:rPr>
              <w:t xml:space="preserve">fosters a culture of evidence based thinking that supports the integration of evidence into better policy and program design, </w:t>
            </w:r>
            <w:r>
              <w:rPr>
                <w:szCs w:val="18"/>
              </w:rPr>
              <w:t>and</w:t>
            </w:r>
          </w:p>
          <w:p w14:paraId="76D9FC08" w14:textId="77777777" w:rsidR="00BC78DF" w:rsidRPr="00055A18" w:rsidRDefault="00686464" w:rsidP="00686464">
            <w:pPr>
              <w:pStyle w:val="ListParagraph"/>
              <w:numPr>
                <w:ilvl w:val="0"/>
                <w:numId w:val="20"/>
              </w:numPr>
              <w:spacing w:after="200"/>
            </w:pPr>
            <w:proofErr w:type="gramStart"/>
            <w:r w:rsidRPr="00686464">
              <w:rPr>
                <w:szCs w:val="18"/>
              </w:rPr>
              <w:t>strengthens</w:t>
            </w:r>
            <w:proofErr w:type="gramEnd"/>
            <w:r w:rsidRPr="00686464">
              <w:rPr>
                <w:szCs w:val="18"/>
              </w:rPr>
              <w:t xml:space="preserve"> continuous learning</w:t>
            </w:r>
            <w:r w:rsidR="006C03D3">
              <w:t xml:space="preserve">. </w:t>
            </w:r>
          </w:p>
        </w:tc>
      </w:tr>
      <w:tr w:rsidR="00BC78DF" w14:paraId="58CCF371" w14:textId="77777777" w:rsidTr="00523AC2">
        <w:trPr>
          <w:trHeight w:val="1190"/>
          <w:tblHeader/>
        </w:trPr>
        <w:tc>
          <w:tcPr>
            <w:tcW w:w="2122" w:type="dxa"/>
          </w:tcPr>
          <w:p w14:paraId="4C2167D2" w14:textId="77777777" w:rsidR="00BC78DF" w:rsidRPr="005A0841" w:rsidRDefault="00BC78DF">
            <w:pPr>
              <w:spacing w:after="200"/>
              <w:rPr>
                <w:b/>
              </w:rPr>
            </w:pPr>
            <w:r>
              <w:rPr>
                <w:b/>
                <w:bCs/>
                <w:szCs w:val="18"/>
              </w:rPr>
              <w:t>Cross-cutting evaluation</w:t>
            </w:r>
            <w:r w:rsidR="002D2546">
              <w:rPr>
                <w:b/>
                <w:bCs/>
                <w:szCs w:val="18"/>
              </w:rPr>
              <w:t>s</w:t>
            </w:r>
          </w:p>
        </w:tc>
        <w:tc>
          <w:tcPr>
            <w:tcW w:w="8073" w:type="dxa"/>
          </w:tcPr>
          <w:p w14:paraId="3898CBBD" w14:textId="77777777" w:rsidR="00BC78DF" w:rsidRPr="005A0841" w:rsidRDefault="002D2546">
            <w:pPr>
              <w:spacing w:after="200"/>
            </w:pPr>
            <w:r>
              <w:rPr>
                <w:szCs w:val="18"/>
              </w:rPr>
              <w:t>S</w:t>
            </w:r>
            <w:r w:rsidR="00BC78DF">
              <w:rPr>
                <w:szCs w:val="18"/>
              </w:rPr>
              <w:t xml:space="preserve">trategic evaluation projects </w:t>
            </w:r>
            <w:r>
              <w:rPr>
                <w:szCs w:val="18"/>
              </w:rPr>
              <w:t>that have a high</w:t>
            </w:r>
            <w:r w:rsidR="00BC78DF">
              <w:rPr>
                <w:szCs w:val="18"/>
              </w:rPr>
              <w:t xml:space="preserve"> significance, contribution and </w:t>
            </w:r>
            <w:r w:rsidR="0056600C">
              <w:rPr>
                <w:szCs w:val="18"/>
              </w:rPr>
              <w:t>‘</w:t>
            </w:r>
            <w:r w:rsidR="00BC78DF">
              <w:rPr>
                <w:szCs w:val="18"/>
              </w:rPr>
              <w:t>policy risk</w:t>
            </w:r>
            <w:r w:rsidR="0056600C">
              <w:rPr>
                <w:szCs w:val="18"/>
              </w:rPr>
              <w:t>’</w:t>
            </w:r>
            <w:r w:rsidR="00BC78DF">
              <w:rPr>
                <w:szCs w:val="18"/>
              </w:rPr>
              <w:t xml:space="preserve"> level and can involve m</w:t>
            </w:r>
            <w:r>
              <w:rPr>
                <w:szCs w:val="18"/>
              </w:rPr>
              <w:t xml:space="preserve">ultiple departments, governments </w:t>
            </w:r>
            <w:r w:rsidR="00BC78DF">
              <w:rPr>
                <w:szCs w:val="18"/>
              </w:rPr>
              <w:t xml:space="preserve">and delivery partners. Many of these evaluations are undertaken by the IAG’s </w:t>
            </w:r>
            <w:r w:rsidR="001C2123">
              <w:rPr>
                <w:szCs w:val="18"/>
              </w:rPr>
              <w:t xml:space="preserve">Policy Analysis </w:t>
            </w:r>
            <w:r w:rsidR="00BC78DF">
              <w:rPr>
                <w:szCs w:val="18"/>
              </w:rPr>
              <w:t xml:space="preserve">and Evaluation Branch in partnership with the relevant policy areas. </w:t>
            </w:r>
          </w:p>
        </w:tc>
      </w:tr>
      <w:tr w:rsidR="00BC78DF" w14:paraId="22430A98" w14:textId="77777777" w:rsidTr="00523AC2">
        <w:trPr>
          <w:tblHeader/>
        </w:trPr>
        <w:tc>
          <w:tcPr>
            <w:tcW w:w="2122" w:type="dxa"/>
          </w:tcPr>
          <w:p w14:paraId="49A41177" w14:textId="77777777" w:rsidR="00BC78DF" w:rsidRPr="002C6113" w:rsidRDefault="00BC78DF">
            <w:pPr>
              <w:spacing w:after="200"/>
              <w:rPr>
                <w:b/>
              </w:rPr>
            </w:pPr>
            <w:r w:rsidRPr="002C6113">
              <w:rPr>
                <w:b/>
              </w:rPr>
              <w:t>Data improvement</w:t>
            </w:r>
          </w:p>
        </w:tc>
        <w:tc>
          <w:tcPr>
            <w:tcW w:w="8073" w:type="dxa"/>
          </w:tcPr>
          <w:p w14:paraId="363ECCC9" w14:textId="77777777" w:rsidR="00BC78DF" w:rsidRPr="002C6113" w:rsidRDefault="001E3D7A" w:rsidP="001E3D7A">
            <w:pPr>
              <w:spacing w:after="200"/>
            </w:pPr>
            <w:r>
              <w:rPr>
                <w:color w:val="000000"/>
                <w:szCs w:val="20"/>
              </w:rPr>
              <w:t>D</w:t>
            </w:r>
            <w:r w:rsidR="00BC78DF" w:rsidRPr="002C6113">
              <w:rPr>
                <w:color w:val="000000"/>
                <w:szCs w:val="20"/>
              </w:rPr>
              <w:t xml:space="preserve">ata improvement projects that </w:t>
            </w:r>
            <w:r>
              <w:rPr>
                <w:color w:val="000000"/>
                <w:szCs w:val="20"/>
              </w:rPr>
              <w:t>aim to</w:t>
            </w:r>
            <w:r w:rsidR="00BC78DF" w:rsidRPr="002C6113">
              <w:rPr>
                <w:color w:val="000000"/>
                <w:szCs w:val="20"/>
              </w:rPr>
              <w:t xml:space="preserve"> build the availability of data that can inform evaluations.</w:t>
            </w:r>
          </w:p>
        </w:tc>
      </w:tr>
      <w:tr w:rsidR="00BC78DF" w14:paraId="2745981F" w14:textId="77777777" w:rsidTr="00523AC2">
        <w:trPr>
          <w:tblHeader/>
        </w:trPr>
        <w:tc>
          <w:tcPr>
            <w:tcW w:w="2122" w:type="dxa"/>
          </w:tcPr>
          <w:p w14:paraId="00FA3F51" w14:textId="77777777" w:rsidR="00BC78DF" w:rsidRPr="005A0841" w:rsidRDefault="00BC78DF">
            <w:pPr>
              <w:spacing w:after="200"/>
              <w:rPr>
                <w:b/>
              </w:rPr>
            </w:pPr>
            <w:r w:rsidRPr="001A274E">
              <w:rPr>
                <w:b/>
              </w:rPr>
              <w:t>Evaluation strategy</w:t>
            </w:r>
          </w:p>
        </w:tc>
        <w:tc>
          <w:tcPr>
            <w:tcW w:w="8073" w:type="dxa"/>
          </w:tcPr>
          <w:p w14:paraId="1B5BAE97" w14:textId="77777777" w:rsidR="00BC78DF" w:rsidRPr="00055A18" w:rsidRDefault="00BC78DF" w:rsidP="002A58D5">
            <w:pPr>
              <w:spacing w:after="200"/>
            </w:pPr>
            <w:r w:rsidRPr="001A274E">
              <w:rPr>
                <w:lang w:val="en-US"/>
              </w:rPr>
              <w:t>An evaluation strategy sets out the proposed details and approach of an evaluation</w:t>
            </w:r>
            <w:r w:rsidR="002A58D5">
              <w:rPr>
                <w:lang w:val="en-US"/>
              </w:rPr>
              <w:t>,</w:t>
            </w:r>
            <w:r w:rsidRPr="001A274E">
              <w:rPr>
                <w:lang w:val="en-US"/>
              </w:rPr>
              <w:t xml:space="preserve"> what will be evaluated, how</w:t>
            </w:r>
            <w:r w:rsidR="0056600C">
              <w:rPr>
                <w:lang w:val="en-US"/>
              </w:rPr>
              <w:t>,</w:t>
            </w:r>
            <w:r w:rsidRPr="001A274E">
              <w:rPr>
                <w:lang w:val="en-US"/>
              </w:rPr>
              <w:t xml:space="preserve"> and when. An </w:t>
            </w:r>
            <w:r>
              <w:rPr>
                <w:lang w:val="en-US"/>
              </w:rPr>
              <w:t>e</w:t>
            </w:r>
            <w:r w:rsidRPr="001A274E">
              <w:rPr>
                <w:lang w:val="en-US"/>
              </w:rPr>
              <w:t>valuation strategy informs future evaluation projects as well as monitoring and data collection activities.</w:t>
            </w:r>
          </w:p>
        </w:tc>
      </w:tr>
      <w:tr w:rsidR="00BC78DF" w14:paraId="15BF541D" w14:textId="77777777" w:rsidTr="00523AC2">
        <w:trPr>
          <w:tblHeader/>
        </w:trPr>
        <w:tc>
          <w:tcPr>
            <w:tcW w:w="2122" w:type="dxa"/>
          </w:tcPr>
          <w:p w14:paraId="33E9A442" w14:textId="77777777" w:rsidR="00BC78DF" w:rsidRDefault="00BC78DF">
            <w:pPr>
              <w:spacing w:after="200"/>
              <w:rPr>
                <w:b/>
              </w:rPr>
            </w:pPr>
            <w:r w:rsidRPr="005A0841">
              <w:rPr>
                <w:b/>
              </w:rPr>
              <w:t>Impact evaluation</w:t>
            </w:r>
          </w:p>
        </w:tc>
        <w:tc>
          <w:tcPr>
            <w:tcW w:w="8073" w:type="dxa"/>
          </w:tcPr>
          <w:p w14:paraId="254F42A5" w14:textId="77777777" w:rsidR="00BC78DF" w:rsidRDefault="00B37AD5">
            <w:pPr>
              <w:spacing w:after="200"/>
            </w:pPr>
            <w:r>
              <w:t>An</w:t>
            </w:r>
            <w:r w:rsidR="00BC78DF" w:rsidRPr="00055A18">
              <w:t xml:space="preserve"> evaluation that </w:t>
            </w:r>
            <w:r w:rsidR="00BC78DF">
              <w:t xml:space="preserve">assesses </w:t>
            </w:r>
            <w:r w:rsidR="00BC78DF" w:rsidRPr="00B63C8B">
              <w:rPr>
                <w:lang w:val="en-US"/>
              </w:rPr>
              <w:t>whether an intervention makes a difference</w:t>
            </w:r>
            <w:r>
              <w:rPr>
                <w:lang w:val="en-US"/>
              </w:rPr>
              <w:t>, its impact</w:t>
            </w:r>
            <w:r w:rsidR="00BC78DF" w:rsidRPr="00B63C8B">
              <w:rPr>
                <w:lang w:val="en-US"/>
              </w:rPr>
              <w:t>. The</w:t>
            </w:r>
            <w:r w:rsidR="002A58D5">
              <w:rPr>
                <w:lang w:val="en-US"/>
              </w:rPr>
              <w:t> </w:t>
            </w:r>
            <w:r w:rsidR="00BC78DF" w:rsidRPr="00B63C8B">
              <w:rPr>
                <w:lang w:val="en-US"/>
              </w:rPr>
              <w:t>key feature is the study of the net effect, or difference, which can be attributed</w:t>
            </w:r>
            <w:r w:rsidR="00BC78DF" w:rsidRPr="005A0841">
              <w:t xml:space="preserve"> to the intervention. </w:t>
            </w:r>
          </w:p>
          <w:p w14:paraId="6CBC7AC9" w14:textId="77777777" w:rsidR="00BC78DF" w:rsidRDefault="00BC78DF">
            <w:pPr>
              <w:spacing w:after="200"/>
              <w:rPr>
                <w:b/>
              </w:rPr>
            </w:pPr>
            <w:r w:rsidRPr="005A0841">
              <w:t>See</w:t>
            </w:r>
            <w:r w:rsidR="00FB3711">
              <w:t xml:space="preserve"> </w:t>
            </w:r>
            <w:hyperlink r:id="rId24" w:history="1">
              <w:proofErr w:type="spellStart"/>
              <w:r w:rsidR="000E3250">
                <w:rPr>
                  <w:rStyle w:val="Hyperlink"/>
                </w:rPr>
                <w:t>Better</w:t>
              </w:r>
              <w:r w:rsidR="00FB3711" w:rsidRPr="00FB3711">
                <w:rPr>
                  <w:rStyle w:val="Hyperlink"/>
                </w:rPr>
                <w:t>Evaluation</w:t>
              </w:r>
              <w:proofErr w:type="spellEnd"/>
            </w:hyperlink>
            <w:r>
              <w:rPr>
                <w:rFonts w:ascii="Calibri Light" w:hAnsi="Calibri Light" w:cs="Calibri Light"/>
                <w:spacing w:val="5"/>
                <w:sz w:val="24"/>
                <w:szCs w:val="24"/>
                <w:bdr w:val="none" w:sz="0" w:space="0" w:color="auto" w:frame="1"/>
                <w:lang w:val="en"/>
              </w:rPr>
              <w:t xml:space="preserve"> </w:t>
            </w:r>
            <w:r w:rsidR="000E3250" w:rsidRPr="000E3250">
              <w:t>website</w:t>
            </w:r>
            <w:r w:rsidR="000E3250">
              <w:rPr>
                <w:rFonts w:ascii="Calibri Light" w:hAnsi="Calibri Light" w:cs="Calibri Light"/>
                <w:spacing w:val="5"/>
                <w:sz w:val="24"/>
                <w:szCs w:val="24"/>
                <w:bdr w:val="none" w:sz="0" w:space="0" w:color="auto" w:frame="1"/>
                <w:lang w:val="en"/>
              </w:rPr>
              <w:t xml:space="preserve"> </w:t>
            </w:r>
            <w:r w:rsidRPr="005A0841">
              <w:t>for examples of impact evaluation methodologies</w:t>
            </w:r>
            <w:r>
              <w:t>.</w:t>
            </w:r>
          </w:p>
        </w:tc>
      </w:tr>
      <w:tr w:rsidR="00BC78DF" w14:paraId="3573E1C7" w14:textId="77777777" w:rsidTr="00523AC2">
        <w:trPr>
          <w:tblHeader/>
        </w:trPr>
        <w:tc>
          <w:tcPr>
            <w:tcW w:w="2122" w:type="dxa"/>
          </w:tcPr>
          <w:p w14:paraId="680AABBB" w14:textId="77777777" w:rsidR="00BC78DF" w:rsidRPr="005A0841" w:rsidRDefault="00BC78DF">
            <w:pPr>
              <w:spacing w:after="200"/>
              <w:rPr>
                <w:b/>
              </w:rPr>
            </w:pPr>
            <w:r w:rsidRPr="005A0841">
              <w:rPr>
                <w:b/>
              </w:rPr>
              <w:t>Implementation evaluation</w:t>
            </w:r>
          </w:p>
        </w:tc>
        <w:tc>
          <w:tcPr>
            <w:tcW w:w="8073" w:type="dxa"/>
          </w:tcPr>
          <w:p w14:paraId="7C6B24E8" w14:textId="77777777" w:rsidR="00BC78DF" w:rsidRPr="00895F70" w:rsidRDefault="00895F70">
            <w:pPr>
              <w:spacing w:after="200"/>
              <w:rPr>
                <w:lang w:val="en-US"/>
              </w:rPr>
            </w:pPr>
            <w:r>
              <w:rPr>
                <w:lang w:val="en-US"/>
              </w:rPr>
              <w:t>An</w:t>
            </w:r>
            <w:r w:rsidR="00BC78DF" w:rsidRPr="00736E80">
              <w:rPr>
                <w:lang w:val="en-US"/>
              </w:rPr>
              <w:t xml:space="preserve"> evaluation</w:t>
            </w:r>
            <w:r>
              <w:rPr>
                <w:lang w:val="en-US"/>
              </w:rPr>
              <w:t xml:space="preserve"> that </w:t>
            </w:r>
            <w:r>
              <w:t>measures</w:t>
            </w:r>
            <w:r w:rsidR="00BC78DF" w:rsidRPr="00055A18">
              <w:t xml:space="preserve"> the </w:t>
            </w:r>
            <w:r w:rsidR="00BC78DF" w:rsidRPr="00895F70">
              <w:rPr>
                <w:bCs/>
                <w:i/>
                <w:iCs/>
              </w:rPr>
              <w:t>outputs of implementing</w:t>
            </w:r>
            <w:r w:rsidR="00BC78DF" w:rsidRPr="00055A18">
              <w:t xml:space="preserve"> the policy, and seeks to understand if the implementation accurately reflects the policy intent</w:t>
            </w:r>
            <w:r>
              <w:t>,</w:t>
            </w:r>
            <w:r w:rsidR="00BC78DF" w:rsidRPr="00055A18">
              <w:t xml:space="preserve"> and how the implementation delivered the intent.</w:t>
            </w:r>
          </w:p>
        </w:tc>
      </w:tr>
      <w:tr w:rsidR="00BC78DF" w14:paraId="06B691E5" w14:textId="77777777" w:rsidTr="00523AC2">
        <w:trPr>
          <w:tblHeader/>
        </w:trPr>
        <w:tc>
          <w:tcPr>
            <w:tcW w:w="2122" w:type="dxa"/>
          </w:tcPr>
          <w:p w14:paraId="39A94EC2" w14:textId="77777777" w:rsidR="00BC78DF" w:rsidRPr="005A0841" w:rsidRDefault="00BC78DF">
            <w:pPr>
              <w:spacing w:after="200"/>
              <w:rPr>
                <w:b/>
              </w:rPr>
            </w:pPr>
            <w:r>
              <w:rPr>
                <w:b/>
              </w:rPr>
              <w:t>Indigenous Advancement Strategy Evaluation Framework</w:t>
            </w:r>
          </w:p>
        </w:tc>
        <w:tc>
          <w:tcPr>
            <w:tcW w:w="8073" w:type="dxa"/>
          </w:tcPr>
          <w:p w14:paraId="2F3F3C8C" w14:textId="77777777" w:rsidR="00BC78DF" w:rsidRDefault="00B94CCF">
            <w:pPr>
              <w:spacing w:after="200"/>
            </w:pPr>
            <w:r>
              <w:t>The</w:t>
            </w:r>
            <w:r w:rsidR="00BC78DF" w:rsidRPr="009363E3">
              <w:t xml:space="preserve"> guide for evaluation of programs and activities</w:t>
            </w:r>
            <w:r w:rsidR="00463B7B">
              <w:t xml:space="preserve"> within </w:t>
            </w:r>
            <w:r w:rsidR="00B36CA0">
              <w:t xml:space="preserve">the </w:t>
            </w:r>
            <w:r w:rsidR="0056600C">
              <w:t>IAG</w:t>
            </w:r>
            <w:r w:rsidR="00BC78DF" w:rsidRPr="009363E3">
              <w:t>, delivered by the Department of the Prime Minister and Cabinet</w:t>
            </w:r>
            <w:r w:rsidR="00BC78DF">
              <w:t>.</w:t>
            </w:r>
          </w:p>
          <w:p w14:paraId="2802990F" w14:textId="77777777" w:rsidR="00BC78DF" w:rsidRPr="00736E80" w:rsidRDefault="00BC78DF" w:rsidP="00FB3711">
            <w:pPr>
              <w:spacing w:after="200"/>
            </w:pPr>
            <w:r>
              <w:t>See</w:t>
            </w:r>
            <w:r w:rsidR="00FB3711">
              <w:t xml:space="preserve"> </w:t>
            </w:r>
            <w:hyperlink r:id="rId25" w:history="1">
              <w:r w:rsidR="00FB3711" w:rsidRPr="00FB3711">
                <w:rPr>
                  <w:rStyle w:val="Hyperlink"/>
                </w:rPr>
                <w:t>Indigenous Advancement Strategy Evaluation Framework</w:t>
              </w:r>
            </w:hyperlink>
          </w:p>
        </w:tc>
      </w:tr>
      <w:tr w:rsidR="00BC78DF" w14:paraId="6CEBB632" w14:textId="77777777" w:rsidTr="00523AC2">
        <w:trPr>
          <w:tblHeader/>
        </w:trPr>
        <w:tc>
          <w:tcPr>
            <w:tcW w:w="2122" w:type="dxa"/>
          </w:tcPr>
          <w:p w14:paraId="2507AF92" w14:textId="77777777" w:rsidR="00BC78DF" w:rsidRDefault="00BC78DF">
            <w:pPr>
              <w:spacing w:after="200"/>
              <w:rPr>
                <w:b/>
              </w:rPr>
            </w:pPr>
            <w:r>
              <w:rPr>
                <w:b/>
              </w:rPr>
              <w:t>Review</w:t>
            </w:r>
          </w:p>
        </w:tc>
        <w:tc>
          <w:tcPr>
            <w:tcW w:w="8073" w:type="dxa"/>
          </w:tcPr>
          <w:p w14:paraId="32E7426A" w14:textId="77777777" w:rsidR="00BC78DF" w:rsidRDefault="0009104B" w:rsidP="00FB3711">
            <w:pPr>
              <w:spacing w:after="200"/>
              <w:rPr>
                <w:b/>
              </w:rPr>
            </w:pPr>
            <w:r>
              <w:t>These projects provide</w:t>
            </w:r>
            <w:r w:rsidR="00BC78DF">
              <w:t xml:space="preserve"> d</w:t>
            </w:r>
            <w:r w:rsidR="00BC78DF" w:rsidRPr="00BF683A">
              <w:t>escriptive account</w:t>
            </w:r>
            <w:r>
              <w:t>s</w:t>
            </w:r>
            <w:r w:rsidR="00BC78DF" w:rsidRPr="00BF683A">
              <w:t xml:space="preserve"> of performance, emphasising operations and outputs.</w:t>
            </w:r>
          </w:p>
        </w:tc>
      </w:tr>
    </w:tbl>
    <w:p w14:paraId="29B98644" w14:textId="77777777" w:rsidR="00333F2A" w:rsidRDefault="002B046C" w:rsidP="00333F2A">
      <w:pPr>
        <w:spacing w:after="200"/>
        <w:rPr>
          <w:rFonts w:eastAsiaTheme="majorEastAsia" w:cstheme="majorBidi"/>
          <w:b/>
          <w:bCs/>
          <w:caps/>
          <w:color w:val="28597C"/>
          <w:sz w:val="40"/>
          <w:szCs w:val="28"/>
        </w:rPr>
      </w:pPr>
      <w:r>
        <w:rPr>
          <w:rFonts w:eastAsiaTheme="majorEastAsia" w:cstheme="majorBidi"/>
          <w:b/>
          <w:bCs/>
          <w:caps/>
          <w:color w:val="28597C"/>
          <w:sz w:val="40"/>
          <w:szCs w:val="28"/>
        </w:rPr>
        <w:br w:type="page"/>
      </w:r>
    </w:p>
    <w:p w14:paraId="4D6099F9" w14:textId="77777777" w:rsidR="009E5681" w:rsidRDefault="00270400" w:rsidP="009E5681">
      <w:pPr>
        <w:spacing w:after="200"/>
      </w:pPr>
      <w:r>
        <w:rPr>
          <w:noProof/>
          <w:lang w:eastAsia="en-AU"/>
        </w:rPr>
        <w:lastRenderedPageBreak/>
        <w:drawing>
          <wp:anchor distT="0" distB="0" distL="114300" distR="114300" simplePos="0" relativeHeight="251658241" behindDoc="1" locked="0" layoutInCell="1" allowOverlap="1" wp14:anchorId="4F058290" wp14:editId="084A903A">
            <wp:simplePos x="0" y="0"/>
            <wp:positionH relativeFrom="page">
              <wp:posOffset>45085</wp:posOffset>
            </wp:positionH>
            <wp:positionV relativeFrom="page">
              <wp:align>top</wp:align>
            </wp:positionV>
            <wp:extent cx="7556400" cy="10692000"/>
            <wp:effectExtent l="0" t="0" r="6985" b="0"/>
            <wp:wrapNone/>
            <wp:docPr id="5" name="Picture 5" descr="This is the final page of the document" title="Fina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pagebackgroun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sectPr w:rsidR="009E5681" w:rsidSect="00152F3E">
      <w:headerReference w:type="first" r:id="rId27"/>
      <w:footerReference w:type="first" r:id="rId28"/>
      <w:pgSz w:w="11907" w:h="16839" w:code="9"/>
      <w:pgMar w:top="2977" w:right="851" w:bottom="567"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207B2" w14:textId="77777777" w:rsidR="0000553E" w:rsidRDefault="0000553E" w:rsidP="00727214">
      <w:pPr>
        <w:spacing w:after="0" w:line="240" w:lineRule="auto"/>
      </w:pPr>
      <w:r>
        <w:separator/>
      </w:r>
    </w:p>
  </w:endnote>
  <w:endnote w:type="continuationSeparator" w:id="0">
    <w:p w14:paraId="556E1553" w14:textId="77777777" w:rsidR="0000553E" w:rsidRDefault="0000553E" w:rsidP="00727214">
      <w:pPr>
        <w:spacing w:after="0" w:line="240" w:lineRule="auto"/>
      </w:pPr>
      <w:r>
        <w:continuationSeparator/>
      </w:r>
    </w:p>
  </w:endnote>
  <w:endnote w:type="continuationNotice" w:id="1">
    <w:p w14:paraId="20875577" w14:textId="77777777" w:rsidR="0000553E" w:rsidRDefault="00005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enturyGothic">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08879"/>
      <w:docPartObj>
        <w:docPartGallery w:val="Page Numbers (Bottom of Page)"/>
        <w:docPartUnique/>
      </w:docPartObj>
    </w:sdtPr>
    <w:sdtEndPr>
      <w:rPr>
        <w:noProof/>
      </w:rPr>
    </w:sdtEndPr>
    <w:sdtContent>
      <w:p w14:paraId="17199B59" w14:textId="65BB530B" w:rsidR="005D2A46" w:rsidRDefault="005D2A46">
        <w:pPr>
          <w:pStyle w:val="Footer"/>
          <w:jc w:val="center"/>
        </w:pPr>
        <w:r>
          <w:fldChar w:fldCharType="begin"/>
        </w:r>
        <w:r>
          <w:instrText xml:space="preserve"> PAGE   \* MERGEFORMAT </w:instrText>
        </w:r>
        <w:r>
          <w:fldChar w:fldCharType="separate"/>
        </w:r>
        <w:r w:rsidR="00E53C69">
          <w:rPr>
            <w:noProof/>
          </w:rPr>
          <w:t>18</w:t>
        </w:r>
        <w:r>
          <w:rPr>
            <w:noProof/>
          </w:rPr>
          <w:fldChar w:fldCharType="end"/>
        </w:r>
      </w:p>
    </w:sdtContent>
  </w:sdt>
  <w:p w14:paraId="4C695B34" w14:textId="77777777" w:rsidR="005D2A46" w:rsidRDefault="005D2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532808"/>
      <w:docPartObj>
        <w:docPartGallery w:val="Page Numbers (Bottom of Page)"/>
        <w:docPartUnique/>
      </w:docPartObj>
    </w:sdtPr>
    <w:sdtEndPr>
      <w:rPr>
        <w:noProof/>
      </w:rPr>
    </w:sdtEndPr>
    <w:sdtContent>
      <w:p w14:paraId="315A56E7" w14:textId="26E7E062" w:rsidR="005D2A46" w:rsidRDefault="005D2A46" w:rsidP="00333F2A">
        <w:pPr>
          <w:pStyle w:val="Footer"/>
          <w:jc w:val="center"/>
        </w:pPr>
        <w:r>
          <w:fldChar w:fldCharType="begin"/>
        </w:r>
        <w:r>
          <w:instrText xml:space="preserve"> PAGE   \* MERGEFORMAT </w:instrText>
        </w:r>
        <w:r>
          <w:fldChar w:fldCharType="separate"/>
        </w:r>
        <w:r w:rsidR="00E53C69">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0BE9D" w14:textId="77777777" w:rsidR="005D2A46" w:rsidRDefault="005D2A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42805"/>
      <w:docPartObj>
        <w:docPartGallery w:val="Page Numbers (Bottom of Page)"/>
        <w:docPartUnique/>
      </w:docPartObj>
    </w:sdtPr>
    <w:sdtEndPr>
      <w:rPr>
        <w:noProof/>
      </w:rPr>
    </w:sdtEndPr>
    <w:sdtContent>
      <w:p w14:paraId="5CD8DE54" w14:textId="007BA66E" w:rsidR="005D2A46" w:rsidRDefault="005D2A46">
        <w:pPr>
          <w:pStyle w:val="Footer"/>
          <w:jc w:val="center"/>
        </w:pPr>
        <w:r>
          <w:fldChar w:fldCharType="begin"/>
        </w:r>
        <w:r>
          <w:instrText xml:space="preserve"> PAGE   \* MERGEFORMAT </w:instrText>
        </w:r>
        <w:r>
          <w:fldChar w:fldCharType="separate"/>
        </w:r>
        <w:r w:rsidR="00E53C69">
          <w:rPr>
            <w:noProof/>
          </w:rPr>
          <w:t>1</w:t>
        </w:r>
        <w:r>
          <w:rPr>
            <w:noProof/>
          </w:rPr>
          <w:fldChar w:fldCharType="end"/>
        </w:r>
      </w:p>
    </w:sdtContent>
  </w:sdt>
  <w:p w14:paraId="06D616A8" w14:textId="77777777" w:rsidR="005D2A46" w:rsidRDefault="005D2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F236" w14:textId="77777777" w:rsidR="0000553E" w:rsidRDefault="0000553E" w:rsidP="00727214">
      <w:pPr>
        <w:spacing w:after="0" w:line="240" w:lineRule="auto"/>
      </w:pPr>
      <w:r>
        <w:separator/>
      </w:r>
    </w:p>
  </w:footnote>
  <w:footnote w:type="continuationSeparator" w:id="0">
    <w:p w14:paraId="706BF0E2" w14:textId="77777777" w:rsidR="0000553E" w:rsidRDefault="0000553E" w:rsidP="00727214">
      <w:pPr>
        <w:spacing w:after="0" w:line="240" w:lineRule="auto"/>
      </w:pPr>
      <w:r>
        <w:continuationSeparator/>
      </w:r>
    </w:p>
  </w:footnote>
  <w:footnote w:type="continuationNotice" w:id="1">
    <w:p w14:paraId="586C86F3" w14:textId="77777777" w:rsidR="0000553E" w:rsidRDefault="00005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C87E" w14:textId="77777777" w:rsidR="005D2A46" w:rsidRDefault="005D2A46">
    <w:pPr>
      <w:pStyle w:val="Header"/>
    </w:pPr>
    <w:r>
      <w:rPr>
        <w:noProof/>
        <w:lang w:eastAsia="en-AU"/>
      </w:rPr>
      <w:drawing>
        <wp:anchor distT="0" distB="0" distL="114300" distR="114300" simplePos="0" relativeHeight="251659271" behindDoc="1" locked="0" layoutInCell="1" allowOverlap="1" wp14:anchorId="12AEE45F" wp14:editId="704D7443">
          <wp:simplePos x="0" y="0"/>
          <wp:positionH relativeFrom="page">
            <wp:posOffset>-95250</wp:posOffset>
          </wp:positionH>
          <wp:positionV relativeFrom="page">
            <wp:posOffset>-142875</wp:posOffset>
          </wp:positionV>
          <wp:extent cx="7555865" cy="1069149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CC17" w14:textId="77777777" w:rsidR="005D2A46" w:rsidRDefault="005D2A46">
    <w:pPr>
      <w:pStyle w:val="Header"/>
    </w:pPr>
    <w:r>
      <w:rPr>
        <w:noProof/>
        <w:lang w:eastAsia="en-AU"/>
      </w:rPr>
      <w:drawing>
        <wp:anchor distT="0" distB="0" distL="114300" distR="114300" simplePos="0" relativeHeight="251661319" behindDoc="1" locked="0" layoutInCell="1" allowOverlap="1" wp14:anchorId="3FF9D3D0" wp14:editId="58E2D9FE">
          <wp:simplePos x="0" y="0"/>
          <wp:positionH relativeFrom="page">
            <wp:posOffset>-88265</wp:posOffset>
          </wp:positionH>
          <wp:positionV relativeFrom="page">
            <wp:posOffset>-121285</wp:posOffset>
          </wp:positionV>
          <wp:extent cx="7555865" cy="10691495"/>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001" w14:textId="77777777" w:rsidR="005D2A46" w:rsidRDefault="005D2A46">
    <w:pPr>
      <w:pStyle w:val="Header"/>
    </w:pPr>
    <w:r>
      <w:rPr>
        <w:noProof/>
        <w:lang w:eastAsia="en-AU"/>
      </w:rPr>
      <w:drawing>
        <wp:anchor distT="0" distB="0" distL="114300" distR="114300" simplePos="0" relativeHeight="251658240" behindDoc="1" locked="0" layoutInCell="1" allowOverlap="1" wp14:anchorId="7307C2EE" wp14:editId="4B20DF3D">
          <wp:simplePos x="0" y="0"/>
          <wp:positionH relativeFrom="page">
            <wp:align>left</wp:align>
          </wp:positionH>
          <wp:positionV relativeFrom="page">
            <wp:align>top</wp:align>
          </wp:positionV>
          <wp:extent cx="7246189" cy="10253064"/>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7494" cy="10254910"/>
                  </a:xfrm>
                  <a:prstGeom prst="rect">
                    <a:avLst/>
                  </a:prstGeom>
                </pic:spPr>
              </pic:pic>
            </a:graphicData>
          </a:graphic>
          <wp14:sizeRelH relativeFrom="page">
            <wp14:pctWidth>0</wp14:pctWidth>
          </wp14:sizeRelH>
          <wp14:sizeRelV relativeFrom="page">
            <wp14:pctHeight>0</wp14:pctHeight>
          </wp14:sizeRelV>
        </wp:anchor>
      </w:drawing>
    </w:r>
  </w:p>
  <w:p w14:paraId="724EC9E8" w14:textId="77777777" w:rsidR="005D2A46" w:rsidRDefault="005D2A46">
    <w:pPr>
      <w:pStyle w:val="Header"/>
    </w:pPr>
  </w:p>
  <w:p w14:paraId="53A4B76D" w14:textId="77777777" w:rsidR="005D2A46" w:rsidRDefault="005D2A46">
    <w:pPr>
      <w:pStyle w:val="Header"/>
    </w:pPr>
  </w:p>
  <w:p w14:paraId="711DAB09" w14:textId="77777777" w:rsidR="005D2A46" w:rsidRDefault="005D2A46" w:rsidP="00F61835">
    <w:pPr>
      <w:pStyle w:val="Header"/>
      <w:ind w:left="567"/>
    </w:pPr>
    <w:r>
      <w:rPr>
        <w:noProof/>
        <w:lang w:eastAsia="en-AU"/>
      </w:rPr>
      <w:drawing>
        <wp:inline distT="0" distB="0" distL="0" distR="0" wp14:anchorId="60442096" wp14:editId="2866E0EB">
          <wp:extent cx="2194560" cy="609600"/>
          <wp:effectExtent l="0" t="0" r="0" b="0"/>
          <wp:docPr id="32" name="Picture 32" descr="Australian Government Department of the Prime Minister and Cabinet" title="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609600"/>
                  </a:xfrm>
                  <a:prstGeom prst="rect">
                    <a:avLst/>
                  </a:prstGeom>
                  <a:noFill/>
                </pic:spPr>
              </pic:pic>
            </a:graphicData>
          </a:graphic>
        </wp:inline>
      </w:drawing>
    </w:r>
  </w:p>
  <w:p w14:paraId="1A375B54" w14:textId="77777777" w:rsidR="005D2A46" w:rsidRDefault="005D2A46" w:rsidP="002645AB">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F93A" w14:textId="184A0613" w:rsidR="005D2A46" w:rsidRDefault="005D2A46" w:rsidP="002645AB">
    <w:pPr>
      <w:pStyle w:val="Header"/>
    </w:pPr>
    <w:r>
      <w:rPr>
        <w:noProof/>
        <w:lang w:eastAsia="en-AU"/>
      </w:rPr>
      <w:drawing>
        <wp:anchor distT="0" distB="0" distL="114300" distR="114300" simplePos="0" relativeHeight="251669511" behindDoc="1" locked="0" layoutInCell="1" allowOverlap="1" wp14:anchorId="1D991645" wp14:editId="651EAB23">
          <wp:simplePos x="0" y="0"/>
          <wp:positionH relativeFrom="page">
            <wp:posOffset>16725</wp:posOffset>
          </wp:positionH>
          <wp:positionV relativeFrom="page">
            <wp:posOffset>128976</wp:posOffset>
          </wp:positionV>
          <wp:extent cx="7555865" cy="1069149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BECD" w14:textId="31C30B5E" w:rsidR="005D2A46" w:rsidRDefault="005D2A46" w:rsidP="00A37AA3">
    <w:pPr>
      <w:pStyle w:val="Header"/>
    </w:pPr>
    <w:r>
      <w:rPr>
        <w:noProof/>
        <w:lang w:eastAsia="en-AU"/>
      </w:rPr>
      <w:drawing>
        <wp:anchor distT="0" distB="0" distL="114300" distR="114300" simplePos="0" relativeHeight="251667463" behindDoc="1" locked="0" layoutInCell="1" allowOverlap="1" wp14:anchorId="6D753B57" wp14:editId="2F06D1A5">
          <wp:simplePos x="0" y="0"/>
          <wp:positionH relativeFrom="page">
            <wp:posOffset>31426</wp:posOffset>
          </wp:positionH>
          <wp:positionV relativeFrom="page">
            <wp:posOffset>37932</wp:posOffset>
          </wp:positionV>
          <wp:extent cx="7555865" cy="1069149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43C"/>
    <w:multiLevelType w:val="hybridMultilevel"/>
    <w:tmpl w:val="41DC0992"/>
    <w:lvl w:ilvl="0" w:tplc="6D54C40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B111E"/>
    <w:multiLevelType w:val="hybridMultilevel"/>
    <w:tmpl w:val="A43639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682227"/>
    <w:multiLevelType w:val="hybridMultilevel"/>
    <w:tmpl w:val="D78C9B3E"/>
    <w:lvl w:ilvl="0" w:tplc="6D54C40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86F78"/>
    <w:multiLevelType w:val="hybridMultilevel"/>
    <w:tmpl w:val="60AC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15A66"/>
    <w:multiLevelType w:val="hybridMultilevel"/>
    <w:tmpl w:val="9E4C4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E707F"/>
    <w:multiLevelType w:val="hybridMultilevel"/>
    <w:tmpl w:val="F7228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814CF"/>
    <w:multiLevelType w:val="hybridMultilevel"/>
    <w:tmpl w:val="EBA0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52B47"/>
    <w:multiLevelType w:val="hybridMultilevel"/>
    <w:tmpl w:val="EF16B1DA"/>
    <w:lvl w:ilvl="0" w:tplc="6D54C400">
      <w:numFmt w:val="bullet"/>
      <w:lvlText w:val="-"/>
      <w:lvlJc w:val="left"/>
      <w:pPr>
        <w:ind w:left="360" w:hanging="36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302261"/>
    <w:multiLevelType w:val="hybridMultilevel"/>
    <w:tmpl w:val="0838AC80"/>
    <w:lvl w:ilvl="0" w:tplc="2A6CEE5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A97600"/>
    <w:multiLevelType w:val="hybridMultilevel"/>
    <w:tmpl w:val="3E48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A35A4"/>
    <w:multiLevelType w:val="hybridMultilevel"/>
    <w:tmpl w:val="2D3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849CF"/>
    <w:multiLevelType w:val="hybridMultilevel"/>
    <w:tmpl w:val="BFD61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C06848"/>
    <w:multiLevelType w:val="hybridMultilevel"/>
    <w:tmpl w:val="DC52BBEC"/>
    <w:lvl w:ilvl="0" w:tplc="F012904C">
      <w:start w:val="1"/>
      <w:numFmt w:val="bullet"/>
      <w:pStyle w:val="List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B3949"/>
    <w:multiLevelType w:val="hybridMultilevel"/>
    <w:tmpl w:val="DC6833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98C5586"/>
    <w:multiLevelType w:val="hybridMultilevel"/>
    <w:tmpl w:val="935EE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C5224"/>
    <w:multiLevelType w:val="hybridMultilevel"/>
    <w:tmpl w:val="0D0027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47496B"/>
    <w:multiLevelType w:val="hybridMultilevel"/>
    <w:tmpl w:val="950EE750"/>
    <w:lvl w:ilvl="0" w:tplc="0C090001">
      <w:start w:val="1"/>
      <w:numFmt w:val="bullet"/>
      <w:lvlText w:val=""/>
      <w:lvlJc w:val="left"/>
      <w:pPr>
        <w:ind w:left="720" w:hanging="360"/>
      </w:pPr>
      <w:rPr>
        <w:rFonts w:ascii="Symbol" w:hAnsi="Symbol" w:hint="default"/>
      </w:rPr>
    </w:lvl>
    <w:lvl w:ilvl="1" w:tplc="6D54C400">
      <w:numFmt w:val="bullet"/>
      <w:lvlText w:val="-"/>
      <w:lvlJc w:val="left"/>
      <w:pPr>
        <w:ind w:left="1440" w:hanging="360"/>
      </w:pPr>
      <w:rPr>
        <w:rFonts w:ascii="Century Gothic" w:eastAsiaTheme="minorHAnsi" w:hAnsi="Century Gothic"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22A13"/>
    <w:multiLevelType w:val="hybridMultilevel"/>
    <w:tmpl w:val="E5A2FA8C"/>
    <w:lvl w:ilvl="0" w:tplc="737CC5D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7F05F6"/>
    <w:multiLevelType w:val="hybridMultilevel"/>
    <w:tmpl w:val="AC84F9CE"/>
    <w:lvl w:ilvl="0" w:tplc="1B1C83BC">
      <w:start w:val="1"/>
      <w:numFmt w:val="bullet"/>
      <w:lvlText w:val="•"/>
      <w:lvlJc w:val="left"/>
      <w:pPr>
        <w:tabs>
          <w:tab w:val="num" w:pos="720"/>
        </w:tabs>
        <w:ind w:left="720" w:hanging="360"/>
      </w:pPr>
      <w:rPr>
        <w:rFonts w:ascii="Arial" w:hAnsi="Arial" w:hint="default"/>
      </w:rPr>
    </w:lvl>
    <w:lvl w:ilvl="1" w:tplc="2EF4BD54" w:tentative="1">
      <w:start w:val="1"/>
      <w:numFmt w:val="bullet"/>
      <w:lvlText w:val="•"/>
      <w:lvlJc w:val="left"/>
      <w:pPr>
        <w:tabs>
          <w:tab w:val="num" w:pos="1440"/>
        </w:tabs>
        <w:ind w:left="1440" w:hanging="360"/>
      </w:pPr>
      <w:rPr>
        <w:rFonts w:ascii="Arial" w:hAnsi="Arial" w:hint="default"/>
      </w:rPr>
    </w:lvl>
    <w:lvl w:ilvl="2" w:tplc="B5D4FE7A" w:tentative="1">
      <w:start w:val="1"/>
      <w:numFmt w:val="bullet"/>
      <w:lvlText w:val="•"/>
      <w:lvlJc w:val="left"/>
      <w:pPr>
        <w:tabs>
          <w:tab w:val="num" w:pos="2160"/>
        </w:tabs>
        <w:ind w:left="2160" w:hanging="360"/>
      </w:pPr>
      <w:rPr>
        <w:rFonts w:ascii="Arial" w:hAnsi="Arial" w:hint="default"/>
      </w:rPr>
    </w:lvl>
    <w:lvl w:ilvl="3" w:tplc="2758E056" w:tentative="1">
      <w:start w:val="1"/>
      <w:numFmt w:val="bullet"/>
      <w:lvlText w:val="•"/>
      <w:lvlJc w:val="left"/>
      <w:pPr>
        <w:tabs>
          <w:tab w:val="num" w:pos="2880"/>
        </w:tabs>
        <w:ind w:left="2880" w:hanging="360"/>
      </w:pPr>
      <w:rPr>
        <w:rFonts w:ascii="Arial" w:hAnsi="Arial" w:hint="default"/>
      </w:rPr>
    </w:lvl>
    <w:lvl w:ilvl="4" w:tplc="D1B6E9D2" w:tentative="1">
      <w:start w:val="1"/>
      <w:numFmt w:val="bullet"/>
      <w:lvlText w:val="•"/>
      <w:lvlJc w:val="left"/>
      <w:pPr>
        <w:tabs>
          <w:tab w:val="num" w:pos="3600"/>
        </w:tabs>
        <w:ind w:left="3600" w:hanging="360"/>
      </w:pPr>
      <w:rPr>
        <w:rFonts w:ascii="Arial" w:hAnsi="Arial" w:hint="default"/>
      </w:rPr>
    </w:lvl>
    <w:lvl w:ilvl="5" w:tplc="CF14EC6C" w:tentative="1">
      <w:start w:val="1"/>
      <w:numFmt w:val="bullet"/>
      <w:lvlText w:val="•"/>
      <w:lvlJc w:val="left"/>
      <w:pPr>
        <w:tabs>
          <w:tab w:val="num" w:pos="4320"/>
        </w:tabs>
        <w:ind w:left="4320" w:hanging="360"/>
      </w:pPr>
      <w:rPr>
        <w:rFonts w:ascii="Arial" w:hAnsi="Arial" w:hint="default"/>
      </w:rPr>
    </w:lvl>
    <w:lvl w:ilvl="6" w:tplc="AC2EE2CE" w:tentative="1">
      <w:start w:val="1"/>
      <w:numFmt w:val="bullet"/>
      <w:lvlText w:val="•"/>
      <w:lvlJc w:val="left"/>
      <w:pPr>
        <w:tabs>
          <w:tab w:val="num" w:pos="5040"/>
        </w:tabs>
        <w:ind w:left="5040" w:hanging="360"/>
      </w:pPr>
      <w:rPr>
        <w:rFonts w:ascii="Arial" w:hAnsi="Arial" w:hint="default"/>
      </w:rPr>
    </w:lvl>
    <w:lvl w:ilvl="7" w:tplc="866697B4" w:tentative="1">
      <w:start w:val="1"/>
      <w:numFmt w:val="bullet"/>
      <w:lvlText w:val="•"/>
      <w:lvlJc w:val="left"/>
      <w:pPr>
        <w:tabs>
          <w:tab w:val="num" w:pos="5760"/>
        </w:tabs>
        <w:ind w:left="5760" w:hanging="360"/>
      </w:pPr>
      <w:rPr>
        <w:rFonts w:ascii="Arial" w:hAnsi="Arial" w:hint="default"/>
      </w:rPr>
    </w:lvl>
    <w:lvl w:ilvl="8" w:tplc="49B406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E97E82"/>
    <w:multiLevelType w:val="hybridMultilevel"/>
    <w:tmpl w:val="47D6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3"/>
  </w:num>
  <w:num w:numId="5">
    <w:abstractNumId w:val="16"/>
  </w:num>
  <w:num w:numId="6">
    <w:abstractNumId w:val="11"/>
  </w:num>
  <w:num w:numId="7">
    <w:abstractNumId w:val="14"/>
  </w:num>
  <w:num w:numId="8">
    <w:abstractNumId w:val="8"/>
  </w:num>
  <w:num w:numId="9">
    <w:abstractNumId w:val="18"/>
  </w:num>
  <w:num w:numId="10">
    <w:abstractNumId w:val="19"/>
  </w:num>
  <w:num w:numId="11">
    <w:abstractNumId w:val="13"/>
  </w:num>
  <w:num w:numId="12">
    <w:abstractNumId w:val="6"/>
  </w:num>
  <w:num w:numId="13">
    <w:abstractNumId w:val="4"/>
  </w:num>
  <w:num w:numId="14">
    <w:abstractNumId w:val="0"/>
  </w:num>
  <w:num w:numId="15">
    <w:abstractNumId w:val="2"/>
  </w:num>
  <w:num w:numId="16">
    <w:abstractNumId w:val="7"/>
  </w:num>
  <w:num w:numId="17">
    <w:abstractNumId w:val="9"/>
  </w:num>
  <w:num w:numId="18">
    <w:abstractNumId w:val="17"/>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14"/>
    <w:rsid w:val="0000094D"/>
    <w:rsid w:val="0000356B"/>
    <w:rsid w:val="0000513A"/>
    <w:rsid w:val="0000553E"/>
    <w:rsid w:val="00010C87"/>
    <w:rsid w:val="0001682C"/>
    <w:rsid w:val="00016E83"/>
    <w:rsid w:val="0002058D"/>
    <w:rsid w:val="00021429"/>
    <w:rsid w:val="0002176E"/>
    <w:rsid w:val="0002349D"/>
    <w:rsid w:val="00024AC3"/>
    <w:rsid w:val="00026731"/>
    <w:rsid w:val="000307CF"/>
    <w:rsid w:val="00030E4C"/>
    <w:rsid w:val="00031791"/>
    <w:rsid w:val="00032858"/>
    <w:rsid w:val="000349CF"/>
    <w:rsid w:val="00036B65"/>
    <w:rsid w:val="00041819"/>
    <w:rsid w:val="00041E26"/>
    <w:rsid w:val="00044577"/>
    <w:rsid w:val="000458C6"/>
    <w:rsid w:val="0004784B"/>
    <w:rsid w:val="00047DB7"/>
    <w:rsid w:val="00047E8E"/>
    <w:rsid w:val="000508B1"/>
    <w:rsid w:val="00050E44"/>
    <w:rsid w:val="000526BB"/>
    <w:rsid w:val="00053A95"/>
    <w:rsid w:val="0005404F"/>
    <w:rsid w:val="00055A18"/>
    <w:rsid w:val="0006181E"/>
    <w:rsid w:val="00061ED8"/>
    <w:rsid w:val="00063651"/>
    <w:rsid w:val="00065959"/>
    <w:rsid w:val="00066A2F"/>
    <w:rsid w:val="00067D3B"/>
    <w:rsid w:val="00073576"/>
    <w:rsid w:val="00073B53"/>
    <w:rsid w:val="00080282"/>
    <w:rsid w:val="00081C1F"/>
    <w:rsid w:val="00085677"/>
    <w:rsid w:val="00085AA8"/>
    <w:rsid w:val="00085AB6"/>
    <w:rsid w:val="00085E22"/>
    <w:rsid w:val="000861A2"/>
    <w:rsid w:val="000865A7"/>
    <w:rsid w:val="000866BE"/>
    <w:rsid w:val="0008760D"/>
    <w:rsid w:val="0009104B"/>
    <w:rsid w:val="000914C9"/>
    <w:rsid w:val="00091AB8"/>
    <w:rsid w:val="00094120"/>
    <w:rsid w:val="000A02F9"/>
    <w:rsid w:val="000A12BB"/>
    <w:rsid w:val="000A1A75"/>
    <w:rsid w:val="000A5D0A"/>
    <w:rsid w:val="000A6183"/>
    <w:rsid w:val="000B0779"/>
    <w:rsid w:val="000B1754"/>
    <w:rsid w:val="000B2AA2"/>
    <w:rsid w:val="000B2FFE"/>
    <w:rsid w:val="000B3CFD"/>
    <w:rsid w:val="000B3FF9"/>
    <w:rsid w:val="000B5785"/>
    <w:rsid w:val="000B5A19"/>
    <w:rsid w:val="000C037B"/>
    <w:rsid w:val="000C31D8"/>
    <w:rsid w:val="000C5B4C"/>
    <w:rsid w:val="000C5C59"/>
    <w:rsid w:val="000C6249"/>
    <w:rsid w:val="000D19D3"/>
    <w:rsid w:val="000D29F4"/>
    <w:rsid w:val="000D3616"/>
    <w:rsid w:val="000D5D71"/>
    <w:rsid w:val="000D6D14"/>
    <w:rsid w:val="000D7221"/>
    <w:rsid w:val="000E3250"/>
    <w:rsid w:val="000E7D36"/>
    <w:rsid w:val="000F2C1E"/>
    <w:rsid w:val="000F3061"/>
    <w:rsid w:val="000F50BD"/>
    <w:rsid w:val="00101447"/>
    <w:rsid w:val="00102558"/>
    <w:rsid w:val="00102FBB"/>
    <w:rsid w:val="0010353F"/>
    <w:rsid w:val="00110543"/>
    <w:rsid w:val="00112891"/>
    <w:rsid w:val="001136BA"/>
    <w:rsid w:val="00117D4D"/>
    <w:rsid w:val="00121C74"/>
    <w:rsid w:val="001229DE"/>
    <w:rsid w:val="00124AF3"/>
    <w:rsid w:val="00126813"/>
    <w:rsid w:val="00127B22"/>
    <w:rsid w:val="00127EFC"/>
    <w:rsid w:val="0013101B"/>
    <w:rsid w:val="00134255"/>
    <w:rsid w:val="00134A2D"/>
    <w:rsid w:val="00136AE7"/>
    <w:rsid w:val="0013725A"/>
    <w:rsid w:val="00137743"/>
    <w:rsid w:val="0014275F"/>
    <w:rsid w:val="00152F3E"/>
    <w:rsid w:val="00156A92"/>
    <w:rsid w:val="00156E22"/>
    <w:rsid w:val="00157231"/>
    <w:rsid w:val="0016188E"/>
    <w:rsid w:val="00162703"/>
    <w:rsid w:val="00163177"/>
    <w:rsid w:val="00163CC0"/>
    <w:rsid w:val="00164DDC"/>
    <w:rsid w:val="00165694"/>
    <w:rsid w:val="001660A0"/>
    <w:rsid w:val="00166B4E"/>
    <w:rsid w:val="00167290"/>
    <w:rsid w:val="00171076"/>
    <w:rsid w:val="00172778"/>
    <w:rsid w:val="00173584"/>
    <w:rsid w:val="00173B84"/>
    <w:rsid w:val="00173CD1"/>
    <w:rsid w:val="00177C59"/>
    <w:rsid w:val="001867C7"/>
    <w:rsid w:val="00192945"/>
    <w:rsid w:val="001A0C9C"/>
    <w:rsid w:val="001A1AFE"/>
    <w:rsid w:val="001A23EF"/>
    <w:rsid w:val="001A274E"/>
    <w:rsid w:val="001A2E1E"/>
    <w:rsid w:val="001A46F5"/>
    <w:rsid w:val="001A53D5"/>
    <w:rsid w:val="001A6219"/>
    <w:rsid w:val="001B0810"/>
    <w:rsid w:val="001B1810"/>
    <w:rsid w:val="001B321C"/>
    <w:rsid w:val="001B6822"/>
    <w:rsid w:val="001B76B8"/>
    <w:rsid w:val="001B7755"/>
    <w:rsid w:val="001C1A30"/>
    <w:rsid w:val="001C2123"/>
    <w:rsid w:val="001C2210"/>
    <w:rsid w:val="001C3493"/>
    <w:rsid w:val="001C7C1F"/>
    <w:rsid w:val="001D3398"/>
    <w:rsid w:val="001D3548"/>
    <w:rsid w:val="001D398F"/>
    <w:rsid w:val="001D7631"/>
    <w:rsid w:val="001E0372"/>
    <w:rsid w:val="001E3A63"/>
    <w:rsid w:val="001E3D7A"/>
    <w:rsid w:val="001E4153"/>
    <w:rsid w:val="001E6A1C"/>
    <w:rsid w:val="001E6AD6"/>
    <w:rsid w:val="001E6D22"/>
    <w:rsid w:val="001F0E9D"/>
    <w:rsid w:val="001F0ECD"/>
    <w:rsid w:val="001F1476"/>
    <w:rsid w:val="001F14B6"/>
    <w:rsid w:val="001F719F"/>
    <w:rsid w:val="0020427C"/>
    <w:rsid w:val="00204A51"/>
    <w:rsid w:val="00205580"/>
    <w:rsid w:val="00206677"/>
    <w:rsid w:val="00210249"/>
    <w:rsid w:val="00211043"/>
    <w:rsid w:val="0021155A"/>
    <w:rsid w:val="002124CC"/>
    <w:rsid w:val="00212B50"/>
    <w:rsid w:val="00217995"/>
    <w:rsid w:val="002202D0"/>
    <w:rsid w:val="00224366"/>
    <w:rsid w:val="00227D42"/>
    <w:rsid w:val="002328EA"/>
    <w:rsid w:val="0023512F"/>
    <w:rsid w:val="00235169"/>
    <w:rsid w:val="00237391"/>
    <w:rsid w:val="00241DE2"/>
    <w:rsid w:val="002470C6"/>
    <w:rsid w:val="00247C1A"/>
    <w:rsid w:val="00250610"/>
    <w:rsid w:val="002549EF"/>
    <w:rsid w:val="00255481"/>
    <w:rsid w:val="002631BA"/>
    <w:rsid w:val="002645AB"/>
    <w:rsid w:val="00265F37"/>
    <w:rsid w:val="00266038"/>
    <w:rsid w:val="00267106"/>
    <w:rsid w:val="00267CFD"/>
    <w:rsid w:val="00270400"/>
    <w:rsid w:val="0027262C"/>
    <w:rsid w:val="00272BEB"/>
    <w:rsid w:val="002750F5"/>
    <w:rsid w:val="00275186"/>
    <w:rsid w:val="00276219"/>
    <w:rsid w:val="00281766"/>
    <w:rsid w:val="00282427"/>
    <w:rsid w:val="00282674"/>
    <w:rsid w:val="0028339D"/>
    <w:rsid w:val="002839F8"/>
    <w:rsid w:val="00286049"/>
    <w:rsid w:val="002863C2"/>
    <w:rsid w:val="00287CC0"/>
    <w:rsid w:val="0029000E"/>
    <w:rsid w:val="00292391"/>
    <w:rsid w:val="00292B25"/>
    <w:rsid w:val="00293A98"/>
    <w:rsid w:val="00294C9E"/>
    <w:rsid w:val="00296432"/>
    <w:rsid w:val="002A2EFF"/>
    <w:rsid w:val="002A2F51"/>
    <w:rsid w:val="002A58D5"/>
    <w:rsid w:val="002A73C7"/>
    <w:rsid w:val="002A766E"/>
    <w:rsid w:val="002A7A81"/>
    <w:rsid w:val="002B01B1"/>
    <w:rsid w:val="002B046C"/>
    <w:rsid w:val="002B70A8"/>
    <w:rsid w:val="002C3C0C"/>
    <w:rsid w:val="002C49FC"/>
    <w:rsid w:val="002C5C64"/>
    <w:rsid w:val="002C73B1"/>
    <w:rsid w:val="002D0565"/>
    <w:rsid w:val="002D0A23"/>
    <w:rsid w:val="002D2218"/>
    <w:rsid w:val="002D2546"/>
    <w:rsid w:val="002D27B3"/>
    <w:rsid w:val="002D4DC1"/>
    <w:rsid w:val="002D596F"/>
    <w:rsid w:val="002D6369"/>
    <w:rsid w:val="002E0667"/>
    <w:rsid w:val="002E1D37"/>
    <w:rsid w:val="002E2574"/>
    <w:rsid w:val="002E4F2A"/>
    <w:rsid w:val="002E4F62"/>
    <w:rsid w:val="002E6A38"/>
    <w:rsid w:val="002E6F29"/>
    <w:rsid w:val="002E7709"/>
    <w:rsid w:val="002F186C"/>
    <w:rsid w:val="002F5EFC"/>
    <w:rsid w:val="002F6F3B"/>
    <w:rsid w:val="002F73C4"/>
    <w:rsid w:val="0030078C"/>
    <w:rsid w:val="00303D2C"/>
    <w:rsid w:val="0030411D"/>
    <w:rsid w:val="00305608"/>
    <w:rsid w:val="00310E72"/>
    <w:rsid w:val="00313D14"/>
    <w:rsid w:val="00314D19"/>
    <w:rsid w:val="00316502"/>
    <w:rsid w:val="00320EE9"/>
    <w:rsid w:val="003223E0"/>
    <w:rsid w:val="00323914"/>
    <w:rsid w:val="00333F2A"/>
    <w:rsid w:val="0033532E"/>
    <w:rsid w:val="00335BAC"/>
    <w:rsid w:val="0034109D"/>
    <w:rsid w:val="00344FBD"/>
    <w:rsid w:val="00344FDC"/>
    <w:rsid w:val="00350970"/>
    <w:rsid w:val="003563E4"/>
    <w:rsid w:val="00363EBC"/>
    <w:rsid w:val="003662A0"/>
    <w:rsid w:val="00372F13"/>
    <w:rsid w:val="00374902"/>
    <w:rsid w:val="00375966"/>
    <w:rsid w:val="0037650F"/>
    <w:rsid w:val="00376FCF"/>
    <w:rsid w:val="00377AEA"/>
    <w:rsid w:val="003811F4"/>
    <w:rsid w:val="00386510"/>
    <w:rsid w:val="003869EE"/>
    <w:rsid w:val="00394F31"/>
    <w:rsid w:val="00397A70"/>
    <w:rsid w:val="003A351E"/>
    <w:rsid w:val="003B2FE3"/>
    <w:rsid w:val="003B4D38"/>
    <w:rsid w:val="003B5701"/>
    <w:rsid w:val="003B74F3"/>
    <w:rsid w:val="003C070A"/>
    <w:rsid w:val="003C1FD0"/>
    <w:rsid w:val="003C28B8"/>
    <w:rsid w:val="003C424A"/>
    <w:rsid w:val="003D12C5"/>
    <w:rsid w:val="003D553F"/>
    <w:rsid w:val="003E149E"/>
    <w:rsid w:val="003E55EC"/>
    <w:rsid w:val="003E5645"/>
    <w:rsid w:val="003E6180"/>
    <w:rsid w:val="003E62D5"/>
    <w:rsid w:val="003F4B4B"/>
    <w:rsid w:val="00407B20"/>
    <w:rsid w:val="00410FCA"/>
    <w:rsid w:val="00412697"/>
    <w:rsid w:val="004144CF"/>
    <w:rsid w:val="0041672E"/>
    <w:rsid w:val="0041690C"/>
    <w:rsid w:val="004176DC"/>
    <w:rsid w:val="00417CFC"/>
    <w:rsid w:val="00420D31"/>
    <w:rsid w:val="004249FD"/>
    <w:rsid w:val="00430E84"/>
    <w:rsid w:val="0043138A"/>
    <w:rsid w:val="00433443"/>
    <w:rsid w:val="0043360B"/>
    <w:rsid w:val="00434431"/>
    <w:rsid w:val="004369C5"/>
    <w:rsid w:val="00441B19"/>
    <w:rsid w:val="004432BF"/>
    <w:rsid w:val="00444667"/>
    <w:rsid w:val="004447CA"/>
    <w:rsid w:val="004449B9"/>
    <w:rsid w:val="00451144"/>
    <w:rsid w:val="004512A1"/>
    <w:rsid w:val="0045343B"/>
    <w:rsid w:val="00454BB2"/>
    <w:rsid w:val="00455E5B"/>
    <w:rsid w:val="004603B2"/>
    <w:rsid w:val="00463B7B"/>
    <w:rsid w:val="00464924"/>
    <w:rsid w:val="00466D9A"/>
    <w:rsid w:val="00470CA0"/>
    <w:rsid w:val="0047368B"/>
    <w:rsid w:val="00474ACD"/>
    <w:rsid w:val="0047577C"/>
    <w:rsid w:val="00486A00"/>
    <w:rsid w:val="00486B96"/>
    <w:rsid w:val="004918C0"/>
    <w:rsid w:val="004A0A17"/>
    <w:rsid w:val="004A15FE"/>
    <w:rsid w:val="004A2812"/>
    <w:rsid w:val="004A5325"/>
    <w:rsid w:val="004A57B0"/>
    <w:rsid w:val="004A78BD"/>
    <w:rsid w:val="004B03DF"/>
    <w:rsid w:val="004B0F1F"/>
    <w:rsid w:val="004B25C1"/>
    <w:rsid w:val="004B2E00"/>
    <w:rsid w:val="004B3D71"/>
    <w:rsid w:val="004B5D6F"/>
    <w:rsid w:val="004B7085"/>
    <w:rsid w:val="004B7704"/>
    <w:rsid w:val="004B7C2E"/>
    <w:rsid w:val="004C1CBC"/>
    <w:rsid w:val="004C25E3"/>
    <w:rsid w:val="004C4C3C"/>
    <w:rsid w:val="004C54CC"/>
    <w:rsid w:val="004C5E14"/>
    <w:rsid w:val="004C7FE0"/>
    <w:rsid w:val="004D1430"/>
    <w:rsid w:val="004D55B2"/>
    <w:rsid w:val="004D6830"/>
    <w:rsid w:val="004D7972"/>
    <w:rsid w:val="004D7A72"/>
    <w:rsid w:val="004E02ED"/>
    <w:rsid w:val="004E1D41"/>
    <w:rsid w:val="004E4816"/>
    <w:rsid w:val="004E6F07"/>
    <w:rsid w:val="004F0F37"/>
    <w:rsid w:val="004F4A30"/>
    <w:rsid w:val="004F4F27"/>
    <w:rsid w:val="004F5523"/>
    <w:rsid w:val="004F58FE"/>
    <w:rsid w:val="004F7A28"/>
    <w:rsid w:val="00506A5D"/>
    <w:rsid w:val="00507BD9"/>
    <w:rsid w:val="00510A9C"/>
    <w:rsid w:val="005114E9"/>
    <w:rsid w:val="00511727"/>
    <w:rsid w:val="00515C43"/>
    <w:rsid w:val="00520E56"/>
    <w:rsid w:val="00521B92"/>
    <w:rsid w:val="00522443"/>
    <w:rsid w:val="00522D74"/>
    <w:rsid w:val="00523AC2"/>
    <w:rsid w:val="0052465E"/>
    <w:rsid w:val="005274E7"/>
    <w:rsid w:val="005324F3"/>
    <w:rsid w:val="0053325C"/>
    <w:rsid w:val="00535ED8"/>
    <w:rsid w:val="005362E6"/>
    <w:rsid w:val="00536D45"/>
    <w:rsid w:val="00540D0C"/>
    <w:rsid w:val="00541ED5"/>
    <w:rsid w:val="00543D57"/>
    <w:rsid w:val="00545062"/>
    <w:rsid w:val="00552774"/>
    <w:rsid w:val="00554E05"/>
    <w:rsid w:val="00556064"/>
    <w:rsid w:val="00556969"/>
    <w:rsid w:val="00556E30"/>
    <w:rsid w:val="0055705C"/>
    <w:rsid w:val="0055732A"/>
    <w:rsid w:val="005600C0"/>
    <w:rsid w:val="0056216C"/>
    <w:rsid w:val="0056439A"/>
    <w:rsid w:val="0056600C"/>
    <w:rsid w:val="0056694D"/>
    <w:rsid w:val="00567487"/>
    <w:rsid w:val="005703E5"/>
    <w:rsid w:val="005714C2"/>
    <w:rsid w:val="00573EA5"/>
    <w:rsid w:val="005759AC"/>
    <w:rsid w:val="005776D0"/>
    <w:rsid w:val="005810B5"/>
    <w:rsid w:val="00581E9F"/>
    <w:rsid w:val="0058233F"/>
    <w:rsid w:val="00585DEC"/>
    <w:rsid w:val="005873FF"/>
    <w:rsid w:val="00591C49"/>
    <w:rsid w:val="0059382A"/>
    <w:rsid w:val="00594393"/>
    <w:rsid w:val="00594A20"/>
    <w:rsid w:val="00597773"/>
    <w:rsid w:val="005A0504"/>
    <w:rsid w:val="005A07AA"/>
    <w:rsid w:val="005A0841"/>
    <w:rsid w:val="005A241E"/>
    <w:rsid w:val="005A29FA"/>
    <w:rsid w:val="005A2A10"/>
    <w:rsid w:val="005A2B53"/>
    <w:rsid w:val="005A5F30"/>
    <w:rsid w:val="005A75D1"/>
    <w:rsid w:val="005A76C8"/>
    <w:rsid w:val="005B1A67"/>
    <w:rsid w:val="005B1AC0"/>
    <w:rsid w:val="005B327C"/>
    <w:rsid w:val="005B4FF9"/>
    <w:rsid w:val="005B5C2F"/>
    <w:rsid w:val="005B7320"/>
    <w:rsid w:val="005C0307"/>
    <w:rsid w:val="005C28AE"/>
    <w:rsid w:val="005C48CF"/>
    <w:rsid w:val="005C7ABA"/>
    <w:rsid w:val="005D05F2"/>
    <w:rsid w:val="005D0E0F"/>
    <w:rsid w:val="005D2A46"/>
    <w:rsid w:val="005D2B80"/>
    <w:rsid w:val="005D733C"/>
    <w:rsid w:val="005D7CD9"/>
    <w:rsid w:val="005E2FE2"/>
    <w:rsid w:val="005E515A"/>
    <w:rsid w:val="005E51A5"/>
    <w:rsid w:val="005E54B0"/>
    <w:rsid w:val="005E587D"/>
    <w:rsid w:val="005E5B2B"/>
    <w:rsid w:val="005F15BA"/>
    <w:rsid w:val="005F4E4E"/>
    <w:rsid w:val="005F651D"/>
    <w:rsid w:val="005F674C"/>
    <w:rsid w:val="00600593"/>
    <w:rsid w:val="006005F5"/>
    <w:rsid w:val="00600BD6"/>
    <w:rsid w:val="00602489"/>
    <w:rsid w:val="00602A2B"/>
    <w:rsid w:val="00602F3A"/>
    <w:rsid w:val="006056DA"/>
    <w:rsid w:val="006060C8"/>
    <w:rsid w:val="00606D0F"/>
    <w:rsid w:val="006103FA"/>
    <w:rsid w:val="00611B7F"/>
    <w:rsid w:val="00611B9E"/>
    <w:rsid w:val="006127FA"/>
    <w:rsid w:val="00622C03"/>
    <w:rsid w:val="00623649"/>
    <w:rsid w:val="0062606E"/>
    <w:rsid w:val="00626318"/>
    <w:rsid w:val="0063480E"/>
    <w:rsid w:val="00640912"/>
    <w:rsid w:val="00640D38"/>
    <w:rsid w:val="00641814"/>
    <w:rsid w:val="00642065"/>
    <w:rsid w:val="00642326"/>
    <w:rsid w:val="00645E05"/>
    <w:rsid w:val="00647744"/>
    <w:rsid w:val="00650AC0"/>
    <w:rsid w:val="00652F5F"/>
    <w:rsid w:val="00655F95"/>
    <w:rsid w:val="00655FCE"/>
    <w:rsid w:val="00661915"/>
    <w:rsid w:val="00667684"/>
    <w:rsid w:val="00667D18"/>
    <w:rsid w:val="00670034"/>
    <w:rsid w:val="0067413B"/>
    <w:rsid w:val="0067479B"/>
    <w:rsid w:val="006815C0"/>
    <w:rsid w:val="00684609"/>
    <w:rsid w:val="00685999"/>
    <w:rsid w:val="00685DF6"/>
    <w:rsid w:val="00686182"/>
    <w:rsid w:val="00686464"/>
    <w:rsid w:val="00686564"/>
    <w:rsid w:val="00687976"/>
    <w:rsid w:val="0069063A"/>
    <w:rsid w:val="00692AFA"/>
    <w:rsid w:val="006949B1"/>
    <w:rsid w:val="00695A47"/>
    <w:rsid w:val="006A2942"/>
    <w:rsid w:val="006A3FD9"/>
    <w:rsid w:val="006A416E"/>
    <w:rsid w:val="006A549D"/>
    <w:rsid w:val="006A60E0"/>
    <w:rsid w:val="006A774F"/>
    <w:rsid w:val="006B2447"/>
    <w:rsid w:val="006B4497"/>
    <w:rsid w:val="006B44BD"/>
    <w:rsid w:val="006C0346"/>
    <w:rsid w:val="006C03D3"/>
    <w:rsid w:val="006C07DA"/>
    <w:rsid w:val="006C097B"/>
    <w:rsid w:val="006C2C6A"/>
    <w:rsid w:val="006C376A"/>
    <w:rsid w:val="006C4E1F"/>
    <w:rsid w:val="006D2566"/>
    <w:rsid w:val="006D6976"/>
    <w:rsid w:val="006D6E06"/>
    <w:rsid w:val="006D7B49"/>
    <w:rsid w:val="006F06EF"/>
    <w:rsid w:val="006F2A02"/>
    <w:rsid w:val="006F35E5"/>
    <w:rsid w:val="006F3BE6"/>
    <w:rsid w:val="006F4DB1"/>
    <w:rsid w:val="006F7391"/>
    <w:rsid w:val="0070618D"/>
    <w:rsid w:val="00706D33"/>
    <w:rsid w:val="0071072B"/>
    <w:rsid w:val="00710900"/>
    <w:rsid w:val="00711327"/>
    <w:rsid w:val="007117B4"/>
    <w:rsid w:val="00713977"/>
    <w:rsid w:val="00716AA8"/>
    <w:rsid w:val="00716D54"/>
    <w:rsid w:val="007173C9"/>
    <w:rsid w:val="00727214"/>
    <w:rsid w:val="007309F5"/>
    <w:rsid w:val="00731F49"/>
    <w:rsid w:val="007330AB"/>
    <w:rsid w:val="00734F83"/>
    <w:rsid w:val="00736E80"/>
    <w:rsid w:val="007402D0"/>
    <w:rsid w:val="00744823"/>
    <w:rsid w:val="00745817"/>
    <w:rsid w:val="007530CE"/>
    <w:rsid w:val="0075344D"/>
    <w:rsid w:val="00754EC4"/>
    <w:rsid w:val="007550E6"/>
    <w:rsid w:val="0075597E"/>
    <w:rsid w:val="00757422"/>
    <w:rsid w:val="00764679"/>
    <w:rsid w:val="00765E62"/>
    <w:rsid w:val="00766394"/>
    <w:rsid w:val="0077092D"/>
    <w:rsid w:val="007729A8"/>
    <w:rsid w:val="00772E2C"/>
    <w:rsid w:val="00773513"/>
    <w:rsid w:val="007747FD"/>
    <w:rsid w:val="00777F99"/>
    <w:rsid w:val="007802D6"/>
    <w:rsid w:val="00780C7B"/>
    <w:rsid w:val="00781D4E"/>
    <w:rsid w:val="007827B9"/>
    <w:rsid w:val="0078282A"/>
    <w:rsid w:val="00786DCD"/>
    <w:rsid w:val="00790C77"/>
    <w:rsid w:val="00792B1C"/>
    <w:rsid w:val="00794340"/>
    <w:rsid w:val="007958AE"/>
    <w:rsid w:val="007A175A"/>
    <w:rsid w:val="007A1A08"/>
    <w:rsid w:val="007A576E"/>
    <w:rsid w:val="007B03E1"/>
    <w:rsid w:val="007B4586"/>
    <w:rsid w:val="007B6F86"/>
    <w:rsid w:val="007B7E94"/>
    <w:rsid w:val="007C05D9"/>
    <w:rsid w:val="007C0AAE"/>
    <w:rsid w:val="007C48FA"/>
    <w:rsid w:val="007C6026"/>
    <w:rsid w:val="007C6877"/>
    <w:rsid w:val="007D2050"/>
    <w:rsid w:val="007D2083"/>
    <w:rsid w:val="007D2341"/>
    <w:rsid w:val="007D29CF"/>
    <w:rsid w:val="007D70AD"/>
    <w:rsid w:val="007E178A"/>
    <w:rsid w:val="007E2F49"/>
    <w:rsid w:val="007E30B1"/>
    <w:rsid w:val="007E3C32"/>
    <w:rsid w:val="007F2208"/>
    <w:rsid w:val="007F4214"/>
    <w:rsid w:val="007F7D47"/>
    <w:rsid w:val="00800934"/>
    <w:rsid w:val="00805382"/>
    <w:rsid w:val="00806E57"/>
    <w:rsid w:val="0080770E"/>
    <w:rsid w:val="00812271"/>
    <w:rsid w:val="008167BE"/>
    <w:rsid w:val="008208D3"/>
    <w:rsid w:val="008226C3"/>
    <w:rsid w:val="0082309D"/>
    <w:rsid w:val="00824860"/>
    <w:rsid w:val="00824E0C"/>
    <w:rsid w:val="00825447"/>
    <w:rsid w:val="00833BC5"/>
    <w:rsid w:val="00835DAF"/>
    <w:rsid w:val="00835FE3"/>
    <w:rsid w:val="00840A6F"/>
    <w:rsid w:val="00841D44"/>
    <w:rsid w:val="008435F3"/>
    <w:rsid w:val="00844E85"/>
    <w:rsid w:val="00844F1A"/>
    <w:rsid w:val="0084626A"/>
    <w:rsid w:val="00846398"/>
    <w:rsid w:val="00846913"/>
    <w:rsid w:val="00847F23"/>
    <w:rsid w:val="00850D10"/>
    <w:rsid w:val="0085154D"/>
    <w:rsid w:val="0085263E"/>
    <w:rsid w:val="00853436"/>
    <w:rsid w:val="00856D38"/>
    <w:rsid w:val="008625E0"/>
    <w:rsid w:val="008632E7"/>
    <w:rsid w:val="00863DA4"/>
    <w:rsid w:val="00865B1F"/>
    <w:rsid w:val="00867506"/>
    <w:rsid w:val="00872CCE"/>
    <w:rsid w:val="008748E5"/>
    <w:rsid w:val="008772D9"/>
    <w:rsid w:val="00880011"/>
    <w:rsid w:val="008806D8"/>
    <w:rsid w:val="0088084A"/>
    <w:rsid w:val="00881BE8"/>
    <w:rsid w:val="00881F84"/>
    <w:rsid w:val="008846F7"/>
    <w:rsid w:val="00884A80"/>
    <w:rsid w:val="00886932"/>
    <w:rsid w:val="00887033"/>
    <w:rsid w:val="00887118"/>
    <w:rsid w:val="008878CC"/>
    <w:rsid w:val="00887ACB"/>
    <w:rsid w:val="008918FF"/>
    <w:rsid w:val="00892059"/>
    <w:rsid w:val="00895F70"/>
    <w:rsid w:val="00896CBE"/>
    <w:rsid w:val="00897C66"/>
    <w:rsid w:val="008A0F93"/>
    <w:rsid w:val="008A34E4"/>
    <w:rsid w:val="008A3801"/>
    <w:rsid w:val="008A65E3"/>
    <w:rsid w:val="008A72A9"/>
    <w:rsid w:val="008B05CA"/>
    <w:rsid w:val="008B35D7"/>
    <w:rsid w:val="008B3707"/>
    <w:rsid w:val="008B3961"/>
    <w:rsid w:val="008B6704"/>
    <w:rsid w:val="008B75FF"/>
    <w:rsid w:val="008B7779"/>
    <w:rsid w:val="008C001B"/>
    <w:rsid w:val="008C1D4C"/>
    <w:rsid w:val="008C240F"/>
    <w:rsid w:val="008C361E"/>
    <w:rsid w:val="008C6BC3"/>
    <w:rsid w:val="008D239F"/>
    <w:rsid w:val="008D3CCA"/>
    <w:rsid w:val="008D4E9F"/>
    <w:rsid w:val="008D5A39"/>
    <w:rsid w:val="008D5E5E"/>
    <w:rsid w:val="008D7A75"/>
    <w:rsid w:val="008E06EF"/>
    <w:rsid w:val="008E0C03"/>
    <w:rsid w:val="008E0E17"/>
    <w:rsid w:val="008E133E"/>
    <w:rsid w:val="008E304A"/>
    <w:rsid w:val="008E3ECD"/>
    <w:rsid w:val="008E4D85"/>
    <w:rsid w:val="008E78C6"/>
    <w:rsid w:val="008E7A04"/>
    <w:rsid w:val="008F1383"/>
    <w:rsid w:val="008F16AB"/>
    <w:rsid w:val="008F17E8"/>
    <w:rsid w:val="008F21FE"/>
    <w:rsid w:val="008F7249"/>
    <w:rsid w:val="00900B07"/>
    <w:rsid w:val="009042DF"/>
    <w:rsid w:val="00905CA1"/>
    <w:rsid w:val="00906705"/>
    <w:rsid w:val="00906FBC"/>
    <w:rsid w:val="0091394B"/>
    <w:rsid w:val="00915E6C"/>
    <w:rsid w:val="00916379"/>
    <w:rsid w:val="00917357"/>
    <w:rsid w:val="00921236"/>
    <w:rsid w:val="00921299"/>
    <w:rsid w:val="00921827"/>
    <w:rsid w:val="009227AA"/>
    <w:rsid w:val="00922D0D"/>
    <w:rsid w:val="00922E20"/>
    <w:rsid w:val="00924211"/>
    <w:rsid w:val="00925548"/>
    <w:rsid w:val="00930519"/>
    <w:rsid w:val="00934120"/>
    <w:rsid w:val="00935F03"/>
    <w:rsid w:val="009363E3"/>
    <w:rsid w:val="009378FF"/>
    <w:rsid w:val="00941F2B"/>
    <w:rsid w:val="00943CE5"/>
    <w:rsid w:val="00945783"/>
    <w:rsid w:val="00947442"/>
    <w:rsid w:val="00950DEC"/>
    <w:rsid w:val="00953128"/>
    <w:rsid w:val="00953B3E"/>
    <w:rsid w:val="0095494D"/>
    <w:rsid w:val="009565B9"/>
    <w:rsid w:val="00957642"/>
    <w:rsid w:val="00961C97"/>
    <w:rsid w:val="0096415D"/>
    <w:rsid w:val="0096530E"/>
    <w:rsid w:val="00970313"/>
    <w:rsid w:val="00973667"/>
    <w:rsid w:val="009826DE"/>
    <w:rsid w:val="00982DF9"/>
    <w:rsid w:val="00984986"/>
    <w:rsid w:val="00984D23"/>
    <w:rsid w:val="0098534C"/>
    <w:rsid w:val="00987723"/>
    <w:rsid w:val="009901F3"/>
    <w:rsid w:val="009932A2"/>
    <w:rsid w:val="0099440A"/>
    <w:rsid w:val="00996852"/>
    <w:rsid w:val="00997775"/>
    <w:rsid w:val="009A360C"/>
    <w:rsid w:val="009A378E"/>
    <w:rsid w:val="009A3869"/>
    <w:rsid w:val="009A4AC0"/>
    <w:rsid w:val="009B08AC"/>
    <w:rsid w:val="009B145B"/>
    <w:rsid w:val="009B3B86"/>
    <w:rsid w:val="009B3D62"/>
    <w:rsid w:val="009B42C0"/>
    <w:rsid w:val="009B4D65"/>
    <w:rsid w:val="009B6316"/>
    <w:rsid w:val="009B6687"/>
    <w:rsid w:val="009C19BF"/>
    <w:rsid w:val="009C2F02"/>
    <w:rsid w:val="009C445C"/>
    <w:rsid w:val="009C5C8E"/>
    <w:rsid w:val="009C67B5"/>
    <w:rsid w:val="009C74F1"/>
    <w:rsid w:val="009D346D"/>
    <w:rsid w:val="009D3C3C"/>
    <w:rsid w:val="009D4D69"/>
    <w:rsid w:val="009D586D"/>
    <w:rsid w:val="009D6D07"/>
    <w:rsid w:val="009E0049"/>
    <w:rsid w:val="009E2FF7"/>
    <w:rsid w:val="009E3B70"/>
    <w:rsid w:val="009E3BA5"/>
    <w:rsid w:val="009E5681"/>
    <w:rsid w:val="009E6589"/>
    <w:rsid w:val="009F0963"/>
    <w:rsid w:val="009F13F1"/>
    <w:rsid w:val="009F177E"/>
    <w:rsid w:val="009F242C"/>
    <w:rsid w:val="009F343F"/>
    <w:rsid w:val="009F35E5"/>
    <w:rsid w:val="00A014BE"/>
    <w:rsid w:val="00A02430"/>
    <w:rsid w:val="00A1048B"/>
    <w:rsid w:val="00A10FFD"/>
    <w:rsid w:val="00A114BA"/>
    <w:rsid w:val="00A12F95"/>
    <w:rsid w:val="00A13ACB"/>
    <w:rsid w:val="00A163BD"/>
    <w:rsid w:val="00A172A1"/>
    <w:rsid w:val="00A254E7"/>
    <w:rsid w:val="00A26DAA"/>
    <w:rsid w:val="00A26F13"/>
    <w:rsid w:val="00A27E67"/>
    <w:rsid w:val="00A31EB6"/>
    <w:rsid w:val="00A33491"/>
    <w:rsid w:val="00A33617"/>
    <w:rsid w:val="00A33C67"/>
    <w:rsid w:val="00A34456"/>
    <w:rsid w:val="00A35263"/>
    <w:rsid w:val="00A37AA3"/>
    <w:rsid w:val="00A40355"/>
    <w:rsid w:val="00A4144C"/>
    <w:rsid w:val="00A42C8C"/>
    <w:rsid w:val="00A43162"/>
    <w:rsid w:val="00A44AC4"/>
    <w:rsid w:val="00A517AB"/>
    <w:rsid w:val="00A51E7F"/>
    <w:rsid w:val="00A538CB"/>
    <w:rsid w:val="00A610AC"/>
    <w:rsid w:val="00A6163C"/>
    <w:rsid w:val="00A62458"/>
    <w:rsid w:val="00A70E8D"/>
    <w:rsid w:val="00A7167B"/>
    <w:rsid w:val="00A754B2"/>
    <w:rsid w:val="00A77501"/>
    <w:rsid w:val="00A77ACE"/>
    <w:rsid w:val="00A81323"/>
    <w:rsid w:val="00A844F7"/>
    <w:rsid w:val="00A87B3D"/>
    <w:rsid w:val="00A936AE"/>
    <w:rsid w:val="00A96A8A"/>
    <w:rsid w:val="00A96D97"/>
    <w:rsid w:val="00AA104F"/>
    <w:rsid w:val="00AA3154"/>
    <w:rsid w:val="00AA3391"/>
    <w:rsid w:val="00AA4249"/>
    <w:rsid w:val="00AA6CD9"/>
    <w:rsid w:val="00AB1B52"/>
    <w:rsid w:val="00AB55D8"/>
    <w:rsid w:val="00AC1434"/>
    <w:rsid w:val="00AC1C23"/>
    <w:rsid w:val="00AC2534"/>
    <w:rsid w:val="00AC35FB"/>
    <w:rsid w:val="00AC5A93"/>
    <w:rsid w:val="00AC7F46"/>
    <w:rsid w:val="00AD16AA"/>
    <w:rsid w:val="00AD2EB1"/>
    <w:rsid w:val="00AD3743"/>
    <w:rsid w:val="00AE1FB7"/>
    <w:rsid w:val="00AE4789"/>
    <w:rsid w:val="00AE6A8B"/>
    <w:rsid w:val="00AF13E5"/>
    <w:rsid w:val="00AF51C6"/>
    <w:rsid w:val="00AF7292"/>
    <w:rsid w:val="00AF7D3A"/>
    <w:rsid w:val="00B01821"/>
    <w:rsid w:val="00B040E9"/>
    <w:rsid w:val="00B04656"/>
    <w:rsid w:val="00B052BB"/>
    <w:rsid w:val="00B11C9B"/>
    <w:rsid w:val="00B1311D"/>
    <w:rsid w:val="00B13263"/>
    <w:rsid w:val="00B13CF0"/>
    <w:rsid w:val="00B148B4"/>
    <w:rsid w:val="00B14DF8"/>
    <w:rsid w:val="00B1780C"/>
    <w:rsid w:val="00B21BA9"/>
    <w:rsid w:val="00B23347"/>
    <w:rsid w:val="00B25C28"/>
    <w:rsid w:val="00B2681F"/>
    <w:rsid w:val="00B26CBA"/>
    <w:rsid w:val="00B30CC5"/>
    <w:rsid w:val="00B31A79"/>
    <w:rsid w:val="00B31E8C"/>
    <w:rsid w:val="00B32991"/>
    <w:rsid w:val="00B35905"/>
    <w:rsid w:val="00B35C14"/>
    <w:rsid w:val="00B36CA0"/>
    <w:rsid w:val="00B37AD5"/>
    <w:rsid w:val="00B4139D"/>
    <w:rsid w:val="00B422C7"/>
    <w:rsid w:val="00B4393E"/>
    <w:rsid w:val="00B470D1"/>
    <w:rsid w:val="00B5094F"/>
    <w:rsid w:val="00B50F32"/>
    <w:rsid w:val="00B514D3"/>
    <w:rsid w:val="00B52D78"/>
    <w:rsid w:val="00B55156"/>
    <w:rsid w:val="00B555DF"/>
    <w:rsid w:val="00B55C2C"/>
    <w:rsid w:val="00B60256"/>
    <w:rsid w:val="00B62583"/>
    <w:rsid w:val="00B63C8B"/>
    <w:rsid w:val="00B649DC"/>
    <w:rsid w:val="00B67280"/>
    <w:rsid w:val="00B7014E"/>
    <w:rsid w:val="00B71B9F"/>
    <w:rsid w:val="00B742D2"/>
    <w:rsid w:val="00B7502E"/>
    <w:rsid w:val="00B75A48"/>
    <w:rsid w:val="00B76F74"/>
    <w:rsid w:val="00B8383B"/>
    <w:rsid w:val="00B8577A"/>
    <w:rsid w:val="00B93D9A"/>
    <w:rsid w:val="00B94CCF"/>
    <w:rsid w:val="00B960DF"/>
    <w:rsid w:val="00BA335B"/>
    <w:rsid w:val="00BA390F"/>
    <w:rsid w:val="00BA49E7"/>
    <w:rsid w:val="00BA5780"/>
    <w:rsid w:val="00BB07A0"/>
    <w:rsid w:val="00BB1982"/>
    <w:rsid w:val="00BB2C87"/>
    <w:rsid w:val="00BB3FA9"/>
    <w:rsid w:val="00BB48EE"/>
    <w:rsid w:val="00BC0A9F"/>
    <w:rsid w:val="00BC4EF4"/>
    <w:rsid w:val="00BC6243"/>
    <w:rsid w:val="00BC66D1"/>
    <w:rsid w:val="00BC743D"/>
    <w:rsid w:val="00BC77E0"/>
    <w:rsid w:val="00BC78DF"/>
    <w:rsid w:val="00BD3317"/>
    <w:rsid w:val="00BD3712"/>
    <w:rsid w:val="00BD46B4"/>
    <w:rsid w:val="00BD5229"/>
    <w:rsid w:val="00BD5D16"/>
    <w:rsid w:val="00BD6867"/>
    <w:rsid w:val="00BE2F1D"/>
    <w:rsid w:val="00BE37CE"/>
    <w:rsid w:val="00BE3C25"/>
    <w:rsid w:val="00BE6A38"/>
    <w:rsid w:val="00BE6B08"/>
    <w:rsid w:val="00BF03F7"/>
    <w:rsid w:val="00BF32DC"/>
    <w:rsid w:val="00BF40FA"/>
    <w:rsid w:val="00BF4C84"/>
    <w:rsid w:val="00BF4F70"/>
    <w:rsid w:val="00BF5052"/>
    <w:rsid w:val="00BF5074"/>
    <w:rsid w:val="00BF683A"/>
    <w:rsid w:val="00BF77F8"/>
    <w:rsid w:val="00C01684"/>
    <w:rsid w:val="00C02035"/>
    <w:rsid w:val="00C030FC"/>
    <w:rsid w:val="00C041BD"/>
    <w:rsid w:val="00C067A7"/>
    <w:rsid w:val="00C06F0A"/>
    <w:rsid w:val="00C10289"/>
    <w:rsid w:val="00C10B8D"/>
    <w:rsid w:val="00C1119B"/>
    <w:rsid w:val="00C247ED"/>
    <w:rsid w:val="00C2670F"/>
    <w:rsid w:val="00C3075C"/>
    <w:rsid w:val="00C30B37"/>
    <w:rsid w:val="00C31D65"/>
    <w:rsid w:val="00C32158"/>
    <w:rsid w:val="00C34081"/>
    <w:rsid w:val="00C341C2"/>
    <w:rsid w:val="00C366DE"/>
    <w:rsid w:val="00C403DD"/>
    <w:rsid w:val="00C40B6C"/>
    <w:rsid w:val="00C40EE6"/>
    <w:rsid w:val="00C418C2"/>
    <w:rsid w:val="00C42BEE"/>
    <w:rsid w:val="00C46CB4"/>
    <w:rsid w:val="00C47D7F"/>
    <w:rsid w:val="00C55304"/>
    <w:rsid w:val="00C575D7"/>
    <w:rsid w:val="00C60131"/>
    <w:rsid w:val="00C61D06"/>
    <w:rsid w:val="00C64334"/>
    <w:rsid w:val="00C64BFC"/>
    <w:rsid w:val="00C71A5A"/>
    <w:rsid w:val="00C71B81"/>
    <w:rsid w:val="00C71BD4"/>
    <w:rsid w:val="00C72F64"/>
    <w:rsid w:val="00C75E59"/>
    <w:rsid w:val="00C768A1"/>
    <w:rsid w:val="00C7737D"/>
    <w:rsid w:val="00C77D2F"/>
    <w:rsid w:val="00C848B3"/>
    <w:rsid w:val="00C84B48"/>
    <w:rsid w:val="00C8784F"/>
    <w:rsid w:val="00C91290"/>
    <w:rsid w:val="00C92EFC"/>
    <w:rsid w:val="00C947FA"/>
    <w:rsid w:val="00C957D6"/>
    <w:rsid w:val="00CA5D91"/>
    <w:rsid w:val="00CA663F"/>
    <w:rsid w:val="00CA774F"/>
    <w:rsid w:val="00CA7DB3"/>
    <w:rsid w:val="00CB44F6"/>
    <w:rsid w:val="00CB6571"/>
    <w:rsid w:val="00CC49CD"/>
    <w:rsid w:val="00CC51F6"/>
    <w:rsid w:val="00CC6EFD"/>
    <w:rsid w:val="00CC799F"/>
    <w:rsid w:val="00CD10B3"/>
    <w:rsid w:val="00CD35E4"/>
    <w:rsid w:val="00CD4239"/>
    <w:rsid w:val="00CE10C1"/>
    <w:rsid w:val="00CE169A"/>
    <w:rsid w:val="00CE5BCE"/>
    <w:rsid w:val="00CE62ED"/>
    <w:rsid w:val="00CE7026"/>
    <w:rsid w:val="00CF0053"/>
    <w:rsid w:val="00CF17AF"/>
    <w:rsid w:val="00CF3D08"/>
    <w:rsid w:val="00CF4458"/>
    <w:rsid w:val="00CF45A4"/>
    <w:rsid w:val="00CF6DE9"/>
    <w:rsid w:val="00CF76EB"/>
    <w:rsid w:val="00D00A16"/>
    <w:rsid w:val="00D0192A"/>
    <w:rsid w:val="00D03CE5"/>
    <w:rsid w:val="00D05468"/>
    <w:rsid w:val="00D10AEF"/>
    <w:rsid w:val="00D128B7"/>
    <w:rsid w:val="00D1325F"/>
    <w:rsid w:val="00D16029"/>
    <w:rsid w:val="00D16BEB"/>
    <w:rsid w:val="00D21E95"/>
    <w:rsid w:val="00D230FF"/>
    <w:rsid w:val="00D235DF"/>
    <w:rsid w:val="00D24776"/>
    <w:rsid w:val="00D24B20"/>
    <w:rsid w:val="00D25D3B"/>
    <w:rsid w:val="00D25EF9"/>
    <w:rsid w:val="00D27D4E"/>
    <w:rsid w:val="00D31AEC"/>
    <w:rsid w:val="00D326DD"/>
    <w:rsid w:val="00D42515"/>
    <w:rsid w:val="00D5543D"/>
    <w:rsid w:val="00D55477"/>
    <w:rsid w:val="00D57A04"/>
    <w:rsid w:val="00D609AC"/>
    <w:rsid w:val="00D6101D"/>
    <w:rsid w:val="00D6112A"/>
    <w:rsid w:val="00D62220"/>
    <w:rsid w:val="00D6363D"/>
    <w:rsid w:val="00D65290"/>
    <w:rsid w:val="00D667D9"/>
    <w:rsid w:val="00D750CC"/>
    <w:rsid w:val="00D7572B"/>
    <w:rsid w:val="00D76291"/>
    <w:rsid w:val="00D77F03"/>
    <w:rsid w:val="00D83E77"/>
    <w:rsid w:val="00D8545B"/>
    <w:rsid w:val="00D86227"/>
    <w:rsid w:val="00D8746C"/>
    <w:rsid w:val="00D87CAD"/>
    <w:rsid w:val="00D90EDA"/>
    <w:rsid w:val="00D9270F"/>
    <w:rsid w:val="00D94044"/>
    <w:rsid w:val="00DA19CE"/>
    <w:rsid w:val="00DA2FED"/>
    <w:rsid w:val="00DB59CB"/>
    <w:rsid w:val="00DB7230"/>
    <w:rsid w:val="00DB730A"/>
    <w:rsid w:val="00DC0A65"/>
    <w:rsid w:val="00DC1A5A"/>
    <w:rsid w:val="00DC4078"/>
    <w:rsid w:val="00DC428C"/>
    <w:rsid w:val="00DC5CBC"/>
    <w:rsid w:val="00DC615E"/>
    <w:rsid w:val="00DC6167"/>
    <w:rsid w:val="00DC6E4E"/>
    <w:rsid w:val="00DC6F1B"/>
    <w:rsid w:val="00DC76B0"/>
    <w:rsid w:val="00DD00A6"/>
    <w:rsid w:val="00DD0863"/>
    <w:rsid w:val="00DD0FCF"/>
    <w:rsid w:val="00DD12B8"/>
    <w:rsid w:val="00DD2EFA"/>
    <w:rsid w:val="00DD5364"/>
    <w:rsid w:val="00DD7A5A"/>
    <w:rsid w:val="00DE063B"/>
    <w:rsid w:val="00DF0C7C"/>
    <w:rsid w:val="00DF20B0"/>
    <w:rsid w:val="00DF2ABE"/>
    <w:rsid w:val="00DF3EC0"/>
    <w:rsid w:val="00DF3FF1"/>
    <w:rsid w:val="00DF54BE"/>
    <w:rsid w:val="00E015AE"/>
    <w:rsid w:val="00E03DE2"/>
    <w:rsid w:val="00E0532B"/>
    <w:rsid w:val="00E06BEF"/>
    <w:rsid w:val="00E12A4B"/>
    <w:rsid w:val="00E137AE"/>
    <w:rsid w:val="00E165CA"/>
    <w:rsid w:val="00E171CB"/>
    <w:rsid w:val="00E20187"/>
    <w:rsid w:val="00E24056"/>
    <w:rsid w:val="00E245D3"/>
    <w:rsid w:val="00E27E29"/>
    <w:rsid w:val="00E31910"/>
    <w:rsid w:val="00E33C90"/>
    <w:rsid w:val="00E33FF9"/>
    <w:rsid w:val="00E36E8A"/>
    <w:rsid w:val="00E3768E"/>
    <w:rsid w:val="00E37D19"/>
    <w:rsid w:val="00E52035"/>
    <w:rsid w:val="00E538DD"/>
    <w:rsid w:val="00E53C69"/>
    <w:rsid w:val="00E542BB"/>
    <w:rsid w:val="00E5578A"/>
    <w:rsid w:val="00E5646C"/>
    <w:rsid w:val="00E62CE2"/>
    <w:rsid w:val="00E65A24"/>
    <w:rsid w:val="00E65C29"/>
    <w:rsid w:val="00E668EF"/>
    <w:rsid w:val="00E669E6"/>
    <w:rsid w:val="00E7409F"/>
    <w:rsid w:val="00E748E5"/>
    <w:rsid w:val="00E74C8D"/>
    <w:rsid w:val="00E7703E"/>
    <w:rsid w:val="00E801A2"/>
    <w:rsid w:val="00E81861"/>
    <w:rsid w:val="00E83472"/>
    <w:rsid w:val="00E85840"/>
    <w:rsid w:val="00E86016"/>
    <w:rsid w:val="00E90869"/>
    <w:rsid w:val="00E92987"/>
    <w:rsid w:val="00E93F72"/>
    <w:rsid w:val="00E943F4"/>
    <w:rsid w:val="00E949DA"/>
    <w:rsid w:val="00E94B93"/>
    <w:rsid w:val="00E95368"/>
    <w:rsid w:val="00E9721F"/>
    <w:rsid w:val="00EA059B"/>
    <w:rsid w:val="00EA2DA0"/>
    <w:rsid w:val="00EB3428"/>
    <w:rsid w:val="00EB3450"/>
    <w:rsid w:val="00EB3880"/>
    <w:rsid w:val="00EB3FDE"/>
    <w:rsid w:val="00EB5A2B"/>
    <w:rsid w:val="00EB5ED9"/>
    <w:rsid w:val="00EC4DB0"/>
    <w:rsid w:val="00EC5908"/>
    <w:rsid w:val="00EC71B9"/>
    <w:rsid w:val="00ED161F"/>
    <w:rsid w:val="00ED2F3F"/>
    <w:rsid w:val="00ED6765"/>
    <w:rsid w:val="00ED7C97"/>
    <w:rsid w:val="00EE1C2D"/>
    <w:rsid w:val="00EE2ACC"/>
    <w:rsid w:val="00EE5814"/>
    <w:rsid w:val="00EF0855"/>
    <w:rsid w:val="00EF1DC4"/>
    <w:rsid w:val="00EF487F"/>
    <w:rsid w:val="00EF4C0F"/>
    <w:rsid w:val="00F00632"/>
    <w:rsid w:val="00F026CA"/>
    <w:rsid w:val="00F03A01"/>
    <w:rsid w:val="00F04623"/>
    <w:rsid w:val="00F05D6E"/>
    <w:rsid w:val="00F100AC"/>
    <w:rsid w:val="00F10215"/>
    <w:rsid w:val="00F10DDA"/>
    <w:rsid w:val="00F20205"/>
    <w:rsid w:val="00F219EA"/>
    <w:rsid w:val="00F23A9D"/>
    <w:rsid w:val="00F26421"/>
    <w:rsid w:val="00F27788"/>
    <w:rsid w:val="00F303A6"/>
    <w:rsid w:val="00F3067F"/>
    <w:rsid w:val="00F3389C"/>
    <w:rsid w:val="00F33C25"/>
    <w:rsid w:val="00F3481E"/>
    <w:rsid w:val="00F42A60"/>
    <w:rsid w:val="00F44D0C"/>
    <w:rsid w:val="00F467E4"/>
    <w:rsid w:val="00F56C26"/>
    <w:rsid w:val="00F60D66"/>
    <w:rsid w:val="00F616E5"/>
    <w:rsid w:val="00F61835"/>
    <w:rsid w:val="00F65310"/>
    <w:rsid w:val="00F669ED"/>
    <w:rsid w:val="00F67AE6"/>
    <w:rsid w:val="00F81BA9"/>
    <w:rsid w:val="00F82975"/>
    <w:rsid w:val="00F831E8"/>
    <w:rsid w:val="00F84171"/>
    <w:rsid w:val="00F87220"/>
    <w:rsid w:val="00F90151"/>
    <w:rsid w:val="00F91A85"/>
    <w:rsid w:val="00F91AD8"/>
    <w:rsid w:val="00F96603"/>
    <w:rsid w:val="00F96672"/>
    <w:rsid w:val="00F96D77"/>
    <w:rsid w:val="00FA00DC"/>
    <w:rsid w:val="00FA0B65"/>
    <w:rsid w:val="00FA42D1"/>
    <w:rsid w:val="00FA4969"/>
    <w:rsid w:val="00FA62AE"/>
    <w:rsid w:val="00FA7D73"/>
    <w:rsid w:val="00FB0D9D"/>
    <w:rsid w:val="00FB3711"/>
    <w:rsid w:val="00FB41B9"/>
    <w:rsid w:val="00FC5D2E"/>
    <w:rsid w:val="00FD1F35"/>
    <w:rsid w:val="00FD3AD0"/>
    <w:rsid w:val="00FD5181"/>
    <w:rsid w:val="00FD62CD"/>
    <w:rsid w:val="00FD76C0"/>
    <w:rsid w:val="00FE16A7"/>
    <w:rsid w:val="00FE3661"/>
    <w:rsid w:val="00FE4AAC"/>
    <w:rsid w:val="00FE59BA"/>
    <w:rsid w:val="00FE7268"/>
    <w:rsid w:val="00FF69B6"/>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9915AF"/>
  <w15:docId w15:val="{9DB4A7F1-D111-4664-B10C-BFA8C91F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E0"/>
    <w:pPr>
      <w:spacing w:after="80"/>
    </w:pPr>
    <w:rPr>
      <w:rFonts w:ascii="Century Gothic" w:hAnsi="Century Gothic"/>
      <w:sz w:val="18"/>
      <w:lang w:val="en-AU"/>
    </w:rPr>
  </w:style>
  <w:style w:type="paragraph" w:styleId="Heading1">
    <w:name w:val="heading 1"/>
    <w:basedOn w:val="Normal"/>
    <w:next w:val="Normal"/>
    <w:link w:val="Heading1Char"/>
    <w:uiPriority w:val="9"/>
    <w:qFormat/>
    <w:rsid w:val="00727214"/>
    <w:pPr>
      <w:keepNext/>
      <w:keepLines/>
      <w:spacing w:after="180"/>
      <w:outlineLvl w:val="0"/>
    </w:pPr>
    <w:rPr>
      <w:rFonts w:eastAsiaTheme="majorEastAsia" w:cstheme="majorBidi"/>
      <w:b/>
      <w:bCs/>
      <w:caps/>
      <w:color w:val="28597C"/>
      <w:sz w:val="40"/>
      <w:szCs w:val="28"/>
    </w:rPr>
  </w:style>
  <w:style w:type="paragraph" w:styleId="Heading2">
    <w:name w:val="heading 2"/>
    <w:basedOn w:val="Normal"/>
    <w:next w:val="Normal"/>
    <w:link w:val="Heading2Char"/>
    <w:uiPriority w:val="9"/>
    <w:unhideWhenUsed/>
    <w:qFormat/>
    <w:rsid w:val="00112891"/>
    <w:pPr>
      <w:keepNext/>
      <w:keepLines/>
      <w:outlineLvl w:val="1"/>
    </w:pPr>
    <w:rPr>
      <w:rFonts w:eastAsiaTheme="majorEastAsia" w:cstheme="majorBidi"/>
      <w:b/>
      <w:bCs/>
      <w:color w:val="4FBE9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14"/>
  </w:style>
  <w:style w:type="paragraph" w:styleId="Footer">
    <w:name w:val="footer"/>
    <w:basedOn w:val="Normal"/>
    <w:link w:val="FooterChar"/>
    <w:uiPriority w:val="99"/>
    <w:unhideWhenUsed/>
    <w:rsid w:val="0072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14"/>
  </w:style>
  <w:style w:type="paragraph" w:styleId="Title">
    <w:name w:val="Title"/>
    <w:basedOn w:val="Normal"/>
    <w:next w:val="Normal"/>
    <w:link w:val="TitleChar"/>
    <w:uiPriority w:val="10"/>
    <w:qFormat/>
    <w:rsid w:val="00727214"/>
    <w:pPr>
      <w:spacing w:after="300" w:line="240" w:lineRule="auto"/>
      <w:contextualSpacing/>
    </w:pPr>
    <w:rPr>
      <w:rFonts w:eastAsiaTheme="majorEastAsia" w:cstheme="majorBidi"/>
      <w:b/>
      <w:color w:val="484C4C"/>
      <w:spacing w:val="5"/>
      <w:kern w:val="28"/>
      <w:sz w:val="88"/>
      <w:szCs w:val="52"/>
    </w:rPr>
  </w:style>
  <w:style w:type="character" w:customStyle="1" w:styleId="TitleChar">
    <w:name w:val="Title Char"/>
    <w:basedOn w:val="DefaultParagraphFont"/>
    <w:link w:val="Title"/>
    <w:uiPriority w:val="10"/>
    <w:rsid w:val="00727214"/>
    <w:rPr>
      <w:rFonts w:ascii="Century Gothic" w:eastAsiaTheme="majorEastAsia" w:hAnsi="Century Gothic" w:cstheme="majorBidi"/>
      <w:b/>
      <w:color w:val="484C4C"/>
      <w:spacing w:val="5"/>
      <w:kern w:val="28"/>
      <w:sz w:val="88"/>
      <w:szCs w:val="52"/>
    </w:rPr>
  </w:style>
  <w:style w:type="paragraph" w:styleId="BalloonText">
    <w:name w:val="Balloon Text"/>
    <w:basedOn w:val="Normal"/>
    <w:link w:val="BalloonTextChar"/>
    <w:uiPriority w:val="99"/>
    <w:semiHidden/>
    <w:unhideWhenUsed/>
    <w:rsid w:val="0072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14"/>
    <w:rPr>
      <w:rFonts w:ascii="Tahoma" w:hAnsi="Tahoma" w:cs="Tahoma"/>
      <w:sz w:val="16"/>
      <w:szCs w:val="16"/>
    </w:rPr>
  </w:style>
  <w:style w:type="character" w:customStyle="1" w:styleId="Heading1Char">
    <w:name w:val="Heading 1 Char"/>
    <w:basedOn w:val="DefaultParagraphFont"/>
    <w:link w:val="Heading1"/>
    <w:uiPriority w:val="9"/>
    <w:rsid w:val="00727214"/>
    <w:rPr>
      <w:rFonts w:ascii="Century Gothic" w:eastAsiaTheme="majorEastAsia" w:hAnsi="Century Gothic" w:cstheme="majorBidi"/>
      <w:b/>
      <w:bCs/>
      <w:caps/>
      <w:color w:val="28597C"/>
      <w:sz w:val="40"/>
      <w:szCs w:val="28"/>
    </w:rPr>
  </w:style>
  <w:style w:type="paragraph" w:customStyle="1" w:styleId="ListStyle1">
    <w:name w:val="List Style 1"/>
    <w:basedOn w:val="ListParagraph"/>
    <w:link w:val="ListStyle1Char"/>
    <w:qFormat/>
    <w:rsid w:val="00A844F7"/>
    <w:pPr>
      <w:numPr>
        <w:numId w:val="1"/>
      </w:numPr>
      <w:spacing w:after="120"/>
      <w:ind w:left="357" w:hanging="357"/>
    </w:pPr>
  </w:style>
  <w:style w:type="character" w:customStyle="1" w:styleId="ListStyle1Char">
    <w:name w:val="List Style 1 Char"/>
    <w:basedOn w:val="DefaultParagraphFont"/>
    <w:link w:val="ListStyle1"/>
    <w:rsid w:val="00A844F7"/>
    <w:rPr>
      <w:rFonts w:ascii="Century Gothic" w:hAnsi="Century Gothic"/>
      <w:sz w:val="18"/>
    </w:rPr>
  </w:style>
  <w:style w:type="character" w:styleId="FootnoteReference">
    <w:name w:val="footnote reference"/>
    <w:basedOn w:val="DefaultParagraphFont"/>
    <w:uiPriority w:val="99"/>
    <w:semiHidden/>
    <w:unhideWhenUsed/>
    <w:rsid w:val="00A844F7"/>
    <w:rPr>
      <w:vertAlign w:val="superscript"/>
    </w:rPr>
  </w:style>
  <w:style w:type="paragraph" w:styleId="ListParagraph">
    <w:name w:val="List Paragraph"/>
    <w:aliases w:val="Recommendation,List Paragraph1,List Paragraph11,Bullet point,List Paragraph Number"/>
    <w:basedOn w:val="Normal"/>
    <w:link w:val="ListParagraphChar"/>
    <w:uiPriority w:val="34"/>
    <w:qFormat/>
    <w:rsid w:val="00A844F7"/>
    <w:pPr>
      <w:ind w:left="720"/>
      <w:contextualSpacing/>
    </w:pPr>
  </w:style>
  <w:style w:type="character" w:customStyle="1" w:styleId="Heading2Char">
    <w:name w:val="Heading 2 Char"/>
    <w:basedOn w:val="DefaultParagraphFont"/>
    <w:link w:val="Heading2"/>
    <w:uiPriority w:val="9"/>
    <w:rsid w:val="00112891"/>
    <w:rPr>
      <w:rFonts w:ascii="Century Gothic" w:eastAsiaTheme="majorEastAsia" w:hAnsi="Century Gothic" w:cstheme="majorBidi"/>
      <w:b/>
      <w:bCs/>
      <w:color w:val="4FBE9B"/>
      <w:sz w:val="28"/>
      <w:szCs w:val="26"/>
    </w:rPr>
  </w:style>
  <w:style w:type="paragraph" w:styleId="TOCHeading">
    <w:name w:val="TOC Heading"/>
    <w:basedOn w:val="Heading1"/>
    <w:next w:val="Normal"/>
    <w:uiPriority w:val="39"/>
    <w:unhideWhenUsed/>
    <w:qFormat/>
    <w:rsid w:val="00C60131"/>
    <w:p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60131"/>
    <w:pPr>
      <w:spacing w:after="100"/>
    </w:pPr>
  </w:style>
  <w:style w:type="paragraph" w:styleId="TOC2">
    <w:name w:val="toc 2"/>
    <w:basedOn w:val="Normal"/>
    <w:next w:val="Normal"/>
    <w:autoRedefine/>
    <w:uiPriority w:val="39"/>
    <w:unhideWhenUsed/>
    <w:rsid w:val="00C60131"/>
    <w:pPr>
      <w:spacing w:after="100"/>
      <w:ind w:left="180"/>
    </w:pPr>
  </w:style>
  <w:style w:type="character" w:styleId="Hyperlink">
    <w:name w:val="Hyperlink"/>
    <w:basedOn w:val="DefaultParagraphFont"/>
    <w:uiPriority w:val="99"/>
    <w:unhideWhenUsed/>
    <w:rsid w:val="00C60131"/>
    <w:rPr>
      <w:color w:val="0000FF" w:themeColor="hyperlink"/>
      <w:u w:val="single"/>
    </w:rPr>
  </w:style>
  <w:style w:type="paragraph" w:customStyle="1" w:styleId="Body">
    <w:name w:val="Body"/>
    <w:basedOn w:val="Normal"/>
    <w:uiPriority w:val="99"/>
    <w:rsid w:val="00AC1C23"/>
    <w:pPr>
      <w:widowControl w:val="0"/>
      <w:suppressAutoHyphens/>
      <w:autoSpaceDE w:val="0"/>
      <w:autoSpaceDN w:val="0"/>
      <w:adjustRightInd w:val="0"/>
      <w:spacing w:before="113" w:after="0" w:line="250" w:lineRule="atLeast"/>
      <w:textAlignment w:val="center"/>
    </w:pPr>
    <w:rPr>
      <w:rFonts w:ascii="CenturyGothic" w:hAnsi="CenturyGothic" w:cs="CenturyGothic"/>
      <w:color w:val="000000"/>
      <w:spacing w:val="2"/>
      <w:szCs w:val="18"/>
    </w:rPr>
  </w:style>
  <w:style w:type="paragraph" w:styleId="FootnoteText">
    <w:name w:val="footnote text"/>
    <w:basedOn w:val="Normal"/>
    <w:link w:val="FootnoteTextChar"/>
    <w:uiPriority w:val="99"/>
    <w:semiHidden/>
    <w:unhideWhenUsed/>
    <w:rsid w:val="00091AB8"/>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091AB8"/>
    <w:rPr>
      <w:rFonts w:ascii="Arial" w:hAnsi="Arial"/>
      <w:sz w:val="20"/>
      <w:szCs w:val="20"/>
      <w:lang w:val="en-AU"/>
    </w:rPr>
  </w:style>
  <w:style w:type="table" w:styleId="TableGrid">
    <w:name w:val="Table Grid"/>
    <w:basedOn w:val="TableNormal"/>
    <w:uiPriority w:val="39"/>
    <w:rsid w:val="00091A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
    <w:link w:val="ListParagraph"/>
    <w:uiPriority w:val="34"/>
    <w:locked/>
    <w:rsid w:val="00091AB8"/>
    <w:rPr>
      <w:rFonts w:ascii="Century Gothic" w:hAnsi="Century Gothic"/>
      <w:sz w:val="18"/>
    </w:rPr>
  </w:style>
  <w:style w:type="paragraph" w:styleId="NormalWeb">
    <w:name w:val="Normal (Web)"/>
    <w:basedOn w:val="Normal"/>
    <w:uiPriority w:val="99"/>
    <w:unhideWhenUsed/>
    <w:rsid w:val="00091A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861A2"/>
    <w:rPr>
      <w:b/>
      <w:bCs/>
    </w:rPr>
  </w:style>
  <w:style w:type="character" w:styleId="CommentReference">
    <w:name w:val="annotation reference"/>
    <w:basedOn w:val="DefaultParagraphFont"/>
    <w:uiPriority w:val="99"/>
    <w:semiHidden/>
    <w:unhideWhenUsed/>
    <w:rsid w:val="001D398F"/>
    <w:rPr>
      <w:sz w:val="16"/>
      <w:szCs w:val="16"/>
    </w:rPr>
  </w:style>
  <w:style w:type="paragraph" w:styleId="CommentText">
    <w:name w:val="annotation text"/>
    <w:basedOn w:val="Normal"/>
    <w:link w:val="CommentTextChar"/>
    <w:uiPriority w:val="99"/>
    <w:unhideWhenUsed/>
    <w:rsid w:val="001D398F"/>
    <w:pPr>
      <w:spacing w:line="240" w:lineRule="auto"/>
    </w:pPr>
    <w:rPr>
      <w:sz w:val="20"/>
      <w:szCs w:val="20"/>
    </w:rPr>
  </w:style>
  <w:style w:type="character" w:customStyle="1" w:styleId="CommentTextChar">
    <w:name w:val="Comment Text Char"/>
    <w:basedOn w:val="DefaultParagraphFont"/>
    <w:link w:val="CommentText"/>
    <w:uiPriority w:val="99"/>
    <w:rsid w:val="001D398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1D398F"/>
    <w:rPr>
      <w:b/>
      <w:bCs/>
    </w:rPr>
  </w:style>
  <w:style w:type="character" w:customStyle="1" w:styleId="CommentSubjectChar">
    <w:name w:val="Comment Subject Char"/>
    <w:basedOn w:val="CommentTextChar"/>
    <w:link w:val="CommentSubject"/>
    <w:uiPriority w:val="99"/>
    <w:semiHidden/>
    <w:rsid w:val="001D398F"/>
    <w:rPr>
      <w:rFonts w:ascii="Century Gothic" w:hAnsi="Century Gothic"/>
      <w:b/>
      <w:bCs/>
      <w:sz w:val="20"/>
      <w:szCs w:val="20"/>
    </w:rPr>
  </w:style>
  <w:style w:type="paragraph" w:customStyle="1" w:styleId="Default">
    <w:name w:val="Default"/>
    <w:rsid w:val="00CA5D91"/>
    <w:pPr>
      <w:autoSpaceDE w:val="0"/>
      <w:autoSpaceDN w:val="0"/>
      <w:adjustRightInd w:val="0"/>
      <w:spacing w:after="0" w:line="240" w:lineRule="auto"/>
    </w:pPr>
    <w:rPr>
      <w:rFonts w:ascii="Century Gothic" w:hAnsi="Century Gothic" w:cs="Century Gothic"/>
      <w:color w:val="000000"/>
      <w:sz w:val="24"/>
      <w:szCs w:val="24"/>
      <w:lang w:val="en-AU"/>
    </w:rPr>
  </w:style>
  <w:style w:type="paragraph" w:customStyle="1" w:styleId="h3">
    <w:name w:val="h3"/>
    <w:basedOn w:val="Heading2"/>
    <w:link w:val="h3Char"/>
    <w:qFormat/>
    <w:rsid w:val="00CA5D91"/>
    <w:pPr>
      <w:outlineLvl w:val="2"/>
    </w:pPr>
    <w:rPr>
      <w:color w:val="FFA74F"/>
    </w:rPr>
  </w:style>
  <w:style w:type="character" w:customStyle="1" w:styleId="h3Char">
    <w:name w:val="h3 Char"/>
    <w:basedOn w:val="Heading2Char"/>
    <w:link w:val="h3"/>
    <w:rsid w:val="00CA5D91"/>
    <w:rPr>
      <w:rFonts w:ascii="Century Gothic" w:eastAsiaTheme="majorEastAsia" w:hAnsi="Century Gothic" w:cstheme="majorBidi"/>
      <w:b/>
      <w:bCs/>
      <w:color w:val="FFA74F"/>
      <w:sz w:val="28"/>
      <w:szCs w:val="26"/>
    </w:rPr>
  </w:style>
  <w:style w:type="paragraph" w:customStyle="1" w:styleId="h2">
    <w:name w:val="h2"/>
    <w:basedOn w:val="Heading1"/>
    <w:link w:val="h2Char"/>
    <w:qFormat/>
    <w:rsid w:val="00CA5D91"/>
    <w:pPr>
      <w:outlineLvl w:val="1"/>
    </w:pPr>
    <w:rPr>
      <w:color w:val="7E0000"/>
    </w:rPr>
  </w:style>
  <w:style w:type="character" w:customStyle="1" w:styleId="h2Char">
    <w:name w:val="h2 Char"/>
    <w:basedOn w:val="Heading1Char"/>
    <w:link w:val="h2"/>
    <w:rsid w:val="00CA5D91"/>
    <w:rPr>
      <w:rFonts w:ascii="Century Gothic" w:eastAsiaTheme="majorEastAsia" w:hAnsi="Century Gothic" w:cstheme="majorBidi"/>
      <w:b/>
      <w:bCs/>
      <w:caps/>
      <w:color w:val="7E0000"/>
      <w:sz w:val="40"/>
      <w:szCs w:val="28"/>
    </w:rPr>
  </w:style>
  <w:style w:type="paragraph" w:styleId="NoSpacing">
    <w:name w:val="No Spacing"/>
    <w:uiPriority w:val="1"/>
    <w:qFormat/>
    <w:rsid w:val="00CA5D91"/>
    <w:pPr>
      <w:spacing w:after="0" w:line="240" w:lineRule="auto"/>
    </w:pPr>
    <w:rPr>
      <w:rFonts w:ascii="Century Gothic" w:hAnsi="Century Gothic"/>
      <w:sz w:val="18"/>
    </w:rPr>
  </w:style>
  <w:style w:type="character" w:styleId="BookTitle">
    <w:name w:val="Book Title"/>
    <w:uiPriority w:val="33"/>
    <w:qFormat/>
    <w:rsid w:val="00597773"/>
    <w:rPr>
      <w:i/>
      <w:iCs/>
      <w:smallCaps/>
      <w:spacing w:val="5"/>
    </w:rPr>
  </w:style>
  <w:style w:type="paragraph" w:styleId="TOC3">
    <w:name w:val="toc 3"/>
    <w:basedOn w:val="Normal"/>
    <w:next w:val="Normal"/>
    <w:autoRedefine/>
    <w:uiPriority w:val="39"/>
    <w:unhideWhenUsed/>
    <w:rsid w:val="00C34081"/>
    <w:pPr>
      <w:spacing w:after="100"/>
      <w:ind w:left="360"/>
    </w:pPr>
  </w:style>
  <w:style w:type="paragraph" w:styleId="Revision">
    <w:name w:val="Revision"/>
    <w:hidden/>
    <w:uiPriority w:val="99"/>
    <w:semiHidden/>
    <w:rsid w:val="005F674C"/>
    <w:pPr>
      <w:spacing w:after="0" w:line="240" w:lineRule="auto"/>
    </w:pPr>
    <w:rPr>
      <w:rFonts w:ascii="Century Gothic" w:hAnsi="Century Gothic"/>
      <w:sz w:val="18"/>
    </w:rPr>
  </w:style>
  <w:style w:type="character" w:styleId="FollowedHyperlink">
    <w:name w:val="FollowedHyperlink"/>
    <w:basedOn w:val="DefaultParagraphFont"/>
    <w:uiPriority w:val="99"/>
    <w:semiHidden/>
    <w:unhideWhenUsed/>
    <w:rsid w:val="00B040E9"/>
    <w:rPr>
      <w:color w:val="800080" w:themeColor="followedHyperlink"/>
      <w:u w:val="single"/>
    </w:rPr>
  </w:style>
  <w:style w:type="paragraph" w:customStyle="1" w:styleId="h2blue">
    <w:name w:val="h2 blue"/>
    <w:basedOn w:val="Heading1"/>
    <w:link w:val="h2blueChar"/>
    <w:qFormat/>
    <w:rsid w:val="00F61835"/>
    <w:pPr>
      <w:spacing w:before="120" w:after="480"/>
      <w:outlineLvl w:val="1"/>
    </w:pPr>
  </w:style>
  <w:style w:type="paragraph" w:customStyle="1" w:styleId="h3green">
    <w:name w:val="h3 green"/>
    <w:basedOn w:val="Heading2"/>
    <w:link w:val="h3greenChar"/>
    <w:qFormat/>
    <w:rsid w:val="00F61835"/>
    <w:pPr>
      <w:spacing w:before="200" w:after="200"/>
      <w:outlineLvl w:val="2"/>
    </w:pPr>
  </w:style>
  <w:style w:type="character" w:customStyle="1" w:styleId="h2blueChar">
    <w:name w:val="h2 blue Char"/>
    <w:basedOn w:val="Heading1Char"/>
    <w:link w:val="h2blue"/>
    <w:rsid w:val="00F61835"/>
    <w:rPr>
      <w:rFonts w:ascii="Century Gothic" w:eastAsiaTheme="majorEastAsia" w:hAnsi="Century Gothic" w:cstheme="majorBidi"/>
      <w:b/>
      <w:bCs/>
      <w:caps/>
      <w:color w:val="28597C"/>
      <w:sz w:val="40"/>
      <w:szCs w:val="28"/>
      <w:lang w:val="en-AU"/>
    </w:rPr>
  </w:style>
  <w:style w:type="paragraph" w:customStyle="1" w:styleId="h4">
    <w:name w:val="h4"/>
    <w:basedOn w:val="h3"/>
    <w:link w:val="h4Char"/>
    <w:qFormat/>
    <w:rsid w:val="00F61835"/>
    <w:pPr>
      <w:outlineLvl w:val="3"/>
    </w:pPr>
    <w:rPr>
      <w:color w:val="403152" w:themeColor="accent4" w:themeShade="80"/>
    </w:rPr>
  </w:style>
  <w:style w:type="character" w:customStyle="1" w:styleId="h3greenChar">
    <w:name w:val="h3 green Char"/>
    <w:basedOn w:val="Heading2Char"/>
    <w:link w:val="h3green"/>
    <w:rsid w:val="00F61835"/>
    <w:rPr>
      <w:rFonts w:ascii="Century Gothic" w:eastAsiaTheme="majorEastAsia" w:hAnsi="Century Gothic" w:cstheme="majorBidi"/>
      <w:b/>
      <w:bCs/>
      <w:color w:val="4FBE9B"/>
      <w:sz w:val="28"/>
      <w:szCs w:val="26"/>
      <w:lang w:val="en-AU"/>
    </w:rPr>
  </w:style>
  <w:style w:type="character" w:customStyle="1" w:styleId="h4Char">
    <w:name w:val="h4 Char"/>
    <w:basedOn w:val="h3Char"/>
    <w:link w:val="h4"/>
    <w:rsid w:val="00F61835"/>
    <w:rPr>
      <w:rFonts w:ascii="Century Gothic" w:eastAsiaTheme="majorEastAsia" w:hAnsi="Century Gothic" w:cstheme="majorBidi"/>
      <w:b/>
      <w:bCs/>
      <w:color w:val="403152" w:themeColor="accent4" w:themeShade="80"/>
      <w:sz w:val="28"/>
      <w:szCs w:val="26"/>
      <w:lang w:val="en-AU"/>
    </w:rPr>
  </w:style>
  <w:style w:type="paragraph" w:customStyle="1" w:styleId="h4small">
    <w:name w:val="h4 small"/>
    <w:basedOn w:val="Normal"/>
    <w:link w:val="h4smallChar"/>
    <w:qFormat/>
    <w:rsid w:val="00684609"/>
    <w:pPr>
      <w:spacing w:after="200"/>
      <w:ind w:left="709"/>
      <w:outlineLvl w:val="3"/>
    </w:pPr>
    <w:rPr>
      <w:b/>
      <w:lang w:val="en-US"/>
    </w:rPr>
  </w:style>
  <w:style w:type="character" w:customStyle="1" w:styleId="h4smallChar">
    <w:name w:val="h4 small Char"/>
    <w:basedOn w:val="DefaultParagraphFont"/>
    <w:link w:val="h4small"/>
    <w:rsid w:val="00684609"/>
    <w:rPr>
      <w:rFonts w:ascii="Century Gothic" w:hAnsi="Century Gothic"/>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8377">
      <w:bodyDiv w:val="1"/>
      <w:marLeft w:val="0"/>
      <w:marRight w:val="0"/>
      <w:marTop w:val="0"/>
      <w:marBottom w:val="0"/>
      <w:divBdr>
        <w:top w:val="none" w:sz="0" w:space="0" w:color="auto"/>
        <w:left w:val="none" w:sz="0" w:space="0" w:color="auto"/>
        <w:bottom w:val="none" w:sz="0" w:space="0" w:color="auto"/>
        <w:right w:val="none" w:sz="0" w:space="0" w:color="auto"/>
      </w:divBdr>
    </w:div>
    <w:div w:id="240145138">
      <w:bodyDiv w:val="1"/>
      <w:marLeft w:val="0"/>
      <w:marRight w:val="0"/>
      <w:marTop w:val="0"/>
      <w:marBottom w:val="0"/>
      <w:divBdr>
        <w:top w:val="none" w:sz="0" w:space="0" w:color="auto"/>
        <w:left w:val="none" w:sz="0" w:space="0" w:color="auto"/>
        <w:bottom w:val="none" w:sz="0" w:space="0" w:color="auto"/>
        <w:right w:val="none" w:sz="0" w:space="0" w:color="auto"/>
      </w:divBdr>
    </w:div>
    <w:div w:id="436488276">
      <w:bodyDiv w:val="1"/>
      <w:marLeft w:val="0"/>
      <w:marRight w:val="0"/>
      <w:marTop w:val="0"/>
      <w:marBottom w:val="0"/>
      <w:divBdr>
        <w:top w:val="none" w:sz="0" w:space="0" w:color="auto"/>
        <w:left w:val="none" w:sz="0" w:space="0" w:color="auto"/>
        <w:bottom w:val="none" w:sz="0" w:space="0" w:color="auto"/>
        <w:right w:val="none" w:sz="0" w:space="0" w:color="auto"/>
      </w:divBdr>
    </w:div>
    <w:div w:id="573706257">
      <w:bodyDiv w:val="1"/>
      <w:marLeft w:val="0"/>
      <w:marRight w:val="0"/>
      <w:marTop w:val="0"/>
      <w:marBottom w:val="0"/>
      <w:divBdr>
        <w:top w:val="none" w:sz="0" w:space="0" w:color="auto"/>
        <w:left w:val="none" w:sz="0" w:space="0" w:color="auto"/>
        <w:bottom w:val="none" w:sz="0" w:space="0" w:color="auto"/>
        <w:right w:val="none" w:sz="0" w:space="0" w:color="auto"/>
      </w:divBdr>
    </w:div>
    <w:div w:id="848643907">
      <w:bodyDiv w:val="1"/>
      <w:marLeft w:val="0"/>
      <w:marRight w:val="0"/>
      <w:marTop w:val="0"/>
      <w:marBottom w:val="0"/>
      <w:divBdr>
        <w:top w:val="none" w:sz="0" w:space="0" w:color="auto"/>
        <w:left w:val="none" w:sz="0" w:space="0" w:color="auto"/>
        <w:bottom w:val="none" w:sz="0" w:space="0" w:color="auto"/>
        <w:right w:val="none" w:sz="0" w:space="0" w:color="auto"/>
      </w:divBdr>
    </w:div>
    <w:div w:id="849949338">
      <w:bodyDiv w:val="1"/>
      <w:marLeft w:val="0"/>
      <w:marRight w:val="0"/>
      <w:marTop w:val="0"/>
      <w:marBottom w:val="0"/>
      <w:divBdr>
        <w:top w:val="none" w:sz="0" w:space="0" w:color="auto"/>
        <w:left w:val="none" w:sz="0" w:space="0" w:color="auto"/>
        <w:bottom w:val="none" w:sz="0" w:space="0" w:color="auto"/>
        <w:right w:val="none" w:sz="0" w:space="0" w:color="auto"/>
      </w:divBdr>
    </w:div>
    <w:div w:id="1050423228">
      <w:bodyDiv w:val="1"/>
      <w:marLeft w:val="0"/>
      <w:marRight w:val="0"/>
      <w:marTop w:val="0"/>
      <w:marBottom w:val="0"/>
      <w:divBdr>
        <w:top w:val="none" w:sz="0" w:space="0" w:color="auto"/>
        <w:left w:val="none" w:sz="0" w:space="0" w:color="auto"/>
        <w:bottom w:val="none" w:sz="0" w:space="0" w:color="auto"/>
        <w:right w:val="none" w:sz="0" w:space="0" w:color="auto"/>
      </w:divBdr>
    </w:div>
    <w:div w:id="1090078745">
      <w:bodyDiv w:val="1"/>
      <w:marLeft w:val="0"/>
      <w:marRight w:val="0"/>
      <w:marTop w:val="0"/>
      <w:marBottom w:val="0"/>
      <w:divBdr>
        <w:top w:val="none" w:sz="0" w:space="0" w:color="auto"/>
        <w:left w:val="none" w:sz="0" w:space="0" w:color="auto"/>
        <w:bottom w:val="none" w:sz="0" w:space="0" w:color="auto"/>
        <w:right w:val="none" w:sz="0" w:space="0" w:color="auto"/>
      </w:divBdr>
    </w:div>
    <w:div w:id="1149712075">
      <w:bodyDiv w:val="1"/>
      <w:marLeft w:val="0"/>
      <w:marRight w:val="0"/>
      <w:marTop w:val="0"/>
      <w:marBottom w:val="0"/>
      <w:divBdr>
        <w:top w:val="none" w:sz="0" w:space="0" w:color="auto"/>
        <w:left w:val="none" w:sz="0" w:space="0" w:color="auto"/>
        <w:bottom w:val="none" w:sz="0" w:space="0" w:color="auto"/>
        <w:right w:val="none" w:sz="0" w:space="0" w:color="auto"/>
      </w:divBdr>
    </w:div>
    <w:div w:id="1153762049">
      <w:bodyDiv w:val="1"/>
      <w:marLeft w:val="0"/>
      <w:marRight w:val="0"/>
      <w:marTop w:val="0"/>
      <w:marBottom w:val="0"/>
      <w:divBdr>
        <w:top w:val="none" w:sz="0" w:space="0" w:color="auto"/>
        <w:left w:val="none" w:sz="0" w:space="0" w:color="auto"/>
        <w:bottom w:val="none" w:sz="0" w:space="0" w:color="auto"/>
        <w:right w:val="none" w:sz="0" w:space="0" w:color="auto"/>
      </w:divBdr>
    </w:div>
    <w:div w:id="1171069493">
      <w:bodyDiv w:val="1"/>
      <w:marLeft w:val="0"/>
      <w:marRight w:val="0"/>
      <w:marTop w:val="0"/>
      <w:marBottom w:val="0"/>
      <w:divBdr>
        <w:top w:val="none" w:sz="0" w:space="0" w:color="auto"/>
        <w:left w:val="none" w:sz="0" w:space="0" w:color="auto"/>
        <w:bottom w:val="none" w:sz="0" w:space="0" w:color="auto"/>
        <w:right w:val="none" w:sz="0" w:space="0" w:color="auto"/>
      </w:divBdr>
    </w:div>
    <w:div w:id="1342396920">
      <w:bodyDiv w:val="1"/>
      <w:marLeft w:val="0"/>
      <w:marRight w:val="0"/>
      <w:marTop w:val="0"/>
      <w:marBottom w:val="0"/>
      <w:divBdr>
        <w:top w:val="none" w:sz="0" w:space="0" w:color="auto"/>
        <w:left w:val="none" w:sz="0" w:space="0" w:color="auto"/>
        <w:bottom w:val="none" w:sz="0" w:space="0" w:color="auto"/>
        <w:right w:val="none" w:sz="0" w:space="0" w:color="auto"/>
      </w:divBdr>
    </w:div>
    <w:div w:id="1547832729">
      <w:bodyDiv w:val="1"/>
      <w:marLeft w:val="0"/>
      <w:marRight w:val="0"/>
      <w:marTop w:val="0"/>
      <w:marBottom w:val="0"/>
      <w:divBdr>
        <w:top w:val="none" w:sz="0" w:space="0" w:color="auto"/>
        <w:left w:val="none" w:sz="0" w:space="0" w:color="auto"/>
        <w:bottom w:val="none" w:sz="0" w:space="0" w:color="auto"/>
        <w:right w:val="none" w:sz="0" w:space="0" w:color="auto"/>
      </w:divBdr>
    </w:div>
    <w:div w:id="1561288936">
      <w:bodyDiv w:val="1"/>
      <w:marLeft w:val="0"/>
      <w:marRight w:val="0"/>
      <w:marTop w:val="0"/>
      <w:marBottom w:val="0"/>
      <w:divBdr>
        <w:top w:val="none" w:sz="0" w:space="0" w:color="auto"/>
        <w:left w:val="none" w:sz="0" w:space="0" w:color="auto"/>
        <w:bottom w:val="none" w:sz="0" w:space="0" w:color="auto"/>
        <w:right w:val="none" w:sz="0" w:space="0" w:color="auto"/>
      </w:divBdr>
    </w:div>
    <w:div w:id="1660234490">
      <w:bodyDiv w:val="1"/>
      <w:marLeft w:val="0"/>
      <w:marRight w:val="0"/>
      <w:marTop w:val="0"/>
      <w:marBottom w:val="0"/>
      <w:divBdr>
        <w:top w:val="none" w:sz="0" w:space="0" w:color="auto"/>
        <w:left w:val="none" w:sz="0" w:space="0" w:color="auto"/>
        <w:bottom w:val="none" w:sz="0" w:space="0" w:color="auto"/>
        <w:right w:val="none" w:sz="0" w:space="0" w:color="auto"/>
      </w:divBdr>
    </w:div>
    <w:div w:id="2013483936">
      <w:bodyDiv w:val="1"/>
      <w:marLeft w:val="0"/>
      <w:marRight w:val="0"/>
      <w:marTop w:val="0"/>
      <w:marBottom w:val="0"/>
      <w:divBdr>
        <w:top w:val="none" w:sz="0" w:space="0" w:color="auto"/>
        <w:left w:val="none" w:sz="0" w:space="0" w:color="auto"/>
        <w:bottom w:val="none" w:sz="0" w:space="0" w:color="auto"/>
        <w:right w:val="none" w:sz="0" w:space="0" w:color="auto"/>
      </w:divBdr>
    </w:div>
    <w:div w:id="2068796118">
      <w:bodyDiv w:val="1"/>
      <w:marLeft w:val="0"/>
      <w:marRight w:val="0"/>
      <w:marTop w:val="0"/>
      <w:marBottom w:val="0"/>
      <w:divBdr>
        <w:top w:val="none" w:sz="0" w:space="0" w:color="auto"/>
        <w:left w:val="none" w:sz="0" w:space="0" w:color="auto"/>
        <w:bottom w:val="none" w:sz="0" w:space="0" w:color="auto"/>
        <w:right w:val="none" w:sz="0" w:space="0" w:color="auto"/>
      </w:divBdr>
    </w:div>
    <w:div w:id="20983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mc.gov.au/sites/default/files/publications/rsas-evaluation-report.pdf" TargetMode="Externa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s://www.pmc.gov.au/sites/default/files/publications/review-ias-funded-secondary-school-scholarship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pmc.gov.au/resource-centre/indigenous-affairs/indigenous-advancement-strategy-evaluation-framework"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pmc.gov.au/sites/default/files/publications/Year-One-Review-IPP_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etterevaluation.org/themes/impact_evaluat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mc.gov.au/resource-centre/indigenous-affairs/indigenous-advancement-strategy-2017-18-annual-evaluation-work-plan"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mc.gov.au/resource-centre/indigenous-affairs/more-radio-community-asset-social-return-investment-analyses-indigenous-broadcasting-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mc.gov.au/sites/default/files/publications/scfc-evaluation-report.pdf" TargetMode="Externa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29</Value>
      <Value>1</Value>
    </TaxCatchAll>
    <ShareHubID xmlns="166541c0-0594-4e6a-9105-c24d4b6de6f7">DOC18-423743</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D4B1-8C74-4E91-97FF-D45C48816140}"/>
</file>

<file path=customXml/itemProps2.xml><?xml version="1.0" encoding="utf-8"?>
<ds:datastoreItem xmlns:ds="http://schemas.openxmlformats.org/officeDocument/2006/customXml" ds:itemID="{0598EBA1-54A3-4967-9A4B-EB3420CAD88F}"/>
</file>

<file path=customXml/itemProps3.xml><?xml version="1.0" encoding="utf-8"?>
<ds:datastoreItem xmlns:ds="http://schemas.openxmlformats.org/officeDocument/2006/customXml" ds:itemID="{499CCF59-0E8A-4F7F-9969-2AE396D27A2A}"/>
</file>

<file path=customXml/itemProps4.xml><?xml version="1.0" encoding="utf-8"?>
<ds:datastoreItem xmlns:ds="http://schemas.openxmlformats.org/officeDocument/2006/customXml" ds:itemID="{F6D8F721-B5CE-4820-BD30-97F4BCC74BEF}"/>
</file>

<file path=docProps/app.xml><?xml version="1.0" encoding="utf-8"?>
<Properties xmlns="http://schemas.openxmlformats.org/officeDocument/2006/extended-properties" xmlns:vt="http://schemas.openxmlformats.org/officeDocument/2006/docPropsVTypes">
  <Template>Normal</Template>
  <TotalTime>11</TotalTime>
  <Pages>20</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2018-19 Annual Evaluation Work Plan IAS</vt:lpstr>
    </vt:vector>
  </TitlesOfParts>
  <Company>Deprtment of the Prime Minister and Cabinet</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Annual Evaluation Work Plan IAS</dc:title>
  <dc:subject/>
  <dc:creator>Deprtment of the Prime Minister and Cabinet</dc:creator>
  <cp:keywords/>
  <dc:description/>
  <cp:lastModifiedBy>Tokobaeva, Aigul</cp:lastModifiedBy>
  <cp:revision>5</cp:revision>
  <cp:lastPrinted>2018-12-06T01:06:00Z</cp:lastPrinted>
  <dcterms:created xsi:type="dcterms:W3CDTF">2018-12-06T04:02:00Z</dcterms:created>
  <dcterms:modified xsi:type="dcterms:W3CDTF">2018-12-06T04:13:00Z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PM_ProtectiveMarkingValue_Footer">
    <vt:lpwstr>UNCLASSIFIED</vt:lpwstr>
  </property>
  <property fmtid="{D5CDD505-2E9C-101B-9397-08002B2CF9AE}" pid="6" name="PM_Caveats_Count">
    <vt:lpwstr>0</vt:lpwstr>
  </property>
  <property fmtid="{D5CDD505-2E9C-101B-9397-08002B2CF9AE}" pid="7" name="PM_Originator_Hash_SHA1">
    <vt:lpwstr>C8F5EEBDFEA94C1360CF912BDDDD7E8306C7A663</vt:lpwstr>
  </property>
  <property fmtid="{D5CDD505-2E9C-101B-9397-08002B2CF9AE}" pid="8" name="PM_SecurityClassification">
    <vt:lpwstr>UNCLASSIFIED</vt:lpwstr>
  </property>
  <property fmtid="{D5CDD505-2E9C-101B-9397-08002B2CF9AE}" pid="9" name="PM_DisplayValueSecClassificationWithQualifier">
    <vt:lpwstr>UNCLASSIFIED</vt:lpwstr>
  </property>
  <property fmtid="{D5CDD505-2E9C-101B-9397-08002B2CF9AE}" pid="10" name="PM_Qualifier">
    <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B05B5134675F48F1AB1ED4D05044D85A</vt:lpwstr>
  </property>
  <property fmtid="{D5CDD505-2E9C-101B-9397-08002B2CF9AE}" pid="18" name="PM_Hash_Version">
    <vt:lpwstr>2016.1</vt:lpwstr>
  </property>
  <property fmtid="{D5CDD505-2E9C-101B-9397-08002B2CF9AE}" pid="19" name="PM_SecurityClassification_Prev">
    <vt:lpwstr>UNCLASSIFIED</vt:lpwstr>
  </property>
  <property fmtid="{D5CDD505-2E9C-101B-9397-08002B2CF9AE}" pid="20" name="PM_Qualifier_Prev">
    <vt:lpwstr/>
  </property>
  <property fmtid="{D5CDD505-2E9C-101B-9397-08002B2CF9AE}" pid="21" name="PM_Hash_SHA1">
    <vt:lpwstr>2B40564C0F40A6E4D8A2CD02B99AD4E876525D74</vt:lpwstr>
  </property>
  <property fmtid="{D5CDD505-2E9C-101B-9397-08002B2CF9AE}" pid="22" name="PM_OriginationTimeStamp">
    <vt:lpwstr>2018-11-19T04:07:45Z</vt:lpwstr>
  </property>
  <property fmtid="{D5CDD505-2E9C-101B-9397-08002B2CF9AE}" pid="23" name="PM_Hash_Salt_Prev">
    <vt:lpwstr>1C7B90A27ED0EFF99EA67C72D77C4ABC</vt:lpwstr>
  </property>
  <property fmtid="{D5CDD505-2E9C-101B-9397-08002B2CF9AE}" pid="24" name="PM_Hash_Salt">
    <vt:lpwstr>C1F4A2205499AD6803D2A68CB1A9214A</vt:lpwstr>
  </property>
  <property fmtid="{D5CDD505-2E9C-101B-9397-08002B2CF9AE}" pid="25" name="ESearchTags">
    <vt:lpwstr>29;#Training|2f396fb6-baad-479d-8254-1550153bbe31</vt:lpwstr>
  </property>
  <property fmtid="{D5CDD505-2E9C-101B-9397-08002B2CF9AE}" pid="26" name="PMC.ESearch.TagGeneratedTime">
    <vt:lpwstr>2018-12-10T15:23:07</vt:lpwstr>
  </property>
</Properties>
</file>