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auto"/>
          <w:sz w:val="21"/>
        </w:rPr>
        <w:id w:val="-1575729263"/>
        <w:docPartObj>
          <w:docPartGallery w:val="Cover Pages"/>
          <w:docPartUnique/>
        </w:docPartObj>
      </w:sdtPr>
      <w:sdtEndPr>
        <w:rPr>
          <w:b/>
          <w:bCs/>
          <w:noProof/>
          <w:lang w:val="en-US"/>
        </w:rPr>
      </w:sdtEndPr>
      <w:sdtContent>
        <w:sdt>
          <w:sdtPr>
            <w:alias w:val="Title"/>
            <w:tag w:val=""/>
            <w:id w:val="776064273"/>
            <w:dataBinding w:prefixMappings="xmlns:ns0='http://purl.org/dc/elements/1.1/' xmlns:ns1='http://schemas.openxmlformats.org/package/2006/metadata/core-properties' " w:xpath="/ns1:coreProperties[1]/ns0:title[1]" w:storeItemID="{6C3C8BC8-F283-45AE-878A-BAB7291924A1}"/>
            <w:text/>
          </w:sdtPr>
          <w:sdtEndPr/>
          <w:sdtContent>
            <w:p w14:paraId="57637EC5" w14:textId="77777777" w:rsidR="0092075B" w:rsidRDefault="00E26474" w:rsidP="00307C07">
              <w:pPr>
                <w:pStyle w:val="Covertitle"/>
              </w:pPr>
              <w:r>
                <w:t>Efficient system c</w:t>
              </w:r>
              <w:r w:rsidR="0092075B">
                <w:t>ost</w:t>
              </w:r>
              <w:r>
                <w:t xml:space="preserve">s of </w:t>
              </w:r>
              <w:r w:rsidR="0092075B">
                <w:t>Remote Indigenous housing</w:t>
              </w:r>
            </w:p>
          </w:sdtContent>
        </w:sdt>
        <w:p w14:paraId="1F032CC0" w14:textId="77777777" w:rsidR="0092075B" w:rsidRDefault="00B00B83" w:rsidP="007A0A6D">
          <w:pPr>
            <w:pStyle w:val="CoverPage-Client"/>
          </w:pPr>
          <w:sdt>
            <w:sdtPr>
              <w:rPr>
                <w:rStyle w:val="CoverPage-ClientChar"/>
              </w:rPr>
              <w:alias w:val="Subject"/>
              <w:tag w:val=""/>
              <w:id w:val="1670826570"/>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E26474">
                <w:rPr>
                  <w:rStyle w:val="CoverPage-ClientChar"/>
                </w:rPr>
                <w:t xml:space="preserve">Input into the Review of the </w:t>
              </w:r>
              <w:r w:rsidR="0092075B">
                <w:rPr>
                  <w:rStyle w:val="CoverPage-ClientChar"/>
                </w:rPr>
                <w:t>National Partnership Agreement on Remote Indigenous Housing</w:t>
              </w:r>
            </w:sdtContent>
          </w:sdt>
        </w:p>
        <w:p w14:paraId="57D88BC7" w14:textId="6206C31E" w:rsidR="0092075B" w:rsidRDefault="00B00B83" w:rsidP="007A0A6D">
          <w:pPr>
            <w:pStyle w:val="CoverPage-Date"/>
          </w:pPr>
          <w:sdt>
            <w:sdtPr>
              <w:rPr>
                <w:rStyle w:val="CoverPage-DateChar"/>
              </w:rPr>
              <w:alias w:val="Publish Date"/>
              <w:tag w:val=""/>
              <w:id w:val="-639041667"/>
              <w:dataBinding w:prefixMappings="xmlns:ns0='http://schemas.microsoft.com/office/2006/coverPageProps' " w:xpath="/ns0:CoverPageProperties[1]/ns0:PublishDate[1]" w:storeItemID="{55AF091B-3C7A-41E3-B477-F2FDAA23CFDA}"/>
              <w:date w:fullDate="2017-07-04T00:00:00Z">
                <w:dateFormat w:val="d MMMM yyyy"/>
                <w:lid w:val="en-AU"/>
                <w:storeMappedDataAs w:val="dateTime"/>
                <w:calendar w:val="gregorian"/>
              </w:date>
            </w:sdtPr>
            <w:sdtEndPr>
              <w:rPr>
                <w:rStyle w:val="DefaultParagraphFont"/>
              </w:rPr>
            </w:sdtEndPr>
            <w:sdtContent>
              <w:r w:rsidR="00954AEA">
                <w:rPr>
                  <w:rStyle w:val="CoverPage-DateChar"/>
                </w:rPr>
                <w:t>4 July 2017</w:t>
              </w:r>
            </w:sdtContent>
          </w:sdt>
        </w:p>
        <w:p w14:paraId="29773CD1" w14:textId="77777777" w:rsidR="0092075B" w:rsidRDefault="0092075B" w:rsidP="00307C07">
          <w:pPr>
            <w:spacing w:after="0"/>
            <w:rPr>
              <w:color w:val="717074" w:themeColor="background2"/>
              <w:sz w:val="24"/>
            </w:rPr>
          </w:pPr>
        </w:p>
        <w:p w14:paraId="5E64EA80" w14:textId="77777777" w:rsidR="0092075B" w:rsidRDefault="0092075B" w:rsidP="00307C07">
          <w:pPr>
            <w:spacing w:after="0"/>
            <w:rPr>
              <w:color w:val="717074" w:themeColor="background2"/>
              <w:sz w:val="24"/>
            </w:rPr>
            <w:sectPr w:rsidR="0092075B" w:rsidSect="007A0A6D">
              <w:headerReference w:type="even" r:id="rId12"/>
              <w:headerReference w:type="default" r:id="rId13"/>
              <w:footerReference w:type="default" r:id="rId14"/>
              <w:headerReference w:type="first" r:id="rId15"/>
              <w:footerReference w:type="first" r:id="rId16"/>
              <w:pgSz w:w="11906" w:h="16838"/>
              <w:pgMar w:top="4536" w:right="851" w:bottom="5670" w:left="1021" w:header="567" w:footer="454" w:gutter="0"/>
              <w:pgNumType w:start="0"/>
              <w:cols w:space="720"/>
              <w:titlePg/>
              <w:docGrid w:linePitch="286"/>
            </w:sectPr>
          </w:pPr>
        </w:p>
        <w:p w14:paraId="608522C4" w14:textId="77777777" w:rsidR="0092075B" w:rsidRDefault="0092075B" w:rsidP="00307C07">
          <w:pPr>
            <w:rPr>
              <w:sz w:val="20"/>
            </w:rPr>
          </w:pPr>
          <w:r>
            <w:rPr>
              <w:noProof/>
            </w:rPr>
            <w:lastRenderedPageBreak/>
            <mc:AlternateContent>
              <mc:Choice Requires="wps">
                <w:drawing>
                  <wp:anchor distT="0" distB="0" distL="114300" distR="114300" simplePos="0" relativeHeight="251658241" behindDoc="0" locked="0" layoutInCell="0" allowOverlap="1" wp14:anchorId="6C888B74" wp14:editId="4D5AD461">
                    <wp:simplePos x="0" y="0"/>
                    <wp:positionH relativeFrom="margin">
                      <wp:posOffset>0</wp:posOffset>
                    </wp:positionH>
                    <wp:positionV relativeFrom="bottomMargin">
                      <wp:posOffset>0</wp:posOffset>
                    </wp:positionV>
                    <wp:extent cx="1720800" cy="3132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550B1" w14:textId="77777777" w:rsidR="00807965" w:rsidRDefault="00807965" w:rsidP="007A0A6D">
                                <w: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88B74" id="_x0000_t202" coordsize="21600,21600" o:spt="202" path="m,l,21600r21600,l21600,xe">
                    <v:stroke joinstyle="miter"/>
                    <v:path gradientshapeok="t" o:connecttype="rect"/>
                  </v:shapetype>
                  <v:shape id="Text Box 820" o:spid="_x0000_s1026" type="#_x0000_t202" style="position:absolute;margin-left:0;margin-top:0;width:135.5pt;height:24.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" o:allowincell="f" fillcolor="white [3201]" stroked="f" strokeweight=".5pt">
                    <v:textbox inset="0">
                      <w:txbxContent>
                        <w:p w14:paraId="1D3550B1" w14:textId="77777777" w:rsidR="00807965" w:rsidRDefault="00807965" w:rsidP="007A0A6D">
                          <w:r>
                            <w:t>© Nous Group</w:t>
                          </w:r>
                        </w:p>
                      </w:txbxContent>
                    </v:textbox>
                    <w10:wrap anchorx="margin" anchory="margin"/>
                  </v:shape>
                </w:pict>
              </mc:Fallback>
            </mc:AlternateContent>
          </w:r>
          <w:r>
            <w:t>This page is intentionally blank.</w:t>
          </w:r>
          <w:r>
            <w:br w:type="page"/>
          </w:r>
        </w:p>
        <w:p w14:paraId="6E93931D" w14:textId="77777777" w:rsidR="0092075B" w:rsidRDefault="0092075B" w:rsidP="00307C07">
          <w:pPr>
            <w:pStyle w:val="Contentsheading"/>
          </w:pPr>
          <w:r>
            <w:lastRenderedPageBreak/>
            <w:t>Contents</w:t>
          </w:r>
        </w:p>
        <w:p w14:paraId="672770AE" w14:textId="77777777" w:rsidR="002D05B9" w:rsidRDefault="00D950C9">
          <w:pPr>
            <w:pStyle w:val="TOC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80791420" w:history="1">
            <w:r w:rsidR="002D05B9" w:rsidRPr="004F028A">
              <w:rPr>
                <w:rStyle w:val="Hyperlink"/>
                <w:noProof/>
              </w:rPr>
              <w:t>Executive summary</w:t>
            </w:r>
            <w:r w:rsidR="002D05B9">
              <w:rPr>
                <w:noProof/>
                <w:webHidden/>
              </w:rPr>
              <w:tab/>
            </w:r>
            <w:r w:rsidR="002D05B9">
              <w:rPr>
                <w:noProof/>
                <w:webHidden/>
              </w:rPr>
              <w:fldChar w:fldCharType="begin"/>
            </w:r>
            <w:r w:rsidR="002D05B9">
              <w:rPr>
                <w:noProof/>
                <w:webHidden/>
              </w:rPr>
              <w:instrText xml:space="preserve"> PAGEREF _Toc480791420 \h </w:instrText>
            </w:r>
            <w:r w:rsidR="002D05B9">
              <w:rPr>
                <w:noProof/>
                <w:webHidden/>
              </w:rPr>
            </w:r>
            <w:r w:rsidR="002D05B9">
              <w:rPr>
                <w:noProof/>
                <w:webHidden/>
              </w:rPr>
              <w:fldChar w:fldCharType="separate"/>
            </w:r>
            <w:r w:rsidR="004A1B2E">
              <w:rPr>
                <w:noProof/>
                <w:webHidden/>
              </w:rPr>
              <w:t>4</w:t>
            </w:r>
            <w:r w:rsidR="002D05B9">
              <w:rPr>
                <w:noProof/>
                <w:webHidden/>
              </w:rPr>
              <w:fldChar w:fldCharType="end"/>
            </w:r>
          </w:hyperlink>
        </w:p>
        <w:p w14:paraId="6F1ABEEA" w14:textId="77777777" w:rsidR="002D05B9" w:rsidRDefault="00B00B83">
          <w:pPr>
            <w:pStyle w:val="TOC1"/>
            <w:rPr>
              <w:rFonts w:asciiTheme="minorHAnsi" w:eastAsiaTheme="minorEastAsia" w:hAnsiTheme="minorHAnsi" w:cstheme="minorBidi"/>
              <w:noProof/>
              <w:sz w:val="22"/>
              <w:szCs w:val="22"/>
            </w:rPr>
          </w:pPr>
          <w:hyperlink w:anchor="_Toc480791421" w:history="1">
            <w:r w:rsidR="002D05B9" w:rsidRPr="004F028A">
              <w:rPr>
                <w:rStyle w:val="Hyperlink"/>
                <w:noProof/>
              </w:rPr>
              <w:t>1</w:t>
            </w:r>
            <w:r w:rsidR="002D05B9">
              <w:rPr>
                <w:rFonts w:asciiTheme="minorHAnsi" w:eastAsiaTheme="minorEastAsia" w:hAnsiTheme="minorHAnsi" w:cstheme="minorBidi"/>
                <w:noProof/>
                <w:sz w:val="22"/>
                <w:szCs w:val="22"/>
              </w:rPr>
              <w:tab/>
            </w:r>
            <w:r w:rsidR="002D05B9" w:rsidRPr="004F028A">
              <w:rPr>
                <w:rStyle w:val="Hyperlink"/>
                <w:noProof/>
              </w:rPr>
              <w:t>Opportunities to reduce costs in remote Indigenous housing needs robust evidence</w:t>
            </w:r>
            <w:r w:rsidR="002D05B9">
              <w:rPr>
                <w:noProof/>
                <w:webHidden/>
              </w:rPr>
              <w:tab/>
            </w:r>
            <w:r w:rsidR="002D05B9">
              <w:rPr>
                <w:noProof/>
                <w:webHidden/>
              </w:rPr>
              <w:fldChar w:fldCharType="begin"/>
            </w:r>
            <w:r w:rsidR="002D05B9">
              <w:rPr>
                <w:noProof/>
                <w:webHidden/>
              </w:rPr>
              <w:instrText xml:space="preserve"> PAGEREF _Toc480791421 \h </w:instrText>
            </w:r>
            <w:r w:rsidR="002D05B9">
              <w:rPr>
                <w:noProof/>
                <w:webHidden/>
              </w:rPr>
            </w:r>
            <w:r w:rsidR="002D05B9">
              <w:rPr>
                <w:noProof/>
                <w:webHidden/>
              </w:rPr>
              <w:fldChar w:fldCharType="separate"/>
            </w:r>
            <w:r w:rsidR="004A1B2E">
              <w:rPr>
                <w:noProof/>
                <w:webHidden/>
              </w:rPr>
              <w:t>6</w:t>
            </w:r>
            <w:r w:rsidR="002D05B9">
              <w:rPr>
                <w:noProof/>
                <w:webHidden/>
              </w:rPr>
              <w:fldChar w:fldCharType="end"/>
            </w:r>
          </w:hyperlink>
        </w:p>
        <w:p w14:paraId="701B12F0" w14:textId="77777777" w:rsidR="002D05B9" w:rsidRDefault="00B00B83">
          <w:pPr>
            <w:pStyle w:val="TOC2"/>
            <w:rPr>
              <w:rFonts w:asciiTheme="minorHAnsi" w:eastAsiaTheme="minorEastAsia" w:hAnsiTheme="minorHAnsi" w:cstheme="minorBidi"/>
              <w:noProof/>
              <w:sz w:val="22"/>
              <w:szCs w:val="22"/>
            </w:rPr>
          </w:pPr>
          <w:hyperlink w:anchor="_Toc480791422" w:history="1">
            <w:r w:rsidR="002D05B9" w:rsidRPr="004F028A">
              <w:rPr>
                <w:rStyle w:val="Hyperlink"/>
                <w:noProof/>
              </w:rPr>
              <w:t>1.1</w:t>
            </w:r>
            <w:r w:rsidR="002D05B9">
              <w:rPr>
                <w:rFonts w:asciiTheme="minorHAnsi" w:eastAsiaTheme="minorEastAsia" w:hAnsiTheme="minorHAnsi" w:cstheme="minorBidi"/>
                <w:noProof/>
                <w:sz w:val="22"/>
                <w:szCs w:val="22"/>
              </w:rPr>
              <w:tab/>
            </w:r>
            <w:r w:rsidR="002D05B9" w:rsidRPr="004F028A">
              <w:rPr>
                <w:rStyle w:val="Hyperlink"/>
                <w:noProof/>
              </w:rPr>
              <w:t>While high costs are widely accepted, this report seeks to provide much-needed in-depth analysis</w:t>
            </w:r>
            <w:r w:rsidR="002D05B9">
              <w:rPr>
                <w:noProof/>
                <w:webHidden/>
              </w:rPr>
              <w:tab/>
            </w:r>
            <w:r w:rsidR="002D05B9">
              <w:rPr>
                <w:noProof/>
                <w:webHidden/>
              </w:rPr>
              <w:fldChar w:fldCharType="begin"/>
            </w:r>
            <w:r w:rsidR="002D05B9">
              <w:rPr>
                <w:noProof/>
                <w:webHidden/>
              </w:rPr>
              <w:instrText xml:space="preserve"> PAGEREF _Toc480791422 \h </w:instrText>
            </w:r>
            <w:r w:rsidR="002D05B9">
              <w:rPr>
                <w:noProof/>
                <w:webHidden/>
              </w:rPr>
            </w:r>
            <w:r w:rsidR="002D05B9">
              <w:rPr>
                <w:noProof/>
                <w:webHidden/>
              </w:rPr>
              <w:fldChar w:fldCharType="separate"/>
            </w:r>
            <w:r w:rsidR="004A1B2E">
              <w:rPr>
                <w:noProof/>
                <w:webHidden/>
              </w:rPr>
              <w:t>6</w:t>
            </w:r>
            <w:r w:rsidR="002D05B9">
              <w:rPr>
                <w:noProof/>
                <w:webHidden/>
              </w:rPr>
              <w:fldChar w:fldCharType="end"/>
            </w:r>
          </w:hyperlink>
        </w:p>
        <w:p w14:paraId="59B26BA9" w14:textId="77777777" w:rsidR="002D05B9" w:rsidRDefault="00B00B83">
          <w:pPr>
            <w:pStyle w:val="TOC2"/>
            <w:rPr>
              <w:rFonts w:asciiTheme="minorHAnsi" w:eastAsiaTheme="minorEastAsia" w:hAnsiTheme="minorHAnsi" w:cstheme="minorBidi"/>
              <w:noProof/>
              <w:sz w:val="22"/>
              <w:szCs w:val="22"/>
            </w:rPr>
          </w:pPr>
          <w:hyperlink w:anchor="_Toc480791423" w:history="1">
            <w:r w:rsidR="002D05B9" w:rsidRPr="004F028A">
              <w:rPr>
                <w:rStyle w:val="Hyperlink"/>
                <w:noProof/>
              </w:rPr>
              <w:t>1.2</w:t>
            </w:r>
            <w:r w:rsidR="002D05B9">
              <w:rPr>
                <w:rFonts w:asciiTheme="minorHAnsi" w:eastAsiaTheme="minorEastAsia" w:hAnsiTheme="minorHAnsi" w:cstheme="minorBidi"/>
                <w:noProof/>
                <w:sz w:val="22"/>
                <w:szCs w:val="22"/>
              </w:rPr>
              <w:tab/>
            </w:r>
            <w:r w:rsidR="002D05B9" w:rsidRPr="004F028A">
              <w:rPr>
                <w:rStyle w:val="Hyperlink"/>
                <w:noProof/>
              </w:rPr>
              <w:t>There are systems limitations to in depth data analytics</w:t>
            </w:r>
            <w:r w:rsidR="002D05B9">
              <w:rPr>
                <w:noProof/>
                <w:webHidden/>
              </w:rPr>
              <w:tab/>
            </w:r>
            <w:r w:rsidR="002D05B9">
              <w:rPr>
                <w:noProof/>
                <w:webHidden/>
              </w:rPr>
              <w:fldChar w:fldCharType="begin"/>
            </w:r>
            <w:r w:rsidR="002D05B9">
              <w:rPr>
                <w:noProof/>
                <w:webHidden/>
              </w:rPr>
              <w:instrText xml:space="preserve"> PAGEREF _Toc480791423 \h </w:instrText>
            </w:r>
            <w:r w:rsidR="002D05B9">
              <w:rPr>
                <w:noProof/>
                <w:webHidden/>
              </w:rPr>
            </w:r>
            <w:r w:rsidR="002D05B9">
              <w:rPr>
                <w:noProof/>
                <w:webHidden/>
              </w:rPr>
              <w:fldChar w:fldCharType="separate"/>
            </w:r>
            <w:r w:rsidR="004A1B2E">
              <w:rPr>
                <w:noProof/>
                <w:webHidden/>
              </w:rPr>
              <w:t>8</w:t>
            </w:r>
            <w:r w:rsidR="002D05B9">
              <w:rPr>
                <w:noProof/>
                <w:webHidden/>
              </w:rPr>
              <w:fldChar w:fldCharType="end"/>
            </w:r>
          </w:hyperlink>
        </w:p>
        <w:p w14:paraId="2CD91095" w14:textId="77777777" w:rsidR="002D05B9" w:rsidRDefault="00B00B83">
          <w:pPr>
            <w:pStyle w:val="TOC1"/>
            <w:rPr>
              <w:rFonts w:asciiTheme="minorHAnsi" w:eastAsiaTheme="minorEastAsia" w:hAnsiTheme="minorHAnsi" w:cstheme="minorBidi"/>
              <w:noProof/>
              <w:sz w:val="22"/>
              <w:szCs w:val="22"/>
            </w:rPr>
          </w:pPr>
          <w:hyperlink w:anchor="_Toc480791424" w:history="1">
            <w:r w:rsidR="002D05B9" w:rsidRPr="004F028A">
              <w:rPr>
                <w:rStyle w:val="Hyperlink"/>
                <w:noProof/>
              </w:rPr>
              <w:t>2</w:t>
            </w:r>
            <w:r w:rsidR="002D05B9">
              <w:rPr>
                <w:rFonts w:asciiTheme="minorHAnsi" w:eastAsiaTheme="minorEastAsia" w:hAnsiTheme="minorHAnsi" w:cstheme="minorBidi"/>
                <w:noProof/>
                <w:sz w:val="22"/>
                <w:szCs w:val="22"/>
              </w:rPr>
              <w:tab/>
            </w:r>
            <w:r w:rsidR="002D05B9" w:rsidRPr="004F028A">
              <w:rPr>
                <w:rStyle w:val="Hyperlink"/>
                <w:noProof/>
              </w:rPr>
              <w:t>Remote Indigenous housing operates with a significant revenue-cost shortfall</w:t>
            </w:r>
            <w:r w:rsidR="002D05B9">
              <w:rPr>
                <w:noProof/>
                <w:webHidden/>
              </w:rPr>
              <w:tab/>
            </w:r>
            <w:r w:rsidR="002D05B9">
              <w:rPr>
                <w:noProof/>
                <w:webHidden/>
              </w:rPr>
              <w:fldChar w:fldCharType="begin"/>
            </w:r>
            <w:r w:rsidR="002D05B9">
              <w:rPr>
                <w:noProof/>
                <w:webHidden/>
              </w:rPr>
              <w:instrText xml:space="preserve"> PAGEREF _Toc480791424 \h </w:instrText>
            </w:r>
            <w:r w:rsidR="002D05B9">
              <w:rPr>
                <w:noProof/>
                <w:webHidden/>
              </w:rPr>
            </w:r>
            <w:r w:rsidR="002D05B9">
              <w:rPr>
                <w:noProof/>
                <w:webHidden/>
              </w:rPr>
              <w:fldChar w:fldCharType="separate"/>
            </w:r>
            <w:r w:rsidR="004A1B2E">
              <w:rPr>
                <w:noProof/>
                <w:webHidden/>
              </w:rPr>
              <w:t>10</w:t>
            </w:r>
            <w:r w:rsidR="002D05B9">
              <w:rPr>
                <w:noProof/>
                <w:webHidden/>
              </w:rPr>
              <w:fldChar w:fldCharType="end"/>
            </w:r>
          </w:hyperlink>
        </w:p>
        <w:p w14:paraId="1E5DE3F8" w14:textId="77777777" w:rsidR="002D05B9" w:rsidRDefault="00B00B83">
          <w:pPr>
            <w:pStyle w:val="TOC2"/>
            <w:rPr>
              <w:rFonts w:asciiTheme="minorHAnsi" w:eastAsiaTheme="minorEastAsia" w:hAnsiTheme="minorHAnsi" w:cstheme="minorBidi"/>
              <w:noProof/>
              <w:sz w:val="22"/>
              <w:szCs w:val="22"/>
            </w:rPr>
          </w:pPr>
          <w:hyperlink w:anchor="_Toc480791425" w:history="1">
            <w:r w:rsidR="002D05B9" w:rsidRPr="004F028A">
              <w:rPr>
                <w:rStyle w:val="Hyperlink"/>
                <w:noProof/>
              </w:rPr>
              <w:t>2.1</w:t>
            </w:r>
            <w:r w:rsidR="002D05B9">
              <w:rPr>
                <w:rFonts w:asciiTheme="minorHAnsi" w:eastAsiaTheme="minorEastAsia" w:hAnsiTheme="minorHAnsi" w:cstheme="minorBidi"/>
                <w:noProof/>
                <w:sz w:val="22"/>
                <w:szCs w:val="22"/>
              </w:rPr>
              <w:tab/>
            </w:r>
            <w:r w:rsidR="002D05B9" w:rsidRPr="004F028A">
              <w:rPr>
                <w:rStyle w:val="Hyperlink"/>
                <w:noProof/>
              </w:rPr>
              <w:t>As much as three-quarters (or more) of ongoing costs are capital maintenance and recurrent maintenance</w:t>
            </w:r>
            <w:r w:rsidR="002D05B9">
              <w:rPr>
                <w:noProof/>
                <w:webHidden/>
              </w:rPr>
              <w:tab/>
            </w:r>
            <w:r w:rsidR="002D05B9">
              <w:rPr>
                <w:noProof/>
                <w:webHidden/>
              </w:rPr>
              <w:fldChar w:fldCharType="begin"/>
            </w:r>
            <w:r w:rsidR="002D05B9">
              <w:rPr>
                <w:noProof/>
                <w:webHidden/>
              </w:rPr>
              <w:instrText xml:space="preserve"> PAGEREF _Toc480791425 \h </w:instrText>
            </w:r>
            <w:r w:rsidR="002D05B9">
              <w:rPr>
                <w:noProof/>
                <w:webHidden/>
              </w:rPr>
            </w:r>
            <w:r w:rsidR="002D05B9">
              <w:rPr>
                <w:noProof/>
                <w:webHidden/>
              </w:rPr>
              <w:fldChar w:fldCharType="separate"/>
            </w:r>
            <w:r w:rsidR="004A1B2E">
              <w:rPr>
                <w:noProof/>
                <w:webHidden/>
              </w:rPr>
              <w:t>10</w:t>
            </w:r>
            <w:r w:rsidR="002D05B9">
              <w:rPr>
                <w:noProof/>
                <w:webHidden/>
              </w:rPr>
              <w:fldChar w:fldCharType="end"/>
            </w:r>
          </w:hyperlink>
        </w:p>
        <w:p w14:paraId="12FF71A5" w14:textId="77777777" w:rsidR="002D05B9" w:rsidRDefault="00B00B83">
          <w:pPr>
            <w:pStyle w:val="TOC2"/>
            <w:rPr>
              <w:rFonts w:asciiTheme="minorHAnsi" w:eastAsiaTheme="minorEastAsia" w:hAnsiTheme="minorHAnsi" w:cstheme="minorBidi"/>
              <w:noProof/>
              <w:sz w:val="22"/>
              <w:szCs w:val="22"/>
            </w:rPr>
          </w:pPr>
          <w:hyperlink w:anchor="_Toc480791426" w:history="1">
            <w:r w:rsidR="002D05B9" w:rsidRPr="004F028A">
              <w:rPr>
                <w:rStyle w:val="Hyperlink"/>
                <w:noProof/>
              </w:rPr>
              <w:t>2.2</w:t>
            </w:r>
            <w:r w:rsidR="002D05B9">
              <w:rPr>
                <w:rFonts w:asciiTheme="minorHAnsi" w:eastAsiaTheme="minorEastAsia" w:hAnsiTheme="minorHAnsi" w:cstheme="minorBidi"/>
                <w:noProof/>
                <w:sz w:val="22"/>
                <w:szCs w:val="22"/>
              </w:rPr>
              <w:tab/>
            </w:r>
            <w:r w:rsidR="002D05B9" w:rsidRPr="004F028A">
              <w:rPr>
                <w:rStyle w:val="Hyperlink"/>
                <w:noProof/>
              </w:rPr>
              <w:t>Other costs comprise employee expenses, bad debts and utility costs</w:t>
            </w:r>
            <w:r w:rsidR="002D05B9">
              <w:rPr>
                <w:noProof/>
                <w:webHidden/>
              </w:rPr>
              <w:tab/>
            </w:r>
            <w:r w:rsidR="002D05B9">
              <w:rPr>
                <w:noProof/>
                <w:webHidden/>
              </w:rPr>
              <w:fldChar w:fldCharType="begin"/>
            </w:r>
            <w:r w:rsidR="002D05B9">
              <w:rPr>
                <w:noProof/>
                <w:webHidden/>
              </w:rPr>
              <w:instrText xml:space="preserve"> PAGEREF _Toc480791426 \h </w:instrText>
            </w:r>
            <w:r w:rsidR="002D05B9">
              <w:rPr>
                <w:noProof/>
                <w:webHidden/>
              </w:rPr>
            </w:r>
            <w:r w:rsidR="002D05B9">
              <w:rPr>
                <w:noProof/>
                <w:webHidden/>
              </w:rPr>
              <w:fldChar w:fldCharType="separate"/>
            </w:r>
            <w:r w:rsidR="004A1B2E">
              <w:rPr>
                <w:noProof/>
                <w:webHidden/>
              </w:rPr>
              <w:t>11</w:t>
            </w:r>
            <w:r w:rsidR="002D05B9">
              <w:rPr>
                <w:noProof/>
                <w:webHidden/>
              </w:rPr>
              <w:fldChar w:fldCharType="end"/>
            </w:r>
          </w:hyperlink>
        </w:p>
        <w:p w14:paraId="6CB78488" w14:textId="77777777" w:rsidR="002D05B9" w:rsidRDefault="00B00B83">
          <w:pPr>
            <w:pStyle w:val="TOC2"/>
            <w:rPr>
              <w:rFonts w:asciiTheme="minorHAnsi" w:eastAsiaTheme="minorEastAsia" w:hAnsiTheme="minorHAnsi" w:cstheme="minorBidi"/>
              <w:noProof/>
              <w:sz w:val="22"/>
              <w:szCs w:val="22"/>
            </w:rPr>
          </w:pPr>
          <w:hyperlink w:anchor="_Toc480791427" w:history="1">
            <w:r w:rsidR="002D05B9" w:rsidRPr="004F028A">
              <w:rPr>
                <w:rStyle w:val="Hyperlink"/>
                <w:noProof/>
              </w:rPr>
              <w:t>2.3</w:t>
            </w:r>
            <w:r w:rsidR="002D05B9">
              <w:rPr>
                <w:rFonts w:asciiTheme="minorHAnsi" w:eastAsiaTheme="minorEastAsia" w:hAnsiTheme="minorHAnsi" w:cstheme="minorBidi"/>
                <w:noProof/>
                <w:sz w:val="22"/>
                <w:szCs w:val="22"/>
              </w:rPr>
              <w:tab/>
            </w:r>
            <w:r w:rsidR="002D05B9" w:rsidRPr="004F028A">
              <w:rPr>
                <w:rStyle w:val="Hyperlink"/>
                <w:noProof/>
              </w:rPr>
              <w:t>Costs of specific maintenance activities are significantly higher under NPARIH than public housing</w:t>
            </w:r>
            <w:r w:rsidR="002D05B9">
              <w:rPr>
                <w:noProof/>
                <w:webHidden/>
              </w:rPr>
              <w:tab/>
            </w:r>
            <w:r w:rsidR="002D05B9">
              <w:rPr>
                <w:noProof/>
                <w:webHidden/>
              </w:rPr>
              <w:fldChar w:fldCharType="begin"/>
            </w:r>
            <w:r w:rsidR="002D05B9">
              <w:rPr>
                <w:noProof/>
                <w:webHidden/>
              </w:rPr>
              <w:instrText xml:space="preserve"> PAGEREF _Toc480791427 \h </w:instrText>
            </w:r>
            <w:r w:rsidR="002D05B9">
              <w:rPr>
                <w:noProof/>
                <w:webHidden/>
              </w:rPr>
            </w:r>
            <w:r w:rsidR="002D05B9">
              <w:rPr>
                <w:noProof/>
                <w:webHidden/>
              </w:rPr>
              <w:fldChar w:fldCharType="separate"/>
            </w:r>
            <w:r w:rsidR="004A1B2E">
              <w:rPr>
                <w:noProof/>
                <w:webHidden/>
              </w:rPr>
              <w:t>12</w:t>
            </w:r>
            <w:r w:rsidR="002D05B9">
              <w:rPr>
                <w:noProof/>
                <w:webHidden/>
              </w:rPr>
              <w:fldChar w:fldCharType="end"/>
            </w:r>
          </w:hyperlink>
        </w:p>
        <w:p w14:paraId="57643B15" w14:textId="77777777" w:rsidR="002D05B9" w:rsidRDefault="00B00B83">
          <w:pPr>
            <w:pStyle w:val="TOC2"/>
            <w:rPr>
              <w:rFonts w:asciiTheme="minorHAnsi" w:eastAsiaTheme="minorEastAsia" w:hAnsiTheme="minorHAnsi" w:cstheme="minorBidi"/>
              <w:noProof/>
              <w:sz w:val="22"/>
              <w:szCs w:val="22"/>
            </w:rPr>
          </w:pPr>
          <w:hyperlink w:anchor="_Toc480791428" w:history="1">
            <w:r w:rsidR="002D05B9" w:rsidRPr="004F028A">
              <w:rPr>
                <w:rStyle w:val="Hyperlink"/>
                <w:noProof/>
              </w:rPr>
              <w:t>2.4</w:t>
            </w:r>
            <w:r w:rsidR="002D05B9">
              <w:rPr>
                <w:rFonts w:asciiTheme="minorHAnsi" w:eastAsiaTheme="minorEastAsia" w:hAnsiTheme="minorHAnsi" w:cstheme="minorBidi"/>
                <w:noProof/>
                <w:sz w:val="22"/>
                <w:szCs w:val="22"/>
              </w:rPr>
              <w:tab/>
            </w:r>
            <w:r w:rsidR="002D05B9" w:rsidRPr="004F028A">
              <w:rPr>
                <w:rStyle w:val="Hyperlink"/>
                <w:noProof/>
              </w:rPr>
              <w:t>On average, 84 per cent of the costs of delivery are not covered by rental income</w:t>
            </w:r>
            <w:r w:rsidR="002D05B9">
              <w:rPr>
                <w:noProof/>
                <w:webHidden/>
              </w:rPr>
              <w:tab/>
            </w:r>
            <w:r w:rsidR="002D05B9">
              <w:rPr>
                <w:noProof/>
                <w:webHidden/>
              </w:rPr>
              <w:fldChar w:fldCharType="begin"/>
            </w:r>
            <w:r w:rsidR="002D05B9">
              <w:rPr>
                <w:noProof/>
                <w:webHidden/>
              </w:rPr>
              <w:instrText xml:space="preserve"> PAGEREF _Toc480791428 \h </w:instrText>
            </w:r>
            <w:r w:rsidR="002D05B9">
              <w:rPr>
                <w:noProof/>
                <w:webHidden/>
              </w:rPr>
            </w:r>
            <w:r w:rsidR="002D05B9">
              <w:rPr>
                <w:noProof/>
                <w:webHidden/>
              </w:rPr>
              <w:fldChar w:fldCharType="separate"/>
            </w:r>
            <w:r w:rsidR="004A1B2E">
              <w:rPr>
                <w:noProof/>
                <w:webHidden/>
              </w:rPr>
              <w:t>13</w:t>
            </w:r>
            <w:r w:rsidR="002D05B9">
              <w:rPr>
                <w:noProof/>
                <w:webHidden/>
              </w:rPr>
              <w:fldChar w:fldCharType="end"/>
            </w:r>
          </w:hyperlink>
        </w:p>
        <w:p w14:paraId="3B3B8133" w14:textId="77777777" w:rsidR="002D05B9" w:rsidRDefault="00B00B83">
          <w:pPr>
            <w:pStyle w:val="TOC2"/>
            <w:rPr>
              <w:rFonts w:asciiTheme="minorHAnsi" w:eastAsiaTheme="minorEastAsia" w:hAnsiTheme="minorHAnsi" w:cstheme="minorBidi"/>
              <w:noProof/>
              <w:sz w:val="22"/>
              <w:szCs w:val="22"/>
            </w:rPr>
          </w:pPr>
          <w:hyperlink w:anchor="_Toc480791429" w:history="1">
            <w:r w:rsidR="002D05B9" w:rsidRPr="004F028A">
              <w:rPr>
                <w:rStyle w:val="Hyperlink"/>
                <w:noProof/>
              </w:rPr>
              <w:t>2.5</w:t>
            </w:r>
            <w:r w:rsidR="002D05B9">
              <w:rPr>
                <w:rFonts w:asciiTheme="minorHAnsi" w:eastAsiaTheme="minorEastAsia" w:hAnsiTheme="minorHAnsi" w:cstheme="minorBidi"/>
                <w:noProof/>
                <w:sz w:val="22"/>
                <w:szCs w:val="22"/>
              </w:rPr>
              <w:tab/>
            </w:r>
            <w:r w:rsidR="002D05B9" w:rsidRPr="004F028A">
              <w:rPr>
                <w:rStyle w:val="Hyperlink"/>
                <w:noProof/>
              </w:rPr>
              <w:t>The revenue-cost shortfall is largely driven by much higher ongoing costs rather than a lower rental income when compared to public housing</w:t>
            </w:r>
            <w:r w:rsidR="002D05B9">
              <w:rPr>
                <w:noProof/>
                <w:webHidden/>
              </w:rPr>
              <w:tab/>
            </w:r>
            <w:r w:rsidR="002D05B9">
              <w:rPr>
                <w:noProof/>
                <w:webHidden/>
              </w:rPr>
              <w:fldChar w:fldCharType="begin"/>
            </w:r>
            <w:r w:rsidR="002D05B9">
              <w:rPr>
                <w:noProof/>
                <w:webHidden/>
              </w:rPr>
              <w:instrText xml:space="preserve"> PAGEREF _Toc480791429 \h </w:instrText>
            </w:r>
            <w:r w:rsidR="002D05B9">
              <w:rPr>
                <w:noProof/>
                <w:webHidden/>
              </w:rPr>
            </w:r>
            <w:r w:rsidR="002D05B9">
              <w:rPr>
                <w:noProof/>
                <w:webHidden/>
              </w:rPr>
              <w:fldChar w:fldCharType="separate"/>
            </w:r>
            <w:r w:rsidR="004A1B2E">
              <w:rPr>
                <w:noProof/>
                <w:webHidden/>
              </w:rPr>
              <w:t>15</w:t>
            </w:r>
            <w:r w:rsidR="002D05B9">
              <w:rPr>
                <w:noProof/>
                <w:webHidden/>
              </w:rPr>
              <w:fldChar w:fldCharType="end"/>
            </w:r>
          </w:hyperlink>
        </w:p>
        <w:p w14:paraId="74D862EE" w14:textId="77777777" w:rsidR="002D05B9" w:rsidRDefault="00B00B83">
          <w:pPr>
            <w:pStyle w:val="TOC1"/>
            <w:rPr>
              <w:rFonts w:asciiTheme="minorHAnsi" w:eastAsiaTheme="minorEastAsia" w:hAnsiTheme="minorHAnsi" w:cstheme="minorBidi"/>
              <w:noProof/>
              <w:sz w:val="22"/>
              <w:szCs w:val="22"/>
            </w:rPr>
          </w:pPr>
          <w:hyperlink w:anchor="_Toc480791430" w:history="1">
            <w:r w:rsidR="002D05B9" w:rsidRPr="004F028A">
              <w:rPr>
                <w:rStyle w:val="Hyperlink"/>
                <w:noProof/>
              </w:rPr>
              <w:t>3</w:t>
            </w:r>
            <w:r w:rsidR="002D05B9">
              <w:rPr>
                <w:rFonts w:asciiTheme="minorHAnsi" w:eastAsiaTheme="minorEastAsia" w:hAnsiTheme="minorHAnsi" w:cstheme="minorBidi"/>
                <w:noProof/>
                <w:sz w:val="22"/>
                <w:szCs w:val="22"/>
              </w:rPr>
              <w:tab/>
            </w:r>
            <w:r w:rsidR="002D05B9" w:rsidRPr="004F028A">
              <w:rPr>
                <w:rStyle w:val="Hyperlink"/>
                <w:noProof/>
              </w:rPr>
              <w:t>The key drivers of cost are remoteness and emergency maintenance activities</w:t>
            </w:r>
            <w:r w:rsidR="002D05B9">
              <w:rPr>
                <w:noProof/>
                <w:webHidden/>
              </w:rPr>
              <w:tab/>
            </w:r>
            <w:r w:rsidR="002D05B9">
              <w:rPr>
                <w:noProof/>
                <w:webHidden/>
              </w:rPr>
              <w:fldChar w:fldCharType="begin"/>
            </w:r>
            <w:r w:rsidR="002D05B9">
              <w:rPr>
                <w:noProof/>
                <w:webHidden/>
              </w:rPr>
              <w:instrText xml:space="preserve"> PAGEREF _Toc480791430 \h </w:instrText>
            </w:r>
            <w:r w:rsidR="002D05B9">
              <w:rPr>
                <w:noProof/>
                <w:webHidden/>
              </w:rPr>
            </w:r>
            <w:r w:rsidR="002D05B9">
              <w:rPr>
                <w:noProof/>
                <w:webHidden/>
              </w:rPr>
              <w:fldChar w:fldCharType="separate"/>
            </w:r>
            <w:r w:rsidR="004A1B2E">
              <w:rPr>
                <w:noProof/>
                <w:webHidden/>
              </w:rPr>
              <w:t>16</w:t>
            </w:r>
            <w:r w:rsidR="002D05B9">
              <w:rPr>
                <w:noProof/>
                <w:webHidden/>
              </w:rPr>
              <w:fldChar w:fldCharType="end"/>
            </w:r>
          </w:hyperlink>
        </w:p>
        <w:p w14:paraId="2C5849C3" w14:textId="77777777" w:rsidR="002D05B9" w:rsidRDefault="00B00B83">
          <w:pPr>
            <w:pStyle w:val="TOC2"/>
            <w:rPr>
              <w:rFonts w:asciiTheme="minorHAnsi" w:eastAsiaTheme="minorEastAsia" w:hAnsiTheme="minorHAnsi" w:cstheme="minorBidi"/>
              <w:noProof/>
              <w:sz w:val="22"/>
              <w:szCs w:val="22"/>
            </w:rPr>
          </w:pPr>
          <w:hyperlink w:anchor="_Toc480791431" w:history="1">
            <w:r w:rsidR="002D05B9" w:rsidRPr="004F028A">
              <w:rPr>
                <w:rStyle w:val="Hyperlink"/>
                <w:noProof/>
              </w:rPr>
              <w:t>3.1</w:t>
            </w:r>
            <w:r w:rsidR="002D05B9">
              <w:rPr>
                <w:rFonts w:asciiTheme="minorHAnsi" w:eastAsiaTheme="minorEastAsia" w:hAnsiTheme="minorHAnsi" w:cstheme="minorBidi"/>
                <w:noProof/>
                <w:sz w:val="22"/>
                <w:szCs w:val="22"/>
              </w:rPr>
              <w:tab/>
            </w:r>
            <w:r w:rsidR="002D05B9" w:rsidRPr="004F028A">
              <w:rPr>
                <w:rStyle w:val="Hyperlink"/>
                <w:noProof/>
              </w:rPr>
              <w:t>Maintenance costs are highly variable within NPARIH</w:t>
            </w:r>
            <w:r w:rsidR="002D05B9">
              <w:rPr>
                <w:noProof/>
                <w:webHidden/>
              </w:rPr>
              <w:tab/>
            </w:r>
            <w:r w:rsidR="002D05B9">
              <w:rPr>
                <w:noProof/>
                <w:webHidden/>
              </w:rPr>
              <w:fldChar w:fldCharType="begin"/>
            </w:r>
            <w:r w:rsidR="002D05B9">
              <w:rPr>
                <w:noProof/>
                <w:webHidden/>
              </w:rPr>
              <w:instrText xml:space="preserve"> PAGEREF _Toc480791431 \h </w:instrText>
            </w:r>
            <w:r w:rsidR="002D05B9">
              <w:rPr>
                <w:noProof/>
                <w:webHidden/>
              </w:rPr>
            </w:r>
            <w:r w:rsidR="002D05B9">
              <w:rPr>
                <w:noProof/>
                <w:webHidden/>
              </w:rPr>
              <w:fldChar w:fldCharType="separate"/>
            </w:r>
            <w:r w:rsidR="004A1B2E">
              <w:rPr>
                <w:noProof/>
                <w:webHidden/>
              </w:rPr>
              <w:t>16</w:t>
            </w:r>
            <w:r w:rsidR="002D05B9">
              <w:rPr>
                <w:noProof/>
                <w:webHidden/>
              </w:rPr>
              <w:fldChar w:fldCharType="end"/>
            </w:r>
          </w:hyperlink>
        </w:p>
        <w:p w14:paraId="521276B6" w14:textId="77777777" w:rsidR="002D05B9" w:rsidRDefault="00B00B83">
          <w:pPr>
            <w:pStyle w:val="TOC2"/>
            <w:rPr>
              <w:rFonts w:asciiTheme="minorHAnsi" w:eastAsiaTheme="minorEastAsia" w:hAnsiTheme="minorHAnsi" w:cstheme="minorBidi"/>
              <w:noProof/>
              <w:sz w:val="22"/>
              <w:szCs w:val="22"/>
            </w:rPr>
          </w:pPr>
          <w:hyperlink w:anchor="_Toc480791432" w:history="1">
            <w:r w:rsidR="002D05B9" w:rsidRPr="004F028A">
              <w:rPr>
                <w:rStyle w:val="Hyperlink"/>
                <w:noProof/>
              </w:rPr>
              <w:t>3.2</w:t>
            </w:r>
            <w:r w:rsidR="002D05B9">
              <w:rPr>
                <w:rFonts w:asciiTheme="minorHAnsi" w:eastAsiaTheme="minorEastAsia" w:hAnsiTheme="minorHAnsi" w:cstheme="minorBidi"/>
                <w:noProof/>
                <w:sz w:val="22"/>
                <w:szCs w:val="22"/>
              </w:rPr>
              <w:tab/>
            </w:r>
            <w:r w:rsidR="002D05B9" w:rsidRPr="004F028A">
              <w:rPr>
                <w:rStyle w:val="Hyperlink"/>
                <w:noProof/>
              </w:rPr>
              <w:t>Jurisdictions have a strong sense of which costs are controllable and uncontrollable</w:t>
            </w:r>
            <w:r w:rsidR="002D05B9">
              <w:rPr>
                <w:noProof/>
                <w:webHidden/>
              </w:rPr>
              <w:tab/>
            </w:r>
            <w:r w:rsidR="002D05B9">
              <w:rPr>
                <w:noProof/>
                <w:webHidden/>
              </w:rPr>
              <w:fldChar w:fldCharType="begin"/>
            </w:r>
            <w:r w:rsidR="002D05B9">
              <w:rPr>
                <w:noProof/>
                <w:webHidden/>
              </w:rPr>
              <w:instrText xml:space="preserve"> PAGEREF _Toc480791432 \h </w:instrText>
            </w:r>
            <w:r w:rsidR="002D05B9">
              <w:rPr>
                <w:noProof/>
                <w:webHidden/>
              </w:rPr>
            </w:r>
            <w:r w:rsidR="002D05B9">
              <w:rPr>
                <w:noProof/>
                <w:webHidden/>
              </w:rPr>
              <w:fldChar w:fldCharType="separate"/>
            </w:r>
            <w:r w:rsidR="004A1B2E">
              <w:rPr>
                <w:noProof/>
                <w:webHidden/>
              </w:rPr>
              <w:t>17</w:t>
            </w:r>
            <w:r w:rsidR="002D05B9">
              <w:rPr>
                <w:noProof/>
                <w:webHidden/>
              </w:rPr>
              <w:fldChar w:fldCharType="end"/>
            </w:r>
          </w:hyperlink>
        </w:p>
        <w:p w14:paraId="2960F8CA" w14:textId="77777777" w:rsidR="002D05B9" w:rsidRDefault="00B00B83">
          <w:pPr>
            <w:pStyle w:val="TOC2"/>
            <w:rPr>
              <w:rFonts w:asciiTheme="minorHAnsi" w:eastAsiaTheme="minorEastAsia" w:hAnsiTheme="minorHAnsi" w:cstheme="minorBidi"/>
              <w:noProof/>
              <w:sz w:val="22"/>
              <w:szCs w:val="22"/>
            </w:rPr>
          </w:pPr>
          <w:hyperlink w:anchor="_Toc480791433" w:history="1">
            <w:r w:rsidR="002D05B9" w:rsidRPr="004F028A">
              <w:rPr>
                <w:rStyle w:val="Hyperlink"/>
                <w:noProof/>
              </w:rPr>
              <w:t>3.3</w:t>
            </w:r>
            <w:r w:rsidR="002D05B9">
              <w:rPr>
                <w:rFonts w:asciiTheme="minorHAnsi" w:eastAsiaTheme="minorEastAsia" w:hAnsiTheme="minorHAnsi" w:cstheme="minorBidi"/>
                <w:noProof/>
                <w:sz w:val="22"/>
                <w:szCs w:val="22"/>
              </w:rPr>
              <w:tab/>
            </w:r>
            <w:r w:rsidR="002D05B9" w:rsidRPr="004F028A">
              <w:rPr>
                <w:rStyle w:val="Hyperlink"/>
                <w:noProof/>
              </w:rPr>
              <w:t>The relationships between remoteness and costs are complex</w:t>
            </w:r>
            <w:r w:rsidR="002D05B9">
              <w:rPr>
                <w:noProof/>
                <w:webHidden/>
              </w:rPr>
              <w:tab/>
            </w:r>
            <w:r w:rsidR="002D05B9">
              <w:rPr>
                <w:noProof/>
                <w:webHidden/>
              </w:rPr>
              <w:fldChar w:fldCharType="begin"/>
            </w:r>
            <w:r w:rsidR="002D05B9">
              <w:rPr>
                <w:noProof/>
                <w:webHidden/>
              </w:rPr>
              <w:instrText xml:space="preserve"> PAGEREF _Toc480791433 \h </w:instrText>
            </w:r>
            <w:r w:rsidR="002D05B9">
              <w:rPr>
                <w:noProof/>
                <w:webHidden/>
              </w:rPr>
            </w:r>
            <w:r w:rsidR="002D05B9">
              <w:rPr>
                <w:noProof/>
                <w:webHidden/>
              </w:rPr>
              <w:fldChar w:fldCharType="separate"/>
            </w:r>
            <w:r w:rsidR="004A1B2E">
              <w:rPr>
                <w:noProof/>
                <w:webHidden/>
              </w:rPr>
              <w:t>19</w:t>
            </w:r>
            <w:r w:rsidR="002D05B9">
              <w:rPr>
                <w:noProof/>
                <w:webHidden/>
              </w:rPr>
              <w:fldChar w:fldCharType="end"/>
            </w:r>
          </w:hyperlink>
        </w:p>
        <w:p w14:paraId="08351A9A" w14:textId="77777777" w:rsidR="002D05B9" w:rsidRDefault="00B00B83">
          <w:pPr>
            <w:pStyle w:val="TOC2"/>
            <w:rPr>
              <w:rFonts w:asciiTheme="minorHAnsi" w:eastAsiaTheme="minorEastAsia" w:hAnsiTheme="minorHAnsi" w:cstheme="minorBidi"/>
              <w:noProof/>
              <w:sz w:val="22"/>
              <w:szCs w:val="22"/>
            </w:rPr>
          </w:pPr>
          <w:hyperlink w:anchor="_Toc480791434" w:history="1">
            <w:r w:rsidR="002D05B9" w:rsidRPr="004F028A">
              <w:rPr>
                <w:rStyle w:val="Hyperlink"/>
                <w:noProof/>
              </w:rPr>
              <w:t>3.4</w:t>
            </w:r>
            <w:r w:rsidR="002D05B9">
              <w:rPr>
                <w:rFonts w:asciiTheme="minorHAnsi" w:eastAsiaTheme="minorEastAsia" w:hAnsiTheme="minorHAnsi" w:cstheme="minorBidi"/>
                <w:noProof/>
                <w:sz w:val="22"/>
                <w:szCs w:val="22"/>
              </w:rPr>
              <w:tab/>
            </w:r>
            <w:r w:rsidR="002D05B9" w:rsidRPr="004F028A">
              <w:rPr>
                <w:rStyle w:val="Hyperlink"/>
                <w:noProof/>
              </w:rPr>
              <w:t>Emergency maintenance can drive costs up to 20 times higher</w:t>
            </w:r>
            <w:r w:rsidR="002D05B9">
              <w:rPr>
                <w:noProof/>
                <w:webHidden/>
              </w:rPr>
              <w:tab/>
            </w:r>
            <w:r w:rsidR="002D05B9">
              <w:rPr>
                <w:noProof/>
                <w:webHidden/>
              </w:rPr>
              <w:fldChar w:fldCharType="begin"/>
            </w:r>
            <w:r w:rsidR="002D05B9">
              <w:rPr>
                <w:noProof/>
                <w:webHidden/>
              </w:rPr>
              <w:instrText xml:space="preserve"> PAGEREF _Toc480791434 \h </w:instrText>
            </w:r>
            <w:r w:rsidR="002D05B9">
              <w:rPr>
                <w:noProof/>
                <w:webHidden/>
              </w:rPr>
            </w:r>
            <w:r w:rsidR="002D05B9">
              <w:rPr>
                <w:noProof/>
                <w:webHidden/>
              </w:rPr>
              <w:fldChar w:fldCharType="separate"/>
            </w:r>
            <w:r w:rsidR="004A1B2E">
              <w:rPr>
                <w:noProof/>
                <w:webHidden/>
              </w:rPr>
              <w:t>25</w:t>
            </w:r>
            <w:r w:rsidR="002D05B9">
              <w:rPr>
                <w:noProof/>
                <w:webHidden/>
              </w:rPr>
              <w:fldChar w:fldCharType="end"/>
            </w:r>
          </w:hyperlink>
        </w:p>
        <w:p w14:paraId="784A48C7" w14:textId="77777777" w:rsidR="002D05B9" w:rsidRDefault="00B00B83">
          <w:pPr>
            <w:pStyle w:val="TOC1"/>
            <w:rPr>
              <w:rFonts w:asciiTheme="minorHAnsi" w:eastAsiaTheme="minorEastAsia" w:hAnsiTheme="minorHAnsi" w:cstheme="minorBidi"/>
              <w:noProof/>
              <w:sz w:val="22"/>
              <w:szCs w:val="22"/>
            </w:rPr>
          </w:pPr>
          <w:hyperlink w:anchor="_Toc480791435" w:history="1">
            <w:r w:rsidR="002D05B9" w:rsidRPr="004F028A">
              <w:rPr>
                <w:rStyle w:val="Hyperlink"/>
                <w:noProof/>
              </w:rPr>
              <w:t>4</w:t>
            </w:r>
            <w:r w:rsidR="002D05B9">
              <w:rPr>
                <w:rFonts w:asciiTheme="minorHAnsi" w:eastAsiaTheme="minorEastAsia" w:hAnsiTheme="minorHAnsi" w:cstheme="minorBidi"/>
                <w:noProof/>
                <w:sz w:val="22"/>
                <w:szCs w:val="22"/>
              </w:rPr>
              <w:tab/>
            </w:r>
            <w:r w:rsidR="002D05B9" w:rsidRPr="004F028A">
              <w:rPr>
                <w:rStyle w:val="Hyperlink"/>
                <w:noProof/>
              </w:rPr>
              <w:t>Jurisdiction experience indicates targeted cost savings are possible, but there are ultimately irreducible costs</w:t>
            </w:r>
            <w:r w:rsidR="002D05B9">
              <w:rPr>
                <w:noProof/>
                <w:webHidden/>
              </w:rPr>
              <w:tab/>
            </w:r>
            <w:r w:rsidR="002D05B9">
              <w:rPr>
                <w:noProof/>
                <w:webHidden/>
              </w:rPr>
              <w:fldChar w:fldCharType="begin"/>
            </w:r>
            <w:r w:rsidR="002D05B9">
              <w:rPr>
                <w:noProof/>
                <w:webHidden/>
              </w:rPr>
              <w:instrText xml:space="preserve"> PAGEREF _Toc480791435 \h </w:instrText>
            </w:r>
            <w:r w:rsidR="002D05B9">
              <w:rPr>
                <w:noProof/>
                <w:webHidden/>
              </w:rPr>
            </w:r>
            <w:r w:rsidR="002D05B9">
              <w:rPr>
                <w:noProof/>
                <w:webHidden/>
              </w:rPr>
              <w:fldChar w:fldCharType="separate"/>
            </w:r>
            <w:r w:rsidR="004A1B2E">
              <w:rPr>
                <w:noProof/>
                <w:webHidden/>
              </w:rPr>
              <w:t>27</w:t>
            </w:r>
            <w:r w:rsidR="002D05B9">
              <w:rPr>
                <w:noProof/>
                <w:webHidden/>
              </w:rPr>
              <w:fldChar w:fldCharType="end"/>
            </w:r>
          </w:hyperlink>
        </w:p>
        <w:p w14:paraId="54D6FB65" w14:textId="77777777" w:rsidR="002D05B9" w:rsidRDefault="00B00B83">
          <w:pPr>
            <w:pStyle w:val="TOC2"/>
            <w:rPr>
              <w:rFonts w:asciiTheme="minorHAnsi" w:eastAsiaTheme="minorEastAsia" w:hAnsiTheme="minorHAnsi" w:cstheme="minorBidi"/>
              <w:noProof/>
              <w:sz w:val="22"/>
              <w:szCs w:val="22"/>
            </w:rPr>
          </w:pPr>
          <w:hyperlink w:anchor="_Toc480791436" w:history="1">
            <w:r w:rsidR="002D05B9" w:rsidRPr="004F028A">
              <w:rPr>
                <w:rStyle w:val="Hyperlink"/>
                <w:noProof/>
              </w:rPr>
              <w:t>4.1</w:t>
            </w:r>
            <w:r w:rsidR="002D05B9">
              <w:rPr>
                <w:rFonts w:asciiTheme="minorHAnsi" w:eastAsiaTheme="minorEastAsia" w:hAnsiTheme="minorHAnsi" w:cstheme="minorBidi"/>
                <w:noProof/>
                <w:sz w:val="22"/>
                <w:szCs w:val="22"/>
              </w:rPr>
              <w:tab/>
            </w:r>
            <w:r w:rsidR="002D05B9" w:rsidRPr="004F028A">
              <w:rPr>
                <w:rStyle w:val="Hyperlink"/>
                <w:noProof/>
              </w:rPr>
              <w:t>Cost savings may flow from changes to PTM approaches, both broad and targeted</w:t>
            </w:r>
            <w:r w:rsidR="002D05B9">
              <w:rPr>
                <w:noProof/>
                <w:webHidden/>
              </w:rPr>
              <w:tab/>
            </w:r>
            <w:r w:rsidR="002D05B9">
              <w:rPr>
                <w:noProof/>
                <w:webHidden/>
              </w:rPr>
              <w:fldChar w:fldCharType="begin"/>
            </w:r>
            <w:r w:rsidR="002D05B9">
              <w:rPr>
                <w:noProof/>
                <w:webHidden/>
              </w:rPr>
              <w:instrText xml:space="preserve"> PAGEREF _Toc480791436 \h </w:instrText>
            </w:r>
            <w:r w:rsidR="002D05B9">
              <w:rPr>
                <w:noProof/>
                <w:webHidden/>
              </w:rPr>
            </w:r>
            <w:r w:rsidR="002D05B9">
              <w:rPr>
                <w:noProof/>
                <w:webHidden/>
              </w:rPr>
              <w:fldChar w:fldCharType="separate"/>
            </w:r>
            <w:r w:rsidR="004A1B2E">
              <w:rPr>
                <w:noProof/>
                <w:webHidden/>
              </w:rPr>
              <w:t>27</w:t>
            </w:r>
            <w:r w:rsidR="002D05B9">
              <w:rPr>
                <w:noProof/>
                <w:webHidden/>
              </w:rPr>
              <w:fldChar w:fldCharType="end"/>
            </w:r>
          </w:hyperlink>
        </w:p>
        <w:p w14:paraId="56772A55" w14:textId="77777777" w:rsidR="002D05B9" w:rsidRDefault="00B00B83">
          <w:pPr>
            <w:pStyle w:val="TOC2"/>
            <w:rPr>
              <w:rFonts w:asciiTheme="minorHAnsi" w:eastAsiaTheme="minorEastAsia" w:hAnsiTheme="minorHAnsi" w:cstheme="minorBidi"/>
              <w:noProof/>
              <w:sz w:val="22"/>
              <w:szCs w:val="22"/>
            </w:rPr>
          </w:pPr>
          <w:hyperlink w:anchor="_Toc480791437" w:history="1">
            <w:r w:rsidR="002D05B9" w:rsidRPr="004F028A">
              <w:rPr>
                <w:rStyle w:val="Hyperlink"/>
                <w:noProof/>
              </w:rPr>
              <w:t>4.2</w:t>
            </w:r>
            <w:r w:rsidR="002D05B9">
              <w:rPr>
                <w:rFonts w:asciiTheme="minorHAnsi" w:eastAsiaTheme="minorEastAsia" w:hAnsiTheme="minorHAnsi" w:cstheme="minorBidi"/>
                <w:noProof/>
                <w:sz w:val="22"/>
                <w:szCs w:val="22"/>
              </w:rPr>
              <w:tab/>
            </w:r>
            <w:r w:rsidR="002D05B9" w:rsidRPr="004F028A">
              <w:rPr>
                <w:rStyle w:val="Hyperlink"/>
                <w:noProof/>
              </w:rPr>
              <w:t>There are other factors which could deliver cost reductions that aren’t directly related to the approach to PTM</w:t>
            </w:r>
            <w:r w:rsidR="002D05B9">
              <w:rPr>
                <w:noProof/>
                <w:webHidden/>
              </w:rPr>
              <w:tab/>
            </w:r>
            <w:r w:rsidR="002D05B9">
              <w:rPr>
                <w:noProof/>
                <w:webHidden/>
              </w:rPr>
              <w:fldChar w:fldCharType="begin"/>
            </w:r>
            <w:r w:rsidR="002D05B9">
              <w:rPr>
                <w:noProof/>
                <w:webHidden/>
              </w:rPr>
              <w:instrText xml:space="preserve"> PAGEREF _Toc480791437 \h </w:instrText>
            </w:r>
            <w:r w:rsidR="002D05B9">
              <w:rPr>
                <w:noProof/>
                <w:webHidden/>
              </w:rPr>
            </w:r>
            <w:r w:rsidR="002D05B9">
              <w:rPr>
                <w:noProof/>
                <w:webHidden/>
              </w:rPr>
              <w:fldChar w:fldCharType="separate"/>
            </w:r>
            <w:r w:rsidR="004A1B2E">
              <w:rPr>
                <w:noProof/>
                <w:webHidden/>
              </w:rPr>
              <w:t>30</w:t>
            </w:r>
            <w:r w:rsidR="002D05B9">
              <w:rPr>
                <w:noProof/>
                <w:webHidden/>
              </w:rPr>
              <w:fldChar w:fldCharType="end"/>
            </w:r>
          </w:hyperlink>
        </w:p>
        <w:p w14:paraId="349FD426" w14:textId="77777777" w:rsidR="002D05B9" w:rsidRDefault="00B00B83">
          <w:pPr>
            <w:pStyle w:val="TOC2"/>
            <w:rPr>
              <w:rFonts w:asciiTheme="minorHAnsi" w:eastAsiaTheme="minorEastAsia" w:hAnsiTheme="minorHAnsi" w:cstheme="minorBidi"/>
              <w:noProof/>
              <w:sz w:val="22"/>
              <w:szCs w:val="22"/>
            </w:rPr>
          </w:pPr>
          <w:hyperlink w:anchor="_Toc480791438" w:history="1">
            <w:r w:rsidR="002D05B9" w:rsidRPr="004F028A">
              <w:rPr>
                <w:rStyle w:val="Hyperlink"/>
                <w:noProof/>
              </w:rPr>
              <w:t>4.3</w:t>
            </w:r>
            <w:r w:rsidR="002D05B9">
              <w:rPr>
                <w:rFonts w:asciiTheme="minorHAnsi" w:eastAsiaTheme="minorEastAsia" w:hAnsiTheme="minorHAnsi" w:cstheme="minorBidi"/>
                <w:noProof/>
                <w:sz w:val="22"/>
                <w:szCs w:val="22"/>
              </w:rPr>
              <w:tab/>
            </w:r>
            <w:r w:rsidR="002D05B9" w:rsidRPr="004F028A">
              <w:rPr>
                <w:rStyle w:val="Hyperlink"/>
                <w:noProof/>
              </w:rPr>
              <w:t>Analysis of revenue-raising and cost-reducing scenarios show that there are significant irreducible costs</w:t>
            </w:r>
            <w:r w:rsidR="002D05B9">
              <w:rPr>
                <w:noProof/>
                <w:webHidden/>
              </w:rPr>
              <w:tab/>
            </w:r>
            <w:r w:rsidR="002D05B9">
              <w:rPr>
                <w:noProof/>
                <w:webHidden/>
              </w:rPr>
              <w:fldChar w:fldCharType="begin"/>
            </w:r>
            <w:r w:rsidR="002D05B9">
              <w:rPr>
                <w:noProof/>
                <w:webHidden/>
              </w:rPr>
              <w:instrText xml:space="preserve"> PAGEREF _Toc480791438 \h </w:instrText>
            </w:r>
            <w:r w:rsidR="002D05B9">
              <w:rPr>
                <w:noProof/>
                <w:webHidden/>
              </w:rPr>
            </w:r>
            <w:r w:rsidR="002D05B9">
              <w:rPr>
                <w:noProof/>
                <w:webHidden/>
              </w:rPr>
              <w:fldChar w:fldCharType="separate"/>
            </w:r>
            <w:r w:rsidR="004A1B2E">
              <w:rPr>
                <w:noProof/>
                <w:webHidden/>
              </w:rPr>
              <w:t>32</w:t>
            </w:r>
            <w:r w:rsidR="002D05B9">
              <w:rPr>
                <w:noProof/>
                <w:webHidden/>
              </w:rPr>
              <w:fldChar w:fldCharType="end"/>
            </w:r>
          </w:hyperlink>
        </w:p>
        <w:p w14:paraId="729A8467" w14:textId="77777777" w:rsidR="002D05B9" w:rsidRDefault="00B00B83">
          <w:pPr>
            <w:pStyle w:val="TOC1"/>
            <w:rPr>
              <w:rFonts w:asciiTheme="minorHAnsi" w:eastAsiaTheme="minorEastAsia" w:hAnsiTheme="minorHAnsi" w:cstheme="minorBidi"/>
              <w:noProof/>
              <w:sz w:val="22"/>
              <w:szCs w:val="22"/>
            </w:rPr>
          </w:pPr>
          <w:hyperlink w:anchor="_Toc480791439" w:history="1">
            <w:r w:rsidR="002D05B9" w:rsidRPr="004F028A">
              <w:rPr>
                <w:rStyle w:val="Hyperlink"/>
                <w:noProof/>
              </w:rPr>
              <w:t>5</w:t>
            </w:r>
            <w:r w:rsidR="002D05B9">
              <w:rPr>
                <w:rFonts w:asciiTheme="minorHAnsi" w:eastAsiaTheme="minorEastAsia" w:hAnsiTheme="minorHAnsi" w:cstheme="minorBidi"/>
                <w:noProof/>
                <w:sz w:val="22"/>
                <w:szCs w:val="22"/>
              </w:rPr>
              <w:tab/>
            </w:r>
            <w:r w:rsidR="002D05B9" w:rsidRPr="004F028A">
              <w:rPr>
                <w:rStyle w:val="Hyperlink"/>
                <w:noProof/>
              </w:rPr>
              <w:t>There is need for improved data collection, and improved optimisation of jobs, and greater sharing of experience, evidence and expertise</w:t>
            </w:r>
            <w:r w:rsidR="002D05B9">
              <w:rPr>
                <w:noProof/>
                <w:webHidden/>
              </w:rPr>
              <w:tab/>
            </w:r>
            <w:r w:rsidR="002D05B9">
              <w:rPr>
                <w:noProof/>
                <w:webHidden/>
              </w:rPr>
              <w:fldChar w:fldCharType="begin"/>
            </w:r>
            <w:r w:rsidR="002D05B9">
              <w:rPr>
                <w:noProof/>
                <w:webHidden/>
              </w:rPr>
              <w:instrText xml:space="preserve"> PAGEREF _Toc480791439 \h </w:instrText>
            </w:r>
            <w:r w:rsidR="002D05B9">
              <w:rPr>
                <w:noProof/>
                <w:webHidden/>
              </w:rPr>
            </w:r>
            <w:r w:rsidR="002D05B9">
              <w:rPr>
                <w:noProof/>
                <w:webHidden/>
              </w:rPr>
              <w:fldChar w:fldCharType="separate"/>
            </w:r>
            <w:r w:rsidR="004A1B2E">
              <w:rPr>
                <w:noProof/>
                <w:webHidden/>
              </w:rPr>
              <w:t>34</w:t>
            </w:r>
            <w:r w:rsidR="002D05B9">
              <w:rPr>
                <w:noProof/>
                <w:webHidden/>
              </w:rPr>
              <w:fldChar w:fldCharType="end"/>
            </w:r>
          </w:hyperlink>
        </w:p>
        <w:p w14:paraId="2CD65203" w14:textId="77777777" w:rsidR="002D05B9" w:rsidRDefault="00B00B83">
          <w:pPr>
            <w:pStyle w:val="TOC2"/>
            <w:rPr>
              <w:rFonts w:asciiTheme="minorHAnsi" w:eastAsiaTheme="minorEastAsia" w:hAnsiTheme="minorHAnsi" w:cstheme="minorBidi"/>
              <w:noProof/>
              <w:sz w:val="22"/>
              <w:szCs w:val="22"/>
            </w:rPr>
          </w:pPr>
          <w:hyperlink w:anchor="_Toc480791440" w:history="1">
            <w:r w:rsidR="002D05B9" w:rsidRPr="004F028A">
              <w:rPr>
                <w:rStyle w:val="Hyperlink"/>
                <w:noProof/>
              </w:rPr>
              <w:t>5.1</w:t>
            </w:r>
            <w:r w:rsidR="002D05B9">
              <w:rPr>
                <w:rFonts w:asciiTheme="minorHAnsi" w:eastAsiaTheme="minorEastAsia" w:hAnsiTheme="minorHAnsi" w:cstheme="minorBidi"/>
                <w:noProof/>
                <w:sz w:val="22"/>
                <w:szCs w:val="22"/>
              </w:rPr>
              <w:tab/>
            </w:r>
            <w:r w:rsidR="002D05B9" w:rsidRPr="004F028A">
              <w:rPr>
                <w:rStyle w:val="Hyperlink"/>
                <w:noProof/>
              </w:rPr>
              <w:t>Data collection could be significantly improved to better document PTM activities, and associated outcomes and costs</w:t>
            </w:r>
            <w:r w:rsidR="002D05B9">
              <w:rPr>
                <w:noProof/>
                <w:webHidden/>
              </w:rPr>
              <w:tab/>
            </w:r>
            <w:r w:rsidR="002D05B9">
              <w:rPr>
                <w:noProof/>
                <w:webHidden/>
              </w:rPr>
              <w:fldChar w:fldCharType="begin"/>
            </w:r>
            <w:r w:rsidR="002D05B9">
              <w:rPr>
                <w:noProof/>
                <w:webHidden/>
              </w:rPr>
              <w:instrText xml:space="preserve"> PAGEREF _Toc480791440 \h </w:instrText>
            </w:r>
            <w:r w:rsidR="002D05B9">
              <w:rPr>
                <w:noProof/>
                <w:webHidden/>
              </w:rPr>
            </w:r>
            <w:r w:rsidR="002D05B9">
              <w:rPr>
                <w:noProof/>
                <w:webHidden/>
              </w:rPr>
              <w:fldChar w:fldCharType="separate"/>
            </w:r>
            <w:r w:rsidR="004A1B2E">
              <w:rPr>
                <w:noProof/>
                <w:webHidden/>
              </w:rPr>
              <w:t>34</w:t>
            </w:r>
            <w:r w:rsidR="002D05B9">
              <w:rPr>
                <w:noProof/>
                <w:webHidden/>
              </w:rPr>
              <w:fldChar w:fldCharType="end"/>
            </w:r>
          </w:hyperlink>
        </w:p>
        <w:p w14:paraId="35151AD3" w14:textId="77777777" w:rsidR="002D05B9" w:rsidRDefault="00B00B83">
          <w:pPr>
            <w:pStyle w:val="TOC2"/>
            <w:rPr>
              <w:rFonts w:asciiTheme="minorHAnsi" w:eastAsiaTheme="minorEastAsia" w:hAnsiTheme="minorHAnsi" w:cstheme="minorBidi"/>
              <w:noProof/>
              <w:sz w:val="22"/>
              <w:szCs w:val="22"/>
            </w:rPr>
          </w:pPr>
          <w:hyperlink w:anchor="_Toc480791441" w:history="1">
            <w:r w:rsidR="002D05B9" w:rsidRPr="004F028A">
              <w:rPr>
                <w:rStyle w:val="Hyperlink"/>
                <w:noProof/>
              </w:rPr>
              <w:t>5.2</w:t>
            </w:r>
            <w:r w:rsidR="002D05B9">
              <w:rPr>
                <w:rFonts w:asciiTheme="minorHAnsi" w:eastAsiaTheme="minorEastAsia" w:hAnsiTheme="minorHAnsi" w:cstheme="minorBidi"/>
                <w:noProof/>
                <w:sz w:val="22"/>
                <w:szCs w:val="22"/>
              </w:rPr>
              <w:tab/>
            </w:r>
            <w:r w:rsidR="002D05B9" w:rsidRPr="004F028A">
              <w:rPr>
                <w:rStyle w:val="Hyperlink"/>
                <w:noProof/>
              </w:rPr>
              <w:t>Investment in systems to improve work package optimisation could yield significant returns</w:t>
            </w:r>
            <w:r w:rsidR="002D05B9">
              <w:rPr>
                <w:noProof/>
                <w:webHidden/>
              </w:rPr>
              <w:tab/>
            </w:r>
            <w:r w:rsidR="002D05B9">
              <w:rPr>
                <w:noProof/>
                <w:webHidden/>
              </w:rPr>
              <w:fldChar w:fldCharType="begin"/>
            </w:r>
            <w:r w:rsidR="002D05B9">
              <w:rPr>
                <w:noProof/>
                <w:webHidden/>
              </w:rPr>
              <w:instrText xml:space="preserve"> PAGEREF _Toc480791441 \h </w:instrText>
            </w:r>
            <w:r w:rsidR="002D05B9">
              <w:rPr>
                <w:noProof/>
                <w:webHidden/>
              </w:rPr>
            </w:r>
            <w:r w:rsidR="002D05B9">
              <w:rPr>
                <w:noProof/>
                <w:webHidden/>
              </w:rPr>
              <w:fldChar w:fldCharType="separate"/>
            </w:r>
            <w:r w:rsidR="004A1B2E">
              <w:rPr>
                <w:noProof/>
                <w:webHidden/>
              </w:rPr>
              <w:t>36</w:t>
            </w:r>
            <w:r w:rsidR="002D05B9">
              <w:rPr>
                <w:noProof/>
                <w:webHidden/>
              </w:rPr>
              <w:fldChar w:fldCharType="end"/>
            </w:r>
          </w:hyperlink>
        </w:p>
        <w:p w14:paraId="05B2F369" w14:textId="77777777" w:rsidR="002D05B9" w:rsidRDefault="00B00B83">
          <w:pPr>
            <w:pStyle w:val="TOC2"/>
            <w:rPr>
              <w:rFonts w:asciiTheme="minorHAnsi" w:eastAsiaTheme="minorEastAsia" w:hAnsiTheme="minorHAnsi" w:cstheme="minorBidi"/>
              <w:noProof/>
              <w:sz w:val="22"/>
              <w:szCs w:val="22"/>
            </w:rPr>
          </w:pPr>
          <w:hyperlink w:anchor="_Toc480791442" w:history="1">
            <w:r w:rsidR="002D05B9" w:rsidRPr="004F028A">
              <w:rPr>
                <w:rStyle w:val="Hyperlink"/>
                <w:noProof/>
              </w:rPr>
              <w:t>5.3</w:t>
            </w:r>
            <w:r w:rsidR="002D05B9">
              <w:rPr>
                <w:rFonts w:asciiTheme="minorHAnsi" w:eastAsiaTheme="minorEastAsia" w:hAnsiTheme="minorHAnsi" w:cstheme="minorBidi"/>
                <w:noProof/>
                <w:sz w:val="22"/>
                <w:szCs w:val="22"/>
              </w:rPr>
              <w:tab/>
            </w:r>
            <w:r w:rsidR="002D05B9" w:rsidRPr="004F028A">
              <w:rPr>
                <w:rStyle w:val="Hyperlink"/>
                <w:noProof/>
              </w:rPr>
              <w:t>The jurisdictions sharing experience, evidence and expertise will catalyse improvements in PTM approaches in remote Indigenous housing</w:t>
            </w:r>
            <w:r w:rsidR="002D05B9">
              <w:rPr>
                <w:noProof/>
                <w:webHidden/>
              </w:rPr>
              <w:tab/>
            </w:r>
            <w:r w:rsidR="002D05B9">
              <w:rPr>
                <w:noProof/>
                <w:webHidden/>
              </w:rPr>
              <w:fldChar w:fldCharType="begin"/>
            </w:r>
            <w:r w:rsidR="002D05B9">
              <w:rPr>
                <w:noProof/>
                <w:webHidden/>
              </w:rPr>
              <w:instrText xml:space="preserve"> PAGEREF _Toc480791442 \h </w:instrText>
            </w:r>
            <w:r w:rsidR="002D05B9">
              <w:rPr>
                <w:noProof/>
                <w:webHidden/>
              </w:rPr>
            </w:r>
            <w:r w:rsidR="002D05B9">
              <w:rPr>
                <w:noProof/>
                <w:webHidden/>
              </w:rPr>
              <w:fldChar w:fldCharType="separate"/>
            </w:r>
            <w:r w:rsidR="004A1B2E">
              <w:rPr>
                <w:noProof/>
                <w:webHidden/>
              </w:rPr>
              <w:t>38</w:t>
            </w:r>
            <w:r w:rsidR="002D05B9">
              <w:rPr>
                <w:noProof/>
                <w:webHidden/>
              </w:rPr>
              <w:fldChar w:fldCharType="end"/>
            </w:r>
          </w:hyperlink>
        </w:p>
        <w:p w14:paraId="3D30C60E" w14:textId="77777777" w:rsidR="002D05B9" w:rsidRDefault="00B00B83">
          <w:pPr>
            <w:pStyle w:val="TOC1"/>
            <w:tabs>
              <w:tab w:val="left" w:pos="1843"/>
            </w:tabs>
            <w:rPr>
              <w:rFonts w:asciiTheme="minorHAnsi" w:eastAsiaTheme="minorEastAsia" w:hAnsiTheme="minorHAnsi" w:cstheme="minorBidi"/>
              <w:noProof/>
              <w:sz w:val="22"/>
              <w:szCs w:val="22"/>
            </w:rPr>
          </w:pPr>
          <w:hyperlink w:anchor="_Toc480791443" w:history="1">
            <w:r w:rsidR="002D05B9" w:rsidRPr="004F028A">
              <w:rPr>
                <w:rStyle w:val="Hyperlink"/>
                <w:noProof/>
              </w:rPr>
              <w:t>Appendix A</w:t>
            </w:r>
            <w:r w:rsidR="002D05B9">
              <w:rPr>
                <w:rFonts w:asciiTheme="minorHAnsi" w:eastAsiaTheme="minorEastAsia" w:hAnsiTheme="minorHAnsi" w:cstheme="minorBidi"/>
                <w:noProof/>
                <w:sz w:val="22"/>
                <w:szCs w:val="22"/>
              </w:rPr>
              <w:tab/>
            </w:r>
            <w:r w:rsidR="002D05B9" w:rsidRPr="004F028A">
              <w:rPr>
                <w:rStyle w:val="Hyperlink"/>
                <w:noProof/>
              </w:rPr>
              <w:t>Excerpt from cost template</w:t>
            </w:r>
            <w:r w:rsidR="002D05B9">
              <w:rPr>
                <w:noProof/>
                <w:webHidden/>
              </w:rPr>
              <w:tab/>
            </w:r>
            <w:r w:rsidR="002D05B9">
              <w:rPr>
                <w:noProof/>
                <w:webHidden/>
              </w:rPr>
              <w:fldChar w:fldCharType="begin"/>
            </w:r>
            <w:r w:rsidR="002D05B9">
              <w:rPr>
                <w:noProof/>
                <w:webHidden/>
              </w:rPr>
              <w:instrText xml:space="preserve"> PAGEREF _Toc480791443 \h </w:instrText>
            </w:r>
            <w:r w:rsidR="002D05B9">
              <w:rPr>
                <w:noProof/>
                <w:webHidden/>
              </w:rPr>
            </w:r>
            <w:r w:rsidR="002D05B9">
              <w:rPr>
                <w:noProof/>
                <w:webHidden/>
              </w:rPr>
              <w:fldChar w:fldCharType="separate"/>
            </w:r>
            <w:r w:rsidR="004A1B2E">
              <w:rPr>
                <w:noProof/>
                <w:webHidden/>
              </w:rPr>
              <w:t>39</w:t>
            </w:r>
            <w:r w:rsidR="002D05B9">
              <w:rPr>
                <w:noProof/>
                <w:webHidden/>
              </w:rPr>
              <w:fldChar w:fldCharType="end"/>
            </w:r>
          </w:hyperlink>
        </w:p>
        <w:p w14:paraId="132AE8CC" w14:textId="77777777" w:rsidR="002D05B9" w:rsidRDefault="00B00B83">
          <w:pPr>
            <w:pStyle w:val="TOC1"/>
            <w:tabs>
              <w:tab w:val="left" w:pos="1843"/>
            </w:tabs>
            <w:rPr>
              <w:rFonts w:asciiTheme="minorHAnsi" w:eastAsiaTheme="minorEastAsia" w:hAnsiTheme="minorHAnsi" w:cstheme="minorBidi"/>
              <w:noProof/>
              <w:sz w:val="22"/>
              <w:szCs w:val="22"/>
            </w:rPr>
          </w:pPr>
          <w:hyperlink w:anchor="_Toc480791444" w:history="1">
            <w:r w:rsidR="002D05B9" w:rsidRPr="004F028A">
              <w:rPr>
                <w:rStyle w:val="Hyperlink"/>
                <w:noProof/>
              </w:rPr>
              <w:t>Appendix B</w:t>
            </w:r>
            <w:r w:rsidR="002D05B9">
              <w:rPr>
                <w:rFonts w:asciiTheme="minorHAnsi" w:eastAsiaTheme="minorEastAsia" w:hAnsiTheme="minorHAnsi" w:cstheme="minorBidi"/>
                <w:noProof/>
                <w:sz w:val="22"/>
                <w:szCs w:val="22"/>
              </w:rPr>
              <w:tab/>
            </w:r>
            <w:r w:rsidR="002D05B9" w:rsidRPr="004F028A">
              <w:rPr>
                <w:rStyle w:val="Hyperlink"/>
                <w:noProof/>
              </w:rPr>
              <w:t>Remoteness classifications</w:t>
            </w:r>
            <w:r w:rsidR="002D05B9">
              <w:rPr>
                <w:noProof/>
                <w:webHidden/>
              </w:rPr>
              <w:tab/>
            </w:r>
            <w:r w:rsidR="002D05B9">
              <w:rPr>
                <w:noProof/>
                <w:webHidden/>
              </w:rPr>
              <w:fldChar w:fldCharType="begin"/>
            </w:r>
            <w:r w:rsidR="002D05B9">
              <w:rPr>
                <w:noProof/>
                <w:webHidden/>
              </w:rPr>
              <w:instrText xml:space="preserve"> PAGEREF _Toc480791444 \h </w:instrText>
            </w:r>
            <w:r w:rsidR="002D05B9">
              <w:rPr>
                <w:noProof/>
                <w:webHidden/>
              </w:rPr>
            </w:r>
            <w:r w:rsidR="002D05B9">
              <w:rPr>
                <w:noProof/>
                <w:webHidden/>
              </w:rPr>
              <w:fldChar w:fldCharType="separate"/>
            </w:r>
            <w:r w:rsidR="004A1B2E">
              <w:rPr>
                <w:noProof/>
                <w:webHidden/>
              </w:rPr>
              <w:t>40</w:t>
            </w:r>
            <w:r w:rsidR="002D05B9">
              <w:rPr>
                <w:noProof/>
                <w:webHidden/>
              </w:rPr>
              <w:fldChar w:fldCharType="end"/>
            </w:r>
          </w:hyperlink>
        </w:p>
        <w:p w14:paraId="70318830" w14:textId="77777777" w:rsidR="002D05B9" w:rsidRDefault="00B00B83">
          <w:pPr>
            <w:pStyle w:val="TOC1"/>
            <w:tabs>
              <w:tab w:val="left" w:pos="1843"/>
            </w:tabs>
            <w:rPr>
              <w:noProof/>
            </w:rPr>
          </w:pPr>
          <w:hyperlink w:anchor="_Toc480791445" w:history="1">
            <w:r w:rsidR="002D05B9" w:rsidRPr="004F028A">
              <w:rPr>
                <w:rStyle w:val="Hyperlink"/>
                <w:noProof/>
              </w:rPr>
              <w:t>Appendix C</w:t>
            </w:r>
            <w:r w:rsidR="002D05B9">
              <w:rPr>
                <w:rFonts w:asciiTheme="minorHAnsi" w:eastAsiaTheme="minorEastAsia" w:hAnsiTheme="minorHAnsi" w:cstheme="minorBidi"/>
                <w:noProof/>
                <w:sz w:val="22"/>
                <w:szCs w:val="22"/>
              </w:rPr>
              <w:tab/>
            </w:r>
            <w:r w:rsidR="002D05B9" w:rsidRPr="004F028A">
              <w:rPr>
                <w:rStyle w:val="Hyperlink"/>
                <w:noProof/>
              </w:rPr>
              <w:t>Data definitions and assumptions</w:t>
            </w:r>
            <w:r w:rsidR="002D05B9">
              <w:rPr>
                <w:noProof/>
                <w:webHidden/>
              </w:rPr>
              <w:tab/>
            </w:r>
            <w:r w:rsidR="002D05B9">
              <w:rPr>
                <w:noProof/>
                <w:webHidden/>
              </w:rPr>
              <w:fldChar w:fldCharType="begin"/>
            </w:r>
            <w:r w:rsidR="002D05B9">
              <w:rPr>
                <w:noProof/>
                <w:webHidden/>
              </w:rPr>
              <w:instrText xml:space="preserve"> PAGEREF _Toc480791445 \h </w:instrText>
            </w:r>
            <w:r w:rsidR="002D05B9">
              <w:rPr>
                <w:noProof/>
                <w:webHidden/>
              </w:rPr>
            </w:r>
            <w:r w:rsidR="002D05B9">
              <w:rPr>
                <w:noProof/>
                <w:webHidden/>
              </w:rPr>
              <w:fldChar w:fldCharType="separate"/>
            </w:r>
            <w:r w:rsidR="004A1B2E">
              <w:rPr>
                <w:noProof/>
                <w:webHidden/>
              </w:rPr>
              <w:t>46</w:t>
            </w:r>
            <w:r w:rsidR="002D05B9">
              <w:rPr>
                <w:noProof/>
                <w:webHidden/>
              </w:rPr>
              <w:fldChar w:fldCharType="end"/>
            </w:r>
          </w:hyperlink>
        </w:p>
        <w:p w14:paraId="421BB9BB" w14:textId="66BBD20F" w:rsidR="00807965" w:rsidRPr="00807965" w:rsidRDefault="00807965" w:rsidP="00807965">
          <w:pPr>
            <w:rPr>
              <w:rFonts w:eastAsiaTheme="minorEastAsia"/>
            </w:rPr>
          </w:pPr>
          <w:r>
            <w:rPr>
              <w:rFonts w:eastAsiaTheme="minorEastAsia"/>
            </w:rPr>
            <w:t>Appendix D</w:t>
          </w:r>
          <w:r>
            <w:rPr>
              <w:rFonts w:eastAsiaTheme="minorEastAsia"/>
            </w:rPr>
            <w:tab/>
          </w:r>
          <w:r>
            <w:rPr>
              <w:rFonts w:eastAsiaTheme="minorEastAsia"/>
            </w:rPr>
            <w:tab/>
          </w:r>
          <w:r>
            <w:rPr>
              <w:rFonts w:eastAsiaTheme="minorEastAsia"/>
            </w:rPr>
            <w:tab/>
            <w:t xml:space="preserve">   Alternative Text…………………………………………………………………………………………………..47</w:t>
          </w:r>
        </w:p>
        <w:p w14:paraId="54B32DDA" w14:textId="1997B1A5" w:rsidR="0092075B" w:rsidRDefault="00D950C9" w:rsidP="007A0A6D">
          <w:pPr>
            <w:rPr>
              <w:b/>
              <w:bCs/>
              <w:noProof/>
              <w:lang w:val="en-US"/>
            </w:rPr>
          </w:pPr>
          <w:r>
            <w:rPr>
              <w:rFonts w:ascii="Calibri" w:hAnsi="Calibri"/>
            </w:rPr>
            <w:fldChar w:fldCharType="end"/>
          </w:r>
        </w:p>
        <w:p w14:paraId="78F2E7D9" w14:textId="77777777" w:rsidR="0092075B" w:rsidRDefault="00B00B83" w:rsidP="007A0A6D">
          <w:pPr>
            <w:rPr>
              <w:b/>
              <w:bCs/>
              <w:noProof/>
              <w:lang w:val="en-US"/>
            </w:rPr>
            <w:sectPr w:rsidR="0092075B" w:rsidSect="007A0A6D">
              <w:headerReference w:type="even" r:id="rId17"/>
              <w:headerReference w:type="default" r:id="rId18"/>
              <w:headerReference w:type="first" r:id="rId19"/>
              <w:pgSz w:w="11906" w:h="16838" w:code="9"/>
              <w:pgMar w:top="1985" w:right="1418" w:bottom="1843" w:left="1559" w:header="567" w:footer="567" w:gutter="0"/>
              <w:pgNumType w:fmt="lowerRoman" w:start="1"/>
              <w:cols w:space="708"/>
              <w:docGrid w:linePitch="360"/>
            </w:sectPr>
          </w:pPr>
        </w:p>
      </w:sdtContent>
    </w:sdt>
    <w:p w14:paraId="19B56001" w14:textId="77777777" w:rsidR="009D4036" w:rsidRDefault="009D4036" w:rsidP="009D4036">
      <w:pPr>
        <w:pStyle w:val="Heading1"/>
        <w:numPr>
          <w:ilvl w:val="0"/>
          <w:numId w:val="0"/>
        </w:numPr>
      </w:pPr>
      <w:bookmarkStart w:id="0" w:name="_Toc475982687"/>
      <w:bookmarkStart w:id="1" w:name="_Toc475990741"/>
      <w:bookmarkStart w:id="2" w:name="_Toc480791420"/>
      <w:bookmarkStart w:id="3" w:name="_Toc475447301"/>
      <w:r>
        <w:lastRenderedPageBreak/>
        <w:t>Executive summary</w:t>
      </w:r>
      <w:bookmarkEnd w:id="0"/>
      <w:bookmarkEnd w:id="1"/>
      <w:bookmarkEnd w:id="2"/>
    </w:p>
    <w:p w14:paraId="7B532F79" w14:textId="763C6EFB" w:rsidR="006D53B5" w:rsidRDefault="00B04E70" w:rsidP="009D4036">
      <w:r>
        <w:t xml:space="preserve">It is undisputed that the cost of maintaining houses in remote Indigenous communities is high. </w:t>
      </w:r>
      <w:r w:rsidR="00BB7977">
        <w:t>What</w:t>
      </w:r>
      <w:r>
        <w:t xml:space="preserve"> is less </w:t>
      </w:r>
      <w:r w:rsidR="00BB7977">
        <w:t>clear is</w:t>
      </w:r>
      <w:r>
        <w:t xml:space="preserve"> the magnitude of the shortfall between rent collected from remote Indigenous tenancies and the costs required to maintain the housing stock. There is also a gap in understanding the key drivers of remote housing costs and the extent to which improved property and tenancy management (PTM) approaches can </w:t>
      </w:r>
      <w:r w:rsidR="00BB7977">
        <w:t>reduce</w:t>
      </w:r>
      <w:r>
        <w:t xml:space="preserve"> these costs. </w:t>
      </w:r>
      <w:r w:rsidR="006D53B5">
        <w:t xml:space="preserve">Understanding the cost drivers and revenue-cost shortfall is critical to developing informed policy. </w:t>
      </w:r>
    </w:p>
    <w:p w14:paraId="6B6D4700" w14:textId="5227A24C" w:rsidR="00900CD8" w:rsidRDefault="00900CD8" w:rsidP="009D4036">
      <w:r>
        <w:t xml:space="preserve">As part of the Review of the National Partnership Agreement on Remote Indigenous Housing (NPARIH), Nous Group was commissioned to provide a quantitative analysis </w:t>
      </w:r>
      <w:r w:rsidR="0075650C">
        <w:t xml:space="preserve">of the </w:t>
      </w:r>
      <w:r w:rsidR="0020092B">
        <w:t>distribution of costs of repairs and maintenance</w:t>
      </w:r>
      <w:r w:rsidR="0075650C">
        <w:t xml:space="preserve"> and </w:t>
      </w:r>
      <w:r w:rsidR="0020092B">
        <w:t>the</w:t>
      </w:r>
      <w:r w:rsidR="0075650C">
        <w:t xml:space="preserve"> revenue-cost shortfall of remote Indigenous housing</w:t>
      </w:r>
      <w:r w:rsidR="006D53B5">
        <w:t>.</w:t>
      </w:r>
      <w:r>
        <w:t xml:space="preserve"> </w:t>
      </w:r>
      <w:r w:rsidR="009704BF">
        <w:t xml:space="preserve">Data </w:t>
      </w:r>
      <w:r w:rsidR="00BB263D">
        <w:t xml:space="preserve">was </w:t>
      </w:r>
      <w:r w:rsidR="009704BF">
        <w:t xml:space="preserve">provided </w:t>
      </w:r>
      <w:r w:rsidR="00BB263D">
        <w:t xml:space="preserve">by four jurisdictions receiving Commonwealth funding under NPARIH (Queensland, South Australia, Western Australia and Northern Territory). </w:t>
      </w:r>
      <w:r w:rsidR="006D53B5">
        <w:t xml:space="preserve">This </w:t>
      </w:r>
      <w:r w:rsidR="0020092B">
        <w:t>data</w:t>
      </w:r>
      <w:r w:rsidR="006D53B5">
        <w:t xml:space="preserve"> was analysed and</w:t>
      </w:r>
      <w:r w:rsidR="00BB263D">
        <w:t xml:space="preserve"> supplemented by qualitative data and benchmarking from a literature review.</w:t>
      </w:r>
    </w:p>
    <w:p w14:paraId="0DDD8436" w14:textId="5943AD97" w:rsidR="009D4036" w:rsidRDefault="009D4036" w:rsidP="009D4036">
      <w:r>
        <w:t xml:space="preserve">Housing provision in remote Indigenous communities faces a significant and unavoidable revenue-cost shortfall. </w:t>
      </w:r>
      <w:r w:rsidR="00072CB5" w:rsidRPr="00AF5212">
        <w:t>On average, 8</w:t>
      </w:r>
      <w:r w:rsidR="001E32A7">
        <w:t>4</w:t>
      </w:r>
      <w:r w:rsidR="00072CB5" w:rsidRPr="00AF5212">
        <w:t xml:space="preserve"> per cent of the costs of </w:t>
      </w:r>
      <w:r w:rsidR="00107132">
        <w:t xml:space="preserve">ongoing </w:t>
      </w:r>
      <w:r w:rsidR="004E12EE">
        <w:t>property maintenance</w:t>
      </w:r>
      <w:r w:rsidR="00AE2A2F">
        <w:t xml:space="preserve"> </w:t>
      </w:r>
      <w:r w:rsidR="00107132">
        <w:t>of housing stock</w:t>
      </w:r>
      <w:r w:rsidR="00072CB5" w:rsidRPr="00AF5212">
        <w:t xml:space="preserve"> are not covered by rental income</w:t>
      </w:r>
      <w:r w:rsidR="00072CB5">
        <w:t>. This</w:t>
      </w:r>
      <w:r>
        <w:t xml:space="preserve"> shortfall is consistent across all participating jurisdictions, with rent collected </w:t>
      </w:r>
      <w:r w:rsidR="00AE2A2F">
        <w:t xml:space="preserve">only </w:t>
      </w:r>
      <w:r>
        <w:t xml:space="preserve">covering between 11 and </w:t>
      </w:r>
      <w:r w:rsidR="00900CD8">
        <w:t>21</w:t>
      </w:r>
      <w:r>
        <w:t xml:space="preserve"> per cent of total costs. </w:t>
      </w:r>
      <w:r w:rsidR="00072CB5">
        <w:t xml:space="preserve">While this data is based on a limited sample of communities, and largely from 2017-18 budget projections, it gives a good indication of the quantum of the government subsidy required </w:t>
      </w:r>
      <w:r w:rsidR="00AE2A2F">
        <w:t>for the</w:t>
      </w:r>
      <w:r w:rsidR="00072CB5">
        <w:t xml:space="preserve"> ongoing</w:t>
      </w:r>
      <w:r w:rsidR="00FB4641">
        <w:t xml:space="preserve"> management of</w:t>
      </w:r>
      <w:r w:rsidR="00072CB5">
        <w:t xml:space="preserve"> remo</w:t>
      </w:r>
      <w:r w:rsidR="00FB4641">
        <w:t>te Indigenous housing</w:t>
      </w:r>
      <w:r w:rsidR="00072CB5">
        <w:t>.</w:t>
      </w:r>
      <w:r>
        <w:t xml:space="preserve"> This shortfall </w:t>
      </w:r>
      <w:r w:rsidR="00072CB5">
        <w:t xml:space="preserve">in remote Indigenous housing </w:t>
      </w:r>
      <w:r>
        <w:t>is significantly higher than in mainstream public housing</w:t>
      </w:r>
      <w:r w:rsidR="00FB4641">
        <w:t>,</w:t>
      </w:r>
      <w:r>
        <w:t xml:space="preserve"> where </w:t>
      </w:r>
      <w:r w:rsidR="002D05B9">
        <w:t xml:space="preserve">in the case of one jurisdiction, </w:t>
      </w:r>
      <w:r>
        <w:t>rental income collected covers approximately 90 per cent of ongoing costs.</w:t>
      </w:r>
    </w:p>
    <w:p w14:paraId="6010338D" w14:textId="2621D25D" w:rsidR="00117FC9" w:rsidRDefault="009D4036" w:rsidP="009D4036">
      <w:r>
        <w:t>The difference in shortfall between public housing and remote Indigenous housing is driven mostly by a much higher cost of housing provision in remote Indigenous communities. Higher costs account for 80 per cent of the difference in shortfall between public housing and remote Indigenous housing, with lower rental collections accounting for only 20 per cent of the difference.</w:t>
      </w:r>
      <w:r w:rsidR="00117FC9">
        <w:t xml:space="preserve"> This indicates that greater gains can be made from focusing upon achieving cost efficiencies in property and tenancy management than </w:t>
      </w:r>
      <w:r w:rsidR="00E17DA3">
        <w:t xml:space="preserve">from </w:t>
      </w:r>
      <w:r w:rsidR="00117FC9">
        <w:t>increasing rental revenues.</w:t>
      </w:r>
    </w:p>
    <w:p w14:paraId="7400AC48" w14:textId="6690F471" w:rsidR="009D4036" w:rsidRDefault="009D4036" w:rsidP="009D4036">
      <w:r>
        <w:t xml:space="preserve">The key drivers of the high cost of housing provision in remote Indigenous communities are the level of remoteness and </w:t>
      </w:r>
      <w:r w:rsidR="00E17DA3">
        <w:t xml:space="preserve">the </w:t>
      </w:r>
      <w:r>
        <w:t>significantly higher cost of emergency repair activities.</w:t>
      </w:r>
      <w:r w:rsidR="00080D44">
        <w:t xml:space="preserve"> </w:t>
      </w:r>
      <w:r w:rsidR="00E25A48">
        <w:t>Based on a limited sample of data, m</w:t>
      </w:r>
      <w:r w:rsidR="0005597E">
        <w:t xml:space="preserve">aintenance costs in very remote communities are more variable than in remote communities, and </w:t>
      </w:r>
      <w:r w:rsidR="00E17DA3">
        <w:t>are</w:t>
      </w:r>
      <w:r w:rsidR="0005597E">
        <w:t xml:space="preserve"> between 1.3 and 5.1 times </w:t>
      </w:r>
      <w:r w:rsidR="00E17DA3">
        <w:t>higher</w:t>
      </w:r>
      <w:r w:rsidR="003A556F">
        <w:t xml:space="preserve"> in the majority of cases</w:t>
      </w:r>
      <w:r w:rsidR="0005597E">
        <w:t xml:space="preserve">. The effects of remoteness are especially </w:t>
      </w:r>
      <w:r w:rsidR="003A556F">
        <w:t>pronounced</w:t>
      </w:r>
      <w:r w:rsidR="0005597E">
        <w:t xml:space="preserve"> for emergency repairs, due to the higher travel costs per job. </w:t>
      </w:r>
      <w:r w:rsidR="003A556F">
        <w:t xml:space="preserve">On average, emergency repairs cost 8.5 times more in very remote communities than in remote communities. </w:t>
      </w:r>
      <w:r w:rsidR="0005597E">
        <w:t>Typically, the costs of emergency repair activities are 75 per cent higher than planned activities, while responsive activities are 50 per cent more costly than planned.</w:t>
      </w:r>
      <w:r w:rsidR="006B3A53">
        <w:t xml:space="preserve"> </w:t>
      </w:r>
      <w:r w:rsidR="004E12EE">
        <w:t>S</w:t>
      </w:r>
      <w:r w:rsidR="00C168D6">
        <w:t>hifting the balance of maintenance f</w:t>
      </w:r>
      <w:r w:rsidR="007A5FC7">
        <w:t>rom emergency or responsive to</w:t>
      </w:r>
      <w:r w:rsidR="00C168D6">
        <w:t xml:space="preserve"> planned maintena</w:t>
      </w:r>
      <w:r w:rsidR="007A5FC7">
        <w:t>nce</w:t>
      </w:r>
      <w:r w:rsidR="00C168D6">
        <w:t xml:space="preserve"> will reduce costs considerably, as it allows for transport costs to be </w:t>
      </w:r>
      <w:r w:rsidR="00E6234D">
        <w:t>spread</w:t>
      </w:r>
      <w:r w:rsidR="00C168D6">
        <w:t xml:space="preserve"> over a greater number of jobs.</w:t>
      </w:r>
    </w:p>
    <w:p w14:paraId="491E073B" w14:textId="12C0EAC2" w:rsidR="00C42F8F" w:rsidRDefault="00985BD2" w:rsidP="003A556F">
      <w:r w:rsidRPr="0031409C">
        <w:t xml:space="preserve">Existing </w:t>
      </w:r>
      <w:r w:rsidR="003A556F" w:rsidRPr="0031409C">
        <w:t xml:space="preserve">experience </w:t>
      </w:r>
      <w:r w:rsidRPr="0031409C">
        <w:t>across jurisdictions</w:t>
      </w:r>
      <w:r w:rsidR="00AE69CB" w:rsidRPr="0031409C">
        <w:t xml:space="preserve"> indicates</w:t>
      </w:r>
      <w:r w:rsidR="003A556F" w:rsidRPr="0031409C">
        <w:t xml:space="preserve"> targeted cost savings are possible, but there are ultimately irreducible costs</w:t>
      </w:r>
      <w:r w:rsidRPr="0031409C">
        <w:t xml:space="preserve">. </w:t>
      </w:r>
      <w:r w:rsidR="0031409C" w:rsidRPr="0031409C">
        <w:t>C</w:t>
      </w:r>
      <w:r w:rsidR="009F00CD" w:rsidRPr="0031409C">
        <w:t>ost savings can be realised by bundling jobs</w:t>
      </w:r>
      <w:r w:rsidR="00AE69CB" w:rsidRPr="0031409C">
        <w:t xml:space="preserve"> to </w:t>
      </w:r>
      <w:r w:rsidR="009F00CD" w:rsidRPr="0031409C">
        <w:t xml:space="preserve">reduce travel costs, procuring local labour for </w:t>
      </w:r>
      <w:r w:rsidR="00AE69CB" w:rsidRPr="0031409C">
        <w:t>maintenance</w:t>
      </w:r>
      <w:r w:rsidR="009F00CD" w:rsidRPr="0031409C">
        <w:t xml:space="preserve"> and tenancy management and</w:t>
      </w:r>
      <w:r w:rsidR="00AE69CB" w:rsidRPr="0031409C">
        <w:t xml:space="preserve"> up-skilling </w:t>
      </w:r>
      <w:r w:rsidR="009F00CD" w:rsidRPr="0031409C">
        <w:t>local</w:t>
      </w:r>
      <w:r w:rsidR="00AE69CB" w:rsidRPr="0031409C">
        <w:t xml:space="preserve"> tradespeople to perform non-specialised tasks. </w:t>
      </w:r>
      <w:r w:rsidR="009F00CD" w:rsidRPr="0031409C">
        <w:t xml:space="preserve">Initial build decisions and choice of durable, standardised fittings have been shown to reduce lifecycle costs. </w:t>
      </w:r>
    </w:p>
    <w:p w14:paraId="06275404" w14:textId="77777777" w:rsidR="00350352" w:rsidRDefault="00350352" w:rsidP="003A556F">
      <w:r>
        <w:br w:type="page"/>
      </w:r>
    </w:p>
    <w:p w14:paraId="4EABD750" w14:textId="7DA83C16" w:rsidR="00155DA3" w:rsidRPr="00985BD2" w:rsidRDefault="00233B68" w:rsidP="003A556F">
      <w:r>
        <w:lastRenderedPageBreak/>
        <w:t>With a concerted approach to cost reduction (and to a lesser extent rental income improvements), benchmarking analysis places optimistic revenue</w:t>
      </w:r>
      <w:r w:rsidR="0030724D">
        <w:t xml:space="preserve"> to</w:t>
      </w:r>
      <w:r>
        <w:t xml:space="preserve"> cost ratios at 21 to 33 per cent. </w:t>
      </w:r>
      <w:r w:rsidR="0030724D">
        <w:t xml:space="preserve">In other words, the smallest revenue-cost shortfall of all </w:t>
      </w:r>
      <w:r w:rsidR="000E6507">
        <w:t>of the</w:t>
      </w:r>
      <w:r w:rsidR="00877FC1">
        <w:t xml:space="preserve"> NPARIH</w:t>
      </w:r>
      <w:r w:rsidR="000E6507">
        <w:t xml:space="preserve"> </w:t>
      </w:r>
      <w:r w:rsidR="0030724D">
        <w:t xml:space="preserve">communities in </w:t>
      </w:r>
      <w:r w:rsidR="005E3FBC">
        <w:t>the data</w:t>
      </w:r>
      <w:r w:rsidR="0030724D">
        <w:t xml:space="preserve"> sample was 67 per cent, as opposed to the NPARIH-wide value of 84 per cent</w:t>
      </w:r>
      <w:r w:rsidR="0030724D" w:rsidRPr="009F00CD">
        <w:t xml:space="preserve">. </w:t>
      </w:r>
      <w:r w:rsidR="009F00CD" w:rsidRPr="009F00CD">
        <w:t>This</w:t>
      </w:r>
      <w:r w:rsidR="002007EF">
        <w:t xml:space="preserve"> finding</w:t>
      </w:r>
      <w:r w:rsidR="009F00CD" w:rsidRPr="009F00CD">
        <w:t xml:space="preserve"> implies that</w:t>
      </w:r>
      <w:r w:rsidR="000E6507" w:rsidRPr="009F00CD">
        <w:t xml:space="preserve"> there are lessons of better practice that can be learned about PTM from the communities that have the smallest shortfall</w:t>
      </w:r>
      <w:r w:rsidR="009F00CD" w:rsidRPr="009F00CD">
        <w:t>s</w:t>
      </w:r>
      <w:r w:rsidR="000E6507" w:rsidRPr="009F00CD">
        <w:t>.</w:t>
      </w:r>
      <w:r w:rsidR="009F00CD" w:rsidRPr="009F00CD">
        <w:t xml:space="preserve"> </w:t>
      </w:r>
      <w:r w:rsidR="00461A9C">
        <w:t>While this report does not include investigation of the specific practices of high performing communities, this is an area recommended for future in-depth investigation. However, these figures also indicate</w:t>
      </w:r>
      <w:r w:rsidR="009F00CD" w:rsidRPr="009F00CD">
        <w:t xml:space="preserve"> that </w:t>
      </w:r>
      <w:r w:rsidR="00840387">
        <w:t xml:space="preserve">unlike in the context of mainstream urban social housing, </w:t>
      </w:r>
      <w:r w:rsidR="009F00CD" w:rsidRPr="009F00CD">
        <w:t xml:space="preserve">the ongoing management of remote Indigenous housing stock </w:t>
      </w:r>
      <w:r w:rsidR="00840387">
        <w:t>is far from being independently financially viable. There is a clear need for ongoing government subsidy</w:t>
      </w:r>
      <w:r w:rsidR="00FC382F">
        <w:t xml:space="preserve"> for the </w:t>
      </w:r>
      <w:r w:rsidR="00E1288D">
        <w:t>ongoing management</w:t>
      </w:r>
      <w:r w:rsidR="00FC382F">
        <w:t xml:space="preserve"> of remote housing stock</w:t>
      </w:r>
      <w:r w:rsidR="00840387">
        <w:t>.</w:t>
      </w:r>
    </w:p>
    <w:p w14:paraId="17D1E795" w14:textId="2EA2DC8E" w:rsidR="007F2B76" w:rsidRDefault="00226A5A" w:rsidP="009D4036">
      <w:r>
        <w:t xml:space="preserve">While </w:t>
      </w:r>
      <w:r w:rsidR="005E3FBC">
        <w:t xml:space="preserve">targeted </w:t>
      </w:r>
      <w:r>
        <w:t>data collection as part of this review has enabled an in-depth analysis of the costs of remote indigenous housing, t</w:t>
      </w:r>
      <w:r w:rsidR="006F1F1F">
        <w:t>here is a need for improved data collection</w:t>
      </w:r>
      <w:r w:rsidR="00985BD2">
        <w:t xml:space="preserve"> on maintenance activities, costs and ho</w:t>
      </w:r>
      <w:r w:rsidR="000E6507">
        <w:t>u</w:t>
      </w:r>
      <w:r w:rsidR="00985BD2">
        <w:t>sing outcomes. Sharing of expertise between jurisdictions, along with a concerted approach to data collection and investment in systems to improve work package optimisation, could yield significant reductions to the overall revenue –cost shortfall.</w:t>
      </w:r>
    </w:p>
    <w:p w14:paraId="46601D6F" w14:textId="77777777" w:rsidR="007F2B76" w:rsidRDefault="007F2B76" w:rsidP="009D4036"/>
    <w:p w14:paraId="5F4CEB0D" w14:textId="77777777" w:rsidR="009D4036" w:rsidRDefault="009D4036" w:rsidP="00834B3C">
      <w:r>
        <w:br w:type="page"/>
      </w:r>
    </w:p>
    <w:p w14:paraId="24E237A1" w14:textId="77777777" w:rsidR="00C5345D" w:rsidRDefault="00C5345D" w:rsidP="00EF6B06">
      <w:pPr>
        <w:pStyle w:val="Heading1"/>
      </w:pPr>
      <w:bookmarkStart w:id="4" w:name="_Toc475982688"/>
      <w:bookmarkStart w:id="5" w:name="_Toc475990742"/>
      <w:bookmarkStart w:id="6" w:name="_Toc480791421"/>
      <w:r>
        <w:lastRenderedPageBreak/>
        <w:t>Opportunities to reduce costs in remote Indigenous housing needs robust evidence</w:t>
      </w:r>
      <w:bookmarkEnd w:id="3"/>
      <w:bookmarkEnd w:id="4"/>
      <w:bookmarkEnd w:id="5"/>
      <w:bookmarkEnd w:id="6"/>
    </w:p>
    <w:p w14:paraId="157CD02A" w14:textId="77777777" w:rsidR="00C5345D" w:rsidRDefault="00C5345D" w:rsidP="00C5345D">
      <w:pPr>
        <w:pStyle w:val="Heading2"/>
      </w:pPr>
      <w:bookmarkStart w:id="7" w:name="_Toc475982689"/>
      <w:bookmarkStart w:id="8" w:name="_Toc475990743"/>
      <w:bookmarkStart w:id="9" w:name="_Toc480791422"/>
      <w:bookmarkStart w:id="10" w:name="_Toc475447302"/>
      <w:r>
        <w:t>While hig</w:t>
      </w:r>
      <w:r w:rsidR="000B58CB">
        <w:t xml:space="preserve">h costs are widely accepted, </w:t>
      </w:r>
      <w:r w:rsidR="001A5431">
        <w:t xml:space="preserve">this report seeks to provide much-needed </w:t>
      </w:r>
      <w:r w:rsidR="000B58CB">
        <w:t>in-</w:t>
      </w:r>
      <w:r>
        <w:t>depth analysis</w:t>
      </w:r>
      <w:bookmarkEnd w:id="7"/>
      <w:bookmarkEnd w:id="8"/>
      <w:bookmarkEnd w:id="9"/>
      <w:r>
        <w:t xml:space="preserve"> </w:t>
      </w:r>
      <w:bookmarkEnd w:id="10"/>
    </w:p>
    <w:p w14:paraId="704AA955" w14:textId="77777777" w:rsidR="00C5345D" w:rsidRDefault="00C5345D" w:rsidP="00C5345D">
      <w:r>
        <w:t xml:space="preserve">The </w:t>
      </w:r>
      <w:r w:rsidR="000B58CB">
        <w:t>premise that d</w:t>
      </w:r>
      <w:r>
        <w:t xml:space="preserve">elivering remote Indigenous housing </w:t>
      </w:r>
      <w:r w:rsidR="000B58CB">
        <w:t>entails high costs is not dispu</w:t>
      </w:r>
      <w:r>
        <w:t>ted.</w:t>
      </w:r>
      <w:r w:rsidR="00A3356D">
        <w:t xml:space="preserve"> However, a review of the academic and grey literature shows that t</w:t>
      </w:r>
      <w:r>
        <w:t>here is limited evidence available</w:t>
      </w:r>
      <w:r w:rsidR="000B58CB">
        <w:t xml:space="preserve">. In particular, there is limited evidence </w:t>
      </w:r>
      <w:r>
        <w:t>on:</w:t>
      </w:r>
    </w:p>
    <w:p w14:paraId="7B4F060E" w14:textId="77777777" w:rsidR="00C5345D" w:rsidRPr="006544E7" w:rsidRDefault="00C5345D" w:rsidP="008F585B">
      <w:pPr>
        <w:pStyle w:val="Bullet"/>
      </w:pPr>
      <w:r w:rsidRPr="006544E7">
        <w:t xml:space="preserve">The </w:t>
      </w:r>
      <w:r w:rsidR="004742D8">
        <w:t>shortfall</w:t>
      </w:r>
      <w:r w:rsidRPr="006544E7">
        <w:t xml:space="preserve"> between rental revenue</w:t>
      </w:r>
      <w:r w:rsidR="004742D8" w:rsidRPr="004742D8">
        <w:t xml:space="preserve"> </w:t>
      </w:r>
      <w:r w:rsidR="004742D8">
        <w:t xml:space="preserve">and </w:t>
      </w:r>
      <w:r w:rsidR="004742D8" w:rsidRPr="006544E7">
        <w:t>delivery costs</w:t>
      </w:r>
    </w:p>
    <w:p w14:paraId="21A841BF" w14:textId="77777777" w:rsidR="00C5345D" w:rsidRPr="006544E7" w:rsidRDefault="00C5345D" w:rsidP="008F585B">
      <w:pPr>
        <w:pStyle w:val="Bullet"/>
      </w:pPr>
      <w:r w:rsidRPr="006544E7">
        <w:t>The statistical description of costs and costs drivers</w:t>
      </w:r>
    </w:p>
    <w:p w14:paraId="4EEEFD33" w14:textId="77777777" w:rsidR="00C5345D" w:rsidRDefault="00C5345D" w:rsidP="008F585B">
      <w:pPr>
        <w:pStyle w:val="Bullet"/>
      </w:pPr>
      <w:r w:rsidRPr="006544E7">
        <w:t>Quantitative analysis of the impact of various measures to reduce costs</w:t>
      </w:r>
      <w:r>
        <w:t xml:space="preserve">. </w:t>
      </w:r>
    </w:p>
    <w:p w14:paraId="41746BF0" w14:textId="77777777" w:rsidR="00C5345D" w:rsidRDefault="00C5345D" w:rsidP="00C5345D">
      <w:r>
        <w:t>As part of the Review of the National Partnership Agreemen</w:t>
      </w:r>
      <w:r w:rsidR="009D7B5B">
        <w:t>t on Remote Indigenous Housing</w:t>
      </w:r>
      <w:r w:rsidR="00A3356D">
        <w:t xml:space="preserve"> (NPARIH)</w:t>
      </w:r>
      <w:r w:rsidR="009D7B5B">
        <w:t xml:space="preserve">, </w:t>
      </w:r>
      <w:r>
        <w:t>Nous Group</w:t>
      </w:r>
      <w:r w:rsidR="0018378B">
        <w:t xml:space="preserve"> was commissioned to provide in-</w:t>
      </w:r>
      <w:r>
        <w:t>depth quantitative evidence on property and tenancy management (PTM) costs.</w:t>
      </w:r>
    </w:p>
    <w:p w14:paraId="2A5DAAEF" w14:textId="36A57F62" w:rsidR="000E0767" w:rsidRPr="00720FEF" w:rsidRDefault="00720FEF" w:rsidP="00C5345D">
      <w:r w:rsidRPr="00720FEF">
        <w:t>Nous’ analysis focuse</w:t>
      </w:r>
      <w:r>
        <w:t>d</w:t>
      </w:r>
      <w:r w:rsidRPr="00720FEF">
        <w:t xml:space="preserve"> on the ongoing costs of </w:t>
      </w:r>
      <w:r w:rsidR="000B58CB">
        <w:t>PTM</w:t>
      </w:r>
      <w:r>
        <w:t xml:space="preserve"> in remote Indigenous </w:t>
      </w:r>
      <w:r w:rsidR="004847EA">
        <w:t>h</w:t>
      </w:r>
      <w:r>
        <w:t>ousing</w:t>
      </w:r>
      <w:r w:rsidR="000B58CB">
        <w:t>, which</w:t>
      </w:r>
      <w:r>
        <w:t xml:space="preserve"> included</w:t>
      </w:r>
      <w:r w:rsidRPr="00720FEF">
        <w:t xml:space="preserve"> i</w:t>
      </w:r>
      <w:r>
        <w:t>dentifying</w:t>
      </w:r>
      <w:r w:rsidRPr="00720FEF">
        <w:t xml:space="preserve"> the major cost drivers, comparisons to mainstream public housing</w:t>
      </w:r>
      <w:r>
        <w:t>, and identifying any realised or potential gains from changes to PTM approaches. This work does not include analysis of construction costs</w:t>
      </w:r>
      <w:r w:rsidR="000B58CB">
        <w:t>. It only incidentally examined</w:t>
      </w:r>
      <w:r w:rsidR="00C44A55">
        <w:t xml:space="preserve"> connections</w:t>
      </w:r>
      <w:r>
        <w:t xml:space="preserve"> between initial construction cost and ongoing repair and maintenance costs.</w:t>
      </w:r>
    </w:p>
    <w:p w14:paraId="66735702" w14:textId="77777777" w:rsidR="00335E90" w:rsidRDefault="00335E90" w:rsidP="00100AC1">
      <w:r>
        <w:t xml:space="preserve">For the purposes of this analysis, Nous undertook a </w:t>
      </w:r>
      <w:r w:rsidR="00720FEF">
        <w:t>targeted</w:t>
      </w:r>
      <w:r>
        <w:t xml:space="preserve"> approach to data collection and analysis, to maximise consistency of data definitions across jurisdictions, ensure a realistic data request and timeframe was provided, and enable a thorough analysis of the significant costs and their drivers.</w:t>
      </w:r>
      <w:r w:rsidR="00F5530B">
        <w:t xml:space="preserve"> Our methodology comprised four compo</w:t>
      </w:r>
      <w:r w:rsidR="000E0767">
        <w:t>nents.</w:t>
      </w:r>
    </w:p>
    <w:p w14:paraId="71DDCCCD" w14:textId="77777777" w:rsidR="00F5530B" w:rsidRDefault="00F5530B" w:rsidP="00F5530B">
      <w:pPr>
        <w:pStyle w:val="Heading5"/>
      </w:pPr>
      <w:r>
        <w:t>1. Literature review</w:t>
      </w:r>
    </w:p>
    <w:p w14:paraId="6506D5F2" w14:textId="77777777" w:rsidR="00100AC1" w:rsidRDefault="009820EA" w:rsidP="00100AC1">
      <w:r>
        <w:t>In preparation for analysis of jurisdictional data, Nous undertook a review of relevant literature on the topic of public housing provision, particularly in regional and remote areas and Indigenous communities.</w:t>
      </w:r>
    </w:p>
    <w:p w14:paraId="524AA052" w14:textId="77777777" w:rsidR="00F5530B" w:rsidRDefault="00F5530B" w:rsidP="00100AC1">
      <w:r>
        <w:t xml:space="preserve">The </w:t>
      </w:r>
      <w:r w:rsidR="000B58CB">
        <w:t>key</w:t>
      </w:r>
      <w:r>
        <w:t xml:space="preserve"> research reports and resources that were relevant were:</w:t>
      </w:r>
    </w:p>
    <w:p w14:paraId="441EDE6D" w14:textId="5BB93695" w:rsidR="00F5530B" w:rsidRDefault="00F048AB" w:rsidP="00CA41F0">
      <w:pPr>
        <w:pStyle w:val="Bullet"/>
      </w:pPr>
      <w:r>
        <w:t xml:space="preserve">Habibis et al, </w:t>
      </w:r>
      <w:r w:rsidR="007F3FF8" w:rsidRPr="00E16835">
        <w:t xml:space="preserve">Reviewing changes to housing management on remote Indigenous </w:t>
      </w:r>
      <w:r w:rsidRPr="00E16835">
        <w:t>communities</w:t>
      </w:r>
      <w:r>
        <w:t>,</w:t>
      </w:r>
      <w:r w:rsidR="00A2090C">
        <w:t xml:space="preserve"> </w:t>
      </w:r>
      <w:r w:rsidR="00E16835">
        <w:t xml:space="preserve">AHURI, </w:t>
      </w:r>
      <w:r w:rsidR="00A2090C">
        <w:t>2016</w:t>
      </w:r>
    </w:p>
    <w:p w14:paraId="323E5693" w14:textId="51FD2E7E" w:rsidR="00F5530B" w:rsidRDefault="008F7828" w:rsidP="00CA41F0">
      <w:pPr>
        <w:pStyle w:val="Bullet"/>
      </w:pPr>
      <w:r>
        <w:t>T Sowerbutts</w:t>
      </w:r>
      <w:r w:rsidR="00F048AB">
        <w:t xml:space="preserve"> &amp; </w:t>
      </w:r>
      <w:r>
        <w:t>B Mansell,</w:t>
      </w:r>
      <w:r w:rsidR="00F048AB">
        <w:t xml:space="preserve"> </w:t>
      </w:r>
      <w:r w:rsidR="00426211" w:rsidRPr="008F7828">
        <w:t>Cost Benefit Ana</w:t>
      </w:r>
      <w:r w:rsidR="008B419A" w:rsidRPr="008F7828">
        <w:t>lysis for Housing Management</w:t>
      </w:r>
      <w:r w:rsidR="008B419A">
        <w:t xml:space="preserve">, </w:t>
      </w:r>
      <w:r w:rsidR="00426211">
        <w:t>2012</w:t>
      </w:r>
    </w:p>
    <w:p w14:paraId="7CB3FBFC" w14:textId="5BCB54AE" w:rsidR="007E2272" w:rsidRDefault="007E2272" w:rsidP="00CA41F0">
      <w:pPr>
        <w:pStyle w:val="Bullet"/>
      </w:pPr>
      <w:r>
        <w:t>J Fien &amp; E Charlesworth, ‘Why isn’t it solved?’ Factors affecting improvements in housing outcomes in remote Indigenous communities in Australia, Habitat International, 36, 2012</w:t>
      </w:r>
    </w:p>
    <w:p w14:paraId="6B494DCF" w14:textId="0FE82D4C" w:rsidR="006F6AFC" w:rsidRDefault="006F6AFC" w:rsidP="00CA41F0">
      <w:pPr>
        <w:pStyle w:val="Bullet"/>
      </w:pPr>
      <w:r>
        <w:t>J Fien, E Charlesworth, G Lee, D Baker, T Grice &amp; D Morris, Life on the edge: housing experiences in three remote Australian indigenous settlements, Habitat International 35(2):343–9, 2011</w:t>
      </w:r>
    </w:p>
    <w:p w14:paraId="36A6ADAB" w14:textId="549F176F" w:rsidR="005C3197" w:rsidRDefault="005C3197" w:rsidP="00CA41F0">
      <w:pPr>
        <w:pStyle w:val="Bullet"/>
      </w:pPr>
      <w:r w:rsidRPr="00EC4B38">
        <w:t xml:space="preserve">2011 review conducted by Rider Levett Bucknall of construction methods and whole of life costs for </w:t>
      </w:r>
      <w:r>
        <w:t xml:space="preserve">a Typical 3 Bedroom House </w:t>
      </w:r>
      <w:r w:rsidRPr="00EC4B38">
        <w:t>delivered under the Strategic Indigenous Housing and Infrastructure Program – NT Alliance</w:t>
      </w:r>
      <w:r>
        <w:t>.</w:t>
      </w:r>
    </w:p>
    <w:p w14:paraId="46AE5E29" w14:textId="7CC55475" w:rsidR="00DF28B8" w:rsidRDefault="008F7828" w:rsidP="00CA41F0">
      <w:pPr>
        <w:pStyle w:val="Bullet"/>
      </w:pPr>
      <w:r>
        <w:t>J Standen</w:t>
      </w:r>
      <w:r w:rsidR="00E16835">
        <w:t>,</w:t>
      </w:r>
      <w:r w:rsidRPr="00DF28B8">
        <w:t xml:space="preserve"> </w:t>
      </w:r>
      <w:r w:rsidR="00DF28B8" w:rsidRPr="00E16835">
        <w:t>Closing the Gap: 10 Years of Housing for Health in NSW</w:t>
      </w:r>
      <w:r w:rsidR="00DF28B8">
        <w:t>,  NSW Health, 2010</w:t>
      </w:r>
    </w:p>
    <w:p w14:paraId="69B7D5C2" w14:textId="30D80860" w:rsidR="00DB2E76" w:rsidRDefault="00E16835" w:rsidP="00CA41F0">
      <w:pPr>
        <w:pStyle w:val="Bullet"/>
      </w:pPr>
      <w:r>
        <w:lastRenderedPageBreak/>
        <w:t>P Pholeros,</w:t>
      </w:r>
      <w:r w:rsidR="00DB2E76" w:rsidRPr="006A2160">
        <w:t xml:space="preserve"> </w:t>
      </w:r>
      <w:r>
        <w:t xml:space="preserve">T Lea, S Rainow, T </w:t>
      </w:r>
      <w:r w:rsidR="00DB2E76" w:rsidRPr="006A2160">
        <w:t xml:space="preserve">Sowerbutts, </w:t>
      </w:r>
      <w:r>
        <w:t>P</w:t>
      </w:r>
      <w:r w:rsidR="00DB2E76" w:rsidRPr="006A2160">
        <w:t xml:space="preserve"> Torzillo, I</w:t>
      </w:r>
      <w:r w:rsidR="00DB2E76" w:rsidRPr="00E16835">
        <w:t>mproving the state of health hardware in Australian Indigenous housing: building more houses is not the only answer</w:t>
      </w:r>
      <w:r>
        <w:t>,</w:t>
      </w:r>
      <w:r w:rsidR="00DB2E76" w:rsidRPr="006A2160">
        <w:t> </w:t>
      </w:r>
      <w:r w:rsidR="005B304D">
        <w:t>International J</w:t>
      </w:r>
      <w:r w:rsidR="00DB2E76" w:rsidRPr="005F5ED2">
        <w:t xml:space="preserve">ournal of </w:t>
      </w:r>
      <w:r w:rsidR="005B304D">
        <w:t>C</w:t>
      </w:r>
      <w:r w:rsidR="00DB2E76" w:rsidRPr="005F5ED2">
        <w:t xml:space="preserve">ircumpolar </w:t>
      </w:r>
      <w:r w:rsidR="005B304D">
        <w:t>H</w:t>
      </w:r>
      <w:r w:rsidR="00DB2E76" w:rsidRPr="005F5ED2">
        <w:t>ealth</w:t>
      </w:r>
      <w:r w:rsidR="008B419A">
        <w:t>, 72</w:t>
      </w:r>
      <w:r>
        <w:t>, 2013</w:t>
      </w:r>
    </w:p>
    <w:p w14:paraId="2CBEB985" w14:textId="6042D1EB" w:rsidR="00EE636A" w:rsidRDefault="00EE636A" w:rsidP="00CA41F0">
      <w:pPr>
        <w:pStyle w:val="Bullet"/>
      </w:pPr>
      <w:r>
        <w:t xml:space="preserve">P Pholeros &amp; P Phibbs, </w:t>
      </w:r>
      <w:r w:rsidRPr="00EE636A">
        <w:t xml:space="preserve">Constructing and maintaining houses, Resource sheet no.13 produced for Closing the Gap Clearing House, Australian </w:t>
      </w:r>
      <w:r w:rsidR="008923D0" w:rsidRPr="00EE636A">
        <w:t>Institute</w:t>
      </w:r>
      <w:r w:rsidRPr="00EE636A">
        <w:t xml:space="preserve"> of Health and Welfare, 2012</w:t>
      </w:r>
    </w:p>
    <w:p w14:paraId="4C246122" w14:textId="796C2B6F" w:rsidR="00B66E74" w:rsidRPr="00EE636A" w:rsidRDefault="00B66E74" w:rsidP="00CA41F0">
      <w:pPr>
        <w:pStyle w:val="Bullet"/>
      </w:pPr>
      <w:r>
        <w:t>T McPeake &amp; P Pholeros, Fixing houses for better health in remote communities, National Housing Conference, 2005</w:t>
      </w:r>
    </w:p>
    <w:p w14:paraId="2A5F29AE" w14:textId="3CA7AEFE" w:rsidR="00F5530B" w:rsidRDefault="00E16835" w:rsidP="00100AC1">
      <w:pPr>
        <w:pStyle w:val="Bullet"/>
      </w:pPr>
      <w:r w:rsidRPr="00EE636A">
        <w:t>Construction Cost Guide</w:t>
      </w:r>
      <w:r>
        <w:rPr>
          <w:i/>
        </w:rPr>
        <w:t>,</w:t>
      </w:r>
      <w:r w:rsidRPr="00E16835">
        <w:rPr>
          <w:i/>
        </w:rPr>
        <w:t xml:space="preserve"> </w:t>
      </w:r>
      <w:r w:rsidR="00A648BD">
        <w:t>Rawlinsons Publishing, 2016</w:t>
      </w:r>
      <w:r w:rsidR="00F03B8A">
        <w:t xml:space="preserve"> </w:t>
      </w:r>
    </w:p>
    <w:p w14:paraId="1FCEC96F" w14:textId="77777777" w:rsidR="00F5530B" w:rsidRDefault="00F5530B" w:rsidP="00F5530B">
      <w:pPr>
        <w:pStyle w:val="Heading5"/>
      </w:pPr>
      <w:r>
        <w:t>2. Engagement with states and territories</w:t>
      </w:r>
    </w:p>
    <w:p w14:paraId="549046F3" w14:textId="019E93BC" w:rsidR="009820EA" w:rsidRDefault="009820EA" w:rsidP="00846E0D">
      <w:r>
        <w:t>Nous engaged all jurisdictions in preliminary discussions, in order to</w:t>
      </w:r>
      <w:r w:rsidR="006A2160">
        <w:t xml:space="preserve"> u</w:t>
      </w:r>
      <w:r>
        <w:t>nderstand the volume and breadth of data available</w:t>
      </w:r>
      <w:r w:rsidR="006A2160">
        <w:t>, g</w:t>
      </w:r>
      <w:r>
        <w:t>auge a realistic data request and timeline</w:t>
      </w:r>
      <w:r w:rsidR="006A2160">
        <w:t>, and f</w:t>
      </w:r>
      <w:r>
        <w:t>ocus on the data points of most significance to the review</w:t>
      </w:r>
      <w:r w:rsidR="006A2160">
        <w:t>.</w:t>
      </w:r>
    </w:p>
    <w:p w14:paraId="3DFEC8AC" w14:textId="5B2487DE" w:rsidR="00100AC1" w:rsidRDefault="00C93EE1" w:rsidP="00100AC1">
      <w:r>
        <w:t xml:space="preserve">In order to delve into the most significant drivers of cost in remote Indigenous housing, all four jurisdictions </w:t>
      </w:r>
      <w:r w:rsidR="00900CD8">
        <w:t xml:space="preserve">currently within the NPARIH agreement (Queensland, South Australia, Western Australia and Northern Territory) </w:t>
      </w:r>
      <w:r>
        <w:t>participated in a w</w:t>
      </w:r>
      <w:r w:rsidR="00100AC1">
        <w:t>orkshop</w:t>
      </w:r>
      <w:r>
        <w:t xml:space="preserve"> in Adelaide on 19 January 2017. The workshop served to draw out shared knowledge and various points of expertise, understand the key drivers of the cost of housing provision (and their respective levels of controllability) and gain agreement on a realistic data request and timeframe.</w:t>
      </w:r>
    </w:p>
    <w:p w14:paraId="726533A4" w14:textId="77777777" w:rsidR="00F5530B" w:rsidRDefault="00F5530B" w:rsidP="00F5530B">
      <w:pPr>
        <w:pStyle w:val="Heading5"/>
      </w:pPr>
      <w:r>
        <w:t xml:space="preserve">3. Cost data template </w:t>
      </w:r>
    </w:p>
    <w:p w14:paraId="2F7B0D85" w14:textId="77777777" w:rsidR="00100AC1" w:rsidRDefault="00C93EE1" w:rsidP="00100AC1">
      <w:r>
        <w:t xml:space="preserve">Following the workshop, </w:t>
      </w:r>
      <w:r w:rsidR="002D30DD">
        <w:t>in conjunction with follow up calls with jurisdictions, Nous developed a data request template to be filled by each jurisdiction, covering:</w:t>
      </w:r>
    </w:p>
    <w:p w14:paraId="1EC27339" w14:textId="77777777" w:rsidR="00F5530B" w:rsidRDefault="008E1C8B" w:rsidP="0027004E">
      <w:pPr>
        <w:pStyle w:val="Bullet"/>
      </w:pPr>
      <w:r w:rsidRPr="0027004E">
        <w:rPr>
          <w:b/>
        </w:rPr>
        <w:t>Remoteness classification</w:t>
      </w:r>
      <w:r w:rsidR="00F5530B" w:rsidRPr="0027004E">
        <w:rPr>
          <w:b/>
        </w:rPr>
        <w:t>s:</w:t>
      </w:r>
      <w:r w:rsidR="00F5530B" w:rsidRPr="0027004E">
        <w:t xml:space="preserve"> </w:t>
      </w:r>
      <w:r>
        <w:t xml:space="preserve">Jurisdictions were asked to provide a sample of communities against four </w:t>
      </w:r>
      <w:r w:rsidR="00F5530B">
        <w:t xml:space="preserve">indicative </w:t>
      </w:r>
      <w:r>
        <w:t xml:space="preserve">levels of remoteness – Regional Indigenous (non-NPARIH), Remote, Very Remote and Island – to allow analysis of the effects of remoteness on cost. Jurisdictions were also asked to provide data points against mainstream </w:t>
      </w:r>
      <w:r w:rsidRPr="00F5530B">
        <w:t>public</w:t>
      </w:r>
      <w:r>
        <w:t xml:space="preserve"> housing. </w:t>
      </w:r>
    </w:p>
    <w:p w14:paraId="24CB0542" w14:textId="77777777" w:rsidR="00276D5A" w:rsidRDefault="002F1276" w:rsidP="0027004E">
      <w:pPr>
        <w:pStyle w:val="Bullet"/>
      </w:pPr>
      <w:r w:rsidRPr="0027004E">
        <w:rPr>
          <w:b/>
        </w:rPr>
        <w:t xml:space="preserve">The </w:t>
      </w:r>
      <w:r w:rsidR="00185543">
        <w:rPr>
          <w:b/>
        </w:rPr>
        <w:t>revenue – cost shortfall</w:t>
      </w:r>
      <w:r w:rsidR="00F5530B" w:rsidRPr="0027004E">
        <w:rPr>
          <w:b/>
        </w:rPr>
        <w:t xml:space="preserve">: </w:t>
      </w:r>
      <w:r>
        <w:t xml:space="preserve">Jurisdictions were asked to provide high level annual cost and rent budgets, for each of the remoteness classifications as well as comparator data for mainstream public housing, to gain an understanding of the overall </w:t>
      </w:r>
      <w:r w:rsidR="008024DC">
        <w:t>revenue-cost shortfall</w:t>
      </w:r>
      <w:r>
        <w:t>. Costs were further broken down into seven categories</w:t>
      </w:r>
      <w:r w:rsidR="00F5530B">
        <w:t xml:space="preserve"> </w:t>
      </w:r>
      <w:r w:rsidR="00F5530B" w:rsidRPr="00642123">
        <w:t>–</w:t>
      </w:r>
      <w:r w:rsidR="00642123">
        <w:t xml:space="preserve"> see </w:t>
      </w:r>
      <w:r w:rsidR="00642123">
        <w:fldChar w:fldCharType="begin"/>
      </w:r>
      <w:r w:rsidR="00642123">
        <w:instrText xml:space="preserve"> REF _Ref475909345 \h </w:instrText>
      </w:r>
      <w:r w:rsidR="00642123">
        <w:fldChar w:fldCharType="separate"/>
      </w:r>
      <w:r w:rsidR="004A1B2E">
        <w:t xml:space="preserve">Table </w:t>
      </w:r>
      <w:r w:rsidR="004A1B2E">
        <w:rPr>
          <w:noProof/>
        </w:rPr>
        <w:t>1</w:t>
      </w:r>
      <w:r w:rsidR="00642123">
        <w:fldChar w:fldCharType="end"/>
      </w:r>
      <w:r w:rsidR="00F5530B" w:rsidRPr="00642123">
        <w:t xml:space="preserve"> </w:t>
      </w:r>
      <w:r w:rsidRPr="00642123">
        <w:t>.</w:t>
      </w:r>
    </w:p>
    <w:p w14:paraId="1B958D9F" w14:textId="77777777" w:rsidR="00870950" w:rsidRDefault="00276D5A" w:rsidP="0027004E">
      <w:pPr>
        <w:pStyle w:val="Bullet"/>
      </w:pPr>
      <w:r w:rsidRPr="0027004E">
        <w:rPr>
          <w:b/>
        </w:rPr>
        <w:t>Distribution of costs</w:t>
      </w:r>
      <w:r w:rsidR="00F5530B" w:rsidRPr="0027004E">
        <w:rPr>
          <w:b/>
        </w:rPr>
        <w:t>:</w:t>
      </w:r>
      <w:r w:rsidR="00F5530B" w:rsidRPr="0027004E">
        <w:t xml:space="preserve"> </w:t>
      </w:r>
      <w:r>
        <w:t>Jurisdictions were asked to complete a detailed template on the break</w:t>
      </w:r>
      <w:r w:rsidR="00AC5D7E">
        <w:t xml:space="preserve">down of costs for each of seven </w:t>
      </w:r>
      <w:r>
        <w:t>repair and maintenance activities</w:t>
      </w:r>
      <w:r w:rsidR="0027004E">
        <w:t>, by remoteness classification</w:t>
      </w:r>
      <w:r>
        <w:t xml:space="preserve">. Where possible, cost data was broken down into materials, labour, and travel/ mobilisation costs. </w:t>
      </w:r>
      <w:r w:rsidR="00870950" w:rsidRPr="00870950">
        <w:t>To understand the effects of</w:t>
      </w:r>
      <w:r w:rsidR="00870950">
        <w:t xml:space="preserve"> scale and job packaging on per-unit cost, the </w:t>
      </w:r>
      <w:r w:rsidR="000E44FD">
        <w:t>template</w:t>
      </w:r>
      <w:r w:rsidR="00870950">
        <w:t xml:space="preserve"> also included allowance for data for three levels of job packaging:</w:t>
      </w:r>
    </w:p>
    <w:p w14:paraId="5366BBAA" w14:textId="77777777" w:rsidR="00870950" w:rsidRPr="00834B3C" w:rsidRDefault="00870950" w:rsidP="00834B3C">
      <w:pPr>
        <w:pStyle w:val="Bullet"/>
        <w:numPr>
          <w:ilvl w:val="1"/>
          <w:numId w:val="3"/>
        </w:numPr>
      </w:pPr>
      <w:r w:rsidRPr="00834B3C">
        <w:t>Planned maintenance bundle (40 orders)</w:t>
      </w:r>
      <w:r w:rsidR="000E44FD" w:rsidRPr="00834B3C">
        <w:t>. This includes proactive, non-urgent repair and maintenance activities which can be bundled with other jobs</w:t>
      </w:r>
    </w:p>
    <w:p w14:paraId="273A5DB9" w14:textId="77777777" w:rsidR="00870950" w:rsidRPr="00834B3C" w:rsidRDefault="00870950" w:rsidP="00834B3C">
      <w:pPr>
        <w:pStyle w:val="Bullet"/>
        <w:numPr>
          <w:ilvl w:val="1"/>
          <w:numId w:val="3"/>
        </w:numPr>
      </w:pPr>
      <w:r w:rsidRPr="00834B3C">
        <w:t>Responsive maintenance bundle (15 orders). This includes non-urgent repair and maintenance activities which can be bundled with other jobs.</w:t>
      </w:r>
    </w:p>
    <w:p w14:paraId="052A4A71" w14:textId="77777777" w:rsidR="00870950" w:rsidRPr="00834B3C" w:rsidRDefault="00870950" w:rsidP="00834B3C">
      <w:pPr>
        <w:pStyle w:val="Bullet"/>
        <w:numPr>
          <w:ilvl w:val="1"/>
          <w:numId w:val="3"/>
        </w:numPr>
      </w:pPr>
      <w:r w:rsidRPr="00834B3C">
        <w:t>Emergency maintenance activity (1 order). This includes urgent repair and maintenance activities which cannot be bundled with other jobs.</w:t>
      </w:r>
    </w:p>
    <w:p w14:paraId="2ECD7D7B" w14:textId="11E479C2" w:rsidR="00AC5D7E" w:rsidRDefault="000E44FD" w:rsidP="00BF0B09">
      <w:pPr>
        <w:pStyle w:val="Bullet"/>
        <w:numPr>
          <w:ilvl w:val="0"/>
          <w:numId w:val="0"/>
        </w:numPr>
        <w:ind w:left="340"/>
      </w:pPr>
      <w:r>
        <w:t xml:space="preserve">To understand remoteness effects, </w:t>
      </w:r>
      <w:r w:rsidR="00AC5D7E">
        <w:t>jurisdictions</w:t>
      </w:r>
      <w:r>
        <w:t xml:space="preserve"> were also asked to provide data by remoteness classification, where possible. An </w:t>
      </w:r>
      <w:r w:rsidR="00642123">
        <w:t>indicative excerpt from</w:t>
      </w:r>
      <w:r>
        <w:t xml:space="preserve"> the data template is provided</w:t>
      </w:r>
      <w:r w:rsidR="009B525E">
        <w:t xml:space="preserve"> in </w:t>
      </w:r>
      <w:r w:rsidR="00350352">
        <w:fldChar w:fldCharType="begin"/>
      </w:r>
      <w:r w:rsidR="00350352">
        <w:instrText xml:space="preserve"> REF _Ref477338592 \n \h </w:instrText>
      </w:r>
      <w:r w:rsidR="00350352">
        <w:fldChar w:fldCharType="separate"/>
      </w:r>
      <w:r w:rsidR="004A1B2E">
        <w:t>Appendix</w:t>
      </w:r>
      <w:r w:rsidR="000F6344">
        <w:t> </w:t>
      </w:r>
      <w:r w:rsidR="004A1B2E">
        <w:t>A</w:t>
      </w:r>
      <w:r w:rsidR="00350352">
        <w:fldChar w:fldCharType="end"/>
      </w:r>
      <w:r w:rsidR="00C44A55">
        <w:t>.</w:t>
      </w:r>
    </w:p>
    <w:p w14:paraId="1C53B306" w14:textId="77777777" w:rsidR="0027004E" w:rsidRDefault="003A43DC" w:rsidP="00C5345D">
      <w:pPr>
        <w:pStyle w:val="Bullet"/>
      </w:pPr>
      <w:r w:rsidRPr="0027004E">
        <w:rPr>
          <w:b/>
        </w:rPr>
        <w:lastRenderedPageBreak/>
        <w:t>PTM approach change</w:t>
      </w:r>
      <w:r w:rsidR="0027004E" w:rsidRPr="0027004E">
        <w:rPr>
          <w:b/>
        </w:rPr>
        <w:t>:</w:t>
      </w:r>
      <w:r w:rsidR="0027004E">
        <w:t xml:space="preserve"> </w:t>
      </w:r>
      <w:r>
        <w:t>As part of the workshop with all jurisdictions, a number of previously achieved and planned cost savings resulting from a change to Property and Tenancy Management were identified. The data template provided the opportunity for jurisdictions to provide detail on the cost savings achieved (or planned) and a description of the cost factor affected. The template provided pre-filled prompts based on workshop discussions, and also options to add any further opportunities for cost reduction.</w:t>
      </w:r>
    </w:p>
    <w:p w14:paraId="5207B0C4" w14:textId="77777777" w:rsidR="000E0767" w:rsidRPr="000E0767" w:rsidRDefault="000B58CB" w:rsidP="000E0767">
      <w:pPr>
        <w:pStyle w:val="Heading5"/>
      </w:pPr>
      <w:r>
        <w:t xml:space="preserve">4. </w:t>
      </w:r>
      <w:r w:rsidR="00100AC1" w:rsidRPr="000E0767">
        <w:t>Analysis</w:t>
      </w:r>
      <w:r w:rsidR="00DE75F5">
        <w:t xml:space="preserve"> and presentation</w:t>
      </w:r>
    </w:p>
    <w:p w14:paraId="0C1522E7" w14:textId="77777777" w:rsidR="00282D7D" w:rsidRDefault="00282D7D" w:rsidP="000E0767">
      <w:r>
        <w:t>Upon receipt of the data from the respective jurisdictions, Nous undertook an analysis, guided by previous discussions with jurisdictions, literature review and the scope of the overarching NPARIH review.</w:t>
      </w:r>
      <w:r w:rsidR="000E0767">
        <w:t xml:space="preserve"> </w:t>
      </w:r>
      <w:r>
        <w:t>Data analysis focussed on:</w:t>
      </w:r>
    </w:p>
    <w:p w14:paraId="21E8A746" w14:textId="5B926844" w:rsidR="00282D7D" w:rsidRDefault="00282D7D" w:rsidP="000E0767">
      <w:pPr>
        <w:pStyle w:val="Bullet"/>
      </w:pPr>
      <w:r>
        <w:t xml:space="preserve">The </w:t>
      </w:r>
      <w:r w:rsidR="007768F2">
        <w:t>net cost of delivery of remote Indigenous housing (including comparison with mainstream public housing</w:t>
      </w:r>
      <w:r w:rsidR="00157E08">
        <w:t>)</w:t>
      </w:r>
    </w:p>
    <w:p w14:paraId="7565FA79" w14:textId="77777777" w:rsidR="007768F2" w:rsidRDefault="007768F2" w:rsidP="000E0767">
      <w:pPr>
        <w:pStyle w:val="Bullet"/>
      </w:pPr>
      <w:r>
        <w:t>Impact of location on cost, including distribution of various costs by remoteness</w:t>
      </w:r>
    </w:p>
    <w:p w14:paraId="6446F030" w14:textId="77777777" w:rsidR="007768F2" w:rsidRDefault="007768F2" w:rsidP="000E0767">
      <w:pPr>
        <w:pStyle w:val="Bullet"/>
      </w:pPr>
      <w:r>
        <w:t>Impact of job bundling on cost, including distribution of various costs by job package</w:t>
      </w:r>
    </w:p>
    <w:p w14:paraId="1079416D" w14:textId="77777777" w:rsidR="007768F2" w:rsidRDefault="007768F2" w:rsidP="000E0767">
      <w:pPr>
        <w:pStyle w:val="Bullet"/>
      </w:pPr>
      <w:r>
        <w:t>Impact of Property and Tenancy Management Approaches on cost</w:t>
      </w:r>
    </w:p>
    <w:p w14:paraId="16CF99DD" w14:textId="77777777" w:rsidR="007768F2" w:rsidRDefault="007768F2" w:rsidP="000E0767">
      <w:pPr>
        <w:pStyle w:val="Bullet"/>
      </w:pPr>
      <w:r>
        <w:t>Potential for reduction in the net cost of housing provision</w:t>
      </w:r>
    </w:p>
    <w:p w14:paraId="354E6DA8" w14:textId="77777777" w:rsidR="000E0767" w:rsidRDefault="007768F2" w:rsidP="00C5345D">
      <w:r>
        <w:t>The significant findings of the analysis are provided in the subsequent sections of this report.</w:t>
      </w:r>
    </w:p>
    <w:p w14:paraId="1CD18C9E" w14:textId="77777777" w:rsidR="003870C8" w:rsidRDefault="00DE75F5" w:rsidP="003870C8">
      <w:r>
        <w:t>The presentation of findings is largely jurisdiction agnostic and anonymous</w:t>
      </w:r>
      <w:r w:rsidR="003870C8">
        <w:t>, given that the focus is on system wide analysis and not for assessing jurisdictional performance or for making inter-jurisdictional comparisons.</w:t>
      </w:r>
      <w:r w:rsidR="00B32841">
        <w:t xml:space="preserve"> The data and analysis is therefore presented in a way which de-identifies jurisdictions.</w:t>
      </w:r>
    </w:p>
    <w:p w14:paraId="6CE830B5" w14:textId="00BA5ACB" w:rsidR="00E33207" w:rsidRDefault="00E33207" w:rsidP="003870C8">
      <w:r>
        <w:t xml:space="preserve">Given the small sample of data available, there are inherent limitations </w:t>
      </w:r>
      <w:r w:rsidR="00BA059E">
        <w:t>to the depth of analysis, and findings must be interpreted with caution. For example, variability within the small set of data available can be high,</w:t>
      </w:r>
      <w:r w:rsidR="00913BE9">
        <w:t xml:space="preserve"> yielding a high margin for error and</w:t>
      </w:r>
      <w:r w:rsidR="00BA059E">
        <w:t xml:space="preserve"> making it challenging to identify a mean that is representative of all communities. </w:t>
      </w:r>
      <w:r w:rsidR="00182F11">
        <w:t xml:space="preserve">Throughout the report, we have flagged the limitations to the findings where necessary. </w:t>
      </w:r>
    </w:p>
    <w:p w14:paraId="2E0C40EC" w14:textId="0D4A6168" w:rsidR="000E0767" w:rsidRDefault="000E0767" w:rsidP="00CB0FEC">
      <w:pPr>
        <w:pStyle w:val="Heading2"/>
        <w:numPr>
          <w:ilvl w:val="1"/>
          <w:numId w:val="1"/>
        </w:numPr>
      </w:pPr>
      <w:bookmarkStart w:id="11" w:name="_Toc475447303"/>
      <w:bookmarkStart w:id="12" w:name="_Toc475982690"/>
      <w:bookmarkStart w:id="13" w:name="_Toc475990744"/>
      <w:bookmarkStart w:id="14" w:name="_Toc480791423"/>
      <w:r>
        <w:t>Ther</w:t>
      </w:r>
      <w:r w:rsidR="00D062DC">
        <w:t>e are systems limitations to in-</w:t>
      </w:r>
      <w:r>
        <w:t>depth data analytics</w:t>
      </w:r>
      <w:bookmarkEnd w:id="11"/>
      <w:bookmarkEnd w:id="12"/>
      <w:bookmarkEnd w:id="13"/>
      <w:bookmarkEnd w:id="14"/>
    </w:p>
    <w:p w14:paraId="27236811" w14:textId="77777777" w:rsidR="000E0767" w:rsidRDefault="000E0767" w:rsidP="000E0767">
      <w:r>
        <w:t>The nature of the differing approaches to data management and analysis taken across jurisdictions provides challenges to consistent and in-depth data analysis.</w:t>
      </w:r>
    </w:p>
    <w:p w14:paraId="145C0ED9" w14:textId="77777777" w:rsidR="000E0767" w:rsidRDefault="000E0767" w:rsidP="000E0767">
      <w:r>
        <w:t>The challenges in extracting and analysing cost patterns and trends stem from:</w:t>
      </w:r>
    </w:p>
    <w:p w14:paraId="2AB256ED" w14:textId="77777777" w:rsidR="000E0767" w:rsidRDefault="000E0767" w:rsidP="000E0767">
      <w:pPr>
        <w:pStyle w:val="Bullet"/>
      </w:pPr>
      <w:r>
        <w:t>The absence of a consistent set of data definitions</w:t>
      </w:r>
    </w:p>
    <w:p w14:paraId="16BD8F80" w14:textId="77777777" w:rsidR="000E0767" w:rsidRDefault="000E0767" w:rsidP="000E0767">
      <w:pPr>
        <w:pStyle w:val="Bullet"/>
      </w:pPr>
      <w:r>
        <w:t>A wide variety of systems being used, including a high reliance on manual systems</w:t>
      </w:r>
    </w:p>
    <w:p w14:paraId="0136ED55" w14:textId="77777777" w:rsidR="000E0767" w:rsidRDefault="000E0767" w:rsidP="000E0767">
      <w:pPr>
        <w:pStyle w:val="Bullet"/>
      </w:pPr>
      <w:r>
        <w:t>Data being distributed across different delivery agencies</w:t>
      </w:r>
    </w:p>
    <w:p w14:paraId="333B8276" w14:textId="77777777" w:rsidR="000E0767" w:rsidRDefault="000E0767" w:rsidP="000E0767">
      <w:pPr>
        <w:pStyle w:val="Bullet"/>
      </w:pPr>
      <w:r>
        <w:t>Cost data not being tied to activity data</w:t>
      </w:r>
    </w:p>
    <w:p w14:paraId="0D08C5A2" w14:textId="77777777" w:rsidR="000E0767" w:rsidRDefault="000E0767" w:rsidP="000E0767">
      <w:pPr>
        <w:pStyle w:val="Bullet"/>
      </w:pPr>
      <w:r>
        <w:t>Cost data not being tied to the assets and asset conditions</w:t>
      </w:r>
    </w:p>
    <w:p w14:paraId="249291E3" w14:textId="77777777" w:rsidR="000E0767" w:rsidRDefault="000E0767" w:rsidP="000E0767">
      <w:pPr>
        <w:pStyle w:val="Bullet"/>
      </w:pPr>
      <w:r>
        <w:t>Insufficient ongoing measurement of outcomes.</w:t>
      </w:r>
    </w:p>
    <w:p w14:paraId="25F36BE0" w14:textId="77777777" w:rsidR="000E0767" w:rsidRDefault="000E0767" w:rsidP="000E0767">
      <w:r>
        <w:t xml:space="preserve">These various challenges has meant that the data </w:t>
      </w:r>
      <w:r w:rsidR="000B58CB">
        <w:t xml:space="preserve">that could be collated </w:t>
      </w:r>
      <w:r>
        <w:t>from the jurisdictions was generally only partially complete</w:t>
      </w:r>
      <w:r w:rsidR="000B58CB">
        <w:t>, was not always comparable,</w:t>
      </w:r>
      <w:r>
        <w:t xml:space="preserve"> and may not be sufficiently consistent to support meaningful </w:t>
      </w:r>
      <w:r w:rsidR="00DE75F5">
        <w:t xml:space="preserve">inter-jurisdictional </w:t>
      </w:r>
      <w:r>
        <w:t>comparisons.</w:t>
      </w:r>
    </w:p>
    <w:p w14:paraId="067E2744" w14:textId="7E6A5266" w:rsidR="00D80B0A" w:rsidRDefault="00D80B0A" w:rsidP="000E0767">
      <w:r>
        <w:lastRenderedPageBreak/>
        <w:t>It should also be noted that this analysis do</w:t>
      </w:r>
      <w:r w:rsidR="000B58CB">
        <w:t>es not include a comparison against the</w:t>
      </w:r>
      <w:r>
        <w:t xml:space="preserve"> PTM cost figures reported by jurisdictions to the Departmen</w:t>
      </w:r>
      <w:r w:rsidR="000B58CB">
        <w:t>t of Prime Min</w:t>
      </w:r>
      <w:r w:rsidR="005E3FBC">
        <w:t>ister and Cabinet (PMC). D</w:t>
      </w:r>
      <w:r w:rsidR="000B58CB">
        <w:t xml:space="preserve">iscrepancies between the data collated by Nous and the data collated by PMC are likely due to differences in </w:t>
      </w:r>
      <w:r>
        <w:t>definition between data points</w:t>
      </w:r>
      <w:r w:rsidR="000B58CB">
        <w:t>,</w:t>
      </w:r>
      <w:r>
        <w:t xml:space="preserve"> and the growth in housing stock</w:t>
      </w:r>
      <w:r w:rsidR="000B58CB">
        <w:t xml:space="preserve"> over different time periods</w:t>
      </w:r>
      <w:r>
        <w:t xml:space="preserve"> (figures provided are </w:t>
      </w:r>
      <w:r w:rsidR="00F57EB5">
        <w:t xml:space="preserve">for </w:t>
      </w:r>
      <w:r>
        <w:t>2017/18 budget</w:t>
      </w:r>
      <w:r w:rsidR="00F57EB5">
        <w:t>s</w:t>
      </w:r>
      <w:r>
        <w:t>, whereas most recent PMC data is 2015/16 reported figures).</w:t>
      </w:r>
    </w:p>
    <w:p w14:paraId="30B4FDFC" w14:textId="77777777" w:rsidR="001A5431" w:rsidRDefault="001A5431" w:rsidP="001A5431">
      <w:r>
        <w:t>Jurisdictions were asked to provide high level annual cost budgets and rental revenues for each of the remoteness classifications as well as comparator data for mainstream public housing. However, the data received was at times incomplete, owing to some of the systems limitations outlined above, a</w:t>
      </w:r>
      <w:r w:rsidR="00164223">
        <w:t>nd also</w:t>
      </w:r>
      <w:r>
        <w:t xml:space="preserve"> due to the lack of common data definitions.</w:t>
      </w:r>
    </w:p>
    <w:p w14:paraId="2A807711" w14:textId="565F0E7A" w:rsidR="001A5431" w:rsidRDefault="001A5431" w:rsidP="001A5431">
      <w:r>
        <w:t xml:space="preserve">For example, costs breakdowns were requested in seven broad categories, as outlined in the </w:t>
      </w:r>
      <w:r w:rsidR="00350352">
        <w:fldChar w:fldCharType="begin"/>
      </w:r>
      <w:r w:rsidR="00350352">
        <w:instrText xml:space="preserve"> REF _Ref475909345 \h </w:instrText>
      </w:r>
      <w:r w:rsidR="00350352">
        <w:fldChar w:fldCharType="separate"/>
      </w:r>
      <w:r w:rsidR="004A1B2E">
        <w:t xml:space="preserve">Table </w:t>
      </w:r>
      <w:r w:rsidR="004A1B2E">
        <w:rPr>
          <w:noProof/>
        </w:rPr>
        <w:t>1</w:t>
      </w:r>
      <w:r w:rsidR="00350352">
        <w:fldChar w:fldCharType="end"/>
      </w:r>
      <w:r w:rsidR="00350352">
        <w:t xml:space="preserve"> </w:t>
      </w:r>
      <w:r>
        <w:t>below. While m</w:t>
      </w:r>
      <w:r w:rsidRPr="008C615C">
        <w:t>ost jurisdictions have investigated the costs differences between remote Indigenous h</w:t>
      </w:r>
      <w:r>
        <w:t xml:space="preserve">ousing and other public housing – </w:t>
      </w:r>
      <w:r w:rsidRPr="008C615C">
        <w:t>including Indigenous housing in regional areas, and mainstream social housing in metropolitan areas</w:t>
      </w:r>
      <w:r>
        <w:t xml:space="preserve"> – not all jurisdictions were able to provide breakdo</w:t>
      </w:r>
      <w:r w:rsidR="00BC7161">
        <w:t>wns across all cost categories.</w:t>
      </w:r>
    </w:p>
    <w:p w14:paraId="65D924A0" w14:textId="51FED50C" w:rsidR="00BC7161" w:rsidRPr="001D058B" w:rsidRDefault="00BC7161" w:rsidP="001A5431">
      <w:r w:rsidRPr="001D058B">
        <w:t xml:space="preserve">It should also be noted that deprecation costs were not included in this analysis. Consultation with jurisdictions found variance in definitions, data collection and treatment of depreciation costs. </w:t>
      </w:r>
      <w:r w:rsidR="00FF5978" w:rsidRPr="001D058B">
        <w:t xml:space="preserve">The </w:t>
      </w:r>
      <w:r w:rsidRPr="001D058B">
        <w:rPr>
          <w:i/>
        </w:rPr>
        <w:t>capital maintenance</w:t>
      </w:r>
      <w:r w:rsidR="00FF5978" w:rsidRPr="001D058B">
        <w:t xml:space="preserve"> cost category </w:t>
      </w:r>
      <w:r w:rsidRPr="001D058B">
        <w:t>includes estimation of projected costs for major upgrades,</w:t>
      </w:r>
      <w:r w:rsidR="00FF5978" w:rsidRPr="001D058B">
        <w:t xml:space="preserve"> with</w:t>
      </w:r>
      <w:r w:rsidRPr="001D058B">
        <w:t xml:space="preserve"> </w:t>
      </w:r>
      <w:r w:rsidR="00FF5978" w:rsidRPr="001D058B">
        <w:t xml:space="preserve">costs </w:t>
      </w:r>
      <w:r w:rsidRPr="001D058B">
        <w:t>spread over a number of years.</w:t>
      </w:r>
    </w:p>
    <w:p w14:paraId="1D648016" w14:textId="77777777" w:rsidR="001A5431" w:rsidRDefault="001A5431" w:rsidP="00BC6228">
      <w:pPr>
        <w:pStyle w:val="Figure"/>
      </w:pPr>
      <w:bookmarkStart w:id="15" w:name="_Ref475909345"/>
      <w:r>
        <w:t xml:space="preserve">Table </w:t>
      </w:r>
      <w:fldSimple w:instr=" SEQ Table \* ARABIC ">
        <w:r w:rsidR="004A1B2E">
          <w:rPr>
            <w:noProof/>
          </w:rPr>
          <w:t>1</w:t>
        </w:r>
      </w:fldSimple>
      <w:bookmarkEnd w:id="15"/>
      <w:r>
        <w:t>: Cost category definitions provided to jurisdictions</w:t>
      </w:r>
    </w:p>
    <w:tbl>
      <w:tblPr>
        <w:tblStyle w:val="NousTable"/>
        <w:tblW w:w="5000" w:type="pct"/>
        <w:tblLook w:val="04A0" w:firstRow="1" w:lastRow="0" w:firstColumn="1" w:lastColumn="0" w:noHBand="0" w:noVBand="1"/>
        <w:tblCaption w:val="Table 1: Cost category definitions provided to jurisdictions"/>
        <w:tblDescription w:val="Category and inclusions/exclusions."/>
      </w:tblPr>
      <w:tblGrid>
        <w:gridCol w:w="3220"/>
        <w:gridCol w:w="5851"/>
      </w:tblGrid>
      <w:tr w:rsidR="001A5431" w14:paraId="03B7CF91" w14:textId="77777777" w:rsidTr="00F32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vAlign w:val="top"/>
          </w:tcPr>
          <w:p w14:paraId="339290F7" w14:textId="77777777" w:rsidR="001A5431" w:rsidRPr="00276D5A" w:rsidRDefault="001A5431" w:rsidP="00F325D9">
            <w:pPr>
              <w:pStyle w:val="TableNHeader"/>
            </w:pPr>
            <w:r w:rsidRPr="00276D5A">
              <w:t>Category</w:t>
            </w:r>
          </w:p>
        </w:tc>
        <w:tc>
          <w:tcPr>
            <w:tcW w:w="3225" w:type="pct"/>
            <w:vAlign w:val="top"/>
          </w:tcPr>
          <w:p w14:paraId="18D02212" w14:textId="77777777" w:rsidR="001A5431" w:rsidRPr="00276D5A" w:rsidRDefault="001A5431" w:rsidP="00F325D9">
            <w:pPr>
              <w:pStyle w:val="TableNHeader"/>
              <w:cnfStyle w:val="100000000000" w:firstRow="1" w:lastRow="0" w:firstColumn="0" w:lastColumn="0" w:oddVBand="0" w:evenVBand="0" w:oddHBand="0" w:evenHBand="0" w:firstRowFirstColumn="0" w:firstRowLastColumn="0" w:lastRowFirstColumn="0" w:lastRowLastColumn="0"/>
            </w:pPr>
            <w:r w:rsidRPr="00276D5A">
              <w:t>Inclusions/ exclusions</w:t>
            </w:r>
          </w:p>
        </w:tc>
      </w:tr>
      <w:tr w:rsidR="001A5431" w14:paraId="566E1DCA" w14:textId="77777777" w:rsidTr="00F325D9">
        <w:tc>
          <w:tcPr>
            <w:cnfStyle w:val="001000000000" w:firstRow="0" w:lastRow="0" w:firstColumn="1" w:lastColumn="0" w:oddVBand="0" w:evenVBand="0" w:oddHBand="0" w:evenHBand="0" w:firstRowFirstColumn="0" w:firstRowLastColumn="0" w:lastRowFirstColumn="0" w:lastRowLastColumn="0"/>
            <w:tcW w:w="1775" w:type="pct"/>
            <w:vAlign w:val="top"/>
          </w:tcPr>
          <w:p w14:paraId="3DA2A04A" w14:textId="77777777" w:rsidR="001A5431" w:rsidRDefault="001A5431" w:rsidP="00F325D9">
            <w:pPr>
              <w:pStyle w:val="TableNHeader"/>
            </w:pPr>
            <w:r w:rsidRPr="00E949CC">
              <w:t xml:space="preserve">Recurrent maintenance </w:t>
            </w:r>
          </w:p>
        </w:tc>
        <w:tc>
          <w:tcPr>
            <w:tcW w:w="3225" w:type="pct"/>
            <w:vAlign w:val="top"/>
          </w:tcPr>
          <w:p w14:paraId="22EC1854" w14:textId="77777777" w:rsidR="001A5431" w:rsidRDefault="001A5431" w:rsidP="00FF6002">
            <w:pPr>
              <w:pStyle w:val="TableNText"/>
              <w:cnfStyle w:val="000000000000" w:firstRow="0" w:lastRow="0" w:firstColumn="0" w:lastColumn="0" w:oddVBand="0" w:evenVBand="0" w:oddHBand="0" w:evenHBand="0" w:firstRowFirstColumn="0" w:firstRowLastColumn="0" w:lastRowFirstColumn="0" w:lastRowLastColumn="0"/>
            </w:pPr>
            <w:r>
              <w:rPr>
                <w:color w:val="000000"/>
              </w:rPr>
              <w:t>Includes programmed, responsive and vacancy maintenance</w:t>
            </w:r>
          </w:p>
        </w:tc>
      </w:tr>
      <w:tr w:rsidR="001A5431" w14:paraId="4BD3F0C9" w14:textId="77777777" w:rsidTr="00F325D9">
        <w:tc>
          <w:tcPr>
            <w:cnfStyle w:val="001000000000" w:firstRow="0" w:lastRow="0" w:firstColumn="1" w:lastColumn="0" w:oddVBand="0" w:evenVBand="0" w:oddHBand="0" w:evenHBand="0" w:firstRowFirstColumn="0" w:firstRowLastColumn="0" w:lastRowFirstColumn="0" w:lastRowLastColumn="0"/>
            <w:tcW w:w="1775" w:type="pct"/>
            <w:vAlign w:val="top"/>
          </w:tcPr>
          <w:p w14:paraId="5979AEF7" w14:textId="77777777" w:rsidR="001A5431" w:rsidRDefault="001A5431" w:rsidP="00F325D9">
            <w:pPr>
              <w:pStyle w:val="TableNHeader"/>
            </w:pPr>
            <w:r w:rsidRPr="00E949CC">
              <w:t>Capital maintenance</w:t>
            </w:r>
          </w:p>
        </w:tc>
        <w:tc>
          <w:tcPr>
            <w:tcW w:w="3225" w:type="pct"/>
            <w:vAlign w:val="top"/>
          </w:tcPr>
          <w:p w14:paraId="2C3A18BE" w14:textId="776D06FA" w:rsidR="001A5431" w:rsidRDefault="001A5431" w:rsidP="00FF6002">
            <w:pPr>
              <w:pStyle w:val="TableNText"/>
              <w:cnfStyle w:val="000000000000" w:firstRow="0" w:lastRow="0" w:firstColumn="0" w:lastColumn="0" w:oddVBand="0" w:evenVBand="0" w:oddHBand="0" w:evenHBand="0" w:firstRowFirstColumn="0" w:firstRowLastColumn="0" w:lastRowFirstColumn="0" w:lastRowLastColumn="0"/>
            </w:pPr>
            <w:r>
              <w:rPr>
                <w:color w:val="000000"/>
              </w:rPr>
              <w:t>Refers to expenditure such as: kitchen and wet area upgrades; major external building fabric upgrades; major disabled modifications; DV security; and vacancy upgrades.</w:t>
            </w:r>
            <w:r w:rsidR="00AB13B6">
              <w:rPr>
                <w:color w:val="000000"/>
              </w:rPr>
              <w:t xml:space="preserve"> May be an estimated figure.</w:t>
            </w:r>
            <w:r>
              <w:rPr>
                <w:color w:val="000000"/>
              </w:rPr>
              <w:t xml:space="preserve"> (In </w:t>
            </w:r>
            <w:r w:rsidR="00463A27">
              <w:rPr>
                <w:color w:val="000000"/>
              </w:rPr>
              <w:t>one jurisdiction</w:t>
            </w:r>
            <w:r>
              <w:rPr>
                <w:color w:val="000000"/>
              </w:rPr>
              <w:t xml:space="preserve"> - this is calculated as $50k per remote house over 10 years. i.e. $5k per year)</w:t>
            </w:r>
          </w:p>
        </w:tc>
      </w:tr>
      <w:tr w:rsidR="001A5431" w14:paraId="4E38135A" w14:textId="77777777" w:rsidTr="00F325D9">
        <w:tc>
          <w:tcPr>
            <w:cnfStyle w:val="001000000000" w:firstRow="0" w:lastRow="0" w:firstColumn="1" w:lastColumn="0" w:oddVBand="0" w:evenVBand="0" w:oddHBand="0" w:evenHBand="0" w:firstRowFirstColumn="0" w:firstRowLastColumn="0" w:lastRowFirstColumn="0" w:lastRowLastColumn="0"/>
            <w:tcW w:w="1775" w:type="pct"/>
            <w:vAlign w:val="top"/>
          </w:tcPr>
          <w:p w14:paraId="1CC93EF7" w14:textId="77777777" w:rsidR="001A5431" w:rsidRDefault="001A5431" w:rsidP="00F325D9">
            <w:pPr>
              <w:pStyle w:val="TableNHeader"/>
            </w:pPr>
            <w:r w:rsidRPr="00E949CC">
              <w:t>Employee related payments</w:t>
            </w:r>
          </w:p>
        </w:tc>
        <w:tc>
          <w:tcPr>
            <w:tcW w:w="3225" w:type="pct"/>
            <w:vAlign w:val="top"/>
          </w:tcPr>
          <w:p w14:paraId="6F814B71" w14:textId="77777777" w:rsidR="001A5431" w:rsidRDefault="001A5431" w:rsidP="00FF6002">
            <w:pPr>
              <w:pStyle w:val="TableNText"/>
              <w:cnfStyle w:val="000000000000" w:firstRow="0" w:lastRow="0" w:firstColumn="0" w:lastColumn="0" w:oddVBand="0" w:evenVBand="0" w:oddHBand="0" w:evenHBand="0" w:firstRowFirstColumn="0" w:firstRowLastColumn="0" w:lastRowFirstColumn="0" w:lastRowLastColumn="0"/>
            </w:pPr>
            <w:r>
              <w:rPr>
                <w:color w:val="000000"/>
              </w:rPr>
              <w:t>Does not include employees that are currently funded entirely by the respective jurisdiction government</w:t>
            </w:r>
          </w:p>
        </w:tc>
      </w:tr>
      <w:tr w:rsidR="001A5431" w14:paraId="4CF77213" w14:textId="77777777" w:rsidTr="00F325D9">
        <w:tc>
          <w:tcPr>
            <w:cnfStyle w:val="001000000000" w:firstRow="0" w:lastRow="0" w:firstColumn="1" w:lastColumn="0" w:oddVBand="0" w:evenVBand="0" w:oddHBand="0" w:evenHBand="0" w:firstRowFirstColumn="0" w:firstRowLastColumn="0" w:lastRowFirstColumn="0" w:lastRowLastColumn="0"/>
            <w:tcW w:w="1775" w:type="pct"/>
            <w:vAlign w:val="top"/>
          </w:tcPr>
          <w:p w14:paraId="584B53B6" w14:textId="77777777" w:rsidR="001A5431" w:rsidRPr="00E949CC" w:rsidRDefault="001A5431" w:rsidP="00F325D9">
            <w:pPr>
              <w:pStyle w:val="TableNHeader"/>
            </w:pPr>
            <w:r w:rsidRPr="00E949CC">
              <w:t>Bad Debts</w:t>
            </w:r>
          </w:p>
        </w:tc>
        <w:tc>
          <w:tcPr>
            <w:tcW w:w="3225" w:type="pct"/>
            <w:vAlign w:val="top"/>
          </w:tcPr>
          <w:p w14:paraId="5CD75C29" w14:textId="77777777" w:rsidR="001A5431" w:rsidRDefault="001A5431" w:rsidP="00FF6002">
            <w:pPr>
              <w:pStyle w:val="TableNText"/>
              <w:cnfStyle w:val="000000000000" w:firstRow="0" w:lastRow="0" w:firstColumn="0" w:lastColumn="0" w:oddVBand="0" w:evenVBand="0" w:oddHBand="0" w:evenHBand="0" w:firstRowFirstColumn="0" w:firstRowLastColumn="0" w:lastRowFirstColumn="0" w:lastRowLastColumn="0"/>
              <w:rPr>
                <w:color w:val="000000"/>
              </w:rPr>
            </w:pPr>
            <w:r>
              <w:rPr>
                <w:color w:val="000000"/>
              </w:rPr>
              <w:t>Not defined</w:t>
            </w:r>
          </w:p>
        </w:tc>
      </w:tr>
      <w:tr w:rsidR="001A5431" w14:paraId="2E8FE525" w14:textId="77777777" w:rsidTr="00F325D9">
        <w:tc>
          <w:tcPr>
            <w:cnfStyle w:val="001000000000" w:firstRow="0" w:lastRow="0" w:firstColumn="1" w:lastColumn="0" w:oddVBand="0" w:evenVBand="0" w:oddHBand="0" w:evenHBand="0" w:firstRowFirstColumn="0" w:firstRowLastColumn="0" w:lastRowFirstColumn="0" w:lastRowLastColumn="0"/>
            <w:tcW w:w="1775" w:type="pct"/>
            <w:vAlign w:val="top"/>
          </w:tcPr>
          <w:p w14:paraId="4BE0334B" w14:textId="77777777" w:rsidR="001A5431" w:rsidRPr="00E949CC" w:rsidRDefault="001A5431" w:rsidP="00F325D9">
            <w:pPr>
              <w:pStyle w:val="TableNHeader"/>
            </w:pPr>
            <w:r w:rsidRPr="00E949CC">
              <w:t>Water</w:t>
            </w:r>
          </w:p>
        </w:tc>
        <w:tc>
          <w:tcPr>
            <w:tcW w:w="3225" w:type="pct"/>
            <w:vAlign w:val="top"/>
          </w:tcPr>
          <w:p w14:paraId="731CAFC4" w14:textId="77777777" w:rsidR="001A5431" w:rsidRDefault="001A5431" w:rsidP="00FF6002">
            <w:pPr>
              <w:pStyle w:val="TableNText"/>
              <w:cnfStyle w:val="000000000000" w:firstRow="0" w:lastRow="0" w:firstColumn="0" w:lastColumn="0" w:oddVBand="0" w:evenVBand="0" w:oddHBand="0" w:evenHBand="0" w:firstRowFirstColumn="0" w:firstRowLastColumn="0" w:lastRowFirstColumn="0" w:lastRowLastColumn="0"/>
              <w:rPr>
                <w:color w:val="000000"/>
              </w:rPr>
            </w:pPr>
            <w:r>
              <w:rPr>
                <w:color w:val="000000"/>
              </w:rPr>
              <w:t>Not defined</w:t>
            </w:r>
          </w:p>
        </w:tc>
      </w:tr>
      <w:tr w:rsidR="001A5431" w14:paraId="1852C3BF" w14:textId="77777777" w:rsidTr="00F325D9">
        <w:tc>
          <w:tcPr>
            <w:cnfStyle w:val="001000000000" w:firstRow="0" w:lastRow="0" w:firstColumn="1" w:lastColumn="0" w:oddVBand="0" w:evenVBand="0" w:oddHBand="0" w:evenHBand="0" w:firstRowFirstColumn="0" w:firstRowLastColumn="0" w:lastRowFirstColumn="0" w:lastRowLastColumn="0"/>
            <w:tcW w:w="1775" w:type="pct"/>
            <w:vAlign w:val="top"/>
          </w:tcPr>
          <w:p w14:paraId="61568858" w14:textId="77777777" w:rsidR="001A5431" w:rsidRPr="00E949CC" w:rsidRDefault="001A5431" w:rsidP="00F325D9">
            <w:pPr>
              <w:pStyle w:val="TableNHeader"/>
            </w:pPr>
            <w:r w:rsidRPr="00E949CC">
              <w:t>Insurance</w:t>
            </w:r>
          </w:p>
        </w:tc>
        <w:tc>
          <w:tcPr>
            <w:tcW w:w="3225" w:type="pct"/>
            <w:vAlign w:val="top"/>
          </w:tcPr>
          <w:p w14:paraId="4FB971E2" w14:textId="77777777" w:rsidR="001A5431" w:rsidRDefault="001A5431" w:rsidP="00FF6002">
            <w:pPr>
              <w:pStyle w:val="TableNText"/>
              <w:cnfStyle w:val="000000000000" w:firstRow="0" w:lastRow="0" w:firstColumn="0" w:lastColumn="0" w:oddVBand="0" w:evenVBand="0" w:oddHBand="0" w:evenHBand="0" w:firstRowFirstColumn="0" w:firstRowLastColumn="0" w:lastRowFirstColumn="0" w:lastRowLastColumn="0"/>
              <w:rPr>
                <w:color w:val="000000"/>
              </w:rPr>
            </w:pPr>
            <w:r>
              <w:rPr>
                <w:color w:val="000000"/>
              </w:rPr>
              <w:t>Not defined</w:t>
            </w:r>
          </w:p>
        </w:tc>
      </w:tr>
      <w:tr w:rsidR="001A5431" w14:paraId="63855910" w14:textId="77777777" w:rsidTr="00F325D9">
        <w:tc>
          <w:tcPr>
            <w:cnfStyle w:val="001000000000" w:firstRow="0" w:lastRow="0" w:firstColumn="1" w:lastColumn="0" w:oddVBand="0" w:evenVBand="0" w:oddHBand="0" w:evenHBand="0" w:firstRowFirstColumn="0" w:firstRowLastColumn="0" w:lastRowFirstColumn="0" w:lastRowLastColumn="0"/>
            <w:tcW w:w="1775" w:type="pct"/>
            <w:vAlign w:val="top"/>
          </w:tcPr>
          <w:p w14:paraId="3A2C254B" w14:textId="77777777" w:rsidR="001A5431" w:rsidRDefault="001A5431" w:rsidP="00F325D9">
            <w:pPr>
              <w:pStyle w:val="TableNHeader"/>
            </w:pPr>
            <w:r w:rsidRPr="00E949CC">
              <w:t>Other expenses</w:t>
            </w:r>
          </w:p>
        </w:tc>
        <w:tc>
          <w:tcPr>
            <w:tcW w:w="3225" w:type="pct"/>
            <w:vAlign w:val="top"/>
          </w:tcPr>
          <w:p w14:paraId="4A9F7CD8" w14:textId="77777777" w:rsidR="001A5431" w:rsidRDefault="001A5431" w:rsidP="00FF6002">
            <w:pPr>
              <w:pStyle w:val="TableNText"/>
              <w:cnfStyle w:val="000000000000" w:firstRow="0" w:lastRow="0" w:firstColumn="0" w:lastColumn="0" w:oddVBand="0" w:evenVBand="0" w:oddHBand="0" w:evenHBand="0" w:firstRowFirstColumn="0" w:firstRowLastColumn="0" w:lastRowFirstColumn="0" w:lastRowLastColumn="0"/>
            </w:pPr>
            <w:r>
              <w:rPr>
                <w:color w:val="000000"/>
              </w:rPr>
              <w:t>Includes council rates, motor vehicles, travel costs, business service fees, general administration, client-related costs (brokerage), occupancy costs, office and ICT equipment</w:t>
            </w:r>
          </w:p>
        </w:tc>
      </w:tr>
    </w:tbl>
    <w:p w14:paraId="77D5114E" w14:textId="77777777" w:rsidR="00EF6B06" w:rsidRDefault="0008478C" w:rsidP="00EF6B06">
      <w:pPr>
        <w:pStyle w:val="Heading1"/>
      </w:pPr>
      <w:bookmarkStart w:id="16" w:name="_Toc475447305"/>
      <w:bookmarkStart w:id="17" w:name="_Toc475982691"/>
      <w:bookmarkStart w:id="18" w:name="_Toc475990745"/>
      <w:bookmarkStart w:id="19" w:name="_Toc480791424"/>
      <w:r>
        <w:lastRenderedPageBreak/>
        <w:t xml:space="preserve">Remote Indigenous housing operates with a significant </w:t>
      </w:r>
      <w:r w:rsidR="00C5345D">
        <w:t>revenue-cost shortfall</w:t>
      </w:r>
      <w:bookmarkEnd w:id="16"/>
      <w:bookmarkEnd w:id="17"/>
      <w:bookmarkEnd w:id="18"/>
      <w:bookmarkEnd w:id="19"/>
    </w:p>
    <w:p w14:paraId="4405E568" w14:textId="77777777" w:rsidR="00C5345D" w:rsidRDefault="00D02E32" w:rsidP="00C5345D">
      <w:pPr>
        <w:pStyle w:val="Heading2"/>
      </w:pPr>
      <w:bookmarkStart w:id="20" w:name="_Toc475447306"/>
      <w:bookmarkStart w:id="21" w:name="_Toc475982692"/>
      <w:bookmarkStart w:id="22" w:name="_Toc475990746"/>
      <w:bookmarkStart w:id="23" w:name="_Toc480791425"/>
      <w:r>
        <w:t xml:space="preserve">As much as three-quarters </w:t>
      </w:r>
      <w:r w:rsidR="008C615C">
        <w:t xml:space="preserve">(or more) </w:t>
      </w:r>
      <w:r>
        <w:t>of ongoing c</w:t>
      </w:r>
      <w:r w:rsidR="00C5345D">
        <w:t>osts are capital maintenance and recurrent maintenance</w:t>
      </w:r>
      <w:bookmarkEnd w:id="20"/>
      <w:bookmarkEnd w:id="21"/>
      <w:bookmarkEnd w:id="22"/>
      <w:bookmarkEnd w:id="23"/>
    </w:p>
    <w:p w14:paraId="313E9B3A" w14:textId="2CDBA5E8" w:rsidR="00F325D9" w:rsidRDefault="00C5345D" w:rsidP="00C813AD">
      <w:r>
        <w:t>The costs of remote Indigenous housing are driven by the costs of capital maintenance and recurrent maintenance.</w:t>
      </w:r>
      <w:r w:rsidR="000E0767">
        <w:t xml:space="preserve"> </w:t>
      </w:r>
      <w:r>
        <w:t>Maintenance accounts for 73 to 87 per cent</w:t>
      </w:r>
      <w:r w:rsidR="009557DC">
        <w:t xml:space="preserve"> of total </w:t>
      </w:r>
      <w:r w:rsidR="00C80620">
        <w:t xml:space="preserve">ongoing </w:t>
      </w:r>
      <w:r w:rsidR="009557DC">
        <w:t>cost.</w:t>
      </w:r>
      <w:r>
        <w:t xml:space="preserve"> T</w:t>
      </w:r>
      <w:r w:rsidR="00157E08">
        <w:t>otal cost</w:t>
      </w:r>
      <w:r>
        <w:t xml:space="preserve"> comprises</w:t>
      </w:r>
      <w:r w:rsidR="00157E08">
        <w:t>:</w:t>
      </w:r>
    </w:p>
    <w:p w14:paraId="49D5CEBF" w14:textId="77777777" w:rsidR="00EE6918" w:rsidRDefault="00F57DD6" w:rsidP="00157E08">
      <w:pPr>
        <w:pStyle w:val="Bullet"/>
      </w:pPr>
      <w:r w:rsidRPr="00C5345D">
        <w:rPr>
          <w:i/>
        </w:rPr>
        <w:t>Cap</w:t>
      </w:r>
      <w:r w:rsidR="00C5345D" w:rsidRPr="00C5345D">
        <w:rPr>
          <w:i/>
        </w:rPr>
        <w:t>ital maintenance</w:t>
      </w:r>
      <w:r w:rsidR="00C5345D">
        <w:t xml:space="preserve"> ranges from 25 to 62 per cent</w:t>
      </w:r>
      <w:r>
        <w:t xml:space="preserve"> of total cost</w:t>
      </w:r>
    </w:p>
    <w:p w14:paraId="2A694496" w14:textId="77777777" w:rsidR="00C5345D" w:rsidRDefault="00C5345D" w:rsidP="00157E08">
      <w:pPr>
        <w:pStyle w:val="Bullet"/>
      </w:pPr>
      <w:r w:rsidRPr="00C5345D">
        <w:rPr>
          <w:i/>
        </w:rPr>
        <w:t>Recurrent maintenance</w:t>
      </w:r>
      <w:r>
        <w:t xml:space="preserve"> ranges from 14 to 49 per cent</w:t>
      </w:r>
    </w:p>
    <w:p w14:paraId="2379081C" w14:textId="77777777" w:rsidR="00C5345D" w:rsidRDefault="00C5345D" w:rsidP="00157E08">
      <w:pPr>
        <w:pStyle w:val="Bullet"/>
      </w:pPr>
      <w:r>
        <w:rPr>
          <w:i/>
        </w:rPr>
        <w:t>Other expenses</w:t>
      </w:r>
      <w:r>
        <w:t xml:space="preserve"> – </w:t>
      </w:r>
      <w:r w:rsidR="00C80620">
        <w:t>includin</w:t>
      </w:r>
      <w:r>
        <w:t xml:space="preserve">g </w:t>
      </w:r>
      <w:r w:rsidR="001D1335">
        <w:t>employee related payments, bad debts, water, insurance, and any other expenses</w:t>
      </w:r>
      <w:r>
        <w:t xml:space="preserve"> – comprise 13 to 27 per cent.</w:t>
      </w:r>
    </w:p>
    <w:p w14:paraId="7538D6F0" w14:textId="77777777" w:rsidR="001D1335" w:rsidRDefault="001D1335" w:rsidP="001D1335">
      <w:r>
        <w:t xml:space="preserve">A high level breakdown of total ongoing costs is provided for each jurisdiction in </w:t>
      </w:r>
      <w:r>
        <w:fldChar w:fldCharType="begin"/>
      </w:r>
      <w:r>
        <w:instrText xml:space="preserve"> REF _Ref475364583 \h </w:instrText>
      </w:r>
      <w:r>
        <w:fldChar w:fldCharType="separate"/>
      </w:r>
      <w:r w:rsidR="004A1B2E">
        <w:t xml:space="preserve">Figure </w:t>
      </w:r>
      <w:r w:rsidR="004A1B2E">
        <w:rPr>
          <w:noProof/>
        </w:rPr>
        <w:t>1</w:t>
      </w:r>
      <w:r>
        <w:fldChar w:fldCharType="end"/>
      </w:r>
      <w:r>
        <w:t xml:space="preserve"> below.</w:t>
      </w:r>
    </w:p>
    <w:p w14:paraId="209A9AF1" w14:textId="0EDA9FD4" w:rsidR="002E304A" w:rsidRDefault="00964B2E" w:rsidP="00BC6228">
      <w:pPr>
        <w:pStyle w:val="Figure"/>
      </w:pPr>
      <w:bookmarkStart w:id="24" w:name="_Ref475364583"/>
      <w:bookmarkStart w:id="25" w:name="Figure1Return"/>
      <w:r>
        <w:t xml:space="preserve">Figure </w:t>
      </w:r>
      <w:fldSimple w:instr=" SEQ Figure \* ARABIC ">
        <w:r w:rsidR="004A1B2E">
          <w:rPr>
            <w:noProof/>
          </w:rPr>
          <w:t>1</w:t>
        </w:r>
      </w:fldSimple>
      <w:bookmarkEnd w:id="24"/>
      <w:bookmarkEnd w:id="25"/>
      <w:r>
        <w:t xml:space="preserve">: High level </w:t>
      </w:r>
      <w:r w:rsidR="006D01E8">
        <w:t xml:space="preserve">annual </w:t>
      </w:r>
      <w:r>
        <w:t>cost breakdown</w:t>
      </w:r>
      <w:r w:rsidR="001D1335">
        <w:t xml:space="preserve"> by jurisdiction</w:t>
      </w:r>
      <w:r w:rsidR="004A0695">
        <w:rPr>
          <w:rStyle w:val="FootnoteReference"/>
        </w:rPr>
        <w:footnoteReference w:id="2"/>
      </w:r>
      <w:r w:rsidR="001D1335">
        <w:t xml:space="preserve"> (2017/18 budget</w:t>
      </w:r>
      <w:r w:rsidR="001D1335">
        <w:rPr>
          <w:rStyle w:val="FootnoteReference"/>
        </w:rPr>
        <w:footnoteReference w:id="3"/>
      </w:r>
      <w:r w:rsidR="001D1335">
        <w:t>)</w:t>
      </w:r>
    </w:p>
    <w:p w14:paraId="6636DCA6" w14:textId="77777777" w:rsidR="00964B2E" w:rsidRDefault="00283D56" w:rsidP="00964B2E">
      <w:pPr>
        <w:pStyle w:val="Caption"/>
      </w:pPr>
      <w:r>
        <w:rPr>
          <w:noProof/>
        </w:rPr>
        <w:drawing>
          <wp:inline distT="0" distB="0" distL="0" distR="0" wp14:anchorId="30927504" wp14:editId="71BAE795">
            <wp:extent cx="5114761" cy="3762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7959" cy="3764727"/>
                    </a:xfrm>
                    <a:prstGeom prst="rect">
                      <a:avLst/>
                    </a:prstGeom>
                    <a:noFill/>
                  </pic:spPr>
                </pic:pic>
              </a:graphicData>
            </a:graphic>
          </wp:inline>
        </w:drawing>
      </w:r>
    </w:p>
    <w:p w14:paraId="71303806" w14:textId="436632C0" w:rsidR="00807965" w:rsidRDefault="007900B6" w:rsidP="00C5345D">
      <w:r>
        <w:t xml:space="preserve">View the </w:t>
      </w:r>
      <w:hyperlink w:anchor="Figure1" w:history="1">
        <w:r w:rsidRPr="007900B6">
          <w:rPr>
            <w:rStyle w:val="Hyperlink"/>
          </w:rPr>
          <w:t>text version for Figure 1</w:t>
        </w:r>
      </w:hyperlink>
      <w:r w:rsidR="00A050ED">
        <w:t>.</w:t>
      </w:r>
    </w:p>
    <w:p w14:paraId="02C1109D" w14:textId="77777777" w:rsidR="00C5345D" w:rsidRDefault="00C80620" w:rsidP="00C5345D">
      <w:r>
        <w:lastRenderedPageBreak/>
        <w:t>Within total ongoing maintenance costs, t</w:t>
      </w:r>
      <w:r w:rsidR="00C5345D">
        <w:t>he ratio between capital maintenance and recurrent maintenance varies wid</w:t>
      </w:r>
      <w:r w:rsidR="007567A3">
        <w:t>ely ranging from 19:81 to 66:34.</w:t>
      </w:r>
    </w:p>
    <w:p w14:paraId="43A7087D" w14:textId="2F3AB49B" w:rsidR="00C5345D" w:rsidRDefault="004A60FE" w:rsidP="00C5345D">
      <w:r>
        <w:t>This difference is likely to be driven at least in part by definitional differences.</w:t>
      </w:r>
      <w:r w:rsidR="007567A3" w:rsidRPr="007567A3">
        <w:t xml:space="preserve"> </w:t>
      </w:r>
      <w:r w:rsidR="007567A3">
        <w:t>As defined in the data template provided to jurisdictions, capital maintenance r</w:t>
      </w:r>
      <w:r w:rsidR="007567A3" w:rsidRPr="007567A3">
        <w:t xml:space="preserve">efers to </w:t>
      </w:r>
      <w:r w:rsidR="007567A3" w:rsidRPr="007567A3">
        <w:rPr>
          <w:i/>
        </w:rPr>
        <w:t>expenditure such as: kitchen and wet area upgrades; major external building fabric upgrades; major disabled modifications; DV security; and vacancy upgrades. (I</w:t>
      </w:r>
      <w:r w:rsidR="0033218F">
        <w:rPr>
          <w:i/>
        </w:rPr>
        <w:t>n one jurisdiction</w:t>
      </w:r>
      <w:r w:rsidR="007567A3" w:rsidRPr="007567A3">
        <w:rPr>
          <w:i/>
        </w:rPr>
        <w:t xml:space="preserve"> - this is calculated as $50k per remote house over 10 years</w:t>
      </w:r>
      <w:r w:rsidR="00F95D5A">
        <w:rPr>
          <w:i/>
        </w:rPr>
        <w:t>, which we have included as a $5k annual cost</w:t>
      </w:r>
      <w:r w:rsidR="007567A3" w:rsidRPr="007567A3">
        <w:rPr>
          <w:i/>
        </w:rPr>
        <w:t>).</w:t>
      </w:r>
      <w:r w:rsidR="007567A3">
        <w:t xml:space="preserve"> As </w:t>
      </w:r>
      <w:r w:rsidR="00C80620">
        <w:t>capital maintenance is</w:t>
      </w:r>
      <w:r w:rsidR="007567A3">
        <w:t xml:space="preserve"> an estimated figure, there is likely considerable difference in estimation methods across jurisdictions.</w:t>
      </w:r>
    </w:p>
    <w:p w14:paraId="79FD78C1" w14:textId="394A5638" w:rsidR="00B91C09" w:rsidRDefault="00D02E32" w:rsidP="00D02E32">
      <w:r>
        <w:t>Variation could also be driven by the age of capital stock and the extent to which capital refurbishments are required.</w:t>
      </w:r>
      <w:r w:rsidR="00C44A55">
        <w:t xml:space="preserve"> Those jurisdictions with </w:t>
      </w:r>
      <w:r w:rsidR="00B32841">
        <w:t>an older asset base, or a capital stock that has been subject to more extensive decline, would be faced with the need for more capital maintenance.</w:t>
      </w:r>
    </w:p>
    <w:p w14:paraId="0C0E70B0" w14:textId="77777777" w:rsidR="00C5345D" w:rsidRDefault="00C5345D" w:rsidP="00264384">
      <w:pPr>
        <w:pStyle w:val="Heading2"/>
      </w:pPr>
      <w:bookmarkStart w:id="26" w:name="_Toc475447307"/>
      <w:bookmarkStart w:id="27" w:name="_Toc475982693"/>
      <w:bookmarkStart w:id="28" w:name="_Toc475990747"/>
      <w:bookmarkStart w:id="29" w:name="_Toc480791426"/>
      <w:r>
        <w:t>Other costs</w:t>
      </w:r>
      <w:r w:rsidR="00264384">
        <w:t xml:space="preserve"> comprise employee expenses, bad debts and utility costs</w:t>
      </w:r>
      <w:bookmarkEnd w:id="26"/>
      <w:bookmarkEnd w:id="27"/>
      <w:bookmarkEnd w:id="28"/>
      <w:bookmarkEnd w:id="29"/>
    </w:p>
    <w:p w14:paraId="2105CB0F" w14:textId="2896D61C" w:rsidR="00B32841" w:rsidRPr="00264384" w:rsidRDefault="00B32841" w:rsidP="00573A91">
      <w:pPr>
        <w:pStyle w:val="Figure"/>
        <w:jc w:val="left"/>
      </w:pPr>
      <w:r w:rsidRPr="00AE5756">
        <w:t>Non-maintenance expenses</w:t>
      </w:r>
      <w:r>
        <w:t xml:space="preserve"> – comprising employee related payments, bad debts, water, insurance, and any other expenses – comprise 13 to 27 per cent of total cost (as shown in </w:t>
      </w:r>
      <w:r>
        <w:fldChar w:fldCharType="begin"/>
      </w:r>
      <w:r>
        <w:instrText xml:space="preserve"> REF _Ref475364583 \h </w:instrText>
      </w:r>
      <w:r>
        <w:fldChar w:fldCharType="separate"/>
      </w:r>
      <w:r w:rsidR="004A1B2E">
        <w:t xml:space="preserve">Figure </w:t>
      </w:r>
      <w:r w:rsidR="004A1B2E">
        <w:rPr>
          <w:noProof/>
        </w:rPr>
        <w:t>1</w:t>
      </w:r>
      <w:r>
        <w:fldChar w:fldCharType="end"/>
      </w:r>
      <w:r w:rsidR="00911287">
        <w:t>).</w:t>
      </w:r>
      <w:r>
        <w:t>The breakdown of non-main</w:t>
      </w:r>
      <w:r w:rsidR="00AA0E72">
        <w:t>tenance expenses is provided in</w:t>
      </w:r>
      <w:r w:rsidR="00C42E24">
        <w:t xml:space="preserve"> </w:t>
      </w:r>
      <w:r w:rsidR="00573A91">
        <w:t>Figure 2</w:t>
      </w:r>
      <w:r w:rsidR="00AA0E72">
        <w:t xml:space="preserve"> </w:t>
      </w:r>
      <w:r>
        <w:t>below.</w:t>
      </w:r>
    </w:p>
    <w:p w14:paraId="764BBDFC" w14:textId="78361689" w:rsidR="00B32841" w:rsidRDefault="00C80620" w:rsidP="00C80620">
      <w:r>
        <w:t xml:space="preserve">There is insufficient consistent data available to draw meaningful conclusions about the differences in ‘other costs’ associated with the delivery of remote Indigenous housing. </w:t>
      </w:r>
      <w:r w:rsidR="008C615C">
        <w:t>There do not appear to be detailed breakdowns</w:t>
      </w:r>
      <w:r w:rsidR="00264384">
        <w:t xml:space="preserve"> on tenancy management costs</w:t>
      </w:r>
      <w:r w:rsidR="008C615C">
        <w:t xml:space="preserve"> available on a consistent basis</w:t>
      </w:r>
      <w:r w:rsidR="00B32841">
        <w:t xml:space="preserve"> across jurisdictions. </w:t>
      </w:r>
      <w:r w:rsidR="00B213A3">
        <w:t>This presents an</w:t>
      </w:r>
      <w:r w:rsidR="00B32841">
        <w:t xml:space="preserve"> opportunity to move towards reporting against a common set of categories with agreed definitions. </w:t>
      </w:r>
    </w:p>
    <w:p w14:paraId="0B7B05DB" w14:textId="1CD25FC2" w:rsidR="009F34E3" w:rsidRDefault="00AE5756" w:rsidP="00807965">
      <w:r>
        <w:t xml:space="preserve">Where </w:t>
      </w:r>
      <w:r w:rsidR="00B32841">
        <w:t xml:space="preserve">more detailed </w:t>
      </w:r>
      <w:r>
        <w:t>data is available</w:t>
      </w:r>
      <w:r w:rsidR="00B32841">
        <w:t xml:space="preserve"> (from one jurisdiction)</w:t>
      </w:r>
      <w:r>
        <w:t>, insurance costs appear to account for 15 per cent of non-maintenance expenses, while bad debts range from 8 per cent to 12 per cent. There is a high range of variability in employee-related expenses, making up 30 per cent to 73 per</w:t>
      </w:r>
      <w:r w:rsidR="00715738">
        <w:t xml:space="preserve"> </w:t>
      </w:r>
      <w:r>
        <w:t xml:space="preserve">cent of total non-maintenance expenses. </w:t>
      </w:r>
      <w:bookmarkStart w:id="30" w:name="_Ref475365422"/>
      <w:bookmarkStart w:id="31" w:name="_Ref477338958"/>
      <w:bookmarkStart w:id="32" w:name="_Ref486941625"/>
    </w:p>
    <w:p w14:paraId="4B310E12" w14:textId="40F082E6" w:rsidR="00CD6DC2" w:rsidRDefault="009F34E3" w:rsidP="00BC6228">
      <w:pPr>
        <w:pStyle w:val="Figure"/>
        <w:rPr>
          <w:vertAlign w:val="superscript"/>
        </w:rPr>
      </w:pPr>
      <w:bookmarkStart w:id="33" w:name="Figure2Return"/>
      <w:r>
        <w:t>F</w:t>
      </w:r>
      <w:r w:rsidR="00964B2E">
        <w:t xml:space="preserve">igure </w:t>
      </w:r>
      <w:fldSimple w:instr=" SEQ Figure \* ARABIC ">
        <w:r w:rsidR="004A1B2E">
          <w:rPr>
            <w:noProof/>
          </w:rPr>
          <w:t>2</w:t>
        </w:r>
      </w:fldSimple>
      <w:bookmarkEnd w:id="30"/>
      <w:bookmarkEnd w:id="31"/>
      <w:bookmarkEnd w:id="32"/>
      <w:bookmarkEnd w:id="33"/>
      <w:r w:rsidR="00964B2E">
        <w:t>: Detail</w:t>
      </w:r>
      <w:r w:rsidR="006D01E8">
        <w:t>ed annual cost breakdown (excl. c</w:t>
      </w:r>
      <w:r w:rsidR="00882C5B">
        <w:t>apital and recurrent m</w:t>
      </w:r>
      <w:r w:rsidR="00964B2E">
        <w:t>aintenance)</w:t>
      </w:r>
      <w:r w:rsidR="00AE5756">
        <w:t>, 2017/18 budget</w:t>
      </w:r>
      <w:r w:rsidR="003A771D">
        <w:rPr>
          <w:rStyle w:val="FootnoteReference"/>
        </w:rPr>
        <w:footnoteReference w:id="4"/>
      </w:r>
      <w:r w:rsidR="00D80B0A">
        <w:rPr>
          <w:vertAlign w:val="superscript"/>
        </w:rPr>
        <w:t>,</w:t>
      </w:r>
      <w:r w:rsidR="00D80B0A">
        <w:rPr>
          <w:rStyle w:val="FootnoteReference"/>
        </w:rPr>
        <w:footnoteReference w:id="5"/>
      </w:r>
      <w:r w:rsidR="00CD6DC2">
        <w:rPr>
          <w:vertAlign w:val="superscript"/>
        </w:rPr>
        <w:t>,</w:t>
      </w:r>
      <w:r w:rsidR="00CD6DC2">
        <w:rPr>
          <w:rStyle w:val="FootnoteReference"/>
        </w:rPr>
        <w:footnoteReference w:id="6"/>
      </w:r>
    </w:p>
    <w:p w14:paraId="635A81CB" w14:textId="6E58FC26" w:rsidR="00A050ED" w:rsidRPr="00A050ED" w:rsidRDefault="00CD6DC2" w:rsidP="00A050ED">
      <w:pPr>
        <w:rPr>
          <w:vertAlign w:val="superscript"/>
        </w:rPr>
      </w:pPr>
      <w:r>
        <w:rPr>
          <w:noProof/>
          <w:vertAlign w:val="superscript"/>
        </w:rPr>
        <w:lastRenderedPageBreak/>
        <w:drawing>
          <wp:inline distT="0" distB="0" distL="0" distR="0" wp14:anchorId="4CDFD2EF" wp14:editId="5E76BBFE">
            <wp:extent cx="3966358" cy="39860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6358" cy="3986089"/>
                    </a:xfrm>
                    <a:prstGeom prst="rect">
                      <a:avLst/>
                    </a:prstGeom>
                    <a:noFill/>
                  </pic:spPr>
                </pic:pic>
              </a:graphicData>
            </a:graphic>
          </wp:inline>
        </w:drawing>
      </w:r>
      <w:bookmarkStart w:id="34" w:name="_Toc475447312"/>
      <w:bookmarkStart w:id="35" w:name="_Toc475982694"/>
      <w:bookmarkStart w:id="36" w:name="_Toc475990748"/>
      <w:bookmarkStart w:id="37" w:name="_Toc480791427"/>
      <w:bookmarkStart w:id="38" w:name="_Toc475447308"/>
    </w:p>
    <w:p w14:paraId="2DEB07B2" w14:textId="2B02E1B1" w:rsidR="00A050ED" w:rsidRPr="00A050ED" w:rsidRDefault="007900B6" w:rsidP="007900B6">
      <w:r>
        <w:t xml:space="preserve">View the </w:t>
      </w:r>
      <w:hyperlink w:anchor="Figure2" w:history="1">
        <w:r w:rsidRPr="007900B6">
          <w:rPr>
            <w:rStyle w:val="Hyperlink"/>
          </w:rPr>
          <w:t>text version for Figure 2</w:t>
        </w:r>
      </w:hyperlink>
      <w:r>
        <w:t>.</w:t>
      </w:r>
    </w:p>
    <w:p w14:paraId="1FCC1D8F" w14:textId="77777777" w:rsidR="001A5431" w:rsidRDefault="001A5431" w:rsidP="001A5431">
      <w:pPr>
        <w:pStyle w:val="Heading2"/>
      </w:pPr>
      <w:r>
        <w:t xml:space="preserve">Costs </w:t>
      </w:r>
      <w:bookmarkEnd w:id="34"/>
      <w:r>
        <w:t xml:space="preserve">of specific maintenance activities are </w:t>
      </w:r>
      <w:r w:rsidR="00164223">
        <w:t xml:space="preserve">significantly </w:t>
      </w:r>
      <w:r>
        <w:t>higher under NPARIH than public housing</w:t>
      </w:r>
      <w:bookmarkEnd w:id="35"/>
      <w:bookmarkEnd w:id="36"/>
      <w:bookmarkEnd w:id="37"/>
    </w:p>
    <w:p w14:paraId="7496A8A0" w14:textId="77777777" w:rsidR="001A5431" w:rsidRDefault="001A5431" w:rsidP="001A5431">
      <w:r>
        <w:t>As part of this analysis, jurisdictions provided an indicative distribution of costs for six repair and maintenance activities, across different communities and works packages.</w:t>
      </w:r>
    </w:p>
    <w:p w14:paraId="52CFEC5F" w14:textId="77777777" w:rsidR="001A5431" w:rsidRDefault="001A5431" w:rsidP="001A5431">
      <w:r>
        <w:t>The variability in cost is apparent in the distribution of costs across the six repair and maintenance activities, which jurisdictions were able to supply data on. These were:</w:t>
      </w:r>
    </w:p>
    <w:p w14:paraId="0DABE815" w14:textId="77777777" w:rsidR="001A5431" w:rsidRDefault="001A5431" w:rsidP="001A5431">
      <w:pPr>
        <w:pStyle w:val="Bullet"/>
      </w:pPr>
      <w:r>
        <w:t>Replace smoke detector(s)</w:t>
      </w:r>
    </w:p>
    <w:p w14:paraId="16F332DE" w14:textId="77777777" w:rsidR="001A5431" w:rsidRDefault="001A5431" w:rsidP="001A5431">
      <w:pPr>
        <w:pStyle w:val="Bullet"/>
      </w:pPr>
      <w:r>
        <w:t>Replace solid core door(s)</w:t>
      </w:r>
    </w:p>
    <w:p w14:paraId="0AF31BD5" w14:textId="77777777" w:rsidR="001A5431" w:rsidRDefault="001A5431" w:rsidP="001A5431">
      <w:pPr>
        <w:pStyle w:val="Bullet"/>
      </w:pPr>
      <w:r>
        <w:t>Replace external lock set(s)</w:t>
      </w:r>
    </w:p>
    <w:p w14:paraId="2B7F8229" w14:textId="77777777" w:rsidR="001A5431" w:rsidRDefault="001A5431" w:rsidP="001A5431">
      <w:pPr>
        <w:pStyle w:val="Bullet"/>
      </w:pPr>
      <w:r>
        <w:t>Replace stove(s)</w:t>
      </w:r>
    </w:p>
    <w:p w14:paraId="55B1392F" w14:textId="77777777" w:rsidR="001A5431" w:rsidRDefault="001A5431" w:rsidP="001A5431">
      <w:pPr>
        <w:pStyle w:val="Bullet"/>
      </w:pPr>
      <w:r>
        <w:t>Replace internal tap(s) – top half</w:t>
      </w:r>
    </w:p>
    <w:p w14:paraId="0AEB9532" w14:textId="77777777" w:rsidR="001A5431" w:rsidRDefault="001A5431" w:rsidP="001A5431">
      <w:pPr>
        <w:pStyle w:val="Bullet"/>
      </w:pPr>
      <w:r>
        <w:t>Pump out septic tank(s)</w:t>
      </w:r>
    </w:p>
    <w:p w14:paraId="0AC75FD5" w14:textId="14675F9C" w:rsidR="001A5431" w:rsidRDefault="001A5431" w:rsidP="001A5431">
      <w:r>
        <w:t xml:space="preserve">Analysis of data available on the costs of individual maintenance items shows that the costs under NPARIH communities are, for the most part, far higher than that of housing in regional Indigenous communities and other public housing. This is evident in </w:t>
      </w:r>
      <w:r>
        <w:rPr>
          <w:highlight w:val="yellow"/>
        </w:rPr>
        <w:fldChar w:fldCharType="begin"/>
      </w:r>
      <w:r>
        <w:instrText xml:space="preserve"> REF _Ref475909933 \h </w:instrText>
      </w:r>
      <w:r>
        <w:rPr>
          <w:highlight w:val="yellow"/>
        </w:rPr>
      </w:r>
      <w:r>
        <w:rPr>
          <w:highlight w:val="yellow"/>
        </w:rPr>
        <w:fldChar w:fldCharType="separate"/>
      </w:r>
      <w:r w:rsidR="004A1B2E">
        <w:t xml:space="preserve">Figure </w:t>
      </w:r>
      <w:r w:rsidR="004A1B2E">
        <w:rPr>
          <w:noProof/>
        </w:rPr>
        <w:t>3</w:t>
      </w:r>
      <w:r>
        <w:rPr>
          <w:highlight w:val="yellow"/>
        </w:rPr>
        <w:fldChar w:fldCharType="end"/>
      </w:r>
      <w:r>
        <w:t xml:space="preserve">, displaying per-unit cost comparisons </w:t>
      </w:r>
      <w:r>
        <w:lastRenderedPageBreak/>
        <w:t>for selected repair and maintenance items with mainstream public housing</w:t>
      </w:r>
      <w:r w:rsidR="002D05B9">
        <w:rPr>
          <w:rStyle w:val="FootnoteReference"/>
        </w:rPr>
        <w:footnoteReference w:id="7"/>
      </w:r>
      <w:r>
        <w:t xml:space="preserve"> and regional Indigenous housing, indexed to the cost of equivalent </w:t>
      </w:r>
      <w:r w:rsidR="00E954A2">
        <w:t>ac</w:t>
      </w:r>
      <w:r>
        <w:t>t</w:t>
      </w:r>
      <w:r w:rsidR="00E954A2">
        <w:t>ivity</w:t>
      </w:r>
      <w:r>
        <w:t xml:space="preserve"> in mainstream public housing.</w:t>
      </w:r>
    </w:p>
    <w:p w14:paraId="1DB4187E" w14:textId="5B10B83E" w:rsidR="001A5431" w:rsidRDefault="001A5431" w:rsidP="001A5431">
      <w:r>
        <w:t>More than half of maintenance and repair activities</w:t>
      </w:r>
      <w:r w:rsidR="006C5131">
        <w:t xml:space="preserve"> in remote Indigenous housing</w:t>
      </w:r>
      <w:r>
        <w:t xml:space="preserve"> </w:t>
      </w:r>
      <w:r w:rsidR="006C5131">
        <w:t>cost</w:t>
      </w:r>
      <w:r>
        <w:t xml:space="preserve"> </w:t>
      </w:r>
      <w:r w:rsidRPr="00A95064">
        <w:t>between 1</w:t>
      </w:r>
      <w:r>
        <w:t>.4 and 4.5</w:t>
      </w:r>
      <w:r w:rsidRPr="00A95064">
        <w:t xml:space="preserve"> times the cost</w:t>
      </w:r>
      <w:r>
        <w:t xml:space="preserve"> of the equivalent activity in mainstream public housing. At the extreme, costs of specific maintenance and repair items can </w:t>
      </w:r>
      <w:r w:rsidRPr="006911D7">
        <w:t>be up to 47</w:t>
      </w:r>
      <w:r>
        <w:t xml:space="preserve"> times higher in remote Indigenous communities. (The drivers of the above cost disparities are explored in detail </w:t>
      </w:r>
      <w:r w:rsidRPr="008B71E6">
        <w:t>in Sections 3 and 4 below</w:t>
      </w:r>
      <w:r>
        <w:t>.)</w:t>
      </w:r>
    </w:p>
    <w:p w14:paraId="071F2CED" w14:textId="6BB59065" w:rsidR="00766323" w:rsidRDefault="001A5431" w:rsidP="001A5431">
      <w:pPr>
        <w:pStyle w:val="Figure"/>
      </w:pPr>
      <w:bookmarkStart w:id="39" w:name="_Ref475909933"/>
      <w:bookmarkStart w:id="40" w:name="Figure3Return"/>
      <w:r>
        <w:t xml:space="preserve">Figure </w:t>
      </w:r>
      <w:fldSimple w:instr=" SEQ Figure \* ARABIC ">
        <w:r w:rsidR="004A1B2E">
          <w:rPr>
            <w:noProof/>
          </w:rPr>
          <w:t>3</w:t>
        </w:r>
      </w:fldSimple>
      <w:bookmarkEnd w:id="39"/>
      <w:bookmarkEnd w:id="40"/>
      <w:r>
        <w:t>: Cost of repair and maintenance activities in Indigenous communities (indexed to cost of equivalent activities in mainstream public housing)</w:t>
      </w:r>
      <w:r w:rsidR="009650DF">
        <w:rPr>
          <w:noProof/>
        </w:rPr>
        <w:drawing>
          <wp:inline distT="0" distB="0" distL="0" distR="0" wp14:anchorId="72E53318" wp14:editId="34F3F7B0">
            <wp:extent cx="5385703" cy="337405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0894" cy="3377304"/>
                    </a:xfrm>
                    <a:prstGeom prst="rect">
                      <a:avLst/>
                    </a:prstGeom>
                    <a:noFill/>
                  </pic:spPr>
                </pic:pic>
              </a:graphicData>
            </a:graphic>
          </wp:inline>
        </w:drawing>
      </w:r>
    </w:p>
    <w:p w14:paraId="14FC9C80" w14:textId="42EA7754" w:rsidR="00D86000" w:rsidRPr="00A050ED" w:rsidRDefault="007900B6" w:rsidP="00A050ED">
      <w:r>
        <w:t xml:space="preserve">View the </w:t>
      </w:r>
      <w:hyperlink w:anchor="Figure3" w:history="1">
        <w:r w:rsidRPr="007900B6">
          <w:rPr>
            <w:rStyle w:val="Hyperlink"/>
          </w:rPr>
          <w:t>text version for Figure 3</w:t>
        </w:r>
      </w:hyperlink>
      <w:r>
        <w:t>.</w:t>
      </w:r>
    </w:p>
    <w:p w14:paraId="3462D388" w14:textId="41FAC68C" w:rsidR="00427A78" w:rsidRDefault="00427A78" w:rsidP="00427A78">
      <w:pPr>
        <w:pStyle w:val="Heading2"/>
      </w:pPr>
      <w:bookmarkStart w:id="41" w:name="_Toc475982695"/>
      <w:bookmarkStart w:id="42" w:name="_Toc475990749"/>
      <w:bookmarkStart w:id="43" w:name="_Toc480791428"/>
      <w:r>
        <w:t>On average</w:t>
      </w:r>
      <w:r w:rsidR="00B32841">
        <w:t>,</w:t>
      </w:r>
      <w:r>
        <w:t xml:space="preserve"> 8</w:t>
      </w:r>
      <w:r w:rsidR="001E32A7">
        <w:t xml:space="preserve">4 </w:t>
      </w:r>
      <w:r>
        <w:t>per cent of the costs of delivery are not covered by rental income</w:t>
      </w:r>
      <w:bookmarkEnd w:id="38"/>
      <w:bookmarkEnd w:id="41"/>
      <w:bookmarkEnd w:id="42"/>
      <w:bookmarkEnd w:id="43"/>
    </w:p>
    <w:p w14:paraId="4E59E65E" w14:textId="77777777" w:rsidR="008C615C" w:rsidRDefault="008C615C" w:rsidP="008C615C">
      <w:r>
        <w:t>As discussed elsewhere in this review, the jurisdictions apply a variety of rental inco</w:t>
      </w:r>
      <w:r w:rsidR="00C80620">
        <w:t xml:space="preserve">me regimes across Australia. </w:t>
      </w:r>
      <w:r>
        <w:t>As a general rule, these various approaches to rent setting and collection are based on some notion of ability to pay, rather than willingness to pay or any notion of market r</w:t>
      </w:r>
      <w:r w:rsidR="003A771D">
        <w:t>ents.</w:t>
      </w:r>
    </w:p>
    <w:p w14:paraId="69E77572" w14:textId="2E569597" w:rsidR="008C615C" w:rsidRDefault="008C615C" w:rsidP="008C615C">
      <w:r>
        <w:t xml:space="preserve">As the </w:t>
      </w:r>
      <w:r w:rsidR="00B32841">
        <w:t>data from the jurisdictions in</w:t>
      </w:r>
      <w:r w:rsidR="00A53698">
        <w:t xml:space="preserve"> the</w:t>
      </w:r>
      <w:r w:rsidR="00B32841">
        <w:t xml:space="preserve"> </w:t>
      </w:r>
      <w:r>
        <w:t xml:space="preserve">following figure shows, in most cases, </w:t>
      </w:r>
      <w:r w:rsidR="00ED54E7">
        <w:t>pub</w:t>
      </w:r>
      <w:r>
        <w:t>l</w:t>
      </w:r>
      <w:r w:rsidR="00ED54E7">
        <w:t>ic</w:t>
      </w:r>
      <w:r>
        <w:t xml:space="preserve"> housing result</w:t>
      </w:r>
      <w:r w:rsidR="00A53698">
        <w:t>s</w:t>
      </w:r>
      <w:r w:rsidR="00185543">
        <w:t xml:space="preserve"> in much smaller cost shortfalls</w:t>
      </w:r>
      <w:r>
        <w:t xml:space="preserve"> in compariso</w:t>
      </w:r>
      <w:r w:rsidR="00C80620">
        <w:t xml:space="preserve">n to remote Indigenous housing. </w:t>
      </w:r>
    </w:p>
    <w:p w14:paraId="6F917353" w14:textId="23A31A86" w:rsidR="00B32841" w:rsidRDefault="005C7F15" w:rsidP="00A53698">
      <w:pPr>
        <w:pStyle w:val="Bullet"/>
      </w:pPr>
      <w:r>
        <w:t xml:space="preserve">Based on a limited sample of communities, the data shows that annual rental income for remote Indigenous </w:t>
      </w:r>
      <w:r w:rsidR="004B04AB">
        <w:t xml:space="preserve">housing </w:t>
      </w:r>
      <w:r w:rsidR="00776D13">
        <w:t xml:space="preserve">covers </w:t>
      </w:r>
      <w:r w:rsidR="00A53698">
        <w:t>1</w:t>
      </w:r>
      <w:r w:rsidR="00251601">
        <w:t>6 per cent of costs</w:t>
      </w:r>
      <w:r w:rsidR="00A8491E">
        <w:rPr>
          <w:rStyle w:val="FootnoteReference"/>
        </w:rPr>
        <w:footnoteReference w:id="8"/>
      </w:r>
      <w:r w:rsidR="00251601">
        <w:t>, on average</w:t>
      </w:r>
      <w:r w:rsidR="001E32A7">
        <w:t>, excluding depreciation</w:t>
      </w:r>
      <w:r w:rsidR="00A53698">
        <w:t>. Across jurisdictions, rental income collection ranges</w:t>
      </w:r>
      <w:r w:rsidR="007B28F0">
        <w:t xml:space="preserve"> between 11</w:t>
      </w:r>
      <w:r w:rsidR="003A771D">
        <w:t xml:space="preserve"> and </w:t>
      </w:r>
      <w:r w:rsidR="00A53698">
        <w:t>21</w:t>
      </w:r>
      <w:r w:rsidR="007B28F0">
        <w:t xml:space="preserve"> </w:t>
      </w:r>
      <w:r>
        <w:t xml:space="preserve">per cent of costs. </w:t>
      </w:r>
    </w:p>
    <w:p w14:paraId="6022356E" w14:textId="77777777" w:rsidR="00EB31BC" w:rsidRDefault="00553246" w:rsidP="00EB31BC">
      <w:pPr>
        <w:pStyle w:val="Bullet"/>
        <w:jc w:val="both"/>
      </w:pPr>
      <w:r>
        <w:lastRenderedPageBreak/>
        <w:t xml:space="preserve">This is in stark contrast to </w:t>
      </w:r>
      <w:r w:rsidR="004B04AB">
        <w:t>pub</w:t>
      </w:r>
      <w:r>
        <w:t>l</w:t>
      </w:r>
      <w:r w:rsidR="004B04AB">
        <w:t>ic</w:t>
      </w:r>
      <w:r>
        <w:t xml:space="preserve"> housing in metropolitan areas where almost 90 per cent of costs can be covered by rental income</w:t>
      </w:r>
      <w:r w:rsidR="00A53698">
        <w:rPr>
          <w:rStyle w:val="FootnoteReference"/>
        </w:rPr>
        <w:footnoteReference w:id="9"/>
      </w:r>
      <w:r>
        <w:t>.</w:t>
      </w:r>
    </w:p>
    <w:p w14:paraId="2BB3F85E" w14:textId="77777777" w:rsidR="0077738B" w:rsidRDefault="0077738B" w:rsidP="0077738B">
      <w:pPr>
        <w:pStyle w:val="Bullet"/>
        <w:numPr>
          <w:ilvl w:val="0"/>
          <w:numId w:val="0"/>
        </w:numPr>
        <w:jc w:val="center"/>
      </w:pPr>
    </w:p>
    <w:p w14:paraId="08E20E8C" w14:textId="77777777" w:rsidR="00D86000" w:rsidRDefault="0077738B" w:rsidP="004A1B2E">
      <w:pPr>
        <w:pStyle w:val="Bullet"/>
        <w:numPr>
          <w:ilvl w:val="0"/>
          <w:numId w:val="0"/>
        </w:numPr>
        <w:jc w:val="center"/>
      </w:pPr>
      <w:bookmarkStart w:id="44" w:name="Figure4Return"/>
      <w:r>
        <w:t xml:space="preserve">Figure </w:t>
      </w:r>
      <w:fldSimple w:instr=" SEQ Figure \* ARABIC ">
        <w:r w:rsidR="004A1B2E">
          <w:rPr>
            <w:noProof/>
          </w:rPr>
          <w:t>4</w:t>
        </w:r>
      </w:fldSimple>
      <w:bookmarkEnd w:id="44"/>
      <w:r>
        <w:t xml:space="preserve">: </w:t>
      </w:r>
      <w:r w:rsidRPr="00630A6F">
        <w:t xml:space="preserve">Rental income as a proportion of annual ongoing cost, </w:t>
      </w:r>
      <w:r>
        <w:t>by jurisdiction (2017/18 budget</w:t>
      </w:r>
      <w:r w:rsidRPr="00630A6F">
        <w:t>)</w:t>
      </w:r>
      <w:r w:rsidR="00455486">
        <w:rPr>
          <w:noProof/>
        </w:rPr>
        <w:drawing>
          <wp:inline distT="0" distB="0" distL="0" distR="0" wp14:anchorId="2E423C14" wp14:editId="7452004A">
            <wp:extent cx="6426896"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3833" cy="2898726"/>
                    </a:xfrm>
                    <a:prstGeom prst="rect">
                      <a:avLst/>
                    </a:prstGeom>
                    <a:noFill/>
                  </pic:spPr>
                </pic:pic>
              </a:graphicData>
            </a:graphic>
          </wp:inline>
        </w:drawing>
      </w:r>
    </w:p>
    <w:p w14:paraId="38B3D8F1" w14:textId="78AD783B" w:rsidR="004A1B2E" w:rsidRPr="000510EE" w:rsidRDefault="007900B6" w:rsidP="00D86000">
      <w:pPr>
        <w:pStyle w:val="Bullet"/>
        <w:numPr>
          <w:ilvl w:val="0"/>
          <w:numId w:val="0"/>
        </w:numPr>
      </w:pPr>
      <w:r>
        <w:t xml:space="preserve">View the </w:t>
      </w:r>
      <w:hyperlink w:anchor="Figure4" w:history="1">
        <w:r w:rsidRPr="007900B6">
          <w:rPr>
            <w:rStyle w:val="Hyperlink"/>
          </w:rPr>
          <w:t>text version for Figure 4.</w:t>
        </w:r>
      </w:hyperlink>
      <w:r w:rsidR="00B32841" w:rsidRPr="000510EE">
        <w:fldChar w:fldCharType="begin"/>
      </w:r>
      <w:r w:rsidR="00B32841" w:rsidRPr="000510EE">
        <w:instrText xml:space="preserve"> REF _Ref475613001 \h </w:instrText>
      </w:r>
      <w:r w:rsidR="00455486" w:rsidRPr="000510EE">
        <w:instrText xml:space="preserve"> \* MERGEFORMAT </w:instrText>
      </w:r>
      <w:r w:rsidR="00B32841" w:rsidRPr="000510EE">
        <w:fldChar w:fldCharType="separate"/>
      </w:r>
    </w:p>
    <w:p w14:paraId="66965FF4" w14:textId="77777777" w:rsidR="004A1B2E" w:rsidRPr="000510EE" w:rsidRDefault="004A1B2E" w:rsidP="004A1B2E">
      <w:r w:rsidRPr="000510EE">
        <w:t xml:space="preserve">This analysis is undertaken at a high level, noting the small number of data points, variability in the data from the trend, and inherent challenges of dealing with a small sample size. Further detailed analysis of the differences of housing costs across communities is included in Section 3. </w:t>
      </w:r>
    </w:p>
    <w:p w14:paraId="39EB667E" w14:textId="77777777" w:rsidR="00CC5767" w:rsidRDefault="004A1B2E" w:rsidP="00455486">
      <w:r w:rsidRPr="000510EE">
        <w:t xml:space="preserve">Figure </w:t>
      </w:r>
      <w:r w:rsidRPr="000510EE">
        <w:rPr>
          <w:noProof/>
        </w:rPr>
        <w:t>5</w:t>
      </w:r>
      <w:r w:rsidR="00B32841" w:rsidRPr="000510EE">
        <w:fldChar w:fldCharType="end"/>
      </w:r>
      <w:r w:rsidR="00B32841">
        <w:t xml:space="preserve"> shows that there are particular types of communities or levels of remoteness driving either a higher or lower ratio of costs to rental returns. </w:t>
      </w:r>
      <w:r w:rsidR="00CC5767">
        <w:t xml:space="preserve">Even when taking </w:t>
      </w:r>
      <w:r w:rsidR="00DD2A25">
        <w:t xml:space="preserve">the varying </w:t>
      </w:r>
      <w:r w:rsidR="00CC5767">
        <w:t>size</w:t>
      </w:r>
      <w:r w:rsidR="00DD2A25">
        <w:t>s of remote Indigenous communities</w:t>
      </w:r>
      <w:r w:rsidR="00CC5767">
        <w:t xml:space="preserve"> into account, the data shows a broadly linear relationship between costs a</w:t>
      </w:r>
      <w:r w:rsidR="005A45F6">
        <w:t>n</w:t>
      </w:r>
      <w:r w:rsidR="00CC5767">
        <w:t xml:space="preserve">d revenue </w:t>
      </w:r>
      <w:r w:rsidR="00603252">
        <w:t xml:space="preserve">such </w:t>
      </w:r>
      <w:r w:rsidR="00CC5767">
        <w:t>that:</w:t>
      </w:r>
    </w:p>
    <w:p w14:paraId="16C7C32C" w14:textId="735CA754" w:rsidR="00CC5767" w:rsidRDefault="00CC5767" w:rsidP="00CC5767">
      <w:pPr>
        <w:pStyle w:val="Bullet"/>
      </w:pPr>
      <w:r>
        <w:t xml:space="preserve">There are some outliers where the </w:t>
      </w:r>
      <w:r w:rsidR="00B32841">
        <w:t xml:space="preserve">proportion of costs not covered by rental income is much </w:t>
      </w:r>
      <w:r w:rsidR="00E35A40">
        <w:t>lowe</w:t>
      </w:r>
      <w:r w:rsidR="00B32841">
        <w:t>r than 8</w:t>
      </w:r>
      <w:r w:rsidR="00B22811">
        <w:t>4</w:t>
      </w:r>
      <w:r w:rsidR="00B32841">
        <w:t xml:space="preserve">% </w:t>
      </w:r>
    </w:p>
    <w:p w14:paraId="3D6AF724" w14:textId="448C470A" w:rsidR="00A35DD5" w:rsidRDefault="00B32841" w:rsidP="00A35DD5">
      <w:pPr>
        <w:pStyle w:val="Bullet"/>
      </w:pPr>
      <w:r>
        <w:t xml:space="preserve">There are no communities where the proportion of costs not covered is much </w:t>
      </w:r>
      <w:r w:rsidR="00E35A40">
        <w:t>high</w:t>
      </w:r>
      <w:r>
        <w:t>er that 8</w:t>
      </w:r>
      <w:r w:rsidR="00B22811">
        <w:t>4</w:t>
      </w:r>
      <w:r>
        <w:t xml:space="preserve">% </w:t>
      </w:r>
      <w:bookmarkStart w:id="45" w:name="_Ref475613001"/>
    </w:p>
    <w:p w14:paraId="53F2AEDA" w14:textId="28C45764" w:rsidR="001E1755" w:rsidRDefault="009B3C74" w:rsidP="00A35DD5">
      <w:pPr>
        <w:pStyle w:val="Bullet"/>
        <w:numPr>
          <w:ilvl w:val="0"/>
          <w:numId w:val="0"/>
        </w:numPr>
      </w:pPr>
      <w:r>
        <w:t>T</w:t>
      </w:r>
      <w:r w:rsidR="00A35DD5">
        <w:t xml:space="preserve">his analysis </w:t>
      </w:r>
      <w:r>
        <w:t>is undertaken at a high level, noting the small number of data points, variability in the data from the trend, and inherent challenges of dealing with a small sample size. F</w:t>
      </w:r>
      <w:r w:rsidR="00A35DD5">
        <w:t>urther detailed analysis of the differences of housing costs across communities is included in Section 3.</w:t>
      </w:r>
      <w:r>
        <w:t xml:space="preserve"> </w:t>
      </w:r>
    </w:p>
    <w:p w14:paraId="2A062F8C" w14:textId="0657EF05" w:rsidR="00AB6174" w:rsidRDefault="00603252" w:rsidP="0061083C">
      <w:pPr>
        <w:pStyle w:val="Figure"/>
      </w:pPr>
      <w:bookmarkStart w:id="46" w:name="Figure5Return"/>
      <w:r>
        <w:lastRenderedPageBreak/>
        <w:t xml:space="preserve">Figure </w:t>
      </w:r>
      <w:fldSimple w:instr=" SEQ Figure \* ARABIC ">
        <w:r w:rsidR="004A1B2E">
          <w:rPr>
            <w:noProof/>
          </w:rPr>
          <w:t>5</w:t>
        </w:r>
      </w:fldSimple>
      <w:bookmarkEnd w:id="45"/>
      <w:bookmarkEnd w:id="46"/>
      <w:r w:rsidRPr="00603252">
        <w:t xml:space="preserve"> </w:t>
      </w:r>
      <w:r>
        <w:t xml:space="preserve">: Distribution </w:t>
      </w:r>
      <w:r w:rsidR="003C2835">
        <w:t>of annual</w:t>
      </w:r>
      <w:r>
        <w:t xml:space="preserve"> costs and rent</w:t>
      </w:r>
      <w:r w:rsidR="00776D13">
        <w:t>al income</w:t>
      </w:r>
      <w:r>
        <w:t xml:space="preserve"> for various public housing settings</w:t>
      </w:r>
      <w:r w:rsidR="0054441B">
        <w:rPr>
          <w:noProof/>
        </w:rPr>
        <w:drawing>
          <wp:inline distT="0" distB="0" distL="0" distR="0" wp14:anchorId="7D5FE4C6" wp14:editId="3C3FDAB1">
            <wp:extent cx="5707380" cy="3494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7951" cy="3501288"/>
                    </a:xfrm>
                    <a:prstGeom prst="rect">
                      <a:avLst/>
                    </a:prstGeom>
                    <a:noFill/>
                  </pic:spPr>
                </pic:pic>
              </a:graphicData>
            </a:graphic>
          </wp:inline>
        </w:drawing>
      </w:r>
    </w:p>
    <w:p w14:paraId="78B59B21" w14:textId="4559096F" w:rsidR="00D86000" w:rsidRPr="000510EE" w:rsidRDefault="007900B6" w:rsidP="002E6B2F">
      <w:r>
        <w:t xml:space="preserve">View the </w:t>
      </w:r>
      <w:hyperlink w:anchor="Figure5" w:history="1">
        <w:r w:rsidRPr="007900B6">
          <w:rPr>
            <w:rStyle w:val="Hyperlink"/>
          </w:rPr>
          <w:t>text version for Figure 5</w:t>
        </w:r>
      </w:hyperlink>
      <w:r>
        <w:t>.</w:t>
      </w:r>
    </w:p>
    <w:p w14:paraId="1BA5B924" w14:textId="22134FEA" w:rsidR="00E26474" w:rsidRDefault="00FE036C" w:rsidP="00E26474">
      <w:pPr>
        <w:pStyle w:val="Heading2"/>
      </w:pPr>
      <w:bookmarkStart w:id="47" w:name="_Toc475447309"/>
      <w:bookmarkStart w:id="48" w:name="_Toc475982696"/>
      <w:bookmarkStart w:id="49" w:name="_Toc475990750"/>
      <w:bookmarkStart w:id="50" w:name="_Toc480791429"/>
      <w:r>
        <w:t>The revenue-</w:t>
      </w:r>
      <w:r w:rsidR="00E26474">
        <w:t>cost shortfall</w:t>
      </w:r>
      <w:r w:rsidR="001A5431">
        <w:t xml:space="preserve"> is largely driven by</w:t>
      </w:r>
      <w:r w:rsidR="00E26474">
        <w:t xml:space="preserve"> much higher ongoing cost</w:t>
      </w:r>
      <w:r w:rsidR="001A5431">
        <w:t>s</w:t>
      </w:r>
      <w:r w:rsidR="00E26474">
        <w:t xml:space="preserve"> rather than a lower rental income</w:t>
      </w:r>
      <w:bookmarkEnd w:id="47"/>
      <w:r w:rsidR="00E26474">
        <w:t xml:space="preserve"> when compared to public housing</w:t>
      </w:r>
      <w:bookmarkEnd w:id="48"/>
      <w:bookmarkEnd w:id="49"/>
      <w:bookmarkEnd w:id="50"/>
    </w:p>
    <w:p w14:paraId="3FBC6D66" w14:textId="022700EF" w:rsidR="00E70D7B" w:rsidRDefault="00B32841" w:rsidP="00987923">
      <w:pPr>
        <w:pStyle w:val="Figure"/>
        <w:jc w:val="left"/>
      </w:pPr>
      <w:r>
        <w:t>The</w:t>
      </w:r>
      <w:r w:rsidR="00E70D7B">
        <w:t xml:space="preserve"> revenue-cost</w:t>
      </w:r>
      <w:r>
        <w:t xml:space="preserve"> </w:t>
      </w:r>
      <w:r w:rsidR="00E70D7B">
        <w:t>shortfall per dwelling</w:t>
      </w:r>
      <w:r>
        <w:t xml:space="preserve"> in remote Indigenous housing is estimated to be </w:t>
      </w:r>
      <w:r w:rsidR="005757C4">
        <w:t>16</w:t>
      </w:r>
      <w:r>
        <w:t xml:space="preserve"> times the </w:t>
      </w:r>
      <w:r w:rsidR="00E70D7B">
        <w:t>shortfall</w:t>
      </w:r>
      <w:r>
        <w:t xml:space="preserve"> in mainstream public housing. </w:t>
      </w:r>
      <w:r w:rsidR="00DC64AD">
        <w:t>Th</w:t>
      </w:r>
      <w:r>
        <w:t>is</w:t>
      </w:r>
      <w:r w:rsidR="00DC64AD">
        <w:t xml:space="preserve"> </w:t>
      </w:r>
      <w:r w:rsidR="00E70D7B">
        <w:t>difference</w:t>
      </w:r>
      <w:r w:rsidR="00DC64AD">
        <w:t xml:space="preserve"> between mainstream public housing and remote Indigenous housing is mostly </w:t>
      </w:r>
      <w:r>
        <w:t xml:space="preserve">attributable to </w:t>
      </w:r>
      <w:r w:rsidR="00DC64AD">
        <w:t xml:space="preserve">a significantly higher relative cost, and </w:t>
      </w:r>
      <w:r>
        <w:t xml:space="preserve">to a lesser extent, </w:t>
      </w:r>
      <w:r w:rsidR="00DC64AD">
        <w:t>lower relativ</w:t>
      </w:r>
      <w:r w:rsidR="005757C4">
        <w:t>e rental income.</w:t>
      </w:r>
      <w:r w:rsidR="00776D13">
        <w:t xml:space="preserve"> A</w:t>
      </w:r>
      <w:r w:rsidR="00E70D7B">
        <w:t>s shown in</w:t>
      </w:r>
      <w:r w:rsidR="00B467F5">
        <w:t xml:space="preserve"> </w:t>
      </w:r>
      <w:r w:rsidR="00B467F5">
        <w:fldChar w:fldCharType="begin"/>
      </w:r>
      <w:r w:rsidR="00B467F5">
        <w:instrText xml:space="preserve"> REF _Ref486941684 \h </w:instrText>
      </w:r>
      <w:r w:rsidR="00B467F5">
        <w:fldChar w:fldCharType="separate"/>
      </w:r>
      <w:r w:rsidR="004A1B2E">
        <w:t xml:space="preserve">Figure </w:t>
      </w:r>
      <w:r w:rsidR="004A1B2E">
        <w:rPr>
          <w:noProof/>
        </w:rPr>
        <w:t>6</w:t>
      </w:r>
      <w:r w:rsidR="00B467F5">
        <w:fldChar w:fldCharType="end"/>
      </w:r>
      <w:r w:rsidR="00E70D7B">
        <w:t>, a</w:t>
      </w:r>
      <w:r w:rsidR="005757C4">
        <w:t>pproximately 80 per cent</w:t>
      </w:r>
      <w:r w:rsidR="00DC64AD">
        <w:t xml:space="preserve"> of the difference in cost </w:t>
      </w:r>
      <w:r w:rsidR="00185543">
        <w:t xml:space="preserve">shortfall </w:t>
      </w:r>
      <w:r w:rsidR="00DC64AD">
        <w:t>is accounted for by a relatively higher cost in remote Indigenous housing, while the relatively lower rental income in remote In</w:t>
      </w:r>
      <w:r w:rsidR="00E70D7B">
        <w:t xml:space="preserve">digenous housing accounts for 20 </w:t>
      </w:r>
      <w:r w:rsidR="005757C4">
        <w:t>per cent</w:t>
      </w:r>
      <w:r w:rsidR="00DC64AD">
        <w:t xml:space="preserve"> of the </w:t>
      </w:r>
      <w:r w:rsidR="00273630">
        <w:t>difference</w:t>
      </w:r>
      <w:r w:rsidR="00DC64AD">
        <w:t>.</w:t>
      </w:r>
      <w:r w:rsidR="00E70D7B" w:rsidRPr="00E70D7B">
        <w:t xml:space="preserve"> </w:t>
      </w:r>
    </w:p>
    <w:p w14:paraId="3ABDBB4C" w14:textId="3C9E7947" w:rsidR="001A5431" w:rsidRDefault="001A5431" w:rsidP="001A5431">
      <w:r>
        <w:t xml:space="preserve">Recurrent maintenance and capital maintenance are the major drivers of this difference in cost, with recurrent maintenance costs estimated to </w:t>
      </w:r>
      <w:r w:rsidR="00E44CCE">
        <w:t>be 3</w:t>
      </w:r>
      <w:r>
        <w:t xml:space="preserve"> times higher in remote Indigenous housing than mainstream public housing, and capital mainte</w:t>
      </w:r>
      <w:r w:rsidR="00E44CCE">
        <w:t>nance costs estimated to be 15</w:t>
      </w:r>
      <w:r>
        <w:t xml:space="preserve"> times higher in one jurisdiction. </w:t>
      </w:r>
    </w:p>
    <w:p w14:paraId="35C664EB" w14:textId="77777777" w:rsidR="003C2835" w:rsidRDefault="003C2835" w:rsidP="00B22811">
      <w:pPr>
        <w:pStyle w:val="Figure"/>
      </w:pPr>
      <w:bookmarkStart w:id="51" w:name="_Ref475911741"/>
    </w:p>
    <w:p w14:paraId="6A25603C" w14:textId="77777777" w:rsidR="003C2835" w:rsidRDefault="003C2835" w:rsidP="00B22811">
      <w:pPr>
        <w:pStyle w:val="Figure"/>
      </w:pPr>
    </w:p>
    <w:p w14:paraId="36E9DB4D" w14:textId="77777777" w:rsidR="003C2835" w:rsidRDefault="003C2835" w:rsidP="00B22811">
      <w:pPr>
        <w:pStyle w:val="Figure"/>
      </w:pPr>
    </w:p>
    <w:p w14:paraId="448EFC54" w14:textId="77777777" w:rsidR="003C2835" w:rsidRDefault="003C2835" w:rsidP="00B22811">
      <w:pPr>
        <w:pStyle w:val="Figure"/>
      </w:pPr>
    </w:p>
    <w:p w14:paraId="1BC712E6" w14:textId="259BBF30" w:rsidR="005757C4" w:rsidRDefault="00E45063" w:rsidP="00B22811">
      <w:pPr>
        <w:pStyle w:val="Figure"/>
      </w:pPr>
      <w:bookmarkStart w:id="52" w:name="_Ref486941684"/>
      <w:bookmarkStart w:id="53" w:name="Figure6Return"/>
      <w:r>
        <w:lastRenderedPageBreak/>
        <w:t xml:space="preserve">Figure </w:t>
      </w:r>
      <w:fldSimple w:instr=" SEQ Figure \* ARABIC ">
        <w:r w:rsidR="004A1B2E">
          <w:rPr>
            <w:noProof/>
          </w:rPr>
          <w:t>6</w:t>
        </w:r>
      </w:fldSimple>
      <w:bookmarkEnd w:id="51"/>
      <w:bookmarkEnd w:id="52"/>
      <w:bookmarkEnd w:id="53"/>
      <w:r>
        <w:t xml:space="preserve">: </w:t>
      </w:r>
      <w:r w:rsidR="00A41C01">
        <w:t>Revenue-cost shortfall</w:t>
      </w:r>
      <w:r>
        <w:t xml:space="preserve"> </w:t>
      </w:r>
      <w:r w:rsidR="00A41C01">
        <w:t>(</w:t>
      </w:r>
      <w:r>
        <w:t xml:space="preserve">per </w:t>
      </w:r>
      <w:r w:rsidR="00A41C01">
        <w:t>dwelling)</w:t>
      </w:r>
      <w:r>
        <w:t xml:space="preserve"> </w:t>
      </w:r>
      <w:r w:rsidR="00A41C01">
        <w:t>–</w:t>
      </w:r>
      <w:r>
        <w:t xml:space="preserve"> </w:t>
      </w:r>
      <w:r w:rsidR="00A41C01">
        <w:t>breakdown of difference in shortfall between public housing and NPARIH</w:t>
      </w:r>
      <w:r>
        <w:rPr>
          <w:rStyle w:val="FootnoteReference"/>
        </w:rPr>
        <w:footnoteReference w:id="10"/>
      </w:r>
    </w:p>
    <w:p w14:paraId="3F2CD58D" w14:textId="77777777" w:rsidR="00B91C09" w:rsidRDefault="005757C4" w:rsidP="00E45063">
      <w:pPr>
        <w:pStyle w:val="Caption"/>
      </w:pPr>
      <w:r>
        <w:rPr>
          <w:noProof/>
        </w:rPr>
        <w:drawing>
          <wp:inline distT="0" distB="0" distL="0" distR="0" wp14:anchorId="4A40E92A" wp14:editId="373DDD21">
            <wp:extent cx="4050355" cy="333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3145" cy="3338121"/>
                    </a:xfrm>
                    <a:prstGeom prst="rect">
                      <a:avLst/>
                    </a:prstGeom>
                    <a:noFill/>
                  </pic:spPr>
                </pic:pic>
              </a:graphicData>
            </a:graphic>
          </wp:inline>
        </w:drawing>
      </w:r>
    </w:p>
    <w:p w14:paraId="231FE94E" w14:textId="391C04DB" w:rsidR="002D4AB9" w:rsidRPr="000510EE" w:rsidRDefault="007900B6" w:rsidP="002E6B2F">
      <w:r>
        <w:t xml:space="preserve">View the </w:t>
      </w:r>
      <w:hyperlink w:anchor="Figure6" w:history="1">
        <w:r w:rsidRPr="007900B6">
          <w:rPr>
            <w:rStyle w:val="Hyperlink"/>
          </w:rPr>
          <w:t>text version for Figure 6</w:t>
        </w:r>
      </w:hyperlink>
      <w:r>
        <w:t>.</w:t>
      </w:r>
    </w:p>
    <w:p w14:paraId="36094D74" w14:textId="77777777" w:rsidR="00E8795C" w:rsidRDefault="00E8795C" w:rsidP="00E8795C">
      <w:pPr>
        <w:pStyle w:val="Heading1"/>
      </w:pPr>
      <w:bookmarkStart w:id="54" w:name="_Toc475447310"/>
      <w:bookmarkStart w:id="55" w:name="_Toc475982697"/>
      <w:bookmarkStart w:id="56" w:name="_Toc475990751"/>
      <w:bookmarkStart w:id="57" w:name="_Toc480791430"/>
      <w:bookmarkStart w:id="58" w:name="_Ref474831876"/>
      <w:r>
        <w:t xml:space="preserve">The key drivers of cost are </w:t>
      </w:r>
      <w:r w:rsidR="00CB0FEC">
        <w:t>remoteness</w:t>
      </w:r>
      <w:r>
        <w:t xml:space="preserve"> and emergency maintenance activities</w:t>
      </w:r>
      <w:bookmarkEnd w:id="54"/>
      <w:bookmarkEnd w:id="55"/>
      <w:bookmarkEnd w:id="56"/>
      <w:bookmarkEnd w:id="57"/>
    </w:p>
    <w:p w14:paraId="1DED1CB5" w14:textId="77777777" w:rsidR="003D5174" w:rsidRDefault="00164223" w:rsidP="003D5174">
      <w:pPr>
        <w:pStyle w:val="Heading2"/>
      </w:pPr>
      <w:bookmarkStart w:id="59" w:name="_Toc475982698"/>
      <w:bookmarkStart w:id="60" w:name="_Toc475990752"/>
      <w:bookmarkStart w:id="61" w:name="_Toc480791431"/>
      <w:r>
        <w:t xml:space="preserve">Maintenance costs </w:t>
      </w:r>
      <w:r w:rsidR="003D5174">
        <w:t xml:space="preserve">are </w:t>
      </w:r>
      <w:r>
        <w:t xml:space="preserve">highly </w:t>
      </w:r>
      <w:r w:rsidR="003D5174">
        <w:t>variable within NPARIH</w:t>
      </w:r>
      <w:bookmarkEnd w:id="59"/>
      <w:bookmarkEnd w:id="60"/>
      <w:bookmarkEnd w:id="61"/>
    </w:p>
    <w:p w14:paraId="69514D06" w14:textId="5AB76830" w:rsidR="002337A8" w:rsidRDefault="003D5174" w:rsidP="002337A8">
      <w:r>
        <w:t xml:space="preserve">In addition to being significantly higher than mainstream public housing, the cost of repair and maintenance activities is also highly variable within </w:t>
      </w:r>
      <w:r w:rsidRPr="00164223">
        <w:t>NPARIH</w:t>
      </w:r>
      <w:r w:rsidR="007C56C5" w:rsidRPr="00164223">
        <w:t>.</w:t>
      </w:r>
      <w:r w:rsidR="005867F3" w:rsidRPr="00164223">
        <w:t xml:space="preserve"> This is evident in</w:t>
      </w:r>
      <w:r w:rsidR="008371AB">
        <w:t xml:space="preserve"> </w:t>
      </w:r>
      <w:r w:rsidR="008371AB">
        <w:fldChar w:fldCharType="begin"/>
      </w:r>
      <w:r w:rsidR="008371AB">
        <w:instrText xml:space="preserve"> REF _Ref486941711 \h </w:instrText>
      </w:r>
      <w:r w:rsidR="008371AB">
        <w:fldChar w:fldCharType="separate"/>
      </w:r>
      <w:r w:rsidR="004A1B2E">
        <w:t xml:space="preserve">Figure </w:t>
      </w:r>
      <w:r w:rsidR="004A1B2E">
        <w:rPr>
          <w:noProof/>
        </w:rPr>
        <w:t>7</w:t>
      </w:r>
      <w:r w:rsidR="008371AB">
        <w:fldChar w:fldCharType="end"/>
      </w:r>
      <w:r w:rsidR="005867F3" w:rsidRPr="00164223">
        <w:t>,</w:t>
      </w:r>
      <w:r w:rsidR="005867F3">
        <w:t xml:space="preserve"> with a high level of variability across all six maintenance and repair activities</w:t>
      </w:r>
      <w:r w:rsidR="001653C0">
        <w:t>, plotted on an exponential scale</w:t>
      </w:r>
      <w:r w:rsidR="005867F3">
        <w:t>.</w:t>
      </w:r>
    </w:p>
    <w:p w14:paraId="5257705F" w14:textId="6F04C1B5" w:rsidR="00DC181C" w:rsidRDefault="00765072" w:rsidP="002337A8">
      <w:r>
        <w:t>On comparable data points</w:t>
      </w:r>
      <w:r w:rsidR="00F636CA">
        <w:t xml:space="preserve"> (specifically for stove replacements)</w:t>
      </w:r>
      <w:r>
        <w:t>, the cost of specific repair and maintenance activities</w:t>
      </w:r>
      <w:r w:rsidR="00E06A26">
        <w:t xml:space="preserve"> identified in this analysis</w:t>
      </w:r>
      <w:r>
        <w:t xml:space="preserve"> </w:t>
      </w:r>
      <w:r w:rsidR="00E06A26">
        <w:t>lies within a simi</w:t>
      </w:r>
      <w:r w:rsidR="00A8735D">
        <w:t xml:space="preserve">lar range of those estimated </w:t>
      </w:r>
      <w:r w:rsidR="008A6C3A">
        <w:t>by AHURI</w:t>
      </w:r>
      <w:r w:rsidR="008A6C3A">
        <w:rPr>
          <w:rStyle w:val="FootnoteReference"/>
        </w:rPr>
        <w:footnoteReference w:id="11"/>
      </w:r>
      <w:r w:rsidR="008A6C3A">
        <w:t>.</w:t>
      </w:r>
    </w:p>
    <w:p w14:paraId="542E75C6" w14:textId="460B1C1D" w:rsidR="00B55732" w:rsidRDefault="001653C0" w:rsidP="0055594C">
      <w:r>
        <w:t>The major drivers of this variability and the extent of their controllability are explored in detail in the sections that follow.</w:t>
      </w:r>
      <w:bookmarkStart w:id="62" w:name="_Ref475911828"/>
    </w:p>
    <w:p w14:paraId="409CF910" w14:textId="56F505C7" w:rsidR="003E274B" w:rsidRDefault="003E274B" w:rsidP="00B55732">
      <w:pPr>
        <w:pStyle w:val="Figure"/>
        <w:jc w:val="left"/>
      </w:pPr>
      <w:bookmarkStart w:id="63" w:name="_Ref486941711"/>
      <w:bookmarkStart w:id="64" w:name="Figure7Return"/>
      <w:r>
        <w:t xml:space="preserve">Figure </w:t>
      </w:r>
      <w:fldSimple w:instr=" SEQ Figure \* ARABIC ">
        <w:r w:rsidR="004A1B2E">
          <w:rPr>
            <w:noProof/>
          </w:rPr>
          <w:t>7</w:t>
        </w:r>
      </w:fldSimple>
      <w:bookmarkEnd w:id="62"/>
      <w:bookmarkEnd w:id="63"/>
      <w:bookmarkEnd w:id="64"/>
      <w:r>
        <w:t>: Cost distribution of selected maintenance and repair items in NPARIH communities</w:t>
      </w:r>
    </w:p>
    <w:p w14:paraId="610BA7C3" w14:textId="77777777" w:rsidR="00DC181C" w:rsidRPr="00430597" w:rsidRDefault="00DC181C" w:rsidP="00DC181C">
      <w:pPr>
        <w:pStyle w:val="Figure"/>
      </w:pPr>
      <w:r>
        <w:rPr>
          <w:noProof/>
        </w:rPr>
        <w:lastRenderedPageBreak/>
        <w:drawing>
          <wp:inline distT="0" distB="0" distL="0" distR="0" wp14:anchorId="5B5911E7" wp14:editId="0310BFBC">
            <wp:extent cx="5577541" cy="40066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4546" cy="4011681"/>
                    </a:xfrm>
                    <a:prstGeom prst="rect">
                      <a:avLst/>
                    </a:prstGeom>
                    <a:noFill/>
                  </pic:spPr>
                </pic:pic>
              </a:graphicData>
            </a:graphic>
          </wp:inline>
        </w:drawing>
      </w:r>
    </w:p>
    <w:p w14:paraId="5F6EA7CF" w14:textId="4F45762C" w:rsidR="0055594C" w:rsidRPr="000510EE" w:rsidRDefault="007900B6" w:rsidP="008D6EC7">
      <w:bookmarkStart w:id="65" w:name="_Toc475447311"/>
      <w:bookmarkStart w:id="66" w:name="_Toc475982699"/>
      <w:bookmarkStart w:id="67" w:name="_Toc475990753"/>
      <w:bookmarkStart w:id="68" w:name="_Toc480791432"/>
      <w:r>
        <w:t xml:space="preserve">View the </w:t>
      </w:r>
      <w:hyperlink w:anchor="Figure7" w:history="1">
        <w:r w:rsidRPr="007900B6">
          <w:rPr>
            <w:rStyle w:val="Hyperlink"/>
          </w:rPr>
          <w:t>text version for Figure 7.</w:t>
        </w:r>
      </w:hyperlink>
    </w:p>
    <w:p w14:paraId="172FD296" w14:textId="77777777" w:rsidR="00427A78" w:rsidRDefault="00CB0FEC" w:rsidP="00F73D40">
      <w:pPr>
        <w:pStyle w:val="Heading2"/>
      </w:pPr>
      <w:r>
        <w:t>J</w:t>
      </w:r>
      <w:r w:rsidR="00427A78">
        <w:t xml:space="preserve">urisdictions </w:t>
      </w:r>
      <w:r>
        <w:t>have a strong sense of</w:t>
      </w:r>
      <w:r w:rsidR="00427A78">
        <w:t xml:space="preserve"> which costs are controllable and uncontrollable</w:t>
      </w:r>
      <w:bookmarkEnd w:id="65"/>
      <w:bookmarkEnd w:id="66"/>
      <w:bookmarkEnd w:id="67"/>
      <w:bookmarkEnd w:id="68"/>
    </w:p>
    <w:p w14:paraId="20AE89CE" w14:textId="77777777" w:rsidR="00427A78" w:rsidRDefault="00427A78" w:rsidP="00427A78">
      <w:r>
        <w:t>The high cost of delivery of remote Indigenous housing is driven by a number of factors, varying in their relative size and significance and ranging from directly controllable to entirely uncontrollable.</w:t>
      </w:r>
    </w:p>
    <w:p w14:paraId="62E957FC" w14:textId="61CE9A1B" w:rsidR="00427A78" w:rsidRDefault="00427A78" w:rsidP="00427A78">
      <w:r>
        <w:t>For the purpose of this analysis, the various drivers of cost have been approached using a framework of classification under three levels of ‘controllability’:</w:t>
      </w:r>
    </w:p>
    <w:p w14:paraId="2CE14892" w14:textId="77777777" w:rsidR="00427A78" w:rsidRDefault="00427A78" w:rsidP="00427A78">
      <w:pPr>
        <w:pStyle w:val="Bullet"/>
      </w:pPr>
      <w:r>
        <w:t>Entirely uncontrollable exogenous factors</w:t>
      </w:r>
    </w:p>
    <w:p w14:paraId="59A9E3B3" w14:textId="77777777" w:rsidR="00427A78" w:rsidRDefault="00427A78" w:rsidP="00427A78">
      <w:pPr>
        <w:pStyle w:val="Bullet"/>
      </w:pPr>
      <w:r>
        <w:t>Factors directly controllable under the chosen Property and Tenancy Management Approach</w:t>
      </w:r>
    </w:p>
    <w:p w14:paraId="659141FC" w14:textId="77777777" w:rsidR="00427A78" w:rsidRDefault="00427A78" w:rsidP="00427A78">
      <w:pPr>
        <w:pStyle w:val="Bullet"/>
      </w:pPr>
      <w:r>
        <w:t>Other factors, over which jurisdictions and service providers have some level of control, but are not directly under the influence of the chosen PTM approach.</w:t>
      </w:r>
    </w:p>
    <w:p w14:paraId="14B6D992" w14:textId="448A0261" w:rsidR="00E12AE6" w:rsidRDefault="001D2996" w:rsidP="000314E1">
      <w:pPr>
        <w:pStyle w:val="Figure"/>
        <w:jc w:val="left"/>
      </w:pPr>
      <w:r>
        <w:t>The key cost drivers identified by jurisdictions</w:t>
      </w:r>
      <w:r w:rsidR="00A77D7B">
        <w:t xml:space="preserve"> under each of the three levels of ‘controllability’ are </w:t>
      </w:r>
      <w:r w:rsidR="00A77D7B" w:rsidRPr="003D5174">
        <w:t>provided in</w:t>
      </w:r>
      <w:r w:rsidR="003D5174">
        <w:t xml:space="preserve"> </w:t>
      </w:r>
      <w:r w:rsidR="00E12AE6">
        <w:t xml:space="preserve">Table 2 </w:t>
      </w:r>
      <w:r w:rsidR="003D5174">
        <w:t>below</w:t>
      </w:r>
      <w:r w:rsidR="00A77D7B" w:rsidRPr="003D5174">
        <w:t xml:space="preserve">. </w:t>
      </w:r>
      <w:r w:rsidR="008A6C3A">
        <w:t>The various drivers were</w:t>
      </w:r>
      <w:r w:rsidR="00C82439">
        <w:t xml:space="preserve"> identified and</w:t>
      </w:r>
      <w:r w:rsidR="008A6C3A">
        <w:t xml:space="preserve"> explored in the workshop with all jurisdictions in January 2017. </w:t>
      </w:r>
      <w:r w:rsidR="00427A78" w:rsidRPr="003D5174">
        <w:t>Each of these</w:t>
      </w:r>
      <w:r w:rsidR="00427A78">
        <w:t xml:space="preserve"> classifications is explored in turn in the sections below.</w:t>
      </w:r>
      <w:bookmarkStart w:id="69" w:name="_Ref475912118"/>
      <w:bookmarkStart w:id="70" w:name="_Ref475912104"/>
      <w:bookmarkStart w:id="71" w:name="_Ref486941735"/>
    </w:p>
    <w:p w14:paraId="00E0A0EB" w14:textId="77777777" w:rsidR="000314E1" w:rsidRPr="000314E1" w:rsidRDefault="000314E1" w:rsidP="000314E1"/>
    <w:p w14:paraId="5BD85072" w14:textId="01102975" w:rsidR="003E274B" w:rsidRDefault="003E274B" w:rsidP="008371AB">
      <w:pPr>
        <w:pStyle w:val="Figure"/>
      </w:pPr>
      <w:r>
        <w:t xml:space="preserve">Table </w:t>
      </w:r>
      <w:fldSimple w:instr=" SEQ Table \* ARABIC ">
        <w:r w:rsidR="004A1B2E">
          <w:rPr>
            <w:noProof/>
          </w:rPr>
          <w:t>2</w:t>
        </w:r>
      </w:fldSimple>
      <w:bookmarkEnd w:id="69"/>
      <w:r>
        <w:t>: 'Lev</w:t>
      </w:r>
      <w:r w:rsidR="00FE036C">
        <w:t>el of control' framework for NPARI</w:t>
      </w:r>
      <w:r>
        <w:t>H cost drivers</w:t>
      </w:r>
      <w:bookmarkEnd w:id="70"/>
      <w:bookmarkEnd w:id="71"/>
    </w:p>
    <w:tbl>
      <w:tblPr>
        <w:tblStyle w:val="NousTable"/>
        <w:tblW w:w="5000" w:type="pct"/>
        <w:tblLook w:val="0420" w:firstRow="1" w:lastRow="0" w:firstColumn="0" w:lastColumn="0" w:noHBand="0" w:noVBand="1"/>
        <w:tblCaption w:val="Table 2: 'Level of control' framework for NPARIH cost drivers"/>
      </w:tblPr>
      <w:tblGrid>
        <w:gridCol w:w="1758"/>
        <w:gridCol w:w="7313"/>
      </w:tblGrid>
      <w:tr w:rsidR="0072298E" w14:paraId="550FA704" w14:textId="77777777" w:rsidTr="00F325D9">
        <w:trPr>
          <w:cnfStyle w:val="100000000000" w:firstRow="1" w:lastRow="0" w:firstColumn="0" w:lastColumn="0" w:oddVBand="0" w:evenVBand="0" w:oddHBand="0" w:evenHBand="0" w:firstRowFirstColumn="0" w:firstRowLastColumn="0" w:lastRowFirstColumn="0" w:lastRowLastColumn="0"/>
        </w:trPr>
        <w:tc>
          <w:tcPr>
            <w:tcW w:w="969" w:type="pct"/>
          </w:tcPr>
          <w:p w14:paraId="14931B47" w14:textId="77777777" w:rsidR="0072298E" w:rsidRDefault="00164223" w:rsidP="00F325D9">
            <w:pPr>
              <w:pStyle w:val="TableNHeader"/>
            </w:pPr>
            <w:r>
              <w:lastRenderedPageBreak/>
              <w:t>C</w:t>
            </w:r>
            <w:r w:rsidR="00964C5D">
              <w:t>lassification</w:t>
            </w:r>
          </w:p>
        </w:tc>
        <w:tc>
          <w:tcPr>
            <w:tcW w:w="4031" w:type="pct"/>
          </w:tcPr>
          <w:p w14:paraId="6A8A41EA" w14:textId="77777777" w:rsidR="0072298E" w:rsidRDefault="008378FD" w:rsidP="00F325D9">
            <w:pPr>
              <w:pStyle w:val="TableNHeader"/>
            </w:pPr>
            <w:r>
              <w:t>Drivers</w:t>
            </w:r>
          </w:p>
        </w:tc>
      </w:tr>
      <w:tr w:rsidR="0072298E" w14:paraId="6D49305B" w14:textId="77777777" w:rsidTr="00F325D9">
        <w:tc>
          <w:tcPr>
            <w:tcW w:w="969" w:type="pct"/>
          </w:tcPr>
          <w:p w14:paraId="54872BB4" w14:textId="77777777" w:rsidR="0072298E" w:rsidRDefault="00A77D7B" w:rsidP="008378FD">
            <w:pPr>
              <w:pStyle w:val="TableNText"/>
            </w:pPr>
            <w:r>
              <w:t>Uncontrollable factors</w:t>
            </w:r>
          </w:p>
        </w:tc>
        <w:tc>
          <w:tcPr>
            <w:tcW w:w="4031" w:type="pct"/>
          </w:tcPr>
          <w:p w14:paraId="60A47DC4" w14:textId="77777777" w:rsidR="008378FD" w:rsidRDefault="008378FD" w:rsidP="00164223">
            <w:pPr>
              <w:pStyle w:val="TableNBullet"/>
            </w:pPr>
            <w:r>
              <w:t>Location characteristics</w:t>
            </w:r>
            <w:r w:rsidR="00164223">
              <w:t>, including:</w:t>
            </w:r>
          </w:p>
          <w:p w14:paraId="2179BF31" w14:textId="77777777" w:rsidR="00164223" w:rsidRDefault="00164223" w:rsidP="00164223">
            <w:pPr>
              <w:pStyle w:val="TableNBullet"/>
              <w:numPr>
                <w:ilvl w:val="1"/>
                <w:numId w:val="7"/>
              </w:numPr>
            </w:pPr>
            <w:r>
              <w:t>Extreme weather conditions, leading to increased maintenance costs and accelerated deterioration of properties</w:t>
            </w:r>
          </w:p>
          <w:p w14:paraId="56A87F5C" w14:textId="77777777" w:rsidR="00164223" w:rsidRDefault="00164223" w:rsidP="00164223">
            <w:pPr>
              <w:pStyle w:val="TableNBullet"/>
              <w:numPr>
                <w:ilvl w:val="1"/>
                <w:numId w:val="7"/>
              </w:numPr>
            </w:pPr>
            <w:r>
              <w:t>Remoteness, including long distances from services and increased travel time for maintenance and repair activities.</w:t>
            </w:r>
          </w:p>
          <w:p w14:paraId="192ACDFB" w14:textId="4BACFA62" w:rsidR="00164223" w:rsidRDefault="008378FD" w:rsidP="00164223">
            <w:pPr>
              <w:pStyle w:val="TableNBullet"/>
            </w:pPr>
            <w:r>
              <w:t>Community size</w:t>
            </w:r>
            <w:r w:rsidR="00164223">
              <w:t xml:space="preserve">, including the availability and level of service </w:t>
            </w:r>
            <w:r w:rsidR="00BD0DF1">
              <w:t>from local providers</w:t>
            </w:r>
            <w:r w:rsidR="00164223">
              <w:t xml:space="preserve"> and </w:t>
            </w:r>
            <w:r w:rsidR="00BD0DF1">
              <w:t xml:space="preserve">the level </w:t>
            </w:r>
            <w:r w:rsidR="00164223">
              <w:t>market competition</w:t>
            </w:r>
          </w:p>
          <w:p w14:paraId="1A2CDCB2" w14:textId="77777777" w:rsidR="008378FD" w:rsidRDefault="008378FD" w:rsidP="00164223">
            <w:pPr>
              <w:pStyle w:val="TableNBullet"/>
            </w:pPr>
            <w:r>
              <w:t>C</w:t>
            </w:r>
            <w:r w:rsidR="006F3EB6">
              <w:t>ultural factors</w:t>
            </w:r>
            <w:r w:rsidR="00164223">
              <w:t xml:space="preserve">, including: </w:t>
            </w:r>
          </w:p>
          <w:p w14:paraId="461B4938" w14:textId="77777777" w:rsidR="00164223" w:rsidRDefault="00164223" w:rsidP="00164223">
            <w:pPr>
              <w:pStyle w:val="TableNBullet"/>
              <w:numPr>
                <w:ilvl w:val="1"/>
                <w:numId w:val="7"/>
              </w:numPr>
            </w:pPr>
            <w:r>
              <w:t xml:space="preserve">Home maintenance practices </w:t>
            </w:r>
          </w:p>
          <w:p w14:paraId="1FD4B7CC" w14:textId="77777777" w:rsidR="00164223" w:rsidRDefault="00164223" w:rsidP="00164223">
            <w:pPr>
              <w:pStyle w:val="TableNBullet"/>
              <w:numPr>
                <w:ilvl w:val="1"/>
                <w:numId w:val="7"/>
              </w:numPr>
            </w:pPr>
            <w:r>
              <w:t>Overcrowding and transient populations</w:t>
            </w:r>
          </w:p>
          <w:p w14:paraId="3E9BC767" w14:textId="77777777" w:rsidR="00164223" w:rsidRDefault="00164223" w:rsidP="00164223">
            <w:pPr>
              <w:pStyle w:val="TableNBullet"/>
              <w:numPr>
                <w:ilvl w:val="1"/>
                <w:numId w:val="7"/>
              </w:numPr>
            </w:pPr>
            <w:r>
              <w:t>Culturally sensitive locations limiting construction and maintenance activities</w:t>
            </w:r>
          </w:p>
          <w:p w14:paraId="793DA064" w14:textId="77777777" w:rsidR="008378FD" w:rsidRDefault="008378FD" w:rsidP="00164223">
            <w:pPr>
              <w:pStyle w:val="TableNBullet"/>
            </w:pPr>
            <w:r>
              <w:t>Infrastructure</w:t>
            </w:r>
            <w:r w:rsidR="00164223">
              <w:t>, including:</w:t>
            </w:r>
          </w:p>
          <w:p w14:paraId="4C3F24B2" w14:textId="77777777" w:rsidR="00164223" w:rsidRDefault="00164223" w:rsidP="00164223">
            <w:pPr>
              <w:pStyle w:val="TableNBullet"/>
              <w:numPr>
                <w:ilvl w:val="1"/>
                <w:numId w:val="7"/>
              </w:numPr>
            </w:pPr>
            <w:r>
              <w:t>Quality of plumbing, drainage and other infrastructure</w:t>
            </w:r>
          </w:p>
          <w:p w14:paraId="2D6FB0FC" w14:textId="77777777" w:rsidR="00164223" w:rsidRDefault="00164223" w:rsidP="00164223">
            <w:pPr>
              <w:pStyle w:val="TableNBullet"/>
              <w:numPr>
                <w:ilvl w:val="1"/>
                <w:numId w:val="7"/>
              </w:numPr>
            </w:pPr>
            <w:r>
              <w:t>Water quality (and its effect on housing assets)</w:t>
            </w:r>
          </w:p>
          <w:p w14:paraId="1EEBA7F2" w14:textId="77777777" w:rsidR="00921E00" w:rsidRDefault="008378FD" w:rsidP="00921E00">
            <w:pPr>
              <w:pStyle w:val="TableNBullet"/>
            </w:pPr>
            <w:r>
              <w:t>Land tenure</w:t>
            </w:r>
            <w:r w:rsidR="00164223">
              <w:t xml:space="preserve"> associated with native title and traditional land ownership issues</w:t>
            </w:r>
            <w:r w:rsidR="00921E00" w:rsidRPr="00B641EC">
              <w:t xml:space="preserve"> </w:t>
            </w:r>
          </w:p>
          <w:p w14:paraId="30E571BD" w14:textId="7EDA7FEE" w:rsidR="0072298E" w:rsidRDefault="00921E00" w:rsidP="00921E00">
            <w:pPr>
              <w:pStyle w:val="TableNBullet"/>
            </w:pPr>
            <w:r w:rsidRPr="00921E00">
              <w:t>Procurement model</w:t>
            </w:r>
          </w:p>
        </w:tc>
      </w:tr>
      <w:tr w:rsidR="0072298E" w14:paraId="64A44DFE" w14:textId="77777777" w:rsidTr="00F325D9">
        <w:tc>
          <w:tcPr>
            <w:tcW w:w="969" w:type="pct"/>
          </w:tcPr>
          <w:p w14:paraId="2BD104F3" w14:textId="77777777" w:rsidR="0072298E" w:rsidRDefault="00A77D7B" w:rsidP="008378FD">
            <w:pPr>
              <w:pStyle w:val="TableNText"/>
            </w:pPr>
            <w:r>
              <w:t>Factors controllable under PTM approach</w:t>
            </w:r>
          </w:p>
        </w:tc>
        <w:tc>
          <w:tcPr>
            <w:tcW w:w="4031" w:type="pct"/>
          </w:tcPr>
          <w:p w14:paraId="0CB7BBB7" w14:textId="77777777" w:rsidR="008378FD" w:rsidRDefault="008378FD" w:rsidP="008378FD">
            <w:pPr>
              <w:pStyle w:val="TableNBullet"/>
            </w:pPr>
            <w:r>
              <w:t>Frequency of maintenance</w:t>
            </w:r>
          </w:p>
          <w:p w14:paraId="7FA9225C" w14:textId="77777777" w:rsidR="008378FD" w:rsidRDefault="008378FD" w:rsidP="008378FD">
            <w:pPr>
              <w:pStyle w:val="TableNBullet"/>
            </w:pPr>
            <w:r>
              <w:t>P</w:t>
            </w:r>
            <w:r w:rsidR="006F3EB6">
              <w:t xml:space="preserve">roactive vs reactive </w:t>
            </w:r>
            <w:r>
              <w:t>maintenance decisions</w:t>
            </w:r>
          </w:p>
          <w:p w14:paraId="16981D2F" w14:textId="77777777" w:rsidR="0072298E" w:rsidRDefault="008378FD" w:rsidP="008378FD">
            <w:pPr>
              <w:pStyle w:val="TableNBullet"/>
            </w:pPr>
            <w:r>
              <w:t>Refurbishment vs replacement decisions</w:t>
            </w:r>
          </w:p>
        </w:tc>
      </w:tr>
      <w:tr w:rsidR="0072298E" w14:paraId="78BD174C" w14:textId="77777777" w:rsidTr="00F325D9">
        <w:tc>
          <w:tcPr>
            <w:tcW w:w="969" w:type="pct"/>
          </w:tcPr>
          <w:p w14:paraId="0E50F2C7" w14:textId="77777777" w:rsidR="0072298E" w:rsidRDefault="00A77D7B" w:rsidP="008378FD">
            <w:pPr>
              <w:pStyle w:val="TableNText"/>
            </w:pPr>
            <w:r>
              <w:t>Other factors (some level of control)</w:t>
            </w:r>
          </w:p>
        </w:tc>
        <w:tc>
          <w:tcPr>
            <w:tcW w:w="4031" w:type="pct"/>
          </w:tcPr>
          <w:p w14:paraId="5622BACA" w14:textId="77777777" w:rsidR="008378FD" w:rsidRPr="00B910F5" w:rsidRDefault="008378FD" w:rsidP="008378FD">
            <w:pPr>
              <w:pStyle w:val="TableNBullet"/>
            </w:pPr>
            <w:r w:rsidRPr="00B910F5">
              <w:t>Build decisions (design and materials</w:t>
            </w:r>
            <w:r>
              <w:t>)</w:t>
            </w:r>
          </w:p>
          <w:p w14:paraId="0D64CD8C" w14:textId="77777777" w:rsidR="008378FD" w:rsidRPr="00B910F5" w:rsidRDefault="008378FD" w:rsidP="008378FD">
            <w:pPr>
              <w:pStyle w:val="TableNBullet"/>
            </w:pPr>
            <w:r w:rsidRPr="00B910F5">
              <w:t>Standard of service</w:t>
            </w:r>
          </w:p>
          <w:p w14:paraId="6F2E387E" w14:textId="77777777" w:rsidR="008378FD" w:rsidRPr="008378FD" w:rsidRDefault="008378FD" w:rsidP="008378FD">
            <w:pPr>
              <w:pStyle w:val="TableNBullet"/>
            </w:pPr>
            <w:r w:rsidRPr="008378FD">
              <w:t>Tenant behaviour</w:t>
            </w:r>
          </w:p>
          <w:p w14:paraId="5B3A224C" w14:textId="77777777" w:rsidR="008378FD" w:rsidRPr="00C82009" w:rsidRDefault="008378FD" w:rsidP="008378FD">
            <w:pPr>
              <w:pStyle w:val="TableNBullet"/>
            </w:pPr>
            <w:r>
              <w:t>Transport decisions</w:t>
            </w:r>
          </w:p>
          <w:p w14:paraId="6042A66F" w14:textId="77777777" w:rsidR="008378FD" w:rsidRPr="008378FD" w:rsidRDefault="008378FD" w:rsidP="008378FD">
            <w:pPr>
              <w:pStyle w:val="TableNBullet"/>
            </w:pPr>
            <w:r w:rsidRPr="00B641EC">
              <w:t xml:space="preserve">Contract scale </w:t>
            </w:r>
          </w:p>
          <w:p w14:paraId="77F7CE95" w14:textId="77777777" w:rsidR="0072298E" w:rsidRDefault="008378FD" w:rsidP="008378FD">
            <w:pPr>
              <w:pStyle w:val="TableNBullet"/>
            </w:pPr>
            <w:r w:rsidRPr="00B641EC">
              <w:t>Local/indigenous participation requirement</w:t>
            </w:r>
          </w:p>
        </w:tc>
      </w:tr>
      <w:bookmarkEnd w:id="58"/>
    </w:tbl>
    <w:p w14:paraId="0933B17A" w14:textId="77777777" w:rsidR="002C6173" w:rsidRDefault="002C6173" w:rsidP="002C6173"/>
    <w:p w14:paraId="1F2C5A55" w14:textId="1ED9E454" w:rsidR="002C6173" w:rsidRDefault="000C2B56" w:rsidP="00987923">
      <w:pPr>
        <w:pStyle w:val="Figure"/>
        <w:jc w:val="left"/>
        <w:rPr>
          <w:noProof/>
        </w:rPr>
      </w:pPr>
      <w:r>
        <w:t>As shown in</w:t>
      </w:r>
      <w:r w:rsidR="00B451A7">
        <w:t xml:space="preserve"> Table 2</w:t>
      </w:r>
      <w:r>
        <w:t>, t</w:t>
      </w:r>
      <w:r w:rsidR="002C6173">
        <w:t xml:space="preserve">here are factors directly under the control of jurisdictions’ PTM approaches which affect annual repair and maintenance costs in remote Indigenous communities. In particular, the way in which repair and maintenance jobs are planned and bundled, was identified by jurisdictions as a major driver of cost. Repair and maintenance items can be largely considered as being either </w:t>
      </w:r>
      <w:r w:rsidR="002C6173" w:rsidRPr="00DF7E5A">
        <w:rPr>
          <w:i/>
        </w:rPr>
        <w:t>reactive</w:t>
      </w:r>
      <w:r w:rsidR="002C6173">
        <w:t xml:space="preserve"> or </w:t>
      </w:r>
      <w:r w:rsidR="002C6173" w:rsidRPr="00DF7E5A">
        <w:rPr>
          <w:i/>
        </w:rPr>
        <w:t>proactive</w:t>
      </w:r>
      <w:r w:rsidR="002C6173">
        <w:t>.</w:t>
      </w:r>
    </w:p>
    <w:p w14:paraId="03922D86" w14:textId="77777777" w:rsidR="002C6173" w:rsidRDefault="002C6173" w:rsidP="002C6173">
      <w:r w:rsidRPr="00DF7E5A">
        <w:rPr>
          <w:b/>
        </w:rPr>
        <w:t>Proactive</w:t>
      </w:r>
      <w:r>
        <w:t xml:space="preserve"> repairs and maintenance includes all planned activities. This typically includes annual repair maintenance activities which reduce the risk of damage or improper function of specific items. For the purpose of this analysis, jurisdictions provided an estimate per unit repair cost of selected repair activities for a planned maintenance bundle of 40 jobs.</w:t>
      </w:r>
    </w:p>
    <w:p w14:paraId="19E91B77" w14:textId="5F87F7C7" w:rsidR="002C6173" w:rsidRPr="00C44A55" w:rsidRDefault="002C6173" w:rsidP="002C6173">
      <w:pPr>
        <w:rPr>
          <w:b/>
        </w:rPr>
      </w:pPr>
      <w:r w:rsidRPr="00DF7E5A">
        <w:rPr>
          <w:b/>
        </w:rPr>
        <w:t>Reactive</w:t>
      </w:r>
      <w:r>
        <w:t xml:space="preserve"> repairs and maintenance includes any repair and maintenance </w:t>
      </w:r>
      <w:r w:rsidRPr="00615DF3">
        <w:t>works undertaken following damage or improper function, usually identified by a tenant. For the purpose of this analysis, jurisdictions provided an estimated per-unit cost of selected repair and maintenance activities for</w:t>
      </w:r>
      <w:r>
        <w:t>:</w:t>
      </w:r>
    </w:p>
    <w:p w14:paraId="1ECF5709" w14:textId="77777777" w:rsidR="002C6173" w:rsidRDefault="002C6173" w:rsidP="002C6173">
      <w:pPr>
        <w:pStyle w:val="Bullet"/>
      </w:pPr>
      <w:r>
        <w:lastRenderedPageBreak/>
        <w:t>Responsive maintenance bundle (15 jobs). This includes non-urgent repair and maintenance activities which can be bundled with other jobs.</w:t>
      </w:r>
    </w:p>
    <w:p w14:paraId="134AAD98" w14:textId="546A23F5" w:rsidR="002C6173" w:rsidRDefault="002C6173" w:rsidP="002C6173">
      <w:pPr>
        <w:pStyle w:val="Bullet"/>
      </w:pPr>
      <w:r>
        <w:t>Emergency maintenance activity (1 job). This includes urgent repair and maintenance activities which cannot be delayed for bundling with other jobs</w:t>
      </w:r>
      <w:r w:rsidR="00387D71">
        <w:t>, due to safety or functionality</w:t>
      </w:r>
      <w:r>
        <w:t>.</w:t>
      </w:r>
    </w:p>
    <w:p w14:paraId="32F251F9" w14:textId="77777777" w:rsidR="00CB0FEC" w:rsidRDefault="00CB0FEC" w:rsidP="00CB0FEC">
      <w:pPr>
        <w:pStyle w:val="Heading2"/>
      </w:pPr>
      <w:bookmarkStart w:id="72" w:name="_Toc475982700"/>
      <w:bookmarkStart w:id="73" w:name="_Toc475990754"/>
      <w:bookmarkStart w:id="74" w:name="_Toc480791433"/>
      <w:r>
        <w:t xml:space="preserve">The </w:t>
      </w:r>
      <w:r w:rsidRPr="00CB0FEC">
        <w:t>relationship</w:t>
      </w:r>
      <w:r>
        <w:t>s between remoteness and costs are complex</w:t>
      </w:r>
      <w:bookmarkEnd w:id="72"/>
      <w:bookmarkEnd w:id="73"/>
      <w:bookmarkEnd w:id="74"/>
    </w:p>
    <w:p w14:paraId="153F8850" w14:textId="77777777" w:rsidR="00CB0FEC" w:rsidRDefault="00CB0FEC" w:rsidP="00CB0FEC">
      <w:pPr>
        <w:pStyle w:val="Heading3"/>
      </w:pPr>
      <w:bookmarkStart w:id="75" w:name="_Toc475982701"/>
      <w:bookmarkStart w:id="76" w:name="_Toc475990755"/>
      <w:r>
        <w:t>There are no simple ways to describe the extent of remoteness of a regional Indigenous community</w:t>
      </w:r>
      <w:bookmarkEnd w:id="75"/>
      <w:bookmarkEnd w:id="76"/>
    </w:p>
    <w:p w14:paraId="415D2A26" w14:textId="77777777" w:rsidR="00CB0FEC" w:rsidRDefault="00CB0FEC" w:rsidP="00CB0FEC">
      <w:pPr>
        <w:pStyle w:val="Bullet"/>
        <w:numPr>
          <w:ilvl w:val="0"/>
          <w:numId w:val="0"/>
        </w:numPr>
      </w:pPr>
      <w:r>
        <w:t>The most significant uncontrollable driver of cost in NPARIH is broadly agreed to be the level of remoteness. This is supported by widespread experience within jurisdictions, and borne out in the data collected on mainte</w:t>
      </w:r>
      <w:r w:rsidR="00D264C0">
        <w:t>nance and repair activity costs as detailed later in Section 3.</w:t>
      </w:r>
    </w:p>
    <w:p w14:paraId="2E26B96A" w14:textId="21D34AFE" w:rsidR="00CB0FEC" w:rsidRDefault="00CB0FEC" w:rsidP="00CB0FEC">
      <w:r>
        <w:t xml:space="preserve">In order to fully investigate the effects of remoteness on PTM cost, data collected from jurisdictions included an analysis of the level of remoteness of NPARIH communities. Jurisdictions were asked to provide a sample of communities against four indicative levels of remoteness – Regional Indigenous (non-NPARIH), Remote, Very Remote and Island. </w:t>
      </w:r>
      <w:r w:rsidR="00786F21">
        <w:t>These classifications were included to further provide a more nuanced analysis of the different levels of remoteness than</w:t>
      </w:r>
      <w:r w:rsidR="00BA59A9">
        <w:t xml:space="preserve"> the</w:t>
      </w:r>
      <w:r w:rsidR="00786F21">
        <w:t xml:space="preserve"> standard </w:t>
      </w:r>
      <w:r w:rsidR="00786F21" w:rsidRPr="00786F21">
        <w:t xml:space="preserve">ABS </w:t>
      </w:r>
      <w:r w:rsidR="00786F21">
        <w:t>‘Remoteness Structure’</w:t>
      </w:r>
      <w:r w:rsidR="00786F21" w:rsidRPr="00786F21">
        <w:t xml:space="preserve"> </w:t>
      </w:r>
      <w:r w:rsidR="00786F21">
        <w:t>utilised under the</w:t>
      </w:r>
      <w:r w:rsidR="00786F21" w:rsidRPr="00786F21">
        <w:t xml:space="preserve"> </w:t>
      </w:r>
      <w:hyperlink r:id="rId27" w:history="1">
        <w:r w:rsidR="00786F21" w:rsidRPr="00786F21">
          <w:t>Australian Statistical Geography Standard</w:t>
        </w:r>
      </w:hyperlink>
      <w:r w:rsidR="00BA59A9">
        <w:t>.</w:t>
      </w:r>
      <w:r w:rsidR="00786F21">
        <w:t xml:space="preserve"> </w:t>
      </w:r>
      <w:r>
        <w:t xml:space="preserve">Jurisdictions were also asked to provide data points against mainstream </w:t>
      </w:r>
      <w:r w:rsidRPr="00F5530B">
        <w:t>public</w:t>
      </w:r>
      <w:r>
        <w:t xml:space="preserve"> housing for comparative purposes. </w:t>
      </w:r>
    </w:p>
    <w:p w14:paraId="1EA3E789" w14:textId="25F87F97" w:rsidR="00CB0FEC" w:rsidRDefault="00CB0FEC" w:rsidP="00CB0FEC">
      <w:r>
        <w:t xml:space="preserve">Loose guidelines for remoteness classification are </w:t>
      </w:r>
      <w:r w:rsidRPr="0043030B">
        <w:t>provided below. Detailed lists of communities by remoteness level are included in</w:t>
      </w:r>
      <w:r w:rsidR="00620F02">
        <w:t xml:space="preserve"> </w:t>
      </w:r>
      <w:r w:rsidR="00F325D9">
        <w:fldChar w:fldCharType="begin"/>
      </w:r>
      <w:r w:rsidR="00F325D9">
        <w:instrText xml:space="preserve"> REF _Ref477339390 \n \h </w:instrText>
      </w:r>
      <w:r w:rsidR="00F325D9">
        <w:fldChar w:fldCharType="separate"/>
      </w:r>
      <w:r w:rsidR="004A1B2E">
        <w:t>Appendix B</w:t>
      </w:r>
      <w:r w:rsidR="00F325D9">
        <w:fldChar w:fldCharType="end"/>
      </w:r>
      <w:r w:rsidRPr="0043030B">
        <w:t>.</w:t>
      </w:r>
    </w:p>
    <w:p w14:paraId="10F625F3" w14:textId="77777777" w:rsidR="00CB0FEC" w:rsidRDefault="00CB0FEC" w:rsidP="00CB0FEC">
      <w:r>
        <w:t>Analysis of the impact of remoteness on cost in this section is based on the classification of communities provided by jurisdictions against the above categories.</w:t>
      </w:r>
    </w:p>
    <w:p w14:paraId="3701676F" w14:textId="77777777" w:rsidR="00B451A7" w:rsidRDefault="00B451A7" w:rsidP="00BC6228">
      <w:pPr>
        <w:pStyle w:val="Figure"/>
      </w:pPr>
    </w:p>
    <w:p w14:paraId="2C0A126B" w14:textId="77777777" w:rsidR="00B451A7" w:rsidRDefault="00B451A7" w:rsidP="00BC6228">
      <w:pPr>
        <w:pStyle w:val="Figure"/>
      </w:pPr>
    </w:p>
    <w:p w14:paraId="6093929C" w14:textId="77777777" w:rsidR="00B451A7" w:rsidRDefault="00B451A7" w:rsidP="00BC6228">
      <w:pPr>
        <w:pStyle w:val="Figure"/>
      </w:pPr>
    </w:p>
    <w:p w14:paraId="436301E8" w14:textId="77777777" w:rsidR="00B451A7" w:rsidRDefault="00B451A7" w:rsidP="00BC6228">
      <w:pPr>
        <w:pStyle w:val="Figure"/>
      </w:pPr>
    </w:p>
    <w:p w14:paraId="4F7D7605" w14:textId="77777777" w:rsidR="00B451A7" w:rsidRDefault="00B451A7" w:rsidP="00BC6228">
      <w:pPr>
        <w:pStyle w:val="Figure"/>
      </w:pPr>
    </w:p>
    <w:p w14:paraId="3E6840CC" w14:textId="77777777" w:rsidR="00B451A7" w:rsidRDefault="00B451A7" w:rsidP="00BC6228">
      <w:pPr>
        <w:pStyle w:val="Figure"/>
      </w:pPr>
    </w:p>
    <w:p w14:paraId="0AB375B3" w14:textId="77777777" w:rsidR="00B451A7" w:rsidRDefault="00B451A7" w:rsidP="00BC6228">
      <w:pPr>
        <w:pStyle w:val="Figure"/>
      </w:pPr>
    </w:p>
    <w:p w14:paraId="6A3CD942" w14:textId="77777777" w:rsidR="00B451A7" w:rsidRDefault="00B451A7" w:rsidP="00BC6228">
      <w:pPr>
        <w:pStyle w:val="Figure"/>
      </w:pPr>
    </w:p>
    <w:p w14:paraId="6F092198" w14:textId="0D1CFC16" w:rsidR="0077738B" w:rsidRDefault="0077738B" w:rsidP="0077738B"/>
    <w:p w14:paraId="10FE76B7" w14:textId="77777777" w:rsidR="000D2595" w:rsidRPr="0077738B" w:rsidRDefault="000D2595" w:rsidP="0077738B"/>
    <w:p w14:paraId="1EAFBDB6" w14:textId="77777777" w:rsidR="00B451A7" w:rsidRDefault="00B451A7" w:rsidP="00BC6228">
      <w:pPr>
        <w:pStyle w:val="Figure"/>
      </w:pPr>
    </w:p>
    <w:p w14:paraId="7D8A271E" w14:textId="1B5C2C63" w:rsidR="000314E1" w:rsidRDefault="000314E1" w:rsidP="000314E1"/>
    <w:p w14:paraId="3A1D914E" w14:textId="77777777" w:rsidR="000314E1" w:rsidRDefault="000314E1" w:rsidP="000314E1"/>
    <w:p w14:paraId="0A77504E" w14:textId="77777777" w:rsidR="000314E1" w:rsidRPr="000314E1" w:rsidRDefault="000314E1" w:rsidP="000314E1"/>
    <w:p w14:paraId="4E1A9113" w14:textId="2F0C0F4A" w:rsidR="00CB0FEC" w:rsidRDefault="00CB0FEC" w:rsidP="00BC6228">
      <w:pPr>
        <w:pStyle w:val="Figure"/>
      </w:pPr>
      <w:r>
        <w:lastRenderedPageBreak/>
        <w:t xml:space="preserve">Table </w:t>
      </w:r>
      <w:fldSimple w:instr=" SEQ Table \* ARABIC ">
        <w:r w:rsidR="004A1B2E">
          <w:rPr>
            <w:noProof/>
          </w:rPr>
          <w:t>3</w:t>
        </w:r>
      </w:fldSimple>
      <w:r>
        <w:t>: Remoteness classification guidelines provided to jurisdictions</w:t>
      </w:r>
    </w:p>
    <w:tbl>
      <w:tblPr>
        <w:tblStyle w:val="NousTable"/>
        <w:tblW w:w="5000" w:type="pct"/>
        <w:tblLook w:val="04A0" w:firstRow="1" w:lastRow="0" w:firstColumn="1" w:lastColumn="0" w:noHBand="0" w:noVBand="1"/>
        <w:tblCaption w:val="Table 3: Remoteness classification guidelines provided to jurisdictions"/>
      </w:tblPr>
      <w:tblGrid>
        <w:gridCol w:w="1182"/>
        <w:gridCol w:w="2233"/>
        <w:gridCol w:w="2915"/>
        <w:gridCol w:w="2741"/>
      </w:tblGrid>
      <w:tr w:rsidR="00CB0FEC" w14:paraId="7957F3C7" w14:textId="77777777" w:rsidTr="006F14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pct"/>
          </w:tcPr>
          <w:p w14:paraId="6C3C6FC6" w14:textId="77777777" w:rsidR="00CB0FEC" w:rsidRPr="006F1414" w:rsidRDefault="00CB0FEC" w:rsidP="00BC6228">
            <w:pPr>
              <w:pStyle w:val="TableNHeader"/>
            </w:pPr>
          </w:p>
        </w:tc>
        <w:tc>
          <w:tcPr>
            <w:tcW w:w="1231" w:type="pct"/>
          </w:tcPr>
          <w:p w14:paraId="6598F204" w14:textId="77777777" w:rsidR="00CB0FEC" w:rsidRPr="00B81490" w:rsidRDefault="00CB0FEC" w:rsidP="00BC6228">
            <w:pPr>
              <w:pStyle w:val="TableNHeader"/>
              <w:cnfStyle w:val="100000000000" w:firstRow="1" w:lastRow="0" w:firstColumn="0" w:lastColumn="0" w:oddVBand="0" w:evenVBand="0" w:oddHBand="0" w:evenHBand="0" w:firstRowFirstColumn="0" w:firstRowLastColumn="0" w:lastRowFirstColumn="0" w:lastRowLastColumn="0"/>
            </w:pPr>
            <w:r w:rsidRPr="00B81490">
              <w:t>Remoteness category</w:t>
            </w:r>
          </w:p>
        </w:tc>
        <w:tc>
          <w:tcPr>
            <w:tcW w:w="1607" w:type="pct"/>
          </w:tcPr>
          <w:p w14:paraId="378983A8" w14:textId="77777777" w:rsidR="00CB0FEC" w:rsidRPr="00B81490" w:rsidRDefault="00CB0FEC" w:rsidP="00BC6228">
            <w:pPr>
              <w:pStyle w:val="TableNHeader"/>
              <w:cnfStyle w:val="100000000000" w:firstRow="1" w:lastRow="0" w:firstColumn="0" w:lastColumn="0" w:oddVBand="0" w:evenVBand="0" w:oddHBand="0" w:evenHBand="0" w:firstRowFirstColumn="0" w:firstRowLastColumn="0" w:lastRowFirstColumn="0" w:lastRowLastColumn="0"/>
            </w:pPr>
            <w:r w:rsidRPr="00B81490">
              <w:t>Guideline</w:t>
            </w:r>
          </w:p>
        </w:tc>
        <w:tc>
          <w:tcPr>
            <w:tcW w:w="1512" w:type="pct"/>
          </w:tcPr>
          <w:p w14:paraId="318C95B4" w14:textId="77777777" w:rsidR="00CB0FEC" w:rsidRPr="00B81490" w:rsidRDefault="00CB0FEC" w:rsidP="00BC6228">
            <w:pPr>
              <w:pStyle w:val="TableNHeader"/>
              <w:cnfStyle w:val="100000000000" w:firstRow="1" w:lastRow="0" w:firstColumn="0" w:lastColumn="0" w:oddVBand="0" w:evenVBand="0" w:oddHBand="0" w:evenHBand="0" w:firstRowFirstColumn="0" w:firstRowLastColumn="0" w:lastRowFirstColumn="0" w:lastRowLastColumn="0"/>
            </w:pPr>
            <w:r w:rsidRPr="00B81490">
              <w:t>Example community</w:t>
            </w:r>
          </w:p>
        </w:tc>
      </w:tr>
      <w:tr w:rsidR="00CB0FEC" w14:paraId="40A75DB5" w14:textId="77777777" w:rsidTr="006F1414">
        <w:tc>
          <w:tcPr>
            <w:cnfStyle w:val="001000000000" w:firstRow="0" w:lastRow="0" w:firstColumn="1" w:lastColumn="0" w:oddVBand="0" w:evenVBand="0" w:oddHBand="0" w:evenHBand="0" w:firstRowFirstColumn="0" w:firstRowLastColumn="0" w:lastRowFirstColumn="0" w:lastRowLastColumn="0"/>
            <w:tcW w:w="651" w:type="pct"/>
            <w:vMerge w:val="restart"/>
            <w:vAlign w:val="top"/>
          </w:tcPr>
          <w:p w14:paraId="3E300DE2" w14:textId="77777777" w:rsidR="00CB0FEC" w:rsidRPr="006F1414" w:rsidRDefault="00CB0FEC" w:rsidP="00BC6228">
            <w:pPr>
              <w:pStyle w:val="TableNText"/>
            </w:pPr>
            <w:r w:rsidRPr="006F1414">
              <w:t>NPARIH</w:t>
            </w:r>
          </w:p>
        </w:tc>
        <w:tc>
          <w:tcPr>
            <w:tcW w:w="1231" w:type="pct"/>
            <w:vAlign w:val="top"/>
          </w:tcPr>
          <w:p w14:paraId="549162DA"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Remote</w:t>
            </w:r>
          </w:p>
        </w:tc>
        <w:tc>
          <w:tcPr>
            <w:tcW w:w="1607" w:type="pct"/>
            <w:vAlign w:val="top"/>
          </w:tcPr>
          <w:p w14:paraId="688A3789"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&gt; 2 hours travel from regional town.</w:t>
            </w:r>
          </w:p>
        </w:tc>
        <w:tc>
          <w:tcPr>
            <w:tcW w:w="1512" w:type="pct"/>
            <w:vAlign w:val="top"/>
          </w:tcPr>
          <w:p w14:paraId="198163A8"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Pr>
                <w:rFonts w:ascii="Calibri" w:hAnsi="Calibri"/>
                <w:i/>
                <w:iCs/>
                <w:color w:val="000000"/>
                <w:sz w:val="22"/>
                <w:szCs w:val="22"/>
              </w:rPr>
              <w:t>Yalata (220 km from Ceduna)</w:t>
            </w:r>
          </w:p>
          <w:p w14:paraId="13D8D231"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Pr>
                <w:rFonts w:ascii="Calibri" w:hAnsi="Calibri"/>
                <w:i/>
                <w:iCs/>
                <w:color w:val="000000"/>
                <w:sz w:val="22"/>
                <w:szCs w:val="22"/>
              </w:rPr>
              <w:t>Woorabinda (40km to next town, 170km from closest regional city)</w:t>
            </w:r>
          </w:p>
          <w:p w14:paraId="00045116" w14:textId="77777777" w:rsidR="00CB0FEC" w:rsidRPr="006D0E87" w:rsidRDefault="00CB0FEC" w:rsidP="00BE65B8">
            <w:pPr>
              <w:pStyle w:val="TableNTex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Pr>
                <w:rFonts w:ascii="Calibri" w:hAnsi="Calibri"/>
                <w:i/>
                <w:iCs/>
                <w:color w:val="000000"/>
                <w:sz w:val="22"/>
                <w:szCs w:val="22"/>
              </w:rPr>
              <w:t>Bayulu (271km from Derby)</w:t>
            </w:r>
          </w:p>
        </w:tc>
      </w:tr>
      <w:tr w:rsidR="00CB0FEC" w14:paraId="5B9C3A75" w14:textId="77777777" w:rsidTr="006F1414">
        <w:tc>
          <w:tcPr>
            <w:cnfStyle w:val="001000000000" w:firstRow="0" w:lastRow="0" w:firstColumn="1" w:lastColumn="0" w:oddVBand="0" w:evenVBand="0" w:oddHBand="0" w:evenHBand="0" w:firstRowFirstColumn="0" w:firstRowLastColumn="0" w:lastRowFirstColumn="0" w:lastRowLastColumn="0"/>
            <w:tcW w:w="651" w:type="pct"/>
            <w:vMerge/>
          </w:tcPr>
          <w:p w14:paraId="6FC2C2BE" w14:textId="77777777" w:rsidR="00CB0FEC" w:rsidRPr="006F1414" w:rsidRDefault="00CB0FEC" w:rsidP="00BC6228">
            <w:pPr>
              <w:pStyle w:val="TableNText"/>
            </w:pPr>
          </w:p>
        </w:tc>
        <w:tc>
          <w:tcPr>
            <w:tcW w:w="1231" w:type="pct"/>
            <w:vAlign w:val="top"/>
          </w:tcPr>
          <w:p w14:paraId="1DB5E07F"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Very Remote</w:t>
            </w:r>
          </w:p>
        </w:tc>
        <w:tc>
          <w:tcPr>
            <w:tcW w:w="1607" w:type="pct"/>
            <w:vAlign w:val="top"/>
          </w:tcPr>
          <w:p w14:paraId="65722A26"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&gt; 6 hours travel from regional town.</w:t>
            </w:r>
          </w:p>
        </w:tc>
        <w:tc>
          <w:tcPr>
            <w:tcW w:w="1512" w:type="pct"/>
            <w:vAlign w:val="top"/>
          </w:tcPr>
          <w:p w14:paraId="67C7CE9E"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Pr>
                <w:rFonts w:ascii="Calibri" w:hAnsi="Calibri"/>
                <w:i/>
                <w:iCs/>
                <w:color w:val="000000"/>
                <w:sz w:val="22"/>
                <w:szCs w:val="22"/>
              </w:rPr>
              <w:t>Piplyatjara (814 km from Coober Pedy)</w:t>
            </w:r>
          </w:p>
          <w:p w14:paraId="774E62EE"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Pr>
                <w:rFonts w:ascii="Calibri" w:hAnsi="Calibri"/>
                <w:i/>
                <w:iCs/>
                <w:color w:val="000000"/>
                <w:sz w:val="22"/>
                <w:szCs w:val="22"/>
              </w:rPr>
              <w:t>Aurukun (206km to next town, 817km to closest regional city)</w:t>
            </w:r>
          </w:p>
          <w:p w14:paraId="15363502" w14:textId="77777777" w:rsidR="00CB0FEC" w:rsidRPr="006D0E87" w:rsidRDefault="00CB0FEC" w:rsidP="00BE65B8">
            <w:pPr>
              <w:pStyle w:val="TableNText"/>
              <w:cnfStyle w:val="000000000000" w:firstRow="0" w:lastRow="0" w:firstColumn="0" w:lastColumn="0" w:oddVBand="0" w:evenVBand="0" w:oddHBand="0" w:evenHBand="0" w:firstRowFirstColumn="0" w:firstRowLastColumn="0" w:lastRowFirstColumn="0" w:lastRowLastColumn="0"/>
              <w:rPr>
                <w:i/>
              </w:rPr>
            </w:pPr>
            <w:r w:rsidRPr="006D0E87">
              <w:rPr>
                <w:i/>
              </w:rPr>
              <w:t>Mulan (608km from Kunanurra)</w:t>
            </w:r>
          </w:p>
        </w:tc>
      </w:tr>
      <w:tr w:rsidR="00CB0FEC" w14:paraId="1DC8186D" w14:textId="77777777" w:rsidTr="006F1414">
        <w:tc>
          <w:tcPr>
            <w:cnfStyle w:val="001000000000" w:firstRow="0" w:lastRow="0" w:firstColumn="1" w:lastColumn="0" w:oddVBand="0" w:evenVBand="0" w:oddHBand="0" w:evenHBand="0" w:firstRowFirstColumn="0" w:firstRowLastColumn="0" w:lastRowFirstColumn="0" w:lastRowLastColumn="0"/>
            <w:tcW w:w="651" w:type="pct"/>
            <w:vMerge/>
          </w:tcPr>
          <w:p w14:paraId="137B8534" w14:textId="77777777" w:rsidR="00CB0FEC" w:rsidRPr="006F1414" w:rsidRDefault="00CB0FEC" w:rsidP="00BC6228">
            <w:pPr>
              <w:pStyle w:val="TableNText"/>
            </w:pPr>
          </w:p>
        </w:tc>
        <w:tc>
          <w:tcPr>
            <w:tcW w:w="1231" w:type="pct"/>
            <w:vAlign w:val="top"/>
          </w:tcPr>
          <w:p w14:paraId="04B1E88C"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Island</w:t>
            </w:r>
          </w:p>
        </w:tc>
        <w:tc>
          <w:tcPr>
            <w:tcW w:w="1607" w:type="pct"/>
            <w:vAlign w:val="top"/>
          </w:tcPr>
          <w:p w14:paraId="3832EF5E"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Offshore communities. Travel requires barge/plane/helicopter.</w:t>
            </w:r>
          </w:p>
        </w:tc>
        <w:tc>
          <w:tcPr>
            <w:tcW w:w="1512" w:type="pct"/>
          </w:tcPr>
          <w:p w14:paraId="1515BEF2" w14:textId="77777777" w:rsidR="00CB0FEC" w:rsidRPr="00ED53C5" w:rsidRDefault="00CB0FEC" w:rsidP="00BE65B8">
            <w:pPr>
              <w:pStyle w:val="TableNTex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sidRPr="00ED53C5">
              <w:rPr>
                <w:rFonts w:ascii="Calibri" w:hAnsi="Calibri"/>
                <w:i/>
                <w:iCs/>
                <w:color w:val="000000"/>
                <w:sz w:val="22"/>
                <w:szCs w:val="22"/>
              </w:rPr>
              <w:t>Kalumburu (565km from Kununurra)</w:t>
            </w:r>
          </w:p>
          <w:p w14:paraId="7E4AFC90" w14:textId="77777777" w:rsidR="00CB0FEC" w:rsidRPr="002F1276" w:rsidRDefault="00CB0FEC" w:rsidP="00BE65B8">
            <w:pPr>
              <w:pStyle w:val="TableNText"/>
              <w:cnfStyle w:val="000000000000" w:firstRow="0" w:lastRow="0" w:firstColumn="0" w:lastColumn="0" w:oddVBand="0" w:evenVBand="0" w:oddHBand="0" w:evenHBand="0" w:firstRowFirstColumn="0" w:firstRowLastColumn="0" w:lastRowFirstColumn="0" w:lastRowLastColumn="0"/>
              <w:rPr>
                <w:i/>
              </w:rPr>
            </w:pPr>
            <w:r w:rsidRPr="00ED53C5">
              <w:rPr>
                <w:rFonts w:ascii="Calibri" w:hAnsi="Calibri"/>
                <w:i/>
                <w:iCs/>
                <w:color w:val="000000"/>
                <w:sz w:val="22"/>
                <w:szCs w:val="22"/>
              </w:rPr>
              <w:t>Palm Island</w:t>
            </w:r>
          </w:p>
        </w:tc>
      </w:tr>
      <w:tr w:rsidR="00CB0FEC" w14:paraId="43DB60B2" w14:textId="77777777" w:rsidTr="006F1414">
        <w:tc>
          <w:tcPr>
            <w:cnfStyle w:val="001000000000" w:firstRow="0" w:lastRow="0" w:firstColumn="1" w:lastColumn="0" w:oddVBand="0" w:evenVBand="0" w:oddHBand="0" w:evenHBand="0" w:firstRowFirstColumn="0" w:firstRowLastColumn="0" w:lastRowFirstColumn="0" w:lastRowLastColumn="0"/>
            <w:tcW w:w="651" w:type="pct"/>
            <w:vMerge w:val="restart"/>
            <w:vAlign w:val="top"/>
          </w:tcPr>
          <w:p w14:paraId="205DC7AB" w14:textId="77777777" w:rsidR="00CB0FEC" w:rsidRPr="006F1414" w:rsidRDefault="00CB0FEC" w:rsidP="00BC6228">
            <w:pPr>
              <w:pStyle w:val="TableNText"/>
            </w:pPr>
            <w:r w:rsidRPr="006F1414">
              <w:t>Comparison (non-NPARIH)</w:t>
            </w:r>
          </w:p>
        </w:tc>
        <w:tc>
          <w:tcPr>
            <w:tcW w:w="1231" w:type="pct"/>
            <w:vAlign w:val="top"/>
          </w:tcPr>
          <w:p w14:paraId="48C1BC31"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Regional Indigenous</w:t>
            </w:r>
          </w:p>
        </w:tc>
        <w:tc>
          <w:tcPr>
            <w:tcW w:w="1607" w:type="pct"/>
            <w:vAlign w:val="top"/>
          </w:tcPr>
          <w:p w14:paraId="4B5D922B"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Non-NPARIH Indigenous housing outside of major cities.</w:t>
            </w:r>
          </w:p>
        </w:tc>
        <w:tc>
          <w:tcPr>
            <w:tcW w:w="1512" w:type="pct"/>
            <w:vAlign w:val="top"/>
          </w:tcPr>
          <w:p w14:paraId="5FBD6AD0"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Pr>
                <w:rFonts w:ascii="Calibri" w:hAnsi="Calibri"/>
                <w:i/>
                <w:iCs/>
                <w:color w:val="000000"/>
                <w:sz w:val="22"/>
                <w:szCs w:val="22"/>
              </w:rPr>
              <w:t>Davenport (5 km from Port Augusta)</w:t>
            </w:r>
          </w:p>
          <w:p w14:paraId="00B79CAF"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szCs w:val="22"/>
              </w:rPr>
            </w:pPr>
            <w:r>
              <w:rPr>
                <w:rFonts w:ascii="Calibri" w:hAnsi="Calibri"/>
                <w:i/>
                <w:iCs/>
                <w:color w:val="000000"/>
                <w:sz w:val="22"/>
                <w:szCs w:val="22"/>
              </w:rPr>
              <w:t>Cherbourg (6km to next town, 171km to closest regional city)</w:t>
            </w:r>
          </w:p>
          <w:p w14:paraId="1F02A75D"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i/>
                <w:iCs/>
                <w:color w:val="000000"/>
                <w:sz w:val="22"/>
                <w:szCs w:val="22"/>
              </w:rPr>
              <w:t>Kardaloo (123km from Geraldton)</w:t>
            </w:r>
          </w:p>
        </w:tc>
      </w:tr>
      <w:tr w:rsidR="00CB0FEC" w14:paraId="3EC23355" w14:textId="77777777" w:rsidTr="006F1414">
        <w:tc>
          <w:tcPr>
            <w:cnfStyle w:val="001000000000" w:firstRow="0" w:lastRow="0" w:firstColumn="1" w:lastColumn="0" w:oddVBand="0" w:evenVBand="0" w:oddHBand="0" w:evenHBand="0" w:firstRowFirstColumn="0" w:firstRowLastColumn="0" w:lastRowFirstColumn="0" w:lastRowLastColumn="0"/>
            <w:tcW w:w="651" w:type="pct"/>
            <w:vMerge/>
          </w:tcPr>
          <w:p w14:paraId="52195DB3" w14:textId="77777777" w:rsidR="00CB0FEC" w:rsidRPr="006F1414" w:rsidRDefault="00CB0FEC" w:rsidP="00BC6228">
            <w:pPr>
              <w:pStyle w:val="TableNText"/>
            </w:pPr>
          </w:p>
        </w:tc>
        <w:tc>
          <w:tcPr>
            <w:tcW w:w="1231" w:type="pct"/>
            <w:vAlign w:val="top"/>
          </w:tcPr>
          <w:p w14:paraId="322C73C5"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Public</w:t>
            </w:r>
          </w:p>
        </w:tc>
        <w:tc>
          <w:tcPr>
            <w:tcW w:w="1607" w:type="pct"/>
            <w:vAlign w:val="top"/>
          </w:tcPr>
          <w:p w14:paraId="6E621AF0"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Mainstream public housing (may include both Indigenous and non-Indigenous).</w:t>
            </w:r>
          </w:p>
        </w:tc>
        <w:tc>
          <w:tcPr>
            <w:tcW w:w="1512" w:type="pct"/>
            <w:vAlign w:val="top"/>
          </w:tcPr>
          <w:p w14:paraId="44B0693D" w14:textId="77777777" w:rsidR="00CB0FEC" w:rsidRDefault="00CB0FEC" w:rsidP="00BE65B8">
            <w:pPr>
              <w:pStyle w:val="TableNText"/>
              <w:cnfStyle w:val="000000000000" w:firstRow="0" w:lastRow="0" w:firstColumn="0" w:lastColumn="0" w:oddVBand="0" w:evenVBand="0" w:oddHBand="0" w:evenHBand="0" w:firstRowFirstColumn="0" w:firstRowLastColumn="0" w:lastRowFirstColumn="0" w:lastRowLastColumn="0"/>
            </w:pPr>
            <w:r>
              <w:rPr>
                <w:rFonts w:ascii="Calibri" w:hAnsi="Calibri"/>
                <w:i/>
                <w:iCs/>
                <w:color w:val="000000"/>
                <w:sz w:val="22"/>
                <w:szCs w:val="22"/>
              </w:rPr>
              <w:t>Metropolitan</w:t>
            </w:r>
          </w:p>
        </w:tc>
      </w:tr>
    </w:tbl>
    <w:p w14:paraId="750F3409" w14:textId="77777777" w:rsidR="00CE616C" w:rsidRDefault="00CB0FEC" w:rsidP="00CB0FEC">
      <w:pPr>
        <w:pStyle w:val="Heading3"/>
      </w:pPr>
      <w:bookmarkStart w:id="77" w:name="_Toc475982702"/>
      <w:bookmarkStart w:id="78" w:name="_Toc475990756"/>
      <w:r>
        <w:t>The impacts of r</w:t>
      </w:r>
      <w:r w:rsidR="00C75328">
        <w:t>emoteness</w:t>
      </w:r>
      <w:r>
        <w:t xml:space="preserve"> are recognised in industry cost standards</w:t>
      </w:r>
      <w:bookmarkEnd w:id="77"/>
      <w:bookmarkEnd w:id="78"/>
    </w:p>
    <w:p w14:paraId="634C36CD" w14:textId="77777777" w:rsidR="00CC5767" w:rsidRDefault="00CC5767" w:rsidP="00CC5767">
      <w:r>
        <w:t>Remote Indigenous housing provision, by its nature, faces a number of uncontrollable factors over and above those faced in mainstream public housing. These cost drivers can be considered ‘facts of life’, which must be dealt with and managed by remote Indigenous housing providers, but cannot be directly reduced by any activity under NPARIH.</w:t>
      </w:r>
    </w:p>
    <w:p w14:paraId="7B67EEFC" w14:textId="77777777" w:rsidR="004613CE" w:rsidRDefault="00532E04" w:rsidP="00532E04">
      <w:pPr>
        <w:pStyle w:val="Bullet"/>
        <w:numPr>
          <w:ilvl w:val="0"/>
          <w:numId w:val="0"/>
        </w:numPr>
      </w:pPr>
      <w:r>
        <w:t xml:space="preserve">Along with NPARIH experience, expert literature supports the view that costs increase significantly with remoteness. </w:t>
      </w:r>
    </w:p>
    <w:p w14:paraId="7DDF4823" w14:textId="5D483208" w:rsidR="00532E04" w:rsidRDefault="00532E04" w:rsidP="00532E04">
      <w:pPr>
        <w:pStyle w:val="Bullet"/>
        <w:numPr>
          <w:ilvl w:val="0"/>
          <w:numId w:val="0"/>
        </w:numPr>
      </w:pPr>
      <w:r>
        <w:t xml:space="preserve">As shown in </w:t>
      </w:r>
      <w:r w:rsidR="00C1616F">
        <w:rPr>
          <w:highlight w:val="yellow"/>
        </w:rPr>
        <w:fldChar w:fldCharType="begin"/>
      </w:r>
      <w:r w:rsidR="00C1616F">
        <w:instrText xml:space="preserve"> REF _Ref475912679 \h </w:instrText>
      </w:r>
      <w:r w:rsidR="00C1616F">
        <w:rPr>
          <w:highlight w:val="yellow"/>
        </w:rPr>
      </w:r>
      <w:r w:rsidR="00C1616F">
        <w:rPr>
          <w:highlight w:val="yellow"/>
        </w:rPr>
        <w:fldChar w:fldCharType="separate"/>
      </w:r>
      <w:r w:rsidR="004A1B2E">
        <w:t xml:space="preserve">Table </w:t>
      </w:r>
      <w:r w:rsidR="004A1B2E">
        <w:rPr>
          <w:noProof/>
        </w:rPr>
        <w:t>4</w:t>
      </w:r>
      <w:r w:rsidR="00C1616F">
        <w:rPr>
          <w:highlight w:val="yellow"/>
        </w:rPr>
        <w:fldChar w:fldCharType="end"/>
      </w:r>
      <w:r>
        <w:t>, costs of construction in regional and remote towns are found to be up to double the levels of costs in metropolitan areas.</w:t>
      </w:r>
    </w:p>
    <w:p w14:paraId="79DF559B" w14:textId="77777777" w:rsidR="00532E04" w:rsidRDefault="00532E04" w:rsidP="00BC6228">
      <w:pPr>
        <w:pStyle w:val="Figure"/>
      </w:pPr>
      <w:bookmarkStart w:id="79" w:name="_Ref475912679"/>
      <w:r>
        <w:lastRenderedPageBreak/>
        <w:t xml:space="preserve">Table </w:t>
      </w:r>
      <w:fldSimple w:instr=" SEQ Table \* ARABIC ">
        <w:r w:rsidR="004A1B2E">
          <w:rPr>
            <w:noProof/>
          </w:rPr>
          <w:t>4</w:t>
        </w:r>
      </w:fldSimple>
      <w:bookmarkEnd w:id="79"/>
      <w:r>
        <w:t xml:space="preserve">: Selection of </w:t>
      </w:r>
      <w:r w:rsidRPr="00FE4F3F">
        <w:t>Rawlinson</w:t>
      </w:r>
      <w:r>
        <w:t>s construction cost indices</w:t>
      </w:r>
      <w:r w:rsidR="0043030B">
        <w:rPr>
          <w:rStyle w:val="FootnoteReference"/>
        </w:rPr>
        <w:footnoteReference w:id="12"/>
      </w:r>
    </w:p>
    <w:tbl>
      <w:tblPr>
        <w:tblStyle w:val="NousTable"/>
        <w:tblW w:w="5000" w:type="pct"/>
        <w:jc w:val="left"/>
        <w:tblLook w:val="04A0" w:firstRow="1" w:lastRow="0" w:firstColumn="1" w:lastColumn="0" w:noHBand="0" w:noVBand="1"/>
        <w:tblCaption w:val="Table 4: Selection of Rawlinsons construction cost indices"/>
      </w:tblPr>
      <w:tblGrid>
        <w:gridCol w:w="2277"/>
        <w:gridCol w:w="3567"/>
        <w:gridCol w:w="3227"/>
      </w:tblGrid>
      <w:tr w:rsidR="00532E04" w14:paraId="5023F535" w14:textId="77777777" w:rsidTr="006F1414">
        <w:trPr>
          <w:cnfStyle w:val="100000000000" w:firstRow="1" w:lastRow="0" w:firstColumn="0" w:lastColumn="0" w:oddVBand="0" w:evenVBand="0" w:oddHBand="0"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255" w:type="pct"/>
          </w:tcPr>
          <w:p w14:paraId="07E414EC" w14:textId="77777777" w:rsidR="00532E04" w:rsidRDefault="00532E04" w:rsidP="006F1414">
            <w:pPr>
              <w:pStyle w:val="TableNHeader"/>
            </w:pPr>
            <w:r>
              <w:t>State/ index base</w:t>
            </w:r>
          </w:p>
        </w:tc>
        <w:tc>
          <w:tcPr>
            <w:tcW w:w="1966" w:type="pct"/>
          </w:tcPr>
          <w:p w14:paraId="54034DB7" w14:textId="77777777" w:rsidR="00532E04" w:rsidRDefault="00532E04" w:rsidP="006F1414">
            <w:pPr>
              <w:pStyle w:val="TableNHeader"/>
              <w:cnfStyle w:val="100000000000" w:firstRow="1" w:lastRow="0" w:firstColumn="0" w:lastColumn="0" w:oddVBand="0" w:evenVBand="0" w:oddHBand="0" w:evenHBand="0" w:firstRowFirstColumn="0" w:firstRowLastColumn="0" w:lastRowFirstColumn="0" w:lastRowLastColumn="0"/>
            </w:pPr>
            <w:r>
              <w:t>Location</w:t>
            </w:r>
          </w:p>
        </w:tc>
        <w:tc>
          <w:tcPr>
            <w:tcW w:w="1779" w:type="pct"/>
          </w:tcPr>
          <w:p w14:paraId="1DC95739" w14:textId="77777777" w:rsidR="00532E04" w:rsidRDefault="00532E04" w:rsidP="006F1414">
            <w:pPr>
              <w:pStyle w:val="TableNHeader"/>
              <w:cnfStyle w:val="100000000000" w:firstRow="1" w:lastRow="0" w:firstColumn="0" w:lastColumn="0" w:oddVBand="0" w:evenVBand="0" w:oddHBand="0" w:evenHBand="0" w:firstRowFirstColumn="0" w:firstRowLastColumn="0" w:lastRowFirstColumn="0" w:lastRowLastColumn="0"/>
            </w:pPr>
            <w:r>
              <w:t>Cost index</w:t>
            </w:r>
          </w:p>
        </w:tc>
      </w:tr>
      <w:tr w:rsidR="00532E04" w14:paraId="63A9D0F4"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val="restart"/>
          </w:tcPr>
          <w:p w14:paraId="0E82C162" w14:textId="77777777" w:rsidR="00532E04" w:rsidRDefault="00532E04" w:rsidP="006F1414">
            <w:pPr>
              <w:pStyle w:val="TableNText"/>
            </w:pPr>
            <w:r>
              <w:t>QLD</w:t>
            </w:r>
          </w:p>
          <w:p w14:paraId="61310B92" w14:textId="7E06B896" w:rsidR="00532E04" w:rsidRDefault="006F1414" w:rsidP="006F1414">
            <w:pPr>
              <w:pStyle w:val="TableNText"/>
            </w:pPr>
            <w:r>
              <w:t>Base = Brisbane</w:t>
            </w:r>
          </w:p>
        </w:tc>
        <w:tc>
          <w:tcPr>
            <w:tcW w:w="1966" w:type="pct"/>
          </w:tcPr>
          <w:p w14:paraId="3195D9CC"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Brisbane</w:t>
            </w:r>
          </w:p>
        </w:tc>
        <w:tc>
          <w:tcPr>
            <w:tcW w:w="1779" w:type="pct"/>
          </w:tcPr>
          <w:p w14:paraId="5CD14751"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100</w:t>
            </w:r>
          </w:p>
        </w:tc>
      </w:tr>
      <w:tr w:rsidR="00532E04" w14:paraId="58E5C104"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04C21B61" w14:textId="77777777" w:rsidR="00532E04" w:rsidRDefault="00532E04" w:rsidP="006F1414">
            <w:pPr>
              <w:pStyle w:val="TableNText"/>
            </w:pPr>
          </w:p>
        </w:tc>
        <w:tc>
          <w:tcPr>
            <w:tcW w:w="1966" w:type="pct"/>
          </w:tcPr>
          <w:p w14:paraId="25A0F995"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Kingaroy</w:t>
            </w:r>
          </w:p>
        </w:tc>
        <w:tc>
          <w:tcPr>
            <w:tcW w:w="1779" w:type="pct"/>
          </w:tcPr>
          <w:p w14:paraId="2B939C73"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105</w:t>
            </w:r>
          </w:p>
        </w:tc>
      </w:tr>
      <w:tr w:rsidR="00532E04" w14:paraId="42874334"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012A9D1C" w14:textId="77777777" w:rsidR="00532E04" w:rsidRDefault="00532E04" w:rsidP="006F1414">
            <w:pPr>
              <w:pStyle w:val="TableNText"/>
            </w:pPr>
          </w:p>
        </w:tc>
        <w:tc>
          <w:tcPr>
            <w:tcW w:w="1966" w:type="pct"/>
          </w:tcPr>
          <w:p w14:paraId="5AD9E8CD"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Normanton</w:t>
            </w:r>
          </w:p>
        </w:tc>
        <w:tc>
          <w:tcPr>
            <w:tcW w:w="1779" w:type="pct"/>
          </w:tcPr>
          <w:p w14:paraId="74C4F210"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160</w:t>
            </w:r>
          </w:p>
        </w:tc>
      </w:tr>
      <w:tr w:rsidR="00532E04" w14:paraId="570E61DD"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5A29F13D" w14:textId="77777777" w:rsidR="00532E04" w:rsidRDefault="00532E04" w:rsidP="006F1414">
            <w:pPr>
              <w:pStyle w:val="TableNText"/>
            </w:pPr>
          </w:p>
        </w:tc>
        <w:tc>
          <w:tcPr>
            <w:tcW w:w="1966" w:type="pct"/>
          </w:tcPr>
          <w:p w14:paraId="161898B7"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 xml:space="preserve">Bamaga </w:t>
            </w:r>
          </w:p>
        </w:tc>
        <w:tc>
          <w:tcPr>
            <w:tcW w:w="1779" w:type="pct"/>
          </w:tcPr>
          <w:p w14:paraId="48A75901"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170</w:t>
            </w:r>
          </w:p>
        </w:tc>
      </w:tr>
      <w:tr w:rsidR="00532E04" w14:paraId="77FDF782"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5DCD47B4" w14:textId="77777777" w:rsidR="00532E04" w:rsidRDefault="00532E04" w:rsidP="006F1414">
            <w:pPr>
              <w:pStyle w:val="TableNText"/>
            </w:pPr>
          </w:p>
        </w:tc>
        <w:tc>
          <w:tcPr>
            <w:tcW w:w="1966" w:type="pct"/>
          </w:tcPr>
          <w:p w14:paraId="2744BE3A"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 xml:space="preserve">Weipa </w:t>
            </w:r>
          </w:p>
        </w:tc>
        <w:tc>
          <w:tcPr>
            <w:tcW w:w="1779" w:type="pct"/>
          </w:tcPr>
          <w:p w14:paraId="134277E3"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180</w:t>
            </w:r>
          </w:p>
        </w:tc>
      </w:tr>
      <w:tr w:rsidR="00532E04" w14:paraId="34A057DA"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650D3155" w14:textId="77777777" w:rsidR="00532E04" w:rsidRDefault="00532E04" w:rsidP="006F1414">
            <w:pPr>
              <w:pStyle w:val="TableNText"/>
            </w:pPr>
          </w:p>
        </w:tc>
        <w:tc>
          <w:tcPr>
            <w:tcW w:w="1966" w:type="pct"/>
          </w:tcPr>
          <w:p w14:paraId="462A7480"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 xml:space="preserve">Lockhart River </w:t>
            </w:r>
          </w:p>
        </w:tc>
        <w:tc>
          <w:tcPr>
            <w:tcW w:w="1779" w:type="pct"/>
          </w:tcPr>
          <w:p w14:paraId="65C43E8B"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180</w:t>
            </w:r>
          </w:p>
        </w:tc>
      </w:tr>
      <w:tr w:rsidR="00532E04" w14:paraId="17BC67D1"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06571B9E" w14:textId="77777777" w:rsidR="00532E04" w:rsidRDefault="00532E04" w:rsidP="006F1414">
            <w:pPr>
              <w:pStyle w:val="TableNText"/>
            </w:pPr>
          </w:p>
        </w:tc>
        <w:tc>
          <w:tcPr>
            <w:tcW w:w="1966" w:type="pct"/>
          </w:tcPr>
          <w:p w14:paraId="56CB3292"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 xml:space="preserve">Torres Strait Island </w:t>
            </w:r>
          </w:p>
        </w:tc>
        <w:tc>
          <w:tcPr>
            <w:tcW w:w="1779" w:type="pct"/>
          </w:tcPr>
          <w:p w14:paraId="4C5FF164"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180-200</w:t>
            </w:r>
          </w:p>
        </w:tc>
      </w:tr>
      <w:tr w:rsidR="00532E04" w14:paraId="6ADBBAAE"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31E77247" w14:textId="77777777" w:rsidR="00532E04" w:rsidRDefault="00532E04" w:rsidP="006F1414">
            <w:pPr>
              <w:pStyle w:val="TableNText"/>
            </w:pPr>
          </w:p>
        </w:tc>
        <w:tc>
          <w:tcPr>
            <w:tcW w:w="1966" w:type="pct"/>
          </w:tcPr>
          <w:p w14:paraId="1717CDDC"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Mornington Island</w:t>
            </w:r>
          </w:p>
        </w:tc>
        <w:tc>
          <w:tcPr>
            <w:tcW w:w="1779" w:type="pct"/>
          </w:tcPr>
          <w:p w14:paraId="07413004"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200</w:t>
            </w:r>
          </w:p>
        </w:tc>
      </w:tr>
      <w:tr w:rsidR="00532E04" w14:paraId="366DDB3D"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val="restart"/>
          </w:tcPr>
          <w:p w14:paraId="0A958C04" w14:textId="77777777" w:rsidR="00532E04" w:rsidRDefault="00532E04" w:rsidP="006F1414">
            <w:pPr>
              <w:pStyle w:val="TableNText"/>
            </w:pPr>
            <w:r>
              <w:t>WA</w:t>
            </w:r>
          </w:p>
          <w:p w14:paraId="64A411EE" w14:textId="77EAFA35" w:rsidR="00532E04" w:rsidRDefault="006F1414" w:rsidP="006F1414">
            <w:pPr>
              <w:pStyle w:val="TableNText"/>
            </w:pPr>
            <w:r>
              <w:t>Base = Perth</w:t>
            </w:r>
          </w:p>
        </w:tc>
        <w:tc>
          <w:tcPr>
            <w:tcW w:w="1966" w:type="pct"/>
          </w:tcPr>
          <w:p w14:paraId="0550CE27"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Perth</w:t>
            </w:r>
          </w:p>
        </w:tc>
        <w:tc>
          <w:tcPr>
            <w:tcW w:w="1779" w:type="pct"/>
          </w:tcPr>
          <w:p w14:paraId="080156DC"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100</w:t>
            </w:r>
          </w:p>
        </w:tc>
      </w:tr>
      <w:tr w:rsidR="00532E04" w14:paraId="53F8E44E"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2F80782C" w14:textId="77777777" w:rsidR="00532E04" w:rsidRDefault="00532E04" w:rsidP="006F1414">
            <w:pPr>
              <w:pStyle w:val="TableNText"/>
            </w:pPr>
          </w:p>
        </w:tc>
        <w:tc>
          <w:tcPr>
            <w:tcW w:w="1966" w:type="pct"/>
          </w:tcPr>
          <w:p w14:paraId="6E8EEE9F"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 xml:space="preserve">Broome </w:t>
            </w:r>
          </w:p>
        </w:tc>
        <w:tc>
          <w:tcPr>
            <w:tcW w:w="1779" w:type="pct"/>
          </w:tcPr>
          <w:p w14:paraId="7C654444"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150</w:t>
            </w:r>
          </w:p>
        </w:tc>
      </w:tr>
      <w:tr w:rsidR="00532E04" w14:paraId="71E61D5A"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0E5B6B11" w14:textId="77777777" w:rsidR="00532E04" w:rsidRDefault="00532E04" w:rsidP="006F1414">
            <w:pPr>
              <w:pStyle w:val="TableNText"/>
            </w:pPr>
          </w:p>
        </w:tc>
        <w:tc>
          <w:tcPr>
            <w:tcW w:w="1966" w:type="pct"/>
          </w:tcPr>
          <w:p w14:paraId="64271FC6"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 xml:space="preserve">Derby </w:t>
            </w:r>
          </w:p>
        </w:tc>
        <w:tc>
          <w:tcPr>
            <w:tcW w:w="1779" w:type="pct"/>
          </w:tcPr>
          <w:p w14:paraId="4BFADC66"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155</w:t>
            </w:r>
          </w:p>
        </w:tc>
      </w:tr>
      <w:tr w:rsidR="00532E04" w14:paraId="61CD62C3"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2400FFE8" w14:textId="77777777" w:rsidR="00532E04" w:rsidRDefault="00532E04" w:rsidP="006F1414">
            <w:pPr>
              <w:pStyle w:val="TableNText"/>
            </w:pPr>
          </w:p>
        </w:tc>
        <w:tc>
          <w:tcPr>
            <w:tcW w:w="1966" w:type="pct"/>
          </w:tcPr>
          <w:p w14:paraId="556624A6"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Kununnurra</w:t>
            </w:r>
          </w:p>
        </w:tc>
        <w:tc>
          <w:tcPr>
            <w:tcW w:w="1779" w:type="pct"/>
          </w:tcPr>
          <w:p w14:paraId="4A98C514"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160</w:t>
            </w:r>
          </w:p>
        </w:tc>
      </w:tr>
      <w:tr w:rsidR="00532E04" w14:paraId="027F6D5B"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val="restart"/>
          </w:tcPr>
          <w:p w14:paraId="1F52AC28" w14:textId="77777777" w:rsidR="00532E04" w:rsidRDefault="00532E04" w:rsidP="006F1414">
            <w:pPr>
              <w:pStyle w:val="TableNText"/>
            </w:pPr>
            <w:r>
              <w:t>NT and SA</w:t>
            </w:r>
          </w:p>
          <w:p w14:paraId="5960D947" w14:textId="3C64093C" w:rsidR="00532E04" w:rsidRDefault="006F1414" w:rsidP="006F1414">
            <w:pPr>
              <w:pStyle w:val="TableNText"/>
            </w:pPr>
            <w:r>
              <w:t>Base = Adelaide</w:t>
            </w:r>
          </w:p>
        </w:tc>
        <w:tc>
          <w:tcPr>
            <w:tcW w:w="1966" w:type="pct"/>
          </w:tcPr>
          <w:p w14:paraId="737C5B65"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Adelaide (SA)</w:t>
            </w:r>
          </w:p>
        </w:tc>
        <w:tc>
          <w:tcPr>
            <w:tcW w:w="1779" w:type="pct"/>
          </w:tcPr>
          <w:p w14:paraId="04CB3365"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100</w:t>
            </w:r>
          </w:p>
        </w:tc>
      </w:tr>
      <w:tr w:rsidR="00532E04" w14:paraId="46D3DBCE"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6D92F05B" w14:textId="77777777" w:rsidR="00532E04" w:rsidRDefault="00532E04" w:rsidP="006F1414">
            <w:pPr>
              <w:pStyle w:val="TableNText"/>
            </w:pPr>
          </w:p>
        </w:tc>
        <w:tc>
          <w:tcPr>
            <w:tcW w:w="1966" w:type="pct"/>
          </w:tcPr>
          <w:p w14:paraId="391BCB06"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 xml:space="preserve">Port Augusta (SA) </w:t>
            </w:r>
          </w:p>
        </w:tc>
        <w:tc>
          <w:tcPr>
            <w:tcW w:w="1779" w:type="pct"/>
          </w:tcPr>
          <w:p w14:paraId="7A48683D"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115</w:t>
            </w:r>
          </w:p>
        </w:tc>
      </w:tr>
      <w:tr w:rsidR="00532E04" w14:paraId="70B7C513"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48A43A0A" w14:textId="77777777" w:rsidR="00532E04" w:rsidRDefault="00532E04" w:rsidP="006F1414">
            <w:pPr>
              <w:pStyle w:val="TableNText"/>
            </w:pPr>
          </w:p>
        </w:tc>
        <w:tc>
          <w:tcPr>
            <w:tcW w:w="1966" w:type="pct"/>
          </w:tcPr>
          <w:p w14:paraId="5F53610E"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Port Lincoln (SA)</w:t>
            </w:r>
          </w:p>
        </w:tc>
        <w:tc>
          <w:tcPr>
            <w:tcW w:w="1779" w:type="pct"/>
          </w:tcPr>
          <w:p w14:paraId="1CBF449C"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118</w:t>
            </w:r>
          </w:p>
        </w:tc>
      </w:tr>
      <w:tr w:rsidR="00532E04" w14:paraId="1E29EB7C"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551050C7" w14:textId="77777777" w:rsidR="00532E04" w:rsidRDefault="00532E04" w:rsidP="006F1414">
            <w:pPr>
              <w:pStyle w:val="TableNText"/>
            </w:pPr>
          </w:p>
        </w:tc>
        <w:tc>
          <w:tcPr>
            <w:tcW w:w="1966" w:type="pct"/>
          </w:tcPr>
          <w:p w14:paraId="6DF7CB44"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Ceduna (SA)</w:t>
            </w:r>
          </w:p>
        </w:tc>
        <w:tc>
          <w:tcPr>
            <w:tcW w:w="1779" w:type="pct"/>
          </w:tcPr>
          <w:p w14:paraId="563DDBE6"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130</w:t>
            </w:r>
          </w:p>
        </w:tc>
      </w:tr>
      <w:tr w:rsidR="00532E04" w14:paraId="25E9A6C5"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493BC139" w14:textId="77777777" w:rsidR="00532E04" w:rsidRDefault="00532E04" w:rsidP="006F1414">
            <w:pPr>
              <w:pStyle w:val="TableNText"/>
            </w:pPr>
          </w:p>
        </w:tc>
        <w:tc>
          <w:tcPr>
            <w:tcW w:w="1966" w:type="pct"/>
          </w:tcPr>
          <w:p w14:paraId="147084FF"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Coober Pedy (SA)</w:t>
            </w:r>
          </w:p>
        </w:tc>
        <w:tc>
          <w:tcPr>
            <w:tcW w:w="1779" w:type="pct"/>
          </w:tcPr>
          <w:p w14:paraId="3BAAE395"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140</w:t>
            </w:r>
          </w:p>
        </w:tc>
      </w:tr>
      <w:tr w:rsidR="00532E04" w14:paraId="0F87F607"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0FAF8CAA" w14:textId="77777777" w:rsidR="00532E04" w:rsidRDefault="00532E04" w:rsidP="006F1414">
            <w:pPr>
              <w:pStyle w:val="TableNText"/>
            </w:pPr>
          </w:p>
        </w:tc>
        <w:tc>
          <w:tcPr>
            <w:tcW w:w="1966" w:type="pct"/>
          </w:tcPr>
          <w:p w14:paraId="5CB418F8"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Oodnadatta (SA)</w:t>
            </w:r>
          </w:p>
        </w:tc>
        <w:tc>
          <w:tcPr>
            <w:tcW w:w="1779" w:type="pct"/>
          </w:tcPr>
          <w:p w14:paraId="042EB950"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150</w:t>
            </w:r>
          </w:p>
        </w:tc>
      </w:tr>
      <w:tr w:rsidR="00532E04" w14:paraId="141D2F6A"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6DF6145A" w14:textId="77777777" w:rsidR="00532E04" w:rsidRDefault="00532E04" w:rsidP="006F1414">
            <w:pPr>
              <w:pStyle w:val="TableNText"/>
            </w:pPr>
          </w:p>
        </w:tc>
        <w:tc>
          <w:tcPr>
            <w:tcW w:w="1966" w:type="pct"/>
          </w:tcPr>
          <w:p w14:paraId="1477A82D"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Darwin (NT)</w:t>
            </w:r>
          </w:p>
        </w:tc>
        <w:tc>
          <w:tcPr>
            <w:tcW w:w="1779" w:type="pct"/>
          </w:tcPr>
          <w:p w14:paraId="4D7B73FA"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123</w:t>
            </w:r>
          </w:p>
        </w:tc>
      </w:tr>
      <w:tr w:rsidR="00532E04" w14:paraId="17644EA5"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3EB0B712" w14:textId="77777777" w:rsidR="00532E04" w:rsidRDefault="00532E04" w:rsidP="006F1414">
            <w:pPr>
              <w:pStyle w:val="TableNText"/>
            </w:pPr>
          </w:p>
        </w:tc>
        <w:tc>
          <w:tcPr>
            <w:tcW w:w="1966" w:type="pct"/>
          </w:tcPr>
          <w:p w14:paraId="1C6C04E8"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Alice Springs (NT)</w:t>
            </w:r>
          </w:p>
        </w:tc>
        <w:tc>
          <w:tcPr>
            <w:tcW w:w="1779" w:type="pct"/>
          </w:tcPr>
          <w:p w14:paraId="77050A2D"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117</w:t>
            </w:r>
          </w:p>
        </w:tc>
      </w:tr>
      <w:tr w:rsidR="00532E04" w14:paraId="7C16CB9E"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7E29D1CD" w14:textId="77777777" w:rsidR="00532E04" w:rsidRDefault="00532E04" w:rsidP="006F1414">
            <w:pPr>
              <w:pStyle w:val="TableNText"/>
            </w:pPr>
          </w:p>
        </w:tc>
        <w:tc>
          <w:tcPr>
            <w:tcW w:w="1966" w:type="pct"/>
          </w:tcPr>
          <w:p w14:paraId="256298B7"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Katherine (NT)</w:t>
            </w:r>
          </w:p>
        </w:tc>
        <w:tc>
          <w:tcPr>
            <w:tcW w:w="1779" w:type="pct"/>
          </w:tcPr>
          <w:p w14:paraId="528965E4"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139</w:t>
            </w:r>
          </w:p>
        </w:tc>
      </w:tr>
      <w:tr w:rsidR="00532E04" w14:paraId="29335550"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118E6CE7" w14:textId="77777777" w:rsidR="00532E04" w:rsidRDefault="00532E04" w:rsidP="006F1414">
            <w:pPr>
              <w:pStyle w:val="TableNText"/>
            </w:pPr>
          </w:p>
        </w:tc>
        <w:tc>
          <w:tcPr>
            <w:tcW w:w="1966" w:type="pct"/>
          </w:tcPr>
          <w:p w14:paraId="1FF4A12D"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Tennant Creek (NT)</w:t>
            </w:r>
          </w:p>
        </w:tc>
        <w:tc>
          <w:tcPr>
            <w:tcW w:w="1779" w:type="pct"/>
          </w:tcPr>
          <w:p w14:paraId="06D80B3A"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164</w:t>
            </w:r>
          </w:p>
        </w:tc>
      </w:tr>
      <w:tr w:rsidR="00532E04" w14:paraId="5C760FE2"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315C9C1B" w14:textId="77777777" w:rsidR="00532E04" w:rsidRDefault="00532E04" w:rsidP="006F1414">
            <w:pPr>
              <w:pStyle w:val="TableNText"/>
            </w:pPr>
          </w:p>
        </w:tc>
        <w:tc>
          <w:tcPr>
            <w:tcW w:w="1966" w:type="pct"/>
          </w:tcPr>
          <w:p w14:paraId="48DD7A92"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Yulara (NT)</w:t>
            </w:r>
          </w:p>
        </w:tc>
        <w:tc>
          <w:tcPr>
            <w:tcW w:w="1779" w:type="pct"/>
          </w:tcPr>
          <w:p w14:paraId="73B406CE"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175</w:t>
            </w:r>
          </w:p>
        </w:tc>
      </w:tr>
      <w:tr w:rsidR="00532E04" w14:paraId="31604216" w14:textId="77777777" w:rsidTr="006F1414">
        <w:trPr>
          <w:jc w:val="left"/>
        </w:trPr>
        <w:tc>
          <w:tcPr>
            <w:cnfStyle w:val="001000000000" w:firstRow="0" w:lastRow="0" w:firstColumn="1" w:lastColumn="0" w:oddVBand="0" w:evenVBand="0" w:oddHBand="0" w:evenHBand="0" w:firstRowFirstColumn="0" w:firstRowLastColumn="0" w:lastRowFirstColumn="0" w:lastRowLastColumn="0"/>
            <w:tcW w:w="1255" w:type="pct"/>
            <w:vMerge/>
          </w:tcPr>
          <w:p w14:paraId="384C4577" w14:textId="77777777" w:rsidR="00532E04" w:rsidRDefault="00532E04" w:rsidP="006F1414">
            <w:pPr>
              <w:pStyle w:val="TableNText"/>
            </w:pPr>
          </w:p>
        </w:tc>
        <w:tc>
          <w:tcPr>
            <w:tcW w:w="1966" w:type="pct"/>
          </w:tcPr>
          <w:p w14:paraId="6111C371"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Milikapiti (NT)</w:t>
            </w:r>
          </w:p>
        </w:tc>
        <w:tc>
          <w:tcPr>
            <w:tcW w:w="1779" w:type="pct"/>
          </w:tcPr>
          <w:p w14:paraId="01839E65" w14:textId="77777777" w:rsidR="00532E04" w:rsidRDefault="00532E04" w:rsidP="00BE65B8">
            <w:pPr>
              <w:pStyle w:val="Bullet"/>
              <w:numPr>
                <w:ilvl w:val="0"/>
                <w:numId w:val="0"/>
              </w:numPr>
              <w:cnfStyle w:val="000000000000" w:firstRow="0" w:lastRow="0" w:firstColumn="0" w:lastColumn="0" w:oddVBand="0" w:evenVBand="0" w:oddHBand="0" w:evenHBand="0" w:firstRowFirstColumn="0" w:firstRowLastColumn="0" w:lastRowFirstColumn="0" w:lastRowLastColumn="0"/>
            </w:pPr>
            <w:r>
              <w:t>191</w:t>
            </w:r>
          </w:p>
        </w:tc>
      </w:tr>
    </w:tbl>
    <w:p w14:paraId="34269B01" w14:textId="77777777" w:rsidR="004613CE" w:rsidRDefault="004613CE" w:rsidP="004613CE">
      <w:pPr>
        <w:pStyle w:val="Bullet"/>
        <w:numPr>
          <w:ilvl w:val="0"/>
          <w:numId w:val="0"/>
        </w:numPr>
      </w:pPr>
      <w:bookmarkStart w:id="80" w:name="_Toc475982703"/>
      <w:bookmarkStart w:id="81" w:name="_Toc475990757"/>
    </w:p>
    <w:p w14:paraId="3ABAE7A7" w14:textId="64771384" w:rsidR="004613CE" w:rsidRPr="0048392D" w:rsidRDefault="004613CE" w:rsidP="004613CE">
      <w:pPr>
        <w:pStyle w:val="Bullet"/>
        <w:numPr>
          <w:ilvl w:val="0"/>
          <w:numId w:val="0"/>
        </w:numPr>
      </w:pPr>
      <w:r w:rsidRPr="0048392D">
        <w:t>Fien &amp; Charlewsorth (2012), identify the key reasons for high costs</w:t>
      </w:r>
      <w:r w:rsidR="007E2272" w:rsidRPr="0048392D">
        <w:t xml:space="preserve"> of providing and managing housing</w:t>
      </w:r>
      <w:r w:rsidRPr="0048392D">
        <w:t xml:space="preserve"> in remote areas</w:t>
      </w:r>
      <w:r w:rsidR="007E2272" w:rsidRPr="0048392D">
        <w:t xml:space="preserve"> of Australia</w:t>
      </w:r>
      <w:r w:rsidRPr="0048392D">
        <w:t xml:space="preserve"> as being:</w:t>
      </w:r>
    </w:p>
    <w:p w14:paraId="1E16C216" w14:textId="63177A20" w:rsidR="004613CE" w:rsidRPr="0048392D" w:rsidRDefault="004613CE" w:rsidP="004613CE">
      <w:pPr>
        <w:pStyle w:val="Bullet"/>
      </w:pPr>
      <w:r w:rsidRPr="0048392D">
        <w:t>Increased cost of materials due to distance from sources of building materials and a lack of competi</w:t>
      </w:r>
      <w:r w:rsidR="00923129" w:rsidRPr="0048392D">
        <w:t>ti</w:t>
      </w:r>
      <w:r w:rsidRPr="0048392D">
        <w:t>on</w:t>
      </w:r>
    </w:p>
    <w:p w14:paraId="0CF0D81D" w14:textId="16B51909" w:rsidR="004613CE" w:rsidRPr="0048392D" w:rsidRDefault="004613CE" w:rsidP="004613CE">
      <w:pPr>
        <w:pStyle w:val="Bullet"/>
      </w:pPr>
      <w:r w:rsidRPr="0048392D">
        <w:t>High costs of transporting materials to remote bui</w:t>
      </w:r>
      <w:r w:rsidR="00923129" w:rsidRPr="0048392D">
        <w:t>l</w:t>
      </w:r>
      <w:r w:rsidRPr="0048392D">
        <w:t>ding sites</w:t>
      </w:r>
    </w:p>
    <w:p w14:paraId="4643E075" w14:textId="55A676A5" w:rsidR="004613CE" w:rsidRPr="0048392D" w:rsidRDefault="00923129" w:rsidP="004613CE">
      <w:pPr>
        <w:pStyle w:val="Bullet"/>
      </w:pPr>
      <w:r w:rsidRPr="0048392D">
        <w:t>Shortage</w:t>
      </w:r>
      <w:r w:rsidR="004613CE" w:rsidRPr="0048392D">
        <w:t xml:space="preserve"> of trades </w:t>
      </w:r>
      <w:r w:rsidRPr="0048392D">
        <w:t>people</w:t>
      </w:r>
      <w:r w:rsidR="004613CE" w:rsidRPr="0048392D">
        <w:t xml:space="preserve"> and high costs of external labour</w:t>
      </w:r>
    </w:p>
    <w:p w14:paraId="473491A2" w14:textId="6020E64B" w:rsidR="007E2272" w:rsidRPr="0048392D" w:rsidRDefault="007E2272" w:rsidP="004613CE">
      <w:pPr>
        <w:pStyle w:val="Bullet"/>
      </w:pPr>
      <w:r w:rsidRPr="0048392D">
        <w:lastRenderedPageBreak/>
        <w:t>Lack of competition in tender processes</w:t>
      </w:r>
    </w:p>
    <w:p w14:paraId="7B2E9562" w14:textId="5EA0C4A4" w:rsidR="004613CE" w:rsidRPr="0048392D" w:rsidRDefault="004613CE" w:rsidP="004613CE">
      <w:pPr>
        <w:pStyle w:val="Bullet"/>
      </w:pPr>
      <w:r w:rsidRPr="0048392D">
        <w:t xml:space="preserve">Poor </w:t>
      </w:r>
      <w:r w:rsidR="00923129" w:rsidRPr="0048392D">
        <w:t>economies</w:t>
      </w:r>
      <w:r w:rsidRPr="0048392D">
        <w:t xml:space="preserve"> of scale in </w:t>
      </w:r>
      <w:r w:rsidR="00923129" w:rsidRPr="0048392D">
        <w:t>purchasing</w:t>
      </w:r>
    </w:p>
    <w:p w14:paraId="692FBFFB" w14:textId="4BDCF97F" w:rsidR="007E2272" w:rsidRPr="0048392D" w:rsidRDefault="004613CE" w:rsidP="003D5C33">
      <w:pPr>
        <w:pStyle w:val="Bullet"/>
      </w:pPr>
      <w:r w:rsidRPr="0048392D">
        <w:t>High</w:t>
      </w:r>
      <w:r w:rsidR="00923129" w:rsidRPr="0048392D">
        <w:t>er labour costs from having on</w:t>
      </w:r>
      <w:r w:rsidRPr="0048392D">
        <w:t>ly a 6-7 month construction seas</w:t>
      </w:r>
      <w:r w:rsidR="006E747F">
        <w:t>on d</w:t>
      </w:r>
      <w:r w:rsidR="00923129" w:rsidRPr="0048392D">
        <w:t>ue to climate issues in so</w:t>
      </w:r>
      <w:r w:rsidRPr="0048392D">
        <w:t xml:space="preserve">me </w:t>
      </w:r>
      <w:r w:rsidR="003D5C33" w:rsidRPr="0048392D">
        <w:t>p</w:t>
      </w:r>
      <w:r w:rsidRPr="0048392D">
        <w:t>arts of Au</w:t>
      </w:r>
      <w:r w:rsidR="00923129" w:rsidRPr="0048392D">
        <w:t>s</w:t>
      </w:r>
      <w:r w:rsidRPr="0048392D">
        <w:t>tralia</w:t>
      </w:r>
    </w:p>
    <w:p w14:paraId="3A802254" w14:textId="625E8827" w:rsidR="004613CE" w:rsidRPr="0048392D" w:rsidRDefault="007E2272" w:rsidP="003D5C33">
      <w:pPr>
        <w:pStyle w:val="Bullet"/>
      </w:pPr>
      <w:r w:rsidRPr="0048392D">
        <w:t>Greater costs of infrastructure – costs that must be divided across a relatively low number of residents compared with urban and provincial centres</w:t>
      </w:r>
      <w:r w:rsidR="0080611D" w:rsidRPr="0048392D">
        <w:rPr>
          <w:rStyle w:val="FootnoteReference"/>
        </w:rPr>
        <w:footnoteReference w:id="13"/>
      </w:r>
    </w:p>
    <w:p w14:paraId="54D42514" w14:textId="65C4A59B" w:rsidR="00A42231" w:rsidRDefault="00A42231" w:rsidP="00A42231">
      <w:pPr>
        <w:pStyle w:val="Heading3"/>
      </w:pPr>
      <w:r>
        <w:t>Remoteness affects cost for all maintenance activities</w:t>
      </w:r>
      <w:bookmarkEnd w:id="80"/>
      <w:bookmarkEnd w:id="81"/>
    </w:p>
    <w:p w14:paraId="699F427F" w14:textId="41F0C405" w:rsidR="00854D27" w:rsidRDefault="00CB0FEC" w:rsidP="003B17D6">
      <w:pPr>
        <w:pStyle w:val="Caption"/>
        <w:jc w:val="left"/>
      </w:pPr>
      <w:r>
        <w:t>W</w:t>
      </w:r>
      <w:r w:rsidR="003B17D6">
        <w:t>hen looking at individual maintenance and repair items, there is a clear link between remoteness and per-unit cost.</w:t>
      </w:r>
      <w:r w:rsidR="00F3248B">
        <w:t xml:space="preserve"> </w:t>
      </w:r>
      <w:r w:rsidR="00B7130D">
        <w:rPr>
          <w:highlight w:val="yellow"/>
        </w:rPr>
        <w:fldChar w:fldCharType="begin"/>
      </w:r>
      <w:r w:rsidR="00B7130D">
        <w:rPr>
          <w:highlight w:val="yellow"/>
        </w:rPr>
        <w:instrText xml:space="preserve"> REF _Ref475912761 \h </w:instrText>
      </w:r>
      <w:r w:rsidR="00B7130D">
        <w:rPr>
          <w:highlight w:val="yellow"/>
        </w:rPr>
      </w:r>
      <w:r w:rsidR="00B7130D">
        <w:rPr>
          <w:highlight w:val="yellow"/>
        </w:rPr>
        <w:fldChar w:fldCharType="separate"/>
      </w:r>
      <w:r w:rsidR="004A1B2E">
        <w:t xml:space="preserve">Figure </w:t>
      </w:r>
      <w:r w:rsidR="004A1B2E">
        <w:rPr>
          <w:noProof/>
        </w:rPr>
        <w:t>8</w:t>
      </w:r>
      <w:r w:rsidR="00B7130D">
        <w:rPr>
          <w:highlight w:val="yellow"/>
        </w:rPr>
        <w:fldChar w:fldCharType="end"/>
      </w:r>
      <w:r w:rsidR="00F3248B">
        <w:t xml:space="preserve"> displays the cost of various repair and maintenance activities in very remote and island communities, indexed to the cost of the equivalent activity in remote communities. </w:t>
      </w:r>
      <w:r w:rsidR="00C542C3">
        <w:t>As evident in the c</w:t>
      </w:r>
      <w:r w:rsidR="00854D27">
        <w:t>h</w:t>
      </w:r>
      <w:r w:rsidR="00C542C3">
        <w:t>art, 80 per cent of maintenance activities are more costly in very remote communities than remote communities, while</w:t>
      </w:r>
      <w:r w:rsidR="00854D27">
        <w:t xml:space="preserve"> 71 per cent of activities are more costly in island communities than the equivalent activity in remote communities.</w:t>
      </w:r>
    </w:p>
    <w:p w14:paraId="1DC6FCA6" w14:textId="77777777" w:rsidR="003B17D6" w:rsidRDefault="003D37CA" w:rsidP="003B17D6">
      <w:pPr>
        <w:pStyle w:val="Caption"/>
        <w:jc w:val="left"/>
      </w:pPr>
      <w:r>
        <w:t xml:space="preserve">The majority </w:t>
      </w:r>
      <w:r w:rsidR="00A42231">
        <w:t xml:space="preserve">(57 per cent) </w:t>
      </w:r>
      <w:r>
        <w:t xml:space="preserve">of </w:t>
      </w:r>
      <w:r w:rsidR="00A42231">
        <w:t>repair and maintenance activities in very remote communities cost between 1.3 and 5.1 times the equivalent activity in a remote community. Fifty-nine per cent of activities in island communities also lie in this range.</w:t>
      </w:r>
    </w:p>
    <w:p w14:paraId="75D71F1A" w14:textId="77777777" w:rsidR="003B17D6" w:rsidRDefault="00854D27" w:rsidP="00CB0FEC">
      <w:r>
        <w:t xml:space="preserve">The cost difference between remote communities and very remote and island communities is not confined to any subset of particular activities. </w:t>
      </w:r>
      <w:r w:rsidR="00B7130D">
        <w:t xml:space="preserve">The figure below </w:t>
      </w:r>
      <w:r>
        <w:t>displays no clear difference in remoteness effect for one or more particular activity.</w:t>
      </w:r>
    </w:p>
    <w:p w14:paraId="58D12E7E" w14:textId="26C58D71" w:rsidR="00DF6F9F" w:rsidRDefault="003B17D6" w:rsidP="006F1414">
      <w:pPr>
        <w:pStyle w:val="Figure"/>
      </w:pPr>
      <w:bookmarkStart w:id="82" w:name="_Ref475912761"/>
      <w:bookmarkStart w:id="83" w:name="Figure8Return"/>
      <w:bookmarkStart w:id="84" w:name="_Ref475912758"/>
      <w:r>
        <w:t xml:space="preserve">Figure </w:t>
      </w:r>
      <w:fldSimple w:instr=" SEQ Figure \* ARABIC ">
        <w:r w:rsidR="004A1B2E">
          <w:rPr>
            <w:noProof/>
          </w:rPr>
          <w:t>8</w:t>
        </w:r>
      </w:fldSimple>
      <w:bookmarkEnd w:id="82"/>
      <w:bookmarkEnd w:id="83"/>
      <w:r>
        <w:t>:</w:t>
      </w:r>
      <w:r w:rsidRPr="004D3310">
        <w:t xml:space="preserve"> </w:t>
      </w:r>
      <w:r>
        <w:t>Cost of maintenance activitie</w:t>
      </w:r>
      <w:r w:rsidR="00A64831">
        <w:t xml:space="preserve">s by remoteness classification, </w:t>
      </w:r>
      <w:r>
        <w:t>indexe</w:t>
      </w:r>
      <w:r w:rsidR="00A64831">
        <w:t>d to cost in remote communities,</w:t>
      </w:r>
      <w:r>
        <w:t xml:space="preserve"> grouped by maintenance and repair activity</w:t>
      </w:r>
      <w:bookmarkEnd w:id="84"/>
      <w:r w:rsidR="00BA59A9">
        <w:t xml:space="preserve">, </w:t>
      </w:r>
      <w:r w:rsidR="00A64831">
        <w:t>(</w:t>
      </w:r>
      <w:r w:rsidR="00BA59A9">
        <w:t>exponential scale</w:t>
      </w:r>
      <w:r w:rsidR="00A64831">
        <w:t>)</w:t>
      </w:r>
    </w:p>
    <w:p w14:paraId="6BF16FF6" w14:textId="77777777" w:rsidR="003B17D6" w:rsidRDefault="00DF6F9F" w:rsidP="003B17D6">
      <w:pPr>
        <w:pStyle w:val="Caption"/>
        <w:jc w:val="left"/>
        <w:rPr>
          <w:highlight w:val="yellow"/>
        </w:rPr>
      </w:pPr>
      <w:r>
        <w:rPr>
          <w:noProof/>
        </w:rPr>
        <w:drawing>
          <wp:inline distT="0" distB="0" distL="0" distR="0" wp14:anchorId="34984998" wp14:editId="1B73FC69">
            <wp:extent cx="6196007" cy="262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6007" cy="2628000"/>
                    </a:xfrm>
                    <a:prstGeom prst="rect">
                      <a:avLst/>
                    </a:prstGeom>
                    <a:noFill/>
                  </pic:spPr>
                </pic:pic>
              </a:graphicData>
            </a:graphic>
          </wp:inline>
        </w:drawing>
      </w:r>
    </w:p>
    <w:p w14:paraId="1F17C564" w14:textId="4FD92ECB" w:rsidR="000D2595" w:rsidRPr="000510EE" w:rsidRDefault="007900B6" w:rsidP="00A817CC">
      <w:r>
        <w:t xml:space="preserve">View the </w:t>
      </w:r>
      <w:hyperlink w:anchor="Figure8" w:history="1">
        <w:r w:rsidRPr="007900B6">
          <w:rPr>
            <w:rStyle w:val="Hyperlink"/>
          </w:rPr>
          <w:t>text version of Figure 8</w:t>
        </w:r>
      </w:hyperlink>
      <w:r>
        <w:t>.</w:t>
      </w:r>
    </w:p>
    <w:p w14:paraId="2861288E" w14:textId="641D85BF" w:rsidR="00EB2C47" w:rsidRPr="00A4312E" w:rsidRDefault="00A4312E" w:rsidP="00EB2C47">
      <w:r w:rsidRPr="00A4312E">
        <w:lastRenderedPageBreak/>
        <w:t xml:space="preserve">Very remote and island communities also experience a greater variability in maintenance and repair costs than remote communities. </w:t>
      </w:r>
      <w:r w:rsidR="00A24979">
        <w:t xml:space="preserve">This is shown in </w:t>
      </w:r>
      <w:r w:rsidR="00A24979">
        <w:fldChar w:fldCharType="begin"/>
      </w:r>
      <w:r w:rsidR="00A24979">
        <w:instrText xml:space="preserve"> REF _Ref475913029 \h </w:instrText>
      </w:r>
      <w:r w:rsidR="00A24979">
        <w:fldChar w:fldCharType="separate"/>
      </w:r>
      <w:r w:rsidR="004A1B2E">
        <w:t xml:space="preserve">Figure </w:t>
      </w:r>
      <w:r w:rsidR="004A1B2E">
        <w:rPr>
          <w:noProof/>
        </w:rPr>
        <w:t>9</w:t>
      </w:r>
      <w:r w:rsidR="00A24979">
        <w:fldChar w:fldCharType="end"/>
      </w:r>
      <w:r>
        <w:t xml:space="preserve">, which displays the middle 50 per cent (interquartile range) </w:t>
      </w:r>
      <w:r w:rsidR="00A24979">
        <w:t xml:space="preserve">of </w:t>
      </w:r>
      <w:r>
        <w:t>cost items for maintenance and repair activities for each of the three levels of remoteness. While the first quartile values sit at similar levels for all three remoteness classifications, the third quartile values are significantly higher in very remote and island communities, than in remote communities.</w:t>
      </w:r>
    </w:p>
    <w:p w14:paraId="325D908D" w14:textId="77777777" w:rsidR="00EB2C47" w:rsidRPr="00EB2C47" w:rsidRDefault="00EB2C47" w:rsidP="00EB2C47">
      <w:pPr>
        <w:rPr>
          <w:highlight w:val="yellow"/>
        </w:rPr>
      </w:pPr>
    </w:p>
    <w:p w14:paraId="283B9EA5" w14:textId="1DF527A2" w:rsidR="00725072" w:rsidRDefault="00A4312E" w:rsidP="006F1414">
      <w:pPr>
        <w:pStyle w:val="Figure"/>
      </w:pPr>
      <w:bookmarkStart w:id="85" w:name="_Ref475913029"/>
      <w:bookmarkStart w:id="86" w:name="Figure9Return"/>
      <w:r>
        <w:t xml:space="preserve">Figure </w:t>
      </w:r>
      <w:fldSimple w:instr=" SEQ Figure \* ARABIC ">
        <w:r w:rsidR="004A1B2E">
          <w:rPr>
            <w:noProof/>
          </w:rPr>
          <w:t>9</w:t>
        </w:r>
      </w:fldSimple>
      <w:bookmarkEnd w:id="85"/>
      <w:bookmarkEnd w:id="86"/>
      <w:r>
        <w:t>: Distribution of all maintenance and repair costs per-unit, by remoteness classification</w:t>
      </w:r>
    </w:p>
    <w:p w14:paraId="111B465B" w14:textId="3884DFD3" w:rsidR="000D2595" w:rsidRDefault="00725072" w:rsidP="000D2595">
      <w:pPr>
        <w:pStyle w:val="Caption"/>
        <w:jc w:val="left"/>
      </w:pPr>
      <w:r>
        <w:rPr>
          <w:noProof/>
        </w:rPr>
        <w:drawing>
          <wp:inline distT="0" distB="0" distL="0" distR="0" wp14:anchorId="4439ED5B" wp14:editId="0F5AC4C6">
            <wp:extent cx="5680605" cy="2447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5386" cy="2449985"/>
                    </a:xfrm>
                    <a:prstGeom prst="rect">
                      <a:avLst/>
                    </a:prstGeom>
                    <a:noFill/>
                  </pic:spPr>
                </pic:pic>
              </a:graphicData>
            </a:graphic>
          </wp:inline>
        </w:drawing>
      </w:r>
      <w:bookmarkStart w:id="87" w:name="_Toc475982704"/>
      <w:bookmarkStart w:id="88" w:name="_Toc475990791"/>
      <w:bookmarkStart w:id="89" w:name="_Toc475447315"/>
    </w:p>
    <w:p w14:paraId="09C72937" w14:textId="6ABF63E7" w:rsidR="000D2595" w:rsidRPr="000510EE" w:rsidRDefault="007900B6" w:rsidP="000D2595">
      <w:r>
        <w:t xml:space="preserve">View the </w:t>
      </w:r>
      <w:hyperlink w:anchor="Figure9" w:history="1">
        <w:r w:rsidRPr="007900B6">
          <w:rPr>
            <w:rStyle w:val="Hyperlink"/>
          </w:rPr>
          <w:t>text version for Figure 9</w:t>
        </w:r>
      </w:hyperlink>
      <w:r>
        <w:t>.</w:t>
      </w:r>
    </w:p>
    <w:p w14:paraId="717F2D2D" w14:textId="77777777" w:rsidR="00036FFE" w:rsidRDefault="00036FFE" w:rsidP="00036FFE">
      <w:pPr>
        <w:pStyle w:val="Heading3"/>
      </w:pPr>
      <w:r>
        <w:t>Analysis of individual repair items shows a relatively consistent slope with costs rising</w:t>
      </w:r>
      <w:r w:rsidR="00610432">
        <w:t xml:space="preserve"> to 2 to 3</w:t>
      </w:r>
      <w:r w:rsidR="00CB0FEC">
        <w:t xml:space="preserve"> times in island communities</w:t>
      </w:r>
      <w:bookmarkEnd w:id="87"/>
      <w:bookmarkEnd w:id="88"/>
      <w:r w:rsidR="00CB0FEC">
        <w:t xml:space="preserve"> </w:t>
      </w:r>
      <w:r>
        <w:t xml:space="preserve"> </w:t>
      </w:r>
      <w:bookmarkEnd w:id="89"/>
    </w:p>
    <w:p w14:paraId="36F5160D" w14:textId="17FB4B1D" w:rsidR="008960BC" w:rsidRDefault="00036FFE" w:rsidP="00036FFE">
      <w:r>
        <w:t>While very remote or island settings do not automatically result in higher overall recurrent mainte</w:t>
      </w:r>
      <w:r w:rsidR="000B5E40">
        <w:t>nance costs, analysis of discrete</w:t>
      </w:r>
      <w:r>
        <w:t xml:space="preserve"> maintenance and repair activities shows a distinct effect of remoteness.</w:t>
      </w:r>
    </w:p>
    <w:p w14:paraId="735BD08E" w14:textId="77777777" w:rsidR="008960BC" w:rsidRDefault="00A24979" w:rsidP="00036FFE">
      <w:r>
        <w:fldChar w:fldCharType="begin"/>
      </w:r>
      <w:r>
        <w:instrText xml:space="preserve"> REF _Ref475913069 \h </w:instrText>
      </w:r>
      <w:r>
        <w:fldChar w:fldCharType="separate"/>
      </w:r>
      <w:r w:rsidR="004A1B2E">
        <w:t xml:space="preserve">Figure </w:t>
      </w:r>
      <w:r w:rsidR="004A1B2E">
        <w:rPr>
          <w:noProof/>
        </w:rPr>
        <w:t>10</w:t>
      </w:r>
      <w:r>
        <w:fldChar w:fldCharType="end"/>
      </w:r>
      <w:r>
        <w:t xml:space="preserve"> and </w:t>
      </w:r>
      <w:r>
        <w:fldChar w:fldCharType="begin"/>
      </w:r>
      <w:r>
        <w:instrText xml:space="preserve"> REF _Ref475913082 \h </w:instrText>
      </w:r>
      <w:r>
        <w:fldChar w:fldCharType="separate"/>
      </w:r>
      <w:r w:rsidR="004A1B2E">
        <w:t xml:space="preserve">Figure </w:t>
      </w:r>
      <w:r w:rsidR="004A1B2E">
        <w:rPr>
          <w:noProof/>
        </w:rPr>
        <w:t>11</w:t>
      </w:r>
      <w:r>
        <w:fldChar w:fldCharType="end"/>
      </w:r>
      <w:r w:rsidR="008960BC">
        <w:t xml:space="preserve"> below show a clear increase in mean repair and maintenance costs by remoteness.</w:t>
      </w:r>
    </w:p>
    <w:p w14:paraId="245CBDA4" w14:textId="07165BB8" w:rsidR="006F1414" w:rsidRDefault="008960BC" w:rsidP="00036FFE">
      <w:r>
        <w:t>Costs of replacing a s</w:t>
      </w:r>
      <w:r w:rsidR="00563424">
        <w:t>mok</w:t>
      </w:r>
      <w:r>
        <w:t>e</w:t>
      </w:r>
      <w:r w:rsidR="00563424">
        <w:t xml:space="preserve"> detector</w:t>
      </w:r>
      <w:r>
        <w:t xml:space="preserve"> (in a responsive maintenance bundle), are shown in </w:t>
      </w:r>
      <w:r w:rsidR="00A24979">
        <w:fldChar w:fldCharType="begin"/>
      </w:r>
      <w:r w:rsidR="00A24979">
        <w:instrText xml:space="preserve"> REF _Ref475913069 \h </w:instrText>
      </w:r>
      <w:r w:rsidR="00A24979">
        <w:fldChar w:fldCharType="separate"/>
      </w:r>
      <w:r w:rsidR="004A1B2E">
        <w:t xml:space="preserve">Figure </w:t>
      </w:r>
      <w:r w:rsidR="004A1B2E">
        <w:rPr>
          <w:noProof/>
        </w:rPr>
        <w:t>10</w:t>
      </w:r>
      <w:r w:rsidR="00A24979">
        <w:fldChar w:fldCharType="end"/>
      </w:r>
      <w:r>
        <w:t>.</w:t>
      </w:r>
      <w:r w:rsidR="00563424">
        <w:t xml:space="preserve"> In this example, a positive linear trend in mean repair cost is evident. Analysis suggests a $435 increase in mean repair cost as remoteness increases</w:t>
      </w:r>
      <w:r w:rsidR="006F044F">
        <w:t xml:space="preserve"> (going from remote, to very remote, to island locations)</w:t>
      </w:r>
      <w:r w:rsidR="00563424">
        <w:t xml:space="preserve">. </w:t>
      </w:r>
      <w:r w:rsidR="00610432">
        <w:t xml:space="preserve">The mean cost in island communities is approximately three times the mean in remote communities. </w:t>
      </w:r>
      <w:r w:rsidR="00563424">
        <w:t>Minimum and maximum per-unit repair cost also increase with remoteness.</w:t>
      </w:r>
    </w:p>
    <w:p w14:paraId="19B6811D" w14:textId="71049538" w:rsidR="007259CC" w:rsidRDefault="00036FFE" w:rsidP="006F1414">
      <w:pPr>
        <w:pStyle w:val="Figure"/>
      </w:pPr>
      <w:bookmarkStart w:id="90" w:name="Figure10Return"/>
      <w:r>
        <w:t xml:space="preserve"> </w:t>
      </w:r>
      <w:bookmarkStart w:id="91" w:name="_Ref475913069"/>
      <w:r>
        <w:t xml:space="preserve">Figure </w:t>
      </w:r>
      <w:fldSimple w:instr=" SEQ Figure \* ARABIC ">
        <w:r w:rsidR="004A1B2E">
          <w:rPr>
            <w:noProof/>
          </w:rPr>
          <w:t>10</w:t>
        </w:r>
      </w:fldSimple>
      <w:bookmarkEnd w:id="90"/>
      <w:bookmarkEnd w:id="91"/>
      <w:r>
        <w:t>: Distribution of per-unit costs of replacing a smoke detector (responsive maintenance)</w:t>
      </w:r>
    </w:p>
    <w:p w14:paraId="09C1C0A3" w14:textId="6D10F42C" w:rsidR="00036FFE" w:rsidRDefault="007259CC" w:rsidP="007259CC">
      <w:pPr>
        <w:pStyle w:val="Caption"/>
      </w:pPr>
      <w:r>
        <w:rPr>
          <w:noProof/>
        </w:rPr>
        <w:lastRenderedPageBreak/>
        <w:drawing>
          <wp:inline distT="0" distB="0" distL="0" distR="0" wp14:anchorId="2A209E90" wp14:editId="295AC14D">
            <wp:extent cx="5265915" cy="30163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2216" cy="3019987"/>
                    </a:xfrm>
                    <a:prstGeom prst="rect">
                      <a:avLst/>
                    </a:prstGeom>
                    <a:noFill/>
                  </pic:spPr>
                </pic:pic>
              </a:graphicData>
            </a:graphic>
          </wp:inline>
        </w:drawing>
      </w:r>
    </w:p>
    <w:p w14:paraId="3C80B686" w14:textId="09EB8DBB" w:rsidR="000314E1" w:rsidRDefault="007900B6" w:rsidP="00A817CC">
      <w:r>
        <w:t xml:space="preserve">View the </w:t>
      </w:r>
      <w:hyperlink w:anchor="Figure10" w:history="1">
        <w:r w:rsidRPr="007900B6">
          <w:rPr>
            <w:rStyle w:val="Hyperlink"/>
          </w:rPr>
          <w:t>text version for Figure 10</w:t>
        </w:r>
      </w:hyperlink>
      <w:r>
        <w:t>.</w:t>
      </w:r>
    </w:p>
    <w:p w14:paraId="6FED24D4" w14:textId="52544ECB" w:rsidR="00563424" w:rsidRDefault="00563424" w:rsidP="00563424">
      <w:r>
        <w:t xml:space="preserve">Costs of replacing a stove (in a responsive maintenance bundle), are shown in </w:t>
      </w:r>
      <w:r w:rsidR="007F79B9">
        <w:fldChar w:fldCharType="begin"/>
      </w:r>
      <w:r w:rsidR="007F79B9">
        <w:instrText xml:space="preserve"> REF _Ref475913082 \h </w:instrText>
      </w:r>
      <w:r w:rsidR="007F79B9">
        <w:fldChar w:fldCharType="separate"/>
      </w:r>
      <w:r w:rsidR="004A1B2E">
        <w:t xml:space="preserve">Figure </w:t>
      </w:r>
      <w:r w:rsidR="004A1B2E">
        <w:rPr>
          <w:noProof/>
        </w:rPr>
        <w:t>11</w:t>
      </w:r>
      <w:r w:rsidR="007F79B9">
        <w:fldChar w:fldCharType="end"/>
      </w:r>
      <w:r>
        <w:t xml:space="preserve">. As in </w:t>
      </w:r>
      <w:r w:rsidR="007F79B9">
        <w:fldChar w:fldCharType="begin"/>
      </w:r>
      <w:r w:rsidR="007F79B9">
        <w:instrText xml:space="preserve"> REF _Ref475913069 \h </w:instrText>
      </w:r>
      <w:r w:rsidR="007F79B9">
        <w:fldChar w:fldCharType="separate"/>
      </w:r>
      <w:r w:rsidR="004A1B2E">
        <w:t xml:space="preserve">Figure </w:t>
      </w:r>
      <w:r w:rsidR="004A1B2E">
        <w:rPr>
          <w:noProof/>
        </w:rPr>
        <w:t>10</w:t>
      </w:r>
      <w:r w:rsidR="007F79B9">
        <w:fldChar w:fldCharType="end"/>
      </w:r>
      <w:r>
        <w:t xml:space="preserve">, a positive linear trend in mean repair cost is evident. Analysis suggests a $770 increase in mean repair cost as remoteness increases. </w:t>
      </w:r>
      <w:r w:rsidR="00610432">
        <w:t xml:space="preserve">The mean cost in island communities is approximately double the mean cost in remote communities. </w:t>
      </w:r>
      <w:r>
        <w:t>Once again, minimum and maximum per-unit repair cost also increase with remoteness.</w:t>
      </w:r>
    </w:p>
    <w:p w14:paraId="7937FD53" w14:textId="12F3E57F" w:rsidR="005E3F20" w:rsidRDefault="00036FFE" w:rsidP="006F1414">
      <w:pPr>
        <w:pStyle w:val="Figure"/>
      </w:pPr>
      <w:bookmarkStart w:id="92" w:name="_Ref475913082"/>
      <w:bookmarkStart w:id="93" w:name="Figure11Return"/>
      <w:r>
        <w:t xml:space="preserve">Figure </w:t>
      </w:r>
      <w:fldSimple w:instr=" SEQ Figure \* ARABIC ">
        <w:r w:rsidR="004A1B2E">
          <w:rPr>
            <w:noProof/>
          </w:rPr>
          <w:t>11</w:t>
        </w:r>
      </w:fldSimple>
      <w:bookmarkEnd w:id="92"/>
      <w:bookmarkEnd w:id="93"/>
      <w:r>
        <w:t>:</w:t>
      </w:r>
      <w:r w:rsidRPr="003B115A">
        <w:t xml:space="preserve"> Distribution of</w:t>
      </w:r>
      <w:r>
        <w:t xml:space="preserve"> per-unit costs of replacing a stove</w:t>
      </w:r>
      <w:r w:rsidRPr="003B115A">
        <w:t xml:space="preserve"> (responsive maintenance)</w:t>
      </w:r>
    </w:p>
    <w:p w14:paraId="70E04524" w14:textId="73FE57B4" w:rsidR="00036FFE" w:rsidRDefault="005E3F20" w:rsidP="00036FFE">
      <w:pPr>
        <w:pStyle w:val="Caption"/>
      </w:pPr>
      <w:r>
        <w:rPr>
          <w:noProof/>
        </w:rPr>
        <w:drawing>
          <wp:inline distT="0" distB="0" distL="0" distR="0" wp14:anchorId="40D71B86" wp14:editId="0809C0D9">
            <wp:extent cx="4924425" cy="28830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6449" cy="2890122"/>
                    </a:xfrm>
                    <a:prstGeom prst="rect">
                      <a:avLst/>
                    </a:prstGeom>
                    <a:noFill/>
                  </pic:spPr>
                </pic:pic>
              </a:graphicData>
            </a:graphic>
          </wp:inline>
        </w:drawing>
      </w:r>
    </w:p>
    <w:p w14:paraId="64F3F930" w14:textId="2D259CB0" w:rsidR="000314E1" w:rsidRPr="000510EE" w:rsidRDefault="007900B6" w:rsidP="00A817CC">
      <w:r>
        <w:t xml:space="preserve">View the </w:t>
      </w:r>
      <w:hyperlink w:anchor="Figure11" w:history="1">
        <w:r w:rsidRPr="007900B6">
          <w:rPr>
            <w:rStyle w:val="Hyperlink"/>
          </w:rPr>
          <w:t>text version for Figure 11</w:t>
        </w:r>
      </w:hyperlink>
      <w:r>
        <w:t>.</w:t>
      </w:r>
    </w:p>
    <w:p w14:paraId="555EECDB" w14:textId="43A47C5E" w:rsidR="00027BFB" w:rsidRDefault="00563424" w:rsidP="00563424">
      <w:r>
        <w:t xml:space="preserve">While the above </w:t>
      </w:r>
      <w:r w:rsidR="00CC79AC">
        <w:t>analysis</w:t>
      </w:r>
      <w:r>
        <w:t xml:space="preserve"> </w:t>
      </w:r>
      <w:r w:rsidR="00CC79AC">
        <w:t>is conducted on a small set of</w:t>
      </w:r>
      <w:r>
        <w:t xml:space="preserve"> data</w:t>
      </w:r>
      <w:r w:rsidR="00B03D64">
        <w:t>,</w:t>
      </w:r>
      <w:r>
        <w:t xml:space="preserve"> </w:t>
      </w:r>
      <w:r w:rsidR="00CC79AC">
        <w:t>available quantitative and qualitative evidence indicates that the effects of remoteness are significant and largely unavoidable.</w:t>
      </w:r>
    </w:p>
    <w:p w14:paraId="35B17A5B" w14:textId="77777777" w:rsidR="0046259E" w:rsidRDefault="00F73D40" w:rsidP="0046259E">
      <w:pPr>
        <w:pStyle w:val="Heading2"/>
      </w:pPr>
      <w:bookmarkStart w:id="94" w:name="_Toc475447316"/>
      <w:bookmarkStart w:id="95" w:name="_Toc475982705"/>
      <w:bookmarkStart w:id="96" w:name="_Toc475990792"/>
      <w:bookmarkStart w:id="97" w:name="_Toc480791434"/>
      <w:r>
        <w:lastRenderedPageBreak/>
        <w:t>Emergency maintenance can drive costs up to 20 times higher</w:t>
      </w:r>
      <w:bookmarkEnd w:id="94"/>
      <w:bookmarkEnd w:id="95"/>
      <w:bookmarkEnd w:id="96"/>
      <w:bookmarkEnd w:id="97"/>
    </w:p>
    <w:p w14:paraId="74AFC501" w14:textId="77777777" w:rsidR="0046259E" w:rsidRPr="0046259E" w:rsidRDefault="0046259E" w:rsidP="0046259E">
      <w:pPr>
        <w:pStyle w:val="Heading3"/>
      </w:pPr>
      <w:bookmarkStart w:id="98" w:name="_Toc475982706"/>
      <w:bookmarkStart w:id="99" w:name="_Toc475990793"/>
      <w:r>
        <w:t xml:space="preserve">Emergency </w:t>
      </w:r>
      <w:r w:rsidR="002C6173">
        <w:t xml:space="preserve">maintenance </w:t>
      </w:r>
      <w:r>
        <w:t>costs are</w:t>
      </w:r>
      <w:r w:rsidR="007F1244">
        <w:t xml:space="preserve"> on average</w:t>
      </w:r>
      <w:r>
        <w:t xml:space="preserve"> </w:t>
      </w:r>
      <w:r w:rsidR="00307B5A">
        <w:t>75 per cent</w:t>
      </w:r>
      <w:r>
        <w:t xml:space="preserve"> higher than planned</w:t>
      </w:r>
      <w:r w:rsidR="002C6173">
        <w:t xml:space="preserve"> maintenance costs</w:t>
      </w:r>
      <w:bookmarkEnd w:id="98"/>
      <w:bookmarkEnd w:id="99"/>
    </w:p>
    <w:p w14:paraId="1625B04D" w14:textId="77777777" w:rsidR="00D42284" w:rsidRDefault="00D42284" w:rsidP="00D42284">
      <w:pPr>
        <w:pStyle w:val="Caption"/>
        <w:jc w:val="left"/>
      </w:pPr>
      <w:r>
        <w:t>Analysis of works packaging indicates that</w:t>
      </w:r>
      <w:r w:rsidR="00307B5A">
        <w:t xml:space="preserve"> the median cost of</w:t>
      </w:r>
      <w:r>
        <w:t xml:space="preserve"> emergency maintenance and repair activities </w:t>
      </w:r>
      <w:r w:rsidR="00307B5A">
        <w:t>is 75 per cent hig</w:t>
      </w:r>
      <w:r>
        <w:t>her than planne</w:t>
      </w:r>
      <w:r w:rsidR="00307B5A">
        <w:t>d activities</w:t>
      </w:r>
      <w:r>
        <w:t xml:space="preserve">, while responsive </w:t>
      </w:r>
      <w:r w:rsidR="00307B5A">
        <w:t>activities are 50 per cent more costly</w:t>
      </w:r>
      <w:r>
        <w:t xml:space="preserve"> than planned.</w:t>
      </w:r>
    </w:p>
    <w:p w14:paraId="3EE933E5" w14:textId="77777777" w:rsidR="00307B5A" w:rsidRPr="00307B5A" w:rsidRDefault="00307B5A" w:rsidP="00307B5A">
      <w:r>
        <w:t>At the extremes, some maintenance and repair activities are up to 20 times higher in an emergency situation than in a planned maintenance package.</w:t>
      </w:r>
      <w:r w:rsidR="007F1244">
        <w:t xml:space="preserve"> </w:t>
      </w:r>
    </w:p>
    <w:p w14:paraId="27F800F1" w14:textId="4CBC27B2" w:rsidR="00E965AB" w:rsidRDefault="00F73D40" w:rsidP="006F1414">
      <w:pPr>
        <w:pStyle w:val="Figure"/>
      </w:pPr>
      <w:bookmarkStart w:id="100" w:name="Figure12Return"/>
      <w:r>
        <w:t xml:space="preserve">Figure </w:t>
      </w:r>
      <w:fldSimple w:instr=" SEQ Figure \* ARABIC ">
        <w:r w:rsidR="004A1B2E">
          <w:rPr>
            <w:noProof/>
          </w:rPr>
          <w:t>12</w:t>
        </w:r>
      </w:fldSimple>
      <w:bookmarkEnd w:id="100"/>
      <w:r>
        <w:t>: Distribution of per-unit cost by work package (indexed to planned bundle</w:t>
      </w:r>
      <w:r w:rsidR="00B03D64">
        <w:t>, exponential scale</w:t>
      </w:r>
      <w:r>
        <w:t>)</w:t>
      </w:r>
    </w:p>
    <w:p w14:paraId="4978BF5D" w14:textId="7048D43F" w:rsidR="002A7B23" w:rsidRDefault="00E965AB" w:rsidP="00F73D40">
      <w:pPr>
        <w:pStyle w:val="Caption"/>
      </w:pPr>
      <w:bookmarkStart w:id="101" w:name="_GoBack"/>
      <w:r>
        <w:rPr>
          <w:noProof/>
        </w:rPr>
        <w:drawing>
          <wp:inline distT="0" distB="0" distL="0" distR="0" wp14:anchorId="046245EA" wp14:editId="508229AA">
            <wp:extent cx="5225731" cy="32181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2089" cy="3222054"/>
                    </a:xfrm>
                    <a:prstGeom prst="rect">
                      <a:avLst/>
                    </a:prstGeom>
                    <a:noFill/>
                  </pic:spPr>
                </pic:pic>
              </a:graphicData>
            </a:graphic>
          </wp:inline>
        </w:drawing>
      </w:r>
      <w:bookmarkEnd w:id="101"/>
      <w:r>
        <w:t xml:space="preserve"> </w:t>
      </w:r>
    </w:p>
    <w:p w14:paraId="19B41D13" w14:textId="511382F3" w:rsidR="003A081E" w:rsidRDefault="007900B6" w:rsidP="003223D0">
      <w:pPr>
        <w:spacing w:after="0"/>
      </w:pPr>
      <w:r>
        <w:t xml:space="preserve">View the </w:t>
      </w:r>
      <w:hyperlink w:anchor="Figure12" w:history="1">
        <w:r w:rsidRPr="007900B6">
          <w:rPr>
            <w:rStyle w:val="Hyperlink"/>
          </w:rPr>
          <w:t>text version for Figure 12.</w:t>
        </w:r>
      </w:hyperlink>
    </w:p>
    <w:p w14:paraId="34E5E37C" w14:textId="77777777" w:rsidR="007900B6" w:rsidRPr="003223D0" w:rsidRDefault="007900B6" w:rsidP="003223D0">
      <w:pPr>
        <w:spacing w:after="0"/>
      </w:pPr>
    </w:p>
    <w:p w14:paraId="31A8E849" w14:textId="31F3ABFB" w:rsidR="007F1244" w:rsidRDefault="007F1244" w:rsidP="003223D0">
      <w:pPr>
        <w:spacing w:after="0"/>
      </w:pPr>
      <w:r>
        <w:t>Emergency maintenance costs are also significantly more variable than planned and responsive activities. The</w:t>
      </w:r>
      <w:r w:rsidR="00124421">
        <w:t xml:space="preserve"> coefficient</w:t>
      </w:r>
      <w:r>
        <w:t xml:space="preserve"> </w:t>
      </w:r>
      <w:r w:rsidR="00905DFF">
        <w:t>of variation</w:t>
      </w:r>
      <w:r>
        <w:t xml:space="preserve"> (a measure of </w:t>
      </w:r>
      <w:r w:rsidR="00905DFF">
        <w:t xml:space="preserve">relative </w:t>
      </w:r>
      <w:r>
        <w:t xml:space="preserve">variability from the average) of per-unit costs is </w:t>
      </w:r>
      <w:r w:rsidR="00905DFF">
        <w:t>77 per cent</w:t>
      </w:r>
      <w:r>
        <w:t xml:space="preserve"> for planned maintenance, </w:t>
      </w:r>
      <w:r w:rsidR="00124421">
        <w:t>88 per cent</w:t>
      </w:r>
      <w:r>
        <w:t xml:space="preserve"> for responsive maintenance and </w:t>
      </w:r>
      <w:r w:rsidR="00124421">
        <w:t>142 per cent</w:t>
      </w:r>
      <w:r>
        <w:t xml:space="preserve"> for emergency </w:t>
      </w:r>
      <w:r w:rsidR="00B66593">
        <w:t>repairs</w:t>
      </w:r>
      <w:r>
        <w:t>.</w:t>
      </w:r>
    </w:p>
    <w:p w14:paraId="2DD55F65" w14:textId="23F83AB2" w:rsidR="00750D7F" w:rsidRPr="00750D7F" w:rsidRDefault="009D0FA0" w:rsidP="003223D0">
      <w:pPr>
        <w:pStyle w:val="Heading3"/>
        <w:spacing w:before="360"/>
      </w:pPr>
      <w:bookmarkStart w:id="102" w:name="_Toc475982707"/>
      <w:bookmarkStart w:id="103" w:name="_Toc475990794"/>
      <w:r w:rsidRPr="009D0FA0">
        <w:t xml:space="preserve">The </w:t>
      </w:r>
      <w:r w:rsidR="00BF293E">
        <w:t xml:space="preserve">effects of remoteness are </w:t>
      </w:r>
      <w:r w:rsidR="007F1244">
        <w:t>7</w:t>
      </w:r>
      <w:r w:rsidR="00BF293E">
        <w:t xml:space="preserve"> times </w:t>
      </w:r>
      <w:r w:rsidR="004158D2">
        <w:t>greater</w:t>
      </w:r>
      <w:r w:rsidR="00BF293E">
        <w:t xml:space="preserve"> for emergency </w:t>
      </w:r>
      <w:r w:rsidR="004158D2">
        <w:t xml:space="preserve">repairs </w:t>
      </w:r>
      <w:r w:rsidR="00BF293E">
        <w:t>than for planned</w:t>
      </w:r>
      <w:r w:rsidR="004158D2">
        <w:t xml:space="preserve"> maintenance</w:t>
      </w:r>
      <w:bookmarkEnd w:id="102"/>
      <w:bookmarkEnd w:id="103"/>
    </w:p>
    <w:p w14:paraId="53DB7C3A" w14:textId="4C5652E1" w:rsidR="00CB68E6" w:rsidRDefault="00D42284" w:rsidP="00D42284">
      <w:r w:rsidRPr="00CB68E6">
        <w:t xml:space="preserve">The impact of job bundling is most significantly borne out in </w:t>
      </w:r>
      <w:r w:rsidR="00CB68E6" w:rsidRPr="00CB68E6">
        <w:t>very remote communities.</w:t>
      </w:r>
      <w:r w:rsidR="00CB68E6">
        <w:t xml:space="preserve"> As shown in </w:t>
      </w:r>
      <w:r w:rsidR="00CB68E6">
        <w:fldChar w:fldCharType="begin"/>
      </w:r>
      <w:r w:rsidR="00CB68E6">
        <w:instrText xml:space="preserve"> REF _Ref475913619 \h </w:instrText>
      </w:r>
      <w:r w:rsidR="00CB68E6">
        <w:fldChar w:fldCharType="separate"/>
      </w:r>
      <w:r w:rsidR="004A1B2E">
        <w:t xml:space="preserve">Figure </w:t>
      </w:r>
      <w:r w:rsidR="004A1B2E">
        <w:rPr>
          <w:noProof/>
        </w:rPr>
        <w:t>13</w:t>
      </w:r>
      <w:r w:rsidR="00CB68E6">
        <w:fldChar w:fldCharType="end"/>
      </w:r>
      <w:r w:rsidR="00CB68E6">
        <w:t xml:space="preserve">, the greatest </w:t>
      </w:r>
      <w:r w:rsidR="00040E60">
        <w:t>effects of remoteness are</w:t>
      </w:r>
      <w:r w:rsidR="00CB68E6">
        <w:t xml:space="preserve"> found in emergency repair activities</w:t>
      </w:r>
      <w:r w:rsidR="00040E60">
        <w:t xml:space="preserve">. On average, emergency repairs cost 8.5 times the equivalent activity in very remote communities. This </w:t>
      </w:r>
      <w:r w:rsidR="00ED5794">
        <w:t xml:space="preserve">is in </w:t>
      </w:r>
      <w:r w:rsidR="00040E60">
        <w:t xml:space="preserve">contrast </w:t>
      </w:r>
      <w:r w:rsidR="00040E60">
        <w:lastRenderedPageBreak/>
        <w:t>to planned maintenance activities, which in very remote communities cost on average 1.3 time</w:t>
      </w:r>
      <w:r w:rsidR="00ED5794">
        <w:t>s</w:t>
      </w:r>
      <w:r w:rsidR="00040E60">
        <w:t xml:space="preserve"> their equivalent in remote communities.</w:t>
      </w:r>
    </w:p>
    <w:p w14:paraId="29E61DB0" w14:textId="627BF387" w:rsidR="003205C9" w:rsidRDefault="00CB68E6" w:rsidP="006F1414">
      <w:pPr>
        <w:pStyle w:val="Figure"/>
      </w:pPr>
      <w:bookmarkStart w:id="104" w:name="_Ref475913619"/>
      <w:bookmarkStart w:id="105" w:name="Figure13Return"/>
      <w:r>
        <w:t xml:space="preserve">Figure </w:t>
      </w:r>
      <w:fldSimple w:instr=" SEQ Figure \* ARABIC ">
        <w:r w:rsidR="004A1B2E">
          <w:rPr>
            <w:noProof/>
          </w:rPr>
          <w:t>13</w:t>
        </w:r>
      </w:fldSimple>
      <w:bookmarkEnd w:id="104"/>
      <w:bookmarkEnd w:id="105"/>
      <w:r w:rsidR="00750D7F">
        <w:t>: Very remote: remote cost ratio - d</w:t>
      </w:r>
      <w:r>
        <w:t xml:space="preserve">istribution of maintenance cost in very remote communities relative to equivalent activity in remote communities (index base = </w:t>
      </w:r>
      <w:r w:rsidR="00B11535">
        <w:t xml:space="preserve">per-unit cost in </w:t>
      </w:r>
      <w:r>
        <w:t>remote communities)</w:t>
      </w:r>
    </w:p>
    <w:p w14:paraId="7CD6EA27" w14:textId="77777777" w:rsidR="00387D71" w:rsidRDefault="003205C9" w:rsidP="006F1414">
      <w:pPr>
        <w:pStyle w:val="Caption"/>
        <w:rPr>
          <w:bCs w:val="0"/>
          <w:color w:val="003468" w:themeColor="text2"/>
          <w:sz w:val="28"/>
        </w:rPr>
      </w:pPr>
      <w:r>
        <w:rPr>
          <w:noProof/>
        </w:rPr>
        <w:drawing>
          <wp:inline distT="0" distB="0" distL="0" distR="0" wp14:anchorId="41A12E2F" wp14:editId="48F6E2E6">
            <wp:extent cx="5286432" cy="2276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9365" cy="2282044"/>
                    </a:xfrm>
                    <a:prstGeom prst="rect">
                      <a:avLst/>
                    </a:prstGeom>
                    <a:noFill/>
                  </pic:spPr>
                </pic:pic>
              </a:graphicData>
            </a:graphic>
          </wp:inline>
        </w:drawing>
      </w:r>
      <w:bookmarkStart w:id="106" w:name="_Toc475982708"/>
      <w:bookmarkStart w:id="107" w:name="_Toc475990795"/>
    </w:p>
    <w:p w14:paraId="096D6586" w14:textId="344E1CBC" w:rsidR="00B80E22" w:rsidRPr="003223D0" w:rsidRDefault="007900B6" w:rsidP="007900B6">
      <w:r>
        <w:t xml:space="preserve">View the </w:t>
      </w:r>
      <w:hyperlink w:anchor="Figure13" w:history="1">
        <w:r w:rsidRPr="007900B6">
          <w:rPr>
            <w:rStyle w:val="Hyperlink"/>
          </w:rPr>
          <w:t>text version for Figure 13.</w:t>
        </w:r>
      </w:hyperlink>
    </w:p>
    <w:p w14:paraId="5CF2FE88" w14:textId="69BE1577" w:rsidR="0046259E" w:rsidRPr="00387D71" w:rsidRDefault="0046259E" w:rsidP="003223D0">
      <w:pPr>
        <w:pStyle w:val="Heading3"/>
        <w:spacing w:before="280"/>
      </w:pPr>
      <w:r w:rsidRPr="00387D71">
        <w:t xml:space="preserve">Travel costs account for </w:t>
      </w:r>
      <w:r w:rsidR="00283437" w:rsidRPr="00387D71">
        <w:t>up to 96 per cent</w:t>
      </w:r>
      <w:r w:rsidRPr="00387D71">
        <w:t xml:space="preserve"> of emergency repair costs</w:t>
      </w:r>
      <w:bookmarkEnd w:id="106"/>
      <w:bookmarkEnd w:id="107"/>
      <w:r w:rsidRPr="00387D71">
        <w:t xml:space="preserve"> </w:t>
      </w:r>
    </w:p>
    <w:p w14:paraId="711B8F41" w14:textId="05CA107C" w:rsidR="004A0981" w:rsidRDefault="00040E60" w:rsidP="00227FC4">
      <w:r>
        <w:t xml:space="preserve">The disparity in emergency costs across the different levels of remoteness can be attributed to the inability to share travel costs across multiple jobs. As shown in </w:t>
      </w:r>
      <w:r>
        <w:fldChar w:fldCharType="begin"/>
      </w:r>
      <w:r>
        <w:instrText xml:space="preserve"> REF _Ref475914016 \h </w:instrText>
      </w:r>
      <w:r>
        <w:fldChar w:fldCharType="separate"/>
      </w:r>
      <w:r w:rsidR="004A1B2E">
        <w:t xml:space="preserve">Figure </w:t>
      </w:r>
      <w:r w:rsidR="004A1B2E">
        <w:rPr>
          <w:noProof/>
        </w:rPr>
        <w:t>14</w:t>
      </w:r>
      <w:r>
        <w:fldChar w:fldCharType="end"/>
      </w:r>
      <w:r>
        <w:t xml:space="preserve">, travel costs can account for up to 96 </w:t>
      </w:r>
      <w:r w:rsidR="006F1F1F">
        <w:t>p</w:t>
      </w:r>
      <w:r>
        <w:t>er cent of per-unit costs for emergency repairs, compared with 11 per cent to 37 per cent for planned maintenance activities.</w:t>
      </w:r>
    </w:p>
    <w:p w14:paraId="4953A760" w14:textId="5E3D6256" w:rsidR="00AA5434" w:rsidRDefault="00AA5434" w:rsidP="006F1414">
      <w:pPr>
        <w:pStyle w:val="Figure"/>
      </w:pPr>
      <w:bookmarkStart w:id="108" w:name="_Ref475914016"/>
      <w:bookmarkStart w:id="109" w:name="Figure14Return"/>
      <w:r>
        <w:t xml:space="preserve">Figure </w:t>
      </w:r>
      <w:fldSimple w:instr=" SEQ Figure \* ARABIC ">
        <w:r w:rsidR="004A1B2E">
          <w:rPr>
            <w:noProof/>
          </w:rPr>
          <w:t>14</w:t>
        </w:r>
      </w:fldSimple>
      <w:bookmarkEnd w:id="108"/>
      <w:bookmarkEnd w:id="109"/>
      <w:r>
        <w:t>: Breakdown of per unit-maintenance costs in very remote communities</w:t>
      </w:r>
      <w:r>
        <w:rPr>
          <w:rStyle w:val="FootnoteReference"/>
        </w:rPr>
        <w:footnoteReference w:id="14"/>
      </w:r>
    </w:p>
    <w:p w14:paraId="2948E3F8" w14:textId="77777777" w:rsidR="00AB2832" w:rsidRDefault="00AA5434" w:rsidP="00695DD2">
      <w:pPr>
        <w:pStyle w:val="ListParagraph"/>
        <w:ind w:left="0"/>
        <w:jc w:val="center"/>
      </w:pPr>
      <w:r>
        <w:rPr>
          <w:noProof/>
        </w:rPr>
        <w:drawing>
          <wp:inline distT="0" distB="0" distL="0" distR="0" wp14:anchorId="2003905D" wp14:editId="49F3B485">
            <wp:extent cx="5172075" cy="27111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7953" cy="2724752"/>
                    </a:xfrm>
                    <a:prstGeom prst="rect">
                      <a:avLst/>
                    </a:prstGeom>
                    <a:noFill/>
                  </pic:spPr>
                </pic:pic>
              </a:graphicData>
            </a:graphic>
          </wp:inline>
        </w:drawing>
      </w:r>
    </w:p>
    <w:p w14:paraId="6C5E6F9E" w14:textId="7E46821B" w:rsidR="00AA5434" w:rsidRPr="003223D0" w:rsidRDefault="007900B6" w:rsidP="00B80E22">
      <w:r>
        <w:t xml:space="preserve">View the </w:t>
      </w:r>
      <w:hyperlink w:anchor="Figure14" w:history="1">
        <w:r w:rsidRPr="007900B6">
          <w:rPr>
            <w:rStyle w:val="Hyperlink"/>
          </w:rPr>
          <w:t>text version for Figure 14</w:t>
        </w:r>
      </w:hyperlink>
      <w:r>
        <w:t>.</w:t>
      </w:r>
    </w:p>
    <w:p w14:paraId="7DECE805" w14:textId="77777777" w:rsidR="00EF6B06" w:rsidRDefault="00FB4116" w:rsidP="00EF6B06">
      <w:pPr>
        <w:pStyle w:val="Heading1"/>
      </w:pPr>
      <w:bookmarkStart w:id="110" w:name="_Toc475447320"/>
      <w:bookmarkStart w:id="111" w:name="_Toc475982709"/>
      <w:bookmarkStart w:id="112" w:name="_Toc475990796"/>
      <w:bookmarkStart w:id="113" w:name="_Toc480791435"/>
      <w:r>
        <w:lastRenderedPageBreak/>
        <w:t xml:space="preserve">Jurisdiction experience indicates </w:t>
      </w:r>
      <w:r w:rsidR="00CB0FEC">
        <w:t xml:space="preserve">targeted </w:t>
      </w:r>
      <w:r>
        <w:t>cost</w:t>
      </w:r>
      <w:r w:rsidR="001469C3">
        <w:t xml:space="preserve"> savings </w:t>
      </w:r>
      <w:bookmarkEnd w:id="110"/>
      <w:r w:rsidR="00CB0FEC">
        <w:t>are possible</w:t>
      </w:r>
      <w:r w:rsidR="003564AD">
        <w:t>, but there are ultimately irreducible costs</w:t>
      </w:r>
      <w:bookmarkEnd w:id="111"/>
      <w:bookmarkEnd w:id="112"/>
      <w:bookmarkEnd w:id="113"/>
    </w:p>
    <w:p w14:paraId="048E101D" w14:textId="77777777" w:rsidR="003564AD" w:rsidRDefault="003564AD" w:rsidP="003564AD">
      <w:pPr>
        <w:pStyle w:val="Heading2"/>
      </w:pPr>
      <w:bookmarkStart w:id="114" w:name="_Toc475982710"/>
      <w:bookmarkStart w:id="115" w:name="_Toc475990797"/>
      <w:bookmarkStart w:id="116" w:name="_Toc480791436"/>
      <w:r>
        <w:t>Cost savings may flow from changes to PTM approaches, both broad and targeted</w:t>
      </w:r>
      <w:bookmarkEnd w:id="114"/>
      <w:bookmarkEnd w:id="115"/>
      <w:bookmarkEnd w:id="116"/>
    </w:p>
    <w:p w14:paraId="590CEB98" w14:textId="1260FF49" w:rsidR="00B22799" w:rsidRDefault="0077280C" w:rsidP="00B22799">
      <w:r>
        <w:t>Consultation with jurisdictions indicates m</w:t>
      </w:r>
      <w:r w:rsidR="00CB0FEC">
        <w:t>acro level changes are more difficult to implement and less certain to generate cost savings</w:t>
      </w:r>
      <w:r w:rsidR="00E17A46">
        <w:t xml:space="preserve"> than discrete, targeted improvements</w:t>
      </w:r>
      <w:r w:rsidR="003564AD">
        <w:t>.</w:t>
      </w:r>
      <w:r w:rsidR="00CB0FEC">
        <w:t xml:space="preserve"> </w:t>
      </w:r>
      <w:r w:rsidR="004F3909">
        <w:t>Changes to the overall approach to Property and Tenancy Management are typically made as an incremental business as usual process. As such, these ar</w:t>
      </w:r>
      <w:r>
        <w:t>e more difficult to implement via</w:t>
      </w:r>
      <w:r w:rsidR="004F3909">
        <w:t xml:space="preserve"> a distinct change in approach, with benefits measurement equally difficult.</w:t>
      </w:r>
    </w:p>
    <w:p w14:paraId="5FB715DC" w14:textId="0B652712" w:rsidR="004F3909" w:rsidRPr="00B22799" w:rsidRDefault="004F3909" w:rsidP="00B22799">
      <w:r>
        <w:t>Examples of macro level changes</w:t>
      </w:r>
      <w:r w:rsidR="0066774D">
        <w:t xml:space="preserve">, as identified by </w:t>
      </w:r>
      <w:r w:rsidR="00380473">
        <w:t>jurisdictions</w:t>
      </w:r>
      <w:r w:rsidR="0066774D">
        <w:t>,</w:t>
      </w:r>
      <w:r>
        <w:t xml:space="preserve"> include:</w:t>
      </w:r>
    </w:p>
    <w:p w14:paraId="0DCE8B7E" w14:textId="0E0BC629" w:rsidR="004F3909" w:rsidRDefault="004F3909" w:rsidP="004F3909">
      <w:pPr>
        <w:pStyle w:val="Bullet"/>
      </w:pPr>
      <w:r>
        <w:t>Strategic approach to the procurement of maintenance</w:t>
      </w:r>
      <w:r w:rsidR="00EC683E">
        <w:t>, through the consolidation of contracts for all state government maintenance works</w:t>
      </w:r>
    </w:p>
    <w:p w14:paraId="47CA09D6" w14:textId="00A126F4" w:rsidR="004F3909" w:rsidRPr="0048392D" w:rsidRDefault="004F3909" w:rsidP="00167B84">
      <w:pPr>
        <w:pStyle w:val="Bullet"/>
      </w:pPr>
      <w:r w:rsidRPr="0048392D">
        <w:t xml:space="preserve">Upskilling general </w:t>
      </w:r>
      <w:r w:rsidR="00874F9F" w:rsidRPr="0048392D">
        <w:t>sub-trade handypersons</w:t>
      </w:r>
      <w:r w:rsidRPr="0048392D">
        <w:t xml:space="preserve"> to perform non-specialised activities</w:t>
      </w:r>
      <w:r w:rsidR="00071820" w:rsidRPr="0048392D">
        <w:t xml:space="preserve">. </w:t>
      </w:r>
      <w:r w:rsidR="00BA6771">
        <w:t>Findings by Habibis et al. in a 2016 review of property and tenancy management on remote Indigenous communities</w:t>
      </w:r>
      <w:r w:rsidR="00BA6771" w:rsidRPr="0048392D">
        <w:rPr>
          <w:rStyle w:val="FootnoteReference"/>
        </w:rPr>
        <w:t xml:space="preserve"> </w:t>
      </w:r>
      <w:r w:rsidR="0077280C" w:rsidRPr="0048392D">
        <w:rPr>
          <w:rStyle w:val="FootnoteReference"/>
        </w:rPr>
        <w:footnoteReference w:id="15"/>
      </w:r>
      <w:r w:rsidR="0077280C" w:rsidRPr="0048392D">
        <w:t xml:space="preserve"> suggest</w:t>
      </w:r>
      <w:r w:rsidR="00071820" w:rsidRPr="0048392D">
        <w:t xml:space="preserve"> this should be coupled with increased inspections of finished work, including photographs or videos by handypersons for review by a centralised maintenance team</w:t>
      </w:r>
    </w:p>
    <w:p w14:paraId="684C4571" w14:textId="416018DC" w:rsidR="0066774D" w:rsidRPr="0048392D" w:rsidRDefault="0066774D" w:rsidP="0066774D">
      <w:pPr>
        <w:pStyle w:val="Bullet"/>
        <w:numPr>
          <w:ilvl w:val="0"/>
          <w:numId w:val="0"/>
        </w:numPr>
      </w:pPr>
      <w:r w:rsidRPr="0048392D">
        <w:t>Other factors in improving repairs and maintenance costs, as identified by</w:t>
      </w:r>
      <w:r w:rsidR="00BA6771">
        <w:t xml:space="preserve"> Habibis et al.</w:t>
      </w:r>
      <w:r w:rsidRPr="0048392D">
        <w:t>, include:</w:t>
      </w:r>
    </w:p>
    <w:p w14:paraId="5110FE28" w14:textId="77777777" w:rsidR="0066774D" w:rsidRPr="0048392D" w:rsidRDefault="0066774D" w:rsidP="0066774D">
      <w:pPr>
        <w:pStyle w:val="Bullet"/>
      </w:pPr>
      <w:r w:rsidRPr="0048392D">
        <w:t>Providing better information to tenants on realistic repair and maintenance expectations, and explanation for delays (due bundling of jobs etc.)</w:t>
      </w:r>
    </w:p>
    <w:p w14:paraId="13F312E9" w14:textId="316E6B52" w:rsidR="0066774D" w:rsidRPr="0048392D" w:rsidRDefault="0066774D" w:rsidP="0066774D">
      <w:pPr>
        <w:pStyle w:val="Bullet"/>
      </w:pPr>
      <w:r w:rsidRPr="0048392D">
        <w:t xml:space="preserve">Standardisation of components and fittings. This allows stockpiling of commonly required items and enables maintenance to be undertaken in </w:t>
      </w:r>
      <w:r w:rsidR="00BD445B" w:rsidRPr="0048392D">
        <w:t>situations</w:t>
      </w:r>
      <w:r w:rsidRPr="0048392D">
        <w:t xml:space="preserve"> where communities are inaccessible by road (due to weather or accessibility)</w:t>
      </w:r>
      <w:r w:rsidR="003D5C33" w:rsidRPr="0048392D">
        <w:t>.</w:t>
      </w:r>
    </w:p>
    <w:p w14:paraId="615D0025" w14:textId="77777777" w:rsidR="004314C1" w:rsidRPr="00380473" w:rsidRDefault="004314C1" w:rsidP="004314C1">
      <w:pPr>
        <w:pStyle w:val="Bullet"/>
        <w:numPr>
          <w:ilvl w:val="0"/>
          <w:numId w:val="0"/>
        </w:numPr>
        <w:ind w:left="680"/>
        <w:rPr>
          <w:highlight w:val="yellow"/>
        </w:rPr>
      </w:pPr>
    </w:p>
    <w:p w14:paraId="2CE81EE6" w14:textId="77777777" w:rsidR="00CB0FEC" w:rsidRPr="00CB0FEC" w:rsidRDefault="004F3909" w:rsidP="00CB0FEC">
      <w:r w:rsidRPr="00BF386D">
        <w:rPr>
          <w:b/>
          <w:noProof/>
        </w:rPr>
        <w:lastRenderedPageBreak/>
        <mc:AlternateContent>
          <mc:Choice Requires="wps">
            <w:drawing>
              <wp:inline distT="0" distB="0" distL="0" distR="0" wp14:anchorId="1D4B74EB" wp14:editId="42B5C585">
                <wp:extent cx="5553075" cy="5153025"/>
                <wp:effectExtent l="0" t="0" r="28575"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5153025"/>
                        </a:xfrm>
                        <a:prstGeom prst="rect">
                          <a:avLst/>
                        </a:prstGeom>
                        <a:solidFill>
                          <a:schemeClr val="bg1">
                            <a:lumMod val="95000"/>
                          </a:schemeClr>
                        </a:solidFill>
                        <a:ln w="9525">
                          <a:solidFill>
                            <a:srgbClr val="000000"/>
                          </a:solidFill>
                          <a:miter lim="800000"/>
                          <a:headEnd/>
                          <a:tailEnd/>
                        </a:ln>
                      </wps:spPr>
                      <wps:txbx>
                        <w:txbxContent>
                          <w:p w14:paraId="462544F5" w14:textId="77777777" w:rsidR="00807965" w:rsidRPr="002C6173" w:rsidRDefault="00807965" w:rsidP="004F3909">
                            <w:pPr>
                              <w:jc w:val="center"/>
                              <w:rPr>
                                <w:b/>
                              </w:rPr>
                            </w:pPr>
                            <w:r w:rsidRPr="002C6173">
                              <w:rPr>
                                <w:b/>
                              </w:rPr>
                              <w:t>Case Study A: Procurement of maintenance</w:t>
                            </w:r>
                          </w:p>
                          <w:p w14:paraId="1ED337BC" w14:textId="72FCC7EF" w:rsidR="00807965" w:rsidRDefault="00807965" w:rsidP="004F3909">
                            <w:r>
                              <w:t xml:space="preserve">One jurisdiction has achieved savings in maintenance costs through issuing a consolidated contract for all state government maintenance works, not just NPARIH housing. </w:t>
                            </w:r>
                          </w:p>
                          <w:p w14:paraId="277DA6DF" w14:textId="24E408A0" w:rsidR="00807965" w:rsidRDefault="00807965" w:rsidP="004F3909">
                            <w:r>
                              <w:t xml:space="preserve">The region has a very small number of properties spread across vast distances that receive a full maintenance and tenancy management service. </w:t>
                            </w:r>
                            <w:r w:rsidRPr="00E70A24">
                              <w:t xml:space="preserve">The scale and remoteness limits local employment </w:t>
                            </w:r>
                            <w:r>
                              <w:t xml:space="preserve">opportunity </w:t>
                            </w:r>
                            <w:r w:rsidRPr="00E70A24">
                              <w:t xml:space="preserve">and impacts </w:t>
                            </w:r>
                            <w:r>
                              <w:t>on</w:t>
                            </w:r>
                            <w:r w:rsidRPr="00E70A24">
                              <w:t xml:space="preserve"> value for money, given </w:t>
                            </w:r>
                            <w:r>
                              <w:t xml:space="preserve">the </w:t>
                            </w:r>
                            <w:r w:rsidRPr="00E70A24">
                              <w:t xml:space="preserve">low level of competition.  </w:t>
                            </w:r>
                          </w:p>
                          <w:p w14:paraId="0893A55A" w14:textId="11F5846F" w:rsidR="00807965" w:rsidRDefault="00807965" w:rsidP="00E70A24">
                            <w:r>
                              <w:t>A number of other state government departments (14 in total) maintain facilities or staff housing in the region, including schools, police stations, early childhood centres and clinics, with similar issues related to scale and remoteness. It was observed that up to three air conditioning services were present in one community servicing three different arrangements.</w:t>
                            </w:r>
                          </w:p>
                          <w:p w14:paraId="32FE16F6" w14:textId="1DC134D7" w:rsidR="00807965" w:rsidRDefault="00807965" w:rsidP="00EC683E">
                            <w:r>
                              <w:t>The government has consolidated all facility and employee housing repairs and maintenance management in the region to generate scale, strengthen local job opportunity and promote value for money. A consolidated contract has been tendered for all state government maintenance works.  The new pricing will see a significant reduction in costs associated with the delivery of maintenance services and increased capacity to recruit local employees and apprentices due to the length of the contract and the volume of works now available.</w:t>
                            </w:r>
                          </w:p>
                          <w:p w14:paraId="14A158EB" w14:textId="39442B13" w:rsidR="00807965" w:rsidRDefault="00807965" w:rsidP="00EC683E">
                            <w:r>
                              <w:t xml:space="preserve">The contractor will work with schools and the regional  trade training centre to generate skill development and vocational opportunities. Small business enterprises are also possible, starting with air conditioning pad making. This will save shipment of pads and provide opportunity for local people to make the pads on site, required for servicing and replacement. </w:t>
                            </w:r>
                          </w:p>
                          <w:p w14:paraId="4E816600" w14:textId="588619C5" w:rsidR="00807965" w:rsidRDefault="00807965" w:rsidP="00EC683E">
                            <w:r>
                              <w:t>There are some clear benefits to this arrangement:</w:t>
                            </w:r>
                          </w:p>
                          <w:p w14:paraId="407E9D60" w14:textId="69425229" w:rsidR="00807965" w:rsidRDefault="00807965" w:rsidP="00EC683E">
                            <w:pPr>
                              <w:pStyle w:val="Bullet"/>
                            </w:pPr>
                            <w:r>
                              <w:t>better utilisation of funds and resources allocated across state agencies towards region</w:t>
                            </w:r>
                          </w:p>
                          <w:p w14:paraId="54683621" w14:textId="0EF7A819" w:rsidR="00807965" w:rsidRDefault="00807965" w:rsidP="00EC683E">
                            <w:pPr>
                              <w:pStyle w:val="Bullet"/>
                            </w:pPr>
                            <w:r>
                              <w:t>increased employment and apprenticeship opportunities</w:t>
                            </w:r>
                          </w:p>
                          <w:p w14:paraId="3CF16A0D" w14:textId="592C3A70" w:rsidR="00807965" w:rsidRDefault="00807965" w:rsidP="00EC683E">
                            <w:pPr>
                              <w:pStyle w:val="Bullet"/>
                            </w:pPr>
                            <w:r>
                              <w:t>opportunities for small business enterprises</w:t>
                            </w:r>
                          </w:p>
                          <w:p w14:paraId="6C5BC661" w14:textId="52067347" w:rsidR="00807965" w:rsidRDefault="00807965" w:rsidP="00EC683E">
                            <w:pPr>
                              <w:pStyle w:val="Bullet"/>
                            </w:pPr>
                            <w:r>
                              <w:t>more efficient and timely servicing.</w:t>
                            </w:r>
                          </w:p>
                        </w:txbxContent>
                      </wps:txbx>
                      <wps:bodyPr rot="0" vert="horz" wrap="square" lIns="91440" tIns="45720" rIns="91440" bIns="45720" anchor="t" anchorCtr="0">
                        <a:noAutofit/>
                      </wps:bodyPr>
                    </wps:wsp>
                  </a:graphicData>
                </a:graphic>
              </wp:inline>
            </w:drawing>
          </mc:Choice>
          <mc:Fallback>
            <w:pict>
              <v:shape w14:anchorId="1D4B74EB" id="Text Box 2" o:spid="_x0000_s1027" type="#_x0000_t202" style="width:437.25pt;height:4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" fillcolor="#f2f2f2 [3052]">
                <v:textbox>
                  <w:txbxContent>
                    <w:p w14:paraId="462544F5" w14:textId="77777777" w:rsidR="00807965" w:rsidRPr="002C6173" w:rsidRDefault="00807965" w:rsidP="004F3909">
                      <w:pPr>
                        <w:jc w:val="center"/>
                        <w:rPr>
                          <w:b/>
                        </w:rPr>
                      </w:pPr>
                      <w:r w:rsidRPr="002C6173">
                        <w:rPr>
                          <w:b/>
                        </w:rPr>
                        <w:t>Case Study A: Procurement of maintenance</w:t>
                      </w:r>
                    </w:p>
                    <w:p w14:paraId="1ED337BC" w14:textId="72FCC7EF" w:rsidR="00807965" w:rsidRDefault="00807965" w:rsidP="004F3909">
                      <w:r>
                        <w:t xml:space="preserve">One jurisdiction has achieved savings in maintenance costs through issuing a consolidated contract for all state government maintenance works, not just NPARIH housing. </w:t>
                      </w:r>
                    </w:p>
                    <w:p w14:paraId="277DA6DF" w14:textId="24E408A0" w:rsidR="00807965" w:rsidRDefault="00807965" w:rsidP="004F3909">
                      <w:r>
                        <w:t xml:space="preserve">The region has a very small number of properties spread across vast distances that receive a full maintenance and tenancy management service. </w:t>
                      </w:r>
                      <w:r w:rsidRPr="00E70A24">
                        <w:t xml:space="preserve">The scale and remoteness limits local employment </w:t>
                      </w:r>
                      <w:r>
                        <w:t xml:space="preserve">opportunity </w:t>
                      </w:r>
                      <w:r w:rsidRPr="00E70A24">
                        <w:t xml:space="preserve">and impacts </w:t>
                      </w:r>
                      <w:r>
                        <w:t>on</w:t>
                      </w:r>
                      <w:r w:rsidRPr="00E70A24">
                        <w:t xml:space="preserve"> value for money, given </w:t>
                      </w:r>
                      <w:r>
                        <w:t xml:space="preserve">the </w:t>
                      </w:r>
                      <w:r w:rsidRPr="00E70A24">
                        <w:t xml:space="preserve">low level of competition.  </w:t>
                      </w:r>
                    </w:p>
                    <w:p w14:paraId="0893A55A" w14:textId="11F5846F" w:rsidR="00807965" w:rsidRDefault="00807965" w:rsidP="00E70A24">
                      <w:r>
                        <w:t>A number of other state government departments (14 in total) maintain facilities or staff housing in the region, including schools, police stations, early childhood centres and clinics, with similar issues related to scale and remoteness. It was observed that up to three air conditioning services were present in one community servicing three different arrangements.</w:t>
                      </w:r>
                    </w:p>
                    <w:p w14:paraId="32FE16F6" w14:textId="1DC134D7" w:rsidR="00807965" w:rsidRDefault="00807965" w:rsidP="00EC683E">
                      <w:r>
                        <w:t>The government has consolidated all facility and employee housing repairs and maintenance management in the region to generate scale, strengthen local job opportunity and promote value for money. A consolidated contract has been tendered for all state government maintenance works.  The new pricing will see a significant reduction in costs associated with the delivery of maintenance services and increased capacity to recruit local employees and apprentices due to the length of the contract and the volume of works now available.</w:t>
                      </w:r>
                    </w:p>
                    <w:p w14:paraId="14A158EB" w14:textId="39442B13" w:rsidR="00807965" w:rsidRDefault="00807965" w:rsidP="00EC683E">
                      <w:r>
                        <w:t xml:space="preserve">The contractor will work with schools and the regional  trade training centre to generate skill development and vocational opportunities. Small business enterprises are also possible, starting with air conditioning pad making. This will save shipment of pads and provide opportunity for local people to make the pads on site, required for servicing and replacement. </w:t>
                      </w:r>
                    </w:p>
                    <w:p w14:paraId="4E816600" w14:textId="588619C5" w:rsidR="00807965" w:rsidRDefault="00807965" w:rsidP="00EC683E">
                      <w:r>
                        <w:t>There are some clear benefits to this arrangement:</w:t>
                      </w:r>
                    </w:p>
                    <w:p w14:paraId="407E9D60" w14:textId="69425229" w:rsidR="00807965" w:rsidRDefault="00807965" w:rsidP="00EC683E">
                      <w:pPr>
                        <w:pStyle w:val="Bullet"/>
                      </w:pPr>
                      <w:r>
                        <w:t>better utilisation of funds and resources allocated across state agencies towards region</w:t>
                      </w:r>
                    </w:p>
                    <w:p w14:paraId="54683621" w14:textId="0EF7A819" w:rsidR="00807965" w:rsidRDefault="00807965" w:rsidP="00EC683E">
                      <w:pPr>
                        <w:pStyle w:val="Bullet"/>
                      </w:pPr>
                      <w:r>
                        <w:t>increased employment and apprenticeship opportunities</w:t>
                      </w:r>
                    </w:p>
                    <w:p w14:paraId="3CF16A0D" w14:textId="592C3A70" w:rsidR="00807965" w:rsidRDefault="00807965" w:rsidP="00EC683E">
                      <w:pPr>
                        <w:pStyle w:val="Bullet"/>
                      </w:pPr>
                      <w:r>
                        <w:t>opportunities for small business enterprises</w:t>
                      </w:r>
                    </w:p>
                    <w:p w14:paraId="6C5BC661" w14:textId="52067347" w:rsidR="00807965" w:rsidRDefault="00807965" w:rsidP="00EC683E">
                      <w:pPr>
                        <w:pStyle w:val="Bullet"/>
                      </w:pPr>
                      <w:r>
                        <w:t>more efficient and timely servicing.</w:t>
                      </w:r>
                    </w:p>
                  </w:txbxContent>
                </v:textbox>
                <w10:anchorlock/>
              </v:shape>
            </w:pict>
          </mc:Fallback>
        </mc:AlternateContent>
      </w:r>
    </w:p>
    <w:p w14:paraId="36E6FFF8" w14:textId="77777777" w:rsidR="00CB3ADF" w:rsidRDefault="00CB3ADF" w:rsidP="00CB3ADF"/>
    <w:p w14:paraId="3ABB1A26" w14:textId="56F6909A" w:rsidR="00CB3ADF" w:rsidRDefault="00E020F4" w:rsidP="00CB3ADF">
      <w:r>
        <w:t xml:space="preserve">Experience across the participating jurisdictions has </w:t>
      </w:r>
      <w:r w:rsidR="00CB3ADF">
        <w:t xml:space="preserve">also </w:t>
      </w:r>
      <w:r>
        <w:t xml:space="preserve">identified specific targeted examples of reducing costs. </w:t>
      </w:r>
      <w:r w:rsidR="00CB3ADF">
        <w:t>Targeted changes, of which there are many examples, show direct benefits but are not clearly catalogued.</w:t>
      </w:r>
    </w:p>
    <w:p w14:paraId="034214AB" w14:textId="2E2A62D1" w:rsidR="00CB0FEC" w:rsidRPr="00CB0FEC" w:rsidRDefault="00E020F4" w:rsidP="00CB0FEC">
      <w:r>
        <w:t xml:space="preserve">These provide a starting point to </w:t>
      </w:r>
      <w:r w:rsidR="00CB0FEC">
        <w:t>generate a</w:t>
      </w:r>
      <w:r>
        <w:t xml:space="preserve"> shared</w:t>
      </w:r>
      <w:r w:rsidR="00CB0FEC">
        <w:t xml:space="preserve"> evidence base of good pr</w:t>
      </w:r>
      <w:r>
        <w:t xml:space="preserve">actice and cost-effective measures, for the benefit of all </w:t>
      </w:r>
      <w:r w:rsidR="004F3909">
        <w:t>jurisdictions</w:t>
      </w:r>
      <w:r>
        <w:t>.</w:t>
      </w:r>
    </w:p>
    <w:p w14:paraId="191FA6A9" w14:textId="77777777" w:rsidR="00192B90" w:rsidRDefault="00056F9E" w:rsidP="00192B90">
      <w:r>
        <w:t>Savings achieved include:</w:t>
      </w:r>
    </w:p>
    <w:p w14:paraId="6E496042" w14:textId="77777777" w:rsidR="00056F9E" w:rsidRDefault="00056F9E" w:rsidP="00056F9E">
      <w:pPr>
        <w:pStyle w:val="Bullet"/>
      </w:pPr>
      <w:r>
        <w:t>Change in the design and materials used for bathroom refurbishments and new builds</w:t>
      </w:r>
    </w:p>
    <w:p w14:paraId="0FFEC408" w14:textId="77777777" w:rsidR="00056F9E" w:rsidRDefault="00056F9E" w:rsidP="00056F9E">
      <w:pPr>
        <w:pStyle w:val="Bullet"/>
      </w:pPr>
      <w:r>
        <w:t>Change in batteries used in smoke alarms</w:t>
      </w:r>
    </w:p>
    <w:p w14:paraId="3BB32AB8" w14:textId="77777777" w:rsidR="00C07BC4" w:rsidRDefault="00D2641C" w:rsidP="00052BAE">
      <w:r>
        <w:t>Two such case studie</w:t>
      </w:r>
      <w:r w:rsidR="0077128B">
        <w:t xml:space="preserve">s </w:t>
      </w:r>
      <w:r>
        <w:t xml:space="preserve">are </w:t>
      </w:r>
      <w:r w:rsidR="0077128B">
        <w:t xml:space="preserve">provided below. </w:t>
      </w:r>
    </w:p>
    <w:p w14:paraId="637A9714" w14:textId="77777777" w:rsidR="004F3909" w:rsidRDefault="00652526" w:rsidP="00052BAE">
      <w:pPr>
        <w:rPr>
          <w:highlight w:val="yellow"/>
        </w:rPr>
      </w:pPr>
      <w:r w:rsidRPr="00D2641C">
        <w:rPr>
          <w:i/>
          <w:noProof/>
        </w:rPr>
        <w:lastRenderedPageBreak/>
        <mc:AlternateContent>
          <mc:Choice Requires="wps">
            <w:drawing>
              <wp:inline distT="0" distB="0" distL="0" distR="0" wp14:anchorId="5ACE7A02" wp14:editId="3E2B90B1">
                <wp:extent cx="5600700" cy="1403985"/>
                <wp:effectExtent l="0" t="0" r="19050" b="279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3985"/>
                        </a:xfrm>
                        <a:prstGeom prst="rect">
                          <a:avLst/>
                        </a:prstGeom>
                        <a:solidFill>
                          <a:schemeClr val="bg1">
                            <a:lumMod val="95000"/>
                          </a:schemeClr>
                        </a:solidFill>
                        <a:ln w="9525">
                          <a:solidFill>
                            <a:srgbClr val="000000"/>
                          </a:solidFill>
                          <a:miter lim="800000"/>
                          <a:headEnd/>
                          <a:tailEnd/>
                        </a:ln>
                      </wps:spPr>
                      <wps:txbx>
                        <w:txbxContent>
                          <w:p w14:paraId="32699459" w14:textId="77777777" w:rsidR="00807965" w:rsidRPr="002C6173" w:rsidRDefault="00807965" w:rsidP="00D2641C">
                            <w:pPr>
                              <w:jc w:val="center"/>
                              <w:rPr>
                                <w:b/>
                              </w:rPr>
                            </w:pPr>
                            <w:r w:rsidRPr="002C6173">
                              <w:rPr>
                                <w:b/>
                              </w:rPr>
                              <w:t>Case Study B: Smoke Alarm product alternative</w:t>
                            </w:r>
                          </w:p>
                          <w:p w14:paraId="176CE650" w14:textId="6F28C1FD" w:rsidR="00807965" w:rsidRPr="002C6173" w:rsidRDefault="00807965" w:rsidP="00D2641C">
                            <w:r w:rsidRPr="002C6173">
                              <w:t xml:space="preserve">The cost </w:t>
                            </w:r>
                            <w:r>
                              <w:t>to one jurisdiction of</w:t>
                            </w:r>
                            <w:r w:rsidRPr="002C6173">
                              <w:t xml:space="preserve"> replacing the current hardwired smoke alarms in the 2015/2016 financial year was almost $950,000. Over 75% of this cost was attributed to the cost of travel required for ad-hoc replacements. Over a ten year period, this equates to a cost of $9.5 million which is not sustainable. Having a number of defective / damaged Smoke Alarms in remote Aboriginal properties also creates considerable risk to tenants, properties and the </w:t>
                            </w:r>
                            <w:r>
                              <w:t>housing authority.</w:t>
                            </w:r>
                          </w:p>
                          <w:p w14:paraId="47CC4595" w14:textId="77777777" w:rsidR="00807965" w:rsidRPr="002C6173" w:rsidRDefault="00807965" w:rsidP="00D2641C">
                            <w:r w:rsidRPr="002C6173">
                              <w:t>A number of contributing factors were identified:</w:t>
                            </w:r>
                          </w:p>
                          <w:p w14:paraId="029639A7" w14:textId="77777777" w:rsidR="00807965" w:rsidRPr="002C6173" w:rsidRDefault="00807965" w:rsidP="002C6173">
                            <w:pPr>
                              <w:pStyle w:val="ListParagraph"/>
                              <w:numPr>
                                <w:ilvl w:val="0"/>
                                <w:numId w:val="14"/>
                              </w:numPr>
                            </w:pPr>
                            <w:r w:rsidRPr="002C6173">
                              <w:t>Tenant damage - Smoke alarms being broken by the tenants is a common problem in remote Aboriginal communities. When the power runs out (see ‘power outages’ below), the smoke alarms default to a rechargeable battery power supply and the smoke alarm emits a constant warning sound. To stop the noise, the tenants often break them by knocking them off the ceiling with a broom or similar object.</w:t>
                            </w:r>
                          </w:p>
                          <w:p w14:paraId="582E6AF2" w14:textId="09A6FE0D" w:rsidR="00807965" w:rsidRPr="002C6173" w:rsidRDefault="00807965" w:rsidP="002C6173">
                            <w:pPr>
                              <w:pStyle w:val="ListParagraph"/>
                              <w:numPr>
                                <w:ilvl w:val="0"/>
                                <w:numId w:val="14"/>
                              </w:numPr>
                            </w:pPr>
                            <w:r w:rsidRPr="002C6173">
                              <w:t>Power outages - caused by the supply dropping out, community generators not working or being turned off / turned on and pre-paid electricity plans not being topped up.</w:t>
                            </w:r>
                          </w:p>
                          <w:p w14:paraId="07C9B75D" w14:textId="60170339" w:rsidR="00807965" w:rsidRPr="002C6173" w:rsidRDefault="00807965" w:rsidP="002C6173">
                            <w:pPr>
                              <w:pStyle w:val="ListParagraph"/>
                              <w:numPr>
                                <w:ilvl w:val="0"/>
                                <w:numId w:val="14"/>
                              </w:numPr>
                            </w:pPr>
                            <w:r w:rsidRPr="002C6173">
                              <w:t xml:space="preserve">Faulty wiring - Across all </w:t>
                            </w:r>
                            <w:r>
                              <w:t>p</w:t>
                            </w:r>
                            <w:r w:rsidRPr="002C6173">
                              <w:t xml:space="preserve">roperties smoke alarms sometimes fail due to faulty wiring though </w:t>
                            </w:r>
                            <w:r>
                              <w:t>t</w:t>
                            </w:r>
                            <w:r w:rsidRPr="002C6173">
                              <w:t>his appears to occur more regularly in remote Aboriginal communities.</w:t>
                            </w:r>
                          </w:p>
                          <w:p w14:paraId="608C0F0C" w14:textId="77777777" w:rsidR="00807965" w:rsidRPr="002C6173" w:rsidRDefault="00807965" w:rsidP="002C6173">
                            <w:pPr>
                              <w:pStyle w:val="ListParagraph"/>
                              <w:numPr>
                                <w:ilvl w:val="0"/>
                                <w:numId w:val="14"/>
                              </w:numPr>
                            </w:pPr>
                            <w:r w:rsidRPr="002C6173">
                              <w:t>Vandalism - Damage due to random acts of vandalism or even to stop a genuine warning sound.</w:t>
                            </w:r>
                          </w:p>
                          <w:p w14:paraId="782A3C43" w14:textId="77777777" w:rsidR="00807965" w:rsidRPr="002C6173" w:rsidRDefault="00807965" w:rsidP="002C6173">
                            <w:pPr>
                              <w:pStyle w:val="ListParagraph"/>
                              <w:numPr>
                                <w:ilvl w:val="0"/>
                                <w:numId w:val="14"/>
                              </w:numPr>
                            </w:pPr>
                            <w:r w:rsidRPr="002C6173">
                              <w:t>Poor placement - Too close to cookers / bathrooms causing excessive warning sounds to be emitted.</w:t>
                            </w:r>
                          </w:p>
                          <w:p w14:paraId="0756CEAE" w14:textId="77777777" w:rsidR="00807965" w:rsidRPr="002C6173" w:rsidRDefault="00807965" w:rsidP="002C6173">
                            <w:pPr>
                              <w:pStyle w:val="ListParagraph"/>
                              <w:numPr>
                                <w:ilvl w:val="0"/>
                                <w:numId w:val="14"/>
                              </w:numPr>
                            </w:pPr>
                            <w:r w:rsidRPr="002C6173">
                              <w:t>Low tenant awareness - Tenants are not generally aware of ways to reset smoke alarms or of their liability in relation to damages they may cause.</w:t>
                            </w:r>
                          </w:p>
                          <w:p w14:paraId="284391C0" w14:textId="4B8A48F5" w:rsidR="00807965" w:rsidRPr="002C6173" w:rsidRDefault="00807965" w:rsidP="00D2641C">
                            <w:r>
                              <w:t xml:space="preserve">The jurisdiction </w:t>
                            </w:r>
                            <w:r w:rsidRPr="002C6173">
                              <w:t>has initiated a project to introduce 10-year lithium battery powered smoke alarms that are not reliant on the mains power supply in order to function. This is expected to deliver:</w:t>
                            </w:r>
                          </w:p>
                          <w:p w14:paraId="433B307E" w14:textId="77777777" w:rsidR="00807965" w:rsidRPr="002C6173" w:rsidRDefault="00807965" w:rsidP="002C6173">
                            <w:pPr>
                              <w:pStyle w:val="ListParagraph"/>
                              <w:numPr>
                                <w:ilvl w:val="0"/>
                                <w:numId w:val="14"/>
                              </w:numPr>
                            </w:pPr>
                            <w:r w:rsidRPr="002C6173">
                              <w:t>An estimated 50% reduction in smoke alarm replacement maintenance costs; and</w:t>
                            </w:r>
                          </w:p>
                          <w:p w14:paraId="50C01F06" w14:textId="77777777" w:rsidR="00807965" w:rsidRPr="002C6173" w:rsidRDefault="00807965" w:rsidP="002C6173">
                            <w:pPr>
                              <w:pStyle w:val="ListParagraph"/>
                              <w:numPr>
                                <w:ilvl w:val="0"/>
                                <w:numId w:val="14"/>
                              </w:numPr>
                            </w:pPr>
                            <w:r w:rsidRPr="002C6173">
                              <w:t>A reduction in risk to both tenants and properties.</w:t>
                            </w:r>
                          </w:p>
                        </w:txbxContent>
                      </wps:txbx>
                      <wps:bodyPr rot="0" vert="horz" wrap="square" lIns="91440" tIns="45720" rIns="91440" bIns="45720" anchor="t" anchorCtr="0">
                        <a:spAutoFit/>
                      </wps:bodyPr>
                    </wps:wsp>
                  </a:graphicData>
                </a:graphic>
              </wp:inline>
            </w:drawing>
          </mc:Choice>
          <mc:Fallback>
            <w:pict>
              <v:shape w14:anchorId="5ACE7A02" id="_x0000_s1028" type="#_x0000_t202" style="width:44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" fillcolor="#f2f2f2 [3052]">
                <v:textbox style="mso-fit-shape-to-text:t">
                  <w:txbxContent>
                    <w:p w14:paraId="32699459" w14:textId="77777777" w:rsidR="00807965" w:rsidRPr="002C6173" w:rsidRDefault="00807965" w:rsidP="00D2641C">
                      <w:pPr>
                        <w:jc w:val="center"/>
                        <w:rPr>
                          <w:b/>
                        </w:rPr>
                      </w:pPr>
                      <w:r w:rsidRPr="002C6173">
                        <w:rPr>
                          <w:b/>
                        </w:rPr>
                        <w:t>Case Study B: Smoke Alarm product alternative</w:t>
                      </w:r>
                    </w:p>
                    <w:p w14:paraId="176CE650" w14:textId="6F28C1FD" w:rsidR="00807965" w:rsidRPr="002C6173" w:rsidRDefault="00807965" w:rsidP="00D2641C">
                      <w:r w:rsidRPr="002C6173">
                        <w:t xml:space="preserve">The cost </w:t>
                      </w:r>
                      <w:r>
                        <w:t>to one jurisdiction of</w:t>
                      </w:r>
                      <w:r w:rsidRPr="002C6173">
                        <w:t xml:space="preserve"> replacing the current hardwired smoke alarms in the 2015/2016 financial year was almost $950,000. Over 75% of this cost was attributed to the cost of travel required for ad-hoc replacements. Over a ten year period, this equates to a cost of $9.5 million which is not sustainable. Having a number of defective / damaged Smoke Alarms in remote Aboriginal properties also creates considerable risk to tenants, properties and the </w:t>
                      </w:r>
                      <w:r>
                        <w:t>housing authority.</w:t>
                      </w:r>
                    </w:p>
                    <w:p w14:paraId="47CC4595" w14:textId="77777777" w:rsidR="00807965" w:rsidRPr="002C6173" w:rsidRDefault="00807965" w:rsidP="00D2641C">
                      <w:r w:rsidRPr="002C6173">
                        <w:t>A number of contributing factors were identified:</w:t>
                      </w:r>
                    </w:p>
                    <w:p w14:paraId="029639A7" w14:textId="77777777" w:rsidR="00807965" w:rsidRPr="002C6173" w:rsidRDefault="00807965" w:rsidP="002C6173">
                      <w:pPr>
                        <w:pStyle w:val="ListParagraph"/>
                        <w:numPr>
                          <w:ilvl w:val="0"/>
                          <w:numId w:val="14"/>
                        </w:numPr>
                      </w:pPr>
                      <w:r w:rsidRPr="002C6173">
                        <w:t>Tenant damage - Smoke alarms being broken by the tenants is a common problem in remote Aboriginal communities. When the power runs out (see ‘power outages’ below), the smoke alarms default to a rechargeable battery power supply and the smoke alarm emits a constant warning sound. To stop the noise, the tenants often break them by knocking them off the ceiling with a broom or similar object.</w:t>
                      </w:r>
                    </w:p>
                    <w:p w14:paraId="582E6AF2" w14:textId="09A6FE0D" w:rsidR="00807965" w:rsidRPr="002C6173" w:rsidRDefault="00807965" w:rsidP="002C6173">
                      <w:pPr>
                        <w:pStyle w:val="ListParagraph"/>
                        <w:numPr>
                          <w:ilvl w:val="0"/>
                          <w:numId w:val="14"/>
                        </w:numPr>
                      </w:pPr>
                      <w:r w:rsidRPr="002C6173">
                        <w:t>Power outages - caused by the supply dropping out, community generators not working or being turned off / turned on and pre-paid electricity plans not being topped up.</w:t>
                      </w:r>
                    </w:p>
                    <w:p w14:paraId="07C9B75D" w14:textId="60170339" w:rsidR="00807965" w:rsidRPr="002C6173" w:rsidRDefault="00807965" w:rsidP="002C6173">
                      <w:pPr>
                        <w:pStyle w:val="ListParagraph"/>
                        <w:numPr>
                          <w:ilvl w:val="0"/>
                          <w:numId w:val="14"/>
                        </w:numPr>
                      </w:pPr>
                      <w:r w:rsidRPr="002C6173">
                        <w:t xml:space="preserve">Faulty wiring - Across all </w:t>
                      </w:r>
                      <w:r>
                        <w:t>p</w:t>
                      </w:r>
                      <w:r w:rsidRPr="002C6173">
                        <w:t xml:space="preserve">roperties smoke alarms sometimes fail due to faulty wiring though </w:t>
                      </w:r>
                      <w:r>
                        <w:t>t</w:t>
                      </w:r>
                      <w:r w:rsidRPr="002C6173">
                        <w:t>his appears to occur more regularly in remote Aboriginal communities.</w:t>
                      </w:r>
                    </w:p>
                    <w:p w14:paraId="608C0F0C" w14:textId="77777777" w:rsidR="00807965" w:rsidRPr="002C6173" w:rsidRDefault="00807965" w:rsidP="002C6173">
                      <w:pPr>
                        <w:pStyle w:val="ListParagraph"/>
                        <w:numPr>
                          <w:ilvl w:val="0"/>
                          <w:numId w:val="14"/>
                        </w:numPr>
                      </w:pPr>
                      <w:r w:rsidRPr="002C6173">
                        <w:t>Vandalism - Damage due to random acts of vandalism or even to stop a genuine warning sound.</w:t>
                      </w:r>
                    </w:p>
                    <w:p w14:paraId="782A3C43" w14:textId="77777777" w:rsidR="00807965" w:rsidRPr="002C6173" w:rsidRDefault="00807965" w:rsidP="002C6173">
                      <w:pPr>
                        <w:pStyle w:val="ListParagraph"/>
                        <w:numPr>
                          <w:ilvl w:val="0"/>
                          <w:numId w:val="14"/>
                        </w:numPr>
                      </w:pPr>
                      <w:r w:rsidRPr="002C6173">
                        <w:t>Poor placement - Too close to cookers / bathrooms causing excessive warning sounds to be emitted.</w:t>
                      </w:r>
                    </w:p>
                    <w:p w14:paraId="0756CEAE" w14:textId="77777777" w:rsidR="00807965" w:rsidRPr="002C6173" w:rsidRDefault="00807965" w:rsidP="002C6173">
                      <w:pPr>
                        <w:pStyle w:val="ListParagraph"/>
                        <w:numPr>
                          <w:ilvl w:val="0"/>
                          <w:numId w:val="14"/>
                        </w:numPr>
                      </w:pPr>
                      <w:r w:rsidRPr="002C6173">
                        <w:t>Low tenant awareness - Tenants are not generally aware of ways to reset smoke alarms or of their liability in relation to damages they may cause.</w:t>
                      </w:r>
                    </w:p>
                    <w:p w14:paraId="284391C0" w14:textId="4B8A48F5" w:rsidR="00807965" w:rsidRPr="002C6173" w:rsidRDefault="00807965" w:rsidP="00D2641C">
                      <w:r>
                        <w:t xml:space="preserve">The jurisdiction </w:t>
                      </w:r>
                      <w:r w:rsidRPr="002C6173">
                        <w:t>has initiated a project to introduce 10-year lithium battery powered smoke alarms that are not reliant on the mains power supply in order to function. This is expected to deliver:</w:t>
                      </w:r>
                    </w:p>
                    <w:p w14:paraId="433B307E" w14:textId="77777777" w:rsidR="00807965" w:rsidRPr="002C6173" w:rsidRDefault="00807965" w:rsidP="002C6173">
                      <w:pPr>
                        <w:pStyle w:val="ListParagraph"/>
                        <w:numPr>
                          <w:ilvl w:val="0"/>
                          <w:numId w:val="14"/>
                        </w:numPr>
                      </w:pPr>
                      <w:r w:rsidRPr="002C6173">
                        <w:t>An estimated 50% reduction in smoke alarm replacement maintenance costs; and</w:t>
                      </w:r>
                    </w:p>
                    <w:p w14:paraId="50C01F06" w14:textId="77777777" w:rsidR="00807965" w:rsidRPr="002C6173" w:rsidRDefault="00807965" w:rsidP="002C6173">
                      <w:pPr>
                        <w:pStyle w:val="ListParagraph"/>
                        <w:numPr>
                          <w:ilvl w:val="0"/>
                          <w:numId w:val="14"/>
                        </w:numPr>
                      </w:pPr>
                      <w:r w:rsidRPr="002C6173">
                        <w:t>A reduction in risk to both tenants and properties.</w:t>
                      </w:r>
                    </w:p>
                  </w:txbxContent>
                </v:textbox>
                <w10:anchorlock/>
              </v:shape>
            </w:pict>
          </mc:Fallback>
        </mc:AlternateContent>
      </w:r>
    </w:p>
    <w:p w14:paraId="130B9BB8" w14:textId="77777777" w:rsidR="0077128B" w:rsidRDefault="00D2641C" w:rsidP="00052BAE">
      <w:pPr>
        <w:sectPr w:rsidR="0077128B" w:rsidSect="008477EC">
          <w:headerReference w:type="even" r:id="rId35"/>
          <w:headerReference w:type="default" r:id="rId36"/>
          <w:footerReference w:type="default" r:id="rId37"/>
          <w:headerReference w:type="first" r:id="rId38"/>
          <w:pgSz w:w="11906" w:h="16838" w:code="9"/>
          <w:pgMar w:top="1985" w:right="1418" w:bottom="1843" w:left="1531" w:header="567" w:footer="567" w:gutter="0"/>
          <w:cols w:space="708"/>
          <w:docGrid w:linePitch="360"/>
        </w:sectPr>
      </w:pPr>
      <w:r w:rsidRPr="00D2641C">
        <w:rPr>
          <w:i/>
          <w:noProof/>
        </w:rPr>
        <mc:AlternateContent>
          <mc:Choice Requires="wps">
            <w:drawing>
              <wp:inline distT="0" distB="0" distL="0" distR="0" wp14:anchorId="285ABAB5" wp14:editId="3BB97484">
                <wp:extent cx="5600700" cy="2945081"/>
                <wp:effectExtent l="0" t="0" r="19050" b="2730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945081"/>
                        </a:xfrm>
                        <a:prstGeom prst="rect">
                          <a:avLst/>
                        </a:prstGeom>
                        <a:solidFill>
                          <a:schemeClr val="bg1">
                            <a:lumMod val="95000"/>
                          </a:schemeClr>
                        </a:solidFill>
                        <a:ln w="9525">
                          <a:solidFill>
                            <a:srgbClr val="000000"/>
                          </a:solidFill>
                          <a:miter lim="800000"/>
                          <a:headEnd/>
                          <a:tailEnd/>
                        </a:ln>
                      </wps:spPr>
                      <wps:txbx>
                        <w:txbxContent>
                          <w:p w14:paraId="59D73683" w14:textId="77777777" w:rsidR="00807965" w:rsidRPr="002C6173" w:rsidRDefault="00807965" w:rsidP="00D2641C">
                            <w:pPr>
                              <w:jc w:val="center"/>
                              <w:rPr>
                                <w:b/>
                              </w:rPr>
                            </w:pPr>
                            <w:r w:rsidRPr="002C6173">
                              <w:rPr>
                                <w:b/>
                              </w:rPr>
                              <w:t>CASE STUDY C: Washer product alternative</w:t>
                            </w:r>
                          </w:p>
                          <w:p w14:paraId="30531BAE" w14:textId="7F6A7034" w:rsidR="00807965" w:rsidRPr="002C6173" w:rsidRDefault="00807965" w:rsidP="00D2641C">
                            <w:r w:rsidRPr="002C6173">
                              <w:t xml:space="preserve">The existing rubber tap washer </w:t>
                            </w:r>
                            <w:r>
                              <w:t>used</w:t>
                            </w:r>
                            <w:r w:rsidRPr="002C6173">
                              <w:t xml:space="preserve"> in all properties </w:t>
                            </w:r>
                            <w:r>
                              <w:t xml:space="preserve">in one jurisdiction </w:t>
                            </w:r>
                            <w:r w:rsidRPr="002C6173">
                              <w:t>is prone to leakage and being over-tightened by tenants. In areas of poor or very hard water quality this causes excessive damage to the tap seat and other tap components. This has resulted in approximately $400,000 in the 2015/16 financial year in washer replacement costs.</w:t>
                            </w:r>
                          </w:p>
                          <w:p w14:paraId="7F599EC0" w14:textId="290A3E18" w:rsidR="00807965" w:rsidRPr="002C6173" w:rsidRDefault="00807965" w:rsidP="00D2641C">
                            <w:r w:rsidRPr="002C6173">
                              <w:t xml:space="preserve">The </w:t>
                            </w:r>
                            <w:r>
                              <w:t>jurisdiction</w:t>
                            </w:r>
                            <w:r w:rsidRPr="002C6173">
                              <w:t xml:space="preserve"> has become aware of an alternative product, the Aqualoc ‘Monster Washer’ that is designed to eliminate leaking and over-tightening.</w:t>
                            </w:r>
                          </w:p>
                          <w:p w14:paraId="2C2C22F6" w14:textId="2EAA29D1" w:rsidR="00807965" w:rsidRPr="002C6173" w:rsidRDefault="00807965" w:rsidP="00D2641C">
                            <w:r w:rsidRPr="002C6173">
                              <w:t>This project has been initiated with a goal to reduce the cost of replacing washers in remote Aboriginal communities. To achieve this goal the project objectives are to:</w:t>
                            </w:r>
                          </w:p>
                          <w:p w14:paraId="344610E8" w14:textId="6809E376" w:rsidR="00807965" w:rsidRPr="002C6173" w:rsidRDefault="00807965" w:rsidP="002C6173">
                            <w:pPr>
                              <w:pStyle w:val="ListParagraph"/>
                              <w:numPr>
                                <w:ilvl w:val="0"/>
                                <w:numId w:val="14"/>
                              </w:numPr>
                            </w:pPr>
                            <w:r w:rsidRPr="002C6173">
                              <w:t>Instigate a pilot project to evaluate the Monster Washer product to ascertain if it will increase washer lifecycles in remote Aboriginal communities; and</w:t>
                            </w:r>
                          </w:p>
                          <w:p w14:paraId="7F037071" w14:textId="7022B534" w:rsidR="00807965" w:rsidRPr="002C6173" w:rsidRDefault="00807965" w:rsidP="002C6173">
                            <w:pPr>
                              <w:pStyle w:val="ListParagraph"/>
                              <w:numPr>
                                <w:ilvl w:val="0"/>
                                <w:numId w:val="14"/>
                              </w:numPr>
                            </w:pPr>
                            <w:r w:rsidRPr="002C6173">
                              <w:t xml:space="preserve">Introduce Monster Washers into </w:t>
                            </w:r>
                            <w:r>
                              <w:t>other</w:t>
                            </w:r>
                            <w:r w:rsidRPr="002C6173">
                              <w:t xml:space="preserve"> properties if data suggests it will prove more cost-effective.</w:t>
                            </w:r>
                          </w:p>
                          <w:p w14:paraId="41FD88ED" w14:textId="77777777" w:rsidR="00807965" w:rsidRPr="00052BAE" w:rsidRDefault="00807965" w:rsidP="00D2641C">
                            <w:pPr>
                              <w:rPr>
                                <w:i/>
                              </w:rPr>
                            </w:pPr>
                            <w:r w:rsidRPr="002C6173">
                              <w:t xml:space="preserve">The benefits analysis of the pilot project has estimated savings on washer replacement maintenance costs in the region of 76%. </w:t>
                            </w:r>
                          </w:p>
                        </w:txbxContent>
                      </wps:txbx>
                      <wps:bodyPr rot="0" vert="horz" wrap="square" lIns="91440" tIns="45720" rIns="91440" bIns="45720" anchor="t" anchorCtr="0">
                        <a:noAutofit/>
                      </wps:bodyPr>
                    </wps:wsp>
                  </a:graphicData>
                </a:graphic>
              </wp:inline>
            </w:drawing>
          </mc:Choice>
          <mc:Fallback>
            <w:pict>
              <v:shape w14:anchorId="285ABAB5" id="_x0000_s1029" type="#_x0000_t202" style="width:441pt;height:2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" fillcolor="#f2f2f2 [3052]">
                <v:textbox>
                  <w:txbxContent>
                    <w:p w14:paraId="59D73683" w14:textId="77777777" w:rsidR="00807965" w:rsidRPr="002C6173" w:rsidRDefault="00807965" w:rsidP="00D2641C">
                      <w:pPr>
                        <w:jc w:val="center"/>
                        <w:rPr>
                          <w:b/>
                        </w:rPr>
                      </w:pPr>
                      <w:r w:rsidRPr="002C6173">
                        <w:rPr>
                          <w:b/>
                        </w:rPr>
                        <w:t>CASE STUDY C: Washer product alternative</w:t>
                      </w:r>
                    </w:p>
                    <w:p w14:paraId="30531BAE" w14:textId="7F6A7034" w:rsidR="00807965" w:rsidRPr="002C6173" w:rsidRDefault="00807965" w:rsidP="00D2641C">
                      <w:r w:rsidRPr="002C6173">
                        <w:t xml:space="preserve">The existing rubber tap washer </w:t>
                      </w:r>
                      <w:r>
                        <w:t>used</w:t>
                      </w:r>
                      <w:r w:rsidRPr="002C6173">
                        <w:t xml:space="preserve"> in all properties </w:t>
                      </w:r>
                      <w:r>
                        <w:t xml:space="preserve">in one jurisdiction </w:t>
                      </w:r>
                      <w:r w:rsidRPr="002C6173">
                        <w:t>is prone to leakage and being over-tightened by tenants. In areas of poor or very hard water quality this causes excessive damage to the tap seat and other tap components. This has resulted in approximately $400,000 in the 2015/16 financial year in washer replacement costs.</w:t>
                      </w:r>
                    </w:p>
                    <w:p w14:paraId="7F599EC0" w14:textId="290A3E18" w:rsidR="00807965" w:rsidRPr="002C6173" w:rsidRDefault="00807965" w:rsidP="00D2641C">
                      <w:r w:rsidRPr="002C6173">
                        <w:t xml:space="preserve">The </w:t>
                      </w:r>
                      <w:r>
                        <w:t>jurisdiction</w:t>
                      </w:r>
                      <w:r w:rsidRPr="002C6173">
                        <w:t xml:space="preserve"> has become aware of an alternative product, the Aqualoc ‘Monster Washer’ that is designed to eliminate leaking and over-tightening.</w:t>
                      </w:r>
                    </w:p>
                    <w:p w14:paraId="2C2C22F6" w14:textId="2EAA29D1" w:rsidR="00807965" w:rsidRPr="002C6173" w:rsidRDefault="00807965" w:rsidP="00D2641C">
                      <w:r w:rsidRPr="002C6173">
                        <w:t>This project has been initiated with a goal to reduce the cost of replacing washers in remote Aboriginal communities. To achieve this goal the project objectives are to:</w:t>
                      </w:r>
                    </w:p>
                    <w:p w14:paraId="344610E8" w14:textId="6809E376" w:rsidR="00807965" w:rsidRPr="002C6173" w:rsidRDefault="00807965" w:rsidP="002C6173">
                      <w:pPr>
                        <w:pStyle w:val="ListParagraph"/>
                        <w:numPr>
                          <w:ilvl w:val="0"/>
                          <w:numId w:val="14"/>
                        </w:numPr>
                      </w:pPr>
                      <w:r w:rsidRPr="002C6173">
                        <w:t>Instigate a pilot project to evaluate the Monster Washer product to ascertain if it will increase washer lifecycles in remote Aboriginal communities; and</w:t>
                      </w:r>
                    </w:p>
                    <w:p w14:paraId="7F037071" w14:textId="7022B534" w:rsidR="00807965" w:rsidRPr="002C6173" w:rsidRDefault="00807965" w:rsidP="002C6173">
                      <w:pPr>
                        <w:pStyle w:val="ListParagraph"/>
                        <w:numPr>
                          <w:ilvl w:val="0"/>
                          <w:numId w:val="14"/>
                        </w:numPr>
                      </w:pPr>
                      <w:r w:rsidRPr="002C6173">
                        <w:t xml:space="preserve">Introduce Monster Washers into </w:t>
                      </w:r>
                      <w:r>
                        <w:t>other</w:t>
                      </w:r>
                      <w:r w:rsidRPr="002C6173">
                        <w:t xml:space="preserve"> properties if data suggests it will prove more cost-effective.</w:t>
                      </w:r>
                    </w:p>
                    <w:p w14:paraId="41FD88ED" w14:textId="77777777" w:rsidR="00807965" w:rsidRPr="00052BAE" w:rsidRDefault="00807965" w:rsidP="00D2641C">
                      <w:pPr>
                        <w:rPr>
                          <w:i/>
                        </w:rPr>
                      </w:pPr>
                      <w:r w:rsidRPr="002C6173">
                        <w:t xml:space="preserve">The benefits analysis of the pilot project has estimated savings on washer replacement maintenance costs in the region of 76%. </w:t>
                      </w:r>
                    </w:p>
                  </w:txbxContent>
                </v:textbox>
                <w10:anchorlock/>
              </v:shape>
            </w:pict>
          </mc:Fallback>
        </mc:AlternateContent>
      </w:r>
    </w:p>
    <w:p w14:paraId="3F61AD26" w14:textId="77777777" w:rsidR="00CB0FEC" w:rsidRDefault="0074607C" w:rsidP="002C6173">
      <w:pPr>
        <w:pStyle w:val="Heading2"/>
      </w:pPr>
      <w:bookmarkStart w:id="117" w:name="_Toc475982711"/>
      <w:bookmarkStart w:id="118" w:name="_Toc480791437"/>
      <w:bookmarkStart w:id="119" w:name="_Toc475990798"/>
      <w:r>
        <w:rPr>
          <w:noProof/>
        </w:rPr>
        <w:lastRenderedPageBreak/>
        <mc:AlternateContent>
          <mc:Choice Requires="wps">
            <w:drawing>
              <wp:anchor distT="0" distB="0" distL="114300" distR="114300" simplePos="0" relativeHeight="251658240" behindDoc="0" locked="0" layoutInCell="1" allowOverlap="1" wp14:anchorId="54B7BFB9" wp14:editId="2842F8E5">
                <wp:simplePos x="0" y="0"/>
                <wp:positionH relativeFrom="column">
                  <wp:posOffset>-6051446</wp:posOffset>
                </wp:positionH>
                <wp:positionV relativeFrom="paragraph">
                  <wp:posOffset>2797791</wp:posOffset>
                </wp:positionV>
                <wp:extent cx="2374265" cy="1403985"/>
                <wp:effectExtent l="0" t="0" r="1016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D14305D" w14:textId="77777777" w:rsidR="00807965" w:rsidRDefault="00807965" w:rsidP="0074607C">
                            <w:r>
                              <w:t>Develop a detailed understanding of the various costs over the last 4 years</w:t>
                            </w:r>
                          </w:p>
                          <w:p w14:paraId="2A902D56" w14:textId="77777777" w:rsidR="00807965" w:rsidRDefault="00807965" w:rsidP="0074607C">
                            <w:r>
                              <w:t>Brought 2 agency procurement contract together</w:t>
                            </w:r>
                          </w:p>
                          <w:p w14:paraId="78281601" w14:textId="77777777" w:rsidR="00807965" w:rsidRDefault="00807965" w:rsidP="0074607C">
                            <w:r>
                              <w:t>15-30% saving over next 12 months unit cost price reduction</w:t>
                            </w:r>
                          </w:p>
                          <w:p w14:paraId="34E1156E" w14:textId="77777777" w:rsidR="00807965" w:rsidRDefault="00807965" w:rsidP="0074607C">
                            <w:r>
                              <w:t>Planned – before $ 33 k, after $11k</w:t>
                            </w:r>
                          </w:p>
                          <w:p w14:paraId="39FFFA8C" w14:textId="77777777" w:rsidR="00807965" w:rsidRDefault="00807965" w:rsidP="0074607C">
                            <w:r>
                              <w:t>Emergency 0 before $8.5k, after $3.4k</w:t>
                            </w:r>
                          </w:p>
                          <w:p w14:paraId="2C3BA1AE" w14:textId="77777777" w:rsidR="00807965" w:rsidRDefault="00807965" w:rsidP="0074607C">
                            <w:r>
                              <w:t>Expected savings</w:t>
                            </w:r>
                          </w:p>
                          <w:p w14:paraId="06B65B5E" w14:textId="77777777" w:rsidR="00807965" w:rsidRDefault="00807965" w:rsidP="0074607C">
                            <w:r>
                              <w:t>Length of time – of contract</w:t>
                            </w:r>
                          </w:p>
                          <w:p w14:paraId="1CDBDFBF" w14:textId="77777777" w:rsidR="00807965" w:rsidRDefault="00807965" w:rsidP="0074607C">
                            <w:r>
                              <w:t>-1.5 + 3+3 years</w:t>
                            </w:r>
                          </w:p>
                          <w:p w14:paraId="3A235783" w14:textId="77777777" w:rsidR="00807965" w:rsidRDefault="00807965" w:rsidP="0074607C">
                            <w:r>
                              <w:t>May result in difficulty in varying contract</w:t>
                            </w:r>
                          </w:p>
                          <w:p w14:paraId="78E10E1C" w14:textId="77777777" w:rsidR="00807965" w:rsidRDefault="00807965" w:rsidP="0074607C">
                            <w:r>
                              <w:t>Replace v newbuild – SA should be doing more replacements but budget restraints prevent</w:t>
                            </w:r>
                          </w:p>
                          <w:p w14:paraId="6CE739FC" w14:textId="77777777" w:rsidR="00807965" w:rsidRDefault="0080796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B7BFB9" id="_x0000_s1030" type="#_x0000_t202" style="position:absolute;left:0;text-align:left;margin-left:-476.5pt;margin-top:220.3pt;width:186.95pt;height:110.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QxJgIAAEw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">
                <v:textbox style="mso-fit-shape-to-text:t">
                  <w:txbxContent>
                    <w:p w14:paraId="1D14305D" w14:textId="77777777" w:rsidR="00807965" w:rsidRDefault="00807965" w:rsidP="0074607C">
                      <w:r>
                        <w:t>Develop a detailed understanding of the various costs over the last 4 years</w:t>
                      </w:r>
                    </w:p>
                    <w:p w14:paraId="2A902D56" w14:textId="77777777" w:rsidR="00807965" w:rsidRDefault="00807965" w:rsidP="0074607C">
                      <w:r>
                        <w:t>Brought 2 agency procurement contract together</w:t>
                      </w:r>
                    </w:p>
                    <w:p w14:paraId="78281601" w14:textId="77777777" w:rsidR="00807965" w:rsidRDefault="00807965" w:rsidP="0074607C">
                      <w:r>
                        <w:t>15-30% saving over next 12 months unit cost price reduction</w:t>
                      </w:r>
                    </w:p>
                    <w:p w14:paraId="34E1156E" w14:textId="77777777" w:rsidR="00807965" w:rsidRDefault="00807965" w:rsidP="0074607C">
                      <w:r>
                        <w:t>Planned – before $ 33 k, after $11k</w:t>
                      </w:r>
                    </w:p>
                    <w:p w14:paraId="39FFFA8C" w14:textId="77777777" w:rsidR="00807965" w:rsidRDefault="00807965" w:rsidP="0074607C">
                      <w:r>
                        <w:t>Emergency 0 before $8.5k, after $3.4k</w:t>
                      </w:r>
                    </w:p>
                    <w:p w14:paraId="2C3BA1AE" w14:textId="77777777" w:rsidR="00807965" w:rsidRDefault="00807965" w:rsidP="0074607C">
                      <w:r>
                        <w:t>Expected savings</w:t>
                      </w:r>
                    </w:p>
                    <w:p w14:paraId="06B65B5E" w14:textId="77777777" w:rsidR="00807965" w:rsidRDefault="00807965" w:rsidP="0074607C">
                      <w:r>
                        <w:t>Length of time – of contract</w:t>
                      </w:r>
                    </w:p>
                    <w:p w14:paraId="1CDBDFBF" w14:textId="77777777" w:rsidR="00807965" w:rsidRDefault="00807965" w:rsidP="0074607C">
                      <w:r>
                        <w:t>-1.5 + 3+3 years</w:t>
                      </w:r>
                    </w:p>
                    <w:p w14:paraId="3A235783" w14:textId="77777777" w:rsidR="00807965" w:rsidRDefault="00807965" w:rsidP="0074607C">
                      <w:r>
                        <w:t>May result in difficulty in varying contract</w:t>
                      </w:r>
                    </w:p>
                    <w:p w14:paraId="78E10E1C" w14:textId="77777777" w:rsidR="00807965" w:rsidRDefault="00807965" w:rsidP="0074607C">
                      <w:r>
                        <w:t>Replace v newbuild – SA should be doing more replacements but budget restraints prevent</w:t>
                      </w:r>
                    </w:p>
                    <w:p w14:paraId="6CE739FC" w14:textId="77777777" w:rsidR="00807965" w:rsidRDefault="00807965"/>
                  </w:txbxContent>
                </v:textbox>
              </v:shape>
            </w:pict>
          </mc:Fallback>
        </mc:AlternateContent>
      </w:r>
      <w:bookmarkStart w:id="120" w:name="_Toc475447323"/>
      <w:r w:rsidR="00CB0FEC">
        <w:t xml:space="preserve">There are other factors which </w:t>
      </w:r>
      <w:r w:rsidR="00217DD4">
        <w:t>could deliver</w:t>
      </w:r>
      <w:r w:rsidR="00CB0FEC">
        <w:t xml:space="preserve"> cost</w:t>
      </w:r>
      <w:r w:rsidR="00217DD4">
        <w:t xml:space="preserve"> reductions</w:t>
      </w:r>
      <w:r w:rsidR="00CB0FEC">
        <w:t xml:space="preserve"> that aren’t directly </w:t>
      </w:r>
      <w:r w:rsidR="00217DD4">
        <w:t>related to</w:t>
      </w:r>
      <w:r w:rsidR="00CB0FEC">
        <w:t xml:space="preserve"> </w:t>
      </w:r>
      <w:r w:rsidR="00217DD4">
        <w:t xml:space="preserve">the </w:t>
      </w:r>
      <w:r w:rsidR="00CB0FEC">
        <w:t>approach</w:t>
      </w:r>
      <w:r w:rsidR="00217DD4">
        <w:t xml:space="preserve"> to PTM</w:t>
      </w:r>
      <w:bookmarkEnd w:id="117"/>
      <w:bookmarkEnd w:id="118"/>
    </w:p>
    <w:bookmarkEnd w:id="119"/>
    <w:p w14:paraId="213C5356" w14:textId="5ADA66A0" w:rsidR="00CB0FEC" w:rsidRPr="009D3DA6" w:rsidRDefault="00CB0FEC" w:rsidP="00CB0FEC">
      <w:r>
        <w:t xml:space="preserve">Beyond the entirely uncontrollable factors and directly controllable factors identified </w:t>
      </w:r>
      <w:r w:rsidRPr="003A3995">
        <w:t xml:space="preserve">in </w:t>
      </w:r>
      <w:r w:rsidR="003A3995">
        <w:t>earlier sections of this chapter</w:t>
      </w:r>
      <w:r>
        <w:t>, there is a set of cost drivers which represent a middle ground between the two extremes. These are factors over which jurisdictions and service providers have some level of control, but</w:t>
      </w:r>
      <w:r w:rsidR="00760BCE">
        <w:t xml:space="preserve"> which</w:t>
      </w:r>
      <w:r>
        <w:t xml:space="preserve"> are not directly under the influence of the chosen PTM approach. These factors have been identified </w:t>
      </w:r>
      <w:r w:rsidRPr="009D3DA6">
        <w:t>through discussions with subject matter experts withi</w:t>
      </w:r>
      <w:r w:rsidR="0009788A" w:rsidRPr="009D3DA6">
        <w:t>n the jurisdictions and include:</w:t>
      </w:r>
    </w:p>
    <w:p w14:paraId="73DED04C" w14:textId="474779CE" w:rsidR="00AC7681" w:rsidRPr="0048392D" w:rsidRDefault="00CB0FEC" w:rsidP="00EC4B38">
      <w:pPr>
        <w:pStyle w:val="Bullet"/>
      </w:pPr>
      <w:r w:rsidRPr="009D3DA6">
        <w:rPr>
          <w:b/>
        </w:rPr>
        <w:t xml:space="preserve">Build decisions (design and materials). </w:t>
      </w:r>
      <w:r w:rsidRPr="009D3DA6">
        <w:t>While not</w:t>
      </w:r>
      <w:r w:rsidR="00C87B56">
        <w:t xml:space="preserve"> directly</w:t>
      </w:r>
      <w:r w:rsidRPr="009D3DA6">
        <w:t xml:space="preserve"> within scope of this chapter of work, it is widely accepted that construction decisions play a significant role in the ongoing costs of property and tenancy management in remote Indigenous communities. </w:t>
      </w:r>
      <w:r w:rsidR="00EC4B38" w:rsidRPr="009D3DA6">
        <w:t>A 2011 review of remote Indigenous housing construction by Rider Levett Bucknall found that any savings generated by a cheaper initial capital cost can be out-stripped by a higher on-going recurrent cost.</w:t>
      </w:r>
      <w:r w:rsidR="00EC4B38" w:rsidRPr="009D3DA6">
        <w:rPr>
          <w:rStyle w:val="FootnoteReference"/>
        </w:rPr>
        <w:footnoteReference w:id="16"/>
      </w:r>
      <w:r w:rsidR="00EC4B38" w:rsidRPr="009D3DA6">
        <w:t xml:space="preserve"> Whilst  there  is  an  initial premium incurred  for  a  more  robust  solution, there  are  fewer replacements required over a 30 year period. The review found that over </w:t>
      </w:r>
      <w:r w:rsidR="00EC4B38" w:rsidRPr="0048392D">
        <w:t>a 30 year life cycle study, the initial capital cost represents about one third of the total life cycle cost</w:t>
      </w:r>
      <w:r w:rsidR="00E505B2" w:rsidRPr="0048392D">
        <w:t xml:space="preserve">. </w:t>
      </w:r>
      <w:r w:rsidR="00C87B56" w:rsidRPr="0048392D">
        <w:t>A 2005 study by Health Habitat also found that 26 per cent of maintenance costs are incurred as a result of faulty construction</w:t>
      </w:r>
      <w:r w:rsidR="00C87B56" w:rsidRPr="0048392D">
        <w:rPr>
          <w:rStyle w:val="FootnoteReference"/>
        </w:rPr>
        <w:footnoteReference w:id="17"/>
      </w:r>
      <w:r w:rsidR="00C87B56" w:rsidRPr="0048392D">
        <w:t xml:space="preserve">. </w:t>
      </w:r>
      <w:r w:rsidR="00E505B2" w:rsidRPr="0048392D">
        <w:t>Expert</w:t>
      </w:r>
      <w:r w:rsidR="00125A1B">
        <w:t xml:space="preserve"> literature</w:t>
      </w:r>
      <w:r w:rsidR="00E505B2" w:rsidRPr="0048392D">
        <w:t xml:space="preserve"> </w:t>
      </w:r>
      <w:r w:rsidR="00C87B56" w:rsidRPr="0048392D">
        <w:t>indicates</w:t>
      </w:r>
      <w:r w:rsidR="0080480A" w:rsidRPr="0048392D">
        <w:t xml:space="preserve"> that construction methods and materials should take particular consideration of the local environment, and Indigenous communities should be involved in planning and implementing construction programs</w:t>
      </w:r>
      <w:r w:rsidR="00E505B2" w:rsidRPr="0048392D">
        <w:rPr>
          <w:rStyle w:val="FootnoteReference"/>
        </w:rPr>
        <w:footnoteReference w:id="18"/>
      </w:r>
      <w:r w:rsidR="0080480A" w:rsidRPr="0048392D">
        <w:t>.</w:t>
      </w:r>
      <w:r w:rsidR="00F80D0D" w:rsidRPr="0048392D">
        <w:t xml:space="preserve"> </w:t>
      </w:r>
    </w:p>
    <w:p w14:paraId="16778D3A" w14:textId="346A6241" w:rsidR="00CB0FEC" w:rsidRPr="00B910F5" w:rsidRDefault="00CB0FEC" w:rsidP="00CB0FEC">
      <w:pPr>
        <w:pStyle w:val="Bullet"/>
        <w:rPr>
          <w:b/>
        </w:rPr>
      </w:pPr>
      <w:r w:rsidRPr="00B910F5">
        <w:rPr>
          <w:b/>
        </w:rPr>
        <w:t>Standard of service</w:t>
      </w:r>
      <w:r>
        <w:rPr>
          <w:b/>
        </w:rPr>
        <w:t xml:space="preserve">. </w:t>
      </w:r>
      <w:r>
        <w:t>Similar to build decisions, jurisdictions face choices in the standard to which repairs and maintenance activities (as well as r</w:t>
      </w:r>
      <w:r w:rsidR="00517A72">
        <w:t>efurbishments) are carried out and the subsequent effect on ongoing repair and maintenance costs.</w:t>
      </w:r>
    </w:p>
    <w:p w14:paraId="611EBBFB" w14:textId="5B86430C" w:rsidR="00CB0FEC" w:rsidRPr="002002CE" w:rsidRDefault="00CB0FEC" w:rsidP="00CB0FEC">
      <w:pPr>
        <w:pStyle w:val="Bullet"/>
        <w:rPr>
          <w:b/>
        </w:rPr>
      </w:pPr>
      <w:r w:rsidRPr="00B910F5">
        <w:rPr>
          <w:b/>
        </w:rPr>
        <w:t>Tenant behaviour</w:t>
      </w:r>
      <w:r>
        <w:rPr>
          <w:b/>
        </w:rPr>
        <w:t xml:space="preserve">. </w:t>
      </w:r>
      <w:r>
        <w:t xml:space="preserve"> The behaviour of tenants is considered </w:t>
      </w:r>
      <w:r w:rsidR="00167B84">
        <w:t xml:space="preserve">by jurisdictions </w:t>
      </w:r>
      <w:r>
        <w:t>to play a la</w:t>
      </w:r>
      <w:r w:rsidR="00167B84">
        <w:t xml:space="preserve">rge role in ongoing costs. To an </w:t>
      </w:r>
      <w:r>
        <w:t xml:space="preserve">extent, tenant behaviour is able to be affected by tenant engagement and education. Anecdotally, better informed and educated tenants are less likely to inadvertently cause damage to property and more likely to be able to </w:t>
      </w:r>
      <w:r w:rsidRPr="0048392D">
        <w:t xml:space="preserve">perform routine repair activities of their own accord, reducing ongoing costs of housing provision. </w:t>
      </w:r>
      <w:r w:rsidR="00167B84" w:rsidRPr="0048392D">
        <w:t xml:space="preserve">In saying this, McPeake &amp; Pholeros (2005) found that rough treatment and resident damage accounts for only 8 per cent of repair and maintenance needs in Indigenous houses. However, education on the correct use of cleaning products and other routine housekeeping issues is believed to reduce cleaning costs for tenants, improving the likelihood of rent collection. </w:t>
      </w:r>
      <w:r w:rsidR="006F044F">
        <w:t xml:space="preserve">Good tenant engagement also increases the likelihood of damage being reported proactively, and being fixed before the consequences are greater.  </w:t>
      </w:r>
      <w:r w:rsidRPr="0048392D">
        <w:t>A specific</w:t>
      </w:r>
      <w:r w:rsidR="00167B84" w:rsidRPr="0048392D">
        <w:t xml:space="preserve"> (unquantified)</w:t>
      </w:r>
      <w:r w:rsidRPr="0048392D">
        <w:t xml:space="preserve"> example is</w:t>
      </w:r>
      <w:r w:rsidRPr="002002CE">
        <w:t xml:space="preserve"> provided in </w:t>
      </w:r>
      <w:r w:rsidR="003D526F" w:rsidRPr="002002CE">
        <w:t>Case Study D below.</w:t>
      </w:r>
      <w:r w:rsidR="00CD2DFB">
        <w:t xml:space="preserve"> </w:t>
      </w:r>
    </w:p>
    <w:p w14:paraId="731E862A" w14:textId="1E916A19" w:rsidR="00CB0FEC" w:rsidRPr="00736044" w:rsidRDefault="00CB0FEC" w:rsidP="00CB0FEC">
      <w:pPr>
        <w:pStyle w:val="Bullet"/>
        <w:rPr>
          <w:b/>
        </w:rPr>
      </w:pPr>
      <w:r w:rsidRPr="00C82009">
        <w:rPr>
          <w:b/>
        </w:rPr>
        <w:t>Transport decisions.</w:t>
      </w:r>
      <w:r>
        <w:rPr>
          <w:b/>
        </w:rPr>
        <w:t xml:space="preserve"> </w:t>
      </w:r>
      <w:r>
        <w:t>Transport decisions are closely linked with uncontrollable remoteness factors discussed earlier in this report</w:t>
      </w:r>
      <w:r w:rsidR="006F044F">
        <w:t>, including seasonality of access in some areas</w:t>
      </w:r>
      <w:r>
        <w:t xml:space="preserve">. While transport destinations are uncontrollable, transport decisions remain to some extent within the control of jurisdictions. In particular, these include mode of transport, timing of transport and potential </w:t>
      </w:r>
      <w:r>
        <w:lastRenderedPageBreak/>
        <w:t>transport sharing with other government agencies and other service providers. Beyond the analysis of works packaging costs detailed earlier in this report, Nous’ analysis does not include a detailed analysis of the costs of various transport decisions.</w:t>
      </w:r>
    </w:p>
    <w:p w14:paraId="2DAD22AD" w14:textId="6CB0C349" w:rsidR="00736044" w:rsidRDefault="0014530F" w:rsidP="002C2B1D">
      <w:pPr>
        <w:pStyle w:val="Bullet"/>
      </w:pPr>
      <w:r w:rsidRPr="0048392D">
        <w:rPr>
          <w:b/>
        </w:rPr>
        <w:t>Local I</w:t>
      </w:r>
      <w:r w:rsidR="00736044" w:rsidRPr="0048392D">
        <w:rPr>
          <w:b/>
        </w:rPr>
        <w:t>ndigenous employment</w:t>
      </w:r>
      <w:r w:rsidR="00517A72" w:rsidRPr="0048392D">
        <w:t>. Expert advice indicates t</w:t>
      </w:r>
      <w:r w:rsidR="00736044" w:rsidRPr="0048392D">
        <w:t>hat local communities should be consulted on design, construction and maintenance plans and should be involv</w:t>
      </w:r>
      <w:r w:rsidR="006460D0" w:rsidRPr="0048392D">
        <w:t>e</w:t>
      </w:r>
      <w:r w:rsidR="00736044" w:rsidRPr="0048392D">
        <w:t xml:space="preserve">d in their implementation, </w:t>
      </w:r>
      <w:r w:rsidR="006460D0" w:rsidRPr="0048392D">
        <w:t>utilising</w:t>
      </w:r>
      <w:r w:rsidR="00736044" w:rsidRPr="0048392D">
        <w:t xml:space="preserve"> local labour</w:t>
      </w:r>
      <w:r w:rsidR="00290F05" w:rsidRPr="0048392D">
        <w:rPr>
          <w:rStyle w:val="FootnoteReference"/>
        </w:rPr>
        <w:footnoteReference w:id="19"/>
      </w:r>
      <w:r w:rsidR="00736044" w:rsidRPr="0048392D">
        <w:t xml:space="preserve">. </w:t>
      </w:r>
      <w:r w:rsidR="00290F05" w:rsidRPr="0048392D">
        <w:t xml:space="preserve">Findings by </w:t>
      </w:r>
      <w:r w:rsidR="00736044" w:rsidRPr="0048392D">
        <w:t xml:space="preserve">AHURI </w:t>
      </w:r>
      <w:r w:rsidR="00290F05" w:rsidRPr="0048392D">
        <w:t>also</w:t>
      </w:r>
      <w:r w:rsidR="00736044" w:rsidRPr="0048392D">
        <w:t xml:space="preserve"> </w:t>
      </w:r>
      <w:r w:rsidR="00681BFB">
        <w:t>r</w:t>
      </w:r>
      <w:r w:rsidR="00F97B82" w:rsidRPr="0048392D">
        <w:t xml:space="preserve">ecommend </w:t>
      </w:r>
      <w:r w:rsidR="00736044" w:rsidRPr="0048392D">
        <w:t xml:space="preserve">increasing local involvement in repairs and maintenance. “The use of local handypersons can help improve repairs and maintenance outcomes as well as provide some local employment and </w:t>
      </w:r>
      <w:r w:rsidR="006460D0" w:rsidRPr="0048392D">
        <w:t>upskilling</w:t>
      </w:r>
      <w:r w:rsidR="004C5A1B">
        <w:t>”.</w:t>
      </w:r>
      <w:r w:rsidR="00F97B82" w:rsidRPr="0048392D">
        <w:rPr>
          <w:rStyle w:val="FootnoteReference"/>
        </w:rPr>
        <w:footnoteReference w:id="20"/>
      </w:r>
      <w:r w:rsidR="00736044" w:rsidRPr="0048392D">
        <w:t xml:space="preserve"> </w:t>
      </w:r>
      <w:r w:rsidR="00F97B82" w:rsidRPr="0048392D">
        <w:t>Findings also</w:t>
      </w:r>
      <w:r w:rsidR="00736044" w:rsidRPr="0048392D">
        <w:t xml:space="preserve"> suggest that local Indi</w:t>
      </w:r>
      <w:r w:rsidR="00F97B82" w:rsidRPr="0048392D">
        <w:t>genous involvement could assist</w:t>
      </w:r>
      <w:r w:rsidR="005831CD" w:rsidRPr="0048392D">
        <w:t xml:space="preserve"> tradespeople with job bundling, act as guides and interpreters an</w:t>
      </w:r>
      <w:r w:rsidR="006460D0" w:rsidRPr="0048392D">
        <w:t>d help with simple labouring ta</w:t>
      </w:r>
      <w:r w:rsidR="005831CD" w:rsidRPr="0048392D">
        <w:t>sks.</w:t>
      </w:r>
      <w:r w:rsidR="00F97B82" w:rsidRPr="0048392D">
        <w:t xml:space="preserve"> A specific example is provided in Case Study E below, as demonstrated by Pholeros and Phibbs (2012).</w:t>
      </w:r>
    </w:p>
    <w:p w14:paraId="50FEB1F2" w14:textId="7436FF35" w:rsidR="001D4F90" w:rsidRPr="0048392D" w:rsidRDefault="001D4F90" w:rsidP="002C2B1D">
      <w:pPr>
        <w:pStyle w:val="Bullet"/>
      </w:pPr>
      <w:r>
        <w:rPr>
          <w:b/>
        </w:rPr>
        <w:t xml:space="preserve">Changes to rent setting or rent collection policies. </w:t>
      </w:r>
      <w:r w:rsidR="0054447F" w:rsidRPr="0054447F">
        <w:t>R</w:t>
      </w:r>
      <w:r>
        <w:t>ent setting policy is a revenue-increasing rather than cost-minimising approach. While our analysis has shown that the most high impact area of focus</w:t>
      </w:r>
      <w:r w:rsidR="001D4CBF">
        <w:t xml:space="preserve"> is in cost reduction, small gains are possible through increasing the amount of rent set and the amount collected. Commonwealth data indicates that there is a large variation between each jurisdiction in the amount of rent charged as well as the amount of rent collected. Increasing som</w:t>
      </w:r>
      <w:r w:rsidR="00FF689B">
        <w:t>e of the lower value rents and applying</w:t>
      </w:r>
      <w:r w:rsidR="001D4CBF">
        <w:t xml:space="preserve"> lessons</w:t>
      </w:r>
      <w:r w:rsidR="00FF689B">
        <w:t xml:space="preserve"> on rent collection policy </w:t>
      </w:r>
      <w:r w:rsidR="001D4CBF">
        <w:t>from the jurisdictions which collect greater proportion</w:t>
      </w:r>
      <w:r w:rsidR="00FF689B">
        <w:t xml:space="preserve"> of rents has the potential to increase the revenues achieved from remote Indigenous housing.</w:t>
      </w:r>
    </w:p>
    <w:bookmarkEnd w:id="120"/>
    <w:p w14:paraId="750DEE5E" w14:textId="77777777" w:rsidR="00CB0FEC" w:rsidRPr="00863F4D" w:rsidRDefault="00BF386D" w:rsidP="00BF386D">
      <w:pPr>
        <w:pStyle w:val="Bullet"/>
        <w:numPr>
          <w:ilvl w:val="0"/>
          <w:numId w:val="0"/>
        </w:numPr>
      </w:pPr>
      <w:r>
        <w:rPr>
          <w:noProof/>
        </w:rPr>
        <mc:AlternateContent>
          <mc:Choice Requires="wps">
            <w:drawing>
              <wp:inline distT="0" distB="0" distL="0" distR="0" wp14:anchorId="2C53371E" wp14:editId="0F765025">
                <wp:extent cx="5601600" cy="1403985"/>
                <wp:effectExtent l="0" t="0" r="18415" b="2603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600" cy="1403985"/>
                        </a:xfrm>
                        <a:prstGeom prst="rect">
                          <a:avLst/>
                        </a:prstGeom>
                        <a:solidFill>
                          <a:schemeClr val="bg1">
                            <a:lumMod val="95000"/>
                          </a:schemeClr>
                        </a:solidFill>
                        <a:ln w="9525">
                          <a:solidFill>
                            <a:srgbClr val="000000"/>
                          </a:solidFill>
                          <a:miter lim="800000"/>
                          <a:headEnd/>
                          <a:tailEnd/>
                        </a:ln>
                      </wps:spPr>
                      <wps:txbx>
                        <w:txbxContent>
                          <w:p w14:paraId="42AEB530" w14:textId="77777777" w:rsidR="00807965" w:rsidRPr="002C6173" w:rsidRDefault="00807965" w:rsidP="00B55924">
                            <w:pPr>
                              <w:jc w:val="center"/>
                              <w:rPr>
                                <w:b/>
                              </w:rPr>
                            </w:pPr>
                            <w:r w:rsidRPr="002C6173">
                              <w:rPr>
                                <w:b/>
                              </w:rPr>
                              <w:t>Case Study D: Tenant education</w:t>
                            </w:r>
                          </w:p>
                          <w:p w14:paraId="4369C861" w14:textId="77777777" w:rsidR="00807965" w:rsidRDefault="00807965" w:rsidP="00B55924">
                            <w:r>
                              <w:t>One jurisdiction achieved improvements in maintenance requirements through a tenant education program. This involved a locally based and employed tenancy educator working with families and in school settings.</w:t>
                            </w:r>
                          </w:p>
                          <w:p w14:paraId="4C391830" w14:textId="77777777" w:rsidR="00807965" w:rsidRDefault="00807965" w:rsidP="00B55924">
                            <w:r>
                              <w:t>The program focused on how to live in a house and included cooking education and information on appropriate cleaning products.</w:t>
                            </w:r>
                          </w:p>
                          <w:p w14:paraId="4561D94E" w14:textId="603ABD53" w:rsidR="00807965" w:rsidRDefault="00807965" w:rsidP="00BF386D">
                            <w:r>
                              <w:t>Following the implementation of the tenant education, the jurisdiction found an increase in rental revenue and a reduction in reactive repairs and maintenance (unquantified at this stage).</w:t>
                            </w:r>
                          </w:p>
                        </w:txbxContent>
                      </wps:txbx>
                      <wps:bodyPr rot="0" vert="horz" wrap="square" lIns="91440" tIns="45720" rIns="91440" bIns="45720" anchor="t" anchorCtr="0">
                        <a:spAutoFit/>
                      </wps:bodyPr>
                    </wps:wsp>
                  </a:graphicData>
                </a:graphic>
              </wp:inline>
            </w:drawing>
          </mc:Choice>
          <mc:Fallback>
            <w:pict>
              <v:shape w14:anchorId="2C53371E" id="_x0000_s1031" type="#_x0000_t202" style="width:441.0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" fillcolor="#f2f2f2 [3052]">
                <v:textbox style="mso-fit-shape-to-text:t">
                  <w:txbxContent>
                    <w:p w14:paraId="42AEB530" w14:textId="77777777" w:rsidR="00807965" w:rsidRPr="002C6173" w:rsidRDefault="00807965" w:rsidP="00B55924">
                      <w:pPr>
                        <w:jc w:val="center"/>
                        <w:rPr>
                          <w:b/>
                        </w:rPr>
                      </w:pPr>
                      <w:r w:rsidRPr="002C6173">
                        <w:rPr>
                          <w:b/>
                        </w:rPr>
                        <w:t>Case Study D: Tenant education</w:t>
                      </w:r>
                    </w:p>
                    <w:p w14:paraId="4369C861" w14:textId="77777777" w:rsidR="00807965" w:rsidRDefault="00807965" w:rsidP="00B55924">
                      <w:r>
                        <w:t>One jurisdiction achieved improvements in maintenance requirements through a tenant education program. This involved a locally based and employed tenancy educator working with families and in school settings.</w:t>
                      </w:r>
                    </w:p>
                    <w:p w14:paraId="4C391830" w14:textId="77777777" w:rsidR="00807965" w:rsidRDefault="00807965" w:rsidP="00B55924">
                      <w:r>
                        <w:t>The program focused on how to live in a house and included cooking education and information on appropriate cleaning products.</w:t>
                      </w:r>
                    </w:p>
                    <w:p w14:paraId="4561D94E" w14:textId="603ABD53" w:rsidR="00807965" w:rsidRDefault="00807965" w:rsidP="00BF386D">
                      <w:r>
                        <w:t>Following the implementation of the tenant education, the jurisdiction found an increase in rental revenue and a reduction in reactive repairs and maintenance (unquantified at this stage).</w:t>
                      </w:r>
                    </w:p>
                  </w:txbxContent>
                </v:textbox>
                <w10:anchorlock/>
              </v:shape>
            </w:pict>
          </mc:Fallback>
        </mc:AlternateContent>
      </w:r>
    </w:p>
    <w:p w14:paraId="00EFFE93" w14:textId="38E583E2" w:rsidR="00F97B82" w:rsidRDefault="00F97B82" w:rsidP="00574B63">
      <w:bookmarkStart w:id="121" w:name="_Toc475982712"/>
      <w:bookmarkStart w:id="122" w:name="_Toc475990799"/>
      <w:bookmarkStart w:id="123" w:name="_Toc475447324"/>
      <w:r>
        <w:rPr>
          <w:noProof/>
        </w:rPr>
        <w:lastRenderedPageBreak/>
        <mc:AlternateContent>
          <mc:Choice Requires="wps">
            <w:drawing>
              <wp:inline distT="0" distB="0" distL="0" distR="0" wp14:anchorId="5801530F" wp14:editId="3CD0317E">
                <wp:extent cx="5601600" cy="2514600"/>
                <wp:effectExtent l="0" t="0" r="1841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600" cy="2514600"/>
                        </a:xfrm>
                        <a:prstGeom prst="rect">
                          <a:avLst/>
                        </a:prstGeom>
                        <a:solidFill>
                          <a:schemeClr val="bg1">
                            <a:lumMod val="95000"/>
                          </a:schemeClr>
                        </a:solidFill>
                        <a:ln w="9525">
                          <a:solidFill>
                            <a:srgbClr val="000000"/>
                          </a:solidFill>
                          <a:miter lim="800000"/>
                          <a:headEnd/>
                          <a:tailEnd/>
                        </a:ln>
                      </wps:spPr>
                      <wps:txbx>
                        <w:txbxContent>
                          <w:p w14:paraId="29B555B4" w14:textId="6BD92F57" w:rsidR="00807965" w:rsidRPr="002C6173" w:rsidRDefault="00807965" w:rsidP="00F97B82">
                            <w:pPr>
                              <w:jc w:val="center"/>
                              <w:rPr>
                                <w:b/>
                              </w:rPr>
                            </w:pPr>
                            <w:r w:rsidRPr="002C6173">
                              <w:rPr>
                                <w:b/>
                              </w:rPr>
                              <w:t xml:space="preserve">Case Study </w:t>
                            </w:r>
                            <w:r>
                              <w:rPr>
                                <w:b/>
                              </w:rPr>
                              <w:t>E: Highlighting the need for local Indigenous involvement: the case of Chris the plumber (adapted from Pholeros &amp; Phibbs, 2012)</w:t>
                            </w:r>
                          </w:p>
                          <w:p w14:paraId="1C98A2F0" w14:textId="1D6B86D1" w:rsidR="00807965" w:rsidRDefault="00807965" w:rsidP="00F97B82">
                            <w:r>
                              <w:t>A plumber arrives with his apprentice in an Indigenous Community, having driven 250km from a regional town. He faces problems identifying the correct houses to perform repairs. He also has trouble communicating with local residents. When he finally finds someone home, he decides to replace their toilet rather than replace their damaged washer in order to pay for the trip (and his apprentice’s wages). It is unlikely he will return unless work elsewhere is very short.</w:t>
                            </w:r>
                          </w:p>
                          <w:p w14:paraId="75A0436D" w14:textId="6043A64F" w:rsidR="00807965" w:rsidRDefault="00807965" w:rsidP="00A14859">
                            <w:r>
                              <w:t>If he had the support of a local Indigenous team, who could have bundled up a larger number of maintenance jobs for him, his trip would have been more profitable and productive. The local team could have assessed houses, assembled work lists, acted as guides and interpreters and helped him by doing simple labouring tasks (allowing the plumber to leave his apprentice in their home town to work on other jobs). The local team could also have earned a wage and helped the plumber to complete more work in their community during his trip.</w:t>
                            </w:r>
                          </w:p>
                        </w:txbxContent>
                      </wps:txbx>
                      <wps:bodyPr rot="0" vert="horz" wrap="square" lIns="91440" tIns="45720" rIns="91440" bIns="45720" anchor="t" anchorCtr="0">
                        <a:noAutofit/>
                      </wps:bodyPr>
                    </wps:wsp>
                  </a:graphicData>
                </a:graphic>
              </wp:inline>
            </w:drawing>
          </mc:Choice>
          <mc:Fallback>
            <w:pict>
              <v:shape w14:anchorId="5801530F" id="_x0000_s1032" type="#_x0000_t202" style="width:441.0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" fillcolor="#f2f2f2 [3052]">
                <v:textbox>
                  <w:txbxContent>
                    <w:p w14:paraId="29B555B4" w14:textId="6BD92F57" w:rsidR="00807965" w:rsidRPr="002C6173" w:rsidRDefault="00807965" w:rsidP="00F97B82">
                      <w:pPr>
                        <w:jc w:val="center"/>
                        <w:rPr>
                          <w:b/>
                        </w:rPr>
                      </w:pPr>
                      <w:r w:rsidRPr="002C6173">
                        <w:rPr>
                          <w:b/>
                        </w:rPr>
                        <w:t xml:space="preserve">Case Study </w:t>
                      </w:r>
                      <w:r>
                        <w:rPr>
                          <w:b/>
                        </w:rPr>
                        <w:t>E: Highlighting the need for local Indigenous involvement: the case of Chris the plumber (adapted from Pholeros &amp; Phibbs, 2012)</w:t>
                      </w:r>
                    </w:p>
                    <w:p w14:paraId="1C98A2F0" w14:textId="1D6B86D1" w:rsidR="00807965" w:rsidRDefault="00807965" w:rsidP="00F97B82">
                      <w:r>
                        <w:t>A plumber arrives with his apprentice in an Indigenous Community, having driven 250km from a regional town. He faces problems identifying the correct houses to perform repairs. He also has trouble communicating with local residents. When he finally finds someone home, he decides to replace their toilet rather than replace their damaged washer in order to pay for the trip (and his apprentice’s wages). It is unlikely he will return unless work elsewhere is very short.</w:t>
                      </w:r>
                    </w:p>
                    <w:p w14:paraId="75A0436D" w14:textId="6043A64F" w:rsidR="00807965" w:rsidRDefault="00807965" w:rsidP="00A14859">
                      <w:r>
                        <w:t>If he had the support of a local Indigenous team, who could have bundled up a larger number of maintenance jobs for him, his trip would have been more profitable and productive. The local team could have assessed houses, assembled work lists, acted as guides and interpreters and helped him by doing simple labouring tasks (allowing the plumber to leave his apprentice in their home town to work on other jobs). The local team could also have earned a wage and helped the plumber to complete more work in their community during his trip.</w:t>
                      </w:r>
                    </w:p>
                  </w:txbxContent>
                </v:textbox>
                <w10:anchorlock/>
              </v:shape>
            </w:pict>
          </mc:Fallback>
        </mc:AlternateContent>
      </w:r>
    </w:p>
    <w:p w14:paraId="327E88C1" w14:textId="77777777" w:rsidR="000E0767" w:rsidRDefault="002C6173" w:rsidP="003564AD">
      <w:pPr>
        <w:pStyle w:val="Heading2"/>
      </w:pPr>
      <w:bookmarkStart w:id="124" w:name="_Toc480791438"/>
      <w:r>
        <w:t>Analysis of revenue-raising and cost-</w:t>
      </w:r>
      <w:r w:rsidR="000E0767">
        <w:t>reducing scenarios show that there are significant irreducible costs</w:t>
      </w:r>
      <w:bookmarkEnd w:id="121"/>
      <w:bookmarkEnd w:id="122"/>
      <w:bookmarkEnd w:id="124"/>
      <w:r w:rsidR="000E0767">
        <w:t xml:space="preserve"> </w:t>
      </w:r>
      <w:bookmarkEnd w:id="123"/>
    </w:p>
    <w:p w14:paraId="3B5130A6" w14:textId="552AD4D8" w:rsidR="002C6173" w:rsidRDefault="00251601" w:rsidP="002C6173">
      <w:bookmarkStart w:id="125" w:name="_Toc475447325"/>
      <w:bookmarkEnd w:id="125"/>
      <w:r>
        <w:t>While the preceding</w:t>
      </w:r>
      <w:r w:rsidR="002C6173">
        <w:t xml:space="preserve"> section identifies a number of ways this shortfall can be reduced, and further areas for exploration, it is expected that the shortfall will continue to be significant, even under a range of improvement scenarios. </w:t>
      </w:r>
    </w:p>
    <w:p w14:paraId="1BA647F7" w14:textId="77777777" w:rsidR="004A1B2E" w:rsidRDefault="002C6173" w:rsidP="008E0988">
      <w:r>
        <w:t>A number of potential shortfall improvement scenarios are outlined below. These are based on consistent achievement of existing best result benchmarks.</w:t>
      </w:r>
      <w:r w:rsidR="00834B3C">
        <w:t xml:space="preserve"> </w:t>
      </w:r>
      <w:r w:rsidR="00CA4175">
        <w:t xml:space="preserve"> </w:t>
      </w:r>
      <w:r w:rsidR="00CA4175">
        <w:fldChar w:fldCharType="begin"/>
      </w:r>
      <w:r w:rsidR="00CA4175">
        <w:instrText xml:space="preserve"> REF _Ref477340060 \h </w:instrText>
      </w:r>
      <w:r w:rsidR="00CA4175">
        <w:fldChar w:fldCharType="separate"/>
      </w:r>
      <w:r w:rsidR="004A1B2E" w:rsidRPr="006F1414">
        <w:t xml:space="preserve">Figure </w:t>
      </w:r>
      <w:r w:rsidR="004A1B2E">
        <w:rPr>
          <w:noProof/>
        </w:rPr>
        <w:t>15</w:t>
      </w:r>
      <w:r w:rsidR="00CA4175">
        <w:fldChar w:fldCharType="end"/>
      </w:r>
      <w:r w:rsidR="00CA4175">
        <w:t xml:space="preserve"> and </w:t>
      </w:r>
      <w:r w:rsidR="00CA4175">
        <w:fldChar w:fldCharType="begin"/>
      </w:r>
      <w:r w:rsidR="00CA4175">
        <w:instrText xml:space="preserve"> REF _Ref475980926 \h </w:instrText>
      </w:r>
      <w:r w:rsidR="00CA4175">
        <w:fldChar w:fldCharType="separate"/>
      </w:r>
      <w:r w:rsidR="004A1B2E">
        <w:t xml:space="preserve">Figure </w:t>
      </w:r>
      <w:r w:rsidR="004A1B2E">
        <w:rPr>
          <w:noProof/>
        </w:rPr>
        <w:t>16</w:t>
      </w:r>
      <w:r w:rsidR="00CA4175">
        <w:fldChar w:fldCharType="end"/>
      </w:r>
      <w:r w:rsidR="00CA4175">
        <w:t xml:space="preserve"> below </w:t>
      </w:r>
      <w:r w:rsidR="00CA4175" w:rsidRPr="00CA4175">
        <w:t>show the cost shortfall under optimistic scenarios</w:t>
      </w:r>
      <w:r w:rsidR="002D46C1">
        <w:t>.</w:t>
      </w:r>
      <w:r w:rsidR="00CA4175" w:rsidRPr="00CA4175">
        <w:t xml:space="preserve"> </w:t>
      </w:r>
      <w:r w:rsidR="00CB3B42">
        <w:fldChar w:fldCharType="begin"/>
      </w:r>
      <w:r w:rsidR="00CB3B42">
        <w:instrText xml:space="preserve"> REF _Ref475980922 \h </w:instrText>
      </w:r>
      <w:r w:rsidR="00CB3B42">
        <w:fldChar w:fldCharType="separate"/>
      </w:r>
    </w:p>
    <w:p w14:paraId="369294AE" w14:textId="5AB24165" w:rsidR="00CB3B42" w:rsidRPr="0021042C" w:rsidRDefault="004A1B2E" w:rsidP="00842EFF">
      <w:pPr>
        <w:rPr>
          <w:color w:val="FF0000"/>
        </w:rPr>
      </w:pPr>
      <w:r w:rsidRPr="006F1414">
        <w:t xml:space="preserve">Figure </w:t>
      </w:r>
      <w:r>
        <w:rPr>
          <w:noProof/>
        </w:rPr>
        <w:t>15</w:t>
      </w:r>
      <w:r w:rsidR="00CB3B42">
        <w:fldChar w:fldCharType="end"/>
      </w:r>
      <w:r w:rsidR="00CA4175">
        <w:t xml:space="preserve"> </w:t>
      </w:r>
      <w:r w:rsidR="00CB3B42">
        <w:t xml:space="preserve">displays an improvement in rental income: cost ratio to 21 per cent (the benchmark highest current figure for any jurisdiction), while </w:t>
      </w:r>
      <w:r w:rsidR="00CB3B42">
        <w:fldChar w:fldCharType="begin"/>
      </w:r>
      <w:r w:rsidR="00CB3B42">
        <w:instrText xml:space="preserve"> REF _Ref475980926 \h </w:instrText>
      </w:r>
      <w:r w:rsidR="00CB3B42">
        <w:fldChar w:fldCharType="separate"/>
      </w:r>
      <w:r>
        <w:t xml:space="preserve">Figure </w:t>
      </w:r>
      <w:r>
        <w:rPr>
          <w:noProof/>
        </w:rPr>
        <w:t>16</w:t>
      </w:r>
      <w:r w:rsidR="00CB3B42">
        <w:fldChar w:fldCharType="end"/>
      </w:r>
      <w:r w:rsidR="00CB3B42">
        <w:t xml:space="preserve"> shows an improvement to a 33 per cent ratio (the benchmark highest current figure for any level of remoteness within NPARIH)</w:t>
      </w:r>
      <w:r w:rsidR="00651986">
        <w:t>.</w:t>
      </w:r>
      <w:r w:rsidR="003A47A0">
        <w:t xml:space="preserve"> Both figures show a current state cost of $100m for illustrative purposes only</w:t>
      </w:r>
      <w:r w:rsidR="00220B7F">
        <w:t>.</w:t>
      </w:r>
    </w:p>
    <w:p w14:paraId="5606E17D" w14:textId="63CE4A13" w:rsidR="00F94617" w:rsidRPr="009F00CD" w:rsidRDefault="00F94617" w:rsidP="00F94617">
      <w:r>
        <w:t xml:space="preserve">In other words, this analysis shows that the smallest revenue-cost shortfall of all of the NPARIH communities in our sample was 67 per cent (compared to the NPARIH-wide value of 84 per </w:t>
      </w:r>
      <w:r w:rsidRPr="009F00CD">
        <w:t>cent</w:t>
      </w:r>
      <w:r>
        <w:t>)</w:t>
      </w:r>
      <w:r w:rsidRPr="009F00CD">
        <w:t>. This</w:t>
      </w:r>
      <w:r>
        <w:t xml:space="preserve"> </w:t>
      </w:r>
      <w:r w:rsidRPr="009F00CD">
        <w:t>implies that there are lessons of better practice that can be learned about PTM from the communities that have the smallest shortfalls</w:t>
      </w:r>
      <w:r>
        <w:t xml:space="preserve"> that could be applied more broadly</w:t>
      </w:r>
      <w:r w:rsidRPr="009F00CD">
        <w:t xml:space="preserve">. </w:t>
      </w:r>
      <w:r w:rsidR="00DB2A2C">
        <w:t>While this report does not include investigation of the specific practices</w:t>
      </w:r>
      <w:r w:rsidR="00816B97">
        <w:t xml:space="preserve"> of high performing communities (due to limitations in data availability)</w:t>
      </w:r>
      <w:r w:rsidR="00DB2A2C">
        <w:t xml:space="preserve"> this is an area recommended for future in-depth investigation. </w:t>
      </w:r>
      <w:r w:rsidRPr="009F00CD">
        <w:t xml:space="preserve">However, it also indicates that </w:t>
      </w:r>
      <w:r>
        <w:t xml:space="preserve">unlike in the context of mainstream urban social housing, </w:t>
      </w:r>
      <w:r w:rsidRPr="009F00CD">
        <w:t xml:space="preserve">the ongoing management of remote Indigenous housing stock </w:t>
      </w:r>
      <w:r>
        <w:t>is far from being independently financially viable</w:t>
      </w:r>
      <w:r w:rsidR="002D46C1">
        <w:t xml:space="preserve"> through rental collections</w:t>
      </w:r>
      <w:r>
        <w:t>. There is a clear need for ongoing government subsidy if remote housing stock is to be maintained.</w:t>
      </w:r>
    </w:p>
    <w:p w14:paraId="2EF6DA58" w14:textId="77777777" w:rsidR="00420D11" w:rsidRDefault="00420D11" w:rsidP="00842EFF">
      <w:r>
        <w:t xml:space="preserve">As identified earlier in this chapter, the cost shortfall under NPARIH is largely driven by the extreme costs of housing provision in remote areas (rather than a significant rental income shortfall). As such, analysis of potential improvement scenarios focuses largely on reduction in ongoing costs, rather than improvements in rental income. </w:t>
      </w:r>
    </w:p>
    <w:p w14:paraId="2337FF47" w14:textId="77777777" w:rsidR="00D15D32" w:rsidRDefault="00D15D32" w:rsidP="008E0988"/>
    <w:p w14:paraId="3E5F59E4" w14:textId="77777777" w:rsidR="00D15D32" w:rsidRDefault="00D15D32" w:rsidP="008E0988"/>
    <w:p w14:paraId="4E10915E" w14:textId="77777777" w:rsidR="008E0988" w:rsidRDefault="00651986" w:rsidP="008E0988">
      <w:r>
        <w:lastRenderedPageBreak/>
        <w:t xml:space="preserve">The below figures display ratio improvements firstly through a reduction in cost only (holding rental income constant), and secondly though a reduction in cost and an improvement in rental income. </w:t>
      </w:r>
      <w:r w:rsidR="0009788A">
        <w:t>Scenarios involving i</w:t>
      </w:r>
      <w:r>
        <w:t xml:space="preserve">mprovements in </w:t>
      </w:r>
      <w:r w:rsidR="00205F2D">
        <w:t xml:space="preserve">both </w:t>
      </w:r>
      <w:r>
        <w:t xml:space="preserve">cost and rental income have been projected according to the proportions outlined earlier in this </w:t>
      </w:r>
      <w:r w:rsidR="0009788A">
        <w:t>report</w:t>
      </w:r>
      <w:r>
        <w:t>, such that 80 per cent of the improvement in shortfall is accounted for by a reduction in cost, while 20 per cent of the improvement is due to an increase in rental income.</w:t>
      </w:r>
      <w:bookmarkStart w:id="126" w:name="_Ref475954693"/>
      <w:bookmarkStart w:id="127" w:name="_Ref475980922"/>
    </w:p>
    <w:p w14:paraId="040C8453" w14:textId="13512103" w:rsidR="008E0988" w:rsidRPr="006F1414" w:rsidRDefault="00842EFF" w:rsidP="006F1414">
      <w:pPr>
        <w:pStyle w:val="Figure"/>
      </w:pPr>
      <w:bookmarkStart w:id="128" w:name="_Ref477340060"/>
      <w:bookmarkStart w:id="129" w:name="Figure15Return"/>
      <w:r w:rsidRPr="006F1414">
        <w:t xml:space="preserve">Figure </w:t>
      </w:r>
      <w:fldSimple w:instr=" SEQ Figure \* ARABIC ">
        <w:r w:rsidR="004A1B2E">
          <w:rPr>
            <w:noProof/>
          </w:rPr>
          <w:t>15</w:t>
        </w:r>
      </w:fldSimple>
      <w:bookmarkEnd w:id="126"/>
      <w:bookmarkEnd w:id="127"/>
      <w:bookmarkEnd w:id="128"/>
      <w:bookmarkEnd w:id="129"/>
      <w:r w:rsidRPr="006F1414">
        <w:t xml:space="preserve">: Cost shortfall under optimistic scenarios </w:t>
      </w:r>
      <w:r w:rsidR="008E0988" w:rsidRPr="006F1414">
        <w:t>(21% rental income: cost ratio)</w:t>
      </w:r>
      <w:r w:rsidR="000C1494" w:rsidRPr="002D46C1">
        <w:rPr>
          <w:rStyle w:val="FootnoteReference"/>
          <w:color w:val="auto"/>
          <w:sz w:val="21"/>
          <w:szCs w:val="19"/>
        </w:rPr>
        <w:footnoteReference w:id="21"/>
      </w:r>
    </w:p>
    <w:p w14:paraId="7DF59BD3" w14:textId="43F268CC" w:rsidR="004715E1" w:rsidRDefault="000F5C4F" w:rsidP="008E0988">
      <w:pPr>
        <w:jc w:val="center"/>
      </w:pPr>
      <w:r>
        <w:rPr>
          <w:noProof/>
        </w:rPr>
        <w:drawing>
          <wp:inline distT="0" distB="0" distL="0" distR="0" wp14:anchorId="1F6D837A" wp14:editId="21A32B25">
            <wp:extent cx="5602433" cy="22460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0518" cy="2249257"/>
                    </a:xfrm>
                    <a:prstGeom prst="rect">
                      <a:avLst/>
                    </a:prstGeom>
                    <a:noFill/>
                  </pic:spPr>
                </pic:pic>
              </a:graphicData>
            </a:graphic>
          </wp:inline>
        </w:drawing>
      </w:r>
    </w:p>
    <w:p w14:paraId="18EC2E3B" w14:textId="47D1C15C" w:rsidR="00B04963" w:rsidRPr="003223D0" w:rsidRDefault="007900B6" w:rsidP="00B80E22">
      <w:bookmarkStart w:id="130" w:name="_Ref475980926"/>
      <w:r>
        <w:t xml:space="preserve">View the </w:t>
      </w:r>
      <w:hyperlink w:anchor="Figure15" w:history="1">
        <w:r w:rsidRPr="007900B6">
          <w:rPr>
            <w:rStyle w:val="Hyperlink"/>
          </w:rPr>
          <w:t>text version for Figure 15.</w:t>
        </w:r>
      </w:hyperlink>
    </w:p>
    <w:p w14:paraId="1556F195" w14:textId="77777777" w:rsidR="00B04963" w:rsidRDefault="00B04963" w:rsidP="00B04963">
      <w:pPr>
        <w:pStyle w:val="Figure"/>
        <w:jc w:val="left"/>
      </w:pPr>
    </w:p>
    <w:p w14:paraId="16508D24" w14:textId="35ECCFE5" w:rsidR="000F6726" w:rsidRDefault="00CB3B42" w:rsidP="006F1414">
      <w:pPr>
        <w:pStyle w:val="Figure"/>
      </w:pPr>
      <w:bookmarkStart w:id="131" w:name="Figure16Return"/>
      <w:r>
        <w:t xml:space="preserve">Figure </w:t>
      </w:r>
      <w:fldSimple w:instr=" SEQ Figure \* ARABIC ">
        <w:r w:rsidR="004A1B2E">
          <w:rPr>
            <w:noProof/>
          </w:rPr>
          <w:t>16</w:t>
        </w:r>
      </w:fldSimple>
      <w:bookmarkEnd w:id="130"/>
      <w:bookmarkEnd w:id="131"/>
      <w:r>
        <w:t>: Cos</w:t>
      </w:r>
      <w:r w:rsidR="00BD0466">
        <w:t>t</w:t>
      </w:r>
      <w:r>
        <w:t xml:space="preserve"> shortfall under optimistic scenarios (33% rental income: cost ratio)</w:t>
      </w:r>
    </w:p>
    <w:p w14:paraId="57653D0E" w14:textId="2B435EAB" w:rsidR="004715E1" w:rsidRDefault="00B04B13" w:rsidP="00834B3C">
      <w:r>
        <w:rPr>
          <w:noProof/>
        </w:rPr>
        <w:drawing>
          <wp:inline distT="0" distB="0" distL="0" distR="0" wp14:anchorId="56386EF5" wp14:editId="0C665C71">
            <wp:extent cx="5722643" cy="22911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9142" cy="2297732"/>
                    </a:xfrm>
                    <a:prstGeom prst="rect">
                      <a:avLst/>
                    </a:prstGeom>
                    <a:noFill/>
                  </pic:spPr>
                </pic:pic>
              </a:graphicData>
            </a:graphic>
          </wp:inline>
        </w:drawing>
      </w:r>
    </w:p>
    <w:p w14:paraId="1E51D3C4" w14:textId="3E3942E2" w:rsidR="009D59F6" w:rsidRPr="003223D0" w:rsidRDefault="007900B6" w:rsidP="00834B3C">
      <w:r>
        <w:t xml:space="preserve">View the </w:t>
      </w:r>
      <w:hyperlink w:anchor="Figure16" w:history="1">
        <w:r w:rsidRPr="007900B6">
          <w:rPr>
            <w:rStyle w:val="Hyperlink"/>
          </w:rPr>
          <w:t>text version for Figure 16.</w:t>
        </w:r>
      </w:hyperlink>
    </w:p>
    <w:p w14:paraId="38139960" w14:textId="5B792DF6" w:rsidR="00834B3C" w:rsidRPr="00220B7F" w:rsidRDefault="00834B3C" w:rsidP="00834B3C">
      <w:r>
        <w:t xml:space="preserve">It should be noted that this scenario analysis focuses on benchmark ratios rather than shortfall figures in absolute terms. This means that shortfall projections in the figures above are higher under scenarios involving improvements in both cost and income than those involving cost improvements only. This is </w:t>
      </w:r>
      <w:r w:rsidR="004853FF">
        <w:t xml:space="preserve">a result of the proportional nature of the calculations, and </w:t>
      </w:r>
      <w:r>
        <w:t>not included to suggest that i</w:t>
      </w:r>
      <w:r w:rsidR="006F044F">
        <w:t>ncreases</w:t>
      </w:r>
      <w:r>
        <w:t xml:space="preserve"> in </w:t>
      </w:r>
      <w:r w:rsidR="006F044F">
        <w:t xml:space="preserve">the amount of </w:t>
      </w:r>
      <w:r>
        <w:t xml:space="preserve">rental income </w:t>
      </w:r>
      <w:r w:rsidR="006F044F">
        <w:t xml:space="preserve">collected </w:t>
      </w:r>
      <w:r>
        <w:t xml:space="preserve">have a detrimental effect on shortfall. Rather, it should be concluded </w:t>
      </w:r>
      <w:r>
        <w:lastRenderedPageBreak/>
        <w:t>that while cost improvements have the greatest effect on reducing shortfall, benchmark scenarios are more realistically achieved through a combination of improvements</w:t>
      </w:r>
      <w:r w:rsidR="0002248B">
        <w:t xml:space="preserve"> in both cost and rental income</w:t>
      </w:r>
      <w:r w:rsidR="0002248B" w:rsidRPr="00220B7F">
        <w:t>, improving proportionally towards figures attained in mainstream urban social housing.</w:t>
      </w:r>
    </w:p>
    <w:p w14:paraId="70916A67" w14:textId="5EB2BE9D" w:rsidR="009453F7" w:rsidRPr="00220B7F" w:rsidRDefault="009453F7" w:rsidP="00834B3C">
      <w:r w:rsidRPr="00220B7F">
        <w:t>Scenarios involving improvements in rent collection would require a 19%</w:t>
      </w:r>
      <w:r w:rsidR="00B77521" w:rsidRPr="00220B7F">
        <w:t xml:space="preserve"> (Figure 15)</w:t>
      </w:r>
      <w:r w:rsidRPr="00220B7F">
        <w:t xml:space="preserve"> and 44%</w:t>
      </w:r>
      <w:r w:rsidR="00B77521" w:rsidRPr="00220B7F">
        <w:t xml:space="preserve"> (Figure 16)</w:t>
      </w:r>
      <w:r w:rsidRPr="00220B7F">
        <w:t xml:space="preserve"> increase in rent collection </w:t>
      </w:r>
      <w:r w:rsidR="00B77521" w:rsidRPr="00220B7F">
        <w:t xml:space="preserve">respectively </w:t>
      </w:r>
      <w:r w:rsidRPr="00220B7F">
        <w:t xml:space="preserve">(net of collection costs). </w:t>
      </w:r>
      <w:r w:rsidR="00B77521" w:rsidRPr="00220B7F">
        <w:t xml:space="preserve">This appears to be attainable, as </w:t>
      </w:r>
      <w:r w:rsidR="00220B7F" w:rsidRPr="00220B7F">
        <w:t>r</w:t>
      </w:r>
      <w:r w:rsidRPr="00220B7F">
        <w:t>ent collected per house per week has more than doubled on average across jurisdictions since 2010/11</w:t>
      </w:r>
      <w:r w:rsidR="00ED6C16" w:rsidRPr="00220B7F">
        <w:rPr>
          <w:rStyle w:val="FootnoteReference"/>
          <w:color w:val="auto"/>
        </w:rPr>
        <w:footnoteReference w:id="22"/>
      </w:r>
      <w:r w:rsidR="006E747F">
        <w:t>.</w:t>
      </w:r>
      <w:r w:rsidRPr="00220B7F">
        <w:t xml:space="preserve"> </w:t>
      </w:r>
      <w:r w:rsidR="00B61AF9">
        <w:t>For example, a 19% increase in</w:t>
      </w:r>
      <w:r w:rsidR="00D96709">
        <w:t xml:space="preserve"> the value of</w:t>
      </w:r>
      <w:r w:rsidR="00B61AF9">
        <w:t xml:space="preserve"> rent collected could be achieved by </w:t>
      </w:r>
      <w:r w:rsidR="002D1A07">
        <w:t>improving</w:t>
      </w:r>
      <w:r w:rsidR="00D96709">
        <w:t xml:space="preserve"> the r</w:t>
      </w:r>
      <w:r w:rsidR="00B61AF9">
        <w:t>ate of rent collection across all jurisdictions</w:t>
      </w:r>
      <w:r w:rsidR="00D96709">
        <w:t xml:space="preserve"> from 78% of rent charged to the current best case of 93%</w:t>
      </w:r>
      <w:r w:rsidR="00B61AF9">
        <w:rPr>
          <w:rStyle w:val="FootnoteReference"/>
        </w:rPr>
        <w:footnoteReference w:id="23"/>
      </w:r>
      <w:r w:rsidR="00B61AF9">
        <w:t>.</w:t>
      </w:r>
    </w:p>
    <w:p w14:paraId="064AF6F8" w14:textId="77777777" w:rsidR="00875DA5" w:rsidRDefault="00834B3C" w:rsidP="00834B3C">
      <w:pPr>
        <w:rPr>
          <w:color w:val="FF0000"/>
        </w:rPr>
      </w:pPr>
      <w:r>
        <w:t xml:space="preserve">It should also be noted that the above rental income: cost benchmarks (21 per cent and 33 per cent respectively) show best practice under the current state (for jurisdiction level or community level data, </w:t>
      </w:r>
      <w:r w:rsidR="00220B7F" w:rsidRPr="00875DA5">
        <w:t xml:space="preserve">respectively). The best case benchmark demonstrated in Figure 16 is unlikely to be attained in the short term. This figure is based on consistent achievement of the current best case scenario of any level of remoteness included in this analysis across all jurisdictions and would thus require a </w:t>
      </w:r>
      <w:r w:rsidR="00875DA5" w:rsidRPr="00875DA5">
        <w:t xml:space="preserve">widespread </w:t>
      </w:r>
      <w:r w:rsidR="00220B7F" w:rsidRPr="00875DA5">
        <w:t xml:space="preserve">reduction in costs associated with remoteness via the optimisation methods outlined earlier in this section and in section 5. </w:t>
      </w:r>
    </w:p>
    <w:p w14:paraId="470A2A68" w14:textId="05FC6A64" w:rsidR="00834B3C" w:rsidRPr="00220B7F" w:rsidRDefault="00834B3C" w:rsidP="00834B3C">
      <w:pPr>
        <w:rPr>
          <w:color w:val="FF0000"/>
        </w:rPr>
      </w:pPr>
      <w:r>
        <w:t>This is not to say that 33 per cent is the most efficient ratio that can be achieved</w:t>
      </w:r>
      <w:r w:rsidR="00875DA5">
        <w:t xml:space="preserve"> in the long term</w:t>
      </w:r>
      <w:r>
        <w:t xml:space="preserve">. Through improvements to property and tenancy management, this figure could improve. However, given how great the shortfall is, it is unlikely that a totally self-sufficient system will be achieved.  </w:t>
      </w:r>
    </w:p>
    <w:p w14:paraId="0C9725B0" w14:textId="1F532304" w:rsidR="00D50288" w:rsidRDefault="00D50288" w:rsidP="00D50288">
      <w:pPr>
        <w:pStyle w:val="Heading1"/>
      </w:pPr>
      <w:bookmarkStart w:id="132" w:name="_Toc475447304"/>
      <w:bookmarkStart w:id="133" w:name="_Toc475982713"/>
      <w:bookmarkStart w:id="134" w:name="_Toc475990800"/>
      <w:bookmarkStart w:id="135" w:name="_Toc480791439"/>
      <w:r>
        <w:t xml:space="preserve">There is need </w:t>
      </w:r>
      <w:bookmarkEnd w:id="132"/>
      <w:r w:rsidR="00BA545C">
        <w:t xml:space="preserve">for </w:t>
      </w:r>
      <w:r w:rsidR="00A02601">
        <w:t xml:space="preserve">improved data collection, </w:t>
      </w:r>
      <w:r>
        <w:t>improved optimisation of jobs</w:t>
      </w:r>
      <w:r w:rsidR="00BA545C">
        <w:t>, and greater sharing of experience, evidence and expertise</w:t>
      </w:r>
      <w:bookmarkEnd w:id="133"/>
      <w:bookmarkEnd w:id="134"/>
      <w:bookmarkEnd w:id="135"/>
    </w:p>
    <w:p w14:paraId="1D8D7641" w14:textId="77777777" w:rsidR="00D50288" w:rsidRDefault="00910AB0" w:rsidP="00D50288">
      <w:pPr>
        <w:pStyle w:val="Heading2"/>
      </w:pPr>
      <w:bookmarkStart w:id="136" w:name="_Toc475982714"/>
      <w:bookmarkStart w:id="137" w:name="_Toc475990801"/>
      <w:bookmarkStart w:id="138" w:name="_Toc480791440"/>
      <w:r>
        <w:t>D</w:t>
      </w:r>
      <w:r w:rsidR="00D50288">
        <w:t xml:space="preserve">ata collection could </w:t>
      </w:r>
      <w:r>
        <w:t xml:space="preserve">be </w:t>
      </w:r>
      <w:r w:rsidR="00D50288">
        <w:t>significantly improve</w:t>
      </w:r>
      <w:r>
        <w:t>d to better document PTM activities, and associated outcomes and costs</w:t>
      </w:r>
      <w:bookmarkEnd w:id="136"/>
      <w:bookmarkEnd w:id="137"/>
      <w:bookmarkEnd w:id="138"/>
    </w:p>
    <w:p w14:paraId="20D046A1" w14:textId="5E30985F" w:rsidR="00FF689B" w:rsidRDefault="00FF689B" w:rsidP="007B4809">
      <w:r>
        <w:t>The challenges in collecting consistent, comprehensive and</w:t>
      </w:r>
      <w:r w:rsidR="0054447F">
        <w:t xml:space="preserve"> detailed data to perform this a</w:t>
      </w:r>
      <w:r>
        <w:t xml:space="preserve">nalysis highlight a broader challenge in the management of remote Indigenous housing. There is inconsistent data measurement, recording and reporting between jurisdictions, and an apparent lack of oversight from program administrators of data critical to informed decision-making on the costs of housing delivery and performance of the program. </w:t>
      </w:r>
    </w:p>
    <w:p w14:paraId="6D8AD6F8" w14:textId="77777777" w:rsidR="007B4809" w:rsidRDefault="007B4809" w:rsidP="007B4809">
      <w:r>
        <w:t xml:space="preserve">Further opportunities to share expertise and increase identification of opportunities for improvement could involve a concerted push for greater collection of data on housing quality and maintenance cost. One such example for jurisdictions to draw upon is the Housing for Health licenced methodology. The approach used is a survey-fix program. It involves integrating service delivery with a detailed survey of housing condition, to enable accurate assessment of housing quality and to target maintenance towards the most critical issues for housing functionality. There is no survey without service, and no service </w:t>
      </w:r>
      <w:r>
        <w:lastRenderedPageBreak/>
        <w:t>without survey.  From the information recorded by the survey teams, the job cost data can be integrated with data points on housing quality (before and after specific repair and maintenance activities), to gain an understanding of the ‘bang for buck’ provided by maintenance activities, with respect to housing condition.</w:t>
      </w:r>
    </w:p>
    <w:p w14:paraId="0265CC6D" w14:textId="780E7EDA" w:rsidR="007B4809" w:rsidRDefault="00D6729E" w:rsidP="00987923">
      <w:pPr>
        <w:pStyle w:val="Figure"/>
        <w:jc w:val="left"/>
      </w:pPr>
      <w:r>
        <w:fldChar w:fldCharType="begin"/>
      </w:r>
      <w:r>
        <w:instrText xml:space="preserve"> REF _Ref475981397 \h </w:instrText>
      </w:r>
      <w:r w:rsidR="00987923">
        <w:instrText xml:space="preserve"> \* MERGEFORMAT </w:instrText>
      </w:r>
      <w:r>
        <w:fldChar w:fldCharType="separate"/>
      </w:r>
      <w:r w:rsidR="004A1B2E">
        <w:t xml:space="preserve">Figure </w:t>
      </w:r>
      <w:r w:rsidR="004A1B2E">
        <w:rPr>
          <w:noProof/>
        </w:rPr>
        <w:t>17</w:t>
      </w:r>
      <w:r>
        <w:fldChar w:fldCharType="end"/>
      </w:r>
      <w:r w:rsidR="0009788A">
        <w:t xml:space="preserve"> </w:t>
      </w:r>
      <w:r w:rsidR="007B4809">
        <w:t xml:space="preserve">below displays the improvement in critical healthy living practices (an indicator of housing quality) across two surveys, with repair and maintenance works undertaken in the intervening period. The magnitude of the improvement between both surveys is stark. Not shown is the link that can be drawn between this data and financial records, to understand how much money is typically required to bring a house up to an acceptable standard of living conditions. For the 7,543 houses that received Housing for Health program across Australia from 1999-2012, the average cost per house was $7,500, as </w:t>
      </w:r>
      <w:r w:rsidR="007B4809" w:rsidRPr="00D6729E">
        <w:t>shown in</w:t>
      </w:r>
      <w:r w:rsidRPr="00D6729E">
        <w:t xml:space="preserve"> </w:t>
      </w:r>
      <w:r w:rsidRPr="00D6729E">
        <w:fldChar w:fldCharType="begin"/>
      </w:r>
      <w:r w:rsidRPr="00D6729E">
        <w:instrText xml:space="preserve"> REF _Ref475981397 \h </w:instrText>
      </w:r>
      <w:r>
        <w:instrText xml:space="preserve"> \* MERGEFORMAT </w:instrText>
      </w:r>
      <w:r w:rsidRPr="00D6729E">
        <w:fldChar w:fldCharType="separate"/>
      </w:r>
      <w:r w:rsidR="004A1B2E">
        <w:rPr>
          <w:noProof/>
        </w:rPr>
        <w:t>Figure</w:t>
      </w:r>
      <w:r w:rsidR="004A1B2E">
        <w:t xml:space="preserve"> </w:t>
      </w:r>
      <w:r w:rsidR="004A1B2E">
        <w:rPr>
          <w:noProof/>
        </w:rPr>
        <w:t>17</w:t>
      </w:r>
      <w:r w:rsidRPr="00D6729E">
        <w:fldChar w:fldCharType="end"/>
      </w:r>
      <w:r w:rsidR="007B4809" w:rsidRPr="00D6729E">
        <w:t>.</w:t>
      </w:r>
      <w:r w:rsidR="00CD2DFB">
        <w:t xml:space="preserve"> </w:t>
      </w:r>
    </w:p>
    <w:p w14:paraId="16602D78" w14:textId="2FBC2FEF" w:rsidR="007B4809" w:rsidRDefault="007B4809" w:rsidP="002D46C1">
      <w:pPr>
        <w:pStyle w:val="Figure"/>
      </w:pPr>
      <w:bookmarkStart w:id="139" w:name="_Ref475981397"/>
      <w:bookmarkStart w:id="140" w:name="Figure17Return"/>
      <w:r>
        <w:t xml:space="preserve">Figure </w:t>
      </w:r>
      <w:fldSimple w:instr=" SEQ Figure \* ARABIC ">
        <w:r w:rsidR="004A1B2E">
          <w:rPr>
            <w:noProof/>
          </w:rPr>
          <w:t>17</w:t>
        </w:r>
      </w:fldSimple>
      <w:bookmarkEnd w:id="139"/>
      <w:bookmarkEnd w:id="140"/>
      <w:r>
        <w:t xml:space="preserve">: </w:t>
      </w:r>
      <w:r w:rsidRPr="005C3540">
        <w:t xml:space="preserve">Housing for Health projects showing proportion of houses passing health hardware assessment in 7,543 houses </w:t>
      </w:r>
      <w:r>
        <w:t xml:space="preserve">serviced between 1999-2012 </w:t>
      </w:r>
      <w:r w:rsidRPr="005C3540">
        <w:t>at Survey–Fix 1 before any fix work and 6,732 houses at Survey–Fix 2 after fix works; average cost per house $7,500.</w:t>
      </w:r>
      <w:r>
        <w:rPr>
          <w:rStyle w:val="FootnoteReference"/>
        </w:rPr>
        <w:footnoteReference w:id="24"/>
      </w:r>
      <w:r w:rsidRPr="005C3540">
        <w:t xml:space="preserve"> </w:t>
      </w:r>
    </w:p>
    <w:p w14:paraId="02BD0D19" w14:textId="77777777" w:rsidR="007B4809" w:rsidRDefault="007B4809" w:rsidP="007B4809">
      <w:r>
        <w:rPr>
          <w:noProof/>
        </w:rPr>
        <w:drawing>
          <wp:inline distT="0" distB="0" distL="0" distR="0" wp14:anchorId="4A835BFB" wp14:editId="2C6C84FA">
            <wp:extent cx="5687695" cy="442023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H survey-fix data from 2013 pholeros paper.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87695" cy="4420235"/>
                    </a:xfrm>
                    <a:prstGeom prst="rect">
                      <a:avLst/>
                    </a:prstGeom>
                  </pic:spPr>
                </pic:pic>
              </a:graphicData>
            </a:graphic>
          </wp:inline>
        </w:drawing>
      </w:r>
    </w:p>
    <w:p w14:paraId="38F143C5" w14:textId="2B61E54E" w:rsidR="00524094" w:rsidRPr="003223D0" w:rsidRDefault="007900B6" w:rsidP="00B80E22">
      <w:r>
        <w:t xml:space="preserve">View the </w:t>
      </w:r>
      <w:hyperlink w:anchor="Figure17" w:history="1">
        <w:r w:rsidRPr="007900B6">
          <w:rPr>
            <w:rStyle w:val="Hyperlink"/>
          </w:rPr>
          <w:t>text version of Figure 17</w:t>
        </w:r>
      </w:hyperlink>
      <w:r>
        <w:t>.</w:t>
      </w:r>
    </w:p>
    <w:p w14:paraId="29AC1A8D" w14:textId="66DA0022" w:rsidR="00834B3C" w:rsidRDefault="000E7AB9" w:rsidP="007B4809">
      <w:r w:rsidRPr="0048392D">
        <w:lastRenderedPageBreak/>
        <w:t>As identified in Section 4.2, expert literature also finds initial construction and design decisions impact ongoing maintenance costs. Data collection and analysis should also account for construction and design, to allow jurisdictions to gain a further detailed understanding of their effects on ongoing PTM costs.</w:t>
      </w:r>
      <w:r w:rsidR="00834B3C">
        <w:br w:type="page"/>
      </w:r>
    </w:p>
    <w:p w14:paraId="1D2CDDB1" w14:textId="77777777" w:rsidR="00D50288" w:rsidRDefault="00D50288" w:rsidP="00D50288">
      <w:pPr>
        <w:pStyle w:val="Heading2"/>
      </w:pPr>
      <w:bookmarkStart w:id="141" w:name="_Toc475982715"/>
      <w:bookmarkStart w:id="142" w:name="_Toc475990802"/>
      <w:bookmarkStart w:id="143" w:name="_Toc480791441"/>
      <w:r>
        <w:lastRenderedPageBreak/>
        <w:t>Investment in systems to improve work package optimisation could yield significant returns</w:t>
      </w:r>
      <w:bookmarkEnd w:id="141"/>
      <w:bookmarkEnd w:id="142"/>
      <w:bookmarkEnd w:id="143"/>
      <w:r>
        <w:t xml:space="preserve"> </w:t>
      </w:r>
    </w:p>
    <w:p w14:paraId="5D41A34B" w14:textId="77777777" w:rsidR="00D50288" w:rsidRDefault="00D50288" w:rsidP="00D50288">
      <w:r>
        <w:t xml:space="preserve">While reducing emergency repair trips is a natural starting point for reducing costs in remote Indigenous housing, there is an opportunity to investigate further savings through a concerted approach to works package optimisation. </w:t>
      </w:r>
    </w:p>
    <w:p w14:paraId="30557442" w14:textId="41FFD9A6" w:rsidR="00942817" w:rsidRDefault="000E7AB9" w:rsidP="00D50288">
      <w:r w:rsidRPr="0048392D">
        <w:t>This opportunity is</w:t>
      </w:r>
      <w:r w:rsidR="0015445D" w:rsidRPr="0048392D">
        <w:t xml:space="preserve"> consistent with </w:t>
      </w:r>
      <w:r w:rsidRPr="0048392D">
        <w:t xml:space="preserve">recommendations in </w:t>
      </w:r>
      <w:r w:rsidR="0015445D" w:rsidRPr="0048392D">
        <w:t>expert literature</w:t>
      </w:r>
      <w:r w:rsidRPr="0048392D">
        <w:t>.</w:t>
      </w:r>
      <w:r w:rsidR="0015445D" w:rsidRPr="0048392D">
        <w:t xml:space="preserve"> </w:t>
      </w:r>
      <w:r w:rsidRPr="0048392D">
        <w:t>Pholeros and Phipps (2012)</w:t>
      </w:r>
      <w:r w:rsidR="00816C98" w:rsidRPr="0048392D">
        <w:t xml:space="preserve"> found that where possible, maintenance programs </w:t>
      </w:r>
      <w:r w:rsidR="00DF36EA" w:rsidRPr="0048392D">
        <w:t>should</w:t>
      </w:r>
      <w:r w:rsidR="001D2C67" w:rsidRPr="0048392D">
        <w:t xml:space="preserve"> b</w:t>
      </w:r>
      <w:r w:rsidR="00816C98" w:rsidRPr="0048392D">
        <w:t>e based on periodic or cyclical (proactive) maintenance supplemented with local, ongoing testing of houses, rather than ‘responsive’</w:t>
      </w:r>
      <w:r w:rsidR="00847E4B" w:rsidRPr="0048392D">
        <w:t xml:space="preserve"> maintenance following tenant-</w:t>
      </w:r>
      <w:r w:rsidR="00816C98" w:rsidRPr="0048392D">
        <w:t>identified issues.</w:t>
      </w:r>
      <w:r w:rsidR="00DF36EA" w:rsidRPr="0048392D">
        <w:t xml:space="preserve"> </w:t>
      </w:r>
      <w:r w:rsidRPr="0048392D">
        <w:t>Proactive c</w:t>
      </w:r>
      <w:r w:rsidR="00DF36EA" w:rsidRPr="0048392D">
        <w:t>yclical maintenance should also be undertaken “that is focused on ensuring housing is in good condition before major seasonal changes such as the onset of the wet season or summer and winter seasons.</w:t>
      </w:r>
      <w:r w:rsidRPr="0048392D">
        <w:t xml:space="preserve">” </w:t>
      </w:r>
      <w:r w:rsidRPr="0048392D">
        <w:rPr>
          <w:rStyle w:val="FootnoteReference"/>
        </w:rPr>
        <w:footnoteReference w:id="25"/>
      </w:r>
    </w:p>
    <w:p w14:paraId="3A2265D7" w14:textId="041E2EC3" w:rsidR="00D50288" w:rsidRDefault="00D50288" w:rsidP="00D50288">
      <w:r>
        <w:t xml:space="preserve">As </w:t>
      </w:r>
      <w:r w:rsidRPr="009001D1">
        <w:t xml:space="preserve">shown in </w:t>
      </w:r>
      <w:r w:rsidRPr="009001D1">
        <w:fldChar w:fldCharType="begin"/>
      </w:r>
      <w:r w:rsidRPr="009001D1">
        <w:instrText xml:space="preserve"> REF _Ref475962782 \h </w:instrText>
      </w:r>
      <w:r>
        <w:instrText xml:space="preserve"> \* MERGEFORMAT </w:instrText>
      </w:r>
      <w:r w:rsidRPr="009001D1">
        <w:fldChar w:fldCharType="separate"/>
      </w:r>
      <w:r w:rsidR="004A1B2E">
        <w:t xml:space="preserve">Figure </w:t>
      </w:r>
      <w:r w:rsidR="004A1B2E">
        <w:rPr>
          <w:noProof/>
        </w:rPr>
        <w:t>18</w:t>
      </w:r>
      <w:r w:rsidRPr="009001D1">
        <w:fldChar w:fldCharType="end"/>
      </w:r>
      <w:r w:rsidRPr="009001D1">
        <w:t>, specialised</w:t>
      </w:r>
      <w:r w:rsidR="0009788A">
        <w:t xml:space="preserve"> tradesman ca</w:t>
      </w:r>
      <w:r>
        <w:t>n perform a number of jobs, ranging widely in cost, within the same trip to a particular community. Analysis of planned and responsive maintenance activities should be conducted to optimise costs based on prioritisation decisions, minimising per-unit travel costs where possible, and maximising the number of jobs performed on a particular trip. This may also include visiting several communities within one repair and maintenance trip, and sourcing tradespeople from the most cost-effective locations.</w:t>
      </w:r>
    </w:p>
    <w:p w14:paraId="54A9AAAB" w14:textId="0E1EB4FA" w:rsidR="00D50288" w:rsidRDefault="00D50288" w:rsidP="006F1414">
      <w:pPr>
        <w:pStyle w:val="Figure"/>
      </w:pPr>
      <w:bookmarkStart w:id="144" w:name="_Ref475962782"/>
      <w:bookmarkStart w:id="145" w:name="Figure18Return"/>
      <w:bookmarkStart w:id="146" w:name="_Ref475962774"/>
      <w:r>
        <w:t xml:space="preserve">Figure </w:t>
      </w:r>
      <w:fldSimple w:instr=" SEQ Figure \* ARABIC ">
        <w:r w:rsidR="004A1B2E">
          <w:rPr>
            <w:noProof/>
          </w:rPr>
          <w:t>18</w:t>
        </w:r>
      </w:fldSimple>
      <w:bookmarkEnd w:id="144"/>
      <w:bookmarkEnd w:id="145"/>
      <w:r>
        <w:t xml:space="preserve">: Distribution of job prices for </w:t>
      </w:r>
      <w:r w:rsidRPr="00F56182">
        <w:t>plumbing services</w:t>
      </w:r>
      <w:r w:rsidRPr="00F56182">
        <w:rPr>
          <w:rStyle w:val="FootnoteReference"/>
        </w:rPr>
        <w:footnoteReference w:id="26"/>
      </w:r>
      <w:bookmarkEnd w:id="146"/>
    </w:p>
    <w:p w14:paraId="0C05397E" w14:textId="77777777" w:rsidR="00D50288" w:rsidRDefault="00D50288" w:rsidP="00D50288">
      <w:r>
        <w:rPr>
          <w:noProof/>
        </w:rPr>
        <w:drawing>
          <wp:inline distT="0" distB="0" distL="0" distR="0" wp14:anchorId="3F461924" wp14:editId="7F3F5A0F">
            <wp:extent cx="5317941" cy="30309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6660" cy="3030194"/>
                    </a:xfrm>
                    <a:prstGeom prst="rect">
                      <a:avLst/>
                    </a:prstGeom>
                    <a:noFill/>
                  </pic:spPr>
                </pic:pic>
              </a:graphicData>
            </a:graphic>
          </wp:inline>
        </w:drawing>
      </w:r>
    </w:p>
    <w:p w14:paraId="3789BFE8" w14:textId="65179244" w:rsidR="00957DDE" w:rsidRPr="003223D0" w:rsidRDefault="007900B6" w:rsidP="00B80E22">
      <w:r>
        <w:t xml:space="preserve">View the </w:t>
      </w:r>
      <w:hyperlink w:anchor="Figure18" w:history="1">
        <w:r w:rsidRPr="007900B6">
          <w:rPr>
            <w:rStyle w:val="Hyperlink"/>
          </w:rPr>
          <w:t>text version of Figure 18</w:t>
        </w:r>
      </w:hyperlink>
      <w:r>
        <w:t>.</w:t>
      </w:r>
      <w:hyperlink w:anchor="Figure18" w:history="1"/>
    </w:p>
    <w:p w14:paraId="3F7B424F" w14:textId="54969F6B" w:rsidR="00D50288" w:rsidRPr="00E03255" w:rsidRDefault="00D50288" w:rsidP="00D50288">
      <w:r>
        <w:t xml:space="preserve">At a discrete maintenance and repair activity level, reduction in emergency activities can result in significant savings. If forty separate emergency repair activities were to be avoided by a planned </w:t>
      </w:r>
      <w:r>
        <w:lastRenderedPageBreak/>
        <w:t xml:space="preserve">maintenance bundle of 40 jobs, this would result in an average reduction in cost of between$135,000 and $215,000. This is shown in </w:t>
      </w:r>
      <w:r w:rsidR="00B41FE3">
        <w:fldChar w:fldCharType="begin"/>
      </w:r>
      <w:r w:rsidR="00B41FE3">
        <w:instrText xml:space="preserve"> REF _Ref486941311 \h </w:instrText>
      </w:r>
      <w:r w:rsidR="00B41FE3">
        <w:fldChar w:fldCharType="separate"/>
      </w:r>
      <w:r w:rsidR="004A1B2E">
        <w:t xml:space="preserve">Table </w:t>
      </w:r>
      <w:r w:rsidR="004A1B2E">
        <w:rPr>
          <w:noProof/>
        </w:rPr>
        <w:t>5</w:t>
      </w:r>
      <w:r w:rsidR="00B41FE3">
        <w:fldChar w:fldCharType="end"/>
      </w:r>
      <w:r w:rsidR="00B41FE3">
        <w:t xml:space="preserve"> </w:t>
      </w:r>
      <w:r>
        <w:t>below.</w:t>
      </w:r>
    </w:p>
    <w:p w14:paraId="76AB98A1" w14:textId="77777777" w:rsidR="00D50288" w:rsidRDefault="00D50288" w:rsidP="006F1414">
      <w:pPr>
        <w:pStyle w:val="Figure"/>
      </w:pPr>
      <w:bookmarkStart w:id="147" w:name="_Ref486941311"/>
      <w:r>
        <w:t xml:space="preserve">Table </w:t>
      </w:r>
      <w:fldSimple w:instr=" SEQ Table \* ARABIC ">
        <w:r w:rsidR="004A1B2E">
          <w:rPr>
            <w:noProof/>
          </w:rPr>
          <w:t>5</w:t>
        </w:r>
      </w:fldSimple>
      <w:bookmarkEnd w:id="147"/>
      <w:r>
        <w:t xml:space="preserve">: Potential cost savings in </w:t>
      </w:r>
      <w:r w:rsidRPr="009A03C5">
        <w:t>very remote communities</w:t>
      </w:r>
      <w:r>
        <w:t xml:space="preserve"> from avoiding 40 emergency maintenance activities</w:t>
      </w:r>
    </w:p>
    <w:tbl>
      <w:tblPr>
        <w:tblStyle w:val="NousTable"/>
        <w:tblW w:w="5000" w:type="pct"/>
        <w:tblLook w:val="0420" w:firstRow="1" w:lastRow="0" w:firstColumn="0" w:lastColumn="0" w:noHBand="0" w:noVBand="1"/>
        <w:tblCaption w:val="Table 5: Potential cost savings in very remote communities from avoiding 40 emergency maintenance activities"/>
      </w:tblPr>
      <w:tblGrid>
        <w:gridCol w:w="6027"/>
        <w:gridCol w:w="3044"/>
      </w:tblGrid>
      <w:tr w:rsidR="00D50288" w:rsidRPr="00714FA6" w14:paraId="38455FB5" w14:textId="77777777" w:rsidTr="007B13C2">
        <w:trPr>
          <w:cnfStyle w:val="100000000000" w:firstRow="1" w:lastRow="0" w:firstColumn="0" w:lastColumn="0" w:oddVBand="0" w:evenVBand="0" w:oddHBand="0" w:evenHBand="0" w:firstRowFirstColumn="0" w:firstRowLastColumn="0" w:lastRowFirstColumn="0" w:lastRowLastColumn="0"/>
          <w:trHeight w:val="300"/>
        </w:trPr>
        <w:tc>
          <w:tcPr>
            <w:tcW w:w="3322" w:type="pct"/>
            <w:noWrap/>
            <w:hideMark/>
          </w:tcPr>
          <w:p w14:paraId="300B40B7" w14:textId="77777777" w:rsidR="00D50288" w:rsidRPr="00714FA6" w:rsidRDefault="00D50288" w:rsidP="007B13C2">
            <w:pPr>
              <w:pStyle w:val="TableNHeader"/>
            </w:pPr>
            <w:r>
              <w:t>Maintenance activity</w:t>
            </w:r>
          </w:p>
        </w:tc>
        <w:tc>
          <w:tcPr>
            <w:tcW w:w="1678" w:type="pct"/>
            <w:noWrap/>
            <w:hideMark/>
          </w:tcPr>
          <w:p w14:paraId="3ABE796F" w14:textId="77777777" w:rsidR="00D50288" w:rsidRPr="00714FA6" w:rsidRDefault="00D50288" w:rsidP="007B13C2">
            <w:pPr>
              <w:pStyle w:val="TableNHeader"/>
              <w:jc w:val="center"/>
            </w:pPr>
            <w:r>
              <w:t>Cost saving per planned bundle</w:t>
            </w:r>
          </w:p>
        </w:tc>
      </w:tr>
      <w:tr w:rsidR="00D50288" w:rsidRPr="00714FA6" w14:paraId="6D1A422C" w14:textId="77777777" w:rsidTr="007B13C2">
        <w:trPr>
          <w:trHeight w:val="300"/>
        </w:trPr>
        <w:tc>
          <w:tcPr>
            <w:tcW w:w="3322" w:type="pct"/>
            <w:noWrap/>
            <w:hideMark/>
          </w:tcPr>
          <w:p w14:paraId="58756810" w14:textId="77777777" w:rsidR="00D50288" w:rsidRPr="00714FA6" w:rsidRDefault="00D50288" w:rsidP="007B13C2">
            <w:pPr>
              <w:pStyle w:val="TableNText"/>
            </w:pPr>
            <w:r w:rsidRPr="00714FA6">
              <w:t>Replace external lock set(s)</w:t>
            </w:r>
          </w:p>
        </w:tc>
        <w:tc>
          <w:tcPr>
            <w:tcW w:w="1678" w:type="pct"/>
            <w:noWrap/>
            <w:hideMark/>
          </w:tcPr>
          <w:p w14:paraId="2B260854" w14:textId="77777777" w:rsidR="00D50288" w:rsidRPr="00714FA6" w:rsidRDefault="00D50288" w:rsidP="00FF6002">
            <w:pPr>
              <w:jc w:val="center"/>
            </w:pPr>
            <w:r w:rsidRPr="00714FA6">
              <w:t xml:space="preserve"> $          183,065 </w:t>
            </w:r>
          </w:p>
        </w:tc>
      </w:tr>
      <w:tr w:rsidR="00D50288" w:rsidRPr="00714FA6" w14:paraId="537C515C" w14:textId="77777777" w:rsidTr="007B13C2">
        <w:trPr>
          <w:trHeight w:val="300"/>
        </w:trPr>
        <w:tc>
          <w:tcPr>
            <w:tcW w:w="3322" w:type="pct"/>
            <w:noWrap/>
            <w:hideMark/>
          </w:tcPr>
          <w:p w14:paraId="23699303" w14:textId="77777777" w:rsidR="00D50288" w:rsidRPr="00714FA6" w:rsidRDefault="00D50288" w:rsidP="007B13C2">
            <w:pPr>
              <w:pStyle w:val="TableNText"/>
            </w:pPr>
            <w:r w:rsidRPr="00714FA6">
              <w:t xml:space="preserve">Replace internal tap(s) - top half </w:t>
            </w:r>
          </w:p>
        </w:tc>
        <w:tc>
          <w:tcPr>
            <w:tcW w:w="1678" w:type="pct"/>
            <w:noWrap/>
            <w:hideMark/>
          </w:tcPr>
          <w:p w14:paraId="2439ABB0" w14:textId="77777777" w:rsidR="00D50288" w:rsidRPr="00714FA6" w:rsidRDefault="00D50288" w:rsidP="00FF6002">
            <w:pPr>
              <w:jc w:val="center"/>
            </w:pPr>
            <w:r w:rsidRPr="00714FA6">
              <w:t xml:space="preserve"> $          137,495 </w:t>
            </w:r>
          </w:p>
        </w:tc>
      </w:tr>
      <w:tr w:rsidR="00D50288" w:rsidRPr="00714FA6" w14:paraId="56786B69" w14:textId="77777777" w:rsidTr="007B13C2">
        <w:trPr>
          <w:trHeight w:val="300"/>
        </w:trPr>
        <w:tc>
          <w:tcPr>
            <w:tcW w:w="3322" w:type="pct"/>
            <w:noWrap/>
            <w:hideMark/>
          </w:tcPr>
          <w:p w14:paraId="634A08C4" w14:textId="77777777" w:rsidR="00D50288" w:rsidRPr="00714FA6" w:rsidRDefault="00D50288" w:rsidP="007B13C2">
            <w:pPr>
              <w:pStyle w:val="TableNText"/>
            </w:pPr>
            <w:r w:rsidRPr="00714FA6">
              <w:t>Replace smoke detector(s)</w:t>
            </w:r>
          </w:p>
        </w:tc>
        <w:tc>
          <w:tcPr>
            <w:tcW w:w="1678" w:type="pct"/>
            <w:noWrap/>
            <w:hideMark/>
          </w:tcPr>
          <w:p w14:paraId="2A3F38F2" w14:textId="77777777" w:rsidR="00D50288" w:rsidRPr="00714FA6" w:rsidRDefault="00D50288" w:rsidP="00FF6002">
            <w:pPr>
              <w:jc w:val="center"/>
            </w:pPr>
            <w:r w:rsidRPr="00714FA6">
              <w:t xml:space="preserve"> $          214,980 </w:t>
            </w:r>
          </w:p>
        </w:tc>
      </w:tr>
      <w:tr w:rsidR="00D50288" w:rsidRPr="00714FA6" w14:paraId="75761463" w14:textId="77777777" w:rsidTr="007B13C2">
        <w:trPr>
          <w:trHeight w:val="300"/>
        </w:trPr>
        <w:tc>
          <w:tcPr>
            <w:tcW w:w="3322" w:type="pct"/>
            <w:noWrap/>
            <w:hideMark/>
          </w:tcPr>
          <w:p w14:paraId="64BD90A1" w14:textId="77777777" w:rsidR="00D50288" w:rsidRPr="00714FA6" w:rsidRDefault="00D50288" w:rsidP="007B13C2">
            <w:pPr>
              <w:pStyle w:val="TableNText"/>
            </w:pPr>
            <w:r w:rsidRPr="00714FA6">
              <w:t>Pump out septic tank(s)</w:t>
            </w:r>
          </w:p>
        </w:tc>
        <w:tc>
          <w:tcPr>
            <w:tcW w:w="1678" w:type="pct"/>
            <w:noWrap/>
            <w:hideMark/>
          </w:tcPr>
          <w:p w14:paraId="5762697F" w14:textId="77777777" w:rsidR="00D50288" w:rsidRPr="00714FA6" w:rsidRDefault="00D50288" w:rsidP="00FF6002">
            <w:pPr>
              <w:jc w:val="center"/>
            </w:pPr>
            <w:r w:rsidRPr="00714FA6">
              <w:t xml:space="preserve"> $          187,507 </w:t>
            </w:r>
          </w:p>
        </w:tc>
      </w:tr>
    </w:tbl>
    <w:p w14:paraId="4DF8FF58" w14:textId="77777777" w:rsidR="00D50288" w:rsidRDefault="00D50288" w:rsidP="00D50288"/>
    <w:p w14:paraId="6468A3AA" w14:textId="77777777" w:rsidR="00D50288" w:rsidRDefault="00D50288" w:rsidP="00D50288">
      <w:r>
        <w:t xml:space="preserve">Further projections of savings as a result of avoiding emergency repairs (via planned maintenance) are demonstrated in </w:t>
      </w:r>
      <w:r>
        <w:fldChar w:fldCharType="begin"/>
      </w:r>
      <w:r>
        <w:instrText xml:space="preserve"> REF _Ref475955039 \h </w:instrText>
      </w:r>
      <w:r>
        <w:fldChar w:fldCharType="separate"/>
      </w:r>
      <w:r w:rsidR="004A1B2E">
        <w:t xml:space="preserve">Figure </w:t>
      </w:r>
      <w:r w:rsidR="004A1B2E">
        <w:rPr>
          <w:noProof/>
        </w:rPr>
        <w:t>19</w:t>
      </w:r>
      <w:r>
        <w:fldChar w:fldCharType="end"/>
      </w:r>
      <w:r>
        <w:t xml:space="preserve"> below.</w:t>
      </w:r>
    </w:p>
    <w:p w14:paraId="1D5BA2A7" w14:textId="68237AA1" w:rsidR="00D50288" w:rsidRDefault="00D50288" w:rsidP="006F1414">
      <w:pPr>
        <w:pStyle w:val="Figure"/>
      </w:pPr>
      <w:bookmarkStart w:id="148" w:name="_Ref475955039"/>
      <w:bookmarkStart w:id="149" w:name="Figure19Return"/>
      <w:r>
        <w:t xml:space="preserve">Figure </w:t>
      </w:r>
      <w:fldSimple w:instr=" SEQ Figure \* ARABIC ">
        <w:r w:rsidR="004A1B2E">
          <w:rPr>
            <w:noProof/>
          </w:rPr>
          <w:t>19</w:t>
        </w:r>
      </w:fldSimple>
      <w:bookmarkEnd w:id="148"/>
      <w:bookmarkEnd w:id="149"/>
      <w:r>
        <w:t xml:space="preserve">: Reduction in cost achieved by avoidance of emergency maintenance activities in </w:t>
      </w:r>
      <w:r w:rsidR="0009788A">
        <w:t>very remote</w:t>
      </w:r>
      <w:r>
        <w:t xml:space="preserve"> communities</w:t>
      </w:r>
    </w:p>
    <w:p w14:paraId="64E846C5" w14:textId="77777777" w:rsidR="00957DDE" w:rsidRDefault="00D50288" w:rsidP="00834B3C">
      <w:r>
        <w:rPr>
          <w:noProof/>
        </w:rPr>
        <w:drawing>
          <wp:inline distT="0" distB="0" distL="0" distR="0" wp14:anchorId="3C6EE570" wp14:editId="4995219A">
            <wp:extent cx="6119975"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4647" cy="2745294"/>
                    </a:xfrm>
                    <a:prstGeom prst="rect">
                      <a:avLst/>
                    </a:prstGeom>
                    <a:noFill/>
                  </pic:spPr>
                </pic:pic>
              </a:graphicData>
            </a:graphic>
          </wp:inline>
        </w:drawing>
      </w:r>
    </w:p>
    <w:p w14:paraId="5F7B97BD" w14:textId="0A9D5FC6" w:rsidR="00834B3C" w:rsidRDefault="007900B6" w:rsidP="00B80E22">
      <w:r>
        <w:t xml:space="preserve">View the </w:t>
      </w:r>
      <w:hyperlink w:anchor="Figure19" w:history="1">
        <w:r w:rsidRPr="007900B6">
          <w:rPr>
            <w:rStyle w:val="Hyperlink"/>
          </w:rPr>
          <w:t>text version of Figure 19</w:t>
        </w:r>
      </w:hyperlink>
      <w:r>
        <w:t>.</w:t>
      </w:r>
      <w:r w:rsidR="00834B3C">
        <w:br w:type="page"/>
      </w:r>
    </w:p>
    <w:p w14:paraId="23791AE8" w14:textId="77777777" w:rsidR="00910AB0" w:rsidRDefault="00910AB0" w:rsidP="00910AB0">
      <w:pPr>
        <w:pStyle w:val="Heading2"/>
      </w:pPr>
      <w:bookmarkStart w:id="150" w:name="_Toc475982716"/>
      <w:bookmarkStart w:id="151" w:name="_Toc475990803"/>
      <w:bookmarkStart w:id="152" w:name="_Toc480791442"/>
      <w:r>
        <w:lastRenderedPageBreak/>
        <w:t>The jurisdictions sharing experience, evidence and expertise will catalyse improvements in PTM approaches in remote Indigenous housing</w:t>
      </w:r>
      <w:bookmarkEnd w:id="150"/>
      <w:bookmarkEnd w:id="151"/>
      <w:bookmarkEnd w:id="152"/>
    </w:p>
    <w:p w14:paraId="780A09AC" w14:textId="77777777" w:rsidR="00910AB0" w:rsidRDefault="00910AB0" w:rsidP="00910AB0">
      <w:r>
        <w:t xml:space="preserve">There is a high degree of professionalism and mutual respect between the four participating jurisdictions, and substantial goodwill towards our process to undertake this analysis of the financial costs of PTM. This was evidenced by openness to meeting with Nous to discuss the issues at a broad level, strong engagement at the workshop with jurisdictions in Adelaide, and the completion of the cost template. </w:t>
      </w:r>
    </w:p>
    <w:p w14:paraId="3422120E" w14:textId="77777777" w:rsidR="00910AB0" w:rsidRDefault="00910AB0" w:rsidP="00910AB0">
      <w:r>
        <w:t>It is clear that there is a wealth of expertise held across jurisdictions, and an opportunity to share experiences on delivering remote Indigenous housing for mutual benefit. This includes clear opportunities for:</w:t>
      </w:r>
    </w:p>
    <w:p w14:paraId="1A1B859F" w14:textId="77777777" w:rsidR="00910AB0" w:rsidRDefault="00910AB0" w:rsidP="00910AB0">
      <w:pPr>
        <w:pStyle w:val="Bullet"/>
      </w:pPr>
      <w:r>
        <w:t xml:space="preserve">Documenting and learning from shared challenges </w:t>
      </w:r>
    </w:p>
    <w:p w14:paraId="2CE1D2C5" w14:textId="77777777" w:rsidR="00910AB0" w:rsidRDefault="00910AB0" w:rsidP="00910AB0">
      <w:pPr>
        <w:pStyle w:val="Bullet"/>
      </w:pPr>
      <w:r>
        <w:t>Benchmarking the costs and delivery of outcomes in PTM for remote Indigenous housing</w:t>
      </w:r>
    </w:p>
    <w:p w14:paraId="7A05F7C3" w14:textId="77777777" w:rsidR="00463A27" w:rsidRPr="00463A27" w:rsidRDefault="00910AB0" w:rsidP="00463A27">
      <w:pPr>
        <w:pStyle w:val="Bullet"/>
      </w:pPr>
      <w:r>
        <w:t xml:space="preserve">The development and dissemination of good </w:t>
      </w:r>
      <w:r w:rsidRPr="00463A27">
        <w:t>practices</w:t>
      </w:r>
      <w:r w:rsidR="000E7AB9" w:rsidRPr="00463A27">
        <w:t xml:space="preserve">, including quantification of the most significant drivers of cost reduction. </w:t>
      </w:r>
    </w:p>
    <w:p w14:paraId="643B2BC0" w14:textId="51FEEEDF" w:rsidR="00910AB0" w:rsidRDefault="00910AB0" w:rsidP="00463A27">
      <w:pPr>
        <w:pStyle w:val="Bullet"/>
        <w:numPr>
          <w:ilvl w:val="0"/>
          <w:numId w:val="0"/>
        </w:numPr>
      </w:pPr>
      <w:r>
        <w:t>At the workshop with jurisdictions in Adelaide, State and Territory representatives acknowledged the opportunity to share experiences, evidence and expertise, and made a commitment to do so in the coming year.</w:t>
      </w:r>
    </w:p>
    <w:p w14:paraId="328C0F87" w14:textId="2B394FB7" w:rsidR="00ED4000" w:rsidRDefault="00ED4000" w:rsidP="00463A27">
      <w:pPr>
        <w:pStyle w:val="Bullet"/>
        <w:numPr>
          <w:ilvl w:val="0"/>
          <w:numId w:val="0"/>
        </w:numPr>
      </w:pPr>
    </w:p>
    <w:p w14:paraId="326FEBEA" w14:textId="77777777" w:rsidR="00ED4000" w:rsidRDefault="00ED4000" w:rsidP="00463A27">
      <w:pPr>
        <w:pStyle w:val="Bullet"/>
        <w:numPr>
          <w:ilvl w:val="0"/>
          <w:numId w:val="0"/>
        </w:numPr>
      </w:pPr>
      <w:r>
        <w:br w:type="page"/>
      </w:r>
    </w:p>
    <w:p w14:paraId="33BE6BC6" w14:textId="57D15786" w:rsidR="00ED4000" w:rsidRDefault="00ED4000" w:rsidP="00ED4000">
      <w:pPr>
        <w:pStyle w:val="xAppendixLevel1"/>
      </w:pPr>
      <w:bookmarkStart w:id="153" w:name="_Ref477338592"/>
      <w:bookmarkStart w:id="154" w:name="_Toc480791443"/>
      <w:r>
        <w:lastRenderedPageBreak/>
        <w:t>Excerpt from cost template</w:t>
      </w:r>
      <w:bookmarkEnd w:id="153"/>
      <w:bookmarkEnd w:id="154"/>
    </w:p>
    <w:p w14:paraId="1C5A85F2" w14:textId="77777777" w:rsidR="00ED4000" w:rsidRPr="00ED4000" w:rsidRDefault="00ED4000" w:rsidP="00ED4000"/>
    <w:tbl>
      <w:tblPr>
        <w:tblStyle w:val="NousTable"/>
        <w:tblW w:w="8615" w:type="dxa"/>
        <w:tblLayout w:type="fixed"/>
        <w:tblLook w:val="04A0" w:firstRow="1" w:lastRow="0" w:firstColumn="1" w:lastColumn="0" w:noHBand="0" w:noVBand="1"/>
        <w:tblCaption w:val="Appendix A Excerpt from cost template"/>
      </w:tblPr>
      <w:tblGrid>
        <w:gridCol w:w="1105"/>
        <w:gridCol w:w="1598"/>
        <w:gridCol w:w="951"/>
        <w:gridCol w:w="992"/>
        <w:gridCol w:w="992"/>
        <w:gridCol w:w="995"/>
        <w:gridCol w:w="992"/>
        <w:gridCol w:w="990"/>
      </w:tblGrid>
      <w:tr w:rsidR="00FF7898" w:rsidRPr="000E44FD" w14:paraId="4B910FC7" w14:textId="77777777" w:rsidTr="00FF789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03" w:type="dxa"/>
            <w:gridSpan w:val="2"/>
            <w:shd w:val="clear" w:color="auto" w:fill="auto"/>
            <w:noWrap/>
          </w:tcPr>
          <w:p w14:paraId="1DC5CBF0" w14:textId="77777777" w:rsidR="00FF7898" w:rsidRPr="000E44FD" w:rsidRDefault="00FF7898" w:rsidP="00FF7898">
            <w:pPr>
              <w:pStyle w:val="Table-ExpText"/>
            </w:pPr>
            <w:bookmarkStart w:id="155" w:name="_Ref475954527"/>
          </w:p>
        </w:tc>
        <w:tc>
          <w:tcPr>
            <w:tcW w:w="2935" w:type="dxa"/>
            <w:gridSpan w:val="3"/>
            <w:shd w:val="clear" w:color="auto" w:fill="F2F2F2" w:themeFill="background1" w:themeFillShade="F2"/>
            <w:noWrap/>
          </w:tcPr>
          <w:p w14:paraId="482D7713" w14:textId="77777777" w:rsidR="00FF7898" w:rsidRPr="000E44FD" w:rsidRDefault="00FF7898" w:rsidP="00FF7898">
            <w:pPr>
              <w:pStyle w:val="Table-ExpText"/>
              <w:jc w:val="center"/>
              <w:cnfStyle w:val="100000000000" w:firstRow="1" w:lastRow="0" w:firstColumn="0" w:lastColumn="0" w:oddVBand="0" w:evenVBand="0" w:oddHBand="0" w:evenHBand="0" w:firstRowFirstColumn="0" w:firstRowLastColumn="0" w:lastRowFirstColumn="0" w:lastRowLastColumn="0"/>
            </w:pPr>
            <w:r w:rsidRPr="000E44FD">
              <w:rPr>
                <w:color w:val="auto"/>
              </w:rPr>
              <w:t>Remote</w:t>
            </w:r>
          </w:p>
        </w:tc>
        <w:tc>
          <w:tcPr>
            <w:tcW w:w="2977" w:type="dxa"/>
            <w:gridSpan w:val="3"/>
            <w:shd w:val="clear" w:color="auto" w:fill="E4F2D9" w:themeFill="accent3" w:themeFillTint="33"/>
          </w:tcPr>
          <w:p w14:paraId="133DF949" w14:textId="77777777" w:rsidR="00FF7898" w:rsidRPr="000E44FD" w:rsidRDefault="00FF7898" w:rsidP="00FF7898">
            <w:pPr>
              <w:pStyle w:val="Table-ExpText"/>
              <w:jc w:val="center"/>
              <w:cnfStyle w:val="100000000000" w:firstRow="1" w:lastRow="0" w:firstColumn="0" w:lastColumn="0" w:oddVBand="0" w:evenVBand="0" w:oddHBand="0" w:evenHBand="0" w:firstRowFirstColumn="0" w:firstRowLastColumn="0" w:lastRowFirstColumn="0" w:lastRowLastColumn="0"/>
              <w:rPr>
                <w:color w:val="auto"/>
              </w:rPr>
            </w:pPr>
            <w:r w:rsidRPr="000E44FD">
              <w:rPr>
                <w:color w:val="auto"/>
              </w:rPr>
              <w:t>Very Remote etc.</w:t>
            </w:r>
          </w:p>
        </w:tc>
      </w:tr>
      <w:tr w:rsidR="00FF7898" w:rsidRPr="000E44FD" w14:paraId="61CEF59E" w14:textId="77777777" w:rsidTr="00FF7898">
        <w:trPr>
          <w:trHeight w:val="795"/>
        </w:trPr>
        <w:tc>
          <w:tcPr>
            <w:cnfStyle w:val="001000000000" w:firstRow="0" w:lastRow="0" w:firstColumn="1" w:lastColumn="0" w:oddVBand="0" w:evenVBand="0" w:oddHBand="0" w:evenHBand="0" w:firstRowFirstColumn="0" w:firstRowLastColumn="0" w:lastRowFirstColumn="0" w:lastRowLastColumn="0"/>
            <w:tcW w:w="1105" w:type="dxa"/>
            <w:noWrap/>
            <w:hideMark/>
          </w:tcPr>
          <w:p w14:paraId="17173038" w14:textId="77777777" w:rsidR="00FF7898" w:rsidRPr="000E44FD" w:rsidRDefault="00FF7898" w:rsidP="00FF7898">
            <w:pPr>
              <w:pStyle w:val="Table-ExpText"/>
              <w:rPr>
                <w:b/>
              </w:rPr>
            </w:pPr>
            <w:r w:rsidRPr="000E44FD">
              <w:rPr>
                <w:b/>
              </w:rPr>
              <w:t>Maintenance  activity</w:t>
            </w:r>
          </w:p>
        </w:tc>
        <w:tc>
          <w:tcPr>
            <w:tcW w:w="1598" w:type="dxa"/>
            <w:noWrap/>
            <w:hideMark/>
          </w:tcPr>
          <w:p w14:paraId="6FA18F89"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rPr>
                <w:b/>
              </w:rPr>
            </w:pPr>
            <w:r w:rsidRPr="000E44FD">
              <w:rPr>
                <w:b/>
              </w:rPr>
              <w:t>Cost categories</w:t>
            </w:r>
          </w:p>
        </w:tc>
        <w:tc>
          <w:tcPr>
            <w:tcW w:w="951" w:type="dxa"/>
            <w:shd w:val="clear" w:color="auto" w:fill="F2F2F2" w:themeFill="background1" w:themeFillShade="F2"/>
            <w:noWrap/>
            <w:hideMark/>
          </w:tcPr>
          <w:p w14:paraId="240C67A4"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rPr>
                <w:b/>
              </w:rPr>
            </w:pPr>
            <w:r w:rsidRPr="000E44FD">
              <w:rPr>
                <w:b/>
              </w:rPr>
              <w:t>Planned (40 orders)</w:t>
            </w:r>
          </w:p>
        </w:tc>
        <w:tc>
          <w:tcPr>
            <w:tcW w:w="992" w:type="dxa"/>
            <w:shd w:val="clear" w:color="auto" w:fill="F2F2F2" w:themeFill="background1" w:themeFillShade="F2"/>
            <w:noWrap/>
            <w:hideMark/>
          </w:tcPr>
          <w:p w14:paraId="0AF0D593"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rPr>
                <w:b/>
              </w:rPr>
            </w:pPr>
            <w:r w:rsidRPr="000E44FD">
              <w:rPr>
                <w:b/>
              </w:rPr>
              <w:t>Responsive (15 orders)</w:t>
            </w:r>
          </w:p>
        </w:tc>
        <w:tc>
          <w:tcPr>
            <w:tcW w:w="992" w:type="dxa"/>
            <w:shd w:val="clear" w:color="auto" w:fill="F2F2F2" w:themeFill="background1" w:themeFillShade="F2"/>
            <w:noWrap/>
            <w:hideMark/>
          </w:tcPr>
          <w:p w14:paraId="543E1775"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rPr>
                <w:b/>
              </w:rPr>
            </w:pPr>
            <w:r w:rsidRPr="000E44FD">
              <w:rPr>
                <w:b/>
              </w:rPr>
              <w:t>Emergency (1 order)</w:t>
            </w:r>
          </w:p>
        </w:tc>
        <w:tc>
          <w:tcPr>
            <w:tcW w:w="995" w:type="dxa"/>
            <w:shd w:val="clear" w:color="auto" w:fill="E4F2D9" w:themeFill="accent3" w:themeFillTint="33"/>
          </w:tcPr>
          <w:p w14:paraId="6D16C00A"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rPr>
                <w:b/>
              </w:rPr>
            </w:pPr>
            <w:r w:rsidRPr="000E44FD">
              <w:rPr>
                <w:b/>
              </w:rPr>
              <w:t>Planned (40 orders)</w:t>
            </w:r>
          </w:p>
        </w:tc>
        <w:tc>
          <w:tcPr>
            <w:tcW w:w="992" w:type="dxa"/>
            <w:shd w:val="clear" w:color="auto" w:fill="E4F2D9" w:themeFill="accent3" w:themeFillTint="33"/>
          </w:tcPr>
          <w:p w14:paraId="1CD225FD"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rPr>
                <w:b/>
              </w:rPr>
            </w:pPr>
            <w:r w:rsidRPr="000E44FD">
              <w:rPr>
                <w:b/>
              </w:rPr>
              <w:t>Responsive (15 orders)</w:t>
            </w:r>
          </w:p>
        </w:tc>
        <w:tc>
          <w:tcPr>
            <w:tcW w:w="990" w:type="dxa"/>
            <w:shd w:val="clear" w:color="auto" w:fill="E4F2D9" w:themeFill="accent3" w:themeFillTint="33"/>
          </w:tcPr>
          <w:p w14:paraId="45081308"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rPr>
                <w:b/>
              </w:rPr>
            </w:pPr>
            <w:r w:rsidRPr="000E44FD">
              <w:rPr>
                <w:b/>
              </w:rPr>
              <w:t>Emergency (1 order)</w:t>
            </w:r>
          </w:p>
        </w:tc>
      </w:tr>
      <w:tr w:rsidR="00FF7898" w:rsidRPr="000E44FD" w14:paraId="4E8D9878" w14:textId="77777777" w:rsidTr="00FF7898">
        <w:trPr>
          <w:trHeight w:val="300"/>
        </w:trPr>
        <w:tc>
          <w:tcPr>
            <w:cnfStyle w:val="001000000000" w:firstRow="0" w:lastRow="0" w:firstColumn="1" w:lastColumn="0" w:oddVBand="0" w:evenVBand="0" w:oddHBand="0" w:evenHBand="0" w:firstRowFirstColumn="0" w:firstRowLastColumn="0" w:lastRowFirstColumn="0" w:lastRowLastColumn="0"/>
            <w:tcW w:w="1105" w:type="dxa"/>
            <w:vMerge w:val="restart"/>
            <w:noWrap/>
            <w:hideMark/>
          </w:tcPr>
          <w:p w14:paraId="5BB194D3" w14:textId="77777777" w:rsidR="00FF7898" w:rsidRDefault="00FF7898" w:rsidP="00FF7898">
            <w:pPr>
              <w:pStyle w:val="Table-ExpText"/>
            </w:pPr>
            <w:r w:rsidRPr="000E44FD">
              <w:t>Replace smoke detector(s)</w:t>
            </w:r>
          </w:p>
          <w:p w14:paraId="46A7481B" w14:textId="77777777" w:rsidR="00FF7898" w:rsidRPr="000E44FD" w:rsidRDefault="00FF7898" w:rsidP="00FF7898">
            <w:pPr>
              <w:pStyle w:val="Table-ExpText"/>
            </w:pPr>
          </w:p>
          <w:p w14:paraId="1A860B67" w14:textId="77777777" w:rsidR="00FF7898" w:rsidRPr="000E44FD" w:rsidRDefault="00FF7898" w:rsidP="00FF7898">
            <w:pPr>
              <w:pStyle w:val="Table-ExpText"/>
            </w:pPr>
            <w:r w:rsidRPr="000E44FD">
              <w:t> </w:t>
            </w:r>
          </w:p>
          <w:p w14:paraId="23702EDC" w14:textId="77777777" w:rsidR="00FF7898" w:rsidRPr="000E44FD" w:rsidRDefault="00FF7898" w:rsidP="00FF7898">
            <w:pPr>
              <w:pStyle w:val="Table-ExpText"/>
            </w:pPr>
            <w:r w:rsidRPr="000E44FD">
              <w:t> </w:t>
            </w:r>
          </w:p>
        </w:tc>
        <w:tc>
          <w:tcPr>
            <w:tcW w:w="1598" w:type="dxa"/>
            <w:noWrap/>
            <w:hideMark/>
          </w:tcPr>
          <w:p w14:paraId="21C2697E"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Materials costs</w:t>
            </w:r>
          </w:p>
        </w:tc>
        <w:tc>
          <w:tcPr>
            <w:tcW w:w="951" w:type="dxa"/>
            <w:shd w:val="clear" w:color="auto" w:fill="F2F2F2" w:themeFill="background1" w:themeFillShade="F2"/>
            <w:noWrap/>
            <w:vAlign w:val="top"/>
            <w:hideMark/>
          </w:tcPr>
          <w:p w14:paraId="3A55C9C3"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2" w:type="dxa"/>
            <w:shd w:val="clear" w:color="auto" w:fill="F2F2F2" w:themeFill="background1" w:themeFillShade="F2"/>
            <w:noWrap/>
            <w:vAlign w:val="top"/>
            <w:hideMark/>
          </w:tcPr>
          <w:p w14:paraId="082A0028"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2" w:type="dxa"/>
            <w:shd w:val="clear" w:color="auto" w:fill="F2F2F2" w:themeFill="background1" w:themeFillShade="F2"/>
            <w:noWrap/>
            <w:vAlign w:val="top"/>
            <w:hideMark/>
          </w:tcPr>
          <w:p w14:paraId="4E54A87E"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5" w:type="dxa"/>
            <w:shd w:val="clear" w:color="auto" w:fill="E4F2D9" w:themeFill="accent3" w:themeFillTint="33"/>
            <w:vAlign w:val="top"/>
          </w:tcPr>
          <w:p w14:paraId="20D0B8D3"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c>
          <w:tcPr>
            <w:tcW w:w="992" w:type="dxa"/>
            <w:shd w:val="clear" w:color="auto" w:fill="E4F2D9" w:themeFill="accent3" w:themeFillTint="33"/>
            <w:vAlign w:val="top"/>
          </w:tcPr>
          <w:p w14:paraId="024F4256"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c>
          <w:tcPr>
            <w:tcW w:w="990" w:type="dxa"/>
            <w:shd w:val="clear" w:color="auto" w:fill="E4F2D9" w:themeFill="accent3" w:themeFillTint="33"/>
            <w:vAlign w:val="top"/>
          </w:tcPr>
          <w:p w14:paraId="35B07BE4"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r>
      <w:tr w:rsidR="00FF7898" w:rsidRPr="000E44FD" w14:paraId="0498A46D" w14:textId="77777777" w:rsidTr="00FF7898">
        <w:trPr>
          <w:trHeight w:val="300"/>
        </w:trPr>
        <w:tc>
          <w:tcPr>
            <w:cnfStyle w:val="001000000000" w:firstRow="0" w:lastRow="0" w:firstColumn="1" w:lastColumn="0" w:oddVBand="0" w:evenVBand="0" w:oddHBand="0" w:evenHBand="0" w:firstRowFirstColumn="0" w:firstRowLastColumn="0" w:lastRowFirstColumn="0" w:lastRowLastColumn="0"/>
            <w:tcW w:w="1105" w:type="dxa"/>
            <w:vMerge/>
            <w:noWrap/>
            <w:hideMark/>
          </w:tcPr>
          <w:p w14:paraId="291F1EBE" w14:textId="77777777" w:rsidR="00FF7898" w:rsidRPr="000E44FD" w:rsidRDefault="00FF7898" w:rsidP="00FF7898">
            <w:pPr>
              <w:pStyle w:val="Table-ExpText"/>
            </w:pPr>
          </w:p>
        </w:tc>
        <w:tc>
          <w:tcPr>
            <w:tcW w:w="1598" w:type="dxa"/>
            <w:noWrap/>
            <w:hideMark/>
          </w:tcPr>
          <w:p w14:paraId="29EB2F20"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Labour costs</w:t>
            </w:r>
          </w:p>
        </w:tc>
        <w:tc>
          <w:tcPr>
            <w:tcW w:w="951" w:type="dxa"/>
            <w:shd w:val="clear" w:color="auto" w:fill="F2F2F2" w:themeFill="background1" w:themeFillShade="F2"/>
            <w:noWrap/>
            <w:vAlign w:val="top"/>
            <w:hideMark/>
          </w:tcPr>
          <w:p w14:paraId="3E7B98C5"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2" w:type="dxa"/>
            <w:shd w:val="clear" w:color="auto" w:fill="F2F2F2" w:themeFill="background1" w:themeFillShade="F2"/>
            <w:noWrap/>
            <w:vAlign w:val="top"/>
            <w:hideMark/>
          </w:tcPr>
          <w:p w14:paraId="26A0959C"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2" w:type="dxa"/>
            <w:shd w:val="clear" w:color="auto" w:fill="F2F2F2" w:themeFill="background1" w:themeFillShade="F2"/>
            <w:noWrap/>
            <w:vAlign w:val="top"/>
            <w:hideMark/>
          </w:tcPr>
          <w:p w14:paraId="7998458E"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5" w:type="dxa"/>
            <w:shd w:val="clear" w:color="auto" w:fill="E4F2D9" w:themeFill="accent3" w:themeFillTint="33"/>
            <w:vAlign w:val="top"/>
          </w:tcPr>
          <w:p w14:paraId="61B14827"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c>
          <w:tcPr>
            <w:tcW w:w="992" w:type="dxa"/>
            <w:shd w:val="clear" w:color="auto" w:fill="E4F2D9" w:themeFill="accent3" w:themeFillTint="33"/>
            <w:vAlign w:val="top"/>
          </w:tcPr>
          <w:p w14:paraId="6929EBD6"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c>
          <w:tcPr>
            <w:tcW w:w="990" w:type="dxa"/>
            <w:shd w:val="clear" w:color="auto" w:fill="E4F2D9" w:themeFill="accent3" w:themeFillTint="33"/>
            <w:vAlign w:val="top"/>
          </w:tcPr>
          <w:p w14:paraId="0849719F"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r>
      <w:tr w:rsidR="00FF7898" w:rsidRPr="000E44FD" w14:paraId="31926694" w14:textId="77777777" w:rsidTr="00FF7898">
        <w:trPr>
          <w:trHeight w:val="315"/>
        </w:trPr>
        <w:tc>
          <w:tcPr>
            <w:cnfStyle w:val="001000000000" w:firstRow="0" w:lastRow="0" w:firstColumn="1" w:lastColumn="0" w:oddVBand="0" w:evenVBand="0" w:oddHBand="0" w:evenHBand="0" w:firstRowFirstColumn="0" w:firstRowLastColumn="0" w:lastRowFirstColumn="0" w:lastRowLastColumn="0"/>
            <w:tcW w:w="1105" w:type="dxa"/>
            <w:vMerge/>
            <w:noWrap/>
            <w:hideMark/>
          </w:tcPr>
          <w:p w14:paraId="6EE89DE5" w14:textId="77777777" w:rsidR="00FF7898" w:rsidRPr="000E44FD" w:rsidRDefault="00FF7898" w:rsidP="00FF7898">
            <w:pPr>
              <w:pStyle w:val="Table-ExpText"/>
            </w:pPr>
          </w:p>
        </w:tc>
        <w:tc>
          <w:tcPr>
            <w:tcW w:w="1598" w:type="dxa"/>
            <w:noWrap/>
            <w:hideMark/>
          </w:tcPr>
          <w:p w14:paraId="6CFE5226"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Travel/mobilisation costs</w:t>
            </w:r>
          </w:p>
        </w:tc>
        <w:tc>
          <w:tcPr>
            <w:tcW w:w="951" w:type="dxa"/>
            <w:shd w:val="clear" w:color="auto" w:fill="F2F2F2" w:themeFill="background1" w:themeFillShade="F2"/>
            <w:noWrap/>
            <w:vAlign w:val="top"/>
            <w:hideMark/>
          </w:tcPr>
          <w:p w14:paraId="73A274A9"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2" w:type="dxa"/>
            <w:shd w:val="clear" w:color="auto" w:fill="F2F2F2" w:themeFill="background1" w:themeFillShade="F2"/>
            <w:noWrap/>
            <w:vAlign w:val="top"/>
            <w:hideMark/>
          </w:tcPr>
          <w:p w14:paraId="3A627726"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2" w:type="dxa"/>
            <w:shd w:val="clear" w:color="auto" w:fill="F2F2F2" w:themeFill="background1" w:themeFillShade="F2"/>
            <w:noWrap/>
            <w:vAlign w:val="top"/>
            <w:hideMark/>
          </w:tcPr>
          <w:p w14:paraId="6E81BB1A"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5" w:type="dxa"/>
            <w:shd w:val="clear" w:color="auto" w:fill="E4F2D9" w:themeFill="accent3" w:themeFillTint="33"/>
            <w:vAlign w:val="top"/>
          </w:tcPr>
          <w:p w14:paraId="01F3CD89"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c>
          <w:tcPr>
            <w:tcW w:w="992" w:type="dxa"/>
            <w:shd w:val="clear" w:color="auto" w:fill="E4F2D9" w:themeFill="accent3" w:themeFillTint="33"/>
            <w:vAlign w:val="top"/>
          </w:tcPr>
          <w:p w14:paraId="0120A244"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c>
          <w:tcPr>
            <w:tcW w:w="990" w:type="dxa"/>
            <w:shd w:val="clear" w:color="auto" w:fill="E4F2D9" w:themeFill="accent3" w:themeFillTint="33"/>
            <w:vAlign w:val="top"/>
          </w:tcPr>
          <w:p w14:paraId="5BFDC599"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r>
      <w:tr w:rsidR="00FF7898" w:rsidRPr="000E44FD" w14:paraId="7FDA101D" w14:textId="77777777" w:rsidTr="00FF7898">
        <w:trPr>
          <w:trHeight w:val="315"/>
        </w:trPr>
        <w:tc>
          <w:tcPr>
            <w:cnfStyle w:val="001000000000" w:firstRow="0" w:lastRow="0" w:firstColumn="1" w:lastColumn="0" w:oddVBand="0" w:evenVBand="0" w:oddHBand="0" w:evenHBand="0" w:firstRowFirstColumn="0" w:firstRowLastColumn="0" w:lastRowFirstColumn="0" w:lastRowLastColumn="0"/>
            <w:tcW w:w="2703" w:type="dxa"/>
            <w:gridSpan w:val="2"/>
            <w:shd w:val="clear" w:color="auto" w:fill="auto"/>
            <w:noWrap/>
            <w:hideMark/>
          </w:tcPr>
          <w:p w14:paraId="587606FE" w14:textId="77777777" w:rsidR="00FF7898" w:rsidRPr="000E44FD" w:rsidRDefault="00FF7898" w:rsidP="00FF7898">
            <w:pPr>
              <w:pStyle w:val="Table-ExpText"/>
            </w:pPr>
            <w:r w:rsidRPr="000E44FD">
              <w:rPr>
                <w:color w:val="auto"/>
              </w:rPr>
              <w:t xml:space="preserve">TOTAL </w:t>
            </w:r>
          </w:p>
        </w:tc>
        <w:tc>
          <w:tcPr>
            <w:tcW w:w="951" w:type="dxa"/>
            <w:shd w:val="clear" w:color="auto" w:fill="F2F2F2" w:themeFill="background1" w:themeFillShade="F2"/>
            <w:noWrap/>
            <w:hideMark/>
          </w:tcPr>
          <w:p w14:paraId="42F72633"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t xml:space="preserve"> $ xx</w:t>
            </w:r>
            <w:r w:rsidRPr="000E44FD">
              <w:t xml:space="preserve">                     </w:t>
            </w:r>
          </w:p>
        </w:tc>
        <w:tc>
          <w:tcPr>
            <w:tcW w:w="992" w:type="dxa"/>
            <w:shd w:val="clear" w:color="auto" w:fill="F2F2F2" w:themeFill="background1" w:themeFillShade="F2"/>
            <w:noWrap/>
            <w:vAlign w:val="top"/>
            <w:hideMark/>
          </w:tcPr>
          <w:p w14:paraId="1E8149E5"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2" w:type="dxa"/>
            <w:shd w:val="clear" w:color="auto" w:fill="F2F2F2" w:themeFill="background1" w:themeFillShade="F2"/>
            <w:noWrap/>
            <w:vAlign w:val="top"/>
            <w:hideMark/>
          </w:tcPr>
          <w:p w14:paraId="60FCA816"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5A7EB1">
              <w:t xml:space="preserve"> $ xx </w:t>
            </w:r>
          </w:p>
        </w:tc>
        <w:tc>
          <w:tcPr>
            <w:tcW w:w="995" w:type="dxa"/>
            <w:shd w:val="clear" w:color="auto" w:fill="E4F2D9" w:themeFill="accent3" w:themeFillTint="33"/>
          </w:tcPr>
          <w:p w14:paraId="57C94249"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xx                     </w:t>
            </w:r>
          </w:p>
        </w:tc>
        <w:tc>
          <w:tcPr>
            <w:tcW w:w="992" w:type="dxa"/>
            <w:shd w:val="clear" w:color="auto" w:fill="E4F2D9" w:themeFill="accent3" w:themeFillTint="33"/>
          </w:tcPr>
          <w:p w14:paraId="5F00D2BE"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c>
          <w:tcPr>
            <w:tcW w:w="990" w:type="dxa"/>
            <w:shd w:val="clear" w:color="auto" w:fill="E4F2D9" w:themeFill="accent3" w:themeFillTint="33"/>
            <w:vAlign w:val="top"/>
          </w:tcPr>
          <w:p w14:paraId="3DA1B643" w14:textId="77777777" w:rsidR="00FF7898" w:rsidRPr="000E44FD" w:rsidRDefault="00FF7898" w:rsidP="00FF7898">
            <w:pPr>
              <w:pStyle w:val="Table-ExpText"/>
              <w:cnfStyle w:val="000000000000" w:firstRow="0" w:lastRow="0" w:firstColumn="0" w:lastColumn="0" w:oddVBand="0" w:evenVBand="0" w:oddHBand="0" w:evenHBand="0" w:firstRowFirstColumn="0" w:firstRowLastColumn="0" w:lastRowFirstColumn="0" w:lastRowLastColumn="0"/>
            </w:pPr>
            <w:r w:rsidRPr="000E44FD">
              <w:t xml:space="preserve"> $ xx </w:t>
            </w:r>
          </w:p>
        </w:tc>
      </w:tr>
    </w:tbl>
    <w:p w14:paraId="3D8993C9" w14:textId="7CC9A468" w:rsidR="00ED4000" w:rsidRDefault="00ED4000" w:rsidP="00834B3C">
      <w:pPr>
        <w:pStyle w:val="xAppendixLevel1"/>
        <w:rPr>
          <w:rStyle w:val="Heading1Char"/>
        </w:rPr>
      </w:pPr>
      <w:bookmarkStart w:id="156" w:name="_Ref477339390"/>
      <w:bookmarkStart w:id="157" w:name="_Toc480791444"/>
      <w:bookmarkStart w:id="158" w:name="_Toc475982718"/>
      <w:bookmarkStart w:id="159" w:name="_Toc475990805"/>
      <w:r>
        <w:rPr>
          <w:rStyle w:val="Heading1Char"/>
        </w:rPr>
        <w:lastRenderedPageBreak/>
        <w:t>Remoteness classifications</w:t>
      </w:r>
      <w:bookmarkEnd w:id="156"/>
      <w:bookmarkEnd w:id="157"/>
    </w:p>
    <w:bookmarkEnd w:id="155"/>
    <w:bookmarkEnd w:id="158"/>
    <w:bookmarkEnd w:id="159"/>
    <w:tbl>
      <w:tblPr>
        <w:tblStyle w:val="NousTable"/>
        <w:tblW w:w="0" w:type="auto"/>
        <w:tblLayout w:type="fixed"/>
        <w:tblLook w:val="04A0" w:firstRow="1" w:lastRow="0" w:firstColumn="1" w:lastColumn="0" w:noHBand="0" w:noVBand="1"/>
        <w:tblCaption w:val="Appendix B Remoteness classifications"/>
      </w:tblPr>
      <w:tblGrid>
        <w:gridCol w:w="766"/>
        <w:gridCol w:w="1276"/>
        <w:gridCol w:w="1346"/>
        <w:gridCol w:w="1347"/>
        <w:gridCol w:w="4336"/>
      </w:tblGrid>
      <w:tr w:rsidR="00907E68" w14:paraId="047AD3C3" w14:textId="77777777" w:rsidTr="00832596">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66" w:type="dxa"/>
          </w:tcPr>
          <w:p w14:paraId="1CF8F990" w14:textId="77777777" w:rsidR="00907E68" w:rsidRDefault="00907E68" w:rsidP="00ED4000">
            <w:pPr>
              <w:pStyle w:val="Table-ExpText"/>
            </w:pPr>
          </w:p>
        </w:tc>
        <w:tc>
          <w:tcPr>
            <w:tcW w:w="1276" w:type="dxa"/>
          </w:tcPr>
          <w:p w14:paraId="168ADD4F" w14:textId="77777777" w:rsidR="00907E68" w:rsidRDefault="00907E68" w:rsidP="00ED4000">
            <w:pPr>
              <w:pStyle w:val="Table-Expheader"/>
              <w:cnfStyle w:val="100000000000" w:firstRow="1" w:lastRow="0" w:firstColumn="0" w:lastColumn="0" w:oddVBand="0" w:evenVBand="0" w:oddHBand="0" w:evenHBand="0" w:firstRowFirstColumn="0" w:firstRowLastColumn="0" w:lastRowFirstColumn="0" w:lastRowLastColumn="0"/>
            </w:pPr>
            <w:r>
              <w:t>Remoteness</w:t>
            </w:r>
          </w:p>
        </w:tc>
        <w:tc>
          <w:tcPr>
            <w:tcW w:w="1346" w:type="dxa"/>
          </w:tcPr>
          <w:p w14:paraId="6858EAED" w14:textId="77777777" w:rsidR="00907E68" w:rsidRPr="00ED4000" w:rsidRDefault="00907E68" w:rsidP="00ED4000">
            <w:pPr>
              <w:pStyle w:val="Table-Expheader"/>
              <w:cnfStyle w:val="100000000000" w:firstRow="1" w:lastRow="0" w:firstColumn="0" w:lastColumn="0" w:oddVBand="0" w:evenVBand="0" w:oddHBand="0" w:evenHBand="0" w:firstRowFirstColumn="0" w:firstRowLastColumn="0" w:lastRowFirstColumn="0" w:lastRowLastColumn="0"/>
            </w:pPr>
            <w:r w:rsidRPr="00ED4000">
              <w:t>Guidelines</w:t>
            </w:r>
          </w:p>
        </w:tc>
        <w:tc>
          <w:tcPr>
            <w:tcW w:w="1347" w:type="dxa"/>
          </w:tcPr>
          <w:p w14:paraId="36396E06" w14:textId="77777777" w:rsidR="00907E68" w:rsidRDefault="00907E68" w:rsidP="00ED4000">
            <w:pPr>
              <w:pStyle w:val="Table-Expheader"/>
              <w:cnfStyle w:val="100000000000" w:firstRow="1" w:lastRow="0" w:firstColumn="0" w:lastColumn="0" w:oddVBand="0" w:evenVBand="0" w:oddHBand="0" w:evenHBand="0" w:firstRowFirstColumn="0" w:firstRowLastColumn="0" w:lastRowFirstColumn="0" w:lastRowLastColumn="0"/>
            </w:pPr>
            <w:r>
              <w:t>Jurisdiction</w:t>
            </w:r>
          </w:p>
        </w:tc>
        <w:tc>
          <w:tcPr>
            <w:tcW w:w="4336" w:type="dxa"/>
          </w:tcPr>
          <w:p w14:paraId="543EB38C" w14:textId="77777777" w:rsidR="00907E68" w:rsidRDefault="00907E68" w:rsidP="00ED4000">
            <w:pPr>
              <w:pStyle w:val="Table-Expheader"/>
              <w:cnfStyle w:val="100000000000" w:firstRow="1" w:lastRow="0" w:firstColumn="0" w:lastColumn="0" w:oddVBand="0" w:evenVBand="0" w:oddHBand="0" w:evenHBand="0" w:firstRowFirstColumn="0" w:firstRowLastColumn="0" w:lastRowFirstColumn="0" w:lastRowLastColumn="0"/>
            </w:pPr>
            <w:r>
              <w:t>Communities</w:t>
            </w:r>
          </w:p>
        </w:tc>
      </w:tr>
      <w:tr w:rsidR="00C72C3B" w14:paraId="675B90FA"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val="restart"/>
          </w:tcPr>
          <w:p w14:paraId="771A8168" w14:textId="77777777" w:rsidR="00C72C3B" w:rsidRDefault="00C72C3B" w:rsidP="00ED4000">
            <w:pPr>
              <w:pStyle w:val="Table-ExpText"/>
            </w:pPr>
            <w:r>
              <w:t>NPARIH</w:t>
            </w:r>
          </w:p>
        </w:tc>
        <w:tc>
          <w:tcPr>
            <w:tcW w:w="1276" w:type="dxa"/>
            <w:vMerge w:val="restart"/>
          </w:tcPr>
          <w:p w14:paraId="12787F54" w14:textId="77777777" w:rsidR="00C72C3B" w:rsidRPr="001E7006" w:rsidRDefault="00C72C3B" w:rsidP="001E7006">
            <w:pPr>
              <w:pStyle w:val="Table-ExpText"/>
              <w:cnfStyle w:val="000000000000" w:firstRow="0" w:lastRow="0" w:firstColumn="0" w:lastColumn="0" w:oddVBand="0" w:evenVBand="0" w:oddHBand="0" w:evenHBand="0" w:firstRowFirstColumn="0" w:firstRowLastColumn="0" w:lastRowFirstColumn="0" w:lastRowLastColumn="0"/>
            </w:pPr>
            <w:r w:rsidRPr="001E7006">
              <w:t>Remote</w:t>
            </w:r>
          </w:p>
          <w:p w14:paraId="4EE35B02" w14:textId="37FD7C6B" w:rsidR="00C72C3B" w:rsidRPr="001E7006" w:rsidRDefault="00C72C3B" w:rsidP="00B8783A">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val="restart"/>
            <w:vAlign w:val="top"/>
          </w:tcPr>
          <w:p w14:paraId="586883BA" w14:textId="77777777" w:rsidR="00C72C3B" w:rsidRPr="00ED4000" w:rsidRDefault="00C72C3B" w:rsidP="00ED4000">
            <w:pPr>
              <w:pStyle w:val="Table-ExpText"/>
              <w:cnfStyle w:val="000000000000" w:firstRow="0" w:lastRow="0" w:firstColumn="0" w:lastColumn="0" w:oddVBand="0" w:evenVBand="0" w:oddHBand="0" w:evenHBand="0" w:firstRowFirstColumn="0" w:firstRowLastColumn="0" w:lastRowFirstColumn="0" w:lastRowLastColumn="0"/>
            </w:pPr>
            <w:r w:rsidRPr="00ED4000">
              <w:t>&gt; 2 hours travel from regional town.</w:t>
            </w:r>
          </w:p>
          <w:p w14:paraId="032728AF" w14:textId="082AA99E" w:rsidR="00C72C3B" w:rsidRPr="00ED4000" w:rsidRDefault="00C72C3B"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10506398" w14:textId="77777777" w:rsidR="00C72C3B" w:rsidRPr="001E7006" w:rsidRDefault="00C72C3B" w:rsidP="001E7006">
            <w:pPr>
              <w:pStyle w:val="Table-ExpText"/>
              <w:cnfStyle w:val="000000000000" w:firstRow="0" w:lastRow="0" w:firstColumn="0" w:lastColumn="0" w:oddVBand="0" w:evenVBand="0" w:oddHBand="0" w:evenHBand="0" w:firstRowFirstColumn="0" w:firstRowLastColumn="0" w:lastRowFirstColumn="0" w:lastRowLastColumn="0"/>
            </w:pPr>
            <w:r w:rsidRPr="001E7006">
              <w:t>SA</w:t>
            </w:r>
          </w:p>
        </w:tc>
        <w:tc>
          <w:tcPr>
            <w:tcW w:w="4336" w:type="dxa"/>
          </w:tcPr>
          <w:p w14:paraId="77098387" w14:textId="77777777" w:rsidR="00C72C3B" w:rsidRPr="00B8783A"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rsidRPr="00B8783A">
              <w:t>Dunjiba</w:t>
            </w:r>
          </w:p>
          <w:p w14:paraId="4307C38F" w14:textId="77777777" w:rsidR="00C72C3B" w:rsidRPr="00B8783A"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rsidRPr="00B8783A">
              <w:t>Yalata</w:t>
            </w:r>
          </w:p>
          <w:p w14:paraId="1BE625FC" w14:textId="77777777" w:rsidR="00C72C3B" w:rsidRPr="00B8783A"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rsidRPr="00B8783A">
              <w:t>Koonibba</w:t>
            </w:r>
          </w:p>
          <w:p w14:paraId="674BF0A3" w14:textId="77777777" w:rsidR="00C72C3B" w:rsidRPr="00B8783A"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rsidRPr="00B8783A">
              <w:t>Umoona</w:t>
            </w:r>
          </w:p>
        </w:tc>
      </w:tr>
      <w:tr w:rsidR="00C72C3B" w14:paraId="6D8AC6CF"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3ED5B903" w14:textId="77777777" w:rsidR="00C72C3B" w:rsidRDefault="00C72C3B" w:rsidP="00ED4000">
            <w:pPr>
              <w:pStyle w:val="Table-ExpText"/>
            </w:pPr>
          </w:p>
        </w:tc>
        <w:tc>
          <w:tcPr>
            <w:tcW w:w="1276" w:type="dxa"/>
            <w:vMerge/>
          </w:tcPr>
          <w:p w14:paraId="28277B0A" w14:textId="46C8AE6A" w:rsidR="00C72C3B" w:rsidRPr="001E7006" w:rsidRDefault="00C72C3B" w:rsidP="00B8783A">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vAlign w:val="top"/>
          </w:tcPr>
          <w:p w14:paraId="0DA7E509" w14:textId="4138AC8B" w:rsidR="00C72C3B" w:rsidRPr="00ED4000" w:rsidRDefault="00C72C3B"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7D0A38CC" w14:textId="77777777" w:rsidR="00C72C3B" w:rsidRPr="001E7006" w:rsidRDefault="00C72C3B" w:rsidP="001E7006">
            <w:pPr>
              <w:pStyle w:val="Table-ExpText"/>
              <w:cnfStyle w:val="000000000000" w:firstRow="0" w:lastRow="0" w:firstColumn="0" w:lastColumn="0" w:oddVBand="0" w:evenVBand="0" w:oddHBand="0" w:evenHBand="0" w:firstRowFirstColumn="0" w:firstRowLastColumn="0" w:lastRowFirstColumn="0" w:lastRowLastColumn="0"/>
            </w:pPr>
            <w:r w:rsidRPr="001E7006">
              <w:t>WA</w:t>
            </w:r>
          </w:p>
        </w:tc>
        <w:tc>
          <w:tcPr>
            <w:tcW w:w="4336" w:type="dxa"/>
          </w:tcPr>
          <w:p w14:paraId="0C31E299"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Burawa (260km from Derby)</w:t>
            </w:r>
          </w:p>
          <w:p w14:paraId="70CEBE0D"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Bungardi (264km from Derby)</w:t>
            </w:r>
          </w:p>
          <w:p w14:paraId="465DFAF3"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Bayulu (271km from Derby)</w:t>
            </w:r>
          </w:p>
          <w:p w14:paraId="1E710A48"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Gilaroong (271km from Derby)</w:t>
            </w:r>
          </w:p>
          <w:p w14:paraId="71A42300"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Lamboo Gunian (378km from Kununurra)</w:t>
            </w:r>
          </w:p>
          <w:p w14:paraId="40DFB5B4"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Joy Springs (279km from Derby)</w:t>
            </w:r>
          </w:p>
          <w:p w14:paraId="614A9A39"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Moongardie (390km from Derby)</w:t>
            </w:r>
          </w:p>
          <w:p w14:paraId="060B62C3"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Lundja (358km from Kununurra)</w:t>
            </w:r>
          </w:p>
          <w:p w14:paraId="7DD89573"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Mardiwah Loop (358km from Kununurra)</w:t>
            </w:r>
          </w:p>
          <w:p w14:paraId="78EA48F8"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Nicholson Block (358km from Kununurra)</w:t>
            </w:r>
          </w:p>
          <w:p w14:paraId="4EFE5D63"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Kurnangki (256km from Derby)</w:t>
            </w:r>
          </w:p>
          <w:p w14:paraId="0F516C38"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Mindi Rardi (256km from Derby)</w:t>
            </w:r>
          </w:p>
          <w:p w14:paraId="41B15E3C"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Junjuwa (256km from Derby)</w:t>
            </w:r>
          </w:p>
          <w:p w14:paraId="4C78FEFC"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Parukupan (256km from Derby)</w:t>
            </w:r>
          </w:p>
          <w:p w14:paraId="58DAE58F"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Darlngunaya (256km from Derby)</w:t>
            </w:r>
          </w:p>
          <w:p w14:paraId="60A57AE2"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Ngurtuwarta (266km from Derby)</w:t>
            </w:r>
          </w:p>
          <w:p w14:paraId="47682B6F"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Muludja (288km from Derby)</w:t>
            </w:r>
          </w:p>
          <w:p w14:paraId="02571A6B"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Yakanarra (384km from Derby)</w:t>
            </w:r>
          </w:p>
          <w:p w14:paraId="629D2D39"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Beagle Bay (100km from Broome)</w:t>
            </w:r>
          </w:p>
          <w:p w14:paraId="42DCBFF2"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Bobieding (100km from Broome)</w:t>
            </w:r>
          </w:p>
          <w:p w14:paraId="29BC8866"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Yungngora (237km from Derby)</w:t>
            </w:r>
          </w:p>
          <w:p w14:paraId="40C97098"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Koorabye (247km from Derby)</w:t>
            </w:r>
          </w:p>
          <w:p w14:paraId="0AF15243"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Yulga Jinna (397km from Newman)</w:t>
            </w:r>
          </w:p>
          <w:p w14:paraId="66ED7C0D"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Djugerari (368km from Derby)</w:t>
            </w:r>
          </w:p>
          <w:p w14:paraId="3FBCE2E7"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Yandeyarra (130km from Port Hedland)</w:t>
            </w:r>
          </w:p>
          <w:p w14:paraId="4C598C23"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Warralong (182km from Port Hedland)</w:t>
            </w:r>
          </w:p>
          <w:p w14:paraId="2261FADA"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Jigalong (165km from Newman)</w:t>
            </w:r>
          </w:p>
          <w:p w14:paraId="23E13265"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Djarindjin (200km from Broome)</w:t>
            </w:r>
          </w:p>
          <w:p w14:paraId="1157252F"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Lombadina (200km from Broome)</w:t>
            </w:r>
          </w:p>
          <w:p w14:paraId="573A4368"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Ardyaloon (220km from Broome)</w:t>
            </w:r>
          </w:p>
          <w:p w14:paraId="7138C39F"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Cosmo Newberry (439km from Kalgoorlie)</w:t>
            </w:r>
          </w:p>
          <w:p w14:paraId="29B5989C"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Wongatha Wonganarra (359km from Kalgoorlie)</w:t>
            </w:r>
          </w:p>
          <w:p w14:paraId="36AC5717"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Bondini (538km from Kalgoorlie)</w:t>
            </w:r>
          </w:p>
          <w:p w14:paraId="0C95CC99"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Mount Margaret (340km from Kalgoorlie)</w:t>
            </w:r>
          </w:p>
          <w:p w14:paraId="69D6C8BF"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Ngalingkadji (324km from Derby)</w:t>
            </w:r>
          </w:p>
          <w:p w14:paraId="6FE025F2"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lastRenderedPageBreak/>
              <w:t>Ngumpan (347km from Derby)</w:t>
            </w:r>
          </w:p>
          <w:p w14:paraId="051C9799"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Pullout Springs (430km from Derby)</w:t>
            </w:r>
          </w:p>
          <w:p w14:paraId="34F0849A"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Yiyili (430km from Derby)</w:t>
            </w:r>
          </w:p>
          <w:p w14:paraId="0A1BCE62"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Ganinyi (434km from Derby)</w:t>
            </w:r>
          </w:p>
          <w:p w14:paraId="67C92F2F"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Wangkatjungka (363km from Derby)</w:t>
            </w:r>
          </w:p>
          <w:p w14:paraId="2C241703"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Mandangala (130km from Kununurra)</w:t>
            </w:r>
          </w:p>
          <w:p w14:paraId="7F938802"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Kupartiya (382km from Derby)</w:t>
            </w:r>
          </w:p>
          <w:p w14:paraId="59D59E39"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Warmun (198km from Kununurra)</w:t>
            </w:r>
          </w:p>
          <w:p w14:paraId="7323E751"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Bidyadanga (190km from Broome)</w:t>
            </w:r>
          </w:p>
          <w:p w14:paraId="436DFCDF"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Bindi Bindi (306km from Karratha)</w:t>
            </w:r>
          </w:p>
        </w:tc>
      </w:tr>
      <w:tr w:rsidR="00C72C3B" w14:paraId="7C200798"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7FF9DE31" w14:textId="77777777" w:rsidR="00C72C3B" w:rsidRDefault="00C72C3B" w:rsidP="00ED4000">
            <w:pPr>
              <w:pStyle w:val="Table-ExpText"/>
            </w:pPr>
          </w:p>
        </w:tc>
        <w:tc>
          <w:tcPr>
            <w:tcW w:w="1276" w:type="dxa"/>
            <w:vMerge/>
          </w:tcPr>
          <w:p w14:paraId="2FCE0CB1" w14:textId="74E3EB51"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vAlign w:val="top"/>
          </w:tcPr>
          <w:p w14:paraId="0EC9A4C4" w14:textId="2468CC4F" w:rsidR="00C72C3B" w:rsidRPr="00ED4000" w:rsidRDefault="00C72C3B"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68C2AB19"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QLD</w:t>
            </w:r>
          </w:p>
        </w:tc>
        <w:tc>
          <w:tcPr>
            <w:tcW w:w="4336" w:type="dxa"/>
          </w:tcPr>
          <w:p w14:paraId="0F2ACB41"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Woorabinda (40 km to next town, 170km to Rockhampton - closest regional city)</w:t>
            </w:r>
          </w:p>
          <w:p w14:paraId="77C44909"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Wujal Wujal (70 km to next town, 340km to Cairns - closest regional city)</w:t>
            </w:r>
          </w:p>
          <w:p w14:paraId="4032E8F6" w14:textId="77777777"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Hope Vale (72 km to next town, 392km to Cairns - closest regional city)</w:t>
            </w:r>
          </w:p>
        </w:tc>
      </w:tr>
      <w:tr w:rsidR="00C72C3B" w14:paraId="1EE46DFB"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3C8D73FE" w14:textId="77777777" w:rsidR="00C72C3B" w:rsidRDefault="00C72C3B" w:rsidP="00ED4000">
            <w:pPr>
              <w:pStyle w:val="Table-ExpText"/>
            </w:pPr>
          </w:p>
        </w:tc>
        <w:tc>
          <w:tcPr>
            <w:tcW w:w="1276" w:type="dxa"/>
            <w:vMerge/>
          </w:tcPr>
          <w:p w14:paraId="19A7B47D" w14:textId="25558408"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vAlign w:val="top"/>
          </w:tcPr>
          <w:p w14:paraId="51C3D163" w14:textId="29E37BF0" w:rsidR="00C72C3B" w:rsidRPr="00ED4000" w:rsidRDefault="00C72C3B"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6044A2B9" w14:textId="199B0D54"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NT</w:t>
            </w:r>
          </w:p>
        </w:tc>
        <w:tc>
          <w:tcPr>
            <w:tcW w:w="4336" w:type="dxa"/>
          </w:tcPr>
          <w:p w14:paraId="4423724B" w14:textId="02314D31" w:rsidR="00C72C3B" w:rsidRDefault="00C72C3B" w:rsidP="00B8783A">
            <w:pPr>
              <w:pStyle w:val="Table-ExpText"/>
              <w:cnfStyle w:val="000000000000" w:firstRow="0" w:lastRow="0" w:firstColumn="0" w:lastColumn="0" w:oddVBand="0" w:evenVBand="0" w:oddHBand="0" w:evenHBand="0" w:firstRowFirstColumn="0" w:firstRowLastColumn="0" w:lastRowFirstColumn="0" w:lastRowLastColumn="0"/>
            </w:pPr>
            <w:r>
              <w:t>Acacia Larrakia</w:t>
            </w:r>
            <w:r>
              <w:br/>
              <w:t>Belyuen</w:t>
            </w:r>
          </w:p>
        </w:tc>
      </w:tr>
      <w:tr w:rsidR="00907E68" w14:paraId="5D4DF682"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73D05770" w14:textId="77777777" w:rsidR="00907E68" w:rsidRDefault="00907E68" w:rsidP="00ED4000">
            <w:pPr>
              <w:pStyle w:val="Table-ExpText"/>
            </w:pPr>
          </w:p>
        </w:tc>
        <w:tc>
          <w:tcPr>
            <w:tcW w:w="1276" w:type="dxa"/>
            <w:vMerge w:val="restart"/>
          </w:tcPr>
          <w:p w14:paraId="1AB7623E" w14:textId="77777777" w:rsidR="00907E68" w:rsidRPr="001E7006" w:rsidRDefault="00907E68" w:rsidP="001E7006">
            <w:pPr>
              <w:pStyle w:val="Table-ExpText"/>
              <w:cnfStyle w:val="000000000000" w:firstRow="0" w:lastRow="0" w:firstColumn="0" w:lastColumn="0" w:oddVBand="0" w:evenVBand="0" w:oddHBand="0" w:evenHBand="0" w:firstRowFirstColumn="0" w:firstRowLastColumn="0" w:lastRowFirstColumn="0" w:lastRowLastColumn="0"/>
            </w:pPr>
            <w:r w:rsidRPr="001E7006">
              <w:t>Very Remote</w:t>
            </w:r>
          </w:p>
        </w:tc>
        <w:tc>
          <w:tcPr>
            <w:tcW w:w="1346" w:type="dxa"/>
            <w:vMerge w:val="restart"/>
            <w:vAlign w:val="top"/>
          </w:tcPr>
          <w:p w14:paraId="0840B66C" w14:textId="77777777" w:rsidR="00907E68" w:rsidRPr="00ED4000" w:rsidRDefault="00907E68" w:rsidP="00ED4000">
            <w:pPr>
              <w:pStyle w:val="Table-ExpText"/>
              <w:cnfStyle w:val="000000000000" w:firstRow="0" w:lastRow="0" w:firstColumn="0" w:lastColumn="0" w:oddVBand="0" w:evenVBand="0" w:oddHBand="0" w:evenHBand="0" w:firstRowFirstColumn="0" w:firstRowLastColumn="0" w:lastRowFirstColumn="0" w:lastRowLastColumn="0"/>
            </w:pPr>
            <w:r w:rsidRPr="00ED4000">
              <w:t>&gt; 6 hours travel from regional town.</w:t>
            </w:r>
          </w:p>
          <w:p w14:paraId="35A3152B" w14:textId="77777777" w:rsidR="00907E68" w:rsidRPr="00ED4000" w:rsidRDefault="00907E68"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4C6FD47C" w14:textId="77777777" w:rsidR="00907E68" w:rsidRPr="001E7006" w:rsidRDefault="00907E68" w:rsidP="001E7006">
            <w:pPr>
              <w:pStyle w:val="Table-ExpText"/>
              <w:cnfStyle w:val="000000000000" w:firstRow="0" w:lastRow="0" w:firstColumn="0" w:lastColumn="0" w:oddVBand="0" w:evenVBand="0" w:oddHBand="0" w:evenHBand="0" w:firstRowFirstColumn="0" w:firstRowLastColumn="0" w:lastRowFirstColumn="0" w:lastRowLastColumn="0"/>
            </w:pPr>
            <w:r w:rsidRPr="001E7006">
              <w:t>SA</w:t>
            </w:r>
          </w:p>
        </w:tc>
        <w:tc>
          <w:tcPr>
            <w:tcW w:w="4336" w:type="dxa"/>
          </w:tcPr>
          <w:p w14:paraId="793765EC" w14:textId="77777777" w:rsidR="00907E68" w:rsidRPr="001E7006" w:rsidRDefault="00CC78FC" w:rsidP="001E7006">
            <w:pPr>
              <w:pStyle w:val="Table-ExpText"/>
              <w:cnfStyle w:val="000000000000" w:firstRow="0" w:lastRow="0" w:firstColumn="0" w:lastColumn="0" w:oddVBand="0" w:evenVBand="0" w:oddHBand="0" w:evenHBand="0" w:firstRowFirstColumn="0" w:firstRowLastColumn="0" w:lastRowFirstColumn="0" w:lastRowLastColumn="0"/>
            </w:pPr>
            <w:r w:rsidRPr="001E7006">
              <w:t xml:space="preserve">APY Lands </w:t>
            </w:r>
          </w:p>
        </w:tc>
      </w:tr>
      <w:tr w:rsidR="00907E68" w14:paraId="20F812BA"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12F6C919" w14:textId="77777777" w:rsidR="00907E68" w:rsidRDefault="00907E68" w:rsidP="00ED4000">
            <w:pPr>
              <w:pStyle w:val="Table-ExpText"/>
            </w:pPr>
          </w:p>
        </w:tc>
        <w:tc>
          <w:tcPr>
            <w:tcW w:w="1276" w:type="dxa"/>
            <w:vMerge/>
          </w:tcPr>
          <w:p w14:paraId="208D7ED4" w14:textId="77777777" w:rsidR="00907E68" w:rsidRPr="001E7006" w:rsidRDefault="00907E68" w:rsidP="001E7006">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tcPr>
          <w:p w14:paraId="6F474E13" w14:textId="77777777" w:rsidR="00907E68" w:rsidRPr="00ED4000" w:rsidRDefault="00907E68"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1D8B1E8C" w14:textId="77777777" w:rsidR="00907E68" w:rsidRPr="001E7006" w:rsidRDefault="00907E68" w:rsidP="001E7006">
            <w:pPr>
              <w:pStyle w:val="Table-ExpText"/>
              <w:cnfStyle w:val="000000000000" w:firstRow="0" w:lastRow="0" w:firstColumn="0" w:lastColumn="0" w:oddVBand="0" w:evenVBand="0" w:oddHBand="0" w:evenHBand="0" w:firstRowFirstColumn="0" w:firstRowLastColumn="0" w:lastRowFirstColumn="0" w:lastRowLastColumn="0"/>
            </w:pPr>
            <w:r w:rsidRPr="001E7006">
              <w:t>WA</w:t>
            </w:r>
          </w:p>
        </w:tc>
        <w:tc>
          <w:tcPr>
            <w:tcW w:w="4336" w:type="dxa"/>
          </w:tcPr>
          <w:p w14:paraId="7D1FAD0F"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Kadjina (285km from Derby)</w:t>
            </w:r>
          </w:p>
          <w:p w14:paraId="433F0E3D"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Mindibungu (531km from Kununurra)</w:t>
            </w:r>
          </w:p>
          <w:p w14:paraId="65120250"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Ringer Soak (524km from Kununurra)</w:t>
            </w:r>
          </w:p>
          <w:p w14:paraId="7EEFB430"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Mulan (608km from Kununurra)</w:t>
            </w:r>
          </w:p>
          <w:p w14:paraId="4CE0A2AD"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Wirrimanu (637km from Kununurra)</w:t>
            </w:r>
          </w:p>
          <w:p w14:paraId="60CDAFD2"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Imintji (220km from Derby)</w:t>
            </w:r>
          </w:p>
          <w:p w14:paraId="4DDEF77C"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Burringurrah (393km from Tom Price)</w:t>
            </w:r>
          </w:p>
          <w:p w14:paraId="7DC934F9"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Kupungarri (300km from Derby)</w:t>
            </w:r>
          </w:p>
          <w:p w14:paraId="2B022800"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Pia Wadjari (324km from Geraldton)</w:t>
            </w:r>
          </w:p>
          <w:p w14:paraId="0CC53EED"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Ngallagunda (307km from Kununurra)</w:t>
            </w:r>
          </w:p>
          <w:p w14:paraId="060BC30C"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Warburton (904km from Kalgoorlie)</w:t>
            </w:r>
          </w:p>
          <w:p w14:paraId="0C4658A3"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Jameson (1029km from Kalgoorlie)</w:t>
            </w:r>
          </w:p>
          <w:p w14:paraId="01C31E50"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Tjirrkarli (906km from Kalgoorlie)</w:t>
            </w:r>
          </w:p>
          <w:p w14:paraId="356EA646"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Wanarn (1066km from Kalgoorlie)</w:t>
            </w:r>
          </w:p>
          <w:p w14:paraId="70EDA2A5"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Blackstone (1101km from Kalgoorlie)</w:t>
            </w:r>
          </w:p>
          <w:p w14:paraId="67859544"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Warakurna (1135km from Kalgoorlie)</w:t>
            </w:r>
          </w:p>
          <w:p w14:paraId="0ABC3F2D"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Patjarr (1128km from Kalgoorlie)</w:t>
            </w:r>
          </w:p>
          <w:p w14:paraId="72D06348"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Wingellina (1174km from Kalgoorlie)</w:t>
            </w:r>
          </w:p>
          <w:p w14:paraId="3F7DBB5D" w14:textId="77777777" w:rsidR="0099056E"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Tjukurla (1297km from Kalgoorlie)</w:t>
            </w:r>
          </w:p>
          <w:p w14:paraId="5589C284" w14:textId="77777777" w:rsidR="00907E68" w:rsidRPr="001E7006" w:rsidRDefault="0099056E" w:rsidP="001E7006">
            <w:pPr>
              <w:pStyle w:val="Table-ExpText"/>
              <w:cnfStyle w:val="000000000000" w:firstRow="0" w:lastRow="0" w:firstColumn="0" w:lastColumn="0" w:oddVBand="0" w:evenVBand="0" w:oddHBand="0" w:evenHBand="0" w:firstRowFirstColumn="0" w:firstRowLastColumn="0" w:lastRowFirstColumn="0" w:lastRowLastColumn="0"/>
            </w:pPr>
            <w:r w:rsidRPr="001E7006">
              <w:t>Mulga Queen (487km from Kalgoorlie)</w:t>
            </w:r>
          </w:p>
        </w:tc>
      </w:tr>
      <w:tr w:rsidR="00907E68" w14:paraId="7255C42A"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67F33C10" w14:textId="77777777" w:rsidR="00907E68" w:rsidRDefault="00907E68" w:rsidP="00ED4000">
            <w:pPr>
              <w:pStyle w:val="Table-ExpText"/>
            </w:pPr>
          </w:p>
        </w:tc>
        <w:tc>
          <w:tcPr>
            <w:tcW w:w="1276" w:type="dxa"/>
            <w:vMerge/>
          </w:tcPr>
          <w:p w14:paraId="7954317D" w14:textId="77777777" w:rsidR="00907E68" w:rsidRPr="001E7006" w:rsidRDefault="00907E68" w:rsidP="001E7006">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tcPr>
          <w:p w14:paraId="2DFB7608" w14:textId="77777777" w:rsidR="00907E68" w:rsidRPr="00ED4000" w:rsidRDefault="00907E68"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22EBE0DB" w14:textId="77777777" w:rsidR="00907E68" w:rsidRPr="001E7006" w:rsidRDefault="00907E68" w:rsidP="001E7006">
            <w:pPr>
              <w:pStyle w:val="Table-ExpText"/>
              <w:cnfStyle w:val="000000000000" w:firstRow="0" w:lastRow="0" w:firstColumn="0" w:lastColumn="0" w:oddVBand="0" w:evenVBand="0" w:oddHBand="0" w:evenHBand="0" w:firstRowFirstColumn="0" w:firstRowLastColumn="0" w:lastRowFirstColumn="0" w:lastRowLastColumn="0"/>
            </w:pPr>
            <w:r w:rsidRPr="001E7006">
              <w:t>QLD</w:t>
            </w:r>
          </w:p>
        </w:tc>
        <w:tc>
          <w:tcPr>
            <w:tcW w:w="4336" w:type="dxa"/>
          </w:tcPr>
          <w:p w14:paraId="4E1E0421"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Aurukun (206 km to next town, 817km to Cairns - closest regional city)</w:t>
            </w:r>
          </w:p>
          <w:p w14:paraId="70914645"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 xml:space="preserve">Doomadgee (98 km to next town, 614km to Mt Isa - </w:t>
            </w:r>
            <w:r w:rsidRPr="001E7006">
              <w:lastRenderedPageBreak/>
              <w:t>closest regional city)</w:t>
            </w:r>
          </w:p>
          <w:p w14:paraId="1041AE92"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Napranum (12 km to next town, 801km to Cairns - closest regional city)</w:t>
            </w:r>
          </w:p>
          <w:p w14:paraId="42D2C0ED"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Mapoon (78 km to next town, 887km to Cairns - closest regional city)</w:t>
            </w:r>
          </w:p>
          <w:p w14:paraId="2A400C2E"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Coen (53km to next town, 551km to Cairns - closest regional city)</w:t>
            </w:r>
          </w:p>
          <w:p w14:paraId="76201082"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Kowanyama (360 km to next town, 607km to Cairns - closest regional city)</w:t>
            </w:r>
          </w:p>
          <w:p w14:paraId="47263639"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Lockhart River (72 km to next town, 778km to Cairns - closest regional city)</w:t>
            </w:r>
          </w:p>
          <w:p w14:paraId="1FFB113C"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Pormpuraaw (503 km to next town, 750km to Cairns - closest regional city)</w:t>
            </w:r>
          </w:p>
          <w:p w14:paraId="7DD0ED2E"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Bamaga (394 km to next town, 998km to Cairns - closest regional city)</w:t>
            </w:r>
          </w:p>
          <w:p w14:paraId="5327FB5D"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New Mapoon (398 km to next town, 1002km to Cairns - closest regional city)</w:t>
            </w:r>
          </w:p>
          <w:p w14:paraId="3FE31027" w14:textId="77777777" w:rsidR="00BA1BE6"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Umagico (390 km to next town, 995km to Cairns - closest regional city)</w:t>
            </w:r>
          </w:p>
          <w:p w14:paraId="04EF7B31" w14:textId="77777777" w:rsidR="00907E68" w:rsidRPr="001E7006" w:rsidRDefault="00BA1BE6" w:rsidP="001E7006">
            <w:pPr>
              <w:pStyle w:val="Table-ExpText"/>
              <w:cnfStyle w:val="000000000000" w:firstRow="0" w:lastRow="0" w:firstColumn="0" w:lastColumn="0" w:oddVBand="0" w:evenVBand="0" w:oddHBand="0" w:evenHBand="0" w:firstRowFirstColumn="0" w:firstRowLastColumn="0" w:lastRowFirstColumn="0" w:lastRowLastColumn="0"/>
            </w:pPr>
            <w:r w:rsidRPr="001E7006">
              <w:t>Injinoo (380 km to next town, 984km to Cairns - closest regional city)</w:t>
            </w:r>
          </w:p>
        </w:tc>
      </w:tr>
      <w:tr w:rsidR="00C72C3B" w14:paraId="0FE7B97C"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1EA9D4D2" w14:textId="77777777" w:rsidR="00C72C3B" w:rsidRDefault="00C72C3B" w:rsidP="00ED4000">
            <w:pPr>
              <w:pStyle w:val="Table-ExpText"/>
            </w:pPr>
          </w:p>
        </w:tc>
        <w:tc>
          <w:tcPr>
            <w:tcW w:w="1276" w:type="dxa"/>
            <w:vMerge/>
          </w:tcPr>
          <w:p w14:paraId="745648B7" w14:textId="77777777" w:rsidR="00C72C3B" w:rsidRPr="001E7006" w:rsidRDefault="00C72C3B" w:rsidP="001E7006">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tcPr>
          <w:p w14:paraId="2D3078D0" w14:textId="77777777" w:rsidR="00C72C3B" w:rsidRPr="00ED4000" w:rsidRDefault="00C72C3B"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37977F6E" w14:textId="10D8D9CF" w:rsidR="00C72C3B" w:rsidRPr="001E7006" w:rsidRDefault="00C72C3B" w:rsidP="001E7006">
            <w:pPr>
              <w:pStyle w:val="Table-ExpText"/>
              <w:cnfStyle w:val="000000000000" w:firstRow="0" w:lastRow="0" w:firstColumn="0" w:lastColumn="0" w:oddVBand="0" w:evenVBand="0" w:oddHBand="0" w:evenHBand="0" w:firstRowFirstColumn="0" w:firstRowLastColumn="0" w:lastRowFirstColumn="0" w:lastRowLastColumn="0"/>
            </w:pPr>
            <w:r>
              <w:t>NT</w:t>
            </w:r>
          </w:p>
        </w:tc>
        <w:tc>
          <w:tcPr>
            <w:tcW w:w="4336" w:type="dxa"/>
          </w:tcPr>
          <w:p w14:paraId="42E8307C"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"Gunbalanya</w:t>
            </w:r>
          </w:p>
          <w:p w14:paraId="6098EE9F"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 xml:space="preserve">Maningrida </w:t>
            </w:r>
          </w:p>
          <w:p w14:paraId="660720FA"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Ali Curung</w:t>
            </w:r>
          </w:p>
          <w:p w14:paraId="3A890125"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Alpurrurulam</w:t>
            </w:r>
          </w:p>
          <w:p w14:paraId="34FDB89E"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Ampilatwatja</w:t>
            </w:r>
          </w:p>
          <w:p w14:paraId="04A04684"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Canteen Creek</w:t>
            </w:r>
          </w:p>
          <w:p w14:paraId="13BDE383"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Imangara</w:t>
            </w:r>
          </w:p>
          <w:p w14:paraId="76CDDCD9"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Tara</w:t>
            </w:r>
          </w:p>
          <w:p w14:paraId="529E5CE1"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Tennant Creek CLAs</w:t>
            </w:r>
          </w:p>
          <w:p w14:paraId="205DFABB"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Wutunugurra</w:t>
            </w:r>
          </w:p>
          <w:p w14:paraId="5068AD5A"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Amanbidji</w:t>
            </w:r>
          </w:p>
          <w:p w14:paraId="5ACF323B"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Barunga</w:t>
            </w:r>
          </w:p>
          <w:p w14:paraId="59C6E7C9"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Beswick</w:t>
            </w:r>
          </w:p>
          <w:p w14:paraId="3EB6E881"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Binjari</w:t>
            </w:r>
          </w:p>
          <w:p w14:paraId="0A027894"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Bulla</w:t>
            </w:r>
          </w:p>
          <w:p w14:paraId="1BD885D5"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Bulman</w:t>
            </w:r>
          </w:p>
          <w:p w14:paraId="5C92FB78"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Daguragu</w:t>
            </w:r>
          </w:p>
          <w:p w14:paraId="0DC60230"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Eva Valley (Manyallaluk)</w:t>
            </w:r>
          </w:p>
          <w:p w14:paraId="004EABE1"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Jilkminggan</w:t>
            </w:r>
          </w:p>
          <w:p w14:paraId="6524924E"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Kalkarindji</w:t>
            </w:r>
          </w:p>
          <w:p w14:paraId="470DA3B0"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Kybrook Farm</w:t>
            </w:r>
          </w:p>
          <w:p w14:paraId="714D67A2"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Minyerri</w:t>
            </w:r>
          </w:p>
          <w:p w14:paraId="418DA3BE"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Nauiyu</w:t>
            </w:r>
          </w:p>
          <w:p w14:paraId="71CF8D75"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Nganmarriyanga (Palumpa)</w:t>
            </w:r>
          </w:p>
          <w:p w14:paraId="4272AEC0"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lastRenderedPageBreak/>
              <w:t>Ngukurr</w:t>
            </w:r>
          </w:p>
          <w:p w14:paraId="44A6CF25"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Numbumar</w:t>
            </w:r>
          </w:p>
          <w:p w14:paraId="4E659EA6" w14:textId="7C61CE69"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Peppimenarti</w:t>
            </w:r>
          </w:p>
          <w:p w14:paraId="2B8428D6" w14:textId="4F387BCB"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Pigeon Hole</w:t>
            </w:r>
          </w:p>
          <w:p w14:paraId="081F6E1D"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Rittarangu</w:t>
            </w:r>
          </w:p>
          <w:p w14:paraId="38D0163E"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Robinson River</w:t>
            </w:r>
          </w:p>
          <w:p w14:paraId="21F21BD9"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Wadeye</w:t>
            </w:r>
          </w:p>
          <w:p w14:paraId="602306B5"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Weemol</w:t>
            </w:r>
          </w:p>
          <w:p w14:paraId="3AC53468"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Yarralin</w:t>
            </w:r>
          </w:p>
          <w:p w14:paraId="3A784DC7"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Alice Springs Town Camps</w:t>
            </w:r>
          </w:p>
          <w:p w14:paraId="344C9686"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Amoonguna</w:t>
            </w:r>
          </w:p>
          <w:p w14:paraId="7937543D"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Areyonga</w:t>
            </w:r>
          </w:p>
          <w:p w14:paraId="5AA7A5E3"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Atitjere</w:t>
            </w:r>
          </w:p>
          <w:p w14:paraId="6C93EDB9"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Engawala</w:t>
            </w:r>
          </w:p>
          <w:p w14:paraId="0213C081"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Finke</w:t>
            </w:r>
          </w:p>
          <w:p w14:paraId="4ACCD6BA"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Haasts Bluff</w:t>
            </w:r>
          </w:p>
          <w:p w14:paraId="2F566A73"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Imanpa</w:t>
            </w:r>
          </w:p>
          <w:p w14:paraId="213E9632"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Kaltukatjara</w:t>
            </w:r>
          </w:p>
          <w:p w14:paraId="7914BC86"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Kintore</w:t>
            </w:r>
          </w:p>
          <w:p w14:paraId="2B916202"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Lajamanu</w:t>
            </w:r>
          </w:p>
          <w:p w14:paraId="0369ADD6"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Mount Liebig</w:t>
            </w:r>
          </w:p>
          <w:p w14:paraId="083EACAF"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Mutitjulu</w:t>
            </w:r>
          </w:p>
          <w:p w14:paraId="6773630E"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Ntaria (Hermannsburg)</w:t>
            </w:r>
          </w:p>
          <w:p w14:paraId="50ABF3BD"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Nturiya</w:t>
            </w:r>
          </w:p>
          <w:p w14:paraId="6FB289D3"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Nyirripi</w:t>
            </w:r>
          </w:p>
          <w:p w14:paraId="2F5E60A2"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Papunya</w:t>
            </w:r>
          </w:p>
          <w:p w14:paraId="52ADFFCA"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Pmara Jutunta</w:t>
            </w:r>
          </w:p>
          <w:p w14:paraId="783AD985"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Santa Teresa</w:t>
            </w:r>
          </w:p>
          <w:p w14:paraId="04B7CE2A"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Titjikala</w:t>
            </w:r>
          </w:p>
          <w:p w14:paraId="1A6CC4B4" w14:textId="11E7A8AB"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Wallace Rockhole</w:t>
            </w:r>
          </w:p>
          <w:p w14:paraId="59C2DDA5" w14:textId="7F3E524D"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Willowra</w:t>
            </w:r>
          </w:p>
          <w:p w14:paraId="23BDDBE2"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Wilora</w:t>
            </w:r>
          </w:p>
          <w:p w14:paraId="45A937E1"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Yuelamu</w:t>
            </w:r>
          </w:p>
          <w:p w14:paraId="07D19739"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Yuendumu</w:t>
            </w:r>
          </w:p>
          <w:p w14:paraId="0EA30914"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Gapuwiyak</w:t>
            </w:r>
          </w:p>
          <w:p w14:paraId="1F9FED8E"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Gunyangara</w:t>
            </w:r>
          </w:p>
          <w:p w14:paraId="55691748"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Milingimbi</w:t>
            </w:r>
          </w:p>
          <w:p w14:paraId="3BAF15ED" w14:textId="77777777" w:rsidR="00C72C3B"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Ramingining</w:t>
            </w:r>
          </w:p>
          <w:p w14:paraId="4A007DD2" w14:textId="31762290" w:rsidR="00C72C3B" w:rsidRPr="001E7006" w:rsidRDefault="00C72C3B" w:rsidP="00C72C3B">
            <w:pPr>
              <w:pStyle w:val="Table-ExpText"/>
              <w:cnfStyle w:val="000000000000" w:firstRow="0" w:lastRow="0" w:firstColumn="0" w:lastColumn="0" w:oddVBand="0" w:evenVBand="0" w:oddHBand="0" w:evenHBand="0" w:firstRowFirstColumn="0" w:firstRowLastColumn="0" w:lastRowFirstColumn="0" w:lastRowLastColumn="0"/>
            </w:pPr>
            <w:r>
              <w:t>Yirrkala</w:t>
            </w:r>
          </w:p>
        </w:tc>
      </w:tr>
      <w:tr w:rsidR="00494E63" w14:paraId="6B080074"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val="restart"/>
          </w:tcPr>
          <w:p w14:paraId="7D1F09A5" w14:textId="5D757BA3" w:rsidR="00494E63" w:rsidRDefault="00494E63" w:rsidP="00ED4000">
            <w:pPr>
              <w:pStyle w:val="Table-ExpText"/>
            </w:pPr>
          </w:p>
        </w:tc>
        <w:tc>
          <w:tcPr>
            <w:tcW w:w="1276" w:type="dxa"/>
            <w:vMerge w:val="restart"/>
          </w:tcPr>
          <w:p w14:paraId="2AC20A62" w14:textId="3DD9FFDA" w:rsidR="00494E63" w:rsidRDefault="00494E63" w:rsidP="00A932E7">
            <w:pPr>
              <w:pStyle w:val="Table-ExpText"/>
              <w:cnfStyle w:val="000000000000" w:firstRow="0" w:lastRow="0" w:firstColumn="0" w:lastColumn="0" w:oddVBand="0" w:evenVBand="0" w:oddHBand="0" w:evenHBand="0" w:firstRowFirstColumn="0" w:firstRowLastColumn="0" w:lastRowFirstColumn="0" w:lastRowLastColumn="0"/>
            </w:pPr>
            <w:r>
              <w:t>Island</w:t>
            </w:r>
          </w:p>
        </w:tc>
        <w:tc>
          <w:tcPr>
            <w:tcW w:w="1346" w:type="dxa"/>
            <w:vMerge w:val="restart"/>
          </w:tcPr>
          <w:p w14:paraId="6D0661D2" w14:textId="77777777" w:rsidR="00A932E7" w:rsidRPr="00ED4000" w:rsidRDefault="00A932E7" w:rsidP="00ED4000">
            <w:pPr>
              <w:pStyle w:val="Table-ExpText"/>
              <w:cnfStyle w:val="000000000000" w:firstRow="0" w:lastRow="0" w:firstColumn="0" w:lastColumn="0" w:oddVBand="0" w:evenVBand="0" w:oddHBand="0" w:evenHBand="0" w:firstRowFirstColumn="0" w:firstRowLastColumn="0" w:lastRowFirstColumn="0" w:lastRowLastColumn="0"/>
            </w:pPr>
            <w:r w:rsidRPr="00ED4000">
              <w:t>Offshore communities. Travel requires barge/plane/helicopter.</w:t>
            </w:r>
          </w:p>
          <w:p w14:paraId="71152CC9" w14:textId="77777777" w:rsidR="00494E63" w:rsidRPr="00ED4000" w:rsidRDefault="00494E63"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54641D65" w14:textId="0D075F1D" w:rsidR="00494E63" w:rsidRDefault="00494E63" w:rsidP="00B8783A">
            <w:pPr>
              <w:pStyle w:val="Table-ExpText"/>
              <w:cnfStyle w:val="000000000000" w:firstRow="0" w:lastRow="0" w:firstColumn="0" w:lastColumn="0" w:oddVBand="0" w:evenVBand="0" w:oddHBand="0" w:evenHBand="0" w:firstRowFirstColumn="0" w:firstRowLastColumn="0" w:lastRowFirstColumn="0" w:lastRowLastColumn="0"/>
            </w:pPr>
            <w:r>
              <w:lastRenderedPageBreak/>
              <w:t>WA</w:t>
            </w:r>
          </w:p>
        </w:tc>
        <w:tc>
          <w:tcPr>
            <w:tcW w:w="4336" w:type="dxa"/>
          </w:tcPr>
          <w:p w14:paraId="0578E1C0"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Kalumburu (565km from Kununurra)</w:t>
            </w:r>
          </w:p>
          <w:p w14:paraId="0979491C"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Tjuntjuntjara (654km from Kalgoorlie)</w:t>
            </w:r>
          </w:p>
          <w:p w14:paraId="1FC887A1" w14:textId="786BD43A" w:rsidR="00494E63" w:rsidRPr="00494E63" w:rsidRDefault="00494E63" w:rsidP="00494E63">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t>Kiwirrkurra (1112km from Port Hedland)</w:t>
            </w:r>
          </w:p>
        </w:tc>
      </w:tr>
      <w:tr w:rsidR="00494E63" w14:paraId="65DC668E"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17F5DE31" w14:textId="55A55C03" w:rsidR="00494E63" w:rsidRDefault="00494E63" w:rsidP="00ED4000">
            <w:pPr>
              <w:pStyle w:val="Table-ExpText"/>
            </w:pPr>
          </w:p>
        </w:tc>
        <w:tc>
          <w:tcPr>
            <w:tcW w:w="1276" w:type="dxa"/>
            <w:vMerge/>
          </w:tcPr>
          <w:p w14:paraId="4E59BF10" w14:textId="77777777" w:rsidR="00494E63" w:rsidRDefault="00494E63" w:rsidP="00B8783A">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tcPr>
          <w:p w14:paraId="6403AAAB" w14:textId="77777777" w:rsidR="00494E63" w:rsidRPr="00ED4000" w:rsidRDefault="00494E63"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7BB74480" w14:textId="679F2EDC" w:rsidR="00494E63" w:rsidRDefault="00494E63" w:rsidP="00B8783A">
            <w:pPr>
              <w:pStyle w:val="Table-ExpText"/>
              <w:cnfStyle w:val="000000000000" w:firstRow="0" w:lastRow="0" w:firstColumn="0" w:lastColumn="0" w:oddVBand="0" w:evenVBand="0" w:oddHBand="0" w:evenHBand="0" w:firstRowFirstColumn="0" w:firstRowLastColumn="0" w:lastRowFirstColumn="0" w:lastRowLastColumn="0"/>
            </w:pPr>
            <w:r>
              <w:t>QLD</w:t>
            </w:r>
          </w:p>
        </w:tc>
        <w:tc>
          <w:tcPr>
            <w:tcW w:w="4336" w:type="dxa"/>
          </w:tcPr>
          <w:p w14:paraId="7BAEEB08"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Palm Island</w:t>
            </w:r>
          </w:p>
          <w:p w14:paraId="007B9D21"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lastRenderedPageBreak/>
              <w:t>Boigu</w:t>
            </w:r>
          </w:p>
          <w:p w14:paraId="21479AD6"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Duaun</w:t>
            </w:r>
          </w:p>
          <w:p w14:paraId="530BBEC9"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Erub</w:t>
            </w:r>
          </w:p>
          <w:p w14:paraId="04A30F76"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Hammond</w:t>
            </w:r>
          </w:p>
          <w:p w14:paraId="7E94C2FB"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 xml:space="preserve">Iama </w:t>
            </w:r>
          </w:p>
          <w:p w14:paraId="2C092254"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Kubin</w:t>
            </w:r>
          </w:p>
          <w:p w14:paraId="7576AFD4"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Mabuiag</w:t>
            </w:r>
          </w:p>
          <w:p w14:paraId="65444483"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Masig</w:t>
            </w:r>
          </w:p>
          <w:p w14:paraId="07053008"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Poruma</w:t>
            </w:r>
          </w:p>
          <w:p w14:paraId="6D105F99"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Saibai</w:t>
            </w:r>
          </w:p>
          <w:p w14:paraId="28304F5E"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St Pauls</w:t>
            </w:r>
          </w:p>
          <w:p w14:paraId="60619A72"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Ugar</w:t>
            </w:r>
          </w:p>
          <w:p w14:paraId="1B6EE454"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Warraber</w:t>
            </w:r>
          </w:p>
          <w:p w14:paraId="083A26FD"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Badu</w:t>
            </w:r>
          </w:p>
          <w:p w14:paraId="39F65B6D"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Mornington Island</w:t>
            </w:r>
          </w:p>
          <w:p w14:paraId="3B1E422F" w14:textId="77777777" w:rsidR="00494E63" w:rsidRDefault="00494E63" w:rsidP="006C71EC">
            <w:pPr>
              <w:pStyle w:val="Table-ExpText"/>
              <w:cnfStyle w:val="000000000000" w:firstRow="0" w:lastRow="0" w:firstColumn="0" w:lastColumn="0" w:oddVBand="0" w:evenVBand="0" w:oddHBand="0" w:evenHBand="0" w:firstRowFirstColumn="0" w:firstRowLastColumn="0" w:lastRowFirstColumn="0" w:lastRowLastColumn="0"/>
            </w:pPr>
            <w:r>
              <w:t>Mer</w:t>
            </w:r>
          </w:p>
          <w:p w14:paraId="40CBCF4C" w14:textId="0A6972B5" w:rsidR="00494E63" w:rsidRDefault="00494E63" w:rsidP="00494E63">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t>Seisa</w:t>
            </w:r>
          </w:p>
        </w:tc>
      </w:tr>
      <w:tr w:rsidR="00494E63" w14:paraId="1C5DAE6C"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74EF57A3" w14:textId="5A4FD2B9" w:rsidR="00494E63" w:rsidRDefault="00494E63" w:rsidP="00ED4000">
            <w:pPr>
              <w:pStyle w:val="Table-ExpText"/>
            </w:pPr>
          </w:p>
        </w:tc>
        <w:tc>
          <w:tcPr>
            <w:tcW w:w="1276" w:type="dxa"/>
            <w:vMerge/>
          </w:tcPr>
          <w:p w14:paraId="1D01ED72" w14:textId="77777777" w:rsidR="00494E63" w:rsidRDefault="00494E63" w:rsidP="00B8783A">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tcPr>
          <w:p w14:paraId="6DFEF12C" w14:textId="77777777" w:rsidR="00494E63" w:rsidRPr="00ED4000" w:rsidRDefault="00494E63"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68771F1E" w14:textId="63FCF158" w:rsidR="00494E63" w:rsidRDefault="00494E63" w:rsidP="00B8783A">
            <w:pPr>
              <w:pStyle w:val="Table-ExpText"/>
              <w:cnfStyle w:val="000000000000" w:firstRow="0" w:lastRow="0" w:firstColumn="0" w:lastColumn="0" w:oddVBand="0" w:evenVBand="0" w:oddHBand="0" w:evenHBand="0" w:firstRowFirstColumn="0" w:firstRowLastColumn="0" w:lastRowFirstColumn="0" w:lastRowLastColumn="0"/>
            </w:pPr>
            <w:r>
              <w:t>NT</w:t>
            </w:r>
          </w:p>
        </w:tc>
        <w:tc>
          <w:tcPr>
            <w:tcW w:w="4336" w:type="dxa"/>
          </w:tcPr>
          <w:p w14:paraId="3CF19E96" w14:textId="07E35D7C" w:rsidR="00494E63" w:rsidRDefault="00494E63" w:rsidP="002D46C1">
            <w:pPr>
              <w:pStyle w:val="Table-ExpTex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D46C1">
              <w:t>Milikapiti</w:t>
            </w:r>
            <w:r w:rsidRPr="002D46C1">
              <w:br/>
              <w:t>Minjilang</w:t>
            </w:r>
            <w:r w:rsidRPr="002D46C1">
              <w:br/>
              <w:t>Pirlangimpi</w:t>
            </w:r>
            <w:r w:rsidRPr="002D46C1">
              <w:br/>
              <w:t>Warruwi</w:t>
            </w:r>
            <w:r w:rsidRPr="002D46C1">
              <w:br/>
              <w:t>Wurrumiyanga (Nguiu)</w:t>
            </w:r>
            <w:r w:rsidRPr="002D46C1">
              <w:br/>
              <w:t>Angurugu</w:t>
            </w:r>
            <w:r w:rsidRPr="002D46C1">
              <w:br/>
              <w:t>Galiwin'ku</w:t>
            </w:r>
            <w:r w:rsidRPr="002D46C1">
              <w:br/>
              <w:t>Milyakburra</w:t>
            </w:r>
            <w:r w:rsidRPr="002D46C1">
              <w:br/>
              <w:t>Umbakumba</w:t>
            </w:r>
          </w:p>
        </w:tc>
      </w:tr>
      <w:tr w:rsidR="00494E63" w14:paraId="71A85362"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val="restart"/>
          </w:tcPr>
          <w:p w14:paraId="66DA133E" w14:textId="77777777" w:rsidR="00494E63" w:rsidRDefault="00494E63" w:rsidP="00ED4000">
            <w:pPr>
              <w:pStyle w:val="Table-ExpText"/>
            </w:pPr>
            <w:r>
              <w:t>Non-NPARIH</w:t>
            </w:r>
          </w:p>
        </w:tc>
        <w:tc>
          <w:tcPr>
            <w:tcW w:w="1276" w:type="dxa"/>
            <w:vMerge w:val="restart"/>
          </w:tcPr>
          <w:p w14:paraId="57211028"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Regional Indigenous</w:t>
            </w:r>
          </w:p>
        </w:tc>
        <w:tc>
          <w:tcPr>
            <w:tcW w:w="1346" w:type="dxa"/>
            <w:vMerge w:val="restart"/>
          </w:tcPr>
          <w:p w14:paraId="2A75B82F" w14:textId="77777777" w:rsidR="00494E63" w:rsidRPr="00ED4000" w:rsidRDefault="00494E63" w:rsidP="00ED4000">
            <w:pPr>
              <w:pStyle w:val="Table-ExpText"/>
              <w:cnfStyle w:val="000000000000" w:firstRow="0" w:lastRow="0" w:firstColumn="0" w:lastColumn="0" w:oddVBand="0" w:evenVBand="0" w:oddHBand="0" w:evenHBand="0" w:firstRowFirstColumn="0" w:firstRowLastColumn="0" w:lastRowFirstColumn="0" w:lastRowLastColumn="0"/>
            </w:pPr>
            <w:r w:rsidRPr="00ED4000">
              <w:t>Non-NPARIH Indigenous housing outside of major cities.</w:t>
            </w:r>
          </w:p>
        </w:tc>
        <w:tc>
          <w:tcPr>
            <w:tcW w:w="1347" w:type="dxa"/>
          </w:tcPr>
          <w:p w14:paraId="01279AE6"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SA</w:t>
            </w:r>
          </w:p>
        </w:tc>
        <w:tc>
          <w:tcPr>
            <w:tcW w:w="4336" w:type="dxa"/>
          </w:tcPr>
          <w:p w14:paraId="676E2964"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Pt Pearce</w:t>
            </w:r>
          </w:p>
          <w:p w14:paraId="0836D83F"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Raukkan</w:t>
            </w:r>
          </w:p>
          <w:p w14:paraId="3B128B94"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Davenport</w:t>
            </w:r>
          </w:p>
          <w:p w14:paraId="51818A6D"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Gerard</w:t>
            </w:r>
          </w:p>
        </w:tc>
      </w:tr>
      <w:tr w:rsidR="00494E63" w14:paraId="7C87D187"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6193C3FF" w14:textId="77777777" w:rsidR="00494E63" w:rsidRDefault="00494E63" w:rsidP="00ED4000">
            <w:pPr>
              <w:pStyle w:val="Table-ExpText"/>
            </w:pPr>
          </w:p>
        </w:tc>
        <w:tc>
          <w:tcPr>
            <w:tcW w:w="1276" w:type="dxa"/>
            <w:vMerge/>
          </w:tcPr>
          <w:p w14:paraId="7CD2EEF7"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tcPr>
          <w:p w14:paraId="4326780F" w14:textId="77777777" w:rsidR="00494E63" w:rsidRPr="00ED4000" w:rsidRDefault="00494E63"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35D8BABB"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WA</w:t>
            </w:r>
          </w:p>
        </w:tc>
        <w:tc>
          <w:tcPr>
            <w:tcW w:w="4336" w:type="dxa"/>
          </w:tcPr>
          <w:p w14:paraId="56806542"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Kandiwal (300km from Kununurra)</w:t>
            </w:r>
          </w:p>
          <w:p w14:paraId="16B98034"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Emu Creek (8km from Kununurra)</w:t>
            </w:r>
          </w:p>
          <w:p w14:paraId="6577FB98"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Karnparrmi (280km from Derby)</w:t>
            </w:r>
          </w:p>
          <w:p w14:paraId="46FBD29B"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Four Mile (20km from Kununurra)</w:t>
            </w:r>
          </w:p>
          <w:p w14:paraId="45CB5CB9"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Cockatoo Springs (25km from Kununurra)</w:t>
            </w:r>
          </w:p>
          <w:p w14:paraId="25B10BF0"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Molly Springs (25km from Kununurra)</w:t>
            </w:r>
          </w:p>
          <w:p w14:paraId="1423AACA"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Jinparinya (30km from Port Hedland)</w:t>
            </w:r>
          </w:p>
          <w:p w14:paraId="375BCE7E"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Punju Njamal (30km from Port Hedland)</w:t>
            </w:r>
          </w:p>
          <w:p w14:paraId="580D79B6"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Wuggubun (40km from Kununurra)</w:t>
            </w:r>
          </w:p>
          <w:p w14:paraId="18030EF7"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Marta Marta (60km from Port Hedland)</w:t>
            </w:r>
          </w:p>
          <w:p w14:paraId="4861D706"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Budulah (0km from Derby)</w:t>
            </w:r>
          </w:p>
          <w:p w14:paraId="6C82CAFB"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Nillir Irbanjin (2km from Broome)</w:t>
            </w:r>
          </w:p>
          <w:p w14:paraId="70B1FC29"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Ninga Mia Village (5km from Kalgoorlie)</w:t>
            </w:r>
          </w:p>
          <w:p w14:paraId="7723B032"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Jimbilum (8km from Kununurra)</w:t>
            </w:r>
          </w:p>
          <w:p w14:paraId="2F2B5F62"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lastRenderedPageBreak/>
              <w:t>Bell Springs (10km from Kununurra)</w:t>
            </w:r>
          </w:p>
          <w:p w14:paraId="2DF6F7C3"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Mud Springs (10km from Kununurra)</w:t>
            </w:r>
          </w:p>
          <w:p w14:paraId="768BC06A"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Munthanmar (10km from Kununurra)</w:t>
            </w:r>
          </w:p>
          <w:p w14:paraId="6A6194C5"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Hollow Springs (12km from Kununurra)</w:t>
            </w:r>
          </w:p>
          <w:p w14:paraId="3C9549EB"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Yirralalem (18km from Kununurra)</w:t>
            </w:r>
          </w:p>
          <w:p w14:paraId="46419BFB"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Galburang (20km from Kununurra)</w:t>
            </w:r>
          </w:p>
          <w:p w14:paraId="5E09BD54"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Biridu (275km from Derby)</w:t>
            </w:r>
          </w:p>
          <w:p w14:paraId="36B134DB"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Innawonga (50km from Tom Price)</w:t>
            </w:r>
          </w:p>
          <w:p w14:paraId="47457A45"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Mirtunkarra (206km from Port Hedland)</w:t>
            </w:r>
          </w:p>
          <w:p w14:paraId="4F707232"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Galamunda (242km from Derby)</w:t>
            </w:r>
          </w:p>
          <w:p w14:paraId="27D9CCCB"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Woodgamia (200km from Carnarvon)</w:t>
            </w:r>
          </w:p>
          <w:p w14:paraId="69925F69"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Dodnun (345km from Derby)</w:t>
            </w:r>
          </w:p>
          <w:p w14:paraId="2F632CEA"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Tirralintji (400km from Derby)</w:t>
            </w:r>
          </w:p>
          <w:p w14:paraId="0ABEEAD2"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Yulumbu (457km from Kununurra)</w:t>
            </w:r>
          </w:p>
          <w:p w14:paraId="59433DA6"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Kanpa (827km from Kalgoorlie)</w:t>
            </w:r>
          </w:p>
          <w:p w14:paraId="03A0EE76"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Nambi Village (237km from Kalgoorlie)</w:t>
            </w:r>
          </w:p>
          <w:p w14:paraId="4FE8E096"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Parnpajinya (0km from Newman)</w:t>
            </w:r>
          </w:p>
          <w:p w14:paraId="33FCAB6A"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Bedunburru (60km from Derby)</w:t>
            </w:r>
          </w:p>
          <w:p w14:paraId="7F48E1F0"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Galeru Gorge (366km from Derby)</w:t>
            </w:r>
          </w:p>
          <w:p w14:paraId="2A10ABA0"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Mimbi (355km from Derby)</w:t>
            </w:r>
          </w:p>
          <w:p w14:paraId="5C94E121"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Bawoorrooga (341km from Derby)</w:t>
            </w:r>
          </w:p>
          <w:p w14:paraId="568D9E2E"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Jimbalakudunj (148km from Derby)</w:t>
            </w:r>
          </w:p>
          <w:p w14:paraId="11FA39D5"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Kardaloo (123km from Geraldton)</w:t>
            </w:r>
          </w:p>
          <w:p w14:paraId="4789622A" w14:textId="77777777" w:rsidR="00494E63" w:rsidRPr="001E7006" w:rsidRDefault="00494E63" w:rsidP="001E7006">
            <w:pPr>
              <w:pStyle w:val="Table-ExpText"/>
              <w:cnfStyle w:val="000000000000" w:firstRow="0" w:lastRow="0" w:firstColumn="0" w:lastColumn="0" w:oddVBand="0" w:evenVBand="0" w:oddHBand="0" w:evenHBand="0" w:firstRowFirstColumn="0" w:firstRowLastColumn="0" w:lastRowFirstColumn="0" w:lastRowLastColumn="0"/>
            </w:pPr>
            <w:r w:rsidRPr="001E7006">
              <w:t>Jundaru (198km from Karratha)</w:t>
            </w:r>
          </w:p>
        </w:tc>
      </w:tr>
      <w:tr w:rsidR="00494E63" w14:paraId="1C37AB91" w14:textId="77777777" w:rsidTr="00832596">
        <w:trPr>
          <w:cantSplit w:val="0"/>
        </w:trPr>
        <w:tc>
          <w:tcPr>
            <w:cnfStyle w:val="001000000000" w:firstRow="0" w:lastRow="0" w:firstColumn="1" w:lastColumn="0" w:oddVBand="0" w:evenVBand="0" w:oddHBand="0" w:evenHBand="0" w:firstRowFirstColumn="0" w:firstRowLastColumn="0" w:lastRowFirstColumn="0" w:lastRowLastColumn="0"/>
            <w:tcW w:w="766" w:type="dxa"/>
            <w:vMerge/>
          </w:tcPr>
          <w:p w14:paraId="017E13F2" w14:textId="77777777" w:rsidR="00494E63" w:rsidRDefault="00494E63" w:rsidP="00ED4000">
            <w:pPr>
              <w:pStyle w:val="Table-ExpText"/>
            </w:pPr>
          </w:p>
        </w:tc>
        <w:tc>
          <w:tcPr>
            <w:tcW w:w="1276" w:type="dxa"/>
            <w:vMerge/>
          </w:tcPr>
          <w:p w14:paraId="5CCFCD9B" w14:textId="77777777" w:rsidR="00494E63" w:rsidRDefault="00494E63" w:rsidP="00B8783A">
            <w:pPr>
              <w:pStyle w:val="Table-ExpText"/>
              <w:cnfStyle w:val="000000000000" w:firstRow="0" w:lastRow="0" w:firstColumn="0" w:lastColumn="0" w:oddVBand="0" w:evenVBand="0" w:oddHBand="0" w:evenHBand="0" w:firstRowFirstColumn="0" w:firstRowLastColumn="0" w:lastRowFirstColumn="0" w:lastRowLastColumn="0"/>
            </w:pPr>
          </w:p>
        </w:tc>
        <w:tc>
          <w:tcPr>
            <w:tcW w:w="1346" w:type="dxa"/>
            <w:vMerge/>
          </w:tcPr>
          <w:p w14:paraId="2B0F90F9" w14:textId="77777777" w:rsidR="00494E63" w:rsidRPr="00ED4000" w:rsidRDefault="00494E63" w:rsidP="00ED4000">
            <w:pPr>
              <w:pStyle w:val="Table-ExpText"/>
              <w:cnfStyle w:val="000000000000" w:firstRow="0" w:lastRow="0" w:firstColumn="0" w:lastColumn="0" w:oddVBand="0" w:evenVBand="0" w:oddHBand="0" w:evenHBand="0" w:firstRowFirstColumn="0" w:firstRowLastColumn="0" w:lastRowFirstColumn="0" w:lastRowLastColumn="0"/>
            </w:pPr>
          </w:p>
        </w:tc>
        <w:tc>
          <w:tcPr>
            <w:tcW w:w="1347" w:type="dxa"/>
          </w:tcPr>
          <w:p w14:paraId="0F396159" w14:textId="77777777" w:rsidR="00494E63" w:rsidRDefault="00494E63" w:rsidP="00B8783A">
            <w:pPr>
              <w:pStyle w:val="Table-ExpText"/>
              <w:cnfStyle w:val="000000000000" w:firstRow="0" w:lastRow="0" w:firstColumn="0" w:lastColumn="0" w:oddVBand="0" w:evenVBand="0" w:oddHBand="0" w:evenHBand="0" w:firstRowFirstColumn="0" w:firstRowLastColumn="0" w:lastRowFirstColumn="0" w:lastRowLastColumn="0"/>
            </w:pPr>
            <w:r>
              <w:t>QLD</w:t>
            </w:r>
          </w:p>
        </w:tc>
        <w:tc>
          <w:tcPr>
            <w:tcW w:w="4336" w:type="dxa"/>
          </w:tcPr>
          <w:p w14:paraId="27585259" w14:textId="77777777" w:rsidR="00494E63" w:rsidRDefault="00494E63" w:rsidP="00B8783A">
            <w:pPr>
              <w:pStyle w:val="Table-ExpText"/>
              <w:cnfStyle w:val="000000000000" w:firstRow="0" w:lastRow="0" w:firstColumn="0" w:lastColumn="0" w:oddVBand="0" w:evenVBand="0" w:oddHBand="0" w:evenHBand="0" w:firstRowFirstColumn="0" w:firstRowLastColumn="0" w:lastRowFirstColumn="0" w:lastRowLastColumn="0"/>
            </w:pPr>
            <w:r>
              <w:t>Cherbourg (6 km to next town, 171km to Coolum - closest regional city)</w:t>
            </w:r>
          </w:p>
          <w:p w14:paraId="025BF0F5" w14:textId="77777777" w:rsidR="00494E63" w:rsidRDefault="00494E63" w:rsidP="00B8783A">
            <w:pPr>
              <w:pStyle w:val="Table-ExpText"/>
              <w:cnfStyle w:val="000000000000" w:firstRow="0" w:lastRow="0" w:firstColumn="0" w:lastColumn="0" w:oddVBand="0" w:evenVBand="0" w:oddHBand="0" w:evenHBand="0" w:firstRowFirstColumn="0" w:firstRowLastColumn="0" w:lastRowFirstColumn="0" w:lastRowLastColumn="0"/>
            </w:pPr>
            <w:r>
              <w:t>Yarrabah (40 km to next town, 52km to Cairns - closest regional city)</w:t>
            </w:r>
          </w:p>
        </w:tc>
      </w:tr>
    </w:tbl>
    <w:p w14:paraId="1EBD94E0" w14:textId="77777777" w:rsidR="00AD5F30" w:rsidRDefault="00AD5F30" w:rsidP="007C3549"/>
    <w:p w14:paraId="6A050C85" w14:textId="39007D58" w:rsidR="00AD5F30" w:rsidRDefault="00AD5F30">
      <w:r>
        <w:br w:type="page"/>
      </w:r>
    </w:p>
    <w:p w14:paraId="5EBE3E87" w14:textId="77777777" w:rsidR="00AD5F30" w:rsidRDefault="00AD5F30" w:rsidP="007C3549">
      <w:pPr>
        <w:sectPr w:rsidR="00AD5F30" w:rsidSect="00907E68">
          <w:pgSz w:w="11906" w:h="16838" w:code="9"/>
          <w:pgMar w:top="1985" w:right="1418" w:bottom="1843" w:left="1531" w:header="567" w:footer="567" w:gutter="0"/>
          <w:cols w:space="708"/>
          <w:docGrid w:linePitch="360"/>
        </w:sectPr>
      </w:pPr>
    </w:p>
    <w:p w14:paraId="4371B6AE" w14:textId="41CCF100" w:rsidR="007C3549" w:rsidRDefault="00AD5F30" w:rsidP="00834B3C">
      <w:pPr>
        <w:pStyle w:val="xAppendixLevel1"/>
      </w:pPr>
      <w:bookmarkStart w:id="160" w:name="_Toc475982719"/>
      <w:bookmarkStart w:id="161" w:name="_Toc475990806"/>
      <w:bookmarkStart w:id="162" w:name="_Toc480791445"/>
      <w:r>
        <w:lastRenderedPageBreak/>
        <w:t xml:space="preserve">Data definitions </w:t>
      </w:r>
      <w:r w:rsidR="00E949A4">
        <w:t>and assumptions</w:t>
      </w:r>
      <w:bookmarkEnd w:id="160"/>
      <w:bookmarkEnd w:id="161"/>
      <w:bookmarkEnd w:id="162"/>
    </w:p>
    <w:p w14:paraId="7C7A11CA" w14:textId="77777777" w:rsidR="007D3AF8" w:rsidRDefault="007D3AF8" w:rsidP="00AD5F30">
      <w:r>
        <w:t>Nous acknowledges the limitations of this analysis, due to the constrained and estimated nature of the dataset involved. Further definitions and assumptions are provided below.</w:t>
      </w:r>
    </w:p>
    <w:p w14:paraId="720977C1" w14:textId="6D92F58B" w:rsidR="00AD5F30" w:rsidRDefault="003F043D" w:rsidP="003F043D">
      <w:pPr>
        <w:pStyle w:val="Bullet"/>
      </w:pPr>
      <w:r>
        <w:t xml:space="preserve">Data provided for three jurisdictions is budgeted figures for 2017/18. Data for one jurisdiction is </w:t>
      </w:r>
      <w:r w:rsidR="002D05B9">
        <w:t xml:space="preserve">actual </w:t>
      </w:r>
      <w:r>
        <w:t>2015/16 figures.</w:t>
      </w:r>
    </w:p>
    <w:p w14:paraId="70440D3D" w14:textId="77777777" w:rsidR="003F043D" w:rsidRDefault="003F043D" w:rsidP="003F043D">
      <w:pPr>
        <w:pStyle w:val="Bullet"/>
      </w:pPr>
      <w:r>
        <w:t>Estimation methods for works packaging and travel costs may differ between jurisdictions</w:t>
      </w:r>
    </w:p>
    <w:p w14:paraId="7DBCCD2D" w14:textId="77777777" w:rsidR="003F043D" w:rsidRDefault="003F043D" w:rsidP="003F043D">
      <w:pPr>
        <w:pStyle w:val="Bullet"/>
      </w:pPr>
      <w:r>
        <w:t>Public housing comparison figures are based on data from one jurisdiction only</w:t>
      </w:r>
    </w:p>
    <w:p w14:paraId="6A967868" w14:textId="2E27C456" w:rsidR="008A2C65" w:rsidRDefault="008A2C65" w:rsidP="003F043D">
      <w:pPr>
        <w:pStyle w:val="Bullet"/>
      </w:pPr>
      <w:r>
        <w:t>Data on the distribution of maintenance and repair activities across remoteness classifications is available for three jurisdictions only. Some jurisdictions were not able to provide data points for all levels of remoteness, all works packages, or all maintenance and repair activities.</w:t>
      </w:r>
    </w:p>
    <w:p w14:paraId="4F182677" w14:textId="1A5DC638" w:rsidR="00807965" w:rsidRDefault="00807965">
      <w:r>
        <w:br w:type="page"/>
      </w:r>
    </w:p>
    <w:p w14:paraId="06640316" w14:textId="5D87E9A8" w:rsidR="00807965" w:rsidRDefault="00807965" w:rsidP="00807965">
      <w:pPr>
        <w:pStyle w:val="xAppendixLevel1"/>
      </w:pPr>
      <w:r>
        <w:lastRenderedPageBreak/>
        <w:t>Alternative Text</w:t>
      </w:r>
    </w:p>
    <w:p w14:paraId="22BBCBCF" w14:textId="75B704A1" w:rsidR="00807965" w:rsidRDefault="00807965" w:rsidP="00807965">
      <w:bookmarkStart w:id="163" w:name="Figure1"/>
      <w:r>
        <w:t>Figure 1</w:t>
      </w:r>
      <w:bookmarkEnd w:id="163"/>
      <w:r>
        <w:t xml:space="preserve">: </w:t>
      </w:r>
      <w:r w:rsidRPr="00807965">
        <w:t>gives a breakdown of capital maintenance, other expenses and recurrent maintenance by jurisdiction.</w:t>
      </w:r>
    </w:p>
    <w:p w14:paraId="14B67D38" w14:textId="4008C369" w:rsidR="00A050ED" w:rsidRPr="00A050ED" w:rsidRDefault="00A050ED" w:rsidP="00807965">
      <w:pPr>
        <w:rPr>
          <w:color w:val="0070C0"/>
          <w:sz w:val="18"/>
        </w:rPr>
      </w:pPr>
      <w:r>
        <w:rPr>
          <w:sz w:val="18"/>
        </w:rPr>
        <w:t xml:space="preserve">Go back to </w:t>
      </w:r>
      <w:hyperlink w:anchor="Figure1Return" w:history="1">
        <w:r w:rsidRPr="00A050ED">
          <w:rPr>
            <w:rStyle w:val="Hyperlink"/>
            <w:sz w:val="18"/>
          </w:rPr>
          <w:t>Figure 1</w:t>
        </w:r>
      </w:hyperlink>
      <w:r>
        <w:rPr>
          <w:sz w:val="18"/>
        </w:rPr>
        <w:t>.</w:t>
      </w:r>
    </w:p>
    <w:p w14:paraId="6E0CAAA3" w14:textId="1D5F8D28" w:rsidR="00A050ED" w:rsidRPr="00D86000" w:rsidRDefault="00A050ED" w:rsidP="00A050ED">
      <w:pPr>
        <w:rPr>
          <w:color w:val="0070C0"/>
        </w:rPr>
      </w:pPr>
      <w:bookmarkStart w:id="164" w:name="Figure2"/>
      <w:r>
        <w:rPr>
          <w:color w:val="0070C0"/>
        </w:rPr>
        <w:t>Figure 2</w:t>
      </w:r>
      <w:bookmarkEnd w:id="164"/>
      <w:r>
        <w:rPr>
          <w:color w:val="0070C0"/>
        </w:rPr>
        <w:t xml:space="preserve">: </w:t>
      </w:r>
      <w:r w:rsidRPr="00D86000">
        <w:rPr>
          <w:color w:val="0070C0"/>
        </w:rPr>
        <w:t>shows a detailed annual cost breakdown</w:t>
      </w:r>
      <w:r>
        <w:rPr>
          <w:color w:val="0070C0"/>
        </w:rPr>
        <w:t xml:space="preserve"> for three jurisdictions, of bad debts, employee related expenses, insurance, other expenses, tenancy management and water costs.</w:t>
      </w:r>
    </w:p>
    <w:p w14:paraId="59AEB0A7" w14:textId="22397BB1" w:rsidR="00807965" w:rsidRDefault="00A050ED" w:rsidP="00807965">
      <w:pPr>
        <w:pStyle w:val="Bullet"/>
        <w:numPr>
          <w:ilvl w:val="0"/>
          <w:numId w:val="0"/>
        </w:numPr>
        <w:ind w:left="340" w:hanging="340"/>
        <w:rPr>
          <w:sz w:val="18"/>
        </w:rPr>
      </w:pPr>
      <w:r w:rsidRPr="00A050ED">
        <w:rPr>
          <w:sz w:val="18"/>
        </w:rPr>
        <w:t xml:space="preserve">Go back to </w:t>
      </w:r>
      <w:hyperlink w:anchor="Figure2Return" w:history="1">
        <w:r w:rsidRPr="008D6EC7">
          <w:rPr>
            <w:rStyle w:val="Hyperlink"/>
            <w:sz w:val="18"/>
          </w:rPr>
          <w:t>Figure 2</w:t>
        </w:r>
      </w:hyperlink>
      <w:r>
        <w:rPr>
          <w:sz w:val="18"/>
        </w:rPr>
        <w:t>.</w:t>
      </w:r>
    </w:p>
    <w:p w14:paraId="691C1C7A" w14:textId="21450697" w:rsidR="00A050ED" w:rsidRDefault="00A050ED" w:rsidP="00A050ED">
      <w:pPr>
        <w:pStyle w:val="Bullet"/>
        <w:numPr>
          <w:ilvl w:val="0"/>
          <w:numId w:val="0"/>
        </w:numPr>
        <w:rPr>
          <w:szCs w:val="21"/>
        </w:rPr>
      </w:pPr>
      <w:bookmarkStart w:id="165" w:name="Figure3"/>
      <w:r w:rsidRPr="00A050ED">
        <w:rPr>
          <w:szCs w:val="21"/>
        </w:rPr>
        <w:t>Figure 3</w:t>
      </w:r>
      <w:bookmarkEnd w:id="165"/>
      <w:r w:rsidRPr="00A050ED">
        <w:rPr>
          <w:szCs w:val="21"/>
        </w:rPr>
        <w:t>:</w:t>
      </w:r>
      <w:r>
        <w:rPr>
          <w:szCs w:val="21"/>
        </w:rPr>
        <w:t xml:space="preserve"> </w:t>
      </w:r>
      <w:r w:rsidRPr="00A050ED">
        <w:rPr>
          <w:szCs w:val="21"/>
        </w:rPr>
        <w:t>shows cost of repair and maintenance activities in Indigenous</w:t>
      </w:r>
      <w:r>
        <w:rPr>
          <w:szCs w:val="21"/>
        </w:rPr>
        <w:t xml:space="preserve"> communities indexed to cost of </w:t>
      </w:r>
      <w:r w:rsidRPr="00A050ED">
        <w:rPr>
          <w:szCs w:val="21"/>
        </w:rPr>
        <w:t>equivalent activities in mainstream public housing.</w:t>
      </w:r>
    </w:p>
    <w:p w14:paraId="17F4B15D" w14:textId="7E981406" w:rsidR="00A050ED" w:rsidRDefault="00A050ED" w:rsidP="00A050ED">
      <w:pPr>
        <w:pStyle w:val="Bullet"/>
        <w:numPr>
          <w:ilvl w:val="0"/>
          <w:numId w:val="0"/>
        </w:numPr>
        <w:rPr>
          <w:sz w:val="18"/>
          <w:szCs w:val="21"/>
        </w:rPr>
      </w:pPr>
      <w:r>
        <w:rPr>
          <w:sz w:val="18"/>
          <w:szCs w:val="21"/>
        </w:rPr>
        <w:t xml:space="preserve">Go back to </w:t>
      </w:r>
      <w:hyperlink w:anchor="Figure3Return" w:history="1">
        <w:r w:rsidRPr="008D6EC7">
          <w:rPr>
            <w:rStyle w:val="Hyperlink"/>
            <w:sz w:val="18"/>
            <w:szCs w:val="21"/>
          </w:rPr>
          <w:t>Figure 3</w:t>
        </w:r>
      </w:hyperlink>
      <w:r>
        <w:rPr>
          <w:sz w:val="18"/>
          <w:szCs w:val="21"/>
        </w:rPr>
        <w:t>.</w:t>
      </w:r>
    </w:p>
    <w:p w14:paraId="59DD21F6" w14:textId="3611BBCD" w:rsidR="00A050ED" w:rsidRDefault="00A050ED" w:rsidP="00A050ED">
      <w:pPr>
        <w:pStyle w:val="Bullet"/>
        <w:numPr>
          <w:ilvl w:val="0"/>
          <w:numId w:val="0"/>
        </w:numPr>
        <w:rPr>
          <w:szCs w:val="21"/>
        </w:rPr>
      </w:pPr>
      <w:bookmarkStart w:id="166" w:name="Figure4"/>
      <w:r>
        <w:rPr>
          <w:szCs w:val="21"/>
        </w:rPr>
        <w:t>Figure 4</w:t>
      </w:r>
      <w:bookmarkEnd w:id="166"/>
      <w:r>
        <w:rPr>
          <w:szCs w:val="21"/>
        </w:rPr>
        <w:t xml:space="preserve">: </w:t>
      </w:r>
      <w:r w:rsidRPr="00A050ED">
        <w:rPr>
          <w:szCs w:val="21"/>
        </w:rPr>
        <w:t>shows rental income as a proportion of annual cost, by jurisdiction.</w:t>
      </w:r>
    </w:p>
    <w:p w14:paraId="1C81AE8B" w14:textId="57057C8B" w:rsidR="00A050ED" w:rsidRDefault="00A050ED" w:rsidP="00A050ED">
      <w:pPr>
        <w:pStyle w:val="Bullet"/>
        <w:numPr>
          <w:ilvl w:val="0"/>
          <w:numId w:val="0"/>
        </w:numPr>
        <w:rPr>
          <w:sz w:val="18"/>
          <w:szCs w:val="21"/>
        </w:rPr>
      </w:pPr>
      <w:r>
        <w:rPr>
          <w:sz w:val="18"/>
          <w:szCs w:val="21"/>
        </w:rPr>
        <w:t xml:space="preserve">Go back to </w:t>
      </w:r>
      <w:hyperlink w:anchor="Figure4Return" w:history="1">
        <w:r w:rsidRPr="008D6EC7">
          <w:rPr>
            <w:rStyle w:val="Hyperlink"/>
            <w:sz w:val="18"/>
            <w:szCs w:val="21"/>
          </w:rPr>
          <w:t>Figure 4</w:t>
        </w:r>
      </w:hyperlink>
      <w:r>
        <w:rPr>
          <w:sz w:val="18"/>
          <w:szCs w:val="21"/>
        </w:rPr>
        <w:t>.</w:t>
      </w:r>
    </w:p>
    <w:p w14:paraId="33BC9A15" w14:textId="2632A9C3" w:rsidR="002E6B2F" w:rsidRDefault="002E6B2F" w:rsidP="00A050ED">
      <w:pPr>
        <w:pStyle w:val="Bullet"/>
        <w:numPr>
          <w:ilvl w:val="0"/>
          <w:numId w:val="0"/>
        </w:numPr>
        <w:rPr>
          <w:szCs w:val="21"/>
        </w:rPr>
      </w:pPr>
      <w:bookmarkStart w:id="167" w:name="Figure5"/>
      <w:r>
        <w:rPr>
          <w:szCs w:val="21"/>
        </w:rPr>
        <w:t>Figure 5</w:t>
      </w:r>
      <w:bookmarkEnd w:id="167"/>
      <w:r>
        <w:rPr>
          <w:szCs w:val="21"/>
        </w:rPr>
        <w:t xml:space="preserve">: </w:t>
      </w:r>
      <w:r w:rsidRPr="002E6B2F">
        <w:rPr>
          <w:szCs w:val="21"/>
        </w:rPr>
        <w:t>shows distribution of annual costs and rental income for various public housing settings. NPARIH costs are significantly higher than regional Indigenous housing.</w:t>
      </w:r>
    </w:p>
    <w:p w14:paraId="55CFF68F" w14:textId="09FE0603" w:rsidR="002E6B2F" w:rsidRDefault="002E6B2F" w:rsidP="00A050ED">
      <w:pPr>
        <w:pStyle w:val="Bullet"/>
        <w:numPr>
          <w:ilvl w:val="0"/>
          <w:numId w:val="0"/>
        </w:numPr>
        <w:rPr>
          <w:sz w:val="18"/>
          <w:szCs w:val="21"/>
        </w:rPr>
      </w:pPr>
      <w:r>
        <w:rPr>
          <w:sz w:val="18"/>
          <w:szCs w:val="21"/>
        </w:rPr>
        <w:t xml:space="preserve">Go back to </w:t>
      </w:r>
      <w:hyperlink w:anchor="Figure5Return" w:history="1">
        <w:r w:rsidRPr="008D6EC7">
          <w:rPr>
            <w:rStyle w:val="Hyperlink"/>
            <w:sz w:val="18"/>
            <w:szCs w:val="21"/>
          </w:rPr>
          <w:t>Figure 5</w:t>
        </w:r>
      </w:hyperlink>
      <w:r>
        <w:rPr>
          <w:sz w:val="18"/>
          <w:szCs w:val="21"/>
        </w:rPr>
        <w:t>.</w:t>
      </w:r>
    </w:p>
    <w:p w14:paraId="7F7DCF2C" w14:textId="77ADE348" w:rsidR="002E6B2F" w:rsidRDefault="002E6B2F" w:rsidP="00A050ED">
      <w:pPr>
        <w:pStyle w:val="Bullet"/>
        <w:numPr>
          <w:ilvl w:val="0"/>
          <w:numId w:val="0"/>
        </w:numPr>
        <w:rPr>
          <w:szCs w:val="21"/>
        </w:rPr>
      </w:pPr>
      <w:bookmarkStart w:id="168" w:name="Figure6"/>
      <w:r>
        <w:rPr>
          <w:szCs w:val="21"/>
        </w:rPr>
        <w:t>Figure 6</w:t>
      </w:r>
      <w:bookmarkEnd w:id="168"/>
      <w:r>
        <w:rPr>
          <w:szCs w:val="21"/>
        </w:rPr>
        <w:t xml:space="preserve">: </w:t>
      </w:r>
      <w:r w:rsidRPr="002E6B2F">
        <w:rPr>
          <w:szCs w:val="21"/>
        </w:rPr>
        <w:t>shows the difference in shortfall between public housing and NPARIH, with NPARIH being higher.</w:t>
      </w:r>
    </w:p>
    <w:p w14:paraId="349C9FDE" w14:textId="39F7E5DC" w:rsidR="002E6B2F" w:rsidRDefault="002E6B2F" w:rsidP="00A050ED">
      <w:pPr>
        <w:pStyle w:val="Bullet"/>
        <w:numPr>
          <w:ilvl w:val="0"/>
          <w:numId w:val="0"/>
        </w:numPr>
        <w:rPr>
          <w:sz w:val="18"/>
          <w:szCs w:val="21"/>
        </w:rPr>
      </w:pPr>
      <w:r>
        <w:rPr>
          <w:sz w:val="18"/>
          <w:szCs w:val="21"/>
        </w:rPr>
        <w:t xml:space="preserve">Go back to </w:t>
      </w:r>
      <w:hyperlink w:anchor="Figure6Return" w:history="1">
        <w:r w:rsidRPr="008D6EC7">
          <w:rPr>
            <w:rStyle w:val="Hyperlink"/>
            <w:sz w:val="18"/>
            <w:szCs w:val="21"/>
          </w:rPr>
          <w:t>Figure 6</w:t>
        </w:r>
      </w:hyperlink>
      <w:r>
        <w:rPr>
          <w:sz w:val="18"/>
          <w:szCs w:val="21"/>
        </w:rPr>
        <w:t>.</w:t>
      </w:r>
    </w:p>
    <w:p w14:paraId="6EE6A128" w14:textId="08E38FF1" w:rsidR="002E6B2F" w:rsidRPr="00B85E1A" w:rsidRDefault="002E6B2F" w:rsidP="00A050ED">
      <w:pPr>
        <w:pStyle w:val="Bullet"/>
        <w:numPr>
          <w:ilvl w:val="0"/>
          <w:numId w:val="0"/>
        </w:numPr>
        <w:rPr>
          <w:szCs w:val="21"/>
        </w:rPr>
      </w:pPr>
      <w:bookmarkStart w:id="169" w:name="Figure7"/>
      <w:r w:rsidRPr="00B85E1A">
        <w:rPr>
          <w:szCs w:val="21"/>
        </w:rPr>
        <w:t>Figure 7</w:t>
      </w:r>
      <w:bookmarkEnd w:id="169"/>
      <w:r w:rsidRPr="00B85E1A">
        <w:rPr>
          <w:szCs w:val="21"/>
        </w:rPr>
        <w:t>:</w:t>
      </w:r>
      <w:r w:rsidR="008D6EC7" w:rsidRPr="008D6EC7">
        <w:rPr>
          <w:color w:val="0070C0"/>
        </w:rPr>
        <w:t xml:space="preserve"> </w:t>
      </w:r>
      <w:r w:rsidR="008D6EC7" w:rsidRPr="008D6EC7">
        <w:rPr>
          <w:szCs w:val="21"/>
        </w:rPr>
        <w:t>shows the cost distribution in selected maintenance and repair items ranging from pumping a septic tank to replacing a stove, with costs ranging from below $100 to above $10,000.</w:t>
      </w:r>
    </w:p>
    <w:p w14:paraId="4592EC71" w14:textId="76F7D344"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7" w:history="1">
        <w:r w:rsidRPr="008D6EC7">
          <w:rPr>
            <w:rStyle w:val="Hyperlink"/>
            <w:sz w:val="18"/>
            <w:szCs w:val="21"/>
          </w:rPr>
          <w:t>Figure 7</w:t>
        </w:r>
      </w:hyperlink>
      <w:r w:rsidRPr="00B85E1A">
        <w:rPr>
          <w:sz w:val="18"/>
          <w:szCs w:val="21"/>
        </w:rPr>
        <w:t>.</w:t>
      </w:r>
    </w:p>
    <w:p w14:paraId="483D1175" w14:textId="624F3796" w:rsidR="002E6B2F" w:rsidRPr="00B85E1A" w:rsidRDefault="002E6B2F" w:rsidP="00A050ED">
      <w:pPr>
        <w:pStyle w:val="Bullet"/>
        <w:numPr>
          <w:ilvl w:val="0"/>
          <w:numId w:val="0"/>
        </w:numPr>
        <w:rPr>
          <w:szCs w:val="21"/>
        </w:rPr>
      </w:pPr>
      <w:bookmarkStart w:id="170" w:name="Figure8"/>
      <w:r w:rsidRPr="00B85E1A">
        <w:rPr>
          <w:szCs w:val="21"/>
        </w:rPr>
        <w:t>Figure 8</w:t>
      </w:r>
      <w:bookmarkEnd w:id="170"/>
      <w:r w:rsidRPr="00B85E1A">
        <w:rPr>
          <w:szCs w:val="21"/>
        </w:rPr>
        <w:t>:</w:t>
      </w:r>
      <w:r w:rsidR="00A817CC" w:rsidRPr="00A817CC">
        <w:rPr>
          <w:color w:val="0070C0"/>
        </w:rPr>
        <w:t xml:space="preserve"> </w:t>
      </w:r>
      <w:r w:rsidR="00A817CC" w:rsidRPr="00A817CC">
        <w:rPr>
          <w:szCs w:val="21"/>
        </w:rPr>
        <w:t>shows the cost of maintenance activities by remoteness classification, indexed to the cost in remote communities. The other two classifications include very remote and island, and maintenance activities includes anything from replacing a stove to pumping a septic tank.</w:t>
      </w:r>
    </w:p>
    <w:p w14:paraId="66678049" w14:textId="7A74AA64"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8Return" w:history="1">
        <w:r w:rsidRPr="00A817CC">
          <w:rPr>
            <w:rStyle w:val="Hyperlink"/>
            <w:sz w:val="18"/>
            <w:szCs w:val="21"/>
          </w:rPr>
          <w:t>Figure 8</w:t>
        </w:r>
      </w:hyperlink>
      <w:r w:rsidRPr="00B85E1A">
        <w:rPr>
          <w:sz w:val="18"/>
          <w:szCs w:val="21"/>
        </w:rPr>
        <w:t>.</w:t>
      </w:r>
    </w:p>
    <w:p w14:paraId="0B0E09F1" w14:textId="575C9758" w:rsidR="002E6B2F" w:rsidRPr="00B85E1A" w:rsidRDefault="002E6B2F" w:rsidP="00A050ED">
      <w:pPr>
        <w:pStyle w:val="Bullet"/>
        <w:numPr>
          <w:ilvl w:val="0"/>
          <w:numId w:val="0"/>
        </w:numPr>
        <w:rPr>
          <w:szCs w:val="21"/>
        </w:rPr>
      </w:pPr>
      <w:bookmarkStart w:id="171" w:name="Figure9"/>
      <w:r w:rsidRPr="00B85E1A">
        <w:rPr>
          <w:szCs w:val="21"/>
        </w:rPr>
        <w:t>Figure 9</w:t>
      </w:r>
      <w:bookmarkEnd w:id="171"/>
      <w:r w:rsidRPr="00B85E1A">
        <w:rPr>
          <w:szCs w:val="21"/>
        </w:rPr>
        <w:t>:</w:t>
      </w:r>
      <w:r w:rsidR="00A817CC">
        <w:rPr>
          <w:szCs w:val="21"/>
        </w:rPr>
        <w:t xml:space="preserve"> </w:t>
      </w:r>
      <w:r w:rsidR="00A817CC" w:rsidRPr="00A817CC">
        <w:rPr>
          <w:szCs w:val="21"/>
        </w:rPr>
        <w:t>shows the distribution of all maintenance and repair costs per-unit in remote, very remote, and island settings with median prices approximately $750, $1,400, and $1,500 respectively.</w:t>
      </w:r>
    </w:p>
    <w:p w14:paraId="43725199" w14:textId="41A0BB3D"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9Return" w:history="1">
        <w:r w:rsidRPr="00A817CC">
          <w:rPr>
            <w:rStyle w:val="Hyperlink"/>
            <w:sz w:val="18"/>
            <w:szCs w:val="21"/>
          </w:rPr>
          <w:t>Figure 9</w:t>
        </w:r>
      </w:hyperlink>
      <w:r w:rsidRPr="00B85E1A">
        <w:rPr>
          <w:sz w:val="18"/>
          <w:szCs w:val="21"/>
        </w:rPr>
        <w:t>.</w:t>
      </w:r>
    </w:p>
    <w:p w14:paraId="0BF70482" w14:textId="366A8DED" w:rsidR="002E6B2F" w:rsidRPr="00B85E1A" w:rsidRDefault="002E6B2F" w:rsidP="00A050ED">
      <w:pPr>
        <w:pStyle w:val="Bullet"/>
        <w:numPr>
          <w:ilvl w:val="0"/>
          <w:numId w:val="0"/>
        </w:numPr>
        <w:rPr>
          <w:szCs w:val="21"/>
        </w:rPr>
      </w:pPr>
      <w:bookmarkStart w:id="172" w:name="Figure10"/>
      <w:r w:rsidRPr="00B85E1A">
        <w:rPr>
          <w:szCs w:val="21"/>
        </w:rPr>
        <w:t>Figure 10</w:t>
      </w:r>
      <w:bookmarkEnd w:id="172"/>
      <w:r w:rsidRPr="00B85E1A">
        <w:rPr>
          <w:szCs w:val="21"/>
        </w:rPr>
        <w:t>:</w:t>
      </w:r>
      <w:r w:rsidR="00A817CC">
        <w:rPr>
          <w:szCs w:val="21"/>
        </w:rPr>
        <w:t xml:space="preserve"> </w:t>
      </w:r>
      <w:r w:rsidR="00A817CC" w:rsidRPr="00A817CC">
        <w:rPr>
          <w:szCs w:val="21"/>
        </w:rPr>
        <w:t>shows the per-unit cost of replacing a smoke detector in remote, very remote, and island communities, detailing the minimum, mean, and maximum cost.</w:t>
      </w:r>
    </w:p>
    <w:p w14:paraId="640CE2F5" w14:textId="2B6B7925"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10Return" w:history="1">
        <w:r w:rsidRPr="00A817CC">
          <w:rPr>
            <w:rStyle w:val="Hyperlink"/>
            <w:sz w:val="18"/>
            <w:szCs w:val="21"/>
          </w:rPr>
          <w:t>Figure 10</w:t>
        </w:r>
      </w:hyperlink>
      <w:r w:rsidRPr="00B85E1A">
        <w:rPr>
          <w:sz w:val="18"/>
          <w:szCs w:val="21"/>
        </w:rPr>
        <w:t>.</w:t>
      </w:r>
    </w:p>
    <w:p w14:paraId="2959A118" w14:textId="78F163B9" w:rsidR="002E6B2F" w:rsidRPr="00B85E1A" w:rsidRDefault="002E6B2F" w:rsidP="00A050ED">
      <w:pPr>
        <w:pStyle w:val="Bullet"/>
        <w:numPr>
          <w:ilvl w:val="0"/>
          <w:numId w:val="0"/>
        </w:numPr>
        <w:rPr>
          <w:szCs w:val="21"/>
        </w:rPr>
      </w:pPr>
      <w:bookmarkStart w:id="173" w:name="Figure11"/>
      <w:r w:rsidRPr="00B85E1A">
        <w:rPr>
          <w:szCs w:val="21"/>
        </w:rPr>
        <w:t>Figure 11</w:t>
      </w:r>
      <w:bookmarkEnd w:id="173"/>
      <w:r w:rsidRPr="00B85E1A">
        <w:rPr>
          <w:szCs w:val="21"/>
        </w:rPr>
        <w:t>:</w:t>
      </w:r>
      <w:r w:rsidR="00A817CC">
        <w:rPr>
          <w:szCs w:val="21"/>
        </w:rPr>
        <w:t xml:space="preserve"> </w:t>
      </w:r>
      <w:r w:rsidR="00A817CC" w:rsidRPr="00A817CC">
        <w:rPr>
          <w:szCs w:val="21"/>
        </w:rPr>
        <w:t>shows the per-unit cost of replacing a stove in remote, very remote, and island communities, detailing the minimum, mean, and maximum cost.</w:t>
      </w:r>
    </w:p>
    <w:p w14:paraId="3726351E" w14:textId="5F4F4A47"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11Return" w:history="1">
        <w:r w:rsidRPr="00A817CC">
          <w:rPr>
            <w:rStyle w:val="Hyperlink"/>
            <w:sz w:val="18"/>
            <w:szCs w:val="21"/>
          </w:rPr>
          <w:t>Figure 11</w:t>
        </w:r>
      </w:hyperlink>
      <w:r w:rsidRPr="00B85E1A">
        <w:rPr>
          <w:sz w:val="18"/>
          <w:szCs w:val="21"/>
        </w:rPr>
        <w:t>.</w:t>
      </w:r>
    </w:p>
    <w:p w14:paraId="405DECF2" w14:textId="5DF859CD" w:rsidR="002E6B2F" w:rsidRPr="00B85E1A" w:rsidRDefault="002E6B2F" w:rsidP="00A050ED">
      <w:pPr>
        <w:pStyle w:val="Bullet"/>
        <w:numPr>
          <w:ilvl w:val="0"/>
          <w:numId w:val="0"/>
        </w:numPr>
        <w:rPr>
          <w:szCs w:val="21"/>
        </w:rPr>
      </w:pPr>
      <w:bookmarkStart w:id="174" w:name="Figure12"/>
      <w:r w:rsidRPr="00B85E1A">
        <w:rPr>
          <w:szCs w:val="21"/>
        </w:rPr>
        <w:t>Figure 12</w:t>
      </w:r>
      <w:bookmarkEnd w:id="174"/>
      <w:r w:rsidRPr="00B85E1A">
        <w:rPr>
          <w:szCs w:val="21"/>
        </w:rPr>
        <w:t>:</w:t>
      </w:r>
      <w:r w:rsidR="00A817CC">
        <w:rPr>
          <w:szCs w:val="21"/>
        </w:rPr>
        <w:t xml:space="preserve"> </w:t>
      </w:r>
      <w:r w:rsidR="00A817CC" w:rsidRPr="00A817CC">
        <w:rPr>
          <w:szCs w:val="21"/>
        </w:rPr>
        <w:t>details the differences in costs for planned, responsive and emergency maintenance.</w:t>
      </w:r>
    </w:p>
    <w:p w14:paraId="0ECC717E" w14:textId="0A720930"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12Return" w:history="1">
        <w:r w:rsidRPr="00A817CC">
          <w:rPr>
            <w:rStyle w:val="Hyperlink"/>
            <w:sz w:val="18"/>
            <w:szCs w:val="21"/>
          </w:rPr>
          <w:t>Figure 12</w:t>
        </w:r>
      </w:hyperlink>
      <w:r w:rsidRPr="00B85E1A">
        <w:rPr>
          <w:sz w:val="18"/>
          <w:szCs w:val="21"/>
        </w:rPr>
        <w:t>.</w:t>
      </w:r>
    </w:p>
    <w:p w14:paraId="04949600" w14:textId="5E39A4C7" w:rsidR="002E6B2F" w:rsidRPr="00B85E1A" w:rsidRDefault="002E6B2F" w:rsidP="00A050ED">
      <w:pPr>
        <w:pStyle w:val="Bullet"/>
        <w:numPr>
          <w:ilvl w:val="0"/>
          <w:numId w:val="0"/>
        </w:numPr>
        <w:rPr>
          <w:szCs w:val="21"/>
        </w:rPr>
      </w:pPr>
      <w:bookmarkStart w:id="175" w:name="Figure13"/>
      <w:r w:rsidRPr="00B85E1A">
        <w:rPr>
          <w:szCs w:val="21"/>
        </w:rPr>
        <w:lastRenderedPageBreak/>
        <w:t>Figure 13</w:t>
      </w:r>
      <w:bookmarkEnd w:id="175"/>
      <w:r w:rsidRPr="00B85E1A">
        <w:rPr>
          <w:szCs w:val="21"/>
        </w:rPr>
        <w:t>:</w:t>
      </w:r>
      <w:r w:rsidR="00B80E22" w:rsidRPr="00B80E22">
        <w:rPr>
          <w:color w:val="0070C0"/>
        </w:rPr>
        <w:t xml:space="preserve"> </w:t>
      </w:r>
      <w:r w:rsidR="00B80E22" w:rsidRPr="00B80E22">
        <w:rPr>
          <w:szCs w:val="21"/>
        </w:rPr>
        <w:t>shows the distribution of costs when comparing planned, responsive and emergency maintenance activities.</w:t>
      </w:r>
    </w:p>
    <w:p w14:paraId="5C5F8BD2" w14:textId="499EA3FF"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13Return" w:history="1">
        <w:r w:rsidRPr="00A817CC">
          <w:rPr>
            <w:rStyle w:val="Hyperlink"/>
            <w:sz w:val="18"/>
            <w:szCs w:val="21"/>
          </w:rPr>
          <w:t>Figure 13</w:t>
        </w:r>
      </w:hyperlink>
      <w:r w:rsidRPr="00B85E1A">
        <w:rPr>
          <w:sz w:val="18"/>
          <w:szCs w:val="21"/>
        </w:rPr>
        <w:t>.</w:t>
      </w:r>
    </w:p>
    <w:p w14:paraId="0649AEE9" w14:textId="108B200F" w:rsidR="002E6B2F" w:rsidRPr="00B85E1A" w:rsidRDefault="002E6B2F" w:rsidP="00A050ED">
      <w:pPr>
        <w:pStyle w:val="Bullet"/>
        <w:numPr>
          <w:ilvl w:val="0"/>
          <w:numId w:val="0"/>
        </w:numPr>
        <w:rPr>
          <w:szCs w:val="21"/>
        </w:rPr>
      </w:pPr>
      <w:bookmarkStart w:id="176" w:name="Figure14"/>
      <w:r w:rsidRPr="00B85E1A">
        <w:rPr>
          <w:szCs w:val="21"/>
        </w:rPr>
        <w:t>Figure 14</w:t>
      </w:r>
      <w:bookmarkEnd w:id="176"/>
      <w:r w:rsidRPr="00B85E1A">
        <w:rPr>
          <w:szCs w:val="21"/>
        </w:rPr>
        <w:t>:</w:t>
      </w:r>
      <w:r w:rsidR="00B80E22">
        <w:rPr>
          <w:szCs w:val="21"/>
        </w:rPr>
        <w:t xml:space="preserve"> </w:t>
      </w:r>
      <w:r w:rsidR="00B80E22" w:rsidRPr="00B80E22">
        <w:rPr>
          <w:szCs w:val="21"/>
        </w:rPr>
        <w:t>shows that as the situation moves from planned maintenance to emergency maintenance, the most significant cost becomes travel/mobilisation costs instead of labour costs.</w:t>
      </w:r>
    </w:p>
    <w:p w14:paraId="12AEB037" w14:textId="3B0C003C"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14Return" w:history="1">
        <w:r w:rsidRPr="00A817CC">
          <w:rPr>
            <w:rStyle w:val="Hyperlink"/>
            <w:sz w:val="18"/>
            <w:szCs w:val="21"/>
          </w:rPr>
          <w:t>Figure 14</w:t>
        </w:r>
      </w:hyperlink>
      <w:r w:rsidRPr="00B85E1A">
        <w:rPr>
          <w:sz w:val="18"/>
          <w:szCs w:val="21"/>
        </w:rPr>
        <w:t>.</w:t>
      </w:r>
    </w:p>
    <w:p w14:paraId="1DB8B7FC" w14:textId="5766FDC1" w:rsidR="002E6B2F" w:rsidRPr="00B85E1A" w:rsidRDefault="002E6B2F" w:rsidP="00A050ED">
      <w:pPr>
        <w:pStyle w:val="Bullet"/>
        <w:numPr>
          <w:ilvl w:val="0"/>
          <w:numId w:val="0"/>
        </w:numPr>
        <w:rPr>
          <w:szCs w:val="21"/>
        </w:rPr>
      </w:pPr>
      <w:bookmarkStart w:id="177" w:name="Figure15"/>
      <w:r w:rsidRPr="00B85E1A">
        <w:rPr>
          <w:szCs w:val="21"/>
        </w:rPr>
        <w:t>Figure 15</w:t>
      </w:r>
      <w:bookmarkEnd w:id="177"/>
      <w:r w:rsidRPr="00B85E1A">
        <w:rPr>
          <w:szCs w:val="21"/>
        </w:rPr>
        <w:t>:</w:t>
      </w:r>
      <w:r w:rsidR="00B80E22">
        <w:rPr>
          <w:szCs w:val="21"/>
        </w:rPr>
        <w:t xml:space="preserve"> </w:t>
      </w:r>
      <w:r w:rsidR="00B80E22" w:rsidRPr="00B80E22">
        <w:rPr>
          <w:szCs w:val="21"/>
        </w:rPr>
        <w:t>details the cost shortfall in different scenarios, this one on the assumption that rental income will account for 21% of the costs.</w:t>
      </w:r>
    </w:p>
    <w:p w14:paraId="3190503B" w14:textId="5C56EBD5"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15Return" w:history="1">
        <w:r w:rsidRPr="00A817CC">
          <w:rPr>
            <w:rStyle w:val="Hyperlink"/>
            <w:sz w:val="18"/>
            <w:szCs w:val="21"/>
          </w:rPr>
          <w:t>Figure 15</w:t>
        </w:r>
      </w:hyperlink>
      <w:r w:rsidRPr="00B85E1A">
        <w:rPr>
          <w:sz w:val="18"/>
          <w:szCs w:val="21"/>
        </w:rPr>
        <w:t>.</w:t>
      </w:r>
    </w:p>
    <w:p w14:paraId="52549C7F" w14:textId="6E6659BD" w:rsidR="002E6B2F" w:rsidRPr="00B85E1A" w:rsidRDefault="002E6B2F" w:rsidP="00A050ED">
      <w:pPr>
        <w:pStyle w:val="Bullet"/>
        <w:numPr>
          <w:ilvl w:val="0"/>
          <w:numId w:val="0"/>
        </w:numPr>
        <w:rPr>
          <w:szCs w:val="21"/>
        </w:rPr>
      </w:pPr>
      <w:bookmarkStart w:id="178" w:name="Figure16"/>
      <w:r w:rsidRPr="00B85E1A">
        <w:rPr>
          <w:szCs w:val="21"/>
        </w:rPr>
        <w:t>Figure 16</w:t>
      </w:r>
      <w:bookmarkEnd w:id="178"/>
      <w:r w:rsidRPr="00B85E1A">
        <w:rPr>
          <w:szCs w:val="21"/>
        </w:rPr>
        <w:t>:</w:t>
      </w:r>
      <w:r w:rsidR="00B80E22">
        <w:rPr>
          <w:szCs w:val="21"/>
        </w:rPr>
        <w:t xml:space="preserve"> d</w:t>
      </w:r>
      <w:r w:rsidR="00B80E22" w:rsidRPr="00B80E22">
        <w:rPr>
          <w:szCs w:val="21"/>
        </w:rPr>
        <w:t>etails the cost shortfall in different scenarios, this one on the assumption that rental income will account for 33% of the costs.</w:t>
      </w:r>
    </w:p>
    <w:p w14:paraId="4EB98BDE" w14:textId="4CC31FF5" w:rsidR="002E6B2F" w:rsidRPr="00B85E1A" w:rsidRDefault="002E6B2F" w:rsidP="00A050ED">
      <w:pPr>
        <w:pStyle w:val="Bullet"/>
        <w:numPr>
          <w:ilvl w:val="0"/>
          <w:numId w:val="0"/>
        </w:numPr>
        <w:rPr>
          <w:sz w:val="18"/>
          <w:szCs w:val="21"/>
        </w:rPr>
      </w:pPr>
      <w:r w:rsidRPr="00B85E1A">
        <w:rPr>
          <w:sz w:val="18"/>
          <w:szCs w:val="21"/>
        </w:rPr>
        <w:t xml:space="preserve">Go back to </w:t>
      </w:r>
      <w:hyperlink w:anchor="Figure16Return" w:history="1">
        <w:r w:rsidRPr="00A817CC">
          <w:rPr>
            <w:rStyle w:val="Hyperlink"/>
            <w:sz w:val="18"/>
            <w:szCs w:val="21"/>
          </w:rPr>
          <w:t>Figure 16</w:t>
        </w:r>
      </w:hyperlink>
      <w:r w:rsidRPr="00B85E1A">
        <w:rPr>
          <w:sz w:val="18"/>
          <w:szCs w:val="21"/>
        </w:rPr>
        <w:t>.</w:t>
      </w:r>
    </w:p>
    <w:p w14:paraId="08369920" w14:textId="5F672FD8" w:rsidR="002E6B2F" w:rsidRPr="00B85E1A" w:rsidRDefault="002E6B2F" w:rsidP="00A050ED">
      <w:pPr>
        <w:pStyle w:val="Bullet"/>
        <w:numPr>
          <w:ilvl w:val="0"/>
          <w:numId w:val="0"/>
        </w:numPr>
        <w:rPr>
          <w:szCs w:val="21"/>
        </w:rPr>
      </w:pPr>
      <w:bookmarkStart w:id="179" w:name="Figure17"/>
      <w:r w:rsidRPr="00B85E1A">
        <w:rPr>
          <w:szCs w:val="21"/>
        </w:rPr>
        <w:t>Figure 17</w:t>
      </w:r>
      <w:bookmarkEnd w:id="179"/>
      <w:r w:rsidRPr="00B85E1A">
        <w:rPr>
          <w:szCs w:val="21"/>
        </w:rPr>
        <w:t>:</w:t>
      </w:r>
      <w:r w:rsidR="00B80E22">
        <w:rPr>
          <w:szCs w:val="21"/>
        </w:rPr>
        <w:t xml:space="preserve"> </w:t>
      </w:r>
      <w:r w:rsidR="00B80E22" w:rsidRPr="00B80E22">
        <w:rPr>
          <w:szCs w:val="21"/>
        </w:rPr>
        <w:t>shows the percentage of houses passing health hardware assessment before any fix-work and after fix-work.</w:t>
      </w:r>
    </w:p>
    <w:p w14:paraId="662DB07F" w14:textId="2048C24C" w:rsidR="002E6B2F" w:rsidRDefault="002E6B2F" w:rsidP="00A050ED">
      <w:pPr>
        <w:pStyle w:val="Bullet"/>
        <w:numPr>
          <w:ilvl w:val="0"/>
          <w:numId w:val="0"/>
        </w:numPr>
        <w:rPr>
          <w:sz w:val="18"/>
          <w:szCs w:val="21"/>
        </w:rPr>
      </w:pPr>
      <w:r w:rsidRPr="00B85E1A">
        <w:rPr>
          <w:sz w:val="18"/>
          <w:szCs w:val="21"/>
        </w:rPr>
        <w:t xml:space="preserve">Go back to </w:t>
      </w:r>
      <w:hyperlink w:anchor="Figure17Return" w:history="1">
        <w:r w:rsidRPr="00A817CC">
          <w:rPr>
            <w:rStyle w:val="Hyperlink"/>
            <w:sz w:val="18"/>
            <w:szCs w:val="21"/>
          </w:rPr>
          <w:t>Figure 17</w:t>
        </w:r>
      </w:hyperlink>
      <w:r w:rsidRPr="00B85E1A">
        <w:rPr>
          <w:sz w:val="18"/>
          <w:szCs w:val="21"/>
        </w:rPr>
        <w:t>.</w:t>
      </w:r>
    </w:p>
    <w:p w14:paraId="0FC65ECF" w14:textId="761D5C77" w:rsidR="00B85E1A" w:rsidRPr="00B85E1A" w:rsidRDefault="00B85E1A" w:rsidP="00A050ED">
      <w:pPr>
        <w:pStyle w:val="Bullet"/>
        <w:numPr>
          <w:ilvl w:val="0"/>
          <w:numId w:val="0"/>
        </w:numPr>
        <w:rPr>
          <w:szCs w:val="21"/>
        </w:rPr>
      </w:pPr>
      <w:bookmarkStart w:id="180" w:name="Figure18"/>
      <w:r w:rsidRPr="00B85E1A">
        <w:rPr>
          <w:szCs w:val="21"/>
        </w:rPr>
        <w:t>Figure 18</w:t>
      </w:r>
      <w:bookmarkEnd w:id="180"/>
      <w:r w:rsidRPr="00B85E1A">
        <w:rPr>
          <w:szCs w:val="21"/>
        </w:rPr>
        <w:t>:</w:t>
      </w:r>
      <w:r w:rsidR="00B80E22">
        <w:rPr>
          <w:szCs w:val="21"/>
        </w:rPr>
        <w:t xml:space="preserve"> </w:t>
      </w:r>
      <w:r w:rsidR="00B80E22" w:rsidRPr="00B80E22">
        <w:rPr>
          <w:szCs w:val="21"/>
        </w:rPr>
        <w:t xml:space="preserve">shows that attending to more than one job per visit can result in cost efficiencies.  </w:t>
      </w:r>
    </w:p>
    <w:p w14:paraId="417552E7" w14:textId="02DAF7EC" w:rsidR="00B85E1A" w:rsidRDefault="00B85E1A" w:rsidP="00A050ED">
      <w:pPr>
        <w:pStyle w:val="Bullet"/>
        <w:numPr>
          <w:ilvl w:val="0"/>
          <w:numId w:val="0"/>
        </w:numPr>
        <w:rPr>
          <w:sz w:val="18"/>
          <w:szCs w:val="21"/>
        </w:rPr>
      </w:pPr>
      <w:r>
        <w:rPr>
          <w:sz w:val="18"/>
          <w:szCs w:val="21"/>
        </w:rPr>
        <w:t xml:space="preserve">Go back to </w:t>
      </w:r>
      <w:hyperlink w:anchor="Figure18Return" w:history="1">
        <w:r w:rsidRPr="00A817CC">
          <w:rPr>
            <w:rStyle w:val="Hyperlink"/>
            <w:sz w:val="18"/>
            <w:szCs w:val="21"/>
          </w:rPr>
          <w:t>Figure 18</w:t>
        </w:r>
      </w:hyperlink>
      <w:r>
        <w:rPr>
          <w:sz w:val="18"/>
          <w:szCs w:val="21"/>
        </w:rPr>
        <w:t>.</w:t>
      </w:r>
    </w:p>
    <w:p w14:paraId="0802ADB3" w14:textId="18102C67" w:rsidR="00B85E1A" w:rsidRPr="00B85E1A" w:rsidRDefault="00B85E1A" w:rsidP="00A050ED">
      <w:pPr>
        <w:pStyle w:val="Bullet"/>
        <w:numPr>
          <w:ilvl w:val="0"/>
          <w:numId w:val="0"/>
        </w:numPr>
        <w:rPr>
          <w:szCs w:val="21"/>
        </w:rPr>
      </w:pPr>
      <w:bookmarkStart w:id="181" w:name="Figure19"/>
      <w:r w:rsidRPr="00B85E1A">
        <w:rPr>
          <w:szCs w:val="21"/>
        </w:rPr>
        <w:t>Figure 19</w:t>
      </w:r>
      <w:bookmarkEnd w:id="181"/>
      <w:r w:rsidRPr="00B85E1A">
        <w:rPr>
          <w:szCs w:val="21"/>
        </w:rPr>
        <w:t>:</w:t>
      </w:r>
      <w:r w:rsidR="00B80E22">
        <w:rPr>
          <w:szCs w:val="21"/>
        </w:rPr>
        <w:t xml:space="preserve"> </w:t>
      </w:r>
      <w:r w:rsidR="00B80E22" w:rsidRPr="00B80E22">
        <w:rPr>
          <w:szCs w:val="21"/>
        </w:rPr>
        <w:t>shows the correlation between cost reduction and planned maintenance. As you move further away from emergency maintenance to planned maintenance, the costs are reduced.</w:t>
      </w:r>
    </w:p>
    <w:p w14:paraId="1ABFDEEC" w14:textId="247ECEC3" w:rsidR="00B85E1A" w:rsidRPr="00B85E1A" w:rsidRDefault="00B85E1A" w:rsidP="00A050ED">
      <w:pPr>
        <w:pStyle w:val="Bullet"/>
        <w:numPr>
          <w:ilvl w:val="0"/>
          <w:numId w:val="0"/>
        </w:numPr>
        <w:rPr>
          <w:sz w:val="18"/>
          <w:szCs w:val="21"/>
        </w:rPr>
      </w:pPr>
      <w:r>
        <w:rPr>
          <w:sz w:val="18"/>
          <w:szCs w:val="21"/>
        </w:rPr>
        <w:t xml:space="preserve">Go back to </w:t>
      </w:r>
      <w:hyperlink w:anchor="Figure19Return" w:history="1">
        <w:r w:rsidRPr="00A817CC">
          <w:rPr>
            <w:rStyle w:val="Hyperlink"/>
            <w:sz w:val="18"/>
            <w:szCs w:val="21"/>
          </w:rPr>
          <w:t>Figure 19</w:t>
        </w:r>
      </w:hyperlink>
      <w:r>
        <w:rPr>
          <w:sz w:val="18"/>
          <w:szCs w:val="21"/>
        </w:rPr>
        <w:t>.</w:t>
      </w:r>
    </w:p>
    <w:sectPr w:rsidR="00B85E1A" w:rsidRPr="00B85E1A" w:rsidSect="00907E68">
      <w:pgSz w:w="11906" w:h="16838" w:code="9"/>
      <w:pgMar w:top="1985" w:right="1418" w:bottom="1843" w:left="153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9F4CE" w14:textId="77777777" w:rsidR="00B00B83" w:rsidRDefault="00B00B83" w:rsidP="003C0817">
      <w:pPr>
        <w:spacing w:after="0"/>
      </w:pPr>
      <w:r>
        <w:separator/>
      </w:r>
    </w:p>
  </w:endnote>
  <w:endnote w:type="continuationSeparator" w:id="0">
    <w:p w14:paraId="4E9CB44B" w14:textId="77777777" w:rsidR="00B00B83" w:rsidRDefault="00B00B83" w:rsidP="003C0817">
      <w:pPr>
        <w:spacing w:after="0"/>
      </w:pPr>
      <w:r>
        <w:continuationSeparator/>
      </w:r>
    </w:p>
  </w:endnote>
  <w:endnote w:type="continuationNotice" w:id="1">
    <w:p w14:paraId="3A5BE15B" w14:textId="77777777" w:rsidR="00B00B83" w:rsidRDefault="00B00B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28753" w14:textId="7B9F6184" w:rsidR="00807965" w:rsidRDefault="00807965" w:rsidP="007A0A6D">
    <w:pPr>
      <w:pStyle w:val="Footer"/>
    </w:pPr>
    <w:r w:rsidRPr="00F11EEB">
      <w:rPr>
        <w:rStyle w:val="URL-nousChar"/>
      </w:rPr>
      <w:t>n</w:t>
    </w:r>
    <w:r w:rsidRPr="00F11EEB">
      <w:rPr>
        <w:rStyle w:val="URL-nousChar"/>
        <w:rFonts w:eastAsiaTheme="minorEastAsia"/>
      </w:rPr>
      <w:t>o</w:t>
    </w:r>
    <w:r w:rsidRPr="00F11EEB">
      <w:rPr>
        <w:rStyle w:val="URL-nousChar"/>
      </w:rPr>
      <w:t>us</w:t>
    </w:r>
    <w:r w:rsidRPr="00F11EEB">
      <w:rPr>
        <w:rStyle w:val="URL-groupcomauChar"/>
      </w:rPr>
      <w:t>gr</w:t>
    </w:r>
    <w:r w:rsidRPr="00F11EEB">
      <w:rPr>
        <w:rStyle w:val="URL-groupcomauChar"/>
        <w:rFonts w:eastAsiaTheme="minorEastAsia"/>
      </w:rPr>
      <w:t>o</w:t>
    </w:r>
    <w:r w:rsidRPr="00F11EEB">
      <w:rPr>
        <w:rStyle w:val="URL-groupcomauChar"/>
      </w:rPr>
      <w:t>up.com.au</w:t>
    </w:r>
    <w:r>
      <w:ptab w:relativeTo="margin" w:alignment="right" w:leader="none"/>
    </w:r>
    <w:r>
      <w:t xml:space="preserve">| </w:t>
    </w:r>
    <w:r>
      <w:fldChar w:fldCharType="begin"/>
    </w:r>
    <w:r>
      <w:instrText xml:space="preserve"> PAGE  \* roman  \* MERGEFORMAT </w:instrText>
    </w:r>
    <w:r>
      <w:fldChar w:fldCharType="separate"/>
    </w:r>
    <w:r w:rsidR="00EB227C">
      <w:rPr>
        <w:noProof/>
      </w:rPr>
      <w:t>iii</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FB83C" w14:textId="77777777" w:rsidR="00807965" w:rsidRPr="00AC3F6A" w:rsidRDefault="00807965" w:rsidP="007A0A6D">
    <w:pPr>
      <w:pStyle w:val="CoverPage-Footer"/>
    </w:pPr>
    <w:r w:rsidRPr="00AC3F6A">
      <w:t>Bold ideas | Engaging people | Influential, enduring solutions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B31B9" w14:textId="35FBB716" w:rsidR="00807965" w:rsidRPr="00194AE8" w:rsidRDefault="00807965" w:rsidP="00E25A5D">
    <w:pPr>
      <w:pStyle w:val="Footer"/>
    </w:pPr>
    <w:r w:rsidRPr="00F11EEB">
      <w:rPr>
        <w:rStyle w:val="URL-nousChar"/>
      </w:rPr>
      <w:t>n</w:t>
    </w:r>
    <w:r w:rsidRPr="00F11EEB">
      <w:rPr>
        <w:rStyle w:val="URL-nousChar"/>
        <w:rFonts w:eastAsiaTheme="minorEastAsia"/>
      </w:rPr>
      <w:t>o</w:t>
    </w:r>
    <w:r w:rsidRPr="00F11EEB">
      <w:rPr>
        <w:rStyle w:val="URL-nousChar"/>
      </w:rPr>
      <w:t>us</w:t>
    </w:r>
    <w:r w:rsidRPr="00F11EEB">
      <w:rPr>
        <w:rStyle w:val="URL-groupcomauChar"/>
      </w:rPr>
      <w:t>gr</w:t>
    </w:r>
    <w:r w:rsidRPr="00F11EEB">
      <w:rPr>
        <w:rStyle w:val="URL-groupcomauChar"/>
        <w:rFonts w:eastAsiaTheme="minorEastAsia"/>
      </w:rPr>
      <w:t>o</w:t>
    </w:r>
    <w:r w:rsidRPr="00F11EEB">
      <w:rPr>
        <w:rStyle w:val="URL-groupcomauChar"/>
      </w:rPr>
      <w:t>up.com</w:t>
    </w:r>
    <w:r>
      <w:ptab w:relativeTo="margin" w:alignment="right" w:leader="none"/>
    </w:r>
    <w:r>
      <w:t xml:space="preserve">| </w:t>
    </w:r>
    <w:r>
      <w:fldChar w:fldCharType="begin"/>
    </w:r>
    <w:r>
      <w:instrText xml:space="preserve"> PAGE  \* Arabic  \* MERGEFORMAT </w:instrText>
    </w:r>
    <w:r>
      <w:fldChar w:fldCharType="separate"/>
    </w:r>
    <w:r w:rsidR="00EB227C">
      <w:rPr>
        <w:noProof/>
      </w:rPr>
      <w:t>26</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299EA" w14:textId="77777777" w:rsidR="00B00B83" w:rsidRDefault="00B00B83" w:rsidP="003C0817">
      <w:pPr>
        <w:spacing w:after="0"/>
      </w:pPr>
      <w:r>
        <w:separator/>
      </w:r>
    </w:p>
  </w:footnote>
  <w:footnote w:type="continuationSeparator" w:id="0">
    <w:p w14:paraId="36CE7149" w14:textId="77777777" w:rsidR="00B00B83" w:rsidRDefault="00B00B83" w:rsidP="003C0817">
      <w:pPr>
        <w:spacing w:after="0"/>
      </w:pPr>
      <w:r>
        <w:continuationSeparator/>
      </w:r>
    </w:p>
  </w:footnote>
  <w:footnote w:type="continuationNotice" w:id="1">
    <w:p w14:paraId="38D4B1E6" w14:textId="77777777" w:rsidR="00B00B83" w:rsidRDefault="00B00B83">
      <w:pPr>
        <w:spacing w:after="0"/>
      </w:pPr>
    </w:p>
  </w:footnote>
  <w:footnote w:id="2">
    <w:p w14:paraId="1035E8D2" w14:textId="01AB9676" w:rsidR="00807965" w:rsidRDefault="00807965">
      <w:pPr>
        <w:pStyle w:val="FootnoteText"/>
      </w:pPr>
      <w:r>
        <w:rPr>
          <w:rStyle w:val="FootnoteReference"/>
        </w:rPr>
        <w:footnoteRef/>
      </w:r>
      <w:r>
        <w:t xml:space="preserve"> Data for one of the jurisdictions is taken from a sample of communities</w:t>
      </w:r>
    </w:p>
  </w:footnote>
  <w:footnote w:id="3">
    <w:p w14:paraId="546A9730" w14:textId="341BEE4F" w:rsidR="00807965" w:rsidRDefault="00807965">
      <w:pPr>
        <w:pStyle w:val="FootnoteText"/>
      </w:pPr>
      <w:r w:rsidRPr="00B90D68">
        <w:rPr>
          <w:rStyle w:val="FootnoteReference"/>
        </w:rPr>
        <w:footnoteRef/>
      </w:r>
      <w:r w:rsidRPr="00B90D68">
        <w:t xml:space="preserve"> Data for </w:t>
      </w:r>
      <w:r>
        <w:t>one of the jurisdictions is actual 2015/16 figures rather than 2017/18 budget as it was the most up to date data available</w:t>
      </w:r>
    </w:p>
  </w:footnote>
  <w:footnote w:id="4">
    <w:p w14:paraId="183701DA" w14:textId="7E97B5F8" w:rsidR="00807965" w:rsidRDefault="00807965">
      <w:pPr>
        <w:pStyle w:val="FootnoteText"/>
      </w:pPr>
      <w:r>
        <w:rPr>
          <w:rStyle w:val="FootnoteReference"/>
        </w:rPr>
        <w:footnoteRef/>
      </w:r>
      <w:r>
        <w:t xml:space="preserve"> Data not available for one jurisdiction</w:t>
      </w:r>
    </w:p>
  </w:footnote>
  <w:footnote w:id="5">
    <w:p w14:paraId="114ED3E0" w14:textId="4FA4B44C" w:rsidR="00807965" w:rsidRDefault="00807965" w:rsidP="00D80B0A">
      <w:pPr>
        <w:pStyle w:val="FootnoteText"/>
      </w:pPr>
      <w:r w:rsidRPr="00B90D68">
        <w:rPr>
          <w:rStyle w:val="FootnoteReference"/>
        </w:rPr>
        <w:footnoteRef/>
      </w:r>
      <w:r w:rsidRPr="00B90D68">
        <w:t xml:space="preserve"> Data for one jurisdiction is</w:t>
      </w:r>
      <w:r>
        <w:t xml:space="preserve"> actual</w:t>
      </w:r>
      <w:r w:rsidRPr="00B90D68">
        <w:t xml:space="preserve"> 2015/16 </w:t>
      </w:r>
      <w:r>
        <w:t>figures</w:t>
      </w:r>
    </w:p>
  </w:footnote>
  <w:footnote w:id="6">
    <w:p w14:paraId="139E7B73" w14:textId="77777777" w:rsidR="00807965" w:rsidRDefault="00807965" w:rsidP="00CD6DC2">
      <w:pPr>
        <w:pStyle w:val="FootnoteText"/>
      </w:pPr>
      <w:r>
        <w:rPr>
          <w:rStyle w:val="FootnoteReference"/>
        </w:rPr>
        <w:footnoteRef/>
      </w:r>
      <w:r>
        <w:t xml:space="preserve"> Data for one jurisdiction is taken from a sample of communities</w:t>
      </w:r>
    </w:p>
    <w:p w14:paraId="349A4B3A" w14:textId="4D4840BE" w:rsidR="00807965" w:rsidRDefault="00807965">
      <w:pPr>
        <w:pStyle w:val="FootnoteText"/>
      </w:pPr>
    </w:p>
  </w:footnote>
  <w:footnote w:id="7">
    <w:p w14:paraId="5CCBB0C6" w14:textId="2A0F0C53" w:rsidR="00807965" w:rsidRDefault="00807965">
      <w:pPr>
        <w:pStyle w:val="FootnoteText"/>
      </w:pPr>
      <w:r>
        <w:rPr>
          <w:rStyle w:val="FootnoteReference"/>
        </w:rPr>
        <w:footnoteRef/>
      </w:r>
      <w:r>
        <w:t xml:space="preserve"> Note that public housing data is from one jurisdiction only</w:t>
      </w:r>
    </w:p>
  </w:footnote>
  <w:footnote w:id="8">
    <w:p w14:paraId="66690836" w14:textId="71669648" w:rsidR="00807965" w:rsidRDefault="00807965">
      <w:pPr>
        <w:pStyle w:val="FootnoteText"/>
      </w:pPr>
      <w:r>
        <w:rPr>
          <w:rStyle w:val="FootnoteReference"/>
        </w:rPr>
        <w:footnoteRef/>
      </w:r>
      <w:r>
        <w:t xml:space="preserve"> As defined above, these costs are the ongoing costs of capital and recurrent maintenance and other ongoing maintenance. They do not reflect depreciation or the cost of initial construction.</w:t>
      </w:r>
    </w:p>
  </w:footnote>
  <w:footnote w:id="9">
    <w:p w14:paraId="1822FD63" w14:textId="4FC3B786" w:rsidR="00807965" w:rsidRDefault="00807965">
      <w:pPr>
        <w:pStyle w:val="FootnoteText"/>
      </w:pPr>
      <w:r>
        <w:rPr>
          <w:rStyle w:val="FootnoteReference"/>
        </w:rPr>
        <w:footnoteRef/>
      </w:r>
      <w:r>
        <w:t xml:space="preserve"> Based on data collected from one jurisdictions as part of this analysis</w:t>
      </w:r>
    </w:p>
  </w:footnote>
  <w:footnote w:id="10">
    <w:p w14:paraId="17627775" w14:textId="77777777" w:rsidR="00807965" w:rsidRDefault="00807965">
      <w:pPr>
        <w:pStyle w:val="FootnoteText"/>
      </w:pPr>
      <w:r>
        <w:rPr>
          <w:rStyle w:val="FootnoteReference"/>
        </w:rPr>
        <w:footnoteRef/>
      </w:r>
      <w:r>
        <w:t xml:space="preserve"> Based on data from one jurisdiction only</w:t>
      </w:r>
    </w:p>
  </w:footnote>
  <w:footnote w:id="11">
    <w:p w14:paraId="378D764E" w14:textId="2C96BD48" w:rsidR="00807965" w:rsidRPr="00C96D27" w:rsidRDefault="00807965" w:rsidP="008A6C3A">
      <w:pPr>
        <w:pStyle w:val="Bullet"/>
        <w:numPr>
          <w:ilvl w:val="0"/>
          <w:numId w:val="0"/>
        </w:numPr>
        <w:rPr>
          <w:color w:val="4D4D4D"/>
          <w:sz w:val="16"/>
          <w:szCs w:val="20"/>
        </w:rPr>
      </w:pPr>
      <w:r>
        <w:rPr>
          <w:rStyle w:val="FootnoteReference"/>
        </w:rPr>
        <w:footnoteRef/>
      </w:r>
      <w:r w:rsidRPr="00C96D27">
        <w:rPr>
          <w:color w:val="4D4D4D"/>
          <w:sz w:val="16"/>
          <w:szCs w:val="20"/>
        </w:rPr>
        <w:t>Habibis</w:t>
      </w:r>
      <w:r>
        <w:rPr>
          <w:color w:val="4D4D4D"/>
          <w:sz w:val="16"/>
          <w:szCs w:val="20"/>
        </w:rPr>
        <w:t xml:space="preserve"> et</w:t>
      </w:r>
      <w:r w:rsidRPr="00C96D27">
        <w:rPr>
          <w:color w:val="4D4D4D"/>
          <w:sz w:val="16"/>
          <w:szCs w:val="20"/>
        </w:rPr>
        <w:t xml:space="preserve"> al</w:t>
      </w:r>
      <w:r>
        <w:rPr>
          <w:color w:val="4D4D4D"/>
          <w:sz w:val="16"/>
          <w:szCs w:val="20"/>
        </w:rPr>
        <w:t>,</w:t>
      </w:r>
      <w:r w:rsidRPr="00C96D27">
        <w:rPr>
          <w:color w:val="4D4D4D"/>
          <w:sz w:val="16"/>
          <w:szCs w:val="20"/>
        </w:rPr>
        <w:t xml:space="preserve"> </w:t>
      </w:r>
      <w:r>
        <w:rPr>
          <w:color w:val="4D4D4D"/>
          <w:sz w:val="16"/>
          <w:szCs w:val="20"/>
        </w:rPr>
        <w:t>AHURI</w:t>
      </w:r>
      <w:r w:rsidRPr="00C96D27">
        <w:rPr>
          <w:color w:val="4D4D4D"/>
          <w:sz w:val="16"/>
          <w:szCs w:val="20"/>
        </w:rPr>
        <w:t xml:space="preserve"> , 2016</w:t>
      </w:r>
    </w:p>
    <w:p w14:paraId="49006E05" w14:textId="77777777" w:rsidR="00807965" w:rsidRDefault="00807965">
      <w:pPr>
        <w:pStyle w:val="FootnoteText"/>
      </w:pPr>
    </w:p>
  </w:footnote>
  <w:footnote w:id="12">
    <w:p w14:paraId="30898DEF" w14:textId="15CF67CC" w:rsidR="00807965" w:rsidRDefault="00807965">
      <w:pPr>
        <w:pStyle w:val="FootnoteText"/>
      </w:pPr>
      <w:r>
        <w:rPr>
          <w:rStyle w:val="FootnoteReference"/>
        </w:rPr>
        <w:footnoteRef/>
      </w:r>
      <w:r>
        <w:t xml:space="preserve"> Rawlinsons Construction Cost Guide, 2016</w:t>
      </w:r>
    </w:p>
  </w:footnote>
  <w:footnote w:id="13">
    <w:p w14:paraId="44A1F160" w14:textId="5EAD151F" w:rsidR="00807965" w:rsidRDefault="00807965">
      <w:pPr>
        <w:pStyle w:val="FootnoteText"/>
      </w:pPr>
      <w:r>
        <w:rPr>
          <w:rStyle w:val="FootnoteReference"/>
        </w:rPr>
        <w:footnoteRef/>
      </w:r>
      <w:r>
        <w:t xml:space="preserve"> J Fien &amp; E Charlesworth, ‘Why isn’t it solved?’ Factors affecting improvements in housing outcomes in remote Indigenous communities in Australia,  Habitat International, 36, 2012</w:t>
      </w:r>
    </w:p>
  </w:footnote>
  <w:footnote w:id="14">
    <w:p w14:paraId="2816D4AE" w14:textId="77777777" w:rsidR="00807965" w:rsidRDefault="00807965">
      <w:pPr>
        <w:pStyle w:val="FootnoteText"/>
      </w:pPr>
      <w:r>
        <w:rPr>
          <w:rStyle w:val="FootnoteReference"/>
        </w:rPr>
        <w:footnoteRef/>
      </w:r>
      <w:r>
        <w:t xml:space="preserve"> This represents data for one jurisdiction only</w:t>
      </w:r>
    </w:p>
  </w:footnote>
  <w:footnote w:id="15">
    <w:p w14:paraId="7ED6E819" w14:textId="054A8D82" w:rsidR="00807965" w:rsidRDefault="00807965" w:rsidP="00FD392E">
      <w:pPr>
        <w:pStyle w:val="Bullet"/>
        <w:numPr>
          <w:ilvl w:val="0"/>
          <w:numId w:val="0"/>
        </w:numPr>
        <w:ind w:left="340" w:hanging="340"/>
      </w:pPr>
      <w:r>
        <w:rPr>
          <w:rStyle w:val="FootnoteReference"/>
        </w:rPr>
        <w:footnoteRef/>
      </w:r>
      <w:r>
        <w:t xml:space="preserve"> </w:t>
      </w:r>
      <w:r w:rsidRPr="0077280C">
        <w:rPr>
          <w:color w:val="4D4D4D"/>
          <w:sz w:val="16"/>
          <w:szCs w:val="20"/>
        </w:rPr>
        <w:t>Habibis et al, Reviewing changes to housing management on remote Indigenous communities, AHURI, 2016</w:t>
      </w:r>
    </w:p>
  </w:footnote>
  <w:footnote w:id="16">
    <w:p w14:paraId="45E9DFF2" w14:textId="77777777" w:rsidR="00807965" w:rsidRDefault="00807965">
      <w:pPr>
        <w:pStyle w:val="FootnoteText"/>
      </w:pPr>
      <w:r>
        <w:rPr>
          <w:rStyle w:val="FootnoteReference"/>
        </w:rPr>
        <w:footnoteRef/>
      </w:r>
      <w:r>
        <w:t xml:space="preserve"> </w:t>
      </w:r>
      <w:r w:rsidRPr="00EC4B38">
        <w:t>2011 review conducted by Rider Levett Bucknall of construction methods and whole of life costs for typical houses delivered under the Strategic Indigenous Housing and Infrastructure Program – NT Alliance</w:t>
      </w:r>
      <w:r>
        <w:t>.</w:t>
      </w:r>
    </w:p>
  </w:footnote>
  <w:footnote w:id="17">
    <w:p w14:paraId="1A2B6C33" w14:textId="77777777" w:rsidR="00807965" w:rsidRDefault="00807965" w:rsidP="00C87B56">
      <w:pPr>
        <w:pStyle w:val="FootnoteText"/>
      </w:pPr>
      <w:r>
        <w:rPr>
          <w:rStyle w:val="FootnoteReference"/>
        </w:rPr>
        <w:footnoteRef/>
      </w:r>
      <w:r>
        <w:t xml:space="preserve"> T McPeake &amp; P Pholeros, Fixing houses for better health in remote communities, National Housing Conference, 2005</w:t>
      </w:r>
    </w:p>
  </w:footnote>
  <w:footnote w:id="18">
    <w:p w14:paraId="7D510A2F" w14:textId="2A50DB7C" w:rsidR="00807965" w:rsidRPr="008923D0" w:rsidRDefault="00807965" w:rsidP="008923D0">
      <w:pPr>
        <w:pStyle w:val="Bullet"/>
        <w:numPr>
          <w:ilvl w:val="0"/>
          <w:numId w:val="0"/>
        </w:numPr>
        <w:rPr>
          <w:color w:val="4D4D4D"/>
          <w:sz w:val="16"/>
        </w:rPr>
      </w:pPr>
      <w:r>
        <w:rPr>
          <w:rStyle w:val="FootnoteReference"/>
        </w:rPr>
        <w:footnoteRef/>
      </w:r>
      <w:r w:rsidRPr="008923D0">
        <w:rPr>
          <w:rStyle w:val="FootnoteReference"/>
        </w:rPr>
        <w:t xml:space="preserve"> </w:t>
      </w:r>
      <w:r w:rsidRPr="008923D0">
        <w:rPr>
          <w:color w:val="4D4D4D"/>
          <w:sz w:val="16"/>
        </w:rPr>
        <w:t xml:space="preserve">FAHCSIA (Department </w:t>
      </w:r>
      <w:r>
        <w:rPr>
          <w:color w:val="4D4D4D"/>
          <w:sz w:val="16"/>
        </w:rPr>
        <w:t>o</w:t>
      </w:r>
      <w:r w:rsidRPr="008923D0">
        <w:rPr>
          <w:color w:val="4D4D4D"/>
          <w:sz w:val="16"/>
        </w:rPr>
        <w:t>f Families, Housing, Community Services ad Indigenous Affairs), N</w:t>
      </w:r>
      <w:r>
        <w:rPr>
          <w:color w:val="4D4D4D"/>
          <w:sz w:val="16"/>
        </w:rPr>
        <w:t>a</w:t>
      </w:r>
      <w:r w:rsidRPr="008923D0">
        <w:rPr>
          <w:color w:val="4D4D4D"/>
          <w:sz w:val="16"/>
        </w:rPr>
        <w:t>tional Indigenous housing guide, 2008, as quoted in P Pholeros &amp; P Phibbs, Constructing and maintaining houses, Resource sheet no.13 produced for Closing the Gap Clearing House, Australian Institue of Health and Welfare, 2012</w:t>
      </w:r>
    </w:p>
    <w:p w14:paraId="48200108" w14:textId="1C3841BD" w:rsidR="00807965" w:rsidRDefault="00807965">
      <w:pPr>
        <w:pStyle w:val="FootnoteText"/>
      </w:pPr>
    </w:p>
  </w:footnote>
  <w:footnote w:id="19">
    <w:p w14:paraId="21C23508" w14:textId="7A23494D" w:rsidR="00807965" w:rsidRPr="00290F05" w:rsidRDefault="00807965" w:rsidP="00290F05">
      <w:pPr>
        <w:pStyle w:val="Bullet"/>
        <w:numPr>
          <w:ilvl w:val="0"/>
          <w:numId w:val="0"/>
        </w:numPr>
        <w:rPr>
          <w:color w:val="4D4D4D"/>
          <w:sz w:val="16"/>
        </w:rPr>
      </w:pPr>
      <w:r>
        <w:rPr>
          <w:rStyle w:val="FootnoteReference"/>
        </w:rPr>
        <w:footnoteRef/>
      </w:r>
      <w:r>
        <w:t xml:space="preserve"> </w:t>
      </w:r>
      <w:r w:rsidRPr="008923D0">
        <w:rPr>
          <w:color w:val="4D4D4D"/>
          <w:sz w:val="16"/>
        </w:rPr>
        <w:t>P Pholeros &amp; P Phibbs, Constructing and maintaining houses, Resource sheet no.13 produced for Closing the Gap Clearing House, Australian Institu</w:t>
      </w:r>
      <w:r>
        <w:rPr>
          <w:color w:val="4D4D4D"/>
          <w:sz w:val="16"/>
        </w:rPr>
        <w:t>t</w:t>
      </w:r>
      <w:r w:rsidRPr="008923D0">
        <w:rPr>
          <w:color w:val="4D4D4D"/>
          <w:sz w:val="16"/>
        </w:rPr>
        <w:t>e of Health and Welfare, 2012</w:t>
      </w:r>
    </w:p>
  </w:footnote>
  <w:footnote w:id="20">
    <w:p w14:paraId="28EF1C50" w14:textId="672E27CC" w:rsidR="00807965" w:rsidRPr="00F97B82" w:rsidRDefault="00807965" w:rsidP="00F97B82">
      <w:pPr>
        <w:pStyle w:val="Bullet"/>
        <w:numPr>
          <w:ilvl w:val="0"/>
          <w:numId w:val="0"/>
        </w:numPr>
        <w:ind w:left="340" w:hanging="340"/>
        <w:rPr>
          <w:color w:val="4D4D4D"/>
          <w:sz w:val="16"/>
        </w:rPr>
      </w:pPr>
      <w:r w:rsidRPr="00125A1B">
        <w:rPr>
          <w:rStyle w:val="FootnoteReference"/>
        </w:rPr>
        <w:footnoteRef/>
      </w:r>
      <w:r w:rsidRPr="00125A1B">
        <w:rPr>
          <w:rStyle w:val="FootnoteReference"/>
        </w:rPr>
        <w:t xml:space="preserve"> </w:t>
      </w:r>
      <w:r w:rsidRPr="00F97B82">
        <w:rPr>
          <w:color w:val="4D4D4D"/>
          <w:sz w:val="16"/>
        </w:rPr>
        <w:t>Habibis et al, Reviewing changes to housing management on remote Indigenous communities, AHURI, 2016</w:t>
      </w:r>
    </w:p>
  </w:footnote>
  <w:footnote w:id="21">
    <w:p w14:paraId="5D53A075" w14:textId="70D4F6FA" w:rsidR="00807965" w:rsidRDefault="00807965">
      <w:pPr>
        <w:pStyle w:val="FootnoteText"/>
      </w:pPr>
      <w:r>
        <w:rPr>
          <w:rStyle w:val="FootnoteReference"/>
        </w:rPr>
        <w:footnoteRef/>
      </w:r>
      <w:r>
        <w:t xml:space="preserve"> Current state cost shortfall displayed does not represent actual shortfall figure. $100 used for illustrative purposes only.</w:t>
      </w:r>
    </w:p>
  </w:footnote>
  <w:footnote w:id="22">
    <w:p w14:paraId="3EE744A1" w14:textId="0C775E28" w:rsidR="00807965" w:rsidRDefault="00807965">
      <w:pPr>
        <w:pStyle w:val="FootnoteText"/>
      </w:pPr>
      <w:r>
        <w:rPr>
          <w:rStyle w:val="FootnoteReference"/>
        </w:rPr>
        <w:footnoteRef/>
      </w:r>
      <w:r>
        <w:t xml:space="preserve"> Commonwealth administrative data</w:t>
      </w:r>
    </w:p>
  </w:footnote>
  <w:footnote w:id="23">
    <w:p w14:paraId="6FBCE4F5" w14:textId="1058A01E" w:rsidR="00807965" w:rsidRDefault="00807965">
      <w:pPr>
        <w:pStyle w:val="FootnoteText"/>
      </w:pPr>
      <w:r>
        <w:rPr>
          <w:rStyle w:val="FootnoteReference"/>
        </w:rPr>
        <w:footnoteRef/>
      </w:r>
      <w:r>
        <w:t xml:space="preserve"> Based on Commonwealth administrative data, 2014/15</w:t>
      </w:r>
    </w:p>
  </w:footnote>
  <w:footnote w:id="24">
    <w:p w14:paraId="46FCBF62" w14:textId="77777777" w:rsidR="00807965" w:rsidRPr="00FE0144" w:rsidRDefault="00807965" w:rsidP="00FE0144">
      <w:pPr>
        <w:pStyle w:val="Bullet"/>
        <w:numPr>
          <w:ilvl w:val="0"/>
          <w:numId w:val="0"/>
        </w:numPr>
        <w:ind w:left="102"/>
        <w:rPr>
          <w:color w:val="4D4D4D"/>
          <w:sz w:val="16"/>
          <w:szCs w:val="20"/>
        </w:rPr>
      </w:pPr>
      <w:r>
        <w:rPr>
          <w:rStyle w:val="FootnoteReference"/>
        </w:rPr>
        <w:footnoteRef/>
      </w:r>
      <w:r>
        <w:t xml:space="preserve"> </w:t>
      </w:r>
      <w:r w:rsidRPr="00FE0144">
        <w:rPr>
          <w:color w:val="4D4D4D"/>
          <w:sz w:val="16"/>
          <w:szCs w:val="20"/>
        </w:rPr>
        <w:t>P Pholeros, T Lea, S Rainow, T Sowerbutts, P Torzillo, Improving the state of health hardware in Australian Indigenous housing: building more houses is not the only answer, International journal of circumpolar health, 72, 2013</w:t>
      </w:r>
    </w:p>
    <w:p w14:paraId="6A9C6B1D" w14:textId="14F492CF" w:rsidR="00807965" w:rsidRDefault="00807965" w:rsidP="007B4809">
      <w:pPr>
        <w:pStyle w:val="FootnoteText"/>
      </w:pPr>
    </w:p>
  </w:footnote>
  <w:footnote w:id="25">
    <w:p w14:paraId="0F4D8F39" w14:textId="48FEE646" w:rsidR="00807965" w:rsidRDefault="00807965">
      <w:pPr>
        <w:pStyle w:val="FootnoteText"/>
      </w:pPr>
      <w:r>
        <w:rPr>
          <w:rStyle w:val="FootnoteReference"/>
        </w:rPr>
        <w:footnoteRef/>
      </w:r>
      <w:r>
        <w:t xml:space="preserve"> </w:t>
      </w:r>
      <w:r w:rsidRPr="008923D0">
        <w:t>P Pholeros &amp; P Phibbs, Constructing and maintaining houses, Resource sheet no.13 produced for Closing the Gap Clearing House, Australian Institu</w:t>
      </w:r>
      <w:r>
        <w:t>y</w:t>
      </w:r>
      <w:r w:rsidRPr="008923D0">
        <w:t>e of Health and Welfare, 2012</w:t>
      </w:r>
    </w:p>
  </w:footnote>
  <w:footnote w:id="26">
    <w:p w14:paraId="3CB51538" w14:textId="7163DA09" w:rsidR="00807965" w:rsidRDefault="00807965" w:rsidP="00D50288">
      <w:pPr>
        <w:pStyle w:val="FootnoteText"/>
      </w:pPr>
      <w:r>
        <w:rPr>
          <w:rStyle w:val="FootnoteReference"/>
        </w:rPr>
        <w:footnoteRef/>
      </w:r>
      <w:r>
        <w:t xml:space="preserve"> Health Habitat data, from one community in far-west New South Wales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4832" w14:textId="77777777" w:rsidR="00807965" w:rsidRDefault="00B00B83">
    <w:pPr>
      <w:pStyle w:val="Header"/>
    </w:pPr>
    <w:r>
      <w:rPr>
        <w:noProof/>
      </w:rPr>
      <w:pict w14:anchorId="4A50E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94.65pt;height:236.7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24A57" w14:textId="77777777" w:rsidR="00807965" w:rsidRDefault="00B00B83">
    <w:pPr>
      <w:pStyle w:val="Header"/>
    </w:pPr>
    <w:r>
      <w:rPr>
        <w:noProof/>
      </w:rPr>
      <w:pict w14:anchorId="1C645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394.65pt;height:236.7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07965" w:rsidRPr="00F278EC">
      <w:rPr>
        <w:noProof/>
      </w:rPr>
      <mc:AlternateContent>
        <mc:Choice Requires="wpg">
          <w:drawing>
            <wp:anchor distT="0" distB="0" distL="114300" distR="114300" simplePos="0" relativeHeight="251658240" behindDoc="0" locked="0" layoutInCell="1" allowOverlap="1" wp14:anchorId="51ADFC51" wp14:editId="1AB584D9">
              <wp:simplePos x="0" y="0"/>
              <wp:positionH relativeFrom="column">
                <wp:posOffset>4461197</wp:posOffset>
              </wp:positionH>
              <wp:positionV relativeFrom="page">
                <wp:posOffset>548640</wp:posOffset>
              </wp:positionV>
              <wp:extent cx="2160000" cy="435600"/>
              <wp:effectExtent l="0" t="0" r="0" b="3175"/>
              <wp:wrapNone/>
              <wp:docPr id="82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0" cy="435600"/>
                        <a:chOff x="0" y="0"/>
                        <a:chExt cx="2568576" cy="517526"/>
                      </a:xfrm>
                    </wpg:grpSpPr>
                    <wps:wsp>
                      <wps:cNvPr id="822" name="Freeform 822"/>
                      <wps:cNvSpPr>
                        <a:spLocks/>
                      </wps:cNvSpPr>
                      <wps:spPr bwMode="auto">
                        <a:xfrm>
                          <a:off x="1206500" y="3175"/>
                          <a:ext cx="266700" cy="417513"/>
                        </a:xfrm>
                        <a:custGeom>
                          <a:avLst/>
                          <a:gdLst>
                            <a:gd name="T0" fmla="*/ 62 w 71"/>
                            <a:gd name="T1" fmla="*/ 60 h 111"/>
                            <a:gd name="T2" fmla="*/ 33 w 71"/>
                            <a:gd name="T3" fmla="*/ 46 h 111"/>
                            <a:gd name="T4" fmla="*/ 17 w 71"/>
                            <a:gd name="T5" fmla="*/ 27 h 111"/>
                            <a:gd name="T6" fmla="*/ 39 w 71"/>
                            <a:gd name="T7" fmla="*/ 10 h 111"/>
                            <a:gd name="T8" fmla="*/ 64 w 71"/>
                            <a:gd name="T9" fmla="*/ 19 h 111"/>
                            <a:gd name="T10" fmla="*/ 66 w 71"/>
                            <a:gd name="T11" fmla="*/ 20 h 111"/>
                            <a:gd name="T12" fmla="*/ 71 w 71"/>
                            <a:gd name="T13" fmla="*/ 11 h 111"/>
                            <a:gd name="T14" fmla="*/ 70 w 71"/>
                            <a:gd name="T15" fmla="*/ 10 h 111"/>
                            <a:gd name="T16" fmla="*/ 39 w 71"/>
                            <a:gd name="T17" fmla="*/ 0 h 111"/>
                            <a:gd name="T18" fmla="*/ 15 w 71"/>
                            <a:gd name="T19" fmla="*/ 8 h 111"/>
                            <a:gd name="T20" fmla="*/ 6 w 71"/>
                            <a:gd name="T21" fmla="*/ 28 h 111"/>
                            <a:gd name="T22" fmla="*/ 15 w 71"/>
                            <a:gd name="T23" fmla="*/ 48 h 111"/>
                            <a:gd name="T24" fmla="*/ 44 w 71"/>
                            <a:gd name="T25" fmla="*/ 62 h 111"/>
                            <a:gd name="T26" fmla="*/ 60 w 71"/>
                            <a:gd name="T27" fmla="*/ 82 h 111"/>
                            <a:gd name="T28" fmla="*/ 37 w 71"/>
                            <a:gd name="T29" fmla="*/ 100 h 111"/>
                            <a:gd name="T30" fmla="*/ 7 w 71"/>
                            <a:gd name="T31" fmla="*/ 89 h 111"/>
                            <a:gd name="T32" fmla="*/ 5 w 71"/>
                            <a:gd name="T33" fmla="*/ 88 h 111"/>
                            <a:gd name="T34" fmla="*/ 0 w 71"/>
                            <a:gd name="T35" fmla="*/ 97 h 111"/>
                            <a:gd name="T36" fmla="*/ 1 w 71"/>
                            <a:gd name="T37" fmla="*/ 98 h 111"/>
                            <a:gd name="T38" fmla="*/ 37 w 71"/>
                            <a:gd name="T39" fmla="*/ 110 h 111"/>
                            <a:gd name="T40" fmla="*/ 37 w 71"/>
                            <a:gd name="T41" fmla="*/ 110 h 111"/>
                            <a:gd name="T42" fmla="*/ 62 w 71"/>
                            <a:gd name="T43" fmla="*/ 101 h 111"/>
                            <a:gd name="T44" fmla="*/ 71 w 71"/>
                            <a:gd name="T45" fmla="*/ 80 h 111"/>
                            <a:gd name="T46" fmla="*/ 62 w 71"/>
                            <a:gd name="T47" fmla="*/ 6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111">
                              <a:moveTo>
                                <a:pt x="62" y="60"/>
                              </a:moveTo>
                              <a:cubicBezTo>
                                <a:pt x="54" y="54"/>
                                <a:pt x="43" y="50"/>
                                <a:pt x="33" y="46"/>
                              </a:cubicBezTo>
                              <a:cubicBezTo>
                                <a:pt x="24" y="42"/>
                                <a:pt x="17" y="37"/>
                                <a:pt x="17" y="27"/>
                              </a:cubicBezTo>
                              <a:cubicBezTo>
                                <a:pt x="17" y="18"/>
                                <a:pt x="24" y="10"/>
                                <a:pt x="39" y="10"/>
                              </a:cubicBezTo>
                              <a:cubicBezTo>
                                <a:pt x="48" y="10"/>
                                <a:pt x="55" y="13"/>
                                <a:pt x="64" y="19"/>
                              </a:cubicBezTo>
                              <a:cubicBezTo>
                                <a:pt x="66" y="20"/>
                                <a:pt x="66" y="20"/>
                                <a:pt x="66" y="20"/>
                              </a:cubicBezTo>
                              <a:cubicBezTo>
                                <a:pt x="71" y="11"/>
                                <a:pt x="71" y="11"/>
                                <a:pt x="71" y="11"/>
                              </a:cubicBezTo>
                              <a:cubicBezTo>
                                <a:pt x="70" y="10"/>
                                <a:pt x="70" y="10"/>
                                <a:pt x="70" y="10"/>
                              </a:cubicBezTo>
                              <a:cubicBezTo>
                                <a:pt x="60" y="4"/>
                                <a:pt x="50" y="0"/>
                                <a:pt x="39" y="0"/>
                              </a:cubicBezTo>
                              <a:cubicBezTo>
                                <a:pt x="29" y="0"/>
                                <a:pt x="21" y="3"/>
                                <a:pt x="15" y="8"/>
                              </a:cubicBezTo>
                              <a:cubicBezTo>
                                <a:pt x="9" y="14"/>
                                <a:pt x="6" y="21"/>
                                <a:pt x="6" y="28"/>
                              </a:cubicBezTo>
                              <a:cubicBezTo>
                                <a:pt x="6" y="37"/>
                                <a:pt x="10" y="43"/>
                                <a:pt x="15" y="48"/>
                              </a:cubicBezTo>
                              <a:cubicBezTo>
                                <a:pt x="23" y="55"/>
                                <a:pt x="35" y="58"/>
                                <a:pt x="44" y="62"/>
                              </a:cubicBezTo>
                              <a:cubicBezTo>
                                <a:pt x="54" y="67"/>
                                <a:pt x="60" y="71"/>
                                <a:pt x="60" y="82"/>
                              </a:cubicBezTo>
                              <a:cubicBezTo>
                                <a:pt x="60" y="92"/>
                                <a:pt x="52" y="100"/>
                                <a:pt x="37" y="100"/>
                              </a:cubicBezTo>
                              <a:cubicBezTo>
                                <a:pt x="26" y="100"/>
                                <a:pt x="16" y="96"/>
                                <a:pt x="7" y="89"/>
                              </a:cubicBezTo>
                              <a:cubicBezTo>
                                <a:pt x="5" y="88"/>
                                <a:pt x="5" y="88"/>
                                <a:pt x="5" y="88"/>
                              </a:cubicBezTo>
                              <a:cubicBezTo>
                                <a:pt x="0" y="97"/>
                                <a:pt x="0" y="97"/>
                                <a:pt x="0" y="97"/>
                              </a:cubicBezTo>
                              <a:cubicBezTo>
                                <a:pt x="1" y="98"/>
                                <a:pt x="1" y="98"/>
                                <a:pt x="1" y="98"/>
                              </a:cubicBezTo>
                              <a:cubicBezTo>
                                <a:pt x="12" y="105"/>
                                <a:pt x="24" y="110"/>
                                <a:pt x="37" y="110"/>
                              </a:cubicBezTo>
                              <a:cubicBezTo>
                                <a:pt x="37" y="110"/>
                                <a:pt x="37" y="110"/>
                                <a:pt x="37" y="110"/>
                              </a:cubicBezTo>
                              <a:cubicBezTo>
                                <a:pt x="47" y="111"/>
                                <a:pt x="56" y="107"/>
                                <a:pt x="62" y="101"/>
                              </a:cubicBezTo>
                              <a:cubicBezTo>
                                <a:pt x="68" y="96"/>
                                <a:pt x="71" y="88"/>
                                <a:pt x="71" y="80"/>
                              </a:cubicBezTo>
                              <a:cubicBezTo>
                                <a:pt x="71" y="71"/>
                                <a:pt x="67" y="65"/>
                                <a:pt x="62" y="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CE9F9A" w14:textId="77777777" w:rsidR="00807965" w:rsidRDefault="00807965" w:rsidP="007A0A6D"/>
                        </w:txbxContent>
                      </wps:txbx>
                      <wps:bodyPr vert="horz" wrap="square" lIns="91440" tIns="45720" rIns="91440" bIns="45720" numCol="1" anchor="t" anchorCtr="0" compatLnSpc="1">
                        <a:prstTxWarp prst="textNoShape">
                          <a:avLst/>
                        </a:prstTxWarp>
                      </wps:bodyPr>
                    </wps:wsp>
                    <wps:wsp>
                      <wps:cNvPr id="823" name="Freeform 823"/>
                      <wps:cNvSpPr>
                        <a:spLocks/>
                      </wps:cNvSpPr>
                      <wps:spPr bwMode="auto">
                        <a:xfrm>
                          <a:off x="820738" y="11113"/>
                          <a:ext cx="322263" cy="404813"/>
                        </a:xfrm>
                        <a:custGeom>
                          <a:avLst/>
                          <a:gdLst>
                            <a:gd name="T0" fmla="*/ 75 w 86"/>
                            <a:gd name="T1" fmla="*/ 0 h 108"/>
                            <a:gd name="T2" fmla="*/ 75 w 86"/>
                            <a:gd name="T3" fmla="*/ 76 h 108"/>
                            <a:gd name="T4" fmla="*/ 36 w 86"/>
                            <a:gd name="T5" fmla="*/ 98 h 108"/>
                            <a:gd name="T6" fmla="*/ 17 w 86"/>
                            <a:gd name="T7" fmla="*/ 90 h 108"/>
                            <a:gd name="T8" fmla="*/ 11 w 86"/>
                            <a:gd name="T9" fmla="*/ 69 h 108"/>
                            <a:gd name="T10" fmla="*/ 11 w 86"/>
                            <a:gd name="T11" fmla="*/ 0 h 108"/>
                            <a:gd name="T12" fmla="*/ 0 w 86"/>
                            <a:gd name="T13" fmla="*/ 0 h 108"/>
                            <a:gd name="T14" fmla="*/ 0 w 86"/>
                            <a:gd name="T15" fmla="*/ 70 h 108"/>
                            <a:gd name="T16" fmla="*/ 9 w 86"/>
                            <a:gd name="T17" fmla="*/ 97 h 108"/>
                            <a:gd name="T18" fmla="*/ 36 w 86"/>
                            <a:gd name="T19" fmla="*/ 108 h 108"/>
                            <a:gd name="T20" fmla="*/ 36 w 86"/>
                            <a:gd name="T21" fmla="*/ 108 h 108"/>
                            <a:gd name="T22" fmla="*/ 75 w 86"/>
                            <a:gd name="T23" fmla="*/ 89 h 108"/>
                            <a:gd name="T24" fmla="*/ 75 w 86"/>
                            <a:gd name="T25" fmla="*/ 108 h 108"/>
                            <a:gd name="T26" fmla="*/ 78 w 86"/>
                            <a:gd name="T27" fmla="*/ 106 h 108"/>
                            <a:gd name="T28" fmla="*/ 86 w 86"/>
                            <a:gd name="T29" fmla="*/ 100 h 108"/>
                            <a:gd name="T30" fmla="*/ 86 w 86"/>
                            <a:gd name="T31" fmla="*/ 100 h 108"/>
                            <a:gd name="T32" fmla="*/ 86 w 86"/>
                            <a:gd name="T33" fmla="*/ 0 h 108"/>
                            <a:gd name="T34" fmla="*/ 75 w 86"/>
                            <a:gd name="T3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08">
                              <a:moveTo>
                                <a:pt x="75" y="0"/>
                              </a:moveTo>
                              <a:cubicBezTo>
                                <a:pt x="75" y="76"/>
                                <a:pt x="75" y="76"/>
                                <a:pt x="75" y="76"/>
                              </a:cubicBezTo>
                              <a:cubicBezTo>
                                <a:pt x="64" y="88"/>
                                <a:pt x="50" y="98"/>
                                <a:pt x="36" y="98"/>
                              </a:cubicBezTo>
                              <a:cubicBezTo>
                                <a:pt x="27" y="98"/>
                                <a:pt x="21" y="95"/>
                                <a:pt x="17" y="90"/>
                              </a:cubicBezTo>
                              <a:cubicBezTo>
                                <a:pt x="13" y="85"/>
                                <a:pt x="11" y="78"/>
                                <a:pt x="11" y="69"/>
                              </a:cubicBezTo>
                              <a:cubicBezTo>
                                <a:pt x="11" y="0"/>
                                <a:pt x="11" y="0"/>
                                <a:pt x="11" y="0"/>
                              </a:cubicBezTo>
                              <a:cubicBezTo>
                                <a:pt x="0" y="0"/>
                                <a:pt x="0" y="0"/>
                                <a:pt x="0" y="0"/>
                              </a:cubicBezTo>
                              <a:cubicBezTo>
                                <a:pt x="0" y="70"/>
                                <a:pt x="0" y="70"/>
                                <a:pt x="0" y="70"/>
                              </a:cubicBezTo>
                              <a:cubicBezTo>
                                <a:pt x="0" y="81"/>
                                <a:pt x="3" y="90"/>
                                <a:pt x="9" y="97"/>
                              </a:cubicBezTo>
                              <a:cubicBezTo>
                                <a:pt x="14" y="104"/>
                                <a:pt x="23" y="108"/>
                                <a:pt x="36" y="108"/>
                              </a:cubicBezTo>
                              <a:cubicBezTo>
                                <a:pt x="36" y="108"/>
                                <a:pt x="36" y="108"/>
                                <a:pt x="36" y="108"/>
                              </a:cubicBezTo>
                              <a:cubicBezTo>
                                <a:pt x="51" y="108"/>
                                <a:pt x="65" y="99"/>
                                <a:pt x="75" y="89"/>
                              </a:cubicBezTo>
                              <a:cubicBezTo>
                                <a:pt x="75" y="108"/>
                                <a:pt x="75" y="108"/>
                                <a:pt x="75" y="108"/>
                              </a:cubicBezTo>
                              <a:cubicBezTo>
                                <a:pt x="78" y="106"/>
                                <a:pt x="78" y="106"/>
                                <a:pt x="78" y="106"/>
                              </a:cubicBezTo>
                              <a:cubicBezTo>
                                <a:pt x="81" y="104"/>
                                <a:pt x="83" y="102"/>
                                <a:pt x="86" y="100"/>
                              </a:cubicBezTo>
                              <a:cubicBezTo>
                                <a:pt x="86" y="100"/>
                                <a:pt x="86" y="100"/>
                                <a:pt x="86" y="100"/>
                              </a:cubicBezTo>
                              <a:cubicBezTo>
                                <a:pt x="86" y="0"/>
                                <a:pt x="86" y="0"/>
                                <a:pt x="86" y="0"/>
                              </a:cubicBezTo>
                              <a:lnTo>
                                <a:pt x="75"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F8B83A" w14:textId="77777777" w:rsidR="00807965" w:rsidRDefault="00807965" w:rsidP="007A0A6D"/>
                        </w:txbxContent>
                      </wps:txbx>
                      <wps:bodyPr vert="horz" wrap="square" lIns="91440" tIns="45720" rIns="91440" bIns="45720" numCol="1" anchor="t" anchorCtr="0" compatLnSpc="1">
                        <a:prstTxWarp prst="textNoShape">
                          <a:avLst/>
                        </a:prstTxWarp>
                      </wps:bodyPr>
                    </wps:wsp>
                    <wps:wsp>
                      <wps:cNvPr id="824" name="Freeform 824"/>
                      <wps:cNvSpPr>
                        <a:spLocks/>
                      </wps:cNvSpPr>
                      <wps:spPr bwMode="auto">
                        <a:xfrm>
                          <a:off x="0" y="0"/>
                          <a:ext cx="325438" cy="407988"/>
                        </a:xfrm>
                        <a:custGeom>
                          <a:avLst/>
                          <a:gdLst>
                            <a:gd name="T0" fmla="*/ 12 w 87"/>
                            <a:gd name="T1" fmla="*/ 109 h 109"/>
                            <a:gd name="T2" fmla="*/ 12 w 87"/>
                            <a:gd name="T3" fmla="*/ 32 h 109"/>
                            <a:gd name="T4" fmla="*/ 50 w 87"/>
                            <a:gd name="T5" fmla="*/ 11 h 109"/>
                            <a:gd name="T6" fmla="*/ 69 w 87"/>
                            <a:gd name="T7" fmla="*/ 18 h 109"/>
                            <a:gd name="T8" fmla="*/ 75 w 87"/>
                            <a:gd name="T9" fmla="*/ 39 h 109"/>
                            <a:gd name="T10" fmla="*/ 75 w 87"/>
                            <a:gd name="T11" fmla="*/ 109 h 109"/>
                            <a:gd name="T12" fmla="*/ 87 w 87"/>
                            <a:gd name="T13" fmla="*/ 109 h 109"/>
                            <a:gd name="T14" fmla="*/ 87 w 87"/>
                            <a:gd name="T15" fmla="*/ 38 h 109"/>
                            <a:gd name="T16" fmla="*/ 78 w 87"/>
                            <a:gd name="T17" fmla="*/ 11 h 109"/>
                            <a:gd name="T18" fmla="*/ 51 w 87"/>
                            <a:gd name="T19" fmla="*/ 0 h 109"/>
                            <a:gd name="T20" fmla="*/ 51 w 87"/>
                            <a:gd name="T21" fmla="*/ 0 h 109"/>
                            <a:gd name="T22" fmla="*/ 11 w 87"/>
                            <a:gd name="T23" fmla="*/ 19 h 109"/>
                            <a:gd name="T24" fmla="*/ 12 w 87"/>
                            <a:gd name="T25" fmla="*/ 0 h 109"/>
                            <a:gd name="T26" fmla="*/ 9 w 87"/>
                            <a:gd name="T27" fmla="*/ 2 h 109"/>
                            <a:gd name="T28" fmla="*/ 1 w 87"/>
                            <a:gd name="T29" fmla="*/ 8 h 109"/>
                            <a:gd name="T30" fmla="*/ 0 w 87"/>
                            <a:gd name="T31" fmla="*/ 9 h 109"/>
                            <a:gd name="T32" fmla="*/ 0 w 87"/>
                            <a:gd name="T33" fmla="*/ 109 h 109"/>
                            <a:gd name="T34" fmla="*/ 12 w 87"/>
                            <a:gd name="T3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7" h="109">
                              <a:moveTo>
                                <a:pt x="12" y="109"/>
                              </a:moveTo>
                              <a:cubicBezTo>
                                <a:pt x="12" y="32"/>
                                <a:pt x="12" y="32"/>
                                <a:pt x="12" y="32"/>
                              </a:cubicBezTo>
                              <a:cubicBezTo>
                                <a:pt x="23" y="20"/>
                                <a:pt x="37" y="11"/>
                                <a:pt x="50" y="11"/>
                              </a:cubicBezTo>
                              <a:cubicBezTo>
                                <a:pt x="59" y="11"/>
                                <a:pt x="65" y="13"/>
                                <a:pt x="69" y="18"/>
                              </a:cubicBezTo>
                              <a:cubicBezTo>
                                <a:pt x="73" y="23"/>
                                <a:pt x="75" y="30"/>
                                <a:pt x="75" y="39"/>
                              </a:cubicBezTo>
                              <a:cubicBezTo>
                                <a:pt x="75" y="109"/>
                                <a:pt x="75" y="109"/>
                                <a:pt x="75" y="109"/>
                              </a:cubicBezTo>
                              <a:cubicBezTo>
                                <a:pt x="87" y="109"/>
                                <a:pt x="87" y="109"/>
                                <a:pt x="87" y="109"/>
                              </a:cubicBezTo>
                              <a:cubicBezTo>
                                <a:pt x="87" y="38"/>
                                <a:pt x="87" y="38"/>
                                <a:pt x="87" y="38"/>
                              </a:cubicBezTo>
                              <a:cubicBezTo>
                                <a:pt x="87" y="28"/>
                                <a:pt x="84" y="18"/>
                                <a:pt x="78" y="11"/>
                              </a:cubicBezTo>
                              <a:cubicBezTo>
                                <a:pt x="72" y="4"/>
                                <a:pt x="63" y="0"/>
                                <a:pt x="51" y="0"/>
                              </a:cubicBezTo>
                              <a:cubicBezTo>
                                <a:pt x="51" y="0"/>
                                <a:pt x="51" y="0"/>
                                <a:pt x="51" y="0"/>
                              </a:cubicBezTo>
                              <a:cubicBezTo>
                                <a:pt x="36" y="0"/>
                                <a:pt x="21" y="9"/>
                                <a:pt x="11" y="19"/>
                              </a:cubicBezTo>
                              <a:cubicBezTo>
                                <a:pt x="12" y="0"/>
                                <a:pt x="12" y="0"/>
                                <a:pt x="12" y="0"/>
                              </a:cubicBezTo>
                              <a:cubicBezTo>
                                <a:pt x="9" y="2"/>
                                <a:pt x="9" y="2"/>
                                <a:pt x="9" y="2"/>
                              </a:cubicBezTo>
                              <a:cubicBezTo>
                                <a:pt x="6" y="4"/>
                                <a:pt x="3" y="6"/>
                                <a:pt x="1" y="8"/>
                              </a:cubicBezTo>
                              <a:cubicBezTo>
                                <a:pt x="0" y="9"/>
                                <a:pt x="0" y="9"/>
                                <a:pt x="0" y="9"/>
                              </a:cubicBezTo>
                              <a:cubicBezTo>
                                <a:pt x="0" y="109"/>
                                <a:pt x="0" y="109"/>
                                <a:pt x="0" y="109"/>
                              </a:cubicBezTo>
                              <a:lnTo>
                                <a:pt x="12" y="109"/>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B8B29F" w14:textId="77777777" w:rsidR="00807965" w:rsidRDefault="00807965" w:rsidP="007A0A6D"/>
                        </w:txbxContent>
                      </wps:txbx>
                      <wps:bodyPr vert="horz" wrap="square" lIns="91440" tIns="45720" rIns="91440" bIns="45720" numCol="1" anchor="t" anchorCtr="0" compatLnSpc="1">
                        <a:prstTxWarp prst="textNoShape">
                          <a:avLst/>
                        </a:prstTxWarp>
                      </wps:bodyPr>
                    </wps:wsp>
                    <wps:wsp>
                      <wps:cNvPr id="825" name="Freeform 825"/>
                      <wps:cNvSpPr>
                        <a:spLocks noEditPoints="1"/>
                      </wps:cNvSpPr>
                      <wps:spPr bwMode="auto">
                        <a:xfrm>
                          <a:off x="1574800" y="198438"/>
                          <a:ext cx="195263" cy="319088"/>
                        </a:xfrm>
                        <a:custGeom>
                          <a:avLst/>
                          <a:gdLst>
                            <a:gd name="T0" fmla="*/ 45 w 52"/>
                            <a:gd name="T1" fmla="*/ 1 h 85"/>
                            <a:gd name="T2" fmla="*/ 45 w 52"/>
                            <a:gd name="T3" fmla="*/ 7 h 85"/>
                            <a:gd name="T4" fmla="*/ 27 w 52"/>
                            <a:gd name="T5" fmla="*/ 0 h 85"/>
                            <a:gd name="T6" fmla="*/ 0 w 52"/>
                            <a:gd name="T7" fmla="*/ 29 h 85"/>
                            <a:gd name="T8" fmla="*/ 27 w 52"/>
                            <a:gd name="T9" fmla="*/ 57 h 85"/>
                            <a:gd name="T10" fmla="*/ 45 w 52"/>
                            <a:gd name="T11" fmla="*/ 51 h 85"/>
                            <a:gd name="T12" fmla="*/ 45 w 52"/>
                            <a:gd name="T13" fmla="*/ 61 h 85"/>
                            <a:gd name="T14" fmla="*/ 28 w 52"/>
                            <a:gd name="T15" fmla="*/ 79 h 85"/>
                            <a:gd name="T16" fmla="*/ 12 w 52"/>
                            <a:gd name="T17" fmla="*/ 76 h 85"/>
                            <a:gd name="T18" fmla="*/ 12 w 52"/>
                            <a:gd name="T19" fmla="*/ 76 h 85"/>
                            <a:gd name="T20" fmla="*/ 11 w 52"/>
                            <a:gd name="T21" fmla="*/ 75 h 85"/>
                            <a:gd name="T22" fmla="*/ 11 w 52"/>
                            <a:gd name="T23" fmla="*/ 77 h 85"/>
                            <a:gd name="T24" fmla="*/ 10 w 52"/>
                            <a:gd name="T25" fmla="*/ 80 h 85"/>
                            <a:gd name="T26" fmla="*/ 10 w 52"/>
                            <a:gd name="T27" fmla="*/ 80 h 85"/>
                            <a:gd name="T28" fmla="*/ 9 w 52"/>
                            <a:gd name="T29" fmla="*/ 81 h 85"/>
                            <a:gd name="T30" fmla="*/ 9 w 52"/>
                            <a:gd name="T31" fmla="*/ 82 h 85"/>
                            <a:gd name="T32" fmla="*/ 10 w 52"/>
                            <a:gd name="T33" fmla="*/ 82 h 85"/>
                            <a:gd name="T34" fmla="*/ 10 w 52"/>
                            <a:gd name="T35" fmla="*/ 82 h 85"/>
                            <a:gd name="T36" fmla="*/ 28 w 52"/>
                            <a:gd name="T37" fmla="*/ 85 h 85"/>
                            <a:gd name="T38" fmla="*/ 28 w 52"/>
                            <a:gd name="T39" fmla="*/ 85 h 85"/>
                            <a:gd name="T40" fmla="*/ 46 w 52"/>
                            <a:gd name="T41" fmla="*/ 79 h 85"/>
                            <a:gd name="T42" fmla="*/ 52 w 52"/>
                            <a:gd name="T43" fmla="*/ 61 h 85"/>
                            <a:gd name="T44" fmla="*/ 52 w 52"/>
                            <a:gd name="T45" fmla="*/ 1 h 85"/>
                            <a:gd name="T46" fmla="*/ 45 w 52"/>
                            <a:gd name="T47" fmla="*/ 1 h 85"/>
                            <a:gd name="T48" fmla="*/ 45 w 52"/>
                            <a:gd name="T49" fmla="*/ 15 h 85"/>
                            <a:gd name="T50" fmla="*/ 45 w 52"/>
                            <a:gd name="T51" fmla="*/ 42 h 85"/>
                            <a:gd name="T52" fmla="*/ 27 w 52"/>
                            <a:gd name="T53" fmla="*/ 51 h 85"/>
                            <a:gd name="T54" fmla="*/ 7 w 52"/>
                            <a:gd name="T55" fmla="*/ 29 h 85"/>
                            <a:gd name="T56" fmla="*/ 27 w 52"/>
                            <a:gd name="T57" fmla="*/ 6 h 85"/>
                            <a:gd name="T58" fmla="*/ 45 w 52"/>
                            <a:gd name="T59" fmla="*/ 1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85">
                              <a:moveTo>
                                <a:pt x="45" y="1"/>
                              </a:moveTo>
                              <a:cubicBezTo>
                                <a:pt x="45" y="7"/>
                                <a:pt x="45" y="7"/>
                                <a:pt x="45" y="7"/>
                              </a:cubicBezTo>
                              <a:cubicBezTo>
                                <a:pt x="40" y="2"/>
                                <a:pt x="34" y="0"/>
                                <a:pt x="27" y="0"/>
                              </a:cubicBezTo>
                              <a:cubicBezTo>
                                <a:pt x="12" y="0"/>
                                <a:pt x="0" y="12"/>
                                <a:pt x="0" y="29"/>
                              </a:cubicBezTo>
                              <a:cubicBezTo>
                                <a:pt x="0" y="45"/>
                                <a:pt x="11" y="57"/>
                                <a:pt x="27" y="57"/>
                              </a:cubicBezTo>
                              <a:cubicBezTo>
                                <a:pt x="35" y="57"/>
                                <a:pt x="41" y="54"/>
                                <a:pt x="45" y="51"/>
                              </a:cubicBezTo>
                              <a:cubicBezTo>
                                <a:pt x="45" y="61"/>
                                <a:pt x="45" y="61"/>
                                <a:pt x="45" y="61"/>
                              </a:cubicBezTo>
                              <a:cubicBezTo>
                                <a:pt x="45" y="74"/>
                                <a:pt x="40" y="79"/>
                                <a:pt x="28" y="79"/>
                              </a:cubicBezTo>
                              <a:cubicBezTo>
                                <a:pt x="23" y="79"/>
                                <a:pt x="18" y="78"/>
                                <a:pt x="12" y="76"/>
                              </a:cubicBezTo>
                              <a:cubicBezTo>
                                <a:pt x="12" y="76"/>
                                <a:pt x="12" y="76"/>
                                <a:pt x="12" y="76"/>
                              </a:cubicBezTo>
                              <a:cubicBezTo>
                                <a:pt x="11" y="75"/>
                                <a:pt x="11" y="75"/>
                                <a:pt x="11" y="75"/>
                              </a:cubicBezTo>
                              <a:cubicBezTo>
                                <a:pt x="11" y="77"/>
                                <a:pt x="11" y="77"/>
                                <a:pt x="11" y="77"/>
                              </a:cubicBezTo>
                              <a:cubicBezTo>
                                <a:pt x="10" y="78"/>
                                <a:pt x="10" y="80"/>
                                <a:pt x="10" y="80"/>
                              </a:cubicBezTo>
                              <a:cubicBezTo>
                                <a:pt x="10" y="80"/>
                                <a:pt x="10" y="80"/>
                                <a:pt x="10" y="80"/>
                              </a:cubicBezTo>
                              <a:cubicBezTo>
                                <a:pt x="9" y="81"/>
                                <a:pt x="9" y="81"/>
                                <a:pt x="9" y="81"/>
                              </a:cubicBezTo>
                              <a:cubicBezTo>
                                <a:pt x="9" y="82"/>
                                <a:pt x="9" y="82"/>
                                <a:pt x="9" y="82"/>
                              </a:cubicBezTo>
                              <a:cubicBezTo>
                                <a:pt x="10" y="82"/>
                                <a:pt x="10" y="82"/>
                                <a:pt x="10" y="82"/>
                              </a:cubicBezTo>
                              <a:cubicBezTo>
                                <a:pt x="10" y="82"/>
                                <a:pt x="10" y="82"/>
                                <a:pt x="10" y="82"/>
                              </a:cubicBezTo>
                              <a:cubicBezTo>
                                <a:pt x="16" y="84"/>
                                <a:pt x="22" y="85"/>
                                <a:pt x="28" y="85"/>
                              </a:cubicBezTo>
                              <a:cubicBezTo>
                                <a:pt x="28" y="85"/>
                                <a:pt x="28" y="85"/>
                                <a:pt x="28" y="85"/>
                              </a:cubicBezTo>
                              <a:cubicBezTo>
                                <a:pt x="36" y="85"/>
                                <a:pt x="42" y="83"/>
                                <a:pt x="46" y="79"/>
                              </a:cubicBezTo>
                              <a:cubicBezTo>
                                <a:pt x="50" y="75"/>
                                <a:pt x="52" y="69"/>
                                <a:pt x="52" y="61"/>
                              </a:cubicBezTo>
                              <a:cubicBezTo>
                                <a:pt x="52" y="1"/>
                                <a:pt x="52" y="1"/>
                                <a:pt x="52" y="1"/>
                              </a:cubicBezTo>
                              <a:lnTo>
                                <a:pt x="45" y="1"/>
                              </a:lnTo>
                              <a:close/>
                              <a:moveTo>
                                <a:pt x="45" y="15"/>
                              </a:moveTo>
                              <a:cubicBezTo>
                                <a:pt x="45" y="42"/>
                                <a:pt x="45" y="42"/>
                                <a:pt x="45" y="42"/>
                              </a:cubicBezTo>
                              <a:cubicBezTo>
                                <a:pt x="40" y="48"/>
                                <a:pt x="34" y="51"/>
                                <a:pt x="27" y="51"/>
                              </a:cubicBezTo>
                              <a:cubicBezTo>
                                <a:pt x="15" y="51"/>
                                <a:pt x="7" y="42"/>
                                <a:pt x="7" y="29"/>
                              </a:cubicBezTo>
                              <a:cubicBezTo>
                                <a:pt x="7" y="15"/>
                                <a:pt x="15" y="6"/>
                                <a:pt x="27" y="6"/>
                              </a:cubicBezTo>
                              <a:cubicBezTo>
                                <a:pt x="34" y="6"/>
                                <a:pt x="41" y="9"/>
                                <a:pt x="45" y="15"/>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86AA30" w14:textId="77777777" w:rsidR="00807965" w:rsidRDefault="00807965" w:rsidP="007A0A6D"/>
                        </w:txbxContent>
                      </wps:txbx>
                      <wps:bodyPr vert="horz" wrap="square" lIns="91440" tIns="45720" rIns="91440" bIns="45720" numCol="1" anchor="t" anchorCtr="0" compatLnSpc="1">
                        <a:prstTxWarp prst="textNoShape">
                          <a:avLst/>
                        </a:prstTxWarp>
                      </wps:bodyPr>
                    </wps:wsp>
                    <wps:wsp>
                      <wps:cNvPr id="826" name="Freeform 826"/>
                      <wps:cNvSpPr>
                        <a:spLocks noEditPoints="1"/>
                      </wps:cNvSpPr>
                      <wps:spPr bwMode="auto">
                        <a:xfrm>
                          <a:off x="1919288" y="195263"/>
                          <a:ext cx="203200" cy="217488"/>
                        </a:xfrm>
                        <a:custGeom>
                          <a:avLst/>
                          <a:gdLst>
                            <a:gd name="T0" fmla="*/ 27 w 54"/>
                            <a:gd name="T1" fmla="*/ 0 h 58"/>
                            <a:gd name="T2" fmla="*/ 0 w 54"/>
                            <a:gd name="T3" fmla="*/ 29 h 58"/>
                            <a:gd name="T4" fmla="*/ 27 w 54"/>
                            <a:gd name="T5" fmla="*/ 58 h 58"/>
                            <a:gd name="T6" fmla="*/ 27 w 54"/>
                            <a:gd name="T7" fmla="*/ 58 h 58"/>
                            <a:gd name="T8" fmla="*/ 54 w 54"/>
                            <a:gd name="T9" fmla="*/ 29 h 58"/>
                            <a:gd name="T10" fmla="*/ 27 w 54"/>
                            <a:gd name="T11" fmla="*/ 0 h 58"/>
                            <a:gd name="T12" fmla="*/ 27 w 54"/>
                            <a:gd name="T13" fmla="*/ 51 h 58"/>
                            <a:gd name="T14" fmla="*/ 7 w 54"/>
                            <a:gd name="T15" fmla="*/ 29 h 58"/>
                            <a:gd name="T16" fmla="*/ 27 w 54"/>
                            <a:gd name="T17" fmla="*/ 6 h 58"/>
                            <a:gd name="T18" fmla="*/ 48 w 54"/>
                            <a:gd name="T19" fmla="*/ 29 h 58"/>
                            <a:gd name="T20" fmla="*/ 27 w 54"/>
                            <a:gd name="T21" fmla="*/ 5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58">
                              <a:moveTo>
                                <a:pt x="27" y="0"/>
                              </a:moveTo>
                              <a:cubicBezTo>
                                <a:pt x="12" y="0"/>
                                <a:pt x="0" y="13"/>
                                <a:pt x="0" y="29"/>
                              </a:cubicBezTo>
                              <a:cubicBezTo>
                                <a:pt x="0" y="45"/>
                                <a:pt x="12" y="58"/>
                                <a:pt x="27" y="58"/>
                              </a:cubicBezTo>
                              <a:cubicBezTo>
                                <a:pt x="27" y="58"/>
                                <a:pt x="27" y="58"/>
                                <a:pt x="27" y="58"/>
                              </a:cubicBezTo>
                              <a:cubicBezTo>
                                <a:pt x="43" y="58"/>
                                <a:pt x="54" y="45"/>
                                <a:pt x="54" y="29"/>
                              </a:cubicBezTo>
                              <a:cubicBezTo>
                                <a:pt x="54" y="13"/>
                                <a:pt x="43" y="0"/>
                                <a:pt x="27" y="0"/>
                              </a:cubicBezTo>
                              <a:close/>
                              <a:moveTo>
                                <a:pt x="27" y="51"/>
                              </a:moveTo>
                              <a:cubicBezTo>
                                <a:pt x="16" y="51"/>
                                <a:pt x="7" y="42"/>
                                <a:pt x="7" y="29"/>
                              </a:cubicBezTo>
                              <a:cubicBezTo>
                                <a:pt x="7" y="16"/>
                                <a:pt x="16" y="7"/>
                                <a:pt x="27" y="6"/>
                              </a:cubicBezTo>
                              <a:cubicBezTo>
                                <a:pt x="39" y="7"/>
                                <a:pt x="48" y="16"/>
                                <a:pt x="48" y="29"/>
                              </a:cubicBezTo>
                              <a:cubicBezTo>
                                <a:pt x="48" y="42"/>
                                <a:pt x="39" y="51"/>
                                <a:pt x="27" y="5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FF2EC7" w14:textId="77777777" w:rsidR="00807965" w:rsidRDefault="00807965" w:rsidP="007A0A6D"/>
                        </w:txbxContent>
                      </wps:txbx>
                      <wps:bodyPr vert="horz" wrap="square" lIns="91440" tIns="45720" rIns="91440" bIns="45720" numCol="1" anchor="t" anchorCtr="0" compatLnSpc="1">
                        <a:prstTxWarp prst="textNoShape">
                          <a:avLst/>
                        </a:prstTxWarp>
                      </wps:bodyPr>
                    </wps:wsp>
                    <wps:wsp>
                      <wps:cNvPr id="827" name="Freeform 827"/>
                      <wps:cNvSpPr>
                        <a:spLocks noEditPoints="1"/>
                      </wps:cNvSpPr>
                      <wps:spPr bwMode="auto">
                        <a:xfrm>
                          <a:off x="2373313" y="195263"/>
                          <a:ext cx="195263" cy="314325"/>
                        </a:xfrm>
                        <a:custGeom>
                          <a:avLst/>
                          <a:gdLst>
                            <a:gd name="T0" fmla="*/ 25 w 52"/>
                            <a:gd name="T1" fmla="*/ 0 h 84"/>
                            <a:gd name="T2" fmla="*/ 7 w 52"/>
                            <a:gd name="T3" fmla="*/ 7 h 84"/>
                            <a:gd name="T4" fmla="*/ 7 w 52"/>
                            <a:gd name="T5" fmla="*/ 1 h 84"/>
                            <a:gd name="T6" fmla="*/ 0 w 52"/>
                            <a:gd name="T7" fmla="*/ 1 h 84"/>
                            <a:gd name="T8" fmla="*/ 0 w 52"/>
                            <a:gd name="T9" fmla="*/ 84 h 84"/>
                            <a:gd name="T10" fmla="*/ 7 w 52"/>
                            <a:gd name="T11" fmla="*/ 84 h 84"/>
                            <a:gd name="T12" fmla="*/ 7 w 52"/>
                            <a:gd name="T13" fmla="*/ 52 h 84"/>
                            <a:gd name="T14" fmla="*/ 25 w 52"/>
                            <a:gd name="T15" fmla="*/ 58 h 84"/>
                            <a:gd name="T16" fmla="*/ 52 w 52"/>
                            <a:gd name="T17" fmla="*/ 29 h 84"/>
                            <a:gd name="T18" fmla="*/ 25 w 52"/>
                            <a:gd name="T19" fmla="*/ 0 h 84"/>
                            <a:gd name="T20" fmla="*/ 25 w 52"/>
                            <a:gd name="T21" fmla="*/ 51 h 84"/>
                            <a:gd name="T22" fmla="*/ 7 w 52"/>
                            <a:gd name="T23" fmla="*/ 44 h 84"/>
                            <a:gd name="T24" fmla="*/ 7 w 52"/>
                            <a:gd name="T25" fmla="*/ 15 h 84"/>
                            <a:gd name="T26" fmla="*/ 25 w 52"/>
                            <a:gd name="T27" fmla="*/ 6 h 84"/>
                            <a:gd name="T28" fmla="*/ 45 w 52"/>
                            <a:gd name="T29" fmla="*/ 29 h 84"/>
                            <a:gd name="T30" fmla="*/ 25 w 52"/>
                            <a:gd name="T31" fmla="*/ 5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4">
                              <a:moveTo>
                                <a:pt x="25" y="0"/>
                              </a:moveTo>
                              <a:cubicBezTo>
                                <a:pt x="16" y="0"/>
                                <a:pt x="10" y="4"/>
                                <a:pt x="7" y="7"/>
                              </a:cubicBezTo>
                              <a:cubicBezTo>
                                <a:pt x="7" y="1"/>
                                <a:pt x="7" y="1"/>
                                <a:pt x="7" y="1"/>
                              </a:cubicBezTo>
                              <a:cubicBezTo>
                                <a:pt x="0" y="1"/>
                                <a:pt x="0" y="1"/>
                                <a:pt x="0" y="1"/>
                              </a:cubicBezTo>
                              <a:cubicBezTo>
                                <a:pt x="0" y="84"/>
                                <a:pt x="0" y="84"/>
                                <a:pt x="0" y="84"/>
                              </a:cubicBezTo>
                              <a:cubicBezTo>
                                <a:pt x="7" y="84"/>
                                <a:pt x="7" y="84"/>
                                <a:pt x="7" y="84"/>
                              </a:cubicBezTo>
                              <a:cubicBezTo>
                                <a:pt x="7" y="52"/>
                                <a:pt x="7" y="52"/>
                                <a:pt x="7" y="52"/>
                              </a:cubicBezTo>
                              <a:cubicBezTo>
                                <a:pt x="11" y="55"/>
                                <a:pt x="17" y="58"/>
                                <a:pt x="25" y="58"/>
                              </a:cubicBezTo>
                              <a:cubicBezTo>
                                <a:pt x="40" y="58"/>
                                <a:pt x="52" y="46"/>
                                <a:pt x="52" y="29"/>
                              </a:cubicBezTo>
                              <a:cubicBezTo>
                                <a:pt x="52" y="13"/>
                                <a:pt x="40" y="0"/>
                                <a:pt x="25" y="0"/>
                              </a:cubicBezTo>
                              <a:close/>
                              <a:moveTo>
                                <a:pt x="25" y="51"/>
                              </a:moveTo>
                              <a:cubicBezTo>
                                <a:pt x="18" y="51"/>
                                <a:pt x="12" y="49"/>
                                <a:pt x="7" y="44"/>
                              </a:cubicBezTo>
                              <a:cubicBezTo>
                                <a:pt x="7" y="15"/>
                                <a:pt x="7" y="15"/>
                                <a:pt x="7" y="15"/>
                              </a:cubicBezTo>
                              <a:cubicBezTo>
                                <a:pt x="11" y="10"/>
                                <a:pt x="18" y="6"/>
                                <a:pt x="25" y="6"/>
                              </a:cubicBezTo>
                              <a:cubicBezTo>
                                <a:pt x="37" y="7"/>
                                <a:pt x="45" y="16"/>
                                <a:pt x="45" y="29"/>
                              </a:cubicBezTo>
                              <a:cubicBezTo>
                                <a:pt x="45" y="43"/>
                                <a:pt x="37" y="51"/>
                                <a:pt x="25" y="5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4577AA" w14:textId="77777777" w:rsidR="00807965" w:rsidRDefault="00807965" w:rsidP="007A0A6D"/>
                        </w:txbxContent>
                      </wps:txbx>
                      <wps:bodyPr vert="horz" wrap="square" lIns="91440" tIns="45720" rIns="91440" bIns="45720" numCol="1" anchor="t" anchorCtr="0" compatLnSpc="1">
                        <a:prstTxWarp prst="textNoShape">
                          <a:avLst/>
                        </a:prstTxWarp>
                      </wps:bodyPr>
                    </wps:wsp>
                    <wps:wsp>
                      <wps:cNvPr id="828" name="Freeform 828"/>
                      <wps:cNvSpPr>
                        <a:spLocks/>
                      </wps:cNvSpPr>
                      <wps:spPr bwMode="auto">
                        <a:xfrm>
                          <a:off x="2160588" y="198438"/>
                          <a:ext cx="168275" cy="214313"/>
                        </a:xfrm>
                        <a:custGeom>
                          <a:avLst/>
                          <a:gdLst>
                            <a:gd name="T0" fmla="*/ 38 w 45"/>
                            <a:gd name="T1" fmla="*/ 0 h 57"/>
                            <a:gd name="T2" fmla="*/ 38 w 45"/>
                            <a:gd name="T3" fmla="*/ 40 h 57"/>
                            <a:gd name="T4" fmla="*/ 19 w 45"/>
                            <a:gd name="T5" fmla="*/ 50 h 57"/>
                            <a:gd name="T6" fmla="*/ 6 w 45"/>
                            <a:gd name="T7" fmla="*/ 36 h 57"/>
                            <a:gd name="T8" fmla="*/ 6 w 45"/>
                            <a:gd name="T9" fmla="*/ 0 h 57"/>
                            <a:gd name="T10" fmla="*/ 0 w 45"/>
                            <a:gd name="T11" fmla="*/ 0 h 57"/>
                            <a:gd name="T12" fmla="*/ 0 w 45"/>
                            <a:gd name="T13" fmla="*/ 37 h 57"/>
                            <a:gd name="T14" fmla="*/ 4 w 45"/>
                            <a:gd name="T15" fmla="*/ 51 h 57"/>
                            <a:gd name="T16" fmla="*/ 18 w 45"/>
                            <a:gd name="T17" fmla="*/ 57 h 57"/>
                            <a:gd name="T18" fmla="*/ 38 w 45"/>
                            <a:gd name="T19" fmla="*/ 48 h 57"/>
                            <a:gd name="T20" fmla="*/ 38 w 45"/>
                            <a:gd name="T21" fmla="*/ 57 h 57"/>
                            <a:gd name="T22" fmla="*/ 40 w 45"/>
                            <a:gd name="T23" fmla="*/ 55 h 57"/>
                            <a:gd name="T24" fmla="*/ 44 w 45"/>
                            <a:gd name="T25" fmla="*/ 51 h 57"/>
                            <a:gd name="T26" fmla="*/ 44 w 45"/>
                            <a:gd name="T27" fmla="*/ 51 h 57"/>
                            <a:gd name="T28" fmla="*/ 45 w 45"/>
                            <a:gd name="T29" fmla="*/ 51 h 57"/>
                            <a:gd name="T30" fmla="*/ 45 w 45"/>
                            <a:gd name="T31" fmla="*/ 0 h 57"/>
                            <a:gd name="T32" fmla="*/ 38 w 45"/>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57">
                              <a:moveTo>
                                <a:pt x="38" y="0"/>
                              </a:moveTo>
                              <a:cubicBezTo>
                                <a:pt x="38" y="40"/>
                                <a:pt x="38" y="40"/>
                                <a:pt x="38" y="40"/>
                              </a:cubicBezTo>
                              <a:cubicBezTo>
                                <a:pt x="34" y="44"/>
                                <a:pt x="27" y="51"/>
                                <a:pt x="19" y="50"/>
                              </a:cubicBezTo>
                              <a:cubicBezTo>
                                <a:pt x="10" y="50"/>
                                <a:pt x="6" y="46"/>
                                <a:pt x="6" y="36"/>
                              </a:cubicBezTo>
                              <a:cubicBezTo>
                                <a:pt x="6" y="0"/>
                                <a:pt x="6" y="0"/>
                                <a:pt x="6" y="0"/>
                              </a:cubicBezTo>
                              <a:cubicBezTo>
                                <a:pt x="0" y="0"/>
                                <a:pt x="0" y="0"/>
                                <a:pt x="0" y="0"/>
                              </a:cubicBezTo>
                              <a:cubicBezTo>
                                <a:pt x="0" y="37"/>
                                <a:pt x="0" y="37"/>
                                <a:pt x="0" y="37"/>
                              </a:cubicBezTo>
                              <a:cubicBezTo>
                                <a:pt x="0" y="43"/>
                                <a:pt x="1" y="48"/>
                                <a:pt x="4" y="51"/>
                              </a:cubicBezTo>
                              <a:cubicBezTo>
                                <a:pt x="8" y="55"/>
                                <a:pt x="12" y="57"/>
                                <a:pt x="18" y="57"/>
                              </a:cubicBezTo>
                              <a:cubicBezTo>
                                <a:pt x="27" y="57"/>
                                <a:pt x="34" y="51"/>
                                <a:pt x="38" y="48"/>
                              </a:cubicBezTo>
                              <a:cubicBezTo>
                                <a:pt x="38" y="57"/>
                                <a:pt x="38" y="57"/>
                                <a:pt x="38" y="57"/>
                              </a:cubicBezTo>
                              <a:cubicBezTo>
                                <a:pt x="40" y="55"/>
                                <a:pt x="40" y="55"/>
                                <a:pt x="40" y="55"/>
                              </a:cubicBezTo>
                              <a:cubicBezTo>
                                <a:pt x="42" y="54"/>
                                <a:pt x="43" y="53"/>
                                <a:pt x="44" y="51"/>
                              </a:cubicBezTo>
                              <a:cubicBezTo>
                                <a:pt x="44" y="51"/>
                                <a:pt x="44" y="51"/>
                                <a:pt x="44" y="51"/>
                              </a:cubicBezTo>
                              <a:cubicBezTo>
                                <a:pt x="45" y="51"/>
                                <a:pt x="45" y="51"/>
                                <a:pt x="45" y="51"/>
                              </a:cubicBezTo>
                              <a:cubicBezTo>
                                <a:pt x="45" y="0"/>
                                <a:pt x="45" y="0"/>
                                <a:pt x="45" y="0"/>
                              </a:cubicBezTo>
                              <a:lnTo>
                                <a:pt x="38"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992BCF" w14:textId="77777777" w:rsidR="00807965" w:rsidRDefault="00807965" w:rsidP="007A0A6D"/>
                        </w:txbxContent>
                      </wps:txbx>
                      <wps:bodyPr vert="horz" wrap="square" lIns="91440" tIns="45720" rIns="91440" bIns="45720" numCol="1" anchor="t" anchorCtr="0" compatLnSpc="1">
                        <a:prstTxWarp prst="textNoShape">
                          <a:avLst/>
                        </a:prstTxWarp>
                      </wps:bodyPr>
                    </wps:wsp>
                    <wps:wsp>
                      <wps:cNvPr id="829" name="Freeform 829"/>
                      <wps:cNvSpPr>
                        <a:spLocks/>
                      </wps:cNvSpPr>
                      <wps:spPr bwMode="auto">
                        <a:xfrm>
                          <a:off x="1814513" y="195263"/>
                          <a:ext cx="98425" cy="212725"/>
                        </a:xfrm>
                        <a:custGeom>
                          <a:avLst/>
                          <a:gdLst>
                            <a:gd name="T0" fmla="*/ 25 w 26"/>
                            <a:gd name="T1" fmla="*/ 0 h 57"/>
                            <a:gd name="T2" fmla="*/ 7 w 26"/>
                            <a:gd name="T3" fmla="*/ 10 h 57"/>
                            <a:gd name="T4" fmla="*/ 7 w 26"/>
                            <a:gd name="T5" fmla="*/ 0 h 57"/>
                            <a:gd name="T6" fmla="*/ 5 w 26"/>
                            <a:gd name="T7" fmla="*/ 2 h 57"/>
                            <a:gd name="T8" fmla="*/ 1 w 26"/>
                            <a:gd name="T9" fmla="*/ 5 h 57"/>
                            <a:gd name="T10" fmla="*/ 0 w 26"/>
                            <a:gd name="T11" fmla="*/ 5 h 57"/>
                            <a:gd name="T12" fmla="*/ 0 w 26"/>
                            <a:gd name="T13" fmla="*/ 6 h 57"/>
                            <a:gd name="T14" fmla="*/ 0 w 26"/>
                            <a:gd name="T15" fmla="*/ 57 h 57"/>
                            <a:gd name="T16" fmla="*/ 7 w 26"/>
                            <a:gd name="T17" fmla="*/ 57 h 57"/>
                            <a:gd name="T18" fmla="*/ 7 w 26"/>
                            <a:gd name="T19" fmla="*/ 19 h 57"/>
                            <a:gd name="T20" fmla="*/ 25 w 26"/>
                            <a:gd name="T21" fmla="*/ 6 h 57"/>
                            <a:gd name="T22" fmla="*/ 26 w 26"/>
                            <a:gd name="T23" fmla="*/ 6 h 57"/>
                            <a:gd name="T24" fmla="*/ 26 w 26"/>
                            <a:gd name="T25" fmla="*/ 6 h 57"/>
                            <a:gd name="T26" fmla="*/ 26 w 26"/>
                            <a:gd name="T27" fmla="*/ 0 h 57"/>
                            <a:gd name="T28" fmla="*/ 25 w 26"/>
                            <a:gd name="T2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57">
                              <a:moveTo>
                                <a:pt x="25" y="0"/>
                              </a:moveTo>
                              <a:cubicBezTo>
                                <a:pt x="18" y="0"/>
                                <a:pt x="12" y="3"/>
                                <a:pt x="7" y="10"/>
                              </a:cubicBezTo>
                              <a:cubicBezTo>
                                <a:pt x="7" y="0"/>
                                <a:pt x="7" y="0"/>
                                <a:pt x="7" y="0"/>
                              </a:cubicBezTo>
                              <a:cubicBezTo>
                                <a:pt x="5" y="2"/>
                                <a:pt x="5" y="2"/>
                                <a:pt x="5" y="2"/>
                              </a:cubicBezTo>
                              <a:cubicBezTo>
                                <a:pt x="4" y="2"/>
                                <a:pt x="2" y="4"/>
                                <a:pt x="1" y="5"/>
                              </a:cubicBezTo>
                              <a:cubicBezTo>
                                <a:pt x="0" y="5"/>
                                <a:pt x="0" y="5"/>
                                <a:pt x="0" y="5"/>
                              </a:cubicBezTo>
                              <a:cubicBezTo>
                                <a:pt x="0" y="6"/>
                                <a:pt x="0" y="6"/>
                                <a:pt x="0" y="6"/>
                              </a:cubicBezTo>
                              <a:cubicBezTo>
                                <a:pt x="0" y="57"/>
                                <a:pt x="0" y="57"/>
                                <a:pt x="0" y="57"/>
                              </a:cubicBezTo>
                              <a:cubicBezTo>
                                <a:pt x="7" y="57"/>
                                <a:pt x="7" y="57"/>
                                <a:pt x="7" y="57"/>
                              </a:cubicBezTo>
                              <a:cubicBezTo>
                                <a:pt x="7" y="19"/>
                                <a:pt x="7" y="19"/>
                                <a:pt x="7" y="19"/>
                              </a:cubicBezTo>
                              <a:cubicBezTo>
                                <a:pt x="11" y="12"/>
                                <a:pt x="18" y="7"/>
                                <a:pt x="25" y="6"/>
                              </a:cubicBezTo>
                              <a:cubicBezTo>
                                <a:pt x="26" y="6"/>
                                <a:pt x="26" y="6"/>
                                <a:pt x="26" y="6"/>
                              </a:cubicBezTo>
                              <a:cubicBezTo>
                                <a:pt x="26" y="6"/>
                                <a:pt x="26" y="6"/>
                                <a:pt x="26" y="6"/>
                              </a:cubicBezTo>
                              <a:cubicBezTo>
                                <a:pt x="26" y="0"/>
                                <a:pt x="26" y="0"/>
                                <a:pt x="26" y="0"/>
                              </a:cubicBezTo>
                              <a:lnTo>
                                <a:pt x="25"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B16B64" w14:textId="77777777" w:rsidR="00807965" w:rsidRDefault="00807965" w:rsidP="007A0A6D"/>
                        </w:txbxContent>
                      </wps:txbx>
                      <wps:bodyPr vert="horz" wrap="square" lIns="91440" tIns="45720" rIns="91440" bIns="45720" numCol="1" anchor="t" anchorCtr="0" compatLnSpc="1">
                        <a:prstTxWarp prst="textNoShape">
                          <a:avLst/>
                        </a:prstTxWarp>
                      </wps:bodyPr>
                    </wps:wsp>
                    <wps:wsp>
                      <wps:cNvPr id="830" name="Freeform 830"/>
                      <wps:cNvSpPr>
                        <a:spLocks/>
                      </wps:cNvSpPr>
                      <wps:spPr bwMode="auto">
                        <a:xfrm>
                          <a:off x="377825" y="0"/>
                          <a:ext cx="390525" cy="412750"/>
                        </a:xfrm>
                        <a:custGeom>
                          <a:avLst/>
                          <a:gdLst>
                            <a:gd name="T0" fmla="*/ 104 w 104"/>
                            <a:gd name="T1" fmla="*/ 55 h 110"/>
                            <a:gd name="T2" fmla="*/ 89 w 104"/>
                            <a:gd name="T3" fmla="*/ 16 h 110"/>
                            <a:gd name="T4" fmla="*/ 52 w 104"/>
                            <a:gd name="T5" fmla="*/ 0 h 110"/>
                            <a:gd name="T6" fmla="*/ 15 w 104"/>
                            <a:gd name="T7" fmla="*/ 16 h 110"/>
                            <a:gd name="T8" fmla="*/ 0 w 104"/>
                            <a:gd name="T9" fmla="*/ 56 h 110"/>
                            <a:gd name="T10" fmla="*/ 40 w 104"/>
                            <a:gd name="T11" fmla="*/ 110 h 110"/>
                            <a:gd name="T12" fmla="*/ 50 w 104"/>
                            <a:gd name="T13" fmla="*/ 100 h 110"/>
                            <a:gd name="T14" fmla="*/ 49 w 104"/>
                            <a:gd name="T15" fmla="*/ 100 h 110"/>
                            <a:gd name="T16" fmla="*/ 11 w 104"/>
                            <a:gd name="T17" fmla="*/ 55 h 110"/>
                            <a:gd name="T18" fmla="*/ 52 w 104"/>
                            <a:gd name="T19" fmla="*/ 11 h 110"/>
                            <a:gd name="T20" fmla="*/ 92 w 104"/>
                            <a:gd name="T21" fmla="*/ 56 h 110"/>
                            <a:gd name="T22" fmla="*/ 55 w 104"/>
                            <a:gd name="T23" fmla="*/ 100 h 110"/>
                            <a:gd name="T24" fmla="*/ 54 w 104"/>
                            <a:gd name="T25" fmla="*/ 100 h 110"/>
                            <a:gd name="T26" fmla="*/ 63 w 104"/>
                            <a:gd name="T27" fmla="*/ 109 h 110"/>
                            <a:gd name="T28" fmla="*/ 104 w 104"/>
                            <a:gd name="T29" fmla="*/ 5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 h="110">
                              <a:moveTo>
                                <a:pt x="104" y="55"/>
                              </a:moveTo>
                              <a:cubicBezTo>
                                <a:pt x="104" y="40"/>
                                <a:pt x="98" y="26"/>
                                <a:pt x="89" y="16"/>
                              </a:cubicBezTo>
                              <a:cubicBezTo>
                                <a:pt x="80" y="6"/>
                                <a:pt x="67" y="0"/>
                                <a:pt x="52" y="0"/>
                              </a:cubicBezTo>
                              <a:cubicBezTo>
                                <a:pt x="37" y="0"/>
                                <a:pt x="24" y="6"/>
                                <a:pt x="15" y="16"/>
                              </a:cubicBezTo>
                              <a:cubicBezTo>
                                <a:pt x="5" y="26"/>
                                <a:pt x="0" y="40"/>
                                <a:pt x="0" y="56"/>
                              </a:cubicBezTo>
                              <a:cubicBezTo>
                                <a:pt x="0" y="83"/>
                                <a:pt x="16" y="105"/>
                                <a:pt x="40" y="110"/>
                              </a:cubicBezTo>
                              <a:cubicBezTo>
                                <a:pt x="50" y="100"/>
                                <a:pt x="50" y="100"/>
                                <a:pt x="50" y="100"/>
                              </a:cubicBezTo>
                              <a:cubicBezTo>
                                <a:pt x="49" y="100"/>
                                <a:pt x="49" y="100"/>
                                <a:pt x="49" y="100"/>
                              </a:cubicBezTo>
                              <a:cubicBezTo>
                                <a:pt x="26" y="99"/>
                                <a:pt x="11" y="80"/>
                                <a:pt x="11" y="55"/>
                              </a:cubicBezTo>
                              <a:cubicBezTo>
                                <a:pt x="11" y="30"/>
                                <a:pt x="28" y="11"/>
                                <a:pt x="52" y="11"/>
                              </a:cubicBezTo>
                              <a:cubicBezTo>
                                <a:pt x="76" y="11"/>
                                <a:pt x="92" y="30"/>
                                <a:pt x="92" y="56"/>
                              </a:cubicBezTo>
                              <a:cubicBezTo>
                                <a:pt x="92" y="79"/>
                                <a:pt x="77" y="98"/>
                                <a:pt x="55" y="100"/>
                              </a:cubicBezTo>
                              <a:cubicBezTo>
                                <a:pt x="54" y="100"/>
                                <a:pt x="54" y="100"/>
                                <a:pt x="54" y="100"/>
                              </a:cubicBezTo>
                              <a:cubicBezTo>
                                <a:pt x="63" y="109"/>
                                <a:pt x="63" y="109"/>
                                <a:pt x="63" y="109"/>
                              </a:cubicBezTo>
                              <a:cubicBezTo>
                                <a:pt x="87" y="104"/>
                                <a:pt x="104" y="82"/>
                                <a:pt x="104" y="55"/>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DB68D2" w14:textId="77777777" w:rsidR="00807965" w:rsidRDefault="00807965" w:rsidP="007A0A6D"/>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ADFC51" id="Group 4" o:spid="_x0000_s1033" style="position:absolute;margin-left:351.3pt;margin-top:43.2pt;width:170.1pt;height:34.3pt;z-index:251658240;mso-position-horizontal-relative:text;mso-position-vertical-relative:page;mso-width-relative:margin;mso-height-relative:margin" coordsize="2568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">
              <o:lock v:ext="edit" aspectratio="t"/>
              <v:shape id="Freeform 822" o:spid="_x0000_s1034" style="position:absolute;left:12065;top:31;width:2667;height:4175;visibility:visible;mso-wrap-style:square;v-text-anchor:top" coordsize="71,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" adj="-11796480,,5400" path="m62,60c54,54,43,50,33,46,24,42,17,37,17,27v,-9,7,-17,22,-17c48,10,55,13,64,19v2,1,2,1,2,1c71,11,71,11,71,11,70,10,70,10,70,10,60,4,50,,39,,29,,21,3,15,8,9,14,6,21,6,28v,9,4,15,9,20c23,55,35,58,44,62v10,5,16,9,16,20c60,92,52,100,37,100,26,100,16,96,7,89,5,88,5,88,5,88,,97,,97,,97v1,1,1,1,1,1c12,105,24,110,37,110v,,,,,c47,111,56,107,62,101v6,-5,9,-13,9,-21c71,71,67,65,62,60xe" fillcolor="#f8981d [3204]" stroked="f">
                <v:stroke joinstyle="round"/>
                <v:formulas/>
                <v:path arrowok="t" o:connecttype="custom" o:connectlocs="232893,225683;123959,173023;63858,101557;146497,37614;240406,71466;247918,75228;266700,41375;262944,37614;146497,0;56345,30091;22538,105319;56345,180546;165279,233205;225380,308433;138985,376138;26294,334763;18782,331001;0,364854;3756,368615;138985,413752;138985,413752;232893,379899;266700,300910;232893,225683" o:connectangles="0,0,0,0,0,0,0,0,0,0,0,0,0,0,0,0,0,0,0,0,0,0,0,0" textboxrect="0,0,71,111"/>
                <v:textbox>
                  <w:txbxContent>
                    <w:p w14:paraId="22CE9F9A" w14:textId="77777777" w:rsidR="00807965" w:rsidRDefault="00807965" w:rsidP="007A0A6D"/>
                  </w:txbxContent>
                </v:textbox>
              </v:shape>
              <v:shape id="Freeform 823" o:spid="_x0000_s1035" style="position:absolute;left:8207;top:111;width:3223;height:4048;visibility:visible;mso-wrap-style:square;v-text-anchor:top" coordsize="86,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" adj="-11796480,,5400" path="m75,v,76,,76,,76c64,88,50,98,36,98,27,98,21,95,17,90,13,85,11,78,11,69,11,,11,,11,,,,,,,,,70,,70,,70,,81,3,90,9,97v5,7,14,11,27,11c36,108,36,108,36,108v15,,29,-9,39,-19c75,108,75,108,75,108v3,-2,3,-2,3,-2c81,104,83,102,86,100v,,,,,c86,,86,,86,l75,xe" fillcolor="#f8981d [3204]" stroked="f">
                <v:stroke joinstyle="round"/>
                <v:formulas/>
                <v:path arrowok="t" o:connecttype="custom" o:connectlocs="281043,0;281043,284868;134901,367330;63703,337344;41220,258631;41220,0;0,0;0,262379;33725,363582;134901,404813;134901,404813;281043,333596;281043,404813;292285,397316;322263,374827;322263,374827;322263,0;281043,0" o:connectangles="0,0,0,0,0,0,0,0,0,0,0,0,0,0,0,0,0,0" textboxrect="0,0,86,108"/>
                <v:textbox>
                  <w:txbxContent>
                    <w:p w14:paraId="4AF8B83A" w14:textId="77777777" w:rsidR="00807965" w:rsidRDefault="00807965" w:rsidP="007A0A6D"/>
                  </w:txbxContent>
                </v:textbox>
              </v:shape>
              <v:shape id="Freeform 824" o:spid="_x0000_s1036" style="position:absolute;width:3254;height:4079;visibility:visible;mso-wrap-style:square;v-text-anchor:top" coordsize="87,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" adj="-11796480,,5400" path="m12,109v,-77,,-77,,-77c23,20,37,11,50,11v9,,15,2,19,7c73,23,75,30,75,39v,70,,70,,70c87,109,87,109,87,109v,-71,,-71,,-71c87,28,84,18,78,11,72,4,63,,51,v,,,,,c36,,21,9,11,19,12,,12,,12,,9,2,9,2,9,2,6,4,3,6,1,8,,9,,9,,9,,109,,109,,109r12,xe" fillcolor="#f8981d [3204]" stroked="f">
                <v:stroke joinstyle="round"/>
                <v:formulas/>
                <v:path arrowok="t" o:connecttype="custom" o:connectlocs="44888,407988;44888,119776;187033,41173;258106,67374;280550,145977;280550,407988;325438,407988;325438,142234;291772,41173;190774,0;190774,0;41147,71117;44888,0;33666,7486;3741,29944;0,33687;0,407988;44888,407988" o:connectangles="0,0,0,0,0,0,0,0,0,0,0,0,0,0,0,0,0,0" textboxrect="0,0,87,109"/>
                <v:textbox>
                  <w:txbxContent>
                    <w:p w14:paraId="6CB8B29F" w14:textId="77777777" w:rsidR="00807965" w:rsidRDefault="00807965" w:rsidP="007A0A6D"/>
                  </w:txbxContent>
                </v:textbox>
              </v:shape>
              <v:shape id="Freeform 825" o:spid="_x0000_s1037" style="position:absolute;left:15748;top:1984;width:1952;height:3191;visibility:visible;mso-wrap-style:square;v-text-anchor:top" coordsize="5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" adj="-11796480,,5400" path="m45,1v,6,,6,,6c40,2,34,,27,,12,,,12,,29,,45,11,57,27,57v8,,14,-3,18,-6c45,61,45,61,45,61v,13,-5,18,-17,18c23,79,18,78,12,76v,,,,,c11,75,11,75,11,75v,2,,2,,2c10,78,10,80,10,80v,,,,,c9,81,9,81,9,81v,1,,1,,1c10,82,10,82,10,82v,,,,,c16,84,22,85,28,85v,,,,,c36,85,42,83,46,79v4,-4,6,-10,6,-18c52,1,52,1,52,1r-7,xm45,15v,27,,27,,27c40,48,34,51,27,51,15,51,7,42,7,29,7,15,15,6,27,6v7,,14,3,18,9xe" fillcolor="#003468 [3215]" stroked="f">
                <v:stroke joinstyle="round"/>
                <v:formulas/>
                <v:path arrowok="t" o:connecttype="custom" o:connectlocs="168978,3754;168978,26278;101387,0;0,108865;101387,213977;168978,191453;168978,228993;105142,296564;45061,285302;45061,285302;41306,281548;41306,289056;37551,300318;37551,300318;33796,304072;33796,307826;37551,307826;37551,307826;105142,319088;105142,319088;172733,296564;195263,228993;195263,3754;168978,3754;168978,56310;168978,157667;101387,191453;26285,108865;101387,22524;168978,56310" o:connectangles="0,0,0,0,0,0,0,0,0,0,0,0,0,0,0,0,0,0,0,0,0,0,0,0,0,0,0,0,0,0" textboxrect="0,0,52,85"/>
                <o:lock v:ext="edit" verticies="t"/>
                <v:textbox>
                  <w:txbxContent>
                    <w:p w14:paraId="7186AA30" w14:textId="77777777" w:rsidR="00807965" w:rsidRDefault="00807965" w:rsidP="007A0A6D"/>
                  </w:txbxContent>
                </v:textbox>
              </v:shape>
              <v:shape id="Freeform 826" o:spid="_x0000_s1038" style="position:absolute;left:19192;top:1952;width:2032;height:2175;visibility:visible;mso-wrap-style:square;v-text-anchor:top" coordsize="54,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" adj="-11796480,,5400" path="m27,c12,,,13,,29,,45,12,58,27,58v,,,,,c43,58,54,45,54,29,54,13,43,,27,xm27,51c16,51,7,42,7,29,7,16,16,7,27,6,39,7,48,16,48,29v,13,-9,22,-21,22xe" fillcolor="#003468 [3215]" stroked="f">
                <v:stroke joinstyle="round"/>
                <v:formulas/>
                <v:path arrowok="t" o:connecttype="custom" o:connectlocs="101600,0;0,108744;101600,217488;101600,217488;203200,108744;101600,0;101600,191239;26341,108744;101600,22499;180622,108744;101600,191239" o:connectangles="0,0,0,0,0,0,0,0,0,0,0" textboxrect="0,0,54,58"/>
                <o:lock v:ext="edit" verticies="t"/>
                <v:textbox>
                  <w:txbxContent>
                    <w:p w14:paraId="51FF2EC7" w14:textId="77777777" w:rsidR="00807965" w:rsidRDefault="00807965" w:rsidP="007A0A6D"/>
                  </w:txbxContent>
                </v:textbox>
              </v:shape>
              <v:shape id="Freeform 827" o:spid="_x0000_s1039" style="position:absolute;left:23733;top:1952;width:1952;height:3143;visibility:visible;mso-wrap-style:square;v-text-anchor:top" coordsize="5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" adj="-11796480,,5400" path="m25,c16,,10,4,7,7,7,1,7,1,7,1,,1,,1,,1,,84,,84,,84v7,,7,,7,c7,52,7,52,7,52v4,3,10,6,18,6c40,58,52,46,52,29,52,13,40,,25,xm25,51c18,51,12,49,7,44,7,15,7,15,7,15,11,10,18,6,25,6,37,7,45,16,45,29v,14,-8,22,-20,22xe" fillcolor="#003468 [3215]" stroked="f">
                <v:stroke joinstyle="round"/>
                <v:formulas/>
                <v:path arrowok="t" o:connecttype="custom" o:connectlocs="93876,0;26285,26194;26285,3742;0,3742;0,314325;26285,314325;26285,194582;93876,217034;195263,108517;93876,0;93876,190840;26285,164646;26285,56129;93876,22452;168978,108517;93876,190840" o:connectangles="0,0,0,0,0,0,0,0,0,0,0,0,0,0,0,0" textboxrect="0,0,52,84"/>
                <o:lock v:ext="edit" verticies="t"/>
                <v:textbox>
                  <w:txbxContent>
                    <w:p w14:paraId="6B4577AA" w14:textId="77777777" w:rsidR="00807965" w:rsidRDefault="00807965" w:rsidP="007A0A6D"/>
                  </w:txbxContent>
                </v:textbox>
              </v:shape>
              <v:shape id="Freeform 828" o:spid="_x0000_s1040" style="position:absolute;left:21605;top:1984;width:1683;height:2143;visibility:visible;mso-wrap-style:square;v-text-anchor:top" coordsize="45,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" adj="-11796480,,5400" path="m38,v,40,,40,,40c34,44,27,51,19,50,10,50,6,46,6,36,6,,6,,6,,,,,,,,,37,,37,,37v,6,1,11,4,14c8,55,12,57,18,57v9,,16,-6,20,-9c38,57,38,57,38,57v2,-2,2,-2,2,-2c42,54,43,53,44,51v,,,,,c45,51,45,51,45,51,45,,45,,45,l38,xe" fillcolor="#003468 [3215]" stroked="f">
                <v:stroke joinstyle="round"/>
                <v:formulas/>
                <v:path arrowok="t" o:connecttype="custom" o:connectlocs="142099,0;142099,150395;71049,187994;22437,135356;22437,0;0,0;0,139115;14958,191754;67310,214313;142099,180474;142099,214313;149578,206793;164536,191754;164536,191754;168275,191754;168275,0;142099,0" o:connectangles="0,0,0,0,0,0,0,0,0,0,0,0,0,0,0,0,0" textboxrect="0,0,45,57"/>
                <v:textbox>
                  <w:txbxContent>
                    <w:p w14:paraId="74992BCF" w14:textId="77777777" w:rsidR="00807965" w:rsidRDefault="00807965" w:rsidP="007A0A6D"/>
                  </w:txbxContent>
                </v:textbox>
              </v:shape>
              <v:shape id="Freeform 829" o:spid="_x0000_s1041" style="position:absolute;left:18145;top:1952;width:984;height:2127;visibility:visible;mso-wrap-style:square;v-text-anchor:top" coordsize="2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" adj="-11796480,,5400" path="m25,c18,,12,3,7,10,7,,7,,7,,5,2,5,2,5,2,4,2,2,4,1,5,,5,,5,,5,,6,,6,,6,,57,,57,,57v7,,7,,7,c7,19,7,19,7,19,11,12,18,7,25,6v1,,1,,1,c26,6,26,6,26,6,26,,26,,26,l25,xe" fillcolor="#003468 [3215]" stroked="f">
                <v:stroke joinstyle="round"/>
                <v:formulas/>
                <v:path arrowok="t" o:connecttype="custom" o:connectlocs="94639,0;26499,37320;26499,0;18928,7464;3786,18660;0,18660;0,22392;0,212725;26499,212725;26499,70908;94639,22392;98425,22392;98425,22392;98425,0;94639,0" o:connectangles="0,0,0,0,0,0,0,0,0,0,0,0,0,0,0" textboxrect="0,0,26,57"/>
                <v:textbox>
                  <w:txbxContent>
                    <w:p w14:paraId="39B16B64" w14:textId="77777777" w:rsidR="00807965" w:rsidRDefault="00807965" w:rsidP="007A0A6D"/>
                  </w:txbxContent>
                </v:textbox>
              </v:shape>
              <v:shape id="Freeform 830" o:spid="_x0000_s1042" style="position:absolute;left:3778;width:3905;height:4127;visibility:visible;mso-wrap-style:square;v-text-anchor:top" coordsize="104,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" adj="-11796480,,5400" path="m104,55c104,40,98,26,89,16,80,6,67,,52,,37,,24,6,15,16,5,26,,40,,56v,27,16,49,40,54c50,100,50,100,50,100v-1,,-1,,-1,c26,99,11,80,11,55,11,30,28,11,52,11v24,,40,19,40,45c92,79,77,98,55,100v-1,,-1,,-1,c63,109,63,109,63,109v24,-5,41,-27,41,-54xe" fillcolor="#f8981d [3204]" stroked="f">
                <v:stroke joinstyle="round"/>
                <v:formulas/>
                <v:path arrowok="t" o:connecttype="custom" o:connectlocs="390525,206375;334199,60036;195263,0;56326,60036;0,210127;150202,412750;187752,375227;183997,375227;41306,206375;195263,41275;345464,210127;206528,375227;202773,375227;236568,408998;390525,206375" o:connectangles="0,0,0,0,0,0,0,0,0,0,0,0,0,0,0" textboxrect="0,0,104,110"/>
                <v:textbox>
                  <w:txbxContent>
                    <w:p w14:paraId="32DB68D2" w14:textId="77777777" w:rsidR="00807965" w:rsidRDefault="00807965" w:rsidP="007A0A6D"/>
                  </w:txbxContent>
                </v:textbox>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63966" w14:textId="250085AA" w:rsidR="00807965" w:rsidRDefault="00807965" w:rsidP="007A0A6D">
    <w:pPr>
      <w:spacing w:after="0"/>
    </w:pPr>
    <w:r>
      <w:rPr>
        <w:noProof/>
      </w:rPr>
      <w:drawing>
        <wp:anchor distT="0" distB="0" distL="114300" distR="114300" simplePos="0" relativeHeight="251658242" behindDoc="0" locked="1" layoutInCell="0" allowOverlap="1" wp14:anchorId="28361FB8" wp14:editId="3F6B8DF7">
          <wp:simplePos x="0" y="0"/>
          <wp:positionH relativeFrom="rightMargin">
            <wp:posOffset>-2700655</wp:posOffset>
          </wp:positionH>
          <wp:positionV relativeFrom="page">
            <wp:align>bottom</wp:align>
          </wp:positionV>
          <wp:extent cx="2876550" cy="3238500"/>
          <wp:effectExtent l="0" t="0" r="0" b="0"/>
          <wp:wrapNone/>
          <wp:docPr id="34" name="Picture 34" descr="Fastrack image ancho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0" cy="3238500"/>
                  </a:xfrm>
                  <a:prstGeom prst="rect">
                    <a:avLst/>
                  </a:prstGeom>
                </pic:spPr>
              </pic:pic>
            </a:graphicData>
          </a:graphic>
          <wp14:sizeRelH relativeFrom="margin">
            <wp14:pctWidth>0</wp14:pctWidth>
          </wp14:sizeRelH>
          <wp14:sizeRelV relativeFrom="margin">
            <wp14:pctHeight>0</wp14:pctHeight>
          </wp14:sizeRelV>
        </wp:anchor>
      </w:drawing>
    </w:r>
    <w:r w:rsidRPr="006F04F2">
      <w:rPr>
        <w:noProof/>
      </w:rPr>
      <w:drawing>
        <wp:anchor distT="0" distB="0" distL="114300" distR="114300" simplePos="0" relativeHeight="251658241" behindDoc="1" locked="1" layoutInCell="0" allowOverlap="1" wp14:anchorId="1C321872" wp14:editId="48E08D7A">
          <wp:simplePos x="0" y="0"/>
          <wp:positionH relativeFrom="rightMargin">
            <wp:posOffset>-1980565</wp:posOffset>
          </wp:positionH>
          <wp:positionV relativeFrom="page">
            <wp:posOffset>360045</wp:posOffset>
          </wp:positionV>
          <wp:extent cx="2160000" cy="421200"/>
          <wp:effectExtent l="0" t="0" r="0" b="0"/>
          <wp:wrapNone/>
          <wp:docPr id="832" name="Pictur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000" cy="42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E8613" w14:textId="77777777" w:rsidR="00807965" w:rsidRDefault="00B00B83">
    <w:pPr>
      <w:pStyle w:val="Header"/>
    </w:pPr>
    <w:r>
      <w:rPr>
        <w:noProof/>
      </w:rPr>
      <w:pict w14:anchorId="69A06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394.65pt;height:236.7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80DC9" w14:textId="435A17A2" w:rsidR="00807965" w:rsidRPr="0010133C" w:rsidRDefault="00B00B83" w:rsidP="007A0A6D">
    <w:pPr>
      <w:pStyle w:val="Header"/>
    </w:pPr>
    <w:sdt>
      <w:sdtPr>
        <w:alias w:val="Subject"/>
        <w:id w:val="-950779862"/>
        <w:dataBinding w:prefixMappings="xmlns:ns0='http://purl.org/dc/elements/1.1/' xmlns:ns1='http://schemas.openxmlformats.org/package/2006/metadata/core-properties' " w:xpath="/ns1:coreProperties[1]/ns0:subject[1]" w:storeItemID="{6C3C8BC8-F283-45AE-878A-BAB7291924A1}"/>
        <w:text/>
      </w:sdtPr>
      <w:sdtEndPr/>
      <w:sdtContent>
        <w:r w:rsidR="00807965">
          <w:t>Input into the Review of the National Partnership Agreement on Remote Indigenous Housing</w:t>
        </w:r>
      </w:sdtContent>
    </w:sdt>
  </w:p>
  <w:p w14:paraId="56159AA1" w14:textId="78027DDA" w:rsidR="00807965" w:rsidRPr="0010133C" w:rsidRDefault="00B00B83" w:rsidP="007A0A6D">
    <w:pPr>
      <w:pStyle w:val="Header"/>
    </w:pPr>
    <w:sdt>
      <w:sdtPr>
        <w:alias w:val="Title"/>
        <w:id w:val="-453166919"/>
        <w:dataBinding w:prefixMappings="xmlns:ns0='http://purl.org/dc/elements/1.1/' xmlns:ns1='http://schemas.openxmlformats.org/package/2006/metadata/core-properties' " w:xpath="/ns1:coreProperties[1]/ns0:title[1]" w:storeItemID="{6C3C8BC8-F283-45AE-878A-BAB7291924A1}"/>
        <w:text/>
      </w:sdtPr>
      <w:sdtEndPr/>
      <w:sdtContent>
        <w:r w:rsidR="00807965">
          <w:t>Efficient system costs of Remote Indigenous housing</w:t>
        </w:r>
      </w:sdtContent>
    </w:sdt>
    <w:r w:rsidR="00807965" w:rsidRPr="0010133C">
      <w:rPr>
        <w:spacing w:val="40"/>
      </w:rPr>
      <w:t xml:space="preserve"> </w:t>
    </w:r>
    <w:r w:rsidR="00807965" w:rsidRPr="0010133C">
      <w:t>|</w:t>
    </w:r>
    <w:r w:rsidR="00807965" w:rsidRPr="0010133C">
      <w:rPr>
        <w:spacing w:val="40"/>
      </w:rPr>
      <w:t xml:space="preserve"> </w:t>
    </w:r>
    <w:sdt>
      <w:sdtPr>
        <w:alias w:val="Publish Date"/>
        <w:tag w:val=""/>
        <w:id w:val="1570373261"/>
        <w:dataBinding w:prefixMappings="xmlns:ns0='http://schemas.microsoft.com/office/2006/coverPageProps' " w:xpath="/ns0:CoverPageProperties[1]/ns0:PublishDate[1]" w:storeItemID="{55AF091B-3C7A-41E3-B477-F2FDAA23CFDA}"/>
        <w:date w:fullDate="2017-07-04T00:00:00Z">
          <w:dateFormat w:val="d MMMM yyyy"/>
          <w:lid w:val="en-AU"/>
          <w:storeMappedDataAs w:val="dateTime"/>
          <w:calendar w:val="gregorian"/>
        </w:date>
      </w:sdtPr>
      <w:sdtEndPr/>
      <w:sdtContent>
        <w:r w:rsidR="00807965">
          <w:t>4 July 2017</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C6480" w14:textId="77777777" w:rsidR="00807965" w:rsidRDefault="00B00B83">
    <w:pPr>
      <w:pStyle w:val="Header"/>
    </w:pPr>
    <w:r>
      <w:rPr>
        <w:noProof/>
      </w:rPr>
      <w:pict w14:anchorId="3D428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394.65pt;height:236.7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53AEB" w14:textId="77777777" w:rsidR="00807965" w:rsidRDefault="00B00B83">
    <w:pPr>
      <w:pStyle w:val="Header"/>
    </w:pPr>
    <w:r>
      <w:rPr>
        <w:noProof/>
      </w:rPr>
      <w:pict w14:anchorId="3B869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394.65pt;height:236.75pt;rotation:315;z-index:-2516582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F76D9" w14:textId="611AF5DF" w:rsidR="00807965" w:rsidRPr="0010133C" w:rsidRDefault="00B00B83" w:rsidP="009C6005">
    <w:pPr>
      <w:pStyle w:val="Header"/>
    </w:pPr>
    <w:sdt>
      <w:sdtPr>
        <w:alias w:val="Subject"/>
        <w:id w:val="1157728511"/>
        <w:dataBinding w:prefixMappings="xmlns:ns0='http://purl.org/dc/elements/1.1/' xmlns:ns1='http://schemas.openxmlformats.org/package/2006/metadata/core-properties' " w:xpath="/ns1:coreProperties[1]/ns0:subject[1]" w:storeItemID="{6C3C8BC8-F283-45AE-878A-BAB7291924A1}"/>
        <w:text/>
      </w:sdtPr>
      <w:sdtEndPr/>
      <w:sdtContent>
        <w:r w:rsidR="00807965">
          <w:t>Input into the Review of the National Partnership Agreement on Remote Indigenous Housing</w:t>
        </w:r>
      </w:sdtContent>
    </w:sdt>
  </w:p>
  <w:p w14:paraId="609F424A" w14:textId="14528A3D" w:rsidR="00807965" w:rsidRPr="0010133C" w:rsidRDefault="00B00B83" w:rsidP="009C6005">
    <w:pPr>
      <w:pStyle w:val="Header"/>
    </w:pPr>
    <w:sdt>
      <w:sdtPr>
        <w:alias w:val="Title"/>
        <w:id w:val="-367533549"/>
        <w:dataBinding w:prefixMappings="xmlns:ns0='http://purl.org/dc/elements/1.1/' xmlns:ns1='http://schemas.openxmlformats.org/package/2006/metadata/core-properties' " w:xpath="/ns1:coreProperties[1]/ns0:title[1]" w:storeItemID="{6C3C8BC8-F283-45AE-878A-BAB7291924A1}"/>
        <w:text/>
      </w:sdtPr>
      <w:sdtEndPr/>
      <w:sdtContent>
        <w:r w:rsidR="00807965">
          <w:t>Efficient system costs of Remote Indigenous housing</w:t>
        </w:r>
      </w:sdtContent>
    </w:sdt>
    <w:r w:rsidR="00807965" w:rsidRPr="0010133C">
      <w:rPr>
        <w:spacing w:val="40"/>
      </w:rPr>
      <w:t xml:space="preserve"> </w:t>
    </w:r>
    <w:r w:rsidR="00807965" w:rsidRPr="0010133C">
      <w:t>|</w:t>
    </w:r>
    <w:r w:rsidR="00807965" w:rsidRPr="0010133C">
      <w:rPr>
        <w:spacing w:val="40"/>
      </w:rPr>
      <w:t xml:space="preserve"> </w:t>
    </w:r>
    <w:sdt>
      <w:sdtPr>
        <w:alias w:val="Publish Date"/>
        <w:tag w:val=""/>
        <w:id w:val="-457878911"/>
        <w:dataBinding w:prefixMappings="xmlns:ns0='http://schemas.microsoft.com/office/2006/coverPageProps' " w:xpath="/ns0:CoverPageProperties[1]/ns0:PublishDate[1]" w:storeItemID="{55AF091B-3C7A-41E3-B477-F2FDAA23CFDA}"/>
        <w:date w:fullDate="2017-07-04T00:00:00Z">
          <w:dateFormat w:val="d MMMM yyyy"/>
          <w:lid w:val="en-AU"/>
          <w:storeMappedDataAs w:val="dateTime"/>
          <w:calendar w:val="gregorian"/>
        </w:date>
      </w:sdtPr>
      <w:sdtEndPr/>
      <w:sdtContent>
        <w:r w:rsidR="00807965">
          <w:t>4 July 2017</w:t>
        </w:r>
      </w:sdtContent>
    </w:sdt>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D23CC" w14:textId="77777777" w:rsidR="00807965" w:rsidRDefault="00B00B83">
    <w:pPr>
      <w:pStyle w:val="Header"/>
    </w:pPr>
    <w:r>
      <w:rPr>
        <w:noProof/>
      </w:rPr>
      <w:pict w14:anchorId="1E8AF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394.65pt;height:236.75pt;rotation:315;z-index:-25165823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BCA7CDA"/>
    <w:multiLevelType w:val="hybridMultilevel"/>
    <w:tmpl w:val="33082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44E19"/>
    <w:multiLevelType w:val="multilevel"/>
    <w:tmpl w:val="806ACFE8"/>
    <w:styleLink w:val="Heading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34EC73D9"/>
    <w:multiLevelType w:val="multilevel"/>
    <w:tmpl w:val="51B2AF2A"/>
    <w:lvl w:ilvl="0">
      <w:numFmt w:val="bullet"/>
      <w:lvlText w:val="•"/>
      <w:lvlJc w:val="left"/>
      <w:pPr>
        <w:ind w:left="680" w:hanging="340"/>
      </w:pPr>
      <w:rPr>
        <w:rFonts w:ascii="Calibri" w:eastAsia="Times New Roman" w:hAnsi="Calibri" w:cs="Times New Roman" w:hint="default"/>
        <w:color w:val="404040" w:themeColor="text1" w:themeTint="BF"/>
        <w:position w:val="3"/>
        <w:sz w:val="10"/>
      </w:rPr>
    </w:lvl>
    <w:lvl w:ilvl="1">
      <w:start w:val="1"/>
      <w:numFmt w:val="bullet"/>
      <w:lvlText w:val=""/>
      <w:lvlJc w:val="left"/>
      <w:pPr>
        <w:ind w:left="1020" w:hanging="340"/>
      </w:pPr>
      <w:rPr>
        <w:rFonts w:ascii="Wingdings 2" w:hAnsi="Wingdings 2" w:hint="default"/>
        <w:color w:val="404040" w:themeColor="text1" w:themeTint="BF"/>
        <w:position w:val="3"/>
        <w:sz w:val="10"/>
      </w:rPr>
    </w:lvl>
    <w:lvl w:ilvl="2">
      <w:start w:val="1"/>
      <w:numFmt w:val="bullet"/>
      <w:lvlText w:val=""/>
      <w:lvlJc w:val="left"/>
      <w:pPr>
        <w:ind w:left="1360" w:hanging="340"/>
      </w:pPr>
      <w:rPr>
        <w:rFonts w:ascii="Wingdings 2" w:hAnsi="Wingdings 2" w:hint="default"/>
        <w:color w:val="404040" w:themeColor="text1" w:themeTint="BF"/>
        <w:position w:val="4"/>
        <w:sz w:val="10"/>
      </w:rPr>
    </w:lvl>
    <w:lvl w:ilvl="3">
      <w:start w:val="1"/>
      <w:numFmt w:val="bullet"/>
      <w:lvlText w:val=""/>
      <w:lvlJc w:val="left"/>
      <w:pPr>
        <w:ind w:left="1700" w:hanging="340"/>
      </w:pPr>
      <w:rPr>
        <w:rFonts w:ascii="Wingdings 2" w:hAnsi="Wingdings 2" w:hint="default"/>
        <w:color w:val="404040" w:themeColor="text1" w:themeTint="BF"/>
        <w:position w:val="3"/>
        <w:sz w:val="10"/>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abstractNum w:abstractNumId="5" w15:restartNumberingAfterBreak="0">
    <w:nsid w:val="39D1413D"/>
    <w:multiLevelType w:val="multilevel"/>
    <w:tmpl w:val="17FEB6E0"/>
    <w:lvl w:ilvl="0">
      <w:start w:val="1"/>
      <w:numFmt w:val="bullet"/>
      <w:pStyle w:val="TableNBullet"/>
      <w:lvlText w:val=""/>
      <w:lvlJc w:val="left"/>
      <w:pPr>
        <w:ind w:left="170" w:hanging="170"/>
      </w:pPr>
      <w:rPr>
        <w:rFonts w:ascii="Wingdings 2" w:hAnsi="Wingdings 2" w:hint="default"/>
        <w:color w:val="404040" w:themeColor="text1" w:themeTint="BF"/>
        <w:position w:val="3"/>
        <w:sz w:val="10"/>
      </w:rPr>
    </w:lvl>
    <w:lvl w:ilvl="1">
      <w:start w:val="1"/>
      <w:numFmt w:val="bullet"/>
      <w:lvlText w:val=""/>
      <w:lvlJc w:val="left"/>
      <w:pPr>
        <w:ind w:left="340" w:hanging="170"/>
      </w:pPr>
      <w:rPr>
        <w:rFonts w:ascii="Wingdings 2" w:hAnsi="Wingdings 2" w:hint="default"/>
        <w:color w:val="404040" w:themeColor="text1" w:themeTint="BF"/>
        <w:position w:val="3"/>
        <w:sz w:val="10"/>
      </w:rPr>
    </w:lvl>
    <w:lvl w:ilvl="2">
      <w:start w:val="1"/>
      <w:numFmt w:val="bullet"/>
      <w:lvlText w:val=""/>
      <w:lvlJc w:val="left"/>
      <w:pPr>
        <w:ind w:left="510" w:hanging="170"/>
      </w:pPr>
      <w:rPr>
        <w:rFonts w:ascii="Wingdings 2" w:hAnsi="Wingdings 2" w:hint="default"/>
        <w:color w:val="404040" w:themeColor="text1" w:themeTint="BF"/>
        <w:position w:val="3"/>
        <w:sz w:val="10"/>
      </w:rPr>
    </w:lvl>
    <w:lvl w:ilvl="3">
      <w:start w:val="1"/>
      <w:numFmt w:val="bullet"/>
      <w:lvlText w:val=""/>
      <w:lvlJc w:val="left"/>
      <w:pPr>
        <w:ind w:left="680" w:hanging="170"/>
      </w:pPr>
      <w:rPr>
        <w:rFonts w:ascii="Wingdings 2" w:hAnsi="Wingdings 2" w:hint="default"/>
        <w:color w:val="404040" w:themeColor="text1" w:themeTint="BF"/>
        <w:position w:val="3"/>
        <w:sz w:val="10"/>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6" w15:restartNumberingAfterBreak="0">
    <w:nsid w:val="3A756391"/>
    <w:multiLevelType w:val="hybridMultilevel"/>
    <w:tmpl w:val="6BB0DA36"/>
    <w:lvl w:ilvl="0" w:tplc="5E6CB4D2">
      <w:start w:val="5"/>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9145D2"/>
    <w:multiLevelType w:val="multilevel"/>
    <w:tmpl w:val="D46257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4C32626"/>
    <w:multiLevelType w:val="hybridMultilevel"/>
    <w:tmpl w:val="229C3F76"/>
    <w:lvl w:ilvl="0" w:tplc="EC701E12">
      <w:start w:val="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1C3308"/>
    <w:multiLevelType w:val="multilevel"/>
    <w:tmpl w:val="D456A732"/>
    <w:lvl w:ilvl="0">
      <w:start w:val="1"/>
      <w:numFmt w:val="decimal"/>
      <w:pStyle w:val="Table-Exp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55BB20AC"/>
    <w:multiLevelType w:val="hybridMultilevel"/>
    <w:tmpl w:val="3B2A45E8"/>
    <w:lvl w:ilvl="0" w:tplc="D486D464">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D1589C"/>
    <w:multiLevelType w:val="multilevel"/>
    <w:tmpl w:val="3AD46616"/>
    <w:lvl w:ilvl="0">
      <w:start w:val="1"/>
      <w:numFmt w:val="bullet"/>
      <w:lvlText w:val=""/>
      <w:lvlJc w:val="left"/>
      <w:pPr>
        <w:ind w:left="680" w:hanging="340"/>
      </w:pPr>
      <w:rPr>
        <w:rFonts w:ascii="Symbol" w:hAnsi="Symbol" w:hint="default"/>
        <w:color w:val="404040" w:themeColor="text1" w:themeTint="BF"/>
        <w:position w:val="3"/>
        <w:sz w:val="10"/>
      </w:rPr>
    </w:lvl>
    <w:lvl w:ilvl="1">
      <w:start w:val="1"/>
      <w:numFmt w:val="bullet"/>
      <w:lvlText w:val=""/>
      <w:lvlJc w:val="left"/>
      <w:pPr>
        <w:ind w:left="1020" w:hanging="340"/>
      </w:pPr>
      <w:rPr>
        <w:rFonts w:ascii="Wingdings 2" w:hAnsi="Wingdings 2" w:hint="default"/>
        <w:color w:val="404040" w:themeColor="text1" w:themeTint="BF"/>
        <w:position w:val="3"/>
        <w:sz w:val="10"/>
      </w:rPr>
    </w:lvl>
    <w:lvl w:ilvl="2">
      <w:start w:val="1"/>
      <w:numFmt w:val="bullet"/>
      <w:lvlText w:val=""/>
      <w:lvlJc w:val="left"/>
      <w:pPr>
        <w:ind w:left="1360" w:hanging="340"/>
      </w:pPr>
      <w:rPr>
        <w:rFonts w:ascii="Wingdings 2" w:hAnsi="Wingdings 2" w:hint="default"/>
        <w:color w:val="404040" w:themeColor="text1" w:themeTint="BF"/>
        <w:position w:val="4"/>
        <w:sz w:val="10"/>
      </w:rPr>
    </w:lvl>
    <w:lvl w:ilvl="3">
      <w:start w:val="1"/>
      <w:numFmt w:val="bullet"/>
      <w:lvlText w:val=""/>
      <w:lvlJc w:val="left"/>
      <w:pPr>
        <w:ind w:left="1700" w:hanging="340"/>
      </w:pPr>
      <w:rPr>
        <w:rFonts w:ascii="Wingdings 2" w:hAnsi="Wingdings 2" w:hint="default"/>
        <w:color w:val="404040" w:themeColor="text1" w:themeTint="BF"/>
        <w:position w:val="3"/>
        <w:sz w:val="10"/>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abstractNum w:abstractNumId="12" w15:restartNumberingAfterBreak="0">
    <w:nsid w:val="56F114AC"/>
    <w:multiLevelType w:val="multilevel"/>
    <w:tmpl w:val="9DE87952"/>
    <w:lvl w:ilvl="0">
      <w:start w:val="1"/>
      <w:numFmt w:val="bullet"/>
      <w:lvlText w:val=""/>
      <w:lvlJc w:val="left"/>
      <w:pPr>
        <w:ind w:left="680" w:hanging="340"/>
      </w:pPr>
      <w:rPr>
        <w:rFonts w:ascii="Symbol" w:hAnsi="Symbol" w:hint="default"/>
        <w:color w:val="404040" w:themeColor="text1" w:themeTint="BF"/>
        <w:position w:val="3"/>
        <w:sz w:val="10"/>
      </w:rPr>
    </w:lvl>
    <w:lvl w:ilvl="1">
      <w:start w:val="1"/>
      <w:numFmt w:val="bullet"/>
      <w:lvlText w:val=""/>
      <w:lvlJc w:val="left"/>
      <w:pPr>
        <w:ind w:left="1020" w:hanging="340"/>
      </w:pPr>
      <w:rPr>
        <w:rFonts w:ascii="Wingdings 2" w:hAnsi="Wingdings 2" w:hint="default"/>
        <w:color w:val="404040" w:themeColor="text1" w:themeTint="BF"/>
        <w:position w:val="3"/>
        <w:sz w:val="10"/>
      </w:rPr>
    </w:lvl>
    <w:lvl w:ilvl="2">
      <w:start w:val="1"/>
      <w:numFmt w:val="bullet"/>
      <w:lvlText w:val=""/>
      <w:lvlJc w:val="left"/>
      <w:pPr>
        <w:ind w:left="1360" w:hanging="340"/>
      </w:pPr>
      <w:rPr>
        <w:rFonts w:ascii="Wingdings 2" w:hAnsi="Wingdings 2" w:hint="default"/>
        <w:color w:val="404040" w:themeColor="text1" w:themeTint="BF"/>
        <w:position w:val="4"/>
        <w:sz w:val="10"/>
      </w:rPr>
    </w:lvl>
    <w:lvl w:ilvl="3">
      <w:start w:val="1"/>
      <w:numFmt w:val="bullet"/>
      <w:lvlText w:val=""/>
      <w:lvlJc w:val="left"/>
      <w:pPr>
        <w:ind w:left="1700" w:hanging="340"/>
      </w:pPr>
      <w:rPr>
        <w:rFonts w:ascii="Wingdings 2" w:hAnsi="Wingdings 2" w:hint="default"/>
        <w:color w:val="404040" w:themeColor="text1" w:themeTint="BF"/>
        <w:position w:val="3"/>
        <w:sz w:val="10"/>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abstractNum w:abstractNumId="13" w15:restartNumberingAfterBreak="0">
    <w:nsid w:val="5D0E3A28"/>
    <w:multiLevelType w:val="hybridMultilevel"/>
    <w:tmpl w:val="44EC8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795567"/>
    <w:multiLevelType w:val="multilevel"/>
    <w:tmpl w:val="9DE87952"/>
    <w:lvl w:ilvl="0">
      <w:start w:val="1"/>
      <w:numFmt w:val="bullet"/>
      <w:lvlText w:val=""/>
      <w:lvlJc w:val="left"/>
      <w:pPr>
        <w:ind w:left="680" w:hanging="340"/>
      </w:pPr>
      <w:rPr>
        <w:rFonts w:ascii="Symbol" w:hAnsi="Symbol" w:hint="default"/>
        <w:color w:val="404040" w:themeColor="text1" w:themeTint="BF"/>
        <w:position w:val="3"/>
        <w:sz w:val="10"/>
      </w:rPr>
    </w:lvl>
    <w:lvl w:ilvl="1">
      <w:start w:val="1"/>
      <w:numFmt w:val="bullet"/>
      <w:lvlText w:val=""/>
      <w:lvlJc w:val="left"/>
      <w:pPr>
        <w:ind w:left="1020" w:hanging="340"/>
      </w:pPr>
      <w:rPr>
        <w:rFonts w:ascii="Wingdings 2" w:hAnsi="Wingdings 2" w:hint="default"/>
        <w:color w:val="404040" w:themeColor="text1" w:themeTint="BF"/>
        <w:position w:val="3"/>
        <w:sz w:val="10"/>
      </w:rPr>
    </w:lvl>
    <w:lvl w:ilvl="2">
      <w:start w:val="1"/>
      <w:numFmt w:val="bullet"/>
      <w:lvlText w:val=""/>
      <w:lvlJc w:val="left"/>
      <w:pPr>
        <w:ind w:left="1360" w:hanging="340"/>
      </w:pPr>
      <w:rPr>
        <w:rFonts w:ascii="Wingdings 2" w:hAnsi="Wingdings 2" w:hint="default"/>
        <w:color w:val="404040" w:themeColor="text1" w:themeTint="BF"/>
        <w:position w:val="4"/>
        <w:sz w:val="10"/>
      </w:rPr>
    </w:lvl>
    <w:lvl w:ilvl="3">
      <w:start w:val="1"/>
      <w:numFmt w:val="bullet"/>
      <w:lvlText w:val=""/>
      <w:lvlJc w:val="left"/>
      <w:pPr>
        <w:ind w:left="1700" w:hanging="340"/>
      </w:pPr>
      <w:rPr>
        <w:rFonts w:ascii="Wingdings 2" w:hAnsi="Wingdings 2" w:hint="default"/>
        <w:color w:val="404040" w:themeColor="text1" w:themeTint="BF"/>
        <w:position w:val="3"/>
        <w:sz w:val="10"/>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abstractNum w:abstractNumId="15" w15:restartNumberingAfterBreak="0">
    <w:nsid w:val="71A16EBA"/>
    <w:multiLevelType w:val="multilevel"/>
    <w:tmpl w:val="F55ECA3C"/>
    <w:lvl w:ilvl="0">
      <w:start w:val="1"/>
      <w:numFmt w:val="upperLetter"/>
      <w:pStyle w:val="xAppendixLevel1"/>
      <w:lvlText w:val="Appendix %1"/>
      <w:lvlJc w:val="left"/>
      <w:pPr>
        <w:ind w:left="2268" w:hanging="2268"/>
      </w:pPr>
      <w:rPr>
        <w:rFonts w:hint="default"/>
        <w:color w:val="003468" w:themeColor="text2"/>
        <w:sz w:val="44"/>
        <w:szCs w:val="44"/>
      </w:rPr>
    </w:lvl>
    <w:lvl w:ilvl="1">
      <w:start w:val="1"/>
      <w:numFmt w:val="decimal"/>
      <w:pStyle w:val="xAppendixLevel2"/>
      <w:lvlText w:val="%1.%2"/>
      <w:lvlJc w:val="left"/>
      <w:pPr>
        <w:ind w:left="851" w:hanging="851"/>
      </w:pPr>
      <w:rPr>
        <w:rFonts w:hint="default"/>
        <w:color w:val="003468" w:themeColor="text2"/>
        <w:sz w:val="34"/>
        <w:szCs w:val="34"/>
      </w:rPr>
    </w:lvl>
    <w:lvl w:ilvl="2">
      <w:start w:val="1"/>
      <w:numFmt w:val="decimal"/>
      <w:pStyle w:val="xAppendixLevel3"/>
      <w:lvlText w:val="%1.%2.%3"/>
      <w:lvlJc w:val="left"/>
      <w:pPr>
        <w:ind w:left="851" w:hanging="851"/>
      </w:pPr>
      <w:rPr>
        <w:rFonts w:hint="default"/>
        <w:color w:val="003468" w:themeColor="text2"/>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1F9283D"/>
    <w:multiLevelType w:val="multilevel"/>
    <w:tmpl w:val="7F08B49C"/>
    <w:lvl w:ilvl="0">
      <w:start w:val="1"/>
      <w:numFmt w:val="decimal"/>
      <w:pStyle w:val="Listnumbered"/>
      <w:lvlText w:val="%1."/>
      <w:lvlJc w:val="left"/>
      <w:pPr>
        <w:ind w:left="680" w:hanging="340"/>
      </w:pPr>
      <w:rPr>
        <w:rFonts w:hint="default"/>
        <w:color w:val="404040" w:themeColor="text1" w:themeTint="BF"/>
        <w:sz w:val="21"/>
      </w:rPr>
    </w:lvl>
    <w:lvl w:ilvl="1">
      <w:start w:val="1"/>
      <w:numFmt w:val="lowerLetter"/>
      <w:lvlText w:val="%2."/>
      <w:lvlJc w:val="left"/>
      <w:pPr>
        <w:ind w:left="1020" w:hanging="340"/>
      </w:pPr>
      <w:rPr>
        <w:rFonts w:hint="default"/>
        <w:sz w:val="21"/>
      </w:rPr>
    </w:lvl>
    <w:lvl w:ilvl="2">
      <w:start w:val="1"/>
      <w:numFmt w:val="lowerRoman"/>
      <w:lvlText w:val="%3."/>
      <w:lvlJc w:val="left"/>
      <w:pPr>
        <w:ind w:left="1360" w:hanging="340"/>
      </w:pPr>
      <w:rPr>
        <w:rFonts w:hint="default"/>
        <w:color w:val="404040" w:themeColor="text1" w:themeTint="BF"/>
        <w:sz w:val="21"/>
      </w:rPr>
    </w:lvl>
    <w:lvl w:ilvl="3">
      <w:start w:val="1"/>
      <w:numFmt w:val="lowerRoman"/>
      <w:lvlText w:val="%3.%4"/>
      <w:lvlJc w:val="left"/>
      <w:pPr>
        <w:ind w:left="1700" w:hanging="340"/>
      </w:pPr>
      <w:rPr>
        <w:rFonts w:hint="default"/>
        <w:color w:val="404040" w:themeColor="text1" w:themeTint="BF"/>
        <w:sz w:val="21"/>
      </w:rPr>
    </w:lvl>
    <w:lvl w:ilvl="4">
      <w:start w:val="1"/>
      <w:numFmt w:val="lowerLetter"/>
      <w:lvlText w:val="(%5)"/>
      <w:lvlJc w:val="left"/>
      <w:pPr>
        <w:ind w:left="2040" w:hanging="340"/>
      </w:pPr>
      <w:rPr>
        <w:rFonts w:hint="default"/>
      </w:rPr>
    </w:lvl>
    <w:lvl w:ilvl="5">
      <w:start w:val="1"/>
      <w:numFmt w:val="lowerRoman"/>
      <w:lvlText w:val="(%6)"/>
      <w:lvlJc w:val="lef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left"/>
      <w:pPr>
        <w:ind w:left="3400" w:hanging="340"/>
      </w:pPr>
      <w:rPr>
        <w:rFonts w:hint="default"/>
      </w:rPr>
    </w:lvl>
  </w:abstractNum>
  <w:abstractNum w:abstractNumId="17" w15:restartNumberingAfterBreak="0">
    <w:nsid w:val="73B710CE"/>
    <w:multiLevelType w:val="multilevel"/>
    <w:tmpl w:val="D884BCB2"/>
    <w:lvl w:ilvl="0">
      <w:start w:val="1"/>
      <w:numFmt w:val="bullet"/>
      <w:pStyle w:val="Bullet"/>
      <w:lvlText w:val=""/>
      <w:lvlJc w:val="left"/>
      <w:pPr>
        <w:ind w:left="340" w:hanging="340"/>
      </w:pPr>
      <w:rPr>
        <w:rFonts w:ascii="Wingdings 2" w:hAnsi="Wingdings 2" w:hint="default"/>
        <w:color w:val="404040" w:themeColor="text1" w:themeTint="BF"/>
        <w:position w:val="3"/>
        <w:sz w:val="10"/>
      </w:rPr>
    </w:lvl>
    <w:lvl w:ilvl="1">
      <w:start w:val="1"/>
      <w:numFmt w:val="bullet"/>
      <w:lvlText w:val=""/>
      <w:lvlJc w:val="left"/>
      <w:pPr>
        <w:ind w:left="680" w:hanging="340"/>
      </w:pPr>
      <w:rPr>
        <w:rFonts w:ascii="Wingdings 2" w:hAnsi="Wingdings 2" w:hint="default"/>
        <w:color w:val="404040" w:themeColor="text1" w:themeTint="BF"/>
        <w:position w:val="3"/>
        <w:sz w:val="10"/>
      </w:rPr>
    </w:lvl>
    <w:lvl w:ilvl="2">
      <w:start w:val="1"/>
      <w:numFmt w:val="bullet"/>
      <w:lvlText w:val=""/>
      <w:lvlJc w:val="left"/>
      <w:pPr>
        <w:ind w:left="1020" w:hanging="340"/>
      </w:pPr>
      <w:rPr>
        <w:rFonts w:ascii="Wingdings 2" w:hAnsi="Wingdings 2" w:hint="default"/>
        <w:color w:val="404040" w:themeColor="text1" w:themeTint="BF"/>
        <w:position w:val="4"/>
        <w:sz w:val="10"/>
      </w:rPr>
    </w:lvl>
    <w:lvl w:ilvl="3">
      <w:start w:val="1"/>
      <w:numFmt w:val="bullet"/>
      <w:lvlText w:val=""/>
      <w:lvlJc w:val="left"/>
      <w:pPr>
        <w:ind w:left="1360" w:hanging="340"/>
      </w:pPr>
      <w:rPr>
        <w:rFonts w:ascii="Wingdings 2" w:hAnsi="Wingdings 2" w:hint="default"/>
        <w:color w:val="404040" w:themeColor="text1" w:themeTint="BF"/>
        <w:position w:val="3"/>
        <w:sz w:val="10"/>
      </w:rPr>
    </w:lvl>
    <w:lvl w:ilvl="4">
      <w:start w:val="1"/>
      <w:numFmt w:val="none"/>
      <w:lvlText w:val=""/>
      <w:lvlJc w:val="left"/>
      <w:pPr>
        <w:ind w:left="1700" w:hanging="340"/>
      </w:pPr>
      <w:rPr>
        <w:rFonts w:hint="default"/>
        <w:color w:val="404040" w:themeColor="text1" w:themeTint="BF"/>
        <w:position w:val="3"/>
        <w:sz w:val="10"/>
      </w:rPr>
    </w:lvl>
    <w:lvl w:ilvl="5">
      <w:start w:val="1"/>
      <w:numFmt w:val="none"/>
      <w:lvlText w:val=""/>
      <w:lvlJc w:val="left"/>
      <w:pPr>
        <w:ind w:left="2040" w:hanging="340"/>
      </w:pPr>
      <w:rPr>
        <w:rFonts w:hint="default"/>
        <w:color w:val="404040" w:themeColor="text1" w:themeTint="BF"/>
        <w:position w:val="3"/>
        <w:sz w:val="10"/>
      </w:rPr>
    </w:lvl>
    <w:lvl w:ilvl="6">
      <w:start w:val="1"/>
      <w:numFmt w:val="none"/>
      <w:lvlText w:val=""/>
      <w:lvlJc w:val="left"/>
      <w:pPr>
        <w:ind w:left="2380" w:hanging="340"/>
      </w:pPr>
      <w:rPr>
        <w:rFonts w:hint="default"/>
        <w:color w:val="404040" w:themeColor="text1" w:themeTint="BF"/>
        <w:position w:val="3"/>
        <w:sz w:val="10"/>
      </w:rPr>
    </w:lvl>
    <w:lvl w:ilvl="7">
      <w:start w:val="1"/>
      <w:numFmt w:val="none"/>
      <w:lvlText w:val=""/>
      <w:lvlJc w:val="left"/>
      <w:pPr>
        <w:ind w:left="2720" w:hanging="340"/>
      </w:pPr>
      <w:rPr>
        <w:rFonts w:hint="default"/>
        <w:color w:val="404040" w:themeColor="text1" w:themeTint="BF"/>
        <w:position w:val="3"/>
        <w:sz w:val="10"/>
      </w:rPr>
    </w:lvl>
    <w:lvl w:ilvl="8">
      <w:start w:val="1"/>
      <w:numFmt w:val="none"/>
      <w:lvlText w:val=""/>
      <w:lvlJc w:val="left"/>
      <w:pPr>
        <w:ind w:left="3060" w:hanging="340"/>
      </w:pPr>
      <w:rPr>
        <w:rFonts w:hint="default"/>
        <w:color w:val="404040" w:themeColor="text1" w:themeTint="BF"/>
        <w:position w:val="3"/>
        <w:sz w:val="10"/>
      </w:rPr>
    </w:lvl>
  </w:abstractNum>
  <w:abstractNum w:abstractNumId="18" w15:restartNumberingAfterBreak="0">
    <w:nsid w:val="74FB1741"/>
    <w:multiLevelType w:val="hybridMultilevel"/>
    <w:tmpl w:val="1450B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7"/>
  </w:num>
  <w:num w:numId="4">
    <w:abstractNumId w:val="0"/>
  </w:num>
  <w:num w:numId="5">
    <w:abstractNumId w:val="7"/>
  </w:num>
  <w:num w:numId="6">
    <w:abstractNumId w:val="16"/>
  </w:num>
  <w:num w:numId="7">
    <w:abstractNumId w:val="5"/>
  </w:num>
  <w:num w:numId="8">
    <w:abstractNumId w:val="9"/>
  </w:num>
  <w:num w:numId="9">
    <w:abstractNumId w:val="15"/>
  </w:num>
  <w:num w:numId="10">
    <w:abstractNumId w:val="3"/>
  </w:num>
  <w:num w:numId="11">
    <w:abstractNumId w:val="13"/>
  </w:num>
  <w:num w:numId="12">
    <w:abstractNumId w:val="6"/>
  </w:num>
  <w:num w:numId="13">
    <w:abstractNumId w:val="1"/>
  </w:num>
  <w:num w:numId="14">
    <w:abstractNumId w:val="10"/>
  </w:num>
  <w:num w:numId="15">
    <w:abstractNumId w:val="4"/>
  </w:num>
  <w:num w:numId="16">
    <w:abstractNumId w:val="11"/>
  </w:num>
  <w:num w:numId="17">
    <w:abstractNumId w:val="12"/>
  </w:num>
  <w:num w:numId="18">
    <w:abstractNumId w:val="14"/>
  </w:num>
  <w:num w:numId="19">
    <w:abstractNumId w:val="8"/>
  </w:num>
  <w:num w:numId="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C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1"/>
  <w:defaultTabStop w:val="340"/>
  <w:drawingGridHorizontalSpacing w:val="105"/>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06"/>
    <w:rsid w:val="000023BE"/>
    <w:rsid w:val="000043B5"/>
    <w:rsid w:val="000044F3"/>
    <w:rsid w:val="00007DFF"/>
    <w:rsid w:val="00007FA3"/>
    <w:rsid w:val="0001072A"/>
    <w:rsid w:val="0001362E"/>
    <w:rsid w:val="00016AEE"/>
    <w:rsid w:val="0002248B"/>
    <w:rsid w:val="0002544E"/>
    <w:rsid w:val="00027093"/>
    <w:rsid w:val="000278A2"/>
    <w:rsid w:val="00027BFB"/>
    <w:rsid w:val="000314E1"/>
    <w:rsid w:val="00031AA3"/>
    <w:rsid w:val="000328F6"/>
    <w:rsid w:val="0003528E"/>
    <w:rsid w:val="00035D63"/>
    <w:rsid w:val="00036FFE"/>
    <w:rsid w:val="00037813"/>
    <w:rsid w:val="00040797"/>
    <w:rsid w:val="00040E60"/>
    <w:rsid w:val="00043923"/>
    <w:rsid w:val="000451AD"/>
    <w:rsid w:val="00046FA3"/>
    <w:rsid w:val="0005077D"/>
    <w:rsid w:val="000510EE"/>
    <w:rsid w:val="00052BAE"/>
    <w:rsid w:val="00053116"/>
    <w:rsid w:val="00055321"/>
    <w:rsid w:val="0005575A"/>
    <w:rsid w:val="0005597E"/>
    <w:rsid w:val="00056F9E"/>
    <w:rsid w:val="00061ECD"/>
    <w:rsid w:val="00062397"/>
    <w:rsid w:val="0006256C"/>
    <w:rsid w:val="00063832"/>
    <w:rsid w:val="00065153"/>
    <w:rsid w:val="0007001E"/>
    <w:rsid w:val="00071820"/>
    <w:rsid w:val="000718B2"/>
    <w:rsid w:val="000721FA"/>
    <w:rsid w:val="0007227A"/>
    <w:rsid w:val="00072CB5"/>
    <w:rsid w:val="00074230"/>
    <w:rsid w:val="0007724D"/>
    <w:rsid w:val="00080D44"/>
    <w:rsid w:val="000815AB"/>
    <w:rsid w:val="0008478C"/>
    <w:rsid w:val="00086AB7"/>
    <w:rsid w:val="00086E05"/>
    <w:rsid w:val="000905B2"/>
    <w:rsid w:val="00094506"/>
    <w:rsid w:val="00094BDE"/>
    <w:rsid w:val="00095A7E"/>
    <w:rsid w:val="0009689C"/>
    <w:rsid w:val="00096995"/>
    <w:rsid w:val="0009788A"/>
    <w:rsid w:val="00097CFC"/>
    <w:rsid w:val="00097F52"/>
    <w:rsid w:val="000A46A5"/>
    <w:rsid w:val="000A5BE6"/>
    <w:rsid w:val="000A7C75"/>
    <w:rsid w:val="000B204C"/>
    <w:rsid w:val="000B56EF"/>
    <w:rsid w:val="000B58CB"/>
    <w:rsid w:val="000B5E40"/>
    <w:rsid w:val="000B6AED"/>
    <w:rsid w:val="000B6D35"/>
    <w:rsid w:val="000C1494"/>
    <w:rsid w:val="000C2B56"/>
    <w:rsid w:val="000D0E62"/>
    <w:rsid w:val="000D18E3"/>
    <w:rsid w:val="000D23A1"/>
    <w:rsid w:val="000D2595"/>
    <w:rsid w:val="000D713D"/>
    <w:rsid w:val="000D7F8D"/>
    <w:rsid w:val="000E06D6"/>
    <w:rsid w:val="000E0767"/>
    <w:rsid w:val="000E44FD"/>
    <w:rsid w:val="000E6507"/>
    <w:rsid w:val="000E7796"/>
    <w:rsid w:val="000E7AB9"/>
    <w:rsid w:val="000E7D13"/>
    <w:rsid w:val="000F08AC"/>
    <w:rsid w:val="000F17AC"/>
    <w:rsid w:val="000F2644"/>
    <w:rsid w:val="000F5C4F"/>
    <w:rsid w:val="000F6344"/>
    <w:rsid w:val="000F6726"/>
    <w:rsid w:val="000F6800"/>
    <w:rsid w:val="00100AC1"/>
    <w:rsid w:val="00101437"/>
    <w:rsid w:val="0010190A"/>
    <w:rsid w:val="0010223A"/>
    <w:rsid w:val="00103A3E"/>
    <w:rsid w:val="00103E50"/>
    <w:rsid w:val="001065A1"/>
    <w:rsid w:val="00107132"/>
    <w:rsid w:val="0010774E"/>
    <w:rsid w:val="00111000"/>
    <w:rsid w:val="0011121F"/>
    <w:rsid w:val="00112816"/>
    <w:rsid w:val="001131EE"/>
    <w:rsid w:val="00114294"/>
    <w:rsid w:val="00115A62"/>
    <w:rsid w:val="00116BF3"/>
    <w:rsid w:val="001173EE"/>
    <w:rsid w:val="00117FC9"/>
    <w:rsid w:val="00120D7E"/>
    <w:rsid w:val="00124421"/>
    <w:rsid w:val="00125A1B"/>
    <w:rsid w:val="00126785"/>
    <w:rsid w:val="00126995"/>
    <w:rsid w:val="00127351"/>
    <w:rsid w:val="001310F8"/>
    <w:rsid w:val="00133DFC"/>
    <w:rsid w:val="001343AA"/>
    <w:rsid w:val="00135E00"/>
    <w:rsid w:val="00137E50"/>
    <w:rsid w:val="001448CA"/>
    <w:rsid w:val="0014530F"/>
    <w:rsid w:val="00145A01"/>
    <w:rsid w:val="001469C3"/>
    <w:rsid w:val="00146AF4"/>
    <w:rsid w:val="00150974"/>
    <w:rsid w:val="0015445D"/>
    <w:rsid w:val="00155DA3"/>
    <w:rsid w:val="00157B24"/>
    <w:rsid w:val="00157E08"/>
    <w:rsid w:val="00164223"/>
    <w:rsid w:val="001653C0"/>
    <w:rsid w:val="001664BC"/>
    <w:rsid w:val="00167B84"/>
    <w:rsid w:val="00170643"/>
    <w:rsid w:val="00171042"/>
    <w:rsid w:val="001710B5"/>
    <w:rsid w:val="001725FB"/>
    <w:rsid w:val="00172FD6"/>
    <w:rsid w:val="0017425B"/>
    <w:rsid w:val="001764D7"/>
    <w:rsid w:val="001778F3"/>
    <w:rsid w:val="001815C1"/>
    <w:rsid w:val="00181AD5"/>
    <w:rsid w:val="001825C2"/>
    <w:rsid w:val="00182E97"/>
    <w:rsid w:val="00182F11"/>
    <w:rsid w:val="0018378B"/>
    <w:rsid w:val="00185543"/>
    <w:rsid w:val="00185590"/>
    <w:rsid w:val="00186055"/>
    <w:rsid w:val="00186E1C"/>
    <w:rsid w:val="00190E69"/>
    <w:rsid w:val="00191355"/>
    <w:rsid w:val="00192B90"/>
    <w:rsid w:val="00194AE8"/>
    <w:rsid w:val="00195423"/>
    <w:rsid w:val="001A1F7F"/>
    <w:rsid w:val="001A2908"/>
    <w:rsid w:val="001A2B5C"/>
    <w:rsid w:val="001A5431"/>
    <w:rsid w:val="001B07D6"/>
    <w:rsid w:val="001B17AE"/>
    <w:rsid w:val="001B521F"/>
    <w:rsid w:val="001B59D6"/>
    <w:rsid w:val="001B620C"/>
    <w:rsid w:val="001B6558"/>
    <w:rsid w:val="001C4263"/>
    <w:rsid w:val="001D058B"/>
    <w:rsid w:val="001D1335"/>
    <w:rsid w:val="001D2996"/>
    <w:rsid w:val="001D2C67"/>
    <w:rsid w:val="001D4CBF"/>
    <w:rsid w:val="001D4F90"/>
    <w:rsid w:val="001E118F"/>
    <w:rsid w:val="001E1755"/>
    <w:rsid w:val="001E2183"/>
    <w:rsid w:val="001E32A7"/>
    <w:rsid w:val="001E3E6E"/>
    <w:rsid w:val="001E3ECE"/>
    <w:rsid w:val="001E4CB4"/>
    <w:rsid w:val="001E7006"/>
    <w:rsid w:val="001E7573"/>
    <w:rsid w:val="001F057F"/>
    <w:rsid w:val="001F0891"/>
    <w:rsid w:val="001F1EFC"/>
    <w:rsid w:val="001F3FFB"/>
    <w:rsid w:val="001F6303"/>
    <w:rsid w:val="002002CE"/>
    <w:rsid w:val="002007EF"/>
    <w:rsid w:val="0020092B"/>
    <w:rsid w:val="0020250F"/>
    <w:rsid w:val="002025FF"/>
    <w:rsid w:val="00205F2D"/>
    <w:rsid w:val="00207B72"/>
    <w:rsid w:val="0021042C"/>
    <w:rsid w:val="00211872"/>
    <w:rsid w:val="00211B54"/>
    <w:rsid w:val="00217DD4"/>
    <w:rsid w:val="00220B7F"/>
    <w:rsid w:val="00220DDF"/>
    <w:rsid w:val="00223F4D"/>
    <w:rsid w:val="00225FBB"/>
    <w:rsid w:val="00226A5A"/>
    <w:rsid w:val="00227CCC"/>
    <w:rsid w:val="00227FC4"/>
    <w:rsid w:val="002302B5"/>
    <w:rsid w:val="002318B1"/>
    <w:rsid w:val="00231A66"/>
    <w:rsid w:val="00233374"/>
    <w:rsid w:val="002337A8"/>
    <w:rsid w:val="00233B68"/>
    <w:rsid w:val="00234185"/>
    <w:rsid w:val="0023431F"/>
    <w:rsid w:val="00234783"/>
    <w:rsid w:val="00235EEC"/>
    <w:rsid w:val="0023724F"/>
    <w:rsid w:val="002401AC"/>
    <w:rsid w:val="00240E40"/>
    <w:rsid w:val="002461C5"/>
    <w:rsid w:val="00246A67"/>
    <w:rsid w:val="00251601"/>
    <w:rsid w:val="00251BC4"/>
    <w:rsid w:val="00252205"/>
    <w:rsid w:val="002527F8"/>
    <w:rsid w:val="0026282B"/>
    <w:rsid w:val="00264384"/>
    <w:rsid w:val="0026649B"/>
    <w:rsid w:val="00266814"/>
    <w:rsid w:val="0027004E"/>
    <w:rsid w:val="00272A34"/>
    <w:rsid w:val="00273630"/>
    <w:rsid w:val="002738D3"/>
    <w:rsid w:val="00276D5A"/>
    <w:rsid w:val="0028038E"/>
    <w:rsid w:val="00282720"/>
    <w:rsid w:val="00282934"/>
    <w:rsid w:val="00282B69"/>
    <w:rsid w:val="00282D7D"/>
    <w:rsid w:val="00283437"/>
    <w:rsid w:val="00283D56"/>
    <w:rsid w:val="00283E91"/>
    <w:rsid w:val="00284D1D"/>
    <w:rsid w:val="002857A4"/>
    <w:rsid w:val="00290F05"/>
    <w:rsid w:val="00291E18"/>
    <w:rsid w:val="002A254D"/>
    <w:rsid w:val="002A36D1"/>
    <w:rsid w:val="002A3F83"/>
    <w:rsid w:val="002A4B3F"/>
    <w:rsid w:val="002A5369"/>
    <w:rsid w:val="002A7B23"/>
    <w:rsid w:val="002B197C"/>
    <w:rsid w:val="002B5BC9"/>
    <w:rsid w:val="002B6123"/>
    <w:rsid w:val="002B71CD"/>
    <w:rsid w:val="002C2B1D"/>
    <w:rsid w:val="002C524F"/>
    <w:rsid w:val="002C6173"/>
    <w:rsid w:val="002C7943"/>
    <w:rsid w:val="002D05B9"/>
    <w:rsid w:val="002D1A07"/>
    <w:rsid w:val="002D30DD"/>
    <w:rsid w:val="002D46C1"/>
    <w:rsid w:val="002D4AB9"/>
    <w:rsid w:val="002D56E2"/>
    <w:rsid w:val="002D5EA1"/>
    <w:rsid w:val="002E2FC2"/>
    <w:rsid w:val="002E304A"/>
    <w:rsid w:val="002E3A9B"/>
    <w:rsid w:val="002E4C91"/>
    <w:rsid w:val="002E5FF8"/>
    <w:rsid w:val="002E6B2F"/>
    <w:rsid w:val="002F0A2C"/>
    <w:rsid w:val="002F0B43"/>
    <w:rsid w:val="002F1276"/>
    <w:rsid w:val="002F2936"/>
    <w:rsid w:val="002F3403"/>
    <w:rsid w:val="002F37FC"/>
    <w:rsid w:val="002F6B00"/>
    <w:rsid w:val="002F6C83"/>
    <w:rsid w:val="00302D47"/>
    <w:rsid w:val="0030322A"/>
    <w:rsid w:val="00303CBC"/>
    <w:rsid w:val="0030724D"/>
    <w:rsid w:val="00307B5A"/>
    <w:rsid w:val="00307C07"/>
    <w:rsid w:val="00307D2C"/>
    <w:rsid w:val="00311C6E"/>
    <w:rsid w:val="0031409C"/>
    <w:rsid w:val="00314A9C"/>
    <w:rsid w:val="003165E3"/>
    <w:rsid w:val="00316ADE"/>
    <w:rsid w:val="00316B0E"/>
    <w:rsid w:val="00320119"/>
    <w:rsid w:val="0032032B"/>
    <w:rsid w:val="003205C9"/>
    <w:rsid w:val="00320A64"/>
    <w:rsid w:val="00320E03"/>
    <w:rsid w:val="00321F79"/>
    <w:rsid w:val="00322308"/>
    <w:rsid w:val="003223D0"/>
    <w:rsid w:val="00322DBA"/>
    <w:rsid w:val="0032366C"/>
    <w:rsid w:val="00326E6F"/>
    <w:rsid w:val="0033073D"/>
    <w:rsid w:val="0033218F"/>
    <w:rsid w:val="00332D20"/>
    <w:rsid w:val="00334E08"/>
    <w:rsid w:val="0033560B"/>
    <w:rsid w:val="00335E90"/>
    <w:rsid w:val="003364D3"/>
    <w:rsid w:val="00336931"/>
    <w:rsid w:val="0033714C"/>
    <w:rsid w:val="0034159E"/>
    <w:rsid w:val="003428C2"/>
    <w:rsid w:val="00343D75"/>
    <w:rsid w:val="00345E38"/>
    <w:rsid w:val="00350352"/>
    <w:rsid w:val="00350DA3"/>
    <w:rsid w:val="0035371C"/>
    <w:rsid w:val="00356386"/>
    <w:rsid w:val="003564AD"/>
    <w:rsid w:val="00356A5A"/>
    <w:rsid w:val="003633DD"/>
    <w:rsid w:val="003714DF"/>
    <w:rsid w:val="0037324F"/>
    <w:rsid w:val="00374E33"/>
    <w:rsid w:val="0037748E"/>
    <w:rsid w:val="00380473"/>
    <w:rsid w:val="00380D5D"/>
    <w:rsid w:val="003814B9"/>
    <w:rsid w:val="00381B95"/>
    <w:rsid w:val="003838C4"/>
    <w:rsid w:val="003851D9"/>
    <w:rsid w:val="003870C8"/>
    <w:rsid w:val="00387C22"/>
    <w:rsid w:val="00387D71"/>
    <w:rsid w:val="00390A01"/>
    <w:rsid w:val="00391403"/>
    <w:rsid w:val="0039274D"/>
    <w:rsid w:val="00392955"/>
    <w:rsid w:val="0039572E"/>
    <w:rsid w:val="003A081E"/>
    <w:rsid w:val="003A2608"/>
    <w:rsid w:val="003A3995"/>
    <w:rsid w:val="003A43DC"/>
    <w:rsid w:val="003A47A0"/>
    <w:rsid w:val="003A556F"/>
    <w:rsid w:val="003A69DB"/>
    <w:rsid w:val="003A6A57"/>
    <w:rsid w:val="003A771D"/>
    <w:rsid w:val="003B0D9E"/>
    <w:rsid w:val="003B17D6"/>
    <w:rsid w:val="003B1D06"/>
    <w:rsid w:val="003B2A4E"/>
    <w:rsid w:val="003B4971"/>
    <w:rsid w:val="003B5628"/>
    <w:rsid w:val="003B6E2C"/>
    <w:rsid w:val="003B6F23"/>
    <w:rsid w:val="003B74D4"/>
    <w:rsid w:val="003B77B6"/>
    <w:rsid w:val="003C0817"/>
    <w:rsid w:val="003C2835"/>
    <w:rsid w:val="003C2949"/>
    <w:rsid w:val="003C53A2"/>
    <w:rsid w:val="003C5A38"/>
    <w:rsid w:val="003C5C51"/>
    <w:rsid w:val="003D173A"/>
    <w:rsid w:val="003D26BE"/>
    <w:rsid w:val="003D37C5"/>
    <w:rsid w:val="003D37CA"/>
    <w:rsid w:val="003D50AF"/>
    <w:rsid w:val="003D5174"/>
    <w:rsid w:val="003D526F"/>
    <w:rsid w:val="003D5C33"/>
    <w:rsid w:val="003E19E6"/>
    <w:rsid w:val="003E274B"/>
    <w:rsid w:val="003E467C"/>
    <w:rsid w:val="003E4821"/>
    <w:rsid w:val="003F043D"/>
    <w:rsid w:val="003F050A"/>
    <w:rsid w:val="003F1B04"/>
    <w:rsid w:val="003F391C"/>
    <w:rsid w:val="003F4770"/>
    <w:rsid w:val="003F7A57"/>
    <w:rsid w:val="003F7B4C"/>
    <w:rsid w:val="00401FDD"/>
    <w:rsid w:val="004025A4"/>
    <w:rsid w:val="00405123"/>
    <w:rsid w:val="0040597E"/>
    <w:rsid w:val="0041453C"/>
    <w:rsid w:val="004158D2"/>
    <w:rsid w:val="0041656B"/>
    <w:rsid w:val="00417EF9"/>
    <w:rsid w:val="00420D11"/>
    <w:rsid w:val="00422975"/>
    <w:rsid w:val="00423357"/>
    <w:rsid w:val="004236A1"/>
    <w:rsid w:val="00426211"/>
    <w:rsid w:val="004274F4"/>
    <w:rsid w:val="00427A78"/>
    <w:rsid w:val="0043030B"/>
    <w:rsid w:val="00430597"/>
    <w:rsid w:val="004314C1"/>
    <w:rsid w:val="004345F7"/>
    <w:rsid w:val="00434E7B"/>
    <w:rsid w:val="00435195"/>
    <w:rsid w:val="00436B14"/>
    <w:rsid w:val="0043711D"/>
    <w:rsid w:val="00440278"/>
    <w:rsid w:val="00441A2A"/>
    <w:rsid w:val="00444082"/>
    <w:rsid w:val="00446140"/>
    <w:rsid w:val="0044642A"/>
    <w:rsid w:val="00446FBB"/>
    <w:rsid w:val="00447BE1"/>
    <w:rsid w:val="00447CF5"/>
    <w:rsid w:val="004527E2"/>
    <w:rsid w:val="00455486"/>
    <w:rsid w:val="00455E4C"/>
    <w:rsid w:val="00457A10"/>
    <w:rsid w:val="00460D9E"/>
    <w:rsid w:val="004613CE"/>
    <w:rsid w:val="00461A9C"/>
    <w:rsid w:val="0046229C"/>
    <w:rsid w:val="0046259E"/>
    <w:rsid w:val="00463A27"/>
    <w:rsid w:val="0046571D"/>
    <w:rsid w:val="004715E1"/>
    <w:rsid w:val="00471B75"/>
    <w:rsid w:val="004742D8"/>
    <w:rsid w:val="00476377"/>
    <w:rsid w:val="00481988"/>
    <w:rsid w:val="0048392D"/>
    <w:rsid w:val="00483CE2"/>
    <w:rsid w:val="00484256"/>
    <w:rsid w:val="004847EA"/>
    <w:rsid w:val="004849B5"/>
    <w:rsid w:val="004853FF"/>
    <w:rsid w:val="00487854"/>
    <w:rsid w:val="00491092"/>
    <w:rsid w:val="00493005"/>
    <w:rsid w:val="00494E63"/>
    <w:rsid w:val="00495145"/>
    <w:rsid w:val="00497B9C"/>
    <w:rsid w:val="004A0695"/>
    <w:rsid w:val="004A0981"/>
    <w:rsid w:val="004A16F6"/>
    <w:rsid w:val="004A1B2E"/>
    <w:rsid w:val="004A265E"/>
    <w:rsid w:val="004A332B"/>
    <w:rsid w:val="004A3E17"/>
    <w:rsid w:val="004A415C"/>
    <w:rsid w:val="004A498A"/>
    <w:rsid w:val="004A60FE"/>
    <w:rsid w:val="004B04AB"/>
    <w:rsid w:val="004B6222"/>
    <w:rsid w:val="004B7AF7"/>
    <w:rsid w:val="004B7D47"/>
    <w:rsid w:val="004B7F09"/>
    <w:rsid w:val="004B7FAE"/>
    <w:rsid w:val="004C20A4"/>
    <w:rsid w:val="004C233D"/>
    <w:rsid w:val="004C3D4C"/>
    <w:rsid w:val="004C4C9A"/>
    <w:rsid w:val="004C5A1B"/>
    <w:rsid w:val="004D1C8B"/>
    <w:rsid w:val="004D3310"/>
    <w:rsid w:val="004D3C7C"/>
    <w:rsid w:val="004D60FE"/>
    <w:rsid w:val="004D73A0"/>
    <w:rsid w:val="004E12EE"/>
    <w:rsid w:val="004E4D47"/>
    <w:rsid w:val="004E58E4"/>
    <w:rsid w:val="004E5BDD"/>
    <w:rsid w:val="004F126E"/>
    <w:rsid w:val="004F1B34"/>
    <w:rsid w:val="004F3909"/>
    <w:rsid w:val="004F423D"/>
    <w:rsid w:val="004F6C86"/>
    <w:rsid w:val="004F7FA9"/>
    <w:rsid w:val="0050144D"/>
    <w:rsid w:val="0050335B"/>
    <w:rsid w:val="00506FFC"/>
    <w:rsid w:val="0050769F"/>
    <w:rsid w:val="00507FAF"/>
    <w:rsid w:val="0051513B"/>
    <w:rsid w:val="005175A9"/>
    <w:rsid w:val="00517A72"/>
    <w:rsid w:val="00522622"/>
    <w:rsid w:val="00522D4F"/>
    <w:rsid w:val="00523085"/>
    <w:rsid w:val="00523878"/>
    <w:rsid w:val="00524094"/>
    <w:rsid w:val="00525E66"/>
    <w:rsid w:val="005279F6"/>
    <w:rsid w:val="005329BE"/>
    <w:rsid w:val="00532E04"/>
    <w:rsid w:val="00532FDA"/>
    <w:rsid w:val="005366D6"/>
    <w:rsid w:val="0053784F"/>
    <w:rsid w:val="0054001F"/>
    <w:rsid w:val="00541E45"/>
    <w:rsid w:val="0054441B"/>
    <w:rsid w:val="0054447F"/>
    <w:rsid w:val="0054657E"/>
    <w:rsid w:val="005524D7"/>
    <w:rsid w:val="00553246"/>
    <w:rsid w:val="0055594C"/>
    <w:rsid w:val="00556DCB"/>
    <w:rsid w:val="00560337"/>
    <w:rsid w:val="00560C17"/>
    <w:rsid w:val="005623A5"/>
    <w:rsid w:val="005625FF"/>
    <w:rsid w:val="00563424"/>
    <w:rsid w:val="00563F89"/>
    <w:rsid w:val="00564FCB"/>
    <w:rsid w:val="0056602C"/>
    <w:rsid w:val="005662F3"/>
    <w:rsid w:val="00566308"/>
    <w:rsid w:val="00566EE0"/>
    <w:rsid w:val="00567A58"/>
    <w:rsid w:val="00570ABD"/>
    <w:rsid w:val="005735B2"/>
    <w:rsid w:val="00573A91"/>
    <w:rsid w:val="00574408"/>
    <w:rsid w:val="00574B63"/>
    <w:rsid w:val="00574C4A"/>
    <w:rsid w:val="005757C4"/>
    <w:rsid w:val="00575B78"/>
    <w:rsid w:val="00575E6B"/>
    <w:rsid w:val="00575FCE"/>
    <w:rsid w:val="00577902"/>
    <w:rsid w:val="00580B5B"/>
    <w:rsid w:val="005829B2"/>
    <w:rsid w:val="005831CD"/>
    <w:rsid w:val="00585511"/>
    <w:rsid w:val="00585592"/>
    <w:rsid w:val="005867F3"/>
    <w:rsid w:val="00586940"/>
    <w:rsid w:val="0059547A"/>
    <w:rsid w:val="00595E8E"/>
    <w:rsid w:val="00596A29"/>
    <w:rsid w:val="00597520"/>
    <w:rsid w:val="005A45F6"/>
    <w:rsid w:val="005A6DD4"/>
    <w:rsid w:val="005A7681"/>
    <w:rsid w:val="005B27FF"/>
    <w:rsid w:val="005B304D"/>
    <w:rsid w:val="005B355B"/>
    <w:rsid w:val="005B4309"/>
    <w:rsid w:val="005B4718"/>
    <w:rsid w:val="005B6E66"/>
    <w:rsid w:val="005C0F38"/>
    <w:rsid w:val="005C3009"/>
    <w:rsid w:val="005C3197"/>
    <w:rsid w:val="005C47D4"/>
    <w:rsid w:val="005C49DC"/>
    <w:rsid w:val="005C4C14"/>
    <w:rsid w:val="005C6B80"/>
    <w:rsid w:val="005C706E"/>
    <w:rsid w:val="005C7F15"/>
    <w:rsid w:val="005D04FE"/>
    <w:rsid w:val="005D21DE"/>
    <w:rsid w:val="005D5E99"/>
    <w:rsid w:val="005D6C50"/>
    <w:rsid w:val="005D70D4"/>
    <w:rsid w:val="005D72A1"/>
    <w:rsid w:val="005D798F"/>
    <w:rsid w:val="005E13B9"/>
    <w:rsid w:val="005E2DC3"/>
    <w:rsid w:val="005E305C"/>
    <w:rsid w:val="005E3F20"/>
    <w:rsid w:val="005E3FBC"/>
    <w:rsid w:val="005E50B4"/>
    <w:rsid w:val="005E554D"/>
    <w:rsid w:val="005E575E"/>
    <w:rsid w:val="005E5DF2"/>
    <w:rsid w:val="005E7B68"/>
    <w:rsid w:val="005F065D"/>
    <w:rsid w:val="005F0C2C"/>
    <w:rsid w:val="005F3700"/>
    <w:rsid w:val="005F4181"/>
    <w:rsid w:val="005F54B0"/>
    <w:rsid w:val="005F5ED2"/>
    <w:rsid w:val="005F631F"/>
    <w:rsid w:val="00601082"/>
    <w:rsid w:val="00603252"/>
    <w:rsid w:val="006058E2"/>
    <w:rsid w:val="006103D3"/>
    <w:rsid w:val="00610432"/>
    <w:rsid w:val="0061083C"/>
    <w:rsid w:val="00615DF3"/>
    <w:rsid w:val="00616181"/>
    <w:rsid w:val="006162A0"/>
    <w:rsid w:val="0061725B"/>
    <w:rsid w:val="00617DE1"/>
    <w:rsid w:val="00620F02"/>
    <w:rsid w:val="00621F7F"/>
    <w:rsid w:val="00622903"/>
    <w:rsid w:val="00623D17"/>
    <w:rsid w:val="006260F5"/>
    <w:rsid w:val="00626C74"/>
    <w:rsid w:val="00630ECF"/>
    <w:rsid w:val="00632F7B"/>
    <w:rsid w:val="00633994"/>
    <w:rsid w:val="00635F5F"/>
    <w:rsid w:val="006401BA"/>
    <w:rsid w:val="006413B3"/>
    <w:rsid w:val="00642123"/>
    <w:rsid w:val="00643D3F"/>
    <w:rsid w:val="00645EF0"/>
    <w:rsid w:val="006460D0"/>
    <w:rsid w:val="00647DC3"/>
    <w:rsid w:val="00647F00"/>
    <w:rsid w:val="00650218"/>
    <w:rsid w:val="00650E59"/>
    <w:rsid w:val="00651453"/>
    <w:rsid w:val="00651986"/>
    <w:rsid w:val="00652526"/>
    <w:rsid w:val="00653286"/>
    <w:rsid w:val="00653ADA"/>
    <w:rsid w:val="006544E7"/>
    <w:rsid w:val="0065518A"/>
    <w:rsid w:val="00656160"/>
    <w:rsid w:val="006573E0"/>
    <w:rsid w:val="00657C30"/>
    <w:rsid w:val="00661523"/>
    <w:rsid w:val="0066774D"/>
    <w:rsid w:val="006727B1"/>
    <w:rsid w:val="00681325"/>
    <w:rsid w:val="00681BFB"/>
    <w:rsid w:val="00685E8B"/>
    <w:rsid w:val="0068726A"/>
    <w:rsid w:val="006908B4"/>
    <w:rsid w:val="00690AD5"/>
    <w:rsid w:val="006911D7"/>
    <w:rsid w:val="00691232"/>
    <w:rsid w:val="0069154D"/>
    <w:rsid w:val="00691A2A"/>
    <w:rsid w:val="00693D21"/>
    <w:rsid w:val="006947F2"/>
    <w:rsid w:val="00695DD2"/>
    <w:rsid w:val="006962C3"/>
    <w:rsid w:val="006973FB"/>
    <w:rsid w:val="00697B45"/>
    <w:rsid w:val="006A007F"/>
    <w:rsid w:val="006A014D"/>
    <w:rsid w:val="006A2160"/>
    <w:rsid w:val="006A268F"/>
    <w:rsid w:val="006A39C1"/>
    <w:rsid w:val="006A3CAB"/>
    <w:rsid w:val="006A4464"/>
    <w:rsid w:val="006A4725"/>
    <w:rsid w:val="006A4C21"/>
    <w:rsid w:val="006A5674"/>
    <w:rsid w:val="006A6899"/>
    <w:rsid w:val="006B1DA5"/>
    <w:rsid w:val="006B3A53"/>
    <w:rsid w:val="006B5260"/>
    <w:rsid w:val="006B706C"/>
    <w:rsid w:val="006C5131"/>
    <w:rsid w:val="006C5C15"/>
    <w:rsid w:val="006C71EC"/>
    <w:rsid w:val="006C7383"/>
    <w:rsid w:val="006C7F4F"/>
    <w:rsid w:val="006D01E8"/>
    <w:rsid w:val="006D0B24"/>
    <w:rsid w:val="006D0DE7"/>
    <w:rsid w:val="006D0E87"/>
    <w:rsid w:val="006D1DDE"/>
    <w:rsid w:val="006D2B74"/>
    <w:rsid w:val="006D3506"/>
    <w:rsid w:val="006D3A94"/>
    <w:rsid w:val="006D4C82"/>
    <w:rsid w:val="006D53B5"/>
    <w:rsid w:val="006D589B"/>
    <w:rsid w:val="006D5D50"/>
    <w:rsid w:val="006E043B"/>
    <w:rsid w:val="006E1916"/>
    <w:rsid w:val="006E2775"/>
    <w:rsid w:val="006E4983"/>
    <w:rsid w:val="006E54A7"/>
    <w:rsid w:val="006E6E8E"/>
    <w:rsid w:val="006E747F"/>
    <w:rsid w:val="006E7BEB"/>
    <w:rsid w:val="006F044F"/>
    <w:rsid w:val="006F1414"/>
    <w:rsid w:val="006F1F1F"/>
    <w:rsid w:val="006F3EB6"/>
    <w:rsid w:val="006F4E14"/>
    <w:rsid w:val="006F50F2"/>
    <w:rsid w:val="006F6AFC"/>
    <w:rsid w:val="00705C20"/>
    <w:rsid w:val="00705EC3"/>
    <w:rsid w:val="007060F4"/>
    <w:rsid w:val="007065FF"/>
    <w:rsid w:val="00707686"/>
    <w:rsid w:val="007138F5"/>
    <w:rsid w:val="00714FA6"/>
    <w:rsid w:val="00715738"/>
    <w:rsid w:val="00717B47"/>
    <w:rsid w:val="00720FEF"/>
    <w:rsid w:val="0072298E"/>
    <w:rsid w:val="00722B38"/>
    <w:rsid w:val="00724F99"/>
    <w:rsid w:val="00725072"/>
    <w:rsid w:val="007255F7"/>
    <w:rsid w:val="007259CC"/>
    <w:rsid w:val="00726421"/>
    <w:rsid w:val="00727D81"/>
    <w:rsid w:val="00731790"/>
    <w:rsid w:val="00735821"/>
    <w:rsid w:val="00736044"/>
    <w:rsid w:val="00736C12"/>
    <w:rsid w:val="00736CB3"/>
    <w:rsid w:val="00737FC8"/>
    <w:rsid w:val="0074089C"/>
    <w:rsid w:val="00741634"/>
    <w:rsid w:val="007428DD"/>
    <w:rsid w:val="007431A9"/>
    <w:rsid w:val="0074607C"/>
    <w:rsid w:val="0075023E"/>
    <w:rsid w:val="00750D7F"/>
    <w:rsid w:val="00752984"/>
    <w:rsid w:val="007536AB"/>
    <w:rsid w:val="00754B08"/>
    <w:rsid w:val="0075650C"/>
    <w:rsid w:val="007567A3"/>
    <w:rsid w:val="00757701"/>
    <w:rsid w:val="00760BCE"/>
    <w:rsid w:val="00761384"/>
    <w:rsid w:val="00761776"/>
    <w:rsid w:val="00761ABA"/>
    <w:rsid w:val="007625DF"/>
    <w:rsid w:val="007635E8"/>
    <w:rsid w:val="00765072"/>
    <w:rsid w:val="00766323"/>
    <w:rsid w:val="007665A0"/>
    <w:rsid w:val="00766831"/>
    <w:rsid w:val="0077128B"/>
    <w:rsid w:val="00771AD4"/>
    <w:rsid w:val="0077280C"/>
    <w:rsid w:val="0077311D"/>
    <w:rsid w:val="007768F2"/>
    <w:rsid w:val="00776D13"/>
    <w:rsid w:val="0077738B"/>
    <w:rsid w:val="00784120"/>
    <w:rsid w:val="00784757"/>
    <w:rsid w:val="00786F21"/>
    <w:rsid w:val="007900B6"/>
    <w:rsid w:val="007963C3"/>
    <w:rsid w:val="00797A53"/>
    <w:rsid w:val="007A041D"/>
    <w:rsid w:val="007A0A6D"/>
    <w:rsid w:val="007A24D3"/>
    <w:rsid w:val="007A2DB2"/>
    <w:rsid w:val="007A3461"/>
    <w:rsid w:val="007A5FC7"/>
    <w:rsid w:val="007A69AE"/>
    <w:rsid w:val="007A7138"/>
    <w:rsid w:val="007B13C2"/>
    <w:rsid w:val="007B17B8"/>
    <w:rsid w:val="007B21A4"/>
    <w:rsid w:val="007B28F0"/>
    <w:rsid w:val="007B4809"/>
    <w:rsid w:val="007B4902"/>
    <w:rsid w:val="007B711E"/>
    <w:rsid w:val="007B74BF"/>
    <w:rsid w:val="007C080E"/>
    <w:rsid w:val="007C09CF"/>
    <w:rsid w:val="007C1479"/>
    <w:rsid w:val="007C3549"/>
    <w:rsid w:val="007C56C5"/>
    <w:rsid w:val="007C67A9"/>
    <w:rsid w:val="007C6C41"/>
    <w:rsid w:val="007D10A7"/>
    <w:rsid w:val="007D2686"/>
    <w:rsid w:val="007D27C3"/>
    <w:rsid w:val="007D3AF8"/>
    <w:rsid w:val="007D43E8"/>
    <w:rsid w:val="007E187B"/>
    <w:rsid w:val="007E1994"/>
    <w:rsid w:val="007E1B52"/>
    <w:rsid w:val="007E2272"/>
    <w:rsid w:val="007E254A"/>
    <w:rsid w:val="007E255E"/>
    <w:rsid w:val="007E46B7"/>
    <w:rsid w:val="007E522B"/>
    <w:rsid w:val="007E61DD"/>
    <w:rsid w:val="007F0288"/>
    <w:rsid w:val="007F1244"/>
    <w:rsid w:val="007F2B76"/>
    <w:rsid w:val="007F3FF8"/>
    <w:rsid w:val="007F4ECE"/>
    <w:rsid w:val="007F79B9"/>
    <w:rsid w:val="008001FD"/>
    <w:rsid w:val="008024DC"/>
    <w:rsid w:val="0080480A"/>
    <w:rsid w:val="00805EB6"/>
    <w:rsid w:val="0080611D"/>
    <w:rsid w:val="0080733A"/>
    <w:rsid w:val="00807923"/>
    <w:rsid w:val="00807965"/>
    <w:rsid w:val="00810646"/>
    <w:rsid w:val="00811641"/>
    <w:rsid w:val="008146E8"/>
    <w:rsid w:val="00814B61"/>
    <w:rsid w:val="008151B0"/>
    <w:rsid w:val="0081640A"/>
    <w:rsid w:val="00816B97"/>
    <w:rsid w:val="00816C98"/>
    <w:rsid w:val="008176A4"/>
    <w:rsid w:val="00817BDD"/>
    <w:rsid w:val="00821F5A"/>
    <w:rsid w:val="00824B78"/>
    <w:rsid w:val="00825E72"/>
    <w:rsid w:val="00826387"/>
    <w:rsid w:val="00826A80"/>
    <w:rsid w:val="00830D94"/>
    <w:rsid w:val="0083113C"/>
    <w:rsid w:val="00831D9B"/>
    <w:rsid w:val="00832596"/>
    <w:rsid w:val="00834B3C"/>
    <w:rsid w:val="00834E33"/>
    <w:rsid w:val="00836C2E"/>
    <w:rsid w:val="008371AB"/>
    <w:rsid w:val="008377F5"/>
    <w:rsid w:val="008378FD"/>
    <w:rsid w:val="00837B14"/>
    <w:rsid w:val="00837DE7"/>
    <w:rsid w:val="00840387"/>
    <w:rsid w:val="00840B7D"/>
    <w:rsid w:val="00842EFF"/>
    <w:rsid w:val="008438CC"/>
    <w:rsid w:val="0084440D"/>
    <w:rsid w:val="0084533A"/>
    <w:rsid w:val="00845DDF"/>
    <w:rsid w:val="00846E0D"/>
    <w:rsid w:val="0084765E"/>
    <w:rsid w:val="008477EC"/>
    <w:rsid w:val="0084780B"/>
    <w:rsid w:val="00847E4B"/>
    <w:rsid w:val="0085313D"/>
    <w:rsid w:val="00854D27"/>
    <w:rsid w:val="008563DB"/>
    <w:rsid w:val="0085647C"/>
    <w:rsid w:val="0086353D"/>
    <w:rsid w:val="00863F4D"/>
    <w:rsid w:val="00870950"/>
    <w:rsid w:val="0087114F"/>
    <w:rsid w:val="00871693"/>
    <w:rsid w:val="00874100"/>
    <w:rsid w:val="00874F9F"/>
    <w:rsid w:val="00875B52"/>
    <w:rsid w:val="00875DA5"/>
    <w:rsid w:val="00876616"/>
    <w:rsid w:val="00877FC1"/>
    <w:rsid w:val="00882C5B"/>
    <w:rsid w:val="00885FAE"/>
    <w:rsid w:val="00891F28"/>
    <w:rsid w:val="008923D0"/>
    <w:rsid w:val="00893543"/>
    <w:rsid w:val="00894E2A"/>
    <w:rsid w:val="00895056"/>
    <w:rsid w:val="0089558F"/>
    <w:rsid w:val="008955ED"/>
    <w:rsid w:val="008960BC"/>
    <w:rsid w:val="008A0998"/>
    <w:rsid w:val="008A2C65"/>
    <w:rsid w:val="008A62DD"/>
    <w:rsid w:val="008A6C3A"/>
    <w:rsid w:val="008B1076"/>
    <w:rsid w:val="008B29F4"/>
    <w:rsid w:val="008B419A"/>
    <w:rsid w:val="008B4369"/>
    <w:rsid w:val="008B6DEB"/>
    <w:rsid w:val="008B71E6"/>
    <w:rsid w:val="008B7391"/>
    <w:rsid w:val="008C1595"/>
    <w:rsid w:val="008C615C"/>
    <w:rsid w:val="008C6660"/>
    <w:rsid w:val="008C703D"/>
    <w:rsid w:val="008C7197"/>
    <w:rsid w:val="008D0B2C"/>
    <w:rsid w:val="008D6EC7"/>
    <w:rsid w:val="008E0988"/>
    <w:rsid w:val="008E0ABC"/>
    <w:rsid w:val="008E189F"/>
    <w:rsid w:val="008E1C8B"/>
    <w:rsid w:val="008E4178"/>
    <w:rsid w:val="008E531C"/>
    <w:rsid w:val="008E639F"/>
    <w:rsid w:val="008F1280"/>
    <w:rsid w:val="008F585B"/>
    <w:rsid w:val="008F7828"/>
    <w:rsid w:val="009001D1"/>
    <w:rsid w:val="00900CD8"/>
    <w:rsid w:val="0090277F"/>
    <w:rsid w:val="00902C85"/>
    <w:rsid w:val="00903A4A"/>
    <w:rsid w:val="009043A3"/>
    <w:rsid w:val="00905611"/>
    <w:rsid w:val="00905757"/>
    <w:rsid w:val="00905DFF"/>
    <w:rsid w:val="00907E68"/>
    <w:rsid w:val="009104DE"/>
    <w:rsid w:val="00910AB0"/>
    <w:rsid w:val="00911287"/>
    <w:rsid w:val="00911665"/>
    <w:rsid w:val="00913BE9"/>
    <w:rsid w:val="00913C2A"/>
    <w:rsid w:val="009171B0"/>
    <w:rsid w:val="009205A8"/>
    <w:rsid w:val="0092075B"/>
    <w:rsid w:val="0092173C"/>
    <w:rsid w:val="00921E00"/>
    <w:rsid w:val="009220B9"/>
    <w:rsid w:val="00923129"/>
    <w:rsid w:val="0093036C"/>
    <w:rsid w:val="00931E91"/>
    <w:rsid w:val="00933137"/>
    <w:rsid w:val="009334DA"/>
    <w:rsid w:val="0093480F"/>
    <w:rsid w:val="00937074"/>
    <w:rsid w:val="00937860"/>
    <w:rsid w:val="0094100E"/>
    <w:rsid w:val="00941D51"/>
    <w:rsid w:val="0094203C"/>
    <w:rsid w:val="00942177"/>
    <w:rsid w:val="00942817"/>
    <w:rsid w:val="00944186"/>
    <w:rsid w:val="009453F7"/>
    <w:rsid w:val="00945E6C"/>
    <w:rsid w:val="009464C6"/>
    <w:rsid w:val="00947823"/>
    <w:rsid w:val="00947873"/>
    <w:rsid w:val="009503B7"/>
    <w:rsid w:val="00953295"/>
    <w:rsid w:val="00953923"/>
    <w:rsid w:val="00954087"/>
    <w:rsid w:val="00954AEA"/>
    <w:rsid w:val="009554CC"/>
    <w:rsid w:val="009557DC"/>
    <w:rsid w:val="00957D81"/>
    <w:rsid w:val="00957DDE"/>
    <w:rsid w:val="00964B2E"/>
    <w:rsid w:val="00964C5D"/>
    <w:rsid w:val="009650DF"/>
    <w:rsid w:val="009704BF"/>
    <w:rsid w:val="00970A73"/>
    <w:rsid w:val="00973298"/>
    <w:rsid w:val="009820EA"/>
    <w:rsid w:val="00983632"/>
    <w:rsid w:val="0098379E"/>
    <w:rsid w:val="00983EB7"/>
    <w:rsid w:val="00984612"/>
    <w:rsid w:val="00985BD2"/>
    <w:rsid w:val="00987254"/>
    <w:rsid w:val="00987923"/>
    <w:rsid w:val="0099056E"/>
    <w:rsid w:val="009910CB"/>
    <w:rsid w:val="00992F40"/>
    <w:rsid w:val="00993A6F"/>
    <w:rsid w:val="00994369"/>
    <w:rsid w:val="009A03C5"/>
    <w:rsid w:val="009A09D1"/>
    <w:rsid w:val="009A1D40"/>
    <w:rsid w:val="009A1F40"/>
    <w:rsid w:val="009A23A2"/>
    <w:rsid w:val="009A30B3"/>
    <w:rsid w:val="009A4E96"/>
    <w:rsid w:val="009A5638"/>
    <w:rsid w:val="009A78E1"/>
    <w:rsid w:val="009B2248"/>
    <w:rsid w:val="009B225A"/>
    <w:rsid w:val="009B2ACA"/>
    <w:rsid w:val="009B35D4"/>
    <w:rsid w:val="009B3C74"/>
    <w:rsid w:val="009B525E"/>
    <w:rsid w:val="009B5721"/>
    <w:rsid w:val="009C0D48"/>
    <w:rsid w:val="009C3830"/>
    <w:rsid w:val="009C4A92"/>
    <w:rsid w:val="009C5CD4"/>
    <w:rsid w:val="009C6005"/>
    <w:rsid w:val="009D0CB2"/>
    <w:rsid w:val="009D0F34"/>
    <w:rsid w:val="009D0FA0"/>
    <w:rsid w:val="009D277C"/>
    <w:rsid w:val="009D30EF"/>
    <w:rsid w:val="009D3762"/>
    <w:rsid w:val="009D3DA6"/>
    <w:rsid w:val="009D4036"/>
    <w:rsid w:val="009D4D7F"/>
    <w:rsid w:val="009D5962"/>
    <w:rsid w:val="009D59F6"/>
    <w:rsid w:val="009D6F81"/>
    <w:rsid w:val="009D7B5B"/>
    <w:rsid w:val="009D7C8E"/>
    <w:rsid w:val="009E7E55"/>
    <w:rsid w:val="009F00CD"/>
    <w:rsid w:val="009F0B83"/>
    <w:rsid w:val="009F34E3"/>
    <w:rsid w:val="009F6985"/>
    <w:rsid w:val="009F6F5A"/>
    <w:rsid w:val="009F78AC"/>
    <w:rsid w:val="009F7D28"/>
    <w:rsid w:val="009F7E78"/>
    <w:rsid w:val="00A023F3"/>
    <w:rsid w:val="00A02601"/>
    <w:rsid w:val="00A049A7"/>
    <w:rsid w:val="00A050ED"/>
    <w:rsid w:val="00A0762D"/>
    <w:rsid w:val="00A100EC"/>
    <w:rsid w:val="00A1220E"/>
    <w:rsid w:val="00A13214"/>
    <w:rsid w:val="00A13422"/>
    <w:rsid w:val="00A13E3A"/>
    <w:rsid w:val="00A14463"/>
    <w:rsid w:val="00A14859"/>
    <w:rsid w:val="00A1645F"/>
    <w:rsid w:val="00A165A5"/>
    <w:rsid w:val="00A16C7A"/>
    <w:rsid w:val="00A2090C"/>
    <w:rsid w:val="00A23918"/>
    <w:rsid w:val="00A23D0A"/>
    <w:rsid w:val="00A24979"/>
    <w:rsid w:val="00A269BA"/>
    <w:rsid w:val="00A273A7"/>
    <w:rsid w:val="00A3356D"/>
    <w:rsid w:val="00A34229"/>
    <w:rsid w:val="00A3554A"/>
    <w:rsid w:val="00A35DD5"/>
    <w:rsid w:val="00A374AE"/>
    <w:rsid w:val="00A37607"/>
    <w:rsid w:val="00A41C01"/>
    <w:rsid w:val="00A42231"/>
    <w:rsid w:val="00A4233A"/>
    <w:rsid w:val="00A4312E"/>
    <w:rsid w:val="00A4451F"/>
    <w:rsid w:val="00A447FE"/>
    <w:rsid w:val="00A44A30"/>
    <w:rsid w:val="00A465EE"/>
    <w:rsid w:val="00A51B02"/>
    <w:rsid w:val="00A52DAF"/>
    <w:rsid w:val="00A535C9"/>
    <w:rsid w:val="00A53698"/>
    <w:rsid w:val="00A53EF3"/>
    <w:rsid w:val="00A5419C"/>
    <w:rsid w:val="00A5763A"/>
    <w:rsid w:val="00A57F47"/>
    <w:rsid w:val="00A60F26"/>
    <w:rsid w:val="00A639FD"/>
    <w:rsid w:val="00A644F9"/>
    <w:rsid w:val="00A64831"/>
    <w:rsid w:val="00A648BD"/>
    <w:rsid w:val="00A65E7B"/>
    <w:rsid w:val="00A7078C"/>
    <w:rsid w:val="00A739E0"/>
    <w:rsid w:val="00A74055"/>
    <w:rsid w:val="00A7421E"/>
    <w:rsid w:val="00A750FF"/>
    <w:rsid w:val="00A754AA"/>
    <w:rsid w:val="00A75999"/>
    <w:rsid w:val="00A77D7B"/>
    <w:rsid w:val="00A77E88"/>
    <w:rsid w:val="00A80F94"/>
    <w:rsid w:val="00A817CC"/>
    <w:rsid w:val="00A8348C"/>
    <w:rsid w:val="00A8491E"/>
    <w:rsid w:val="00A84F6D"/>
    <w:rsid w:val="00A85162"/>
    <w:rsid w:val="00A85C7E"/>
    <w:rsid w:val="00A8674A"/>
    <w:rsid w:val="00A8735D"/>
    <w:rsid w:val="00A87FDC"/>
    <w:rsid w:val="00A932E7"/>
    <w:rsid w:val="00A95064"/>
    <w:rsid w:val="00A950F0"/>
    <w:rsid w:val="00A96ED6"/>
    <w:rsid w:val="00AA0E72"/>
    <w:rsid w:val="00AA0EC8"/>
    <w:rsid w:val="00AA318D"/>
    <w:rsid w:val="00AA471A"/>
    <w:rsid w:val="00AA5173"/>
    <w:rsid w:val="00AA5434"/>
    <w:rsid w:val="00AA71AC"/>
    <w:rsid w:val="00AA765D"/>
    <w:rsid w:val="00AA7B97"/>
    <w:rsid w:val="00AB13B6"/>
    <w:rsid w:val="00AB1C9C"/>
    <w:rsid w:val="00AB2832"/>
    <w:rsid w:val="00AB2EFF"/>
    <w:rsid w:val="00AB56E3"/>
    <w:rsid w:val="00AB6174"/>
    <w:rsid w:val="00AB61F4"/>
    <w:rsid w:val="00AB69B0"/>
    <w:rsid w:val="00AB6CF9"/>
    <w:rsid w:val="00AB758D"/>
    <w:rsid w:val="00AC2740"/>
    <w:rsid w:val="00AC475C"/>
    <w:rsid w:val="00AC5D7E"/>
    <w:rsid w:val="00AC63B6"/>
    <w:rsid w:val="00AC7681"/>
    <w:rsid w:val="00AC78C4"/>
    <w:rsid w:val="00AC7F2C"/>
    <w:rsid w:val="00AD170C"/>
    <w:rsid w:val="00AD5F30"/>
    <w:rsid w:val="00AE2A2F"/>
    <w:rsid w:val="00AE5756"/>
    <w:rsid w:val="00AE61ED"/>
    <w:rsid w:val="00AE69CB"/>
    <w:rsid w:val="00AE7F2F"/>
    <w:rsid w:val="00AF4C2F"/>
    <w:rsid w:val="00AF5212"/>
    <w:rsid w:val="00B00B83"/>
    <w:rsid w:val="00B03CAE"/>
    <w:rsid w:val="00B03D64"/>
    <w:rsid w:val="00B045C4"/>
    <w:rsid w:val="00B04963"/>
    <w:rsid w:val="00B04B13"/>
    <w:rsid w:val="00B04BED"/>
    <w:rsid w:val="00B04E70"/>
    <w:rsid w:val="00B11535"/>
    <w:rsid w:val="00B11AC9"/>
    <w:rsid w:val="00B1223C"/>
    <w:rsid w:val="00B2118C"/>
    <w:rsid w:val="00B213A3"/>
    <w:rsid w:val="00B22799"/>
    <w:rsid w:val="00B22811"/>
    <w:rsid w:val="00B23BE1"/>
    <w:rsid w:val="00B23D18"/>
    <w:rsid w:val="00B23D55"/>
    <w:rsid w:val="00B27B28"/>
    <w:rsid w:val="00B3004A"/>
    <w:rsid w:val="00B3043D"/>
    <w:rsid w:val="00B30FD3"/>
    <w:rsid w:val="00B32841"/>
    <w:rsid w:val="00B33ADE"/>
    <w:rsid w:val="00B340FE"/>
    <w:rsid w:val="00B344D3"/>
    <w:rsid w:val="00B3491E"/>
    <w:rsid w:val="00B351D3"/>
    <w:rsid w:val="00B35269"/>
    <w:rsid w:val="00B36139"/>
    <w:rsid w:val="00B368FB"/>
    <w:rsid w:val="00B41136"/>
    <w:rsid w:val="00B41FE3"/>
    <w:rsid w:val="00B451A7"/>
    <w:rsid w:val="00B467F5"/>
    <w:rsid w:val="00B55732"/>
    <w:rsid w:val="00B55924"/>
    <w:rsid w:val="00B60A4F"/>
    <w:rsid w:val="00B60B7C"/>
    <w:rsid w:val="00B61AF9"/>
    <w:rsid w:val="00B641EC"/>
    <w:rsid w:val="00B6549F"/>
    <w:rsid w:val="00B6587D"/>
    <w:rsid w:val="00B66593"/>
    <w:rsid w:val="00B665C9"/>
    <w:rsid w:val="00B66E74"/>
    <w:rsid w:val="00B71188"/>
    <w:rsid w:val="00B7130D"/>
    <w:rsid w:val="00B7365B"/>
    <w:rsid w:val="00B747A3"/>
    <w:rsid w:val="00B75111"/>
    <w:rsid w:val="00B77521"/>
    <w:rsid w:val="00B8066D"/>
    <w:rsid w:val="00B80E22"/>
    <w:rsid w:val="00B81490"/>
    <w:rsid w:val="00B81715"/>
    <w:rsid w:val="00B8232C"/>
    <w:rsid w:val="00B85E1A"/>
    <w:rsid w:val="00B8783A"/>
    <w:rsid w:val="00B90D68"/>
    <w:rsid w:val="00B910F5"/>
    <w:rsid w:val="00B91C09"/>
    <w:rsid w:val="00B927AB"/>
    <w:rsid w:val="00B93267"/>
    <w:rsid w:val="00B9390A"/>
    <w:rsid w:val="00B95F60"/>
    <w:rsid w:val="00B95FBC"/>
    <w:rsid w:val="00B976D9"/>
    <w:rsid w:val="00BA059E"/>
    <w:rsid w:val="00BA11ED"/>
    <w:rsid w:val="00BA1BE6"/>
    <w:rsid w:val="00BA2984"/>
    <w:rsid w:val="00BA545C"/>
    <w:rsid w:val="00BA59A9"/>
    <w:rsid w:val="00BA6771"/>
    <w:rsid w:val="00BA7132"/>
    <w:rsid w:val="00BB1560"/>
    <w:rsid w:val="00BB263D"/>
    <w:rsid w:val="00BB6E36"/>
    <w:rsid w:val="00BB7977"/>
    <w:rsid w:val="00BC5513"/>
    <w:rsid w:val="00BC5966"/>
    <w:rsid w:val="00BC6228"/>
    <w:rsid w:val="00BC7161"/>
    <w:rsid w:val="00BD0466"/>
    <w:rsid w:val="00BD0DF1"/>
    <w:rsid w:val="00BD373C"/>
    <w:rsid w:val="00BD3F73"/>
    <w:rsid w:val="00BD445B"/>
    <w:rsid w:val="00BD64A0"/>
    <w:rsid w:val="00BD6509"/>
    <w:rsid w:val="00BD6D3B"/>
    <w:rsid w:val="00BD7FF9"/>
    <w:rsid w:val="00BE09CA"/>
    <w:rsid w:val="00BE1A23"/>
    <w:rsid w:val="00BE4295"/>
    <w:rsid w:val="00BE611E"/>
    <w:rsid w:val="00BE65B8"/>
    <w:rsid w:val="00BF04B8"/>
    <w:rsid w:val="00BF0882"/>
    <w:rsid w:val="00BF0B09"/>
    <w:rsid w:val="00BF114A"/>
    <w:rsid w:val="00BF1993"/>
    <w:rsid w:val="00BF293E"/>
    <w:rsid w:val="00BF386D"/>
    <w:rsid w:val="00BF638B"/>
    <w:rsid w:val="00BF6AB7"/>
    <w:rsid w:val="00C07BC4"/>
    <w:rsid w:val="00C117F1"/>
    <w:rsid w:val="00C14EAD"/>
    <w:rsid w:val="00C1564A"/>
    <w:rsid w:val="00C1616F"/>
    <w:rsid w:val="00C168D6"/>
    <w:rsid w:val="00C17EF3"/>
    <w:rsid w:val="00C22C6A"/>
    <w:rsid w:val="00C23887"/>
    <w:rsid w:val="00C26994"/>
    <w:rsid w:val="00C2736F"/>
    <w:rsid w:val="00C30DDD"/>
    <w:rsid w:val="00C35338"/>
    <w:rsid w:val="00C406CD"/>
    <w:rsid w:val="00C40DCE"/>
    <w:rsid w:val="00C42105"/>
    <w:rsid w:val="00C42E24"/>
    <w:rsid w:val="00C42F8F"/>
    <w:rsid w:val="00C44A55"/>
    <w:rsid w:val="00C4579F"/>
    <w:rsid w:val="00C46669"/>
    <w:rsid w:val="00C5198F"/>
    <w:rsid w:val="00C5345D"/>
    <w:rsid w:val="00C53796"/>
    <w:rsid w:val="00C542C3"/>
    <w:rsid w:val="00C54D4F"/>
    <w:rsid w:val="00C564E6"/>
    <w:rsid w:val="00C60D8C"/>
    <w:rsid w:val="00C62311"/>
    <w:rsid w:val="00C71EEE"/>
    <w:rsid w:val="00C72C3B"/>
    <w:rsid w:val="00C75328"/>
    <w:rsid w:val="00C76330"/>
    <w:rsid w:val="00C77D05"/>
    <w:rsid w:val="00C77E47"/>
    <w:rsid w:val="00C80620"/>
    <w:rsid w:val="00C813AD"/>
    <w:rsid w:val="00C82009"/>
    <w:rsid w:val="00C82439"/>
    <w:rsid w:val="00C824A7"/>
    <w:rsid w:val="00C8255C"/>
    <w:rsid w:val="00C847CE"/>
    <w:rsid w:val="00C85305"/>
    <w:rsid w:val="00C873F9"/>
    <w:rsid w:val="00C87B56"/>
    <w:rsid w:val="00C915BC"/>
    <w:rsid w:val="00C91757"/>
    <w:rsid w:val="00C92288"/>
    <w:rsid w:val="00C93EE1"/>
    <w:rsid w:val="00C96690"/>
    <w:rsid w:val="00C96D27"/>
    <w:rsid w:val="00C979C6"/>
    <w:rsid w:val="00CA07BC"/>
    <w:rsid w:val="00CA1E18"/>
    <w:rsid w:val="00CA3D5E"/>
    <w:rsid w:val="00CA4175"/>
    <w:rsid w:val="00CA41F0"/>
    <w:rsid w:val="00CA44FB"/>
    <w:rsid w:val="00CA6807"/>
    <w:rsid w:val="00CB090B"/>
    <w:rsid w:val="00CB0FEC"/>
    <w:rsid w:val="00CB1B4D"/>
    <w:rsid w:val="00CB2B71"/>
    <w:rsid w:val="00CB32DB"/>
    <w:rsid w:val="00CB34B2"/>
    <w:rsid w:val="00CB382F"/>
    <w:rsid w:val="00CB3ADF"/>
    <w:rsid w:val="00CB3B42"/>
    <w:rsid w:val="00CB3EA1"/>
    <w:rsid w:val="00CB68E6"/>
    <w:rsid w:val="00CB6E5A"/>
    <w:rsid w:val="00CB7C0E"/>
    <w:rsid w:val="00CC0948"/>
    <w:rsid w:val="00CC27CA"/>
    <w:rsid w:val="00CC2E96"/>
    <w:rsid w:val="00CC5767"/>
    <w:rsid w:val="00CC5DEF"/>
    <w:rsid w:val="00CC78FC"/>
    <w:rsid w:val="00CC79AC"/>
    <w:rsid w:val="00CD2DFB"/>
    <w:rsid w:val="00CD36A1"/>
    <w:rsid w:val="00CD3B5B"/>
    <w:rsid w:val="00CD3FB5"/>
    <w:rsid w:val="00CD6A7C"/>
    <w:rsid w:val="00CD6DC2"/>
    <w:rsid w:val="00CD6EF5"/>
    <w:rsid w:val="00CD7068"/>
    <w:rsid w:val="00CD76EA"/>
    <w:rsid w:val="00CE0D65"/>
    <w:rsid w:val="00CE3906"/>
    <w:rsid w:val="00CE5648"/>
    <w:rsid w:val="00CE616C"/>
    <w:rsid w:val="00CE65F6"/>
    <w:rsid w:val="00CE6C8C"/>
    <w:rsid w:val="00CF1F1B"/>
    <w:rsid w:val="00CF53FB"/>
    <w:rsid w:val="00CF6ACE"/>
    <w:rsid w:val="00D01BA7"/>
    <w:rsid w:val="00D02E32"/>
    <w:rsid w:val="00D030BD"/>
    <w:rsid w:val="00D04641"/>
    <w:rsid w:val="00D04BF9"/>
    <w:rsid w:val="00D053B5"/>
    <w:rsid w:val="00D062DC"/>
    <w:rsid w:val="00D063FC"/>
    <w:rsid w:val="00D06D97"/>
    <w:rsid w:val="00D12920"/>
    <w:rsid w:val="00D12BF4"/>
    <w:rsid w:val="00D13760"/>
    <w:rsid w:val="00D14272"/>
    <w:rsid w:val="00D147C5"/>
    <w:rsid w:val="00D14F3D"/>
    <w:rsid w:val="00D14F77"/>
    <w:rsid w:val="00D15D32"/>
    <w:rsid w:val="00D1640F"/>
    <w:rsid w:val="00D1647E"/>
    <w:rsid w:val="00D16B36"/>
    <w:rsid w:val="00D173DB"/>
    <w:rsid w:val="00D2469E"/>
    <w:rsid w:val="00D2641C"/>
    <w:rsid w:val="00D264C0"/>
    <w:rsid w:val="00D273D0"/>
    <w:rsid w:val="00D316A2"/>
    <w:rsid w:val="00D316C6"/>
    <w:rsid w:val="00D324D3"/>
    <w:rsid w:val="00D32998"/>
    <w:rsid w:val="00D334A9"/>
    <w:rsid w:val="00D3402A"/>
    <w:rsid w:val="00D35442"/>
    <w:rsid w:val="00D3691D"/>
    <w:rsid w:val="00D41C10"/>
    <w:rsid w:val="00D42284"/>
    <w:rsid w:val="00D4385A"/>
    <w:rsid w:val="00D50288"/>
    <w:rsid w:val="00D50ED7"/>
    <w:rsid w:val="00D53393"/>
    <w:rsid w:val="00D54774"/>
    <w:rsid w:val="00D54A60"/>
    <w:rsid w:val="00D56A9A"/>
    <w:rsid w:val="00D578D9"/>
    <w:rsid w:val="00D6105F"/>
    <w:rsid w:val="00D647C9"/>
    <w:rsid w:val="00D6729E"/>
    <w:rsid w:val="00D67CB0"/>
    <w:rsid w:val="00D7671F"/>
    <w:rsid w:val="00D80163"/>
    <w:rsid w:val="00D80B0A"/>
    <w:rsid w:val="00D81239"/>
    <w:rsid w:val="00D83170"/>
    <w:rsid w:val="00D839F5"/>
    <w:rsid w:val="00D84122"/>
    <w:rsid w:val="00D85713"/>
    <w:rsid w:val="00D86000"/>
    <w:rsid w:val="00D94CA7"/>
    <w:rsid w:val="00D950C9"/>
    <w:rsid w:val="00D96709"/>
    <w:rsid w:val="00D978D8"/>
    <w:rsid w:val="00DA615F"/>
    <w:rsid w:val="00DB1865"/>
    <w:rsid w:val="00DB2A2C"/>
    <w:rsid w:val="00DB2E76"/>
    <w:rsid w:val="00DB4DD8"/>
    <w:rsid w:val="00DB533E"/>
    <w:rsid w:val="00DB7BCC"/>
    <w:rsid w:val="00DC059A"/>
    <w:rsid w:val="00DC181C"/>
    <w:rsid w:val="00DC64AD"/>
    <w:rsid w:val="00DC6FA6"/>
    <w:rsid w:val="00DC7F72"/>
    <w:rsid w:val="00DD286F"/>
    <w:rsid w:val="00DD2A25"/>
    <w:rsid w:val="00DD2EC6"/>
    <w:rsid w:val="00DD441F"/>
    <w:rsid w:val="00DD6906"/>
    <w:rsid w:val="00DE2AAE"/>
    <w:rsid w:val="00DE3F79"/>
    <w:rsid w:val="00DE6675"/>
    <w:rsid w:val="00DE684E"/>
    <w:rsid w:val="00DE75F5"/>
    <w:rsid w:val="00DE761B"/>
    <w:rsid w:val="00DF2082"/>
    <w:rsid w:val="00DF28B8"/>
    <w:rsid w:val="00DF36EA"/>
    <w:rsid w:val="00DF3E15"/>
    <w:rsid w:val="00DF6F9F"/>
    <w:rsid w:val="00DF7E5A"/>
    <w:rsid w:val="00E020A3"/>
    <w:rsid w:val="00E020F4"/>
    <w:rsid w:val="00E03064"/>
    <w:rsid w:val="00E03255"/>
    <w:rsid w:val="00E06A26"/>
    <w:rsid w:val="00E11577"/>
    <w:rsid w:val="00E1221F"/>
    <w:rsid w:val="00E1288D"/>
    <w:rsid w:val="00E12AE6"/>
    <w:rsid w:val="00E13AC4"/>
    <w:rsid w:val="00E14767"/>
    <w:rsid w:val="00E16098"/>
    <w:rsid w:val="00E16835"/>
    <w:rsid w:val="00E17A46"/>
    <w:rsid w:val="00E17DA3"/>
    <w:rsid w:val="00E21C68"/>
    <w:rsid w:val="00E21C79"/>
    <w:rsid w:val="00E228AD"/>
    <w:rsid w:val="00E25A48"/>
    <w:rsid w:val="00E25A5D"/>
    <w:rsid w:val="00E26474"/>
    <w:rsid w:val="00E31FED"/>
    <w:rsid w:val="00E33207"/>
    <w:rsid w:val="00E34957"/>
    <w:rsid w:val="00E3503F"/>
    <w:rsid w:val="00E352E0"/>
    <w:rsid w:val="00E35A40"/>
    <w:rsid w:val="00E4022C"/>
    <w:rsid w:val="00E403BF"/>
    <w:rsid w:val="00E4376D"/>
    <w:rsid w:val="00E43E21"/>
    <w:rsid w:val="00E44CCE"/>
    <w:rsid w:val="00E45063"/>
    <w:rsid w:val="00E505B2"/>
    <w:rsid w:val="00E518AF"/>
    <w:rsid w:val="00E6143D"/>
    <w:rsid w:val="00E6234D"/>
    <w:rsid w:val="00E629B0"/>
    <w:rsid w:val="00E6665B"/>
    <w:rsid w:val="00E67728"/>
    <w:rsid w:val="00E70149"/>
    <w:rsid w:val="00E7017A"/>
    <w:rsid w:val="00E70A24"/>
    <w:rsid w:val="00E70D7B"/>
    <w:rsid w:val="00E7150F"/>
    <w:rsid w:val="00E73A61"/>
    <w:rsid w:val="00E76EA9"/>
    <w:rsid w:val="00E7725D"/>
    <w:rsid w:val="00E80A51"/>
    <w:rsid w:val="00E82F71"/>
    <w:rsid w:val="00E8795C"/>
    <w:rsid w:val="00E906AD"/>
    <w:rsid w:val="00E90DE4"/>
    <w:rsid w:val="00E916C0"/>
    <w:rsid w:val="00E949A4"/>
    <w:rsid w:val="00E949CC"/>
    <w:rsid w:val="00E954A2"/>
    <w:rsid w:val="00E9642A"/>
    <w:rsid w:val="00E965AB"/>
    <w:rsid w:val="00E96820"/>
    <w:rsid w:val="00E9688E"/>
    <w:rsid w:val="00EA1C41"/>
    <w:rsid w:val="00EA1D18"/>
    <w:rsid w:val="00EA1DCE"/>
    <w:rsid w:val="00EA4FDB"/>
    <w:rsid w:val="00EA51FA"/>
    <w:rsid w:val="00EB031E"/>
    <w:rsid w:val="00EB227C"/>
    <w:rsid w:val="00EB2C47"/>
    <w:rsid w:val="00EB31BC"/>
    <w:rsid w:val="00EB4056"/>
    <w:rsid w:val="00EB5B1F"/>
    <w:rsid w:val="00EC22EA"/>
    <w:rsid w:val="00EC249A"/>
    <w:rsid w:val="00EC3D67"/>
    <w:rsid w:val="00EC4577"/>
    <w:rsid w:val="00EC4B38"/>
    <w:rsid w:val="00EC520B"/>
    <w:rsid w:val="00EC683E"/>
    <w:rsid w:val="00EC6D59"/>
    <w:rsid w:val="00EC7C86"/>
    <w:rsid w:val="00ED04F7"/>
    <w:rsid w:val="00ED0691"/>
    <w:rsid w:val="00ED1088"/>
    <w:rsid w:val="00ED38E4"/>
    <w:rsid w:val="00ED4000"/>
    <w:rsid w:val="00ED4062"/>
    <w:rsid w:val="00ED4785"/>
    <w:rsid w:val="00ED53C5"/>
    <w:rsid w:val="00ED54E7"/>
    <w:rsid w:val="00ED5794"/>
    <w:rsid w:val="00ED6C16"/>
    <w:rsid w:val="00EE15A1"/>
    <w:rsid w:val="00EE5FF2"/>
    <w:rsid w:val="00EE636A"/>
    <w:rsid w:val="00EE660C"/>
    <w:rsid w:val="00EE6757"/>
    <w:rsid w:val="00EE6918"/>
    <w:rsid w:val="00EE7B46"/>
    <w:rsid w:val="00EF2767"/>
    <w:rsid w:val="00EF5E6B"/>
    <w:rsid w:val="00EF6B06"/>
    <w:rsid w:val="00EF7418"/>
    <w:rsid w:val="00F015E8"/>
    <w:rsid w:val="00F02A8B"/>
    <w:rsid w:val="00F02FE9"/>
    <w:rsid w:val="00F03B8A"/>
    <w:rsid w:val="00F0478F"/>
    <w:rsid w:val="00F048AB"/>
    <w:rsid w:val="00F062AB"/>
    <w:rsid w:val="00F10B1F"/>
    <w:rsid w:val="00F1102F"/>
    <w:rsid w:val="00F14C0E"/>
    <w:rsid w:val="00F16EC3"/>
    <w:rsid w:val="00F21E5F"/>
    <w:rsid w:val="00F238BD"/>
    <w:rsid w:val="00F241AA"/>
    <w:rsid w:val="00F243CF"/>
    <w:rsid w:val="00F24D98"/>
    <w:rsid w:val="00F26D36"/>
    <w:rsid w:val="00F300A9"/>
    <w:rsid w:val="00F30640"/>
    <w:rsid w:val="00F3080D"/>
    <w:rsid w:val="00F30FCC"/>
    <w:rsid w:val="00F312D2"/>
    <w:rsid w:val="00F31ACE"/>
    <w:rsid w:val="00F3248B"/>
    <w:rsid w:val="00F325D9"/>
    <w:rsid w:val="00F333F7"/>
    <w:rsid w:val="00F35CE4"/>
    <w:rsid w:val="00F35ED0"/>
    <w:rsid w:val="00F35F61"/>
    <w:rsid w:val="00F36132"/>
    <w:rsid w:val="00F3771C"/>
    <w:rsid w:val="00F40A6D"/>
    <w:rsid w:val="00F4393A"/>
    <w:rsid w:val="00F47066"/>
    <w:rsid w:val="00F5075D"/>
    <w:rsid w:val="00F519DF"/>
    <w:rsid w:val="00F5530B"/>
    <w:rsid w:val="00F56182"/>
    <w:rsid w:val="00F57DD6"/>
    <w:rsid w:val="00F57EB5"/>
    <w:rsid w:val="00F61579"/>
    <w:rsid w:val="00F615B2"/>
    <w:rsid w:val="00F6195D"/>
    <w:rsid w:val="00F62BB8"/>
    <w:rsid w:val="00F636CA"/>
    <w:rsid w:val="00F66617"/>
    <w:rsid w:val="00F67416"/>
    <w:rsid w:val="00F70E12"/>
    <w:rsid w:val="00F73D40"/>
    <w:rsid w:val="00F761BC"/>
    <w:rsid w:val="00F80D0D"/>
    <w:rsid w:val="00F82E23"/>
    <w:rsid w:val="00F84638"/>
    <w:rsid w:val="00F87DC7"/>
    <w:rsid w:val="00F919B9"/>
    <w:rsid w:val="00F91EFF"/>
    <w:rsid w:val="00F94617"/>
    <w:rsid w:val="00F95D5A"/>
    <w:rsid w:val="00F95E79"/>
    <w:rsid w:val="00F96139"/>
    <w:rsid w:val="00F96BA4"/>
    <w:rsid w:val="00F9729F"/>
    <w:rsid w:val="00F97625"/>
    <w:rsid w:val="00F97B82"/>
    <w:rsid w:val="00F97CF5"/>
    <w:rsid w:val="00FA1CD7"/>
    <w:rsid w:val="00FA21EF"/>
    <w:rsid w:val="00FA3143"/>
    <w:rsid w:val="00FA564E"/>
    <w:rsid w:val="00FA5A06"/>
    <w:rsid w:val="00FA62F6"/>
    <w:rsid w:val="00FA708B"/>
    <w:rsid w:val="00FB2E1C"/>
    <w:rsid w:val="00FB3632"/>
    <w:rsid w:val="00FB4116"/>
    <w:rsid w:val="00FB4641"/>
    <w:rsid w:val="00FB637D"/>
    <w:rsid w:val="00FC04EC"/>
    <w:rsid w:val="00FC1530"/>
    <w:rsid w:val="00FC2BF5"/>
    <w:rsid w:val="00FC382F"/>
    <w:rsid w:val="00FC3995"/>
    <w:rsid w:val="00FC5578"/>
    <w:rsid w:val="00FC5E1C"/>
    <w:rsid w:val="00FC7934"/>
    <w:rsid w:val="00FD045B"/>
    <w:rsid w:val="00FD1465"/>
    <w:rsid w:val="00FD16DF"/>
    <w:rsid w:val="00FD392E"/>
    <w:rsid w:val="00FD43F7"/>
    <w:rsid w:val="00FE0144"/>
    <w:rsid w:val="00FE036C"/>
    <w:rsid w:val="00FE12E3"/>
    <w:rsid w:val="00FE150C"/>
    <w:rsid w:val="00FE2AA9"/>
    <w:rsid w:val="00FE47D1"/>
    <w:rsid w:val="00FE5015"/>
    <w:rsid w:val="00FF1CF7"/>
    <w:rsid w:val="00FF2AEA"/>
    <w:rsid w:val="00FF3711"/>
    <w:rsid w:val="00FF48C0"/>
    <w:rsid w:val="00FF5978"/>
    <w:rsid w:val="00FF6002"/>
    <w:rsid w:val="00FF689B"/>
    <w:rsid w:val="00FF7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DEB1C16"/>
  <w15:docId w15:val="{8B5AE06E-9EF4-4F35-AED7-FEDDDB29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AU" w:eastAsia="en-AU" w:bidi="ar-SA"/>
      </w:rPr>
    </w:rPrDefault>
    <w:pPrDefault>
      <w:pPr>
        <w:spacing w:after="120"/>
      </w:pPr>
    </w:pPrDefault>
  </w:docDefaults>
  <w:latentStyles w:defLockedState="0" w:defUIPriority="99" w:defSemiHidden="0" w:defUnhideWhenUsed="0" w:defQFormat="0" w:count="371">
    <w:lsdException w:name="Normal" w:semiHidden="1" w:uiPriority="1" w:qFormat="1"/>
    <w:lsdException w:name="heading 1" w:uiPriority="19" w:qFormat="1"/>
    <w:lsdException w:name="heading 2" w:semiHidden="1" w:uiPriority="19" w:qFormat="1"/>
    <w:lsdException w:name="heading 3" w:semiHidden="1" w:uiPriority="19"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89"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8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1FDD"/>
    <w:rPr>
      <w:rFonts w:cs="Times New Roman"/>
      <w:sz w:val="21"/>
      <w:szCs w:val="19"/>
    </w:rPr>
  </w:style>
  <w:style w:type="paragraph" w:styleId="Heading1">
    <w:name w:val="heading 1"/>
    <w:basedOn w:val="Normal"/>
    <w:next w:val="Normal"/>
    <w:link w:val="Heading1Char"/>
    <w:uiPriority w:val="19"/>
    <w:qFormat/>
    <w:rsid w:val="00401FDD"/>
    <w:pPr>
      <w:keepNext/>
      <w:numPr>
        <w:numId w:val="4"/>
      </w:numPr>
      <w:spacing w:before="480" w:after="240"/>
      <w:outlineLvl w:val="0"/>
    </w:pPr>
    <w:rPr>
      <w:color w:val="003468" w:themeColor="text2"/>
      <w:sz w:val="44"/>
    </w:rPr>
  </w:style>
  <w:style w:type="paragraph" w:styleId="Heading2">
    <w:name w:val="heading 2"/>
    <w:basedOn w:val="Normal"/>
    <w:next w:val="Normal"/>
    <w:link w:val="Heading2Char"/>
    <w:uiPriority w:val="19"/>
    <w:qFormat/>
    <w:rsid w:val="00401FDD"/>
    <w:pPr>
      <w:keepNext/>
      <w:numPr>
        <w:ilvl w:val="1"/>
        <w:numId w:val="4"/>
      </w:numPr>
      <w:spacing w:before="480" w:after="180"/>
      <w:outlineLvl w:val="1"/>
    </w:pPr>
    <w:rPr>
      <w:color w:val="003468" w:themeColor="text2"/>
      <w:sz w:val="34"/>
    </w:rPr>
  </w:style>
  <w:style w:type="paragraph" w:styleId="Heading3">
    <w:name w:val="heading 3"/>
    <w:basedOn w:val="Normal"/>
    <w:next w:val="Normal"/>
    <w:link w:val="Heading3Char"/>
    <w:uiPriority w:val="19"/>
    <w:qFormat/>
    <w:rsid w:val="00401FDD"/>
    <w:pPr>
      <w:keepNext/>
      <w:numPr>
        <w:ilvl w:val="2"/>
        <w:numId w:val="4"/>
      </w:numPr>
      <w:spacing w:before="480" w:after="60"/>
      <w:outlineLvl w:val="2"/>
    </w:pPr>
    <w:rPr>
      <w:color w:val="003468" w:themeColor="text2"/>
      <w:sz w:val="28"/>
    </w:rPr>
  </w:style>
  <w:style w:type="paragraph" w:styleId="Heading4">
    <w:name w:val="heading 4"/>
    <w:basedOn w:val="Normal"/>
    <w:next w:val="Normal"/>
    <w:link w:val="Heading4Char"/>
    <w:uiPriority w:val="19"/>
    <w:qFormat/>
    <w:rsid w:val="00401FDD"/>
    <w:pPr>
      <w:keepNext/>
      <w:numPr>
        <w:ilvl w:val="3"/>
        <w:numId w:val="4"/>
      </w:numPr>
      <w:spacing w:before="240" w:after="60"/>
      <w:outlineLvl w:val="3"/>
    </w:pPr>
    <w:rPr>
      <w:color w:val="003468" w:themeColor="text2"/>
      <w:sz w:val="24"/>
    </w:rPr>
  </w:style>
  <w:style w:type="paragraph" w:styleId="Heading5">
    <w:name w:val="heading 5"/>
    <w:basedOn w:val="Normal"/>
    <w:next w:val="Normal"/>
    <w:link w:val="Heading5Char"/>
    <w:uiPriority w:val="19"/>
    <w:qFormat/>
    <w:rsid w:val="00401FDD"/>
    <w:pPr>
      <w:keepNext/>
      <w:numPr>
        <w:ilvl w:val="4"/>
        <w:numId w:val="4"/>
      </w:numPr>
      <w:spacing w:before="240" w:after="60"/>
      <w:outlineLvl w:val="4"/>
    </w:pPr>
    <w:rPr>
      <w:b/>
      <w:color w:val="000000" w:themeColor="text1"/>
      <w:sz w:val="22"/>
      <w:szCs w:val="24"/>
    </w:rPr>
  </w:style>
  <w:style w:type="paragraph" w:styleId="Heading6">
    <w:name w:val="heading 6"/>
    <w:basedOn w:val="Normal"/>
    <w:next w:val="Normal"/>
    <w:link w:val="Heading6Char"/>
    <w:uiPriority w:val="19"/>
    <w:unhideWhenUsed/>
    <w:qFormat/>
    <w:rsid w:val="00401FDD"/>
    <w:pPr>
      <w:keepNext/>
      <w:keepLines/>
      <w:numPr>
        <w:ilvl w:val="5"/>
        <w:numId w:val="4"/>
      </w:numPr>
      <w:spacing w:before="200" w:after="60"/>
      <w:outlineLvl w:val="5"/>
    </w:pPr>
    <w:rPr>
      <w:rFonts w:eastAsiaTheme="majorEastAsia" w:cstheme="majorBidi"/>
      <w:b/>
      <w:i/>
      <w:iCs/>
      <w:color w:val="000000" w:themeColor="text1"/>
    </w:rPr>
  </w:style>
  <w:style w:type="paragraph" w:styleId="Heading7">
    <w:name w:val="heading 7"/>
    <w:basedOn w:val="Normal"/>
    <w:next w:val="Normal"/>
    <w:link w:val="Heading7Char"/>
    <w:uiPriority w:val="99"/>
    <w:semiHidden/>
    <w:rsid w:val="00401F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rsid w:val="00401F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rsid w:val="00401FDD"/>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01F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FDD"/>
    <w:rPr>
      <w:rFonts w:ascii="Tahoma" w:hAnsi="Tahoma" w:cs="Tahoma"/>
      <w:sz w:val="16"/>
      <w:szCs w:val="16"/>
    </w:rPr>
  </w:style>
  <w:style w:type="paragraph" w:customStyle="1" w:styleId="Bullet">
    <w:name w:val="Bullet"/>
    <w:basedOn w:val="Normal"/>
    <w:link w:val="BulletChar"/>
    <w:uiPriority w:val="2"/>
    <w:rsid w:val="00401FDD"/>
    <w:pPr>
      <w:numPr>
        <w:numId w:val="3"/>
      </w:numPr>
      <w:suppressAutoHyphens/>
    </w:pPr>
  </w:style>
  <w:style w:type="character" w:customStyle="1" w:styleId="BulletChar">
    <w:name w:val="Bullet Char"/>
    <w:basedOn w:val="DefaultParagraphFont"/>
    <w:link w:val="Bullet"/>
    <w:uiPriority w:val="2"/>
    <w:rsid w:val="00401FDD"/>
    <w:rPr>
      <w:rFonts w:cs="Times New Roman"/>
      <w:sz w:val="21"/>
      <w:szCs w:val="19"/>
    </w:rPr>
  </w:style>
  <w:style w:type="paragraph" w:styleId="Caption">
    <w:name w:val="caption"/>
    <w:basedOn w:val="Normal"/>
    <w:next w:val="Normal"/>
    <w:uiPriority w:val="39"/>
    <w:semiHidden/>
    <w:rsid w:val="00401FDD"/>
    <w:pPr>
      <w:keepNext/>
      <w:spacing w:before="240"/>
      <w:jc w:val="center"/>
    </w:pPr>
    <w:rPr>
      <w:bCs/>
    </w:rPr>
  </w:style>
  <w:style w:type="paragraph" w:customStyle="1" w:styleId="Clientnamecover">
    <w:name w:val="Client name (cover)"/>
    <w:basedOn w:val="Normal"/>
    <w:uiPriority w:val="99"/>
    <w:semiHidden/>
    <w:rsid w:val="00401FDD"/>
    <w:rPr>
      <w:b/>
      <w:color w:val="717074" w:themeColor="background2"/>
      <w:sz w:val="32"/>
    </w:rPr>
  </w:style>
  <w:style w:type="paragraph" w:customStyle="1" w:styleId="Contentsheading">
    <w:name w:val="Contents heading"/>
    <w:next w:val="Normal"/>
    <w:uiPriority w:val="89"/>
    <w:semiHidden/>
    <w:rsid w:val="00401FDD"/>
    <w:pPr>
      <w:spacing w:after="600"/>
    </w:pPr>
    <w:rPr>
      <w:rFonts w:cs="Times New Roman"/>
      <w:color w:val="003468" w:themeColor="text2"/>
      <w:sz w:val="44"/>
      <w:szCs w:val="19"/>
    </w:rPr>
  </w:style>
  <w:style w:type="paragraph" w:customStyle="1" w:styleId="Copyright">
    <w:name w:val="Copyright"/>
    <w:basedOn w:val="Normal"/>
    <w:uiPriority w:val="99"/>
    <w:semiHidden/>
    <w:rsid w:val="00401FDD"/>
    <w:pPr>
      <w:spacing w:after="0"/>
    </w:pPr>
    <w:rPr>
      <w:sz w:val="20"/>
    </w:rPr>
  </w:style>
  <w:style w:type="paragraph" w:customStyle="1" w:styleId="Covertitle">
    <w:name w:val="Cover title"/>
    <w:basedOn w:val="Normal"/>
    <w:link w:val="CovertitleChar"/>
    <w:uiPriority w:val="99"/>
    <w:semiHidden/>
    <w:rsid w:val="00401FDD"/>
    <w:pPr>
      <w:suppressAutoHyphens/>
      <w:spacing w:after="0" w:line="720" w:lineRule="exact"/>
    </w:pPr>
    <w:rPr>
      <w:color w:val="003468" w:themeColor="text2"/>
      <w:sz w:val="84"/>
    </w:rPr>
  </w:style>
  <w:style w:type="character" w:customStyle="1" w:styleId="CovertitleChar">
    <w:name w:val="Cover title Char"/>
    <w:basedOn w:val="DefaultParagraphFont"/>
    <w:link w:val="Covertitle"/>
    <w:uiPriority w:val="99"/>
    <w:semiHidden/>
    <w:rsid w:val="00401FDD"/>
    <w:rPr>
      <w:rFonts w:cs="Times New Roman"/>
      <w:color w:val="003468" w:themeColor="text2"/>
      <w:sz w:val="84"/>
      <w:szCs w:val="19"/>
    </w:rPr>
  </w:style>
  <w:style w:type="paragraph" w:customStyle="1" w:styleId="Coverclient">
    <w:name w:val="Cover client"/>
    <w:basedOn w:val="Covertitle"/>
    <w:uiPriority w:val="99"/>
    <w:semiHidden/>
    <w:rsid w:val="00401FDD"/>
    <w:pPr>
      <w:spacing w:before="480" w:line="380" w:lineRule="exact"/>
    </w:pPr>
    <w:rPr>
      <w:sz w:val="36"/>
    </w:rPr>
  </w:style>
  <w:style w:type="paragraph" w:customStyle="1" w:styleId="Coverdate">
    <w:name w:val="Cover date"/>
    <w:basedOn w:val="Coverclient"/>
    <w:uiPriority w:val="99"/>
    <w:semiHidden/>
    <w:rsid w:val="00401FDD"/>
    <w:pPr>
      <w:spacing w:before="320" w:line="280" w:lineRule="exact"/>
    </w:pPr>
    <w:rPr>
      <w:color w:val="717074" w:themeColor="background2"/>
      <w:sz w:val="24"/>
    </w:rPr>
  </w:style>
  <w:style w:type="paragraph" w:customStyle="1" w:styleId="CoverPage-Client">
    <w:name w:val="Cover Page - Client"/>
    <w:basedOn w:val="Coverclient"/>
    <w:link w:val="CoverPage-ClientChar"/>
    <w:uiPriority w:val="99"/>
    <w:semiHidden/>
    <w:rsid w:val="00401FDD"/>
  </w:style>
  <w:style w:type="character" w:customStyle="1" w:styleId="CoverPage-ClientChar">
    <w:name w:val="Cover Page - Client Char"/>
    <w:basedOn w:val="DefaultParagraphFont"/>
    <w:link w:val="CoverPage-Client"/>
    <w:uiPriority w:val="99"/>
    <w:semiHidden/>
    <w:rsid w:val="00401FDD"/>
    <w:rPr>
      <w:rFonts w:cs="Times New Roman"/>
      <w:color w:val="003468" w:themeColor="text2"/>
      <w:sz w:val="36"/>
      <w:szCs w:val="19"/>
    </w:rPr>
  </w:style>
  <w:style w:type="paragraph" w:customStyle="1" w:styleId="CoverPage-Date">
    <w:name w:val="Cover Page - Date"/>
    <w:basedOn w:val="Coverdate"/>
    <w:link w:val="CoverPage-DateChar"/>
    <w:uiPriority w:val="99"/>
    <w:semiHidden/>
    <w:rsid w:val="00401FDD"/>
  </w:style>
  <w:style w:type="character" w:customStyle="1" w:styleId="CoverPage-DateChar">
    <w:name w:val="Cover Page - Date Char"/>
    <w:basedOn w:val="DefaultParagraphFont"/>
    <w:link w:val="CoverPage-Date"/>
    <w:uiPriority w:val="99"/>
    <w:semiHidden/>
    <w:rsid w:val="00401FDD"/>
    <w:rPr>
      <w:rFonts w:cs="Times New Roman"/>
      <w:color w:val="717074" w:themeColor="background2"/>
      <w:sz w:val="24"/>
      <w:szCs w:val="19"/>
    </w:rPr>
  </w:style>
  <w:style w:type="paragraph" w:styleId="Footer">
    <w:name w:val="footer"/>
    <w:basedOn w:val="Normal"/>
    <w:link w:val="FooterChar"/>
    <w:uiPriority w:val="89"/>
    <w:semiHidden/>
    <w:rsid w:val="00401FDD"/>
    <w:pPr>
      <w:spacing w:after="0"/>
      <w:jc w:val="right"/>
    </w:pPr>
    <w:rPr>
      <w:b/>
      <w:color w:val="717074" w:themeColor="background2"/>
      <w:spacing w:val="20"/>
      <w:sz w:val="16"/>
      <w:szCs w:val="16"/>
    </w:rPr>
  </w:style>
  <w:style w:type="character" w:customStyle="1" w:styleId="FooterChar">
    <w:name w:val="Footer Char"/>
    <w:basedOn w:val="DefaultParagraphFont"/>
    <w:link w:val="Footer"/>
    <w:uiPriority w:val="89"/>
    <w:rsid w:val="00401FDD"/>
    <w:rPr>
      <w:rFonts w:cs="Times New Roman"/>
      <w:b/>
      <w:color w:val="717074" w:themeColor="background2"/>
      <w:spacing w:val="20"/>
      <w:sz w:val="16"/>
      <w:szCs w:val="16"/>
    </w:rPr>
  </w:style>
  <w:style w:type="character" w:customStyle="1" w:styleId="Heading1Char">
    <w:name w:val="Heading 1 Char"/>
    <w:basedOn w:val="DefaultParagraphFont"/>
    <w:link w:val="Heading1"/>
    <w:uiPriority w:val="19"/>
    <w:rsid w:val="00401FDD"/>
    <w:rPr>
      <w:rFonts w:cs="Times New Roman"/>
      <w:color w:val="003468" w:themeColor="text2"/>
      <w:sz w:val="44"/>
      <w:szCs w:val="19"/>
    </w:rPr>
  </w:style>
  <w:style w:type="character" w:customStyle="1" w:styleId="Heading2Char">
    <w:name w:val="Heading 2 Char"/>
    <w:basedOn w:val="DefaultParagraphFont"/>
    <w:link w:val="Heading2"/>
    <w:uiPriority w:val="19"/>
    <w:rsid w:val="00401FDD"/>
    <w:rPr>
      <w:rFonts w:cs="Times New Roman"/>
      <w:color w:val="003468" w:themeColor="text2"/>
      <w:sz w:val="34"/>
      <w:szCs w:val="19"/>
    </w:rPr>
  </w:style>
  <w:style w:type="character" w:customStyle="1" w:styleId="Heading3Char">
    <w:name w:val="Heading 3 Char"/>
    <w:basedOn w:val="DefaultParagraphFont"/>
    <w:link w:val="Heading3"/>
    <w:uiPriority w:val="19"/>
    <w:rsid w:val="00401FDD"/>
    <w:rPr>
      <w:rFonts w:cs="Times New Roman"/>
      <w:color w:val="003468" w:themeColor="text2"/>
      <w:sz w:val="28"/>
      <w:szCs w:val="19"/>
    </w:rPr>
  </w:style>
  <w:style w:type="character" w:customStyle="1" w:styleId="Heading4Char">
    <w:name w:val="Heading 4 Char"/>
    <w:basedOn w:val="DefaultParagraphFont"/>
    <w:link w:val="Heading4"/>
    <w:uiPriority w:val="19"/>
    <w:rsid w:val="00401FDD"/>
    <w:rPr>
      <w:rFonts w:cs="Times New Roman"/>
      <w:color w:val="003468" w:themeColor="text2"/>
      <w:sz w:val="24"/>
      <w:szCs w:val="19"/>
    </w:rPr>
  </w:style>
  <w:style w:type="character" w:customStyle="1" w:styleId="Heading5Char">
    <w:name w:val="Heading 5 Char"/>
    <w:basedOn w:val="DefaultParagraphFont"/>
    <w:link w:val="Heading5"/>
    <w:uiPriority w:val="19"/>
    <w:rsid w:val="00401FDD"/>
    <w:rPr>
      <w:rFonts w:cs="Times New Roman"/>
      <w:b/>
      <w:color w:val="000000" w:themeColor="text1"/>
      <w:szCs w:val="24"/>
    </w:rPr>
  </w:style>
  <w:style w:type="character" w:customStyle="1" w:styleId="Heading6Char">
    <w:name w:val="Heading 6 Char"/>
    <w:basedOn w:val="DefaultParagraphFont"/>
    <w:link w:val="Heading6"/>
    <w:uiPriority w:val="19"/>
    <w:rsid w:val="00401FDD"/>
    <w:rPr>
      <w:rFonts w:eastAsiaTheme="majorEastAsia" w:cstheme="majorBidi"/>
      <w:b/>
      <w:i/>
      <w:iCs/>
      <w:color w:val="000000" w:themeColor="text1"/>
      <w:sz w:val="21"/>
      <w:szCs w:val="19"/>
    </w:rPr>
  </w:style>
  <w:style w:type="paragraph" w:customStyle="1" w:styleId="footerwebaddress">
    <w:name w:val="footer web address"/>
    <w:basedOn w:val="Footer"/>
    <w:uiPriority w:val="99"/>
    <w:semiHidden/>
    <w:rsid w:val="00401FDD"/>
    <w:rPr>
      <w:color w:val="4D4D4D"/>
      <w:sz w:val="14"/>
    </w:rPr>
  </w:style>
  <w:style w:type="paragraph" w:customStyle="1" w:styleId="Coverproposition">
    <w:name w:val="Cover proposition"/>
    <w:basedOn w:val="footerwebaddress"/>
    <w:uiPriority w:val="99"/>
    <w:semiHidden/>
    <w:rsid w:val="00401FDD"/>
    <w:pPr>
      <w:tabs>
        <w:tab w:val="left" w:pos="567"/>
        <w:tab w:val="right" w:pos="8505"/>
      </w:tabs>
    </w:pPr>
    <w:rPr>
      <w:b w:val="0"/>
      <w:color w:val="F8981D" w:themeColor="accent1"/>
      <w:spacing w:val="0"/>
      <w:sz w:val="22"/>
    </w:rPr>
  </w:style>
  <w:style w:type="paragraph" w:customStyle="1" w:styleId="CoverPage-Footer">
    <w:name w:val="Cover Page - Footer"/>
    <w:basedOn w:val="Coverproposition"/>
    <w:link w:val="CoverPage-FooterChar"/>
    <w:uiPriority w:val="99"/>
    <w:semiHidden/>
    <w:qFormat/>
    <w:rsid w:val="00401FDD"/>
    <w:pPr>
      <w:tabs>
        <w:tab w:val="clear" w:pos="567"/>
        <w:tab w:val="clear" w:pos="8505"/>
      </w:tabs>
      <w:jc w:val="left"/>
    </w:pPr>
    <w:rPr>
      <w:szCs w:val="21"/>
    </w:rPr>
  </w:style>
  <w:style w:type="character" w:customStyle="1" w:styleId="CoverPage-FooterChar">
    <w:name w:val="Cover Page - Footer Char"/>
    <w:basedOn w:val="DefaultParagraphFont"/>
    <w:link w:val="CoverPage-Footer"/>
    <w:uiPriority w:val="99"/>
    <w:semiHidden/>
    <w:rsid w:val="00401FDD"/>
    <w:rPr>
      <w:rFonts w:cs="Times New Roman"/>
      <w:color w:val="F8981D" w:themeColor="accent1"/>
      <w:szCs w:val="21"/>
    </w:rPr>
  </w:style>
  <w:style w:type="paragraph" w:customStyle="1" w:styleId="CoverPage-Title">
    <w:name w:val="Cover Page - Title"/>
    <w:basedOn w:val="Covertitle"/>
    <w:link w:val="CoverPage-TitleChar"/>
    <w:uiPriority w:val="99"/>
    <w:semiHidden/>
    <w:rsid w:val="00401FDD"/>
  </w:style>
  <w:style w:type="character" w:customStyle="1" w:styleId="CoverPage-TitleChar">
    <w:name w:val="Cover Page - Title Char"/>
    <w:basedOn w:val="DefaultParagraphFont"/>
    <w:link w:val="CoverPage-Title"/>
    <w:uiPriority w:val="99"/>
    <w:semiHidden/>
    <w:rsid w:val="00401FDD"/>
    <w:rPr>
      <w:rFonts w:cs="Times New Roman"/>
      <w:color w:val="003468" w:themeColor="text2"/>
      <w:sz w:val="84"/>
      <w:szCs w:val="19"/>
    </w:rPr>
  </w:style>
  <w:style w:type="paragraph" w:customStyle="1" w:styleId="Figure">
    <w:name w:val="Figure"/>
    <w:basedOn w:val="Normal"/>
    <w:next w:val="Normal"/>
    <w:uiPriority w:val="40"/>
    <w:unhideWhenUsed/>
    <w:rsid w:val="00401FDD"/>
    <w:pPr>
      <w:jc w:val="center"/>
    </w:pPr>
  </w:style>
  <w:style w:type="character" w:styleId="FollowedHyperlink">
    <w:name w:val="FollowedHyperlink"/>
    <w:basedOn w:val="DefaultParagraphFont"/>
    <w:uiPriority w:val="89"/>
    <w:semiHidden/>
    <w:rsid w:val="00401FDD"/>
    <w:rPr>
      <w:color w:val="auto"/>
      <w:u w:val="single"/>
    </w:rPr>
  </w:style>
  <w:style w:type="character" w:styleId="FootnoteReference">
    <w:name w:val="footnote reference"/>
    <w:basedOn w:val="DefaultParagraphFont"/>
    <w:uiPriority w:val="89"/>
    <w:semiHidden/>
    <w:rsid w:val="00401FDD"/>
    <w:rPr>
      <w:rFonts w:cs="Times New Roman"/>
      <w:color w:val="404040" w:themeColor="text1" w:themeTint="BF"/>
      <w:sz w:val="20"/>
      <w:szCs w:val="20"/>
      <w:vertAlign w:val="superscript"/>
    </w:rPr>
  </w:style>
  <w:style w:type="paragraph" w:styleId="FootnoteText">
    <w:name w:val="footnote text"/>
    <w:basedOn w:val="Normal"/>
    <w:link w:val="FootnoteTextChar"/>
    <w:uiPriority w:val="89"/>
    <w:semiHidden/>
    <w:rsid w:val="00401FDD"/>
    <w:pPr>
      <w:spacing w:after="0"/>
      <w:ind w:left="102" w:hanging="102"/>
    </w:pPr>
    <w:rPr>
      <w:color w:val="4D4D4D"/>
      <w:sz w:val="16"/>
      <w:szCs w:val="20"/>
    </w:rPr>
  </w:style>
  <w:style w:type="character" w:customStyle="1" w:styleId="FootnoteTextChar">
    <w:name w:val="Footnote Text Char"/>
    <w:basedOn w:val="DefaultParagraphFont"/>
    <w:link w:val="FootnoteText"/>
    <w:uiPriority w:val="89"/>
    <w:rsid w:val="00401FDD"/>
    <w:rPr>
      <w:rFonts w:cs="Times New Roman"/>
      <w:color w:val="4D4D4D"/>
      <w:sz w:val="16"/>
      <w:szCs w:val="20"/>
    </w:rPr>
  </w:style>
  <w:style w:type="paragraph" w:styleId="Header">
    <w:name w:val="header"/>
    <w:basedOn w:val="Normal"/>
    <w:link w:val="HeaderChar"/>
    <w:uiPriority w:val="99"/>
    <w:semiHidden/>
    <w:rsid w:val="00401FDD"/>
    <w:pPr>
      <w:spacing w:after="0"/>
    </w:pPr>
    <w:rPr>
      <w:color w:val="404040" w:themeColor="text1" w:themeTint="BF"/>
      <w:sz w:val="15"/>
    </w:rPr>
  </w:style>
  <w:style w:type="character" w:customStyle="1" w:styleId="HeaderChar">
    <w:name w:val="Header Char"/>
    <w:basedOn w:val="DefaultParagraphFont"/>
    <w:link w:val="Header"/>
    <w:uiPriority w:val="99"/>
    <w:semiHidden/>
    <w:rsid w:val="00401FDD"/>
    <w:rPr>
      <w:rFonts w:cs="Times New Roman"/>
      <w:color w:val="404040" w:themeColor="text1" w:themeTint="BF"/>
      <w:sz w:val="15"/>
      <w:szCs w:val="19"/>
    </w:rPr>
  </w:style>
  <w:style w:type="numbering" w:customStyle="1" w:styleId="HeadingList">
    <w:name w:val="Heading List"/>
    <w:uiPriority w:val="99"/>
    <w:rsid w:val="00401FDD"/>
    <w:pPr>
      <w:numPr>
        <w:numId w:val="2"/>
      </w:numPr>
    </w:pPr>
  </w:style>
  <w:style w:type="character" w:styleId="Hyperlink">
    <w:name w:val="Hyperlink"/>
    <w:basedOn w:val="DefaultParagraphFont"/>
    <w:uiPriority w:val="99"/>
    <w:rsid w:val="00401FDD"/>
    <w:rPr>
      <w:color w:val="auto"/>
      <w:u w:val="single"/>
    </w:rPr>
  </w:style>
  <w:style w:type="paragraph" w:customStyle="1" w:styleId="NousGroupLogo">
    <w:name w:val="Nous Group Logo"/>
    <w:link w:val="NousGroupLogoChar"/>
    <w:uiPriority w:val="99"/>
    <w:semiHidden/>
    <w:rsid w:val="00401FDD"/>
    <w:pPr>
      <w:spacing w:after="0"/>
    </w:pPr>
    <w:rPr>
      <w:rFonts w:cs="Times New Roman"/>
      <w:b/>
      <w:color w:val="717074" w:themeColor="background2"/>
      <w:spacing w:val="20"/>
      <w:sz w:val="16"/>
      <w:szCs w:val="16"/>
    </w:rPr>
  </w:style>
  <w:style w:type="character" w:customStyle="1" w:styleId="NousGroupLogoChar">
    <w:name w:val="Nous Group Logo Char"/>
    <w:basedOn w:val="FooterChar"/>
    <w:link w:val="NousGroupLogo"/>
    <w:uiPriority w:val="99"/>
    <w:semiHidden/>
    <w:rsid w:val="00401FDD"/>
    <w:rPr>
      <w:rFonts w:cs="Times New Roman"/>
      <w:b/>
      <w:color w:val="717074" w:themeColor="background2"/>
      <w:spacing w:val="20"/>
      <w:sz w:val="16"/>
      <w:szCs w:val="16"/>
    </w:rPr>
  </w:style>
  <w:style w:type="table" w:customStyle="1" w:styleId="NousTable">
    <w:name w:val="Nous Table"/>
    <w:basedOn w:val="TableNormal"/>
    <w:uiPriority w:val="99"/>
    <w:rsid w:val="00714FA6"/>
    <w:pPr>
      <w:spacing w:after="0"/>
    </w:pPr>
    <w:tblPr>
      <w:tblStyleRowBandSize w:val="1"/>
      <w:jc w:val="center"/>
      <w:tblBorders>
        <w:insideH w:val="single" w:sz="4" w:space="0" w:color="FAC177" w:themeColor="accent1" w:themeTint="99"/>
        <w:insideV w:val="single" w:sz="4" w:space="0" w:color="FAC177"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8981D" w:themeFill="accent1"/>
      </w:tcPr>
    </w:tblStylePr>
    <w:tblStylePr w:type="lastRow">
      <w:tblPr/>
      <w:tcPr>
        <w:tcBorders>
          <w:top w:val="double" w:sz="4" w:space="0" w:color="F8981D" w:themeColor="accent1"/>
        </w:tcBorders>
      </w:tcPr>
    </w:tblStylePr>
    <w:tblStylePr w:type="firstCol">
      <w:rPr>
        <w:b w:val="0"/>
        <w:color w:val="FFFFFF" w:themeColor="background1"/>
      </w:rPr>
      <w:tblPr/>
      <w:tcPr>
        <w:shd w:val="clear" w:color="auto" w:fill="F8981D" w:themeFill="accent1"/>
      </w:tcPr>
    </w:tblStylePr>
    <w:tblStylePr w:type="lastCol">
      <w:tblPr/>
      <w:tcPr>
        <w:tcBorders>
          <w:left w:val="double" w:sz="4" w:space="0" w:color="F8981D" w:themeColor="accent1"/>
        </w:tcBorders>
      </w:tcPr>
    </w:tblStylePr>
  </w:style>
  <w:style w:type="paragraph" w:customStyle="1" w:styleId="Table-Expbullet">
    <w:name w:val="Table - Exp bullet"/>
    <w:basedOn w:val="TableNBullet"/>
    <w:link w:val="Table-ExpbulletChar"/>
    <w:uiPriority w:val="10"/>
    <w:rsid w:val="00401FDD"/>
    <w:rPr>
      <w:sz w:val="18"/>
      <w:szCs w:val="17"/>
    </w:rPr>
  </w:style>
  <w:style w:type="character" w:customStyle="1" w:styleId="Table-ExpbulletChar">
    <w:name w:val="Table - Exp bullet Char"/>
    <w:basedOn w:val="TableNBulletChar"/>
    <w:link w:val="Table-Expbullet"/>
    <w:uiPriority w:val="10"/>
    <w:rsid w:val="00401FDD"/>
    <w:rPr>
      <w:rFonts w:cs="Times New Roman"/>
      <w:sz w:val="18"/>
      <w:szCs w:val="17"/>
    </w:rPr>
  </w:style>
  <w:style w:type="paragraph" w:customStyle="1" w:styleId="Table-Expheader">
    <w:name w:val="Table - Exp header"/>
    <w:basedOn w:val="Table-ExpText"/>
    <w:next w:val="Table-ExpText"/>
    <w:uiPriority w:val="10"/>
    <w:rsid w:val="00401FDD"/>
    <w:pPr>
      <w:spacing w:before="20" w:after="20"/>
    </w:pPr>
    <w:rPr>
      <w:b/>
      <w:color w:val="FFFFFF" w:themeColor="background1"/>
    </w:rPr>
  </w:style>
  <w:style w:type="paragraph" w:customStyle="1" w:styleId="Table-ExpListNumbered">
    <w:name w:val="Table - Exp List (Numbered)"/>
    <w:basedOn w:val="Listnumbered"/>
    <w:link w:val="Table-ExpListNumberedChar"/>
    <w:uiPriority w:val="10"/>
    <w:rsid w:val="00401FDD"/>
    <w:pPr>
      <w:numPr>
        <w:numId w:val="8"/>
      </w:numPr>
      <w:spacing w:before="60" w:after="60"/>
    </w:pPr>
    <w:rPr>
      <w:sz w:val="18"/>
    </w:rPr>
  </w:style>
  <w:style w:type="character" w:customStyle="1" w:styleId="Table-ExpListNumberedChar">
    <w:name w:val="Table - Exp List (Numbered) Char"/>
    <w:basedOn w:val="ListnumberedChar"/>
    <w:link w:val="Table-ExpListNumbered"/>
    <w:uiPriority w:val="10"/>
    <w:rsid w:val="00401FDD"/>
    <w:rPr>
      <w:rFonts w:cs="Times New Roman"/>
      <w:sz w:val="18"/>
      <w:szCs w:val="19"/>
    </w:rPr>
  </w:style>
  <w:style w:type="paragraph" w:customStyle="1" w:styleId="Table-ExpText">
    <w:name w:val="Table - Exp Text"/>
    <w:basedOn w:val="TableNText"/>
    <w:uiPriority w:val="10"/>
    <w:rsid w:val="00401FDD"/>
    <w:rPr>
      <w:sz w:val="18"/>
      <w:szCs w:val="17"/>
    </w:rPr>
  </w:style>
  <w:style w:type="paragraph" w:customStyle="1" w:styleId="TableNBullet">
    <w:name w:val="Table N Bullet"/>
    <w:basedOn w:val="Bullet"/>
    <w:link w:val="TableNBulletChar"/>
    <w:uiPriority w:val="9"/>
    <w:rsid w:val="00401FDD"/>
    <w:pPr>
      <w:numPr>
        <w:numId w:val="7"/>
      </w:numPr>
      <w:spacing w:before="60" w:after="60"/>
    </w:pPr>
  </w:style>
  <w:style w:type="character" w:customStyle="1" w:styleId="TableNBulletChar">
    <w:name w:val="Table N Bullet Char"/>
    <w:basedOn w:val="DefaultParagraphFont"/>
    <w:link w:val="TableNBullet"/>
    <w:uiPriority w:val="9"/>
    <w:rsid w:val="00401FDD"/>
    <w:rPr>
      <w:rFonts w:cs="Times New Roman"/>
      <w:sz w:val="21"/>
      <w:szCs w:val="19"/>
    </w:rPr>
  </w:style>
  <w:style w:type="paragraph" w:customStyle="1" w:styleId="TableNHeader">
    <w:name w:val="Table N Header"/>
    <w:basedOn w:val="TableNText"/>
    <w:next w:val="TableNText"/>
    <w:link w:val="TableNHeaderChar"/>
    <w:uiPriority w:val="9"/>
    <w:rsid w:val="00401FDD"/>
    <w:pPr>
      <w:spacing w:before="20" w:after="20"/>
    </w:pPr>
    <w:rPr>
      <w:b/>
      <w:color w:val="FFFFFF" w:themeColor="background1"/>
    </w:rPr>
  </w:style>
  <w:style w:type="character" w:customStyle="1" w:styleId="TableNHeaderChar">
    <w:name w:val="Table N Header Char"/>
    <w:basedOn w:val="TableNTextChar"/>
    <w:link w:val="TableNHeader"/>
    <w:uiPriority w:val="9"/>
    <w:rsid w:val="00401FDD"/>
    <w:rPr>
      <w:rFonts w:cs="Times New Roman"/>
      <w:b/>
      <w:color w:val="FFFFFF" w:themeColor="background1"/>
      <w:sz w:val="21"/>
      <w:szCs w:val="19"/>
    </w:rPr>
  </w:style>
  <w:style w:type="paragraph" w:customStyle="1" w:styleId="TableNListNumbered">
    <w:name w:val="Table N List (Numbered)"/>
    <w:basedOn w:val="Listnumbered"/>
    <w:link w:val="TableNListNumberedChar"/>
    <w:uiPriority w:val="9"/>
    <w:rsid w:val="00401FDD"/>
    <w:pPr>
      <w:numPr>
        <w:numId w:val="10"/>
      </w:numPr>
      <w:spacing w:before="60" w:after="60"/>
    </w:pPr>
  </w:style>
  <w:style w:type="character" w:customStyle="1" w:styleId="TableNListNumberedChar">
    <w:name w:val="Table N List (Numbered) Char"/>
    <w:basedOn w:val="ListnumberedChar"/>
    <w:link w:val="TableNListNumbered"/>
    <w:uiPriority w:val="9"/>
    <w:rsid w:val="00401FDD"/>
    <w:rPr>
      <w:rFonts w:cs="Times New Roman"/>
      <w:sz w:val="21"/>
      <w:szCs w:val="19"/>
    </w:rPr>
  </w:style>
  <w:style w:type="paragraph" w:customStyle="1" w:styleId="TableNText">
    <w:name w:val="Table N Text"/>
    <w:link w:val="TableNTextChar"/>
    <w:uiPriority w:val="9"/>
    <w:rsid w:val="00401FDD"/>
    <w:pPr>
      <w:spacing w:before="60" w:after="60"/>
    </w:pPr>
    <w:rPr>
      <w:rFonts w:cs="Times New Roman"/>
      <w:sz w:val="21"/>
      <w:szCs w:val="19"/>
    </w:rPr>
  </w:style>
  <w:style w:type="paragraph" w:customStyle="1" w:styleId="Titlecover">
    <w:name w:val="Title (cover)"/>
    <w:basedOn w:val="Normal"/>
    <w:uiPriority w:val="99"/>
    <w:semiHidden/>
    <w:rsid w:val="00401FDD"/>
    <w:pPr>
      <w:jc w:val="center"/>
    </w:pPr>
    <w:rPr>
      <w:color w:val="072F67"/>
      <w:sz w:val="44"/>
    </w:rPr>
  </w:style>
  <w:style w:type="paragraph" w:customStyle="1" w:styleId="URL-groupcomau">
    <w:name w:val="URL - group.com.au"/>
    <w:basedOn w:val="Normal"/>
    <w:link w:val="URL-groupcomauChar"/>
    <w:uiPriority w:val="89"/>
    <w:semiHidden/>
    <w:qFormat/>
    <w:rsid w:val="00401FDD"/>
    <w:pPr>
      <w:spacing w:after="0"/>
    </w:pPr>
    <w:rPr>
      <w:color w:val="003468" w:themeColor="text2"/>
      <w:spacing w:val="20"/>
      <w:sz w:val="14"/>
    </w:rPr>
  </w:style>
  <w:style w:type="character" w:customStyle="1" w:styleId="URL-groupcomauChar">
    <w:name w:val="URL - group.com.au Char"/>
    <w:basedOn w:val="DefaultParagraphFont"/>
    <w:link w:val="URL-groupcomau"/>
    <w:uiPriority w:val="89"/>
    <w:semiHidden/>
    <w:rsid w:val="00401FDD"/>
    <w:rPr>
      <w:rFonts w:cs="Times New Roman"/>
      <w:color w:val="003468" w:themeColor="text2"/>
      <w:spacing w:val="20"/>
      <w:sz w:val="14"/>
      <w:szCs w:val="19"/>
    </w:rPr>
  </w:style>
  <w:style w:type="paragraph" w:customStyle="1" w:styleId="URL-nous">
    <w:name w:val="URL - nous"/>
    <w:basedOn w:val="Normal"/>
    <w:link w:val="URL-nousChar"/>
    <w:uiPriority w:val="89"/>
    <w:semiHidden/>
    <w:qFormat/>
    <w:rsid w:val="00401FDD"/>
    <w:pPr>
      <w:spacing w:after="0"/>
    </w:pPr>
    <w:rPr>
      <w:color w:val="F8981D" w:themeColor="accent1"/>
      <w:spacing w:val="20"/>
      <w:sz w:val="14"/>
    </w:rPr>
  </w:style>
  <w:style w:type="character" w:customStyle="1" w:styleId="URL-nousChar">
    <w:name w:val="URL - nous Char"/>
    <w:basedOn w:val="DefaultParagraphFont"/>
    <w:link w:val="URL-nous"/>
    <w:uiPriority w:val="89"/>
    <w:semiHidden/>
    <w:rsid w:val="00401FDD"/>
    <w:rPr>
      <w:rFonts w:cs="Times New Roman"/>
      <w:color w:val="F8981D" w:themeColor="accent1"/>
      <w:spacing w:val="20"/>
      <w:sz w:val="14"/>
      <w:szCs w:val="19"/>
    </w:rPr>
  </w:style>
  <w:style w:type="character" w:customStyle="1" w:styleId="Heading7Char">
    <w:name w:val="Heading 7 Char"/>
    <w:basedOn w:val="DefaultParagraphFont"/>
    <w:link w:val="Heading7"/>
    <w:uiPriority w:val="99"/>
    <w:rsid w:val="00401FDD"/>
    <w:rPr>
      <w:rFonts w:asciiTheme="majorHAnsi" w:eastAsiaTheme="majorEastAsia" w:hAnsiTheme="majorHAnsi" w:cstheme="majorBidi"/>
      <w:i/>
      <w:iCs/>
      <w:color w:val="404040" w:themeColor="text1" w:themeTint="BF"/>
      <w:sz w:val="21"/>
      <w:szCs w:val="19"/>
    </w:rPr>
  </w:style>
  <w:style w:type="character" w:customStyle="1" w:styleId="Heading8Char">
    <w:name w:val="Heading 8 Char"/>
    <w:basedOn w:val="DefaultParagraphFont"/>
    <w:link w:val="Heading8"/>
    <w:uiPriority w:val="99"/>
    <w:rsid w:val="00401F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401FD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401FDD"/>
    <w:rPr>
      <w:color w:val="808080"/>
    </w:rPr>
  </w:style>
  <w:style w:type="paragraph" w:customStyle="1" w:styleId="xAppendixLevel1">
    <w:name w:val="xAppendix Level 1"/>
    <w:basedOn w:val="Heading1"/>
    <w:next w:val="Normal"/>
    <w:uiPriority w:val="98"/>
    <w:rsid w:val="00401FDD"/>
    <w:pPr>
      <w:pageBreakBefore/>
      <w:numPr>
        <w:numId w:val="9"/>
      </w:numPr>
    </w:pPr>
  </w:style>
  <w:style w:type="paragraph" w:customStyle="1" w:styleId="xAppendixLevel2">
    <w:name w:val="xAppendix Level 2"/>
    <w:basedOn w:val="Heading2"/>
    <w:next w:val="Normal"/>
    <w:uiPriority w:val="98"/>
    <w:rsid w:val="00401FDD"/>
    <w:pPr>
      <w:numPr>
        <w:numId w:val="9"/>
      </w:numPr>
    </w:pPr>
  </w:style>
  <w:style w:type="paragraph" w:customStyle="1" w:styleId="xAppendixLevel3">
    <w:name w:val="xAppendix Level 3"/>
    <w:basedOn w:val="Heading3"/>
    <w:next w:val="Normal"/>
    <w:uiPriority w:val="98"/>
    <w:rsid w:val="00401FDD"/>
    <w:pPr>
      <w:numPr>
        <w:numId w:val="9"/>
      </w:numPr>
    </w:pPr>
  </w:style>
  <w:style w:type="character" w:customStyle="1" w:styleId="TableNTextChar">
    <w:name w:val="Table N Text Char"/>
    <w:basedOn w:val="DefaultParagraphFont"/>
    <w:link w:val="TableNText"/>
    <w:uiPriority w:val="9"/>
    <w:rsid w:val="00401FDD"/>
    <w:rPr>
      <w:rFonts w:cs="Times New Roman"/>
      <w:sz w:val="21"/>
      <w:szCs w:val="19"/>
    </w:rPr>
  </w:style>
  <w:style w:type="paragraph" w:customStyle="1" w:styleId="Listnumbered">
    <w:name w:val="List (numbered)"/>
    <w:basedOn w:val="Normal"/>
    <w:link w:val="ListnumberedChar"/>
    <w:uiPriority w:val="4"/>
    <w:rsid w:val="00401FDD"/>
    <w:pPr>
      <w:numPr>
        <w:numId w:val="6"/>
      </w:numPr>
      <w:suppressAutoHyphens/>
    </w:pPr>
  </w:style>
  <w:style w:type="character" w:customStyle="1" w:styleId="ListnumberedChar">
    <w:name w:val="List (numbered) Char"/>
    <w:basedOn w:val="DefaultParagraphFont"/>
    <w:link w:val="Listnumbered"/>
    <w:uiPriority w:val="4"/>
    <w:rsid w:val="00401FDD"/>
    <w:rPr>
      <w:rFonts w:cs="Times New Roman"/>
      <w:sz w:val="21"/>
      <w:szCs w:val="19"/>
    </w:rPr>
  </w:style>
  <w:style w:type="paragraph" w:customStyle="1" w:styleId="Source">
    <w:name w:val="Source"/>
    <w:basedOn w:val="Normal"/>
    <w:next w:val="Normal"/>
    <w:link w:val="SourceChar"/>
    <w:uiPriority w:val="39"/>
    <w:rsid w:val="00401FDD"/>
    <w:pPr>
      <w:spacing w:before="120" w:after="240"/>
      <w:jc w:val="center"/>
    </w:pPr>
    <w:rPr>
      <w:i/>
      <w:sz w:val="19"/>
    </w:rPr>
  </w:style>
  <w:style w:type="character" w:customStyle="1" w:styleId="SourceChar">
    <w:name w:val="Source Char"/>
    <w:basedOn w:val="DefaultParagraphFont"/>
    <w:link w:val="Source"/>
    <w:uiPriority w:val="39"/>
    <w:rsid w:val="00401FDD"/>
    <w:rPr>
      <w:rFonts w:cs="Times New Roman"/>
      <w:i/>
      <w:sz w:val="19"/>
      <w:szCs w:val="19"/>
    </w:rPr>
  </w:style>
  <w:style w:type="paragraph" w:styleId="TOC1">
    <w:name w:val="toc 1"/>
    <w:basedOn w:val="Normal"/>
    <w:next w:val="Normal"/>
    <w:uiPriority w:val="39"/>
    <w:rsid w:val="00401FDD"/>
    <w:pPr>
      <w:tabs>
        <w:tab w:val="left" w:pos="568"/>
        <w:tab w:val="right" w:leader="dot" w:pos="8931"/>
      </w:tabs>
      <w:ind w:left="567" w:hanging="567"/>
    </w:pPr>
    <w:rPr>
      <w:rFonts w:ascii="Calibri" w:hAnsi="Calibri"/>
    </w:rPr>
  </w:style>
  <w:style w:type="paragraph" w:styleId="TOC2">
    <w:name w:val="toc 2"/>
    <w:basedOn w:val="Normal"/>
    <w:next w:val="Normal"/>
    <w:uiPriority w:val="39"/>
    <w:rsid w:val="00401FDD"/>
    <w:pPr>
      <w:tabs>
        <w:tab w:val="left" w:pos="1134"/>
        <w:tab w:val="right" w:leader="dot" w:pos="8931"/>
      </w:tabs>
      <w:ind w:left="1134" w:hanging="567"/>
    </w:pPr>
    <w:rPr>
      <w:rFonts w:ascii="Calibri" w:hAnsi="Calibri"/>
    </w:rPr>
  </w:style>
  <w:style w:type="paragraph" w:styleId="TOC3">
    <w:name w:val="toc 3"/>
    <w:basedOn w:val="Normal"/>
    <w:next w:val="Normal"/>
    <w:uiPriority w:val="39"/>
    <w:rsid w:val="00401FDD"/>
    <w:pPr>
      <w:tabs>
        <w:tab w:val="left" w:pos="1843"/>
        <w:tab w:val="right" w:leader="dot" w:pos="8931"/>
      </w:tabs>
      <w:ind w:left="1843" w:hanging="709"/>
    </w:pPr>
    <w:rPr>
      <w:rFonts w:ascii="Calibri" w:hAnsi="Calibri"/>
    </w:rPr>
  </w:style>
  <w:style w:type="paragraph" w:styleId="TOC4">
    <w:name w:val="toc 4"/>
    <w:basedOn w:val="Normal"/>
    <w:next w:val="Normal"/>
    <w:uiPriority w:val="39"/>
    <w:rsid w:val="0054001F"/>
    <w:pPr>
      <w:tabs>
        <w:tab w:val="left" w:pos="1134"/>
        <w:tab w:val="right" w:leader="dot" w:pos="8931"/>
      </w:tabs>
      <w:spacing w:after="100"/>
      <w:ind w:left="1134" w:hanging="1134"/>
    </w:pPr>
  </w:style>
  <w:style w:type="paragraph" w:styleId="TOC5">
    <w:name w:val="toc 5"/>
    <w:basedOn w:val="Normal"/>
    <w:next w:val="Normal"/>
    <w:uiPriority w:val="39"/>
    <w:semiHidden/>
    <w:rsid w:val="00401FDD"/>
    <w:pPr>
      <w:tabs>
        <w:tab w:val="left" w:pos="568"/>
        <w:tab w:val="right" w:leader="dot" w:pos="13000"/>
      </w:tabs>
      <w:spacing w:after="100"/>
      <w:ind w:left="567" w:hanging="567"/>
    </w:pPr>
    <w:rPr>
      <w:noProof/>
    </w:rPr>
  </w:style>
  <w:style w:type="paragraph" w:styleId="TOC6">
    <w:name w:val="toc 6"/>
    <w:basedOn w:val="Normal"/>
    <w:next w:val="Normal"/>
    <w:uiPriority w:val="39"/>
    <w:semiHidden/>
    <w:rsid w:val="00401FDD"/>
    <w:pPr>
      <w:tabs>
        <w:tab w:val="left" w:pos="1134"/>
        <w:tab w:val="right" w:leader="dot" w:pos="13000"/>
      </w:tabs>
      <w:spacing w:after="100"/>
      <w:ind w:left="1134" w:hanging="567"/>
    </w:pPr>
  </w:style>
  <w:style w:type="paragraph" w:styleId="TOC7">
    <w:name w:val="toc 7"/>
    <w:basedOn w:val="Normal"/>
    <w:next w:val="Normal"/>
    <w:uiPriority w:val="39"/>
    <w:semiHidden/>
    <w:rsid w:val="00401FDD"/>
    <w:pPr>
      <w:tabs>
        <w:tab w:val="left" w:pos="1843"/>
        <w:tab w:val="right" w:leader="dot" w:pos="13000"/>
      </w:tabs>
      <w:spacing w:after="100"/>
      <w:ind w:left="1843" w:hanging="709"/>
    </w:pPr>
  </w:style>
  <w:style w:type="paragraph" w:styleId="TOC8">
    <w:name w:val="toc 8"/>
    <w:basedOn w:val="Normal"/>
    <w:next w:val="Normal"/>
    <w:uiPriority w:val="39"/>
    <w:semiHidden/>
    <w:rsid w:val="0054001F"/>
    <w:pPr>
      <w:tabs>
        <w:tab w:val="left" w:pos="1134"/>
        <w:tab w:val="right" w:leader="dot" w:pos="13000"/>
      </w:tabs>
      <w:spacing w:after="100"/>
      <w:ind w:left="1134" w:hanging="1134"/>
    </w:pPr>
  </w:style>
  <w:style w:type="paragraph" w:styleId="ListParagraph">
    <w:name w:val="List Paragraph"/>
    <w:basedOn w:val="Normal"/>
    <w:uiPriority w:val="99"/>
    <w:semiHidden/>
    <w:rsid w:val="00EF6B06"/>
    <w:pPr>
      <w:ind w:left="720"/>
      <w:contextualSpacing/>
    </w:pPr>
  </w:style>
  <w:style w:type="character" w:styleId="CommentReference">
    <w:name w:val="annotation reference"/>
    <w:basedOn w:val="DefaultParagraphFont"/>
    <w:uiPriority w:val="99"/>
    <w:semiHidden/>
    <w:rsid w:val="00055321"/>
    <w:rPr>
      <w:sz w:val="16"/>
      <w:szCs w:val="16"/>
    </w:rPr>
  </w:style>
  <w:style w:type="paragraph" w:styleId="CommentText">
    <w:name w:val="annotation text"/>
    <w:basedOn w:val="Normal"/>
    <w:link w:val="CommentTextChar"/>
    <w:uiPriority w:val="99"/>
    <w:semiHidden/>
    <w:rsid w:val="00055321"/>
    <w:rPr>
      <w:sz w:val="20"/>
      <w:szCs w:val="20"/>
    </w:rPr>
  </w:style>
  <w:style w:type="character" w:customStyle="1" w:styleId="CommentTextChar">
    <w:name w:val="Comment Text Char"/>
    <w:basedOn w:val="DefaultParagraphFont"/>
    <w:link w:val="CommentText"/>
    <w:uiPriority w:val="99"/>
    <w:semiHidden/>
    <w:rsid w:val="00055321"/>
    <w:rPr>
      <w:rFonts w:cs="Times New Roman"/>
      <w:sz w:val="20"/>
      <w:szCs w:val="20"/>
    </w:rPr>
  </w:style>
  <w:style w:type="paragraph" w:styleId="CommentSubject">
    <w:name w:val="annotation subject"/>
    <w:basedOn w:val="CommentText"/>
    <w:next w:val="CommentText"/>
    <w:link w:val="CommentSubjectChar"/>
    <w:uiPriority w:val="99"/>
    <w:semiHidden/>
    <w:rsid w:val="00055321"/>
    <w:rPr>
      <w:b/>
      <w:bCs/>
    </w:rPr>
  </w:style>
  <w:style w:type="character" w:customStyle="1" w:styleId="CommentSubjectChar">
    <w:name w:val="Comment Subject Char"/>
    <w:basedOn w:val="CommentTextChar"/>
    <w:link w:val="CommentSubject"/>
    <w:uiPriority w:val="99"/>
    <w:semiHidden/>
    <w:rsid w:val="00055321"/>
    <w:rPr>
      <w:rFonts w:cs="Times New Roman"/>
      <w:b/>
      <w:bCs/>
      <w:sz w:val="20"/>
      <w:szCs w:val="20"/>
    </w:rPr>
  </w:style>
  <w:style w:type="paragraph" w:styleId="TOCHeading">
    <w:name w:val="TOC Heading"/>
    <w:basedOn w:val="Heading1"/>
    <w:next w:val="Normal"/>
    <w:uiPriority w:val="39"/>
    <w:semiHidden/>
    <w:unhideWhenUsed/>
    <w:qFormat/>
    <w:rsid w:val="0092075B"/>
    <w:pPr>
      <w:keepLines/>
      <w:numPr>
        <w:numId w:val="0"/>
      </w:numPr>
      <w:spacing w:after="0" w:line="276" w:lineRule="auto"/>
      <w:outlineLvl w:val="9"/>
    </w:pPr>
    <w:rPr>
      <w:rFonts w:asciiTheme="majorHAnsi" w:eastAsiaTheme="majorEastAsia" w:hAnsiTheme="majorHAnsi" w:cstheme="majorBidi"/>
      <w:b/>
      <w:bCs/>
      <w:color w:val="C97306" w:themeColor="accent1" w:themeShade="BF"/>
      <w:sz w:val="28"/>
      <w:szCs w:val="28"/>
      <w:lang w:val="en-US" w:eastAsia="ja-JP"/>
    </w:rPr>
  </w:style>
  <w:style w:type="character" w:customStyle="1" w:styleId="apple-converted-space">
    <w:name w:val="apple-converted-space"/>
    <w:basedOn w:val="DefaultParagraphFont"/>
    <w:rsid w:val="00824B78"/>
  </w:style>
  <w:style w:type="paragraph" w:styleId="Revision">
    <w:name w:val="Revision"/>
    <w:hidden/>
    <w:uiPriority w:val="99"/>
    <w:semiHidden/>
    <w:rsid w:val="00321F79"/>
    <w:pPr>
      <w:spacing w:after="0"/>
    </w:pPr>
    <w:rPr>
      <w:rFonts w:cs="Times New Roman"/>
      <w:sz w:val="21"/>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51900">
      <w:bodyDiv w:val="1"/>
      <w:marLeft w:val="0"/>
      <w:marRight w:val="0"/>
      <w:marTop w:val="0"/>
      <w:marBottom w:val="0"/>
      <w:divBdr>
        <w:top w:val="none" w:sz="0" w:space="0" w:color="auto"/>
        <w:left w:val="none" w:sz="0" w:space="0" w:color="auto"/>
        <w:bottom w:val="none" w:sz="0" w:space="0" w:color="auto"/>
        <w:right w:val="none" w:sz="0" w:space="0" w:color="auto"/>
      </w:divBdr>
    </w:div>
    <w:div w:id="360936875">
      <w:bodyDiv w:val="1"/>
      <w:marLeft w:val="0"/>
      <w:marRight w:val="0"/>
      <w:marTop w:val="0"/>
      <w:marBottom w:val="0"/>
      <w:divBdr>
        <w:top w:val="none" w:sz="0" w:space="0" w:color="auto"/>
        <w:left w:val="none" w:sz="0" w:space="0" w:color="auto"/>
        <w:bottom w:val="none" w:sz="0" w:space="0" w:color="auto"/>
        <w:right w:val="none" w:sz="0" w:space="0" w:color="auto"/>
      </w:divBdr>
    </w:div>
    <w:div w:id="475757065">
      <w:bodyDiv w:val="1"/>
      <w:marLeft w:val="0"/>
      <w:marRight w:val="0"/>
      <w:marTop w:val="0"/>
      <w:marBottom w:val="0"/>
      <w:divBdr>
        <w:top w:val="none" w:sz="0" w:space="0" w:color="auto"/>
        <w:left w:val="none" w:sz="0" w:space="0" w:color="auto"/>
        <w:bottom w:val="none" w:sz="0" w:space="0" w:color="auto"/>
        <w:right w:val="none" w:sz="0" w:space="0" w:color="auto"/>
      </w:divBdr>
    </w:div>
    <w:div w:id="542861845">
      <w:bodyDiv w:val="1"/>
      <w:marLeft w:val="0"/>
      <w:marRight w:val="0"/>
      <w:marTop w:val="0"/>
      <w:marBottom w:val="0"/>
      <w:divBdr>
        <w:top w:val="none" w:sz="0" w:space="0" w:color="auto"/>
        <w:left w:val="none" w:sz="0" w:space="0" w:color="auto"/>
        <w:bottom w:val="none" w:sz="0" w:space="0" w:color="auto"/>
        <w:right w:val="none" w:sz="0" w:space="0" w:color="auto"/>
      </w:divBdr>
    </w:div>
    <w:div w:id="631981920">
      <w:bodyDiv w:val="1"/>
      <w:marLeft w:val="0"/>
      <w:marRight w:val="0"/>
      <w:marTop w:val="0"/>
      <w:marBottom w:val="0"/>
      <w:divBdr>
        <w:top w:val="none" w:sz="0" w:space="0" w:color="auto"/>
        <w:left w:val="none" w:sz="0" w:space="0" w:color="auto"/>
        <w:bottom w:val="none" w:sz="0" w:space="0" w:color="auto"/>
        <w:right w:val="none" w:sz="0" w:space="0" w:color="auto"/>
      </w:divBdr>
    </w:div>
    <w:div w:id="638342690">
      <w:bodyDiv w:val="1"/>
      <w:marLeft w:val="0"/>
      <w:marRight w:val="0"/>
      <w:marTop w:val="0"/>
      <w:marBottom w:val="0"/>
      <w:divBdr>
        <w:top w:val="none" w:sz="0" w:space="0" w:color="auto"/>
        <w:left w:val="none" w:sz="0" w:space="0" w:color="auto"/>
        <w:bottom w:val="none" w:sz="0" w:space="0" w:color="auto"/>
        <w:right w:val="none" w:sz="0" w:space="0" w:color="auto"/>
      </w:divBdr>
      <w:divsChild>
        <w:div w:id="175046750">
          <w:marLeft w:val="0"/>
          <w:marRight w:val="0"/>
          <w:marTop w:val="0"/>
          <w:marBottom w:val="0"/>
          <w:divBdr>
            <w:top w:val="none" w:sz="0" w:space="0" w:color="auto"/>
            <w:left w:val="none" w:sz="0" w:space="0" w:color="auto"/>
            <w:bottom w:val="none" w:sz="0" w:space="0" w:color="auto"/>
            <w:right w:val="none" w:sz="0" w:space="0" w:color="auto"/>
          </w:divBdr>
        </w:div>
        <w:div w:id="235483950">
          <w:marLeft w:val="0"/>
          <w:marRight w:val="0"/>
          <w:marTop w:val="0"/>
          <w:marBottom w:val="0"/>
          <w:divBdr>
            <w:top w:val="none" w:sz="0" w:space="0" w:color="auto"/>
            <w:left w:val="none" w:sz="0" w:space="0" w:color="auto"/>
            <w:bottom w:val="none" w:sz="0" w:space="0" w:color="auto"/>
            <w:right w:val="none" w:sz="0" w:space="0" w:color="auto"/>
          </w:divBdr>
        </w:div>
        <w:div w:id="262422632">
          <w:marLeft w:val="0"/>
          <w:marRight w:val="0"/>
          <w:marTop w:val="0"/>
          <w:marBottom w:val="0"/>
          <w:divBdr>
            <w:top w:val="none" w:sz="0" w:space="0" w:color="auto"/>
            <w:left w:val="none" w:sz="0" w:space="0" w:color="auto"/>
            <w:bottom w:val="none" w:sz="0" w:space="0" w:color="auto"/>
            <w:right w:val="none" w:sz="0" w:space="0" w:color="auto"/>
          </w:divBdr>
        </w:div>
        <w:div w:id="370375315">
          <w:marLeft w:val="0"/>
          <w:marRight w:val="0"/>
          <w:marTop w:val="0"/>
          <w:marBottom w:val="0"/>
          <w:divBdr>
            <w:top w:val="none" w:sz="0" w:space="0" w:color="auto"/>
            <w:left w:val="none" w:sz="0" w:space="0" w:color="auto"/>
            <w:bottom w:val="none" w:sz="0" w:space="0" w:color="auto"/>
            <w:right w:val="none" w:sz="0" w:space="0" w:color="auto"/>
          </w:divBdr>
        </w:div>
        <w:div w:id="752093506">
          <w:marLeft w:val="0"/>
          <w:marRight w:val="0"/>
          <w:marTop w:val="0"/>
          <w:marBottom w:val="0"/>
          <w:divBdr>
            <w:top w:val="none" w:sz="0" w:space="0" w:color="auto"/>
            <w:left w:val="none" w:sz="0" w:space="0" w:color="auto"/>
            <w:bottom w:val="none" w:sz="0" w:space="0" w:color="auto"/>
            <w:right w:val="none" w:sz="0" w:space="0" w:color="auto"/>
          </w:divBdr>
        </w:div>
        <w:div w:id="1999650684">
          <w:marLeft w:val="0"/>
          <w:marRight w:val="0"/>
          <w:marTop w:val="0"/>
          <w:marBottom w:val="0"/>
          <w:divBdr>
            <w:top w:val="none" w:sz="0" w:space="0" w:color="auto"/>
            <w:left w:val="none" w:sz="0" w:space="0" w:color="auto"/>
            <w:bottom w:val="none" w:sz="0" w:space="0" w:color="auto"/>
            <w:right w:val="none" w:sz="0" w:space="0" w:color="auto"/>
          </w:divBdr>
        </w:div>
      </w:divsChild>
    </w:div>
    <w:div w:id="723717106">
      <w:bodyDiv w:val="1"/>
      <w:marLeft w:val="0"/>
      <w:marRight w:val="0"/>
      <w:marTop w:val="0"/>
      <w:marBottom w:val="0"/>
      <w:divBdr>
        <w:top w:val="none" w:sz="0" w:space="0" w:color="auto"/>
        <w:left w:val="none" w:sz="0" w:space="0" w:color="auto"/>
        <w:bottom w:val="none" w:sz="0" w:space="0" w:color="auto"/>
        <w:right w:val="none" w:sz="0" w:space="0" w:color="auto"/>
      </w:divBdr>
    </w:div>
    <w:div w:id="775563366">
      <w:bodyDiv w:val="1"/>
      <w:marLeft w:val="0"/>
      <w:marRight w:val="0"/>
      <w:marTop w:val="0"/>
      <w:marBottom w:val="0"/>
      <w:divBdr>
        <w:top w:val="none" w:sz="0" w:space="0" w:color="auto"/>
        <w:left w:val="none" w:sz="0" w:space="0" w:color="auto"/>
        <w:bottom w:val="none" w:sz="0" w:space="0" w:color="auto"/>
        <w:right w:val="none" w:sz="0" w:space="0" w:color="auto"/>
      </w:divBdr>
      <w:divsChild>
        <w:div w:id="86123796">
          <w:marLeft w:val="0"/>
          <w:marRight w:val="0"/>
          <w:marTop w:val="0"/>
          <w:marBottom w:val="0"/>
          <w:divBdr>
            <w:top w:val="none" w:sz="0" w:space="0" w:color="auto"/>
            <w:left w:val="none" w:sz="0" w:space="0" w:color="auto"/>
            <w:bottom w:val="none" w:sz="0" w:space="0" w:color="auto"/>
            <w:right w:val="none" w:sz="0" w:space="0" w:color="auto"/>
          </w:divBdr>
        </w:div>
        <w:div w:id="246887348">
          <w:marLeft w:val="0"/>
          <w:marRight w:val="0"/>
          <w:marTop w:val="0"/>
          <w:marBottom w:val="0"/>
          <w:divBdr>
            <w:top w:val="none" w:sz="0" w:space="0" w:color="auto"/>
            <w:left w:val="none" w:sz="0" w:space="0" w:color="auto"/>
            <w:bottom w:val="none" w:sz="0" w:space="0" w:color="auto"/>
            <w:right w:val="none" w:sz="0" w:space="0" w:color="auto"/>
          </w:divBdr>
        </w:div>
        <w:div w:id="335109632">
          <w:marLeft w:val="0"/>
          <w:marRight w:val="0"/>
          <w:marTop w:val="0"/>
          <w:marBottom w:val="0"/>
          <w:divBdr>
            <w:top w:val="none" w:sz="0" w:space="0" w:color="auto"/>
            <w:left w:val="none" w:sz="0" w:space="0" w:color="auto"/>
            <w:bottom w:val="none" w:sz="0" w:space="0" w:color="auto"/>
            <w:right w:val="none" w:sz="0" w:space="0" w:color="auto"/>
          </w:divBdr>
        </w:div>
        <w:div w:id="426849610">
          <w:marLeft w:val="0"/>
          <w:marRight w:val="0"/>
          <w:marTop w:val="0"/>
          <w:marBottom w:val="0"/>
          <w:divBdr>
            <w:top w:val="none" w:sz="0" w:space="0" w:color="auto"/>
            <w:left w:val="none" w:sz="0" w:space="0" w:color="auto"/>
            <w:bottom w:val="none" w:sz="0" w:space="0" w:color="auto"/>
            <w:right w:val="none" w:sz="0" w:space="0" w:color="auto"/>
          </w:divBdr>
        </w:div>
        <w:div w:id="726536284">
          <w:marLeft w:val="0"/>
          <w:marRight w:val="0"/>
          <w:marTop w:val="0"/>
          <w:marBottom w:val="0"/>
          <w:divBdr>
            <w:top w:val="none" w:sz="0" w:space="0" w:color="auto"/>
            <w:left w:val="none" w:sz="0" w:space="0" w:color="auto"/>
            <w:bottom w:val="none" w:sz="0" w:space="0" w:color="auto"/>
            <w:right w:val="none" w:sz="0" w:space="0" w:color="auto"/>
          </w:divBdr>
        </w:div>
        <w:div w:id="1172987706">
          <w:marLeft w:val="0"/>
          <w:marRight w:val="0"/>
          <w:marTop w:val="0"/>
          <w:marBottom w:val="0"/>
          <w:divBdr>
            <w:top w:val="none" w:sz="0" w:space="0" w:color="auto"/>
            <w:left w:val="none" w:sz="0" w:space="0" w:color="auto"/>
            <w:bottom w:val="none" w:sz="0" w:space="0" w:color="auto"/>
            <w:right w:val="none" w:sz="0" w:space="0" w:color="auto"/>
          </w:divBdr>
        </w:div>
        <w:div w:id="1195271002">
          <w:marLeft w:val="0"/>
          <w:marRight w:val="0"/>
          <w:marTop w:val="0"/>
          <w:marBottom w:val="0"/>
          <w:divBdr>
            <w:top w:val="none" w:sz="0" w:space="0" w:color="auto"/>
            <w:left w:val="none" w:sz="0" w:space="0" w:color="auto"/>
            <w:bottom w:val="none" w:sz="0" w:space="0" w:color="auto"/>
            <w:right w:val="none" w:sz="0" w:space="0" w:color="auto"/>
          </w:divBdr>
        </w:div>
        <w:div w:id="1785225723">
          <w:marLeft w:val="0"/>
          <w:marRight w:val="0"/>
          <w:marTop w:val="0"/>
          <w:marBottom w:val="0"/>
          <w:divBdr>
            <w:top w:val="none" w:sz="0" w:space="0" w:color="auto"/>
            <w:left w:val="none" w:sz="0" w:space="0" w:color="auto"/>
            <w:bottom w:val="none" w:sz="0" w:space="0" w:color="auto"/>
            <w:right w:val="none" w:sz="0" w:space="0" w:color="auto"/>
          </w:divBdr>
        </w:div>
        <w:div w:id="1975983264">
          <w:marLeft w:val="0"/>
          <w:marRight w:val="0"/>
          <w:marTop w:val="0"/>
          <w:marBottom w:val="0"/>
          <w:divBdr>
            <w:top w:val="none" w:sz="0" w:space="0" w:color="auto"/>
            <w:left w:val="none" w:sz="0" w:space="0" w:color="auto"/>
            <w:bottom w:val="none" w:sz="0" w:space="0" w:color="auto"/>
            <w:right w:val="none" w:sz="0" w:space="0" w:color="auto"/>
          </w:divBdr>
        </w:div>
        <w:div w:id="2005087030">
          <w:marLeft w:val="0"/>
          <w:marRight w:val="0"/>
          <w:marTop w:val="0"/>
          <w:marBottom w:val="0"/>
          <w:divBdr>
            <w:top w:val="none" w:sz="0" w:space="0" w:color="auto"/>
            <w:left w:val="none" w:sz="0" w:space="0" w:color="auto"/>
            <w:bottom w:val="none" w:sz="0" w:space="0" w:color="auto"/>
            <w:right w:val="none" w:sz="0" w:space="0" w:color="auto"/>
          </w:divBdr>
        </w:div>
      </w:divsChild>
    </w:div>
    <w:div w:id="808590490">
      <w:bodyDiv w:val="1"/>
      <w:marLeft w:val="0"/>
      <w:marRight w:val="0"/>
      <w:marTop w:val="0"/>
      <w:marBottom w:val="0"/>
      <w:divBdr>
        <w:top w:val="none" w:sz="0" w:space="0" w:color="auto"/>
        <w:left w:val="none" w:sz="0" w:space="0" w:color="auto"/>
        <w:bottom w:val="none" w:sz="0" w:space="0" w:color="auto"/>
        <w:right w:val="none" w:sz="0" w:space="0" w:color="auto"/>
      </w:divBdr>
    </w:div>
    <w:div w:id="820779598">
      <w:bodyDiv w:val="1"/>
      <w:marLeft w:val="0"/>
      <w:marRight w:val="0"/>
      <w:marTop w:val="0"/>
      <w:marBottom w:val="0"/>
      <w:divBdr>
        <w:top w:val="none" w:sz="0" w:space="0" w:color="auto"/>
        <w:left w:val="none" w:sz="0" w:space="0" w:color="auto"/>
        <w:bottom w:val="none" w:sz="0" w:space="0" w:color="auto"/>
        <w:right w:val="none" w:sz="0" w:space="0" w:color="auto"/>
      </w:divBdr>
      <w:divsChild>
        <w:div w:id="93987705">
          <w:marLeft w:val="0"/>
          <w:marRight w:val="0"/>
          <w:marTop w:val="0"/>
          <w:marBottom w:val="0"/>
          <w:divBdr>
            <w:top w:val="none" w:sz="0" w:space="0" w:color="auto"/>
            <w:left w:val="none" w:sz="0" w:space="0" w:color="auto"/>
            <w:bottom w:val="none" w:sz="0" w:space="0" w:color="auto"/>
            <w:right w:val="none" w:sz="0" w:space="0" w:color="auto"/>
          </w:divBdr>
        </w:div>
        <w:div w:id="464389955">
          <w:marLeft w:val="0"/>
          <w:marRight w:val="0"/>
          <w:marTop w:val="0"/>
          <w:marBottom w:val="0"/>
          <w:divBdr>
            <w:top w:val="none" w:sz="0" w:space="0" w:color="auto"/>
            <w:left w:val="none" w:sz="0" w:space="0" w:color="auto"/>
            <w:bottom w:val="none" w:sz="0" w:space="0" w:color="auto"/>
            <w:right w:val="none" w:sz="0" w:space="0" w:color="auto"/>
          </w:divBdr>
        </w:div>
        <w:div w:id="472646038">
          <w:marLeft w:val="0"/>
          <w:marRight w:val="0"/>
          <w:marTop w:val="0"/>
          <w:marBottom w:val="0"/>
          <w:divBdr>
            <w:top w:val="none" w:sz="0" w:space="0" w:color="auto"/>
            <w:left w:val="none" w:sz="0" w:space="0" w:color="auto"/>
            <w:bottom w:val="none" w:sz="0" w:space="0" w:color="auto"/>
            <w:right w:val="none" w:sz="0" w:space="0" w:color="auto"/>
          </w:divBdr>
        </w:div>
        <w:div w:id="1442720945">
          <w:marLeft w:val="0"/>
          <w:marRight w:val="0"/>
          <w:marTop w:val="0"/>
          <w:marBottom w:val="0"/>
          <w:divBdr>
            <w:top w:val="none" w:sz="0" w:space="0" w:color="auto"/>
            <w:left w:val="none" w:sz="0" w:space="0" w:color="auto"/>
            <w:bottom w:val="none" w:sz="0" w:space="0" w:color="auto"/>
            <w:right w:val="none" w:sz="0" w:space="0" w:color="auto"/>
          </w:divBdr>
        </w:div>
        <w:div w:id="1680890299">
          <w:marLeft w:val="0"/>
          <w:marRight w:val="0"/>
          <w:marTop w:val="0"/>
          <w:marBottom w:val="0"/>
          <w:divBdr>
            <w:top w:val="none" w:sz="0" w:space="0" w:color="auto"/>
            <w:left w:val="none" w:sz="0" w:space="0" w:color="auto"/>
            <w:bottom w:val="none" w:sz="0" w:space="0" w:color="auto"/>
            <w:right w:val="none" w:sz="0" w:space="0" w:color="auto"/>
          </w:divBdr>
        </w:div>
        <w:div w:id="1857697793">
          <w:marLeft w:val="0"/>
          <w:marRight w:val="0"/>
          <w:marTop w:val="0"/>
          <w:marBottom w:val="0"/>
          <w:divBdr>
            <w:top w:val="none" w:sz="0" w:space="0" w:color="auto"/>
            <w:left w:val="none" w:sz="0" w:space="0" w:color="auto"/>
            <w:bottom w:val="none" w:sz="0" w:space="0" w:color="auto"/>
            <w:right w:val="none" w:sz="0" w:space="0" w:color="auto"/>
          </w:divBdr>
        </w:div>
      </w:divsChild>
    </w:div>
    <w:div w:id="979457116">
      <w:bodyDiv w:val="1"/>
      <w:marLeft w:val="0"/>
      <w:marRight w:val="0"/>
      <w:marTop w:val="0"/>
      <w:marBottom w:val="0"/>
      <w:divBdr>
        <w:top w:val="none" w:sz="0" w:space="0" w:color="auto"/>
        <w:left w:val="none" w:sz="0" w:space="0" w:color="auto"/>
        <w:bottom w:val="none" w:sz="0" w:space="0" w:color="auto"/>
        <w:right w:val="none" w:sz="0" w:space="0" w:color="auto"/>
      </w:divBdr>
    </w:div>
    <w:div w:id="1009065744">
      <w:bodyDiv w:val="1"/>
      <w:marLeft w:val="0"/>
      <w:marRight w:val="0"/>
      <w:marTop w:val="0"/>
      <w:marBottom w:val="0"/>
      <w:divBdr>
        <w:top w:val="none" w:sz="0" w:space="0" w:color="auto"/>
        <w:left w:val="none" w:sz="0" w:space="0" w:color="auto"/>
        <w:bottom w:val="none" w:sz="0" w:space="0" w:color="auto"/>
        <w:right w:val="none" w:sz="0" w:space="0" w:color="auto"/>
      </w:divBdr>
    </w:div>
    <w:div w:id="1133137944">
      <w:bodyDiv w:val="1"/>
      <w:marLeft w:val="0"/>
      <w:marRight w:val="0"/>
      <w:marTop w:val="0"/>
      <w:marBottom w:val="0"/>
      <w:divBdr>
        <w:top w:val="none" w:sz="0" w:space="0" w:color="auto"/>
        <w:left w:val="none" w:sz="0" w:space="0" w:color="auto"/>
        <w:bottom w:val="none" w:sz="0" w:space="0" w:color="auto"/>
        <w:right w:val="none" w:sz="0" w:space="0" w:color="auto"/>
      </w:divBdr>
    </w:div>
    <w:div w:id="1231966977">
      <w:bodyDiv w:val="1"/>
      <w:marLeft w:val="0"/>
      <w:marRight w:val="0"/>
      <w:marTop w:val="0"/>
      <w:marBottom w:val="0"/>
      <w:divBdr>
        <w:top w:val="none" w:sz="0" w:space="0" w:color="auto"/>
        <w:left w:val="none" w:sz="0" w:space="0" w:color="auto"/>
        <w:bottom w:val="none" w:sz="0" w:space="0" w:color="auto"/>
        <w:right w:val="none" w:sz="0" w:space="0" w:color="auto"/>
      </w:divBdr>
    </w:div>
    <w:div w:id="1479303868">
      <w:bodyDiv w:val="1"/>
      <w:marLeft w:val="0"/>
      <w:marRight w:val="0"/>
      <w:marTop w:val="0"/>
      <w:marBottom w:val="0"/>
      <w:divBdr>
        <w:top w:val="none" w:sz="0" w:space="0" w:color="auto"/>
        <w:left w:val="none" w:sz="0" w:space="0" w:color="auto"/>
        <w:bottom w:val="none" w:sz="0" w:space="0" w:color="auto"/>
        <w:right w:val="none" w:sz="0" w:space="0" w:color="auto"/>
      </w:divBdr>
    </w:div>
    <w:div w:id="1480805002">
      <w:bodyDiv w:val="1"/>
      <w:marLeft w:val="0"/>
      <w:marRight w:val="0"/>
      <w:marTop w:val="0"/>
      <w:marBottom w:val="0"/>
      <w:divBdr>
        <w:top w:val="none" w:sz="0" w:space="0" w:color="auto"/>
        <w:left w:val="none" w:sz="0" w:space="0" w:color="auto"/>
        <w:bottom w:val="none" w:sz="0" w:space="0" w:color="auto"/>
        <w:right w:val="none" w:sz="0" w:space="0" w:color="auto"/>
      </w:divBdr>
    </w:div>
    <w:div w:id="1555696751">
      <w:bodyDiv w:val="1"/>
      <w:marLeft w:val="0"/>
      <w:marRight w:val="0"/>
      <w:marTop w:val="0"/>
      <w:marBottom w:val="0"/>
      <w:divBdr>
        <w:top w:val="none" w:sz="0" w:space="0" w:color="auto"/>
        <w:left w:val="none" w:sz="0" w:space="0" w:color="auto"/>
        <w:bottom w:val="none" w:sz="0" w:space="0" w:color="auto"/>
        <w:right w:val="none" w:sz="0" w:space="0" w:color="auto"/>
      </w:divBdr>
    </w:div>
    <w:div w:id="1664580527">
      <w:bodyDiv w:val="1"/>
      <w:marLeft w:val="0"/>
      <w:marRight w:val="0"/>
      <w:marTop w:val="0"/>
      <w:marBottom w:val="0"/>
      <w:divBdr>
        <w:top w:val="none" w:sz="0" w:space="0" w:color="auto"/>
        <w:left w:val="none" w:sz="0" w:space="0" w:color="auto"/>
        <w:bottom w:val="none" w:sz="0" w:space="0" w:color="auto"/>
        <w:right w:val="none" w:sz="0" w:space="0" w:color="auto"/>
      </w:divBdr>
    </w:div>
    <w:div w:id="1675717090">
      <w:bodyDiv w:val="1"/>
      <w:marLeft w:val="0"/>
      <w:marRight w:val="0"/>
      <w:marTop w:val="0"/>
      <w:marBottom w:val="0"/>
      <w:divBdr>
        <w:top w:val="none" w:sz="0" w:space="0" w:color="auto"/>
        <w:left w:val="none" w:sz="0" w:space="0" w:color="auto"/>
        <w:bottom w:val="none" w:sz="0" w:space="0" w:color="auto"/>
        <w:right w:val="none" w:sz="0" w:space="0" w:color="auto"/>
      </w:divBdr>
    </w:div>
    <w:div w:id="1856533648">
      <w:bodyDiv w:val="1"/>
      <w:marLeft w:val="0"/>
      <w:marRight w:val="0"/>
      <w:marTop w:val="0"/>
      <w:marBottom w:val="0"/>
      <w:divBdr>
        <w:top w:val="none" w:sz="0" w:space="0" w:color="auto"/>
        <w:left w:val="none" w:sz="0" w:space="0" w:color="auto"/>
        <w:bottom w:val="none" w:sz="0" w:space="0" w:color="auto"/>
        <w:right w:val="none" w:sz="0" w:space="0" w:color="auto"/>
      </w:divBdr>
    </w:div>
    <w:div w:id="1923568714">
      <w:bodyDiv w:val="1"/>
      <w:marLeft w:val="0"/>
      <w:marRight w:val="0"/>
      <w:marTop w:val="0"/>
      <w:marBottom w:val="0"/>
      <w:divBdr>
        <w:top w:val="none" w:sz="0" w:space="0" w:color="auto"/>
        <w:left w:val="none" w:sz="0" w:space="0" w:color="auto"/>
        <w:bottom w:val="none" w:sz="0" w:space="0" w:color="auto"/>
        <w:right w:val="none" w:sz="0" w:space="0" w:color="auto"/>
      </w:divBdr>
    </w:div>
    <w:div w:id="1955137431">
      <w:bodyDiv w:val="1"/>
      <w:marLeft w:val="0"/>
      <w:marRight w:val="0"/>
      <w:marTop w:val="0"/>
      <w:marBottom w:val="0"/>
      <w:divBdr>
        <w:top w:val="none" w:sz="0" w:space="0" w:color="auto"/>
        <w:left w:val="none" w:sz="0" w:space="0" w:color="auto"/>
        <w:bottom w:val="none" w:sz="0" w:space="0" w:color="auto"/>
        <w:right w:val="none" w:sz="0" w:space="0" w:color="auto"/>
      </w:divBdr>
    </w:div>
    <w:div w:id="2105032285">
      <w:bodyDiv w:val="1"/>
      <w:marLeft w:val="0"/>
      <w:marRight w:val="0"/>
      <w:marTop w:val="0"/>
      <w:marBottom w:val="0"/>
      <w:divBdr>
        <w:top w:val="none" w:sz="0" w:space="0" w:color="auto"/>
        <w:left w:val="none" w:sz="0" w:space="0" w:color="auto"/>
        <w:bottom w:val="none" w:sz="0" w:space="0" w:color="auto"/>
        <w:right w:val="none" w:sz="0" w:space="0" w:color="auto"/>
      </w:divBdr>
    </w:div>
    <w:div w:id="211015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footer" Target="footer3.xml"/><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abs.gov.au/websitedbs/D3310114.nsf/home/Australian+Statistical+Geography+Standard+(ASGS)" TargetMode="External"/><Relationship Id="rId30" Type="http://schemas.openxmlformats.org/officeDocument/2006/relationships/image" Target="media/image12.png"/><Relationship Id="rId35" Type="http://schemas.openxmlformats.org/officeDocument/2006/relationships/header" Target="header7.xml"/><Relationship Id="rId43"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Nous">
      <a:dk1>
        <a:sysClr val="windowText" lastClr="000000"/>
      </a:dk1>
      <a:lt1>
        <a:sysClr val="window" lastClr="FFFFFF"/>
      </a:lt1>
      <a:dk2>
        <a:srgbClr val="003468"/>
      </a:dk2>
      <a:lt2>
        <a:srgbClr val="717074"/>
      </a:lt2>
      <a:accent1>
        <a:srgbClr val="F8981D"/>
      </a:accent1>
      <a:accent2>
        <a:srgbClr val="717074"/>
      </a:accent2>
      <a:accent3>
        <a:srgbClr val="7BC043"/>
      </a:accent3>
      <a:accent4>
        <a:srgbClr val="009DDC"/>
      </a:accent4>
      <a:accent5>
        <a:srgbClr val="F05133"/>
      </a:accent5>
      <a:accent6>
        <a:srgbClr val="B890C2"/>
      </a:accent6>
      <a:hlink>
        <a:srgbClr val="717074"/>
      </a:hlink>
      <a:folHlink>
        <a:srgbClr val="7170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2017-07-04T00:00:00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0702c48-a3c7-4082-9316-722695441da0">
      <Value>1</Value>
    </TaxCatchAll>
    <ShareHubID xmlns="00702c48-a3c7-4082-9316-722695441da0">UDOC17-325352</ShareHubID>
    <PMCNotes xmlns="00702c48-a3c7-4082-9316-722695441da0" xsi:nil="true"/>
    <mc5611b894cf49d8aeeb8ebf39dc09bc xmlns="00702c48-a3c7-4082-9316-722695441da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00702c48-a3c7-4082-9316-722695441da0">
      <Terms xmlns="http://schemas.microsoft.com/office/infopath/2007/PartnerControls"/>
    </jd1c641577414dfdab1686c9d5d0dbd0>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EDF9262884EA524AA3AAF33D5DE35DE4" ma:contentTypeVersion="6" ma:contentTypeDescription="PMC Document" ma:contentTypeScope="" ma:versionID="2090420a6dd75b1fcaa7c7c65a2c6c19">
  <xsd:schema xmlns:xsd="http://www.w3.org/2001/XMLSchema" xmlns:xs="http://www.w3.org/2001/XMLSchema" xmlns:p="http://schemas.microsoft.com/office/2006/metadata/properties" xmlns:ns2="00702c48-a3c7-4082-9316-722695441da0" xmlns:ns3="685f9fda-bd71-4433-b331-92feb9553089" targetNamespace="http://schemas.microsoft.com/office/2006/metadata/properties" ma:root="true" ma:fieldsID="953425383040d323d666efef5a37b022" ns2:_="" ns3:_="">
    <xsd:import namespace="00702c48-a3c7-4082-9316-722695441da0"/>
    <xsd:import namespace="685f9fda-bd71-4433-b331-92feb9553089"/>
    <xsd:element name="properties">
      <xsd:complexType>
        <xsd:sequence>
          <xsd:element name="documentManagement">
            <xsd:complexType>
              <xsd:all>
                <xsd:element ref="ns3:NonRecordJustification"/>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02c48-a3c7-4082-9316-722695441da0"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e97cdad-9bdb-4555-a996-2348daca65e8}" ma:internalName="TaxCatchAll" ma:showField="CatchAllData" ma:web="00702c48-a3c7-4082-9316-722695441d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e97cdad-9bdb-4555-a996-2348daca65e8}" ma:internalName="TaxCatchAllLabel" ma:readOnly="true" ma:showField="CatchAllDataLabel" ma:web="00702c48-a3c7-4082-9316-722695441da0">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CDC397-4645-498B-A00A-24E045F49A09}">
  <ds:schemaRefs>
    <ds:schemaRef ds:uri="http://schemas.microsoft.com/office/2006/metadata/properties"/>
    <ds:schemaRef ds:uri="http://schemas.microsoft.com/office/infopath/2007/PartnerControls"/>
    <ds:schemaRef ds:uri="00702c48-a3c7-4082-9316-722695441da0"/>
    <ds:schemaRef ds:uri="685f9fda-bd71-4433-b331-92feb9553089"/>
  </ds:schemaRefs>
</ds:datastoreItem>
</file>

<file path=customXml/itemProps3.xml><?xml version="1.0" encoding="utf-8"?>
<ds:datastoreItem xmlns:ds="http://schemas.openxmlformats.org/officeDocument/2006/customXml" ds:itemID="{FE234945-86CE-49AD-837E-6675F1825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02c48-a3c7-4082-9316-722695441da0"/>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10C3E-1AFD-42EB-9CE5-38852D2A5A94}">
  <ds:schemaRefs>
    <ds:schemaRef ds:uri="http://schemas.microsoft.com/sharepoint/v3/contenttype/forms"/>
  </ds:schemaRefs>
</ds:datastoreItem>
</file>

<file path=customXml/itemProps5.xml><?xml version="1.0" encoding="utf-8"?>
<ds:datastoreItem xmlns:ds="http://schemas.openxmlformats.org/officeDocument/2006/customXml" ds:itemID="{07140B58-9AE6-4951-A876-5961603DC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11491</Words>
  <Characters>65500</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Efficient system costs of Remote Indigenous housing</vt:lpstr>
    </vt:vector>
  </TitlesOfParts>
  <Company>The Nous Group</Company>
  <LinksUpToDate>false</LinksUpToDate>
  <CharactersWithSpaces>76838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Efficient system costs of Remote Indigenous housing</dc:title>
  <dc:subject>Input into the Review of the National Partnership Agreement on Remote Indigenous Housing</dc:subject>
  <dc:creator>Bill Stephens</dc:creator>
  <cp:lastModifiedBy>O'Toole, Aidan</cp:lastModifiedBy>
  <cp:revision>5</cp:revision>
  <cp:lastPrinted>2017-07-04T04:39:00Z</cp:lastPrinted>
  <dcterms:created xsi:type="dcterms:W3CDTF">2017-09-04T03:46:00Z</dcterms:created>
  <dcterms:modified xsi:type="dcterms:W3CDTF">2017-09-04T22:57:00Z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0x0101002825A64A6E1845A99A9D8EE8A5686ECB00EDF9262884EA524AA3AAF33D5DE35DE4</vt:lpwstr>
  </property>
  <property fmtid="{D5CDD505-2E9C-101B-9397-08002B2CF9AE}" pid="3" name="Project doc type">
    <vt:lpwstr>47;#A. Admin ＆ Planning|b1f780b9-1325-41ee-b0f8-f9c50aa7f53e</vt:lpwstr>
  </property>
  <property fmtid="{D5CDD505-2E9C-101B-9397-08002B2CF9AE}" pid="4" name="Doc type - level 2">
    <vt:lpwstr/>
  </property>
  <property fmtid="{D5CDD505-2E9C-101B-9397-08002B2CF9AE}" pid="5" name="HPRMSecurityCaveat">
    <vt:lpwstr/>
  </property>
  <property fmtid="{D5CDD505-2E9C-101B-9397-08002B2CF9AE}" pid="6" name="HPRMSecurityLevel">
    <vt:lpwstr>1;#UNCLASSIFIED|9c49a7c7-17c7-412f-8077-62dec89b9196</vt:lpwstr>
  </property>
</Properties>
</file>