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D1" w:rsidRDefault="007E35D1" w:rsidP="007E35D1">
      <w:pPr>
        <w:pStyle w:val="Heading1"/>
        <w:ind w:left="-426"/>
        <w:jc w:val="center"/>
        <w:rPr>
          <w:b/>
          <w:lang w:val="en-US"/>
        </w:rPr>
        <w:sectPr w:rsidR="007E35D1" w:rsidSect="007E35D1">
          <w:pgSz w:w="16838" w:h="11906" w:orient="landscape"/>
          <w:pgMar w:top="851" w:right="678" w:bottom="1440" w:left="567" w:header="708" w:footer="586" w:gutter="0"/>
          <w:cols w:space="708"/>
          <w:docGrid w:linePitch="360"/>
        </w:sectPr>
      </w:pPr>
      <w:bookmarkStart w:id="0" w:name="_GoBack"/>
      <w:r>
        <w:rPr>
          <w:b/>
          <w:noProof/>
          <w:lang w:eastAsia="en-AU"/>
        </w:rPr>
        <w:drawing>
          <wp:inline distT="0" distB="0" distL="0" distR="0">
            <wp:extent cx="10467975" cy="6029587"/>
            <wp:effectExtent l="0" t="0" r="0" b="9525"/>
            <wp:docPr id="1" name="Picture 1" descr="A visual diagram detailing the Tailored Assistance Employment Grants Program Logic - full description follows in this document" title="Program Lo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exe-programlogic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" t="738" r="1617" b="-1"/>
                    <a:stretch/>
                  </pic:blipFill>
                  <pic:spPr bwMode="auto">
                    <a:xfrm>
                      <a:off x="0" y="0"/>
                      <a:ext cx="10487502" cy="6040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D1C5A" w:rsidRPr="005D1C5A" w:rsidRDefault="005D1C5A" w:rsidP="005D1C5A">
      <w:pPr>
        <w:pStyle w:val="Heading1"/>
        <w:jc w:val="center"/>
        <w:rPr>
          <w:b/>
          <w:lang w:val="en-US"/>
        </w:rPr>
      </w:pPr>
      <w:r w:rsidRPr="005D1C5A">
        <w:rPr>
          <w:b/>
          <w:lang w:val="en-US"/>
        </w:rPr>
        <w:lastRenderedPageBreak/>
        <w:t>Program Logic</w:t>
      </w:r>
    </w:p>
    <w:p w:rsidR="005D1C5A" w:rsidRDefault="005D1C5A" w:rsidP="003A0B2F">
      <w:pPr>
        <w:rPr>
          <w:b/>
          <w:bCs/>
          <w:lang w:val="en-US"/>
        </w:rPr>
      </w:pPr>
    </w:p>
    <w:p w:rsidR="003A0B2F" w:rsidRPr="003A0B2F" w:rsidRDefault="003A0B2F" w:rsidP="007E35D1">
      <w:pPr>
        <w:pStyle w:val="Heading2"/>
      </w:pPr>
      <w:r w:rsidRPr="003A0B2F">
        <w:t>Problem Statement:</w:t>
      </w:r>
    </w:p>
    <w:p w:rsidR="003A0B2F" w:rsidRPr="003A0B2F" w:rsidRDefault="003A0B2F" w:rsidP="003A0B2F">
      <w:r w:rsidRPr="003A0B2F">
        <w:rPr>
          <w:lang w:val="en-US"/>
        </w:rPr>
        <w:t>Despite significant growth in University enrollment and completion rates for Indigenous Australians, they remain below population parity. Less than 30% Indigenous undergraduates complete their degree within 4 years. 1 in 6 do not return to study after the first year and Indigenous Australians are half as likely to graduate with a university degree than non-Indigenous Australians.</w:t>
      </w:r>
    </w:p>
    <w:p w:rsidR="003A0B2F" w:rsidRPr="003A0B2F" w:rsidRDefault="003A0B2F" w:rsidP="007E35D1">
      <w:pPr>
        <w:pStyle w:val="Heading2"/>
      </w:pPr>
      <w:r w:rsidRPr="003A0B2F">
        <w:t>Contextual Analysis:</w:t>
      </w:r>
    </w:p>
    <w:p w:rsidR="003B6C66" w:rsidRPr="003A0B2F" w:rsidRDefault="005E0CF0" w:rsidP="003A0B2F">
      <w:pPr>
        <w:numPr>
          <w:ilvl w:val="0"/>
          <w:numId w:val="1"/>
        </w:numPr>
      </w:pPr>
      <w:r w:rsidRPr="003A0B2F">
        <w:rPr>
          <w:lang w:val="en-US"/>
        </w:rPr>
        <w:t>Policy progress towards reconciliation and constitution recognition. NIAA recently established. First Indigenous Minister for Indigenous Australians.</w:t>
      </w:r>
    </w:p>
    <w:p w:rsidR="003B6C66" w:rsidRPr="003A0B2F" w:rsidRDefault="005E0CF0" w:rsidP="003A0B2F">
      <w:pPr>
        <w:numPr>
          <w:ilvl w:val="0"/>
          <w:numId w:val="1"/>
        </w:numPr>
      </w:pPr>
      <w:r w:rsidRPr="003A0B2F">
        <w:rPr>
          <w:lang w:val="en-US"/>
        </w:rPr>
        <w:t>High demand for Indigenous graduates, driven by corporate social responsibility (private sector) and improved service delivery for Indigenous Australians (public sector). Many large employers have Reconciliation Action Plans.</w:t>
      </w:r>
    </w:p>
    <w:p w:rsidR="003B6C66" w:rsidRPr="003A0B2F" w:rsidRDefault="005E0CF0" w:rsidP="003A0B2F">
      <w:pPr>
        <w:numPr>
          <w:ilvl w:val="0"/>
          <w:numId w:val="1"/>
        </w:numPr>
      </w:pPr>
      <w:r w:rsidRPr="003A0B2F">
        <w:rPr>
          <w:lang w:val="en-US"/>
        </w:rPr>
        <w:t>Growing role of social enterprise in addressing Indigenous employment.</w:t>
      </w:r>
    </w:p>
    <w:p w:rsidR="00E26E5D" w:rsidRPr="00E26E5D" w:rsidRDefault="005E0CF0" w:rsidP="003A0B2F">
      <w:pPr>
        <w:numPr>
          <w:ilvl w:val="0"/>
          <w:numId w:val="1"/>
        </w:numPr>
      </w:pPr>
      <w:r w:rsidRPr="003A0B2F">
        <w:rPr>
          <w:lang w:val="en-US"/>
        </w:rPr>
        <w:t>Changes to university education including flexible, online blended and fast-tracked degrees.</w:t>
      </w:r>
    </w:p>
    <w:p w:rsidR="00603D3F" w:rsidRPr="00E26E5D" w:rsidRDefault="003A0B2F" w:rsidP="003A0B2F">
      <w:pPr>
        <w:numPr>
          <w:ilvl w:val="0"/>
          <w:numId w:val="1"/>
        </w:numPr>
      </w:pPr>
      <w:r w:rsidRPr="00E26E5D">
        <w:rPr>
          <w:lang w:val="en-US"/>
        </w:rPr>
        <w:t>Rapidly changing nature of work: Three main influences: automation, flexible working, outsourcing of lower skilled jobs. Need for a ‘portfolio’ career.</w:t>
      </w:r>
      <w:r w:rsidRPr="00E26E5D">
        <w:rPr>
          <w:lang w:val="en-US"/>
        </w:rPr>
        <w:br/>
      </w:r>
    </w:p>
    <w:p w:rsidR="00E26E5D" w:rsidRPr="00E26E5D" w:rsidRDefault="00E26E5D" w:rsidP="007E35D1">
      <w:pPr>
        <w:outlineLvl w:val="1"/>
        <w:rPr>
          <w:u w:val="single"/>
          <w:lang w:val="en-US"/>
        </w:rPr>
      </w:pPr>
      <w:r w:rsidRPr="00E26E5D">
        <w:rPr>
          <w:u w:val="single"/>
          <w:lang w:val="en-US"/>
        </w:rPr>
        <w:t>Impact</w:t>
      </w:r>
    </w:p>
    <w:p w:rsidR="003A0B2F" w:rsidRPr="003A0B2F" w:rsidRDefault="003A0B2F" w:rsidP="003A0B2F">
      <w:pPr>
        <w:rPr>
          <w:lang w:val="en-US"/>
        </w:rPr>
      </w:pPr>
      <w:r w:rsidRPr="003A0B2F">
        <w:rPr>
          <w:lang w:val="en-US"/>
        </w:rPr>
        <w:t>1st Line - Employers in all sectors benefit from the skills, talents and perspectives of Indigenous Australians</w:t>
      </w:r>
    </w:p>
    <w:p w:rsidR="003A0B2F" w:rsidRDefault="003A0B2F" w:rsidP="003A0B2F">
      <w:pPr>
        <w:rPr>
          <w:lang w:val="en-US"/>
        </w:rPr>
      </w:pPr>
      <w:r w:rsidRPr="003A0B2F">
        <w:rPr>
          <w:lang w:val="en-US"/>
        </w:rPr>
        <w:t>2nd Line - Indigenous Australians graduate university at parity with proportion of population (3%)</w:t>
      </w:r>
    </w:p>
    <w:p w:rsidR="003A0B2F" w:rsidRDefault="00E26E5D" w:rsidP="007E35D1">
      <w:pPr>
        <w:outlineLvl w:val="1"/>
        <w:rPr>
          <w:u w:val="single"/>
          <w:lang w:val="en-US"/>
        </w:rPr>
      </w:pPr>
      <w:r w:rsidRPr="00E26E5D">
        <w:rPr>
          <w:u w:val="single"/>
          <w:lang w:val="en-US"/>
        </w:rPr>
        <w:t>End of program outcomes</w:t>
      </w:r>
    </w:p>
    <w:p w:rsidR="00E26E5D" w:rsidRDefault="00E26E5D" w:rsidP="003A0B2F">
      <w:pPr>
        <w:rPr>
          <w:lang w:val="en-US"/>
        </w:rPr>
      </w:pPr>
      <w:r>
        <w:rPr>
          <w:lang w:val="en-US"/>
        </w:rPr>
        <w:t>Students gain permanent employment after graduation</w:t>
      </w:r>
      <w:r w:rsidR="004D62ED">
        <w:rPr>
          <w:lang w:val="en-US"/>
        </w:rPr>
        <w:t xml:space="preserve"> *</w:t>
      </w:r>
    </w:p>
    <w:p w:rsidR="00E26E5D" w:rsidRPr="004D62ED" w:rsidRDefault="00E26E5D" w:rsidP="004D62ED">
      <w:pPr>
        <w:pStyle w:val="ListParagraph"/>
        <w:numPr>
          <w:ilvl w:val="0"/>
          <w:numId w:val="2"/>
        </w:numPr>
        <w:rPr>
          <w:lang w:val="en-US"/>
        </w:rPr>
      </w:pPr>
      <w:r w:rsidRPr="004D62ED">
        <w:rPr>
          <w:lang w:val="en-US"/>
        </w:rPr>
        <w:t>Assumption: there is a high market demand for indigenous graduates</w:t>
      </w:r>
    </w:p>
    <w:p w:rsidR="00E26E5D" w:rsidRPr="004D62ED" w:rsidRDefault="004D62ED" w:rsidP="004D62ED">
      <w:pPr>
        <w:pStyle w:val="ListParagraph"/>
        <w:numPr>
          <w:ilvl w:val="0"/>
          <w:numId w:val="2"/>
        </w:numPr>
        <w:rPr>
          <w:lang w:val="en-US"/>
        </w:rPr>
      </w:pPr>
      <w:r w:rsidRPr="004D62ED">
        <w:rPr>
          <w:lang w:val="en-US"/>
        </w:rPr>
        <w:t>Assumption: Cadetship is relevance to student’s career goals</w:t>
      </w:r>
    </w:p>
    <w:p w:rsidR="004D62ED" w:rsidRDefault="004D62ED" w:rsidP="003A0B2F">
      <w:pPr>
        <w:rPr>
          <w:lang w:val="en-US"/>
        </w:rPr>
      </w:pPr>
      <w:r>
        <w:rPr>
          <w:lang w:val="en-US"/>
        </w:rPr>
        <w:t>Students complete degree within allowable time *</w:t>
      </w:r>
    </w:p>
    <w:p w:rsidR="004D62ED" w:rsidRPr="004D62ED" w:rsidRDefault="004D62ED" w:rsidP="007E35D1">
      <w:pPr>
        <w:outlineLvl w:val="1"/>
        <w:rPr>
          <w:u w:val="single"/>
          <w:lang w:val="en-US"/>
        </w:rPr>
      </w:pPr>
      <w:r w:rsidRPr="004D62ED">
        <w:rPr>
          <w:u w:val="single"/>
          <w:lang w:val="en-US"/>
        </w:rPr>
        <w:t>Short term outcomes</w:t>
      </w:r>
    </w:p>
    <w:p w:rsidR="004D62ED" w:rsidRDefault="004D62ED" w:rsidP="003A0B2F">
      <w:pPr>
        <w:rPr>
          <w:lang w:val="en-US"/>
        </w:rPr>
      </w:pPr>
      <w:r>
        <w:rPr>
          <w:lang w:val="en-US"/>
        </w:rPr>
        <w:t>Students gain exposure to work routines and develop employability skills</w:t>
      </w:r>
    </w:p>
    <w:p w:rsidR="004D62ED" w:rsidRDefault="004D62ED" w:rsidP="004D62E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Assumption: Providers/employers provide mentoring and capacity development</w:t>
      </w:r>
    </w:p>
    <w:p w:rsidR="004D62ED" w:rsidRDefault="004D62ED" w:rsidP="004D62E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Assumption: Students apply workplace insights to degree</w:t>
      </w:r>
    </w:p>
    <w:p w:rsidR="004D62ED" w:rsidRDefault="004D62ED" w:rsidP="004D62ED">
      <w:pPr>
        <w:rPr>
          <w:lang w:val="en-US"/>
        </w:rPr>
      </w:pPr>
      <w:r>
        <w:rPr>
          <w:lang w:val="en-US"/>
        </w:rPr>
        <w:t>Student reduces additional work burdens</w:t>
      </w:r>
    </w:p>
    <w:p w:rsidR="004D62ED" w:rsidRDefault="004D62ED" w:rsidP="004D62E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Assumption: Students dedicate more time to study</w:t>
      </w:r>
    </w:p>
    <w:p w:rsidR="004D62ED" w:rsidRDefault="004D62ED" w:rsidP="004D62ED">
      <w:pPr>
        <w:rPr>
          <w:lang w:val="en-US"/>
        </w:rPr>
      </w:pPr>
      <w:r>
        <w:rPr>
          <w:lang w:val="en-US"/>
        </w:rPr>
        <w:t>Student sustains or improves academic performance *</w:t>
      </w:r>
    </w:p>
    <w:p w:rsidR="004D62ED" w:rsidRPr="004D62ED" w:rsidRDefault="004D62ED" w:rsidP="007E35D1">
      <w:pPr>
        <w:outlineLvl w:val="1"/>
        <w:rPr>
          <w:u w:val="single"/>
          <w:lang w:val="en-US"/>
        </w:rPr>
      </w:pPr>
      <w:r w:rsidRPr="004D62ED">
        <w:rPr>
          <w:u w:val="single"/>
          <w:lang w:val="en-US"/>
        </w:rPr>
        <w:t>Program outputs</w:t>
      </w:r>
    </w:p>
    <w:p w:rsidR="004D62ED" w:rsidRDefault="004D62ED" w:rsidP="004D62ED">
      <w:pPr>
        <w:rPr>
          <w:lang w:val="en-US"/>
        </w:rPr>
      </w:pPr>
      <w:r>
        <w:rPr>
          <w:lang w:val="en-US"/>
        </w:rPr>
        <w:lastRenderedPageBreak/>
        <w:t>Students undertake a paid 60-day work placement each year *</w:t>
      </w:r>
    </w:p>
    <w:p w:rsidR="004D62ED" w:rsidRDefault="004D62ED" w:rsidP="004D62ED">
      <w:pPr>
        <w:rPr>
          <w:lang w:val="en-US"/>
        </w:rPr>
      </w:pPr>
      <w:r>
        <w:rPr>
          <w:lang w:val="en-US"/>
        </w:rPr>
        <w:t>Plus</w:t>
      </w:r>
    </w:p>
    <w:p w:rsidR="004D62ED" w:rsidRDefault="004D62ED" w:rsidP="004D62ED">
      <w:pPr>
        <w:rPr>
          <w:lang w:val="en-US"/>
        </w:rPr>
      </w:pPr>
      <w:r>
        <w:rPr>
          <w:lang w:val="en-US"/>
        </w:rPr>
        <w:t>$12,000 cadetship study allowance paid fortnightly</w:t>
      </w:r>
    </w:p>
    <w:p w:rsidR="004D62ED" w:rsidRDefault="004D62ED" w:rsidP="004D62ED">
      <w:pPr>
        <w:rPr>
          <w:lang w:val="en-US"/>
        </w:rPr>
      </w:pPr>
      <w:r>
        <w:rPr>
          <w:lang w:val="en-US"/>
        </w:rPr>
        <w:t>Plus</w:t>
      </w:r>
    </w:p>
    <w:p w:rsidR="004D62ED" w:rsidRDefault="004D62ED" w:rsidP="004D62ED">
      <w:pPr>
        <w:rPr>
          <w:lang w:val="en-US"/>
        </w:rPr>
      </w:pPr>
      <w:r>
        <w:rPr>
          <w:lang w:val="en-US"/>
        </w:rPr>
        <w:t>$1,000 book and equipment allowance at the beginning of each semester</w:t>
      </w:r>
    </w:p>
    <w:p w:rsidR="004D62ED" w:rsidRPr="004D62ED" w:rsidRDefault="004D62ED" w:rsidP="007E35D1">
      <w:pPr>
        <w:outlineLvl w:val="1"/>
        <w:rPr>
          <w:u w:val="single"/>
          <w:lang w:val="en-US"/>
        </w:rPr>
      </w:pPr>
      <w:r w:rsidRPr="004D62ED">
        <w:rPr>
          <w:u w:val="single"/>
          <w:lang w:val="en-US"/>
        </w:rPr>
        <w:t>Activities</w:t>
      </w:r>
    </w:p>
    <w:p w:rsidR="004D62ED" w:rsidRDefault="004D62ED" w:rsidP="004D62ED">
      <w:pPr>
        <w:rPr>
          <w:lang w:val="en-US"/>
        </w:rPr>
      </w:pPr>
      <w:r>
        <w:rPr>
          <w:lang w:val="en-US"/>
        </w:rPr>
        <w:t>Employers and/or third party providers (sponsors) apply for TAEG Cadetships funding</w:t>
      </w:r>
    </w:p>
    <w:p w:rsidR="004D62ED" w:rsidRDefault="004D62ED" w:rsidP="004D62ED">
      <w:pPr>
        <w:rPr>
          <w:lang w:val="en-US"/>
        </w:rPr>
      </w:pPr>
      <w:r>
        <w:rPr>
          <w:lang w:val="en-US"/>
        </w:rPr>
        <w:t>Employers and/or third party providers negotiate contract with NIAA and receive funds.</w:t>
      </w:r>
    </w:p>
    <w:p w:rsidR="004D62ED" w:rsidRDefault="004D62ED" w:rsidP="004D62ED">
      <w:pPr>
        <w:rPr>
          <w:lang w:val="en-US"/>
        </w:rPr>
      </w:pPr>
      <w:r>
        <w:rPr>
          <w:lang w:val="en-US"/>
        </w:rPr>
        <w:t>Employers advertise cadetships (Third-party providers recruit eligible students and broker relations with employers.</w:t>
      </w:r>
    </w:p>
    <w:p w:rsidR="004D62ED" w:rsidRDefault="004D62ED" w:rsidP="004D62ED">
      <w:pPr>
        <w:rPr>
          <w:lang w:val="en-US"/>
        </w:rPr>
      </w:pPr>
    </w:p>
    <w:p w:rsidR="004D62ED" w:rsidRPr="004D62ED" w:rsidRDefault="004D62ED" w:rsidP="004D62ED">
      <w:pPr>
        <w:rPr>
          <w:lang w:val="en-US"/>
        </w:rPr>
      </w:pPr>
      <w:r>
        <w:rPr>
          <w:lang w:val="en-US"/>
        </w:rPr>
        <w:t xml:space="preserve">*  </w:t>
      </w:r>
      <w:r w:rsidRPr="005D1C5A">
        <w:rPr>
          <w:i/>
          <w:lang w:val="en-US"/>
        </w:rPr>
        <w:t>Denotes priority outcome (for measurement)</w:t>
      </w:r>
    </w:p>
    <w:p w:rsidR="00E26E5D" w:rsidRDefault="00E26E5D" w:rsidP="003A0B2F">
      <w:pPr>
        <w:rPr>
          <w:lang w:val="en-US"/>
        </w:rPr>
      </w:pPr>
    </w:p>
    <w:p w:rsidR="003A0B2F" w:rsidRPr="003A0B2F" w:rsidRDefault="003A0B2F" w:rsidP="003A0B2F"/>
    <w:sectPr w:rsidR="003A0B2F" w:rsidRPr="003A0B2F" w:rsidSect="005D1C5A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CA" w:rsidRDefault="001726CA" w:rsidP="007E35D1">
      <w:pPr>
        <w:spacing w:after="0" w:line="240" w:lineRule="auto"/>
      </w:pPr>
      <w:r>
        <w:separator/>
      </w:r>
    </w:p>
  </w:endnote>
  <w:endnote w:type="continuationSeparator" w:id="0">
    <w:p w:rsidR="001726CA" w:rsidRDefault="001726CA" w:rsidP="007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CA" w:rsidRDefault="001726CA" w:rsidP="007E35D1">
      <w:pPr>
        <w:spacing w:after="0" w:line="240" w:lineRule="auto"/>
      </w:pPr>
      <w:r>
        <w:separator/>
      </w:r>
    </w:p>
  </w:footnote>
  <w:footnote w:type="continuationSeparator" w:id="0">
    <w:p w:rsidR="001726CA" w:rsidRDefault="001726CA" w:rsidP="007E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60C4"/>
    <w:multiLevelType w:val="hybridMultilevel"/>
    <w:tmpl w:val="B6149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77643"/>
    <w:multiLevelType w:val="hybridMultilevel"/>
    <w:tmpl w:val="7FFC7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34A9"/>
    <w:multiLevelType w:val="hybridMultilevel"/>
    <w:tmpl w:val="CB644520"/>
    <w:lvl w:ilvl="0" w:tplc="449A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6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87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1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AB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A8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4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40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83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D07D3E"/>
    <w:multiLevelType w:val="hybridMultilevel"/>
    <w:tmpl w:val="003C5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2F"/>
    <w:rsid w:val="00052ADA"/>
    <w:rsid w:val="001726CA"/>
    <w:rsid w:val="003A0B2F"/>
    <w:rsid w:val="003B6C66"/>
    <w:rsid w:val="004D62ED"/>
    <w:rsid w:val="005D1C5A"/>
    <w:rsid w:val="005E0CF0"/>
    <w:rsid w:val="00603D3F"/>
    <w:rsid w:val="007E35D1"/>
    <w:rsid w:val="00E14892"/>
    <w:rsid w:val="00E2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C0F5C-A152-41F7-AF75-D3EEB12E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5D1"/>
    <w:pPr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0B2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6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E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D1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E3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5D1"/>
  </w:style>
  <w:style w:type="paragraph" w:styleId="Footer">
    <w:name w:val="footer"/>
    <w:basedOn w:val="Normal"/>
    <w:link w:val="FooterChar"/>
    <w:uiPriority w:val="99"/>
    <w:unhideWhenUsed/>
    <w:rsid w:val="007E3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D1"/>
  </w:style>
  <w:style w:type="character" w:customStyle="1" w:styleId="Heading2Char">
    <w:name w:val="Heading 2 Char"/>
    <w:basedOn w:val="DefaultParagraphFont"/>
    <w:link w:val="Heading2"/>
    <w:uiPriority w:val="9"/>
    <w:rsid w:val="007E35D1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9ff21f62-3bfa-416f-adb9-cec088b46925" xsi:nil="true"/>
    <d52d0373f33d45c0b975bd31fe1f972b xmlns="9ff21f62-3bfa-416f-adb9-cec088b46925">
      <Terms xmlns="http://schemas.microsoft.com/office/infopath/2007/PartnerControls"/>
    </d52d0373f33d45c0b975bd31fe1f972b>
    <mc5611b894cf49d8aeeb8ebf39dc09bc xmlns="9ff21f62-3bfa-416f-adb9-cec088b469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TaxCatchAll xmlns="9ff21f62-3bfa-416f-adb9-cec088b46925"/>
    <jd1c641577414dfdab1686c9d5d0dbd0 xmlns="9ff21f62-3bfa-416f-adb9-cec088b46925">
      <Terms xmlns="http://schemas.microsoft.com/office/infopath/2007/PartnerControls"/>
    </jd1c641577414dfdab1686c9d5d0dbd0>
    <NonRecordJustification xmlns="685f9fda-bd71-4433-b331-92feb9553089">None</NonRecordJustification>
    <PMCNotes xmlns="9ff21f62-3bfa-416f-adb9-cec088b469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F36F0EC1BC2E2B4D9697C010DEDFC429" ma:contentTypeVersion="7" ma:contentTypeDescription="ShareHub Document" ma:contentTypeScope="" ma:versionID="c68b3497932645a9a445293d4f46aa4f">
  <xsd:schema xmlns:xsd="http://www.w3.org/2001/XMLSchema" xmlns:xs="http://www.w3.org/2001/XMLSchema" xmlns:p="http://schemas.microsoft.com/office/2006/metadata/properties" xmlns:ns2="9ff21f62-3bfa-416f-adb9-cec088b46925" xmlns:ns3="685f9fda-bd71-4433-b331-92feb9553089" targetNamespace="http://schemas.microsoft.com/office/2006/metadata/properties" ma:root="true" ma:fieldsID="dd1dda4ea71fd30cb4385022882f703b" ns2:_="" ns3:_="">
    <xsd:import namespace="9ff21f62-3bfa-416f-adb9-cec088b4692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 minOccurs="0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PMCNotes" minOccurs="0"/>
                <xsd:element ref="ns2:ShareHubID" minOccurs="0"/>
                <xsd:element ref="ns2:SharedWithUsers" minOccurs="0"/>
                <xsd:element ref="ns2:d52d0373f33d45c0b975bd31fe1f97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1f62-3bfa-416f-adb9-cec088b46925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Classification" ma:default="26;#OFFICIAL|11463c70-78df-4e3b-b0ff-f66cd3cb26ec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a05c4fc-a3e0-46df-88b6-e1886d8fd8cf}" ma:internalName="TaxCatchAll" ma:showField="CatchAllData" ma:web="9ff21f62-3bfa-416f-adb9-cec088b46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a05c4fc-a3e0-46df-88b6-e1886d8fd8cf}" ma:internalName="TaxCatchAllLabel" ma:readOnly="true" ma:showField="CatchAllDataLabel" ma:web="9ff21f62-3bfa-416f-adb9-cec088b46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52d0373f33d45c0b975bd31fe1f972b" ma:index="18" nillable="true" ma:taxonomy="true" ma:internalName="d52d0373f33d45c0b975bd31fe1f972b" ma:taxonomyFieldName="ESearchTags" ma:displayName="Tags" ma:fieldId="{d52d0373-f33d-45c0-b975-bd31fe1f972b}" ma:taxonomyMulti="true" ma:sspId="a560683c-39f7-40cc-81e5-5b545283d6d6" ma:termSetId="9180df41-f70c-418d-8757-45bd3340d27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9B49C-D1CA-46ED-892A-2C0D3218B204}">
  <ds:schemaRefs>
    <ds:schemaRef ds:uri="http://schemas.microsoft.com/office/2006/metadata/properties"/>
    <ds:schemaRef ds:uri="http://schemas.microsoft.com/office/infopath/2007/PartnerControls"/>
    <ds:schemaRef ds:uri="9ff21f62-3bfa-416f-adb9-cec088b46925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FAD00620-9DAE-4589-8D64-B16C62EB0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3F60B-A368-404D-AA8A-30527526C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21f62-3bfa-416f-adb9-cec088b46925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E - Tailored Assistance Employment Grants Program Logic</dc:title>
  <dc:subject/>
  <dc:creator>Lipapis, Anastasia;National Indigenous Australians Agency</dc:creator>
  <cp:keywords/>
  <dc:description/>
  <cp:lastModifiedBy>Lipapis, Anastasia</cp:lastModifiedBy>
  <cp:revision>3</cp:revision>
  <cp:lastPrinted>2020-12-06T23:51:00Z</cp:lastPrinted>
  <dcterms:created xsi:type="dcterms:W3CDTF">2020-12-07T06:11:00Z</dcterms:created>
  <dcterms:modified xsi:type="dcterms:W3CDTF">2020-12-07T06:19:00Z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0x0101002825A64A6E1845A99A9D8EE8A5686ECB00F36F0EC1BC2E2B4D9697C010DEDFC429</vt:lpwstr>
  </property>
</Properties>
</file>