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22D58" w14:textId="4C390748" w:rsidR="0082602A" w:rsidRPr="00D349C8" w:rsidRDefault="00897B01" w:rsidP="00AD0935">
      <w:pPr>
        <w:pBdr>
          <w:bottom w:val="single" w:sz="4" w:space="1" w:color="auto"/>
        </w:pBdr>
        <w:spacing w:after="0"/>
        <w:jc w:val="center"/>
        <w:outlineLvl w:val="0"/>
        <w:rPr>
          <w:rFonts w:cstheme="minorHAnsi"/>
          <w:b/>
          <w:color w:val="2F5496" w:themeColor="accent5" w:themeShade="BF"/>
          <w:sz w:val="32"/>
          <w:szCs w:val="32"/>
        </w:rPr>
      </w:pPr>
      <w:r w:rsidRPr="00D349C8">
        <w:rPr>
          <w:b/>
          <w:color w:val="2F5496" w:themeColor="accent5" w:themeShade="BF"/>
          <w:sz w:val="32"/>
          <w:szCs w:val="32"/>
        </w:rPr>
        <w:t>Away from Base</w:t>
      </w:r>
      <w:r w:rsidR="0082602A" w:rsidRPr="00D349C8">
        <w:rPr>
          <w:b/>
          <w:color w:val="2F5496" w:themeColor="accent5" w:themeShade="BF"/>
          <w:sz w:val="32"/>
          <w:szCs w:val="32"/>
        </w:rPr>
        <w:t xml:space="preserve"> </w:t>
      </w:r>
      <w:r w:rsidR="00BA3E64" w:rsidRPr="00D349C8">
        <w:rPr>
          <w:rFonts w:cstheme="minorHAnsi"/>
          <w:b/>
          <w:color w:val="2F5496" w:themeColor="accent5" w:themeShade="BF"/>
          <w:sz w:val="32"/>
          <w:szCs w:val="32"/>
        </w:rPr>
        <w:t>Futures</w:t>
      </w:r>
      <w:r w:rsidR="00AD0935">
        <w:rPr>
          <w:rFonts w:cstheme="minorHAnsi"/>
          <w:b/>
          <w:color w:val="2F5496" w:themeColor="accent5" w:themeShade="BF"/>
          <w:sz w:val="32"/>
          <w:szCs w:val="32"/>
        </w:rPr>
        <w:br/>
        <w:t>Discussion Paper</w:t>
      </w:r>
    </w:p>
    <w:p w14:paraId="27D9961E" w14:textId="140D61AA" w:rsidR="000B2CE6" w:rsidRPr="00120370" w:rsidRDefault="004F2F63" w:rsidP="00897B01">
      <w:pPr>
        <w:jc w:val="right"/>
        <w:rPr>
          <w:rFonts w:cstheme="minorHAnsi"/>
          <w:b/>
          <w:color w:val="2F5496" w:themeColor="accent5" w:themeShade="BF"/>
        </w:rPr>
      </w:pPr>
      <w:r>
        <w:rPr>
          <w:rFonts w:cstheme="minorHAnsi"/>
          <w:b/>
          <w:color w:val="2F5496" w:themeColor="accent5" w:themeShade="BF"/>
        </w:rPr>
        <w:t>Octo</w:t>
      </w:r>
      <w:r w:rsidR="009C4C4E" w:rsidRPr="00120370">
        <w:rPr>
          <w:rFonts w:cstheme="minorHAnsi"/>
          <w:b/>
          <w:color w:val="2F5496" w:themeColor="accent5" w:themeShade="BF"/>
        </w:rPr>
        <w:t xml:space="preserve">ber </w:t>
      </w:r>
      <w:r w:rsidR="000B2CE6" w:rsidRPr="00120370">
        <w:rPr>
          <w:rFonts w:cstheme="minorHAnsi"/>
          <w:b/>
          <w:color w:val="2F5496" w:themeColor="accent5" w:themeShade="BF"/>
        </w:rPr>
        <w:t>2018</w:t>
      </w:r>
    </w:p>
    <w:p w14:paraId="6160D3E3" w14:textId="77777777" w:rsidR="00820E91" w:rsidRDefault="000B2CE6" w:rsidP="000B2CE6">
      <w:pPr>
        <w:rPr>
          <w:i/>
        </w:rPr>
      </w:pPr>
      <w:r w:rsidRPr="00E817D1">
        <w:rPr>
          <w:i/>
        </w:rPr>
        <w:t>A joint initiative of the Department of the Prime Minister and Cabinet, the Department of Social Services and t</w:t>
      </w:r>
      <w:r w:rsidR="00FD250D">
        <w:rPr>
          <w:i/>
        </w:rPr>
        <w:t>he Department of Human Services</w:t>
      </w:r>
    </w:p>
    <w:p w14:paraId="5AADA73F" w14:textId="77777777" w:rsidR="00820E91" w:rsidRPr="00AD0935" w:rsidRDefault="00820E91" w:rsidP="00AD0935">
      <w:pPr>
        <w:pStyle w:val="h2"/>
      </w:pPr>
      <w:r w:rsidRPr="00AD0935">
        <w:t>Purpose</w:t>
      </w:r>
    </w:p>
    <w:p w14:paraId="52F5F86C" w14:textId="0711F430" w:rsidR="000F51A9" w:rsidRPr="00E817D1" w:rsidRDefault="00820E91" w:rsidP="00820E91">
      <w:pPr>
        <w:tabs>
          <w:tab w:val="num" w:pos="720"/>
        </w:tabs>
        <w:spacing w:after="120"/>
        <w:rPr>
          <w:rFonts w:cstheme="minorHAnsi"/>
        </w:rPr>
      </w:pPr>
      <w:r w:rsidRPr="00E817D1">
        <w:rPr>
          <w:rFonts w:cstheme="minorHAnsi"/>
        </w:rPr>
        <w:t xml:space="preserve">The Commonwealth Government offers supplementary support for Aboriginal and Torres Strait Islander students </w:t>
      </w:r>
      <w:r w:rsidR="008044D9">
        <w:rPr>
          <w:rFonts w:cstheme="minorHAnsi"/>
        </w:rPr>
        <w:t>who</w:t>
      </w:r>
      <w:r w:rsidRPr="00E817D1">
        <w:rPr>
          <w:rFonts w:cstheme="minorHAnsi"/>
        </w:rPr>
        <w:t xml:space="preserve"> learn by distance through one of two Away from Base</w:t>
      </w:r>
      <w:r w:rsidR="0067103B">
        <w:rPr>
          <w:rFonts w:cstheme="minorHAnsi"/>
        </w:rPr>
        <w:t xml:space="preserve"> (AFB)</w:t>
      </w:r>
      <w:r w:rsidRPr="00E817D1">
        <w:rPr>
          <w:rFonts w:cstheme="minorHAnsi"/>
        </w:rPr>
        <w:t xml:space="preserve"> programs. </w:t>
      </w:r>
      <w:r w:rsidR="0067103B">
        <w:rPr>
          <w:rFonts w:cstheme="minorHAnsi"/>
        </w:rPr>
        <w:t>AFB</w:t>
      </w:r>
      <w:r w:rsidR="000F51A9" w:rsidRPr="00E817D1">
        <w:rPr>
          <w:rFonts w:cstheme="minorHAnsi"/>
        </w:rPr>
        <w:t xml:space="preserve"> funding assists </w:t>
      </w:r>
      <w:r w:rsidRPr="00E817D1">
        <w:rPr>
          <w:rFonts w:cstheme="minorHAnsi"/>
        </w:rPr>
        <w:t>eligible</w:t>
      </w:r>
      <w:r w:rsidR="000F51A9" w:rsidRPr="00E817D1">
        <w:rPr>
          <w:rFonts w:cstheme="minorHAnsi"/>
        </w:rPr>
        <w:t xml:space="preserve"> students to </w:t>
      </w:r>
      <w:r w:rsidR="00897B01" w:rsidRPr="00E817D1">
        <w:rPr>
          <w:rFonts w:cstheme="minorHAnsi"/>
        </w:rPr>
        <w:t xml:space="preserve">travel </w:t>
      </w:r>
      <w:r w:rsidR="000402A3">
        <w:rPr>
          <w:rFonts w:cstheme="minorHAnsi"/>
        </w:rPr>
        <w:t>to</w:t>
      </w:r>
      <w:r w:rsidR="004F2F63">
        <w:rPr>
          <w:rFonts w:cstheme="minorHAnsi"/>
        </w:rPr>
        <w:t>,</w:t>
      </w:r>
      <w:r w:rsidR="000402A3">
        <w:rPr>
          <w:rFonts w:cstheme="minorHAnsi"/>
        </w:rPr>
        <w:t xml:space="preserve"> and</w:t>
      </w:r>
      <w:r w:rsidR="00897B01" w:rsidRPr="00E817D1">
        <w:rPr>
          <w:rFonts w:cstheme="minorHAnsi"/>
        </w:rPr>
        <w:t xml:space="preserve"> stay</w:t>
      </w:r>
      <w:r w:rsidR="004F2F63">
        <w:rPr>
          <w:rFonts w:cstheme="minorHAnsi"/>
        </w:rPr>
        <w:t>,</w:t>
      </w:r>
      <w:r w:rsidR="00897B01" w:rsidRPr="00E817D1">
        <w:rPr>
          <w:rFonts w:cstheme="minorHAnsi"/>
        </w:rPr>
        <w:t xml:space="preserve"> at</w:t>
      </w:r>
      <w:r w:rsidR="000F51A9" w:rsidRPr="00E817D1">
        <w:rPr>
          <w:rFonts w:cstheme="minorHAnsi"/>
        </w:rPr>
        <w:t xml:space="preserve"> an education or training</w:t>
      </w:r>
      <w:r w:rsidRPr="00E817D1">
        <w:rPr>
          <w:rFonts w:cstheme="minorHAnsi"/>
        </w:rPr>
        <w:t xml:space="preserve"> institution for blocks of face</w:t>
      </w:r>
      <w:r w:rsidRPr="00E817D1">
        <w:rPr>
          <w:rFonts w:cstheme="minorHAnsi"/>
        </w:rPr>
        <w:noBreakHyphen/>
      </w:r>
      <w:r w:rsidR="000F51A9" w:rsidRPr="00E817D1">
        <w:rPr>
          <w:rFonts w:cstheme="minorHAnsi"/>
        </w:rPr>
        <w:t>to-face st</w:t>
      </w:r>
      <w:r w:rsidR="009C2FFF">
        <w:rPr>
          <w:rFonts w:cstheme="minorHAnsi"/>
        </w:rPr>
        <w:t>udy and assessment or when they are</w:t>
      </w:r>
      <w:r w:rsidR="000F51A9" w:rsidRPr="00E817D1">
        <w:rPr>
          <w:rFonts w:cstheme="minorHAnsi"/>
        </w:rPr>
        <w:t xml:space="preserve"> required to participa</w:t>
      </w:r>
      <w:r w:rsidR="004F2F63">
        <w:rPr>
          <w:rFonts w:cstheme="minorHAnsi"/>
        </w:rPr>
        <w:t>te in placements or field trips. B</w:t>
      </w:r>
      <w:r w:rsidR="008044D9">
        <w:rPr>
          <w:rFonts w:cstheme="minorHAnsi"/>
        </w:rPr>
        <w:t xml:space="preserve">oth programs generally </w:t>
      </w:r>
      <w:r w:rsidR="000F51A9" w:rsidRPr="00E817D1">
        <w:rPr>
          <w:rFonts w:cstheme="minorHAnsi"/>
        </w:rPr>
        <w:t>assist with the costs of:</w:t>
      </w:r>
    </w:p>
    <w:p w14:paraId="41482D96" w14:textId="4A745697" w:rsidR="000F51A9" w:rsidRPr="00E817D1" w:rsidRDefault="006418DE" w:rsidP="00DC292B">
      <w:pPr>
        <w:numPr>
          <w:ilvl w:val="0"/>
          <w:numId w:val="8"/>
        </w:numPr>
        <w:spacing w:after="0"/>
        <w:rPr>
          <w:rFonts w:cstheme="minorHAnsi"/>
        </w:rPr>
      </w:pPr>
      <w:r>
        <w:rPr>
          <w:rFonts w:cstheme="minorHAnsi"/>
        </w:rPr>
        <w:t>t</w:t>
      </w:r>
      <w:r w:rsidR="000F51A9" w:rsidRPr="00E817D1">
        <w:rPr>
          <w:rFonts w:cstheme="minorHAnsi"/>
        </w:rPr>
        <w:t>ravel</w:t>
      </w:r>
      <w:r>
        <w:rPr>
          <w:rFonts w:cstheme="minorHAnsi"/>
        </w:rPr>
        <w:t>;</w:t>
      </w:r>
    </w:p>
    <w:p w14:paraId="0909B1FB" w14:textId="1320A30A" w:rsidR="000F51A9" w:rsidRPr="00E817D1" w:rsidRDefault="006418DE" w:rsidP="00DC292B">
      <w:pPr>
        <w:numPr>
          <w:ilvl w:val="0"/>
          <w:numId w:val="8"/>
        </w:numPr>
        <w:spacing w:after="0"/>
        <w:rPr>
          <w:rFonts w:cstheme="minorHAnsi"/>
        </w:rPr>
      </w:pPr>
      <w:r>
        <w:rPr>
          <w:rFonts w:cstheme="minorHAnsi"/>
        </w:rPr>
        <w:t>a</w:t>
      </w:r>
      <w:r w:rsidR="000F51A9" w:rsidRPr="00E817D1">
        <w:rPr>
          <w:rFonts w:cstheme="minorHAnsi"/>
        </w:rPr>
        <w:t>ccommodation</w:t>
      </w:r>
      <w:r>
        <w:rPr>
          <w:rFonts w:cstheme="minorHAnsi"/>
        </w:rPr>
        <w:t>; and</w:t>
      </w:r>
    </w:p>
    <w:p w14:paraId="53FD9F88" w14:textId="5A3CAE7E" w:rsidR="000F51A9" w:rsidRPr="00E817D1" w:rsidRDefault="00820E91" w:rsidP="00DC292B">
      <w:pPr>
        <w:numPr>
          <w:ilvl w:val="0"/>
          <w:numId w:val="8"/>
        </w:numPr>
        <w:spacing w:after="120"/>
        <w:rPr>
          <w:rFonts w:cstheme="minorHAnsi"/>
        </w:rPr>
      </w:pPr>
      <w:r w:rsidRPr="00E817D1">
        <w:rPr>
          <w:rFonts w:cstheme="minorHAnsi"/>
        </w:rPr>
        <w:t>m</w:t>
      </w:r>
      <w:r w:rsidR="00546C1E">
        <w:rPr>
          <w:rFonts w:cstheme="minorHAnsi"/>
        </w:rPr>
        <w:t>eals</w:t>
      </w:r>
      <w:r w:rsidR="006418DE">
        <w:rPr>
          <w:rFonts w:cstheme="minorHAnsi"/>
        </w:rPr>
        <w:t>.</w:t>
      </w:r>
    </w:p>
    <w:p w14:paraId="43DE0AD5" w14:textId="5EE273E1" w:rsidR="008044D9" w:rsidRDefault="00AE1F66" w:rsidP="00820E91">
      <w:pPr>
        <w:rPr>
          <w:rFonts w:cstheme="minorHAnsi"/>
        </w:rPr>
      </w:pPr>
      <w:r>
        <w:t xml:space="preserve">One of the </w:t>
      </w:r>
      <w:r w:rsidR="004F2F63">
        <w:t>AFB</w:t>
      </w:r>
      <w:r>
        <w:t xml:space="preserve"> program</w:t>
      </w:r>
      <w:r w:rsidR="00267066">
        <w:t>s</w:t>
      </w:r>
      <w:r w:rsidR="008044D9">
        <w:t xml:space="preserve"> also assists </w:t>
      </w:r>
      <w:r w:rsidR="004F2F63">
        <w:rPr>
          <w:rFonts w:cstheme="minorHAnsi"/>
        </w:rPr>
        <w:t xml:space="preserve">higher education, training </w:t>
      </w:r>
      <w:r>
        <w:rPr>
          <w:rFonts w:cstheme="minorHAnsi"/>
        </w:rPr>
        <w:t>providers and students with pre</w:t>
      </w:r>
      <w:r>
        <w:rPr>
          <w:rFonts w:cstheme="minorHAnsi"/>
        </w:rPr>
        <w:noBreakHyphen/>
      </w:r>
      <w:r w:rsidR="004F2F63">
        <w:rPr>
          <w:rFonts w:cstheme="minorHAnsi"/>
        </w:rPr>
        <w:t>enrolment testing and assessment</w:t>
      </w:r>
      <w:r w:rsidR="004F2F63">
        <w:t xml:space="preserve"> as well as helping students with </w:t>
      </w:r>
      <w:r w:rsidR="008044D9">
        <w:t>other costs of living where a regular source of income is lost as a result of attending the course activity.</w:t>
      </w:r>
    </w:p>
    <w:p w14:paraId="385272D5" w14:textId="77777777" w:rsidR="00D4650A" w:rsidRDefault="00D4650A" w:rsidP="00D4650A">
      <w:pPr>
        <w:rPr>
          <w:szCs w:val="24"/>
        </w:rPr>
      </w:pPr>
      <w:r w:rsidRPr="00E817D1">
        <w:rPr>
          <w:rFonts w:cstheme="minorHAnsi"/>
        </w:rPr>
        <w:t xml:space="preserve">The purpose of this paper is to </w:t>
      </w:r>
      <w:r w:rsidR="00354599">
        <w:rPr>
          <w:rFonts w:cstheme="minorHAnsi"/>
        </w:rPr>
        <w:t>gather</w:t>
      </w:r>
      <w:r w:rsidR="00354599" w:rsidRPr="00E817D1">
        <w:rPr>
          <w:rFonts w:cstheme="minorHAnsi"/>
        </w:rPr>
        <w:t xml:space="preserve"> </w:t>
      </w:r>
      <w:r w:rsidRPr="00E817D1">
        <w:rPr>
          <w:rFonts w:cstheme="minorHAnsi"/>
        </w:rPr>
        <w:t xml:space="preserve">feedback on </w:t>
      </w:r>
      <w:r w:rsidR="00354599">
        <w:rPr>
          <w:rFonts w:cstheme="minorHAnsi"/>
        </w:rPr>
        <w:t>current</w:t>
      </w:r>
      <w:r w:rsidRPr="00E817D1">
        <w:rPr>
          <w:rFonts w:cstheme="minorHAnsi"/>
        </w:rPr>
        <w:t xml:space="preserve"> </w:t>
      </w:r>
      <w:r w:rsidR="00663650">
        <w:rPr>
          <w:rFonts w:cstheme="minorHAnsi"/>
        </w:rPr>
        <w:t>AFB</w:t>
      </w:r>
      <w:r w:rsidRPr="00E817D1">
        <w:rPr>
          <w:rFonts w:cstheme="minorHAnsi"/>
        </w:rPr>
        <w:t xml:space="preserve"> support and</w:t>
      </w:r>
      <w:r w:rsidR="00354599">
        <w:rPr>
          <w:rFonts w:cstheme="minorHAnsi"/>
        </w:rPr>
        <w:t xml:space="preserve"> views on</w:t>
      </w:r>
      <w:r w:rsidRPr="00E817D1">
        <w:rPr>
          <w:rFonts w:cstheme="minorHAnsi"/>
        </w:rPr>
        <w:t xml:space="preserve"> how arrangements might be improved in the future. </w:t>
      </w:r>
      <w:r w:rsidR="009357A0">
        <w:rPr>
          <w:rFonts w:cstheme="minorHAnsi"/>
        </w:rPr>
        <w:t xml:space="preserve">The </w:t>
      </w:r>
      <w:r w:rsidR="005A167F">
        <w:rPr>
          <w:szCs w:val="24"/>
        </w:rPr>
        <w:t xml:space="preserve">Government wishes to ensure that existing resources allocated to </w:t>
      </w:r>
      <w:r w:rsidR="00663650">
        <w:rPr>
          <w:szCs w:val="24"/>
        </w:rPr>
        <w:t>AFB</w:t>
      </w:r>
      <w:r w:rsidR="005A167F">
        <w:rPr>
          <w:szCs w:val="24"/>
        </w:rPr>
        <w:t xml:space="preserve"> are being used efficiently, effectively and appropriately</w:t>
      </w:r>
      <w:r w:rsidR="00354599">
        <w:rPr>
          <w:szCs w:val="24"/>
        </w:rPr>
        <w:t xml:space="preserve"> and are leading to improved outcomes for Aboriginal and Torres Strait Islander students</w:t>
      </w:r>
      <w:r>
        <w:rPr>
          <w:szCs w:val="24"/>
        </w:rPr>
        <w:t>.</w:t>
      </w:r>
    </w:p>
    <w:p w14:paraId="4E0C2CF8" w14:textId="77777777" w:rsidR="005A167F" w:rsidRPr="00120370" w:rsidRDefault="005A167F" w:rsidP="00AD0935">
      <w:pPr>
        <w:pStyle w:val="h2"/>
        <w:ind w:left="431" w:hanging="431"/>
      </w:pPr>
      <w:r w:rsidRPr="00120370">
        <w:t>Context</w:t>
      </w:r>
    </w:p>
    <w:p w14:paraId="7B2CF0D5" w14:textId="17BA0168" w:rsidR="000D7A61" w:rsidRDefault="00D741D7" w:rsidP="003A24E0">
      <w:pPr>
        <w:rPr>
          <w:rFonts w:cstheme="minorHAnsi"/>
        </w:rPr>
      </w:pPr>
      <w:r>
        <w:rPr>
          <w:rFonts w:cstheme="minorHAnsi"/>
        </w:rPr>
        <w:t xml:space="preserve">Australian students can access VET student loans, the Higher Education Loans Program and other forms of assistance to reduce the up-front costs of study. </w:t>
      </w:r>
      <w:r w:rsidR="000D7A61">
        <w:rPr>
          <w:rFonts w:cstheme="minorHAnsi"/>
        </w:rPr>
        <w:t xml:space="preserve">Many students may </w:t>
      </w:r>
      <w:r w:rsidR="00CA2A64">
        <w:rPr>
          <w:rFonts w:cstheme="minorHAnsi"/>
        </w:rPr>
        <w:t xml:space="preserve">also </w:t>
      </w:r>
      <w:r w:rsidR="000D7A61">
        <w:rPr>
          <w:rFonts w:cstheme="minorHAnsi"/>
        </w:rPr>
        <w:t xml:space="preserve">be eligible for income support payments such as Youth Allowance, Austudy or ABSTUDY Living Allowance provided they meet the eligibility criteria including studying full-time. </w:t>
      </w:r>
      <w:r w:rsidR="00CA2A64">
        <w:rPr>
          <w:rFonts w:cstheme="minorHAnsi"/>
        </w:rPr>
        <w:t>In addition, s</w:t>
      </w:r>
      <w:r w:rsidR="000D7A61">
        <w:rPr>
          <w:rFonts w:cstheme="minorHAnsi"/>
        </w:rPr>
        <w:t>tudents may be eligible for other supplementary payments including Rent Assistance, Relocation Scholarships and Student Start-up Loans. This support is designed to cover ordinary living costs for students.</w:t>
      </w:r>
    </w:p>
    <w:p w14:paraId="44260CE5" w14:textId="53DE9E49" w:rsidR="0040380E" w:rsidRDefault="00D741D7" w:rsidP="003A24E0">
      <w:pPr>
        <w:rPr>
          <w:rFonts w:cstheme="minorHAnsi"/>
        </w:rPr>
      </w:pPr>
      <w:r>
        <w:rPr>
          <w:rFonts w:cstheme="minorHAnsi"/>
        </w:rPr>
        <w:t>S</w:t>
      </w:r>
      <w:r w:rsidR="0054090C">
        <w:rPr>
          <w:rFonts w:cstheme="minorHAnsi"/>
        </w:rPr>
        <w:t xml:space="preserve">tudents from </w:t>
      </w:r>
      <w:r w:rsidR="004225E5">
        <w:rPr>
          <w:rFonts w:cstheme="minorHAnsi"/>
        </w:rPr>
        <w:t>regional and remote</w:t>
      </w:r>
      <w:r w:rsidR="0054090C">
        <w:rPr>
          <w:rFonts w:cstheme="minorHAnsi"/>
        </w:rPr>
        <w:t xml:space="preserve"> areas </w:t>
      </w:r>
      <w:r>
        <w:rPr>
          <w:rFonts w:cstheme="minorHAnsi"/>
        </w:rPr>
        <w:t>often use</w:t>
      </w:r>
      <w:r w:rsidR="004225E5">
        <w:rPr>
          <w:rFonts w:cstheme="minorHAnsi"/>
        </w:rPr>
        <w:t xml:space="preserve"> </w:t>
      </w:r>
      <w:r w:rsidR="00A60E2D">
        <w:rPr>
          <w:rFonts w:cstheme="minorHAnsi"/>
        </w:rPr>
        <w:t>income support</w:t>
      </w:r>
      <w:r w:rsidR="0054090C" w:rsidDel="0054090C">
        <w:rPr>
          <w:rFonts w:cstheme="minorHAnsi"/>
        </w:rPr>
        <w:t xml:space="preserve"> </w:t>
      </w:r>
      <w:r w:rsidR="0054090C">
        <w:rPr>
          <w:rFonts w:cstheme="minorHAnsi"/>
        </w:rPr>
        <w:t>and phil</w:t>
      </w:r>
      <w:r w:rsidR="00DB6766">
        <w:rPr>
          <w:rFonts w:cstheme="minorHAnsi"/>
        </w:rPr>
        <w:t>anthropic and government</w:t>
      </w:r>
      <w:r w:rsidR="00DB6766">
        <w:rPr>
          <w:rFonts w:cstheme="minorHAnsi"/>
        </w:rPr>
        <w:noBreakHyphen/>
      </w:r>
      <w:r w:rsidR="0054090C">
        <w:rPr>
          <w:rFonts w:cstheme="minorHAnsi"/>
        </w:rPr>
        <w:t xml:space="preserve">funded </w:t>
      </w:r>
      <w:r w:rsidR="004225E5">
        <w:rPr>
          <w:rFonts w:cstheme="minorHAnsi"/>
        </w:rPr>
        <w:t>s</w:t>
      </w:r>
      <w:r w:rsidR="00D9079A">
        <w:rPr>
          <w:rFonts w:cstheme="minorHAnsi"/>
        </w:rPr>
        <w:t xml:space="preserve">cholarships </w:t>
      </w:r>
      <w:r w:rsidR="0054090C">
        <w:rPr>
          <w:rFonts w:cstheme="minorHAnsi"/>
        </w:rPr>
        <w:t xml:space="preserve">to </w:t>
      </w:r>
      <w:r>
        <w:rPr>
          <w:rFonts w:cstheme="minorHAnsi"/>
        </w:rPr>
        <w:t xml:space="preserve">assist them </w:t>
      </w:r>
      <w:r w:rsidR="0089274E">
        <w:rPr>
          <w:rFonts w:cstheme="minorHAnsi"/>
        </w:rPr>
        <w:t xml:space="preserve">to </w:t>
      </w:r>
      <w:r w:rsidR="0054090C">
        <w:rPr>
          <w:rFonts w:cstheme="minorHAnsi"/>
        </w:rPr>
        <w:t>move away from their home in order to undertake training or higher education studies in cities or larger regional centres.</w:t>
      </w:r>
    </w:p>
    <w:p w14:paraId="3B6D265A" w14:textId="5187A76B" w:rsidR="00D87C03" w:rsidRDefault="00884DC5" w:rsidP="0071175C">
      <w:pPr>
        <w:rPr>
          <w:rFonts w:cstheme="minorHAnsi"/>
        </w:rPr>
      </w:pPr>
      <w:r w:rsidRPr="00D741D7">
        <w:rPr>
          <w:rFonts w:cstheme="minorHAnsi"/>
        </w:rPr>
        <w:t>H</w:t>
      </w:r>
      <w:r w:rsidR="004225E5" w:rsidRPr="00D741D7">
        <w:rPr>
          <w:rFonts w:cstheme="minorHAnsi"/>
        </w:rPr>
        <w:t>owever</w:t>
      </w:r>
      <w:r w:rsidR="005F1871" w:rsidRPr="00D741D7">
        <w:rPr>
          <w:rFonts w:cstheme="minorHAnsi"/>
        </w:rPr>
        <w:t>,</w:t>
      </w:r>
      <w:r w:rsidR="00DF1DAE" w:rsidRPr="00D741D7">
        <w:rPr>
          <w:rFonts w:cstheme="minorHAnsi"/>
        </w:rPr>
        <w:t xml:space="preserve"> </w:t>
      </w:r>
      <w:r w:rsidR="00F64B32" w:rsidRPr="00D741D7">
        <w:rPr>
          <w:rFonts w:cstheme="minorHAnsi"/>
        </w:rPr>
        <w:t xml:space="preserve">not all </w:t>
      </w:r>
      <w:r w:rsidR="00DF1DAE" w:rsidRPr="00D741D7">
        <w:rPr>
          <w:rFonts w:cstheme="minorHAnsi"/>
        </w:rPr>
        <w:t>Aboriginal and Torres Strait Islander students</w:t>
      </w:r>
      <w:r w:rsidR="00F64B32" w:rsidRPr="00D741D7">
        <w:rPr>
          <w:rFonts w:cstheme="minorHAnsi"/>
        </w:rPr>
        <w:t xml:space="preserve"> are able to leave their homes to study </w:t>
      </w:r>
      <w:r w:rsidR="00D741D7">
        <w:rPr>
          <w:rFonts w:cstheme="minorHAnsi"/>
        </w:rPr>
        <w:t>as they may have</w:t>
      </w:r>
      <w:r w:rsidR="00E03E4E" w:rsidRPr="00D741D7">
        <w:rPr>
          <w:rFonts w:cstheme="minorHAnsi"/>
        </w:rPr>
        <w:t xml:space="preserve"> work, caring, or cultural responsibilities</w:t>
      </w:r>
      <w:r w:rsidR="00CA2A64">
        <w:rPr>
          <w:rFonts w:cstheme="minorHAnsi"/>
        </w:rPr>
        <w:t xml:space="preserve"> at home</w:t>
      </w:r>
      <w:r w:rsidR="00F64B32" w:rsidRPr="00D741D7">
        <w:rPr>
          <w:rFonts w:cstheme="minorHAnsi"/>
        </w:rPr>
        <w:t>.</w:t>
      </w:r>
      <w:r w:rsidR="00E03E4E" w:rsidRPr="00D741D7">
        <w:rPr>
          <w:rFonts w:cstheme="minorHAnsi"/>
        </w:rPr>
        <w:t xml:space="preserve"> </w:t>
      </w:r>
      <w:r w:rsidR="00213EBD" w:rsidRPr="00D741D7">
        <w:rPr>
          <w:rFonts w:cstheme="minorHAnsi"/>
        </w:rPr>
        <w:t>For</w:t>
      </w:r>
      <w:r w:rsidR="00213EBD">
        <w:rPr>
          <w:rFonts w:cstheme="minorHAnsi"/>
        </w:rPr>
        <w:t xml:space="preserve"> these people, </w:t>
      </w:r>
      <w:r w:rsidR="004225E5">
        <w:rPr>
          <w:rFonts w:cstheme="minorHAnsi"/>
        </w:rPr>
        <w:t xml:space="preserve">distance </w:t>
      </w:r>
      <w:r w:rsidR="009F0A06">
        <w:rPr>
          <w:rFonts w:cstheme="minorHAnsi"/>
        </w:rPr>
        <w:t>(</w:t>
      </w:r>
      <w:r w:rsidR="00986223">
        <w:rPr>
          <w:rFonts w:cstheme="minorHAnsi"/>
        </w:rPr>
        <w:t xml:space="preserve">all off-campus) </w:t>
      </w:r>
      <w:r w:rsidR="004225E5">
        <w:rPr>
          <w:rFonts w:cstheme="minorHAnsi"/>
        </w:rPr>
        <w:t xml:space="preserve">or mixed-mode </w:t>
      </w:r>
      <w:r w:rsidR="00986223">
        <w:rPr>
          <w:rFonts w:cstheme="minorHAnsi"/>
        </w:rPr>
        <w:t xml:space="preserve">(combination of off-campus and on-campus) </w:t>
      </w:r>
      <w:r w:rsidR="00213EBD">
        <w:rPr>
          <w:rFonts w:cstheme="minorHAnsi"/>
        </w:rPr>
        <w:t>learning offer</w:t>
      </w:r>
      <w:r w:rsidR="000279EA">
        <w:rPr>
          <w:rFonts w:cstheme="minorHAnsi"/>
        </w:rPr>
        <w:t>s</w:t>
      </w:r>
      <w:r w:rsidR="00213EBD">
        <w:rPr>
          <w:rFonts w:cstheme="minorHAnsi"/>
        </w:rPr>
        <w:t xml:space="preserve"> the only means of receiving a tertiary education or to </w:t>
      </w:r>
      <w:r w:rsidR="00753629">
        <w:rPr>
          <w:rFonts w:cstheme="minorHAnsi"/>
        </w:rPr>
        <w:t>build on existing</w:t>
      </w:r>
      <w:r w:rsidR="00213EBD">
        <w:rPr>
          <w:rFonts w:cstheme="minorHAnsi"/>
        </w:rPr>
        <w:t xml:space="preserve"> qualifications</w:t>
      </w:r>
      <w:r w:rsidR="004225E5">
        <w:rPr>
          <w:rFonts w:cstheme="minorHAnsi"/>
        </w:rPr>
        <w:t>.</w:t>
      </w:r>
      <w:r w:rsidR="00D87C03">
        <w:rPr>
          <w:rFonts w:cstheme="minorHAnsi"/>
        </w:rPr>
        <w:t xml:space="preserve"> </w:t>
      </w:r>
      <w:r w:rsidR="00DF1DAE">
        <w:rPr>
          <w:rFonts w:cstheme="minorHAnsi"/>
        </w:rPr>
        <w:t>AFB assistance enables students</w:t>
      </w:r>
      <w:r w:rsidR="00A24114">
        <w:rPr>
          <w:rFonts w:cstheme="minorHAnsi"/>
        </w:rPr>
        <w:t xml:space="preserve"> to undertake distance or mixed</w:t>
      </w:r>
      <w:r w:rsidR="00A24114">
        <w:rPr>
          <w:rFonts w:cstheme="minorHAnsi"/>
        </w:rPr>
        <w:noBreakHyphen/>
      </w:r>
      <w:r w:rsidR="00DF1DAE">
        <w:rPr>
          <w:rFonts w:cstheme="minorHAnsi"/>
        </w:rPr>
        <w:t xml:space="preserve">mode study and participate in the necessary academic components of their course that require travel away from their home or study location for a short period of time. </w:t>
      </w:r>
    </w:p>
    <w:p w14:paraId="707CBC5D" w14:textId="458B142C" w:rsidR="00B82E70" w:rsidRDefault="00CF7209" w:rsidP="00820E91">
      <w:pPr>
        <w:rPr>
          <w:rFonts w:cstheme="minorHAnsi"/>
        </w:rPr>
      </w:pPr>
      <w:r>
        <w:rPr>
          <w:rFonts w:cstheme="minorHAnsi"/>
        </w:rPr>
        <w:t xml:space="preserve">This purpose </w:t>
      </w:r>
      <w:r w:rsidR="00AD4A7F">
        <w:rPr>
          <w:rFonts w:cstheme="minorHAnsi"/>
        </w:rPr>
        <w:t xml:space="preserve">means that AFB payments are </w:t>
      </w:r>
      <w:r>
        <w:rPr>
          <w:rFonts w:cstheme="minorHAnsi"/>
        </w:rPr>
        <w:t xml:space="preserve">considered </w:t>
      </w:r>
      <w:r w:rsidR="00AD4A7F">
        <w:rPr>
          <w:rFonts w:cstheme="minorHAnsi"/>
        </w:rPr>
        <w:t>an ‘access’</w:t>
      </w:r>
      <w:r w:rsidR="000402A3">
        <w:rPr>
          <w:rFonts w:cstheme="minorHAnsi"/>
        </w:rPr>
        <w:t xml:space="preserve"> payment</w:t>
      </w:r>
      <w:r w:rsidR="00BC296A">
        <w:rPr>
          <w:rFonts w:cstheme="minorHAnsi"/>
        </w:rPr>
        <w:t>s</w:t>
      </w:r>
      <w:r w:rsidR="000402A3">
        <w:rPr>
          <w:rFonts w:cstheme="minorHAnsi"/>
        </w:rPr>
        <w:t>, designed to overcome</w:t>
      </w:r>
      <w:r w:rsidR="00AD4A7F">
        <w:rPr>
          <w:rFonts w:cstheme="minorHAnsi"/>
        </w:rPr>
        <w:t xml:space="preserve"> </w:t>
      </w:r>
      <w:r w:rsidR="009C1DE4">
        <w:rPr>
          <w:rFonts w:cstheme="minorHAnsi"/>
        </w:rPr>
        <w:t xml:space="preserve">disadvantage, due to </w:t>
      </w:r>
      <w:r>
        <w:rPr>
          <w:rFonts w:cstheme="minorHAnsi"/>
        </w:rPr>
        <w:t xml:space="preserve">location </w:t>
      </w:r>
      <w:r w:rsidR="009C1DE4">
        <w:rPr>
          <w:rFonts w:cstheme="minorHAnsi"/>
        </w:rPr>
        <w:t xml:space="preserve">or </w:t>
      </w:r>
      <w:r w:rsidR="00AD4A7F">
        <w:rPr>
          <w:rFonts w:cstheme="minorHAnsi"/>
        </w:rPr>
        <w:t xml:space="preserve">circumstance. This aligns with many other access payments for </w:t>
      </w:r>
      <w:r w:rsidR="00AD4A7F">
        <w:rPr>
          <w:rFonts w:cstheme="minorHAnsi"/>
        </w:rPr>
        <w:lastRenderedPageBreak/>
        <w:t>people from remote and isolated areas, where the pa</w:t>
      </w:r>
      <w:r w:rsidR="00933613">
        <w:rPr>
          <w:rFonts w:cstheme="minorHAnsi"/>
        </w:rPr>
        <w:t xml:space="preserve">yment is not linked to income, </w:t>
      </w:r>
      <w:r w:rsidR="00AD4A7F">
        <w:rPr>
          <w:rFonts w:cstheme="minorHAnsi"/>
        </w:rPr>
        <w:t>but inst</w:t>
      </w:r>
      <w:r w:rsidR="00933613">
        <w:rPr>
          <w:rFonts w:cstheme="minorHAnsi"/>
        </w:rPr>
        <w:t>ead linked to circumstance (</w:t>
      </w:r>
      <w:r w:rsidR="00A4344C">
        <w:rPr>
          <w:rFonts w:cstheme="minorHAnsi"/>
        </w:rPr>
        <w:t>e.g.</w:t>
      </w:r>
      <w:r w:rsidR="00AD4A7F">
        <w:rPr>
          <w:rFonts w:cstheme="minorHAnsi"/>
        </w:rPr>
        <w:t xml:space="preserve"> Assistance for Isolated Children Scheme). </w:t>
      </w:r>
      <w:r w:rsidR="00B82E70">
        <w:rPr>
          <w:rFonts w:cstheme="minorHAnsi"/>
        </w:rPr>
        <w:t xml:space="preserve">Youth Allowance (student) and Austudy students undertaking external courses </w:t>
      </w:r>
      <w:r w:rsidR="008644E0">
        <w:rPr>
          <w:rFonts w:cstheme="minorHAnsi"/>
        </w:rPr>
        <w:t xml:space="preserve">can also access some level of Fares Allowance where the external course has a compulsory residential component. </w:t>
      </w:r>
    </w:p>
    <w:p w14:paraId="7C532C8D" w14:textId="77777777" w:rsidR="00C02163" w:rsidRDefault="00A24114" w:rsidP="00820E91">
      <w:pPr>
        <w:rPr>
          <w:rFonts w:cstheme="minorHAnsi"/>
        </w:rPr>
      </w:pPr>
      <w:r>
        <w:rPr>
          <w:rFonts w:cstheme="minorHAnsi"/>
        </w:rPr>
        <w:t xml:space="preserve">For generations, </w:t>
      </w:r>
      <w:r w:rsidR="005F21F7">
        <w:rPr>
          <w:rFonts w:cstheme="minorHAnsi"/>
        </w:rPr>
        <w:t xml:space="preserve">Aboriginal and Torres Strait Islander Australians have experienced </w:t>
      </w:r>
      <w:r w:rsidR="00C02163">
        <w:rPr>
          <w:rFonts w:cstheme="minorHAnsi"/>
        </w:rPr>
        <w:t xml:space="preserve">particular </w:t>
      </w:r>
      <w:r w:rsidR="005F21F7">
        <w:rPr>
          <w:rFonts w:cstheme="minorHAnsi"/>
        </w:rPr>
        <w:t xml:space="preserve">difficulties accessing education and therefore employment. </w:t>
      </w:r>
      <w:r w:rsidR="00340FE5">
        <w:rPr>
          <w:rFonts w:cstheme="minorHAnsi"/>
        </w:rPr>
        <w:t>In 2016, the employment rate of Indigenous Australians was 47 per cent compared to 72 per cent for other Australians. This represents a 25</w:t>
      </w:r>
      <w:r w:rsidR="00C02163">
        <w:rPr>
          <w:rFonts w:cstheme="minorHAnsi"/>
        </w:rPr>
        <w:t> </w:t>
      </w:r>
      <w:r w:rsidR="00340FE5">
        <w:rPr>
          <w:rFonts w:cstheme="minorHAnsi"/>
        </w:rPr>
        <w:t>percent</w:t>
      </w:r>
      <w:r w:rsidR="00AA5006">
        <w:rPr>
          <w:rFonts w:cstheme="minorHAnsi"/>
        </w:rPr>
        <w:t>age point</w:t>
      </w:r>
      <w:r w:rsidR="00340FE5">
        <w:rPr>
          <w:rFonts w:cstheme="minorHAnsi"/>
        </w:rPr>
        <w:t xml:space="preserve"> gap which has not improved over the preceding decade. </w:t>
      </w:r>
      <w:r w:rsidR="005F21F7">
        <w:rPr>
          <w:rFonts w:cstheme="minorHAnsi"/>
        </w:rPr>
        <w:t xml:space="preserve">Australian governments are committed to closing the gaps that exist between the outcomes of Aboriginal and Torres Strait Islander Australians and other Australians. </w:t>
      </w:r>
    </w:p>
    <w:p w14:paraId="1DE1054D" w14:textId="77777777" w:rsidR="00C02163" w:rsidRDefault="00C02163" w:rsidP="00C02163">
      <w:pPr>
        <w:rPr>
          <w:rFonts w:cstheme="minorHAnsi"/>
        </w:rPr>
      </w:pPr>
      <w:r>
        <w:rPr>
          <w:rFonts w:cstheme="minorHAnsi"/>
        </w:rPr>
        <w:t xml:space="preserve">Progress is being made, but further efforts are required. </w:t>
      </w:r>
      <w:r w:rsidR="002172AA">
        <w:rPr>
          <w:rFonts w:cstheme="minorHAnsi"/>
        </w:rPr>
        <w:t>While Aboriginal and Torres Strait Islander students have been enrolling in higher education in increasingly greater numbers, a</w:t>
      </w:r>
      <w:r w:rsidR="00E84A16">
        <w:rPr>
          <w:rFonts w:cstheme="minorHAnsi"/>
        </w:rPr>
        <w:t xml:space="preserve">n </w:t>
      </w:r>
      <w:r w:rsidR="00E84A16" w:rsidRPr="007A0F1A">
        <w:rPr>
          <w:rFonts w:cstheme="minorHAnsi"/>
        </w:rPr>
        <w:t>additional</w:t>
      </w:r>
      <w:r w:rsidR="002172AA" w:rsidRPr="007A0F1A">
        <w:rPr>
          <w:rFonts w:cstheme="minorHAnsi"/>
        </w:rPr>
        <w:t xml:space="preserve"> </w:t>
      </w:r>
      <w:r w:rsidR="007A0F1A" w:rsidRPr="007A0F1A">
        <w:rPr>
          <w:rFonts w:cstheme="minorHAnsi"/>
        </w:rPr>
        <w:t>11,</w:t>
      </w:r>
      <w:r w:rsidR="002172AA" w:rsidRPr="007A0F1A">
        <w:rPr>
          <w:rFonts w:cstheme="minorHAnsi"/>
        </w:rPr>
        <w:t>000</w:t>
      </w:r>
      <w:r w:rsidR="002172AA">
        <w:rPr>
          <w:rFonts w:cstheme="minorHAnsi"/>
        </w:rPr>
        <w:t xml:space="preserve"> Indigenous students </w:t>
      </w:r>
      <w:r w:rsidR="0050309E">
        <w:rPr>
          <w:rFonts w:cstheme="minorHAnsi"/>
        </w:rPr>
        <w:t xml:space="preserve">would have </w:t>
      </w:r>
      <w:r w:rsidR="002172AA">
        <w:rPr>
          <w:rFonts w:cstheme="minorHAnsi"/>
        </w:rPr>
        <w:t xml:space="preserve">needed to be enrolled </w:t>
      </w:r>
      <w:r w:rsidR="00340FE5">
        <w:rPr>
          <w:rFonts w:cstheme="minorHAnsi"/>
        </w:rPr>
        <w:t xml:space="preserve">in higher </w:t>
      </w:r>
      <w:r w:rsidR="00340FE5" w:rsidRPr="0050309E">
        <w:rPr>
          <w:rFonts w:cstheme="minorHAnsi"/>
        </w:rPr>
        <w:t>education</w:t>
      </w:r>
      <w:r w:rsidR="002172AA" w:rsidRPr="0050309E">
        <w:rPr>
          <w:rFonts w:cstheme="minorHAnsi"/>
        </w:rPr>
        <w:t xml:space="preserve"> </w:t>
      </w:r>
      <w:r w:rsidR="00E84A16" w:rsidRPr="0050309E">
        <w:rPr>
          <w:rFonts w:cstheme="minorHAnsi"/>
        </w:rPr>
        <w:t>in 2016</w:t>
      </w:r>
      <w:r w:rsidR="00E84A16">
        <w:rPr>
          <w:rFonts w:cstheme="minorHAnsi"/>
        </w:rPr>
        <w:t xml:space="preserve"> </w:t>
      </w:r>
      <w:r w:rsidR="002172AA">
        <w:rPr>
          <w:rFonts w:cstheme="minorHAnsi"/>
        </w:rPr>
        <w:t>to reach population parity. In the training sector, Indigenous student enrolments are already above population parity, but Indigenous students are under-represented in program completions at certificate level III and above – th</w:t>
      </w:r>
      <w:r w:rsidR="0089281E">
        <w:rPr>
          <w:rFonts w:cstheme="minorHAnsi"/>
        </w:rPr>
        <w:t>e</w:t>
      </w:r>
      <w:r w:rsidR="002172AA">
        <w:rPr>
          <w:rFonts w:cstheme="minorHAnsi"/>
        </w:rPr>
        <w:t xml:space="preserve"> qualifications </w:t>
      </w:r>
      <w:r w:rsidR="0089281E">
        <w:rPr>
          <w:rFonts w:cstheme="minorHAnsi"/>
        </w:rPr>
        <w:t xml:space="preserve">that </w:t>
      </w:r>
      <w:r w:rsidR="00B4263D">
        <w:rPr>
          <w:rFonts w:cstheme="minorHAnsi"/>
        </w:rPr>
        <w:t xml:space="preserve">are </w:t>
      </w:r>
      <w:r w:rsidR="002172AA">
        <w:rPr>
          <w:rFonts w:cstheme="minorHAnsi"/>
        </w:rPr>
        <w:t xml:space="preserve">more likely to lead to employment. </w:t>
      </w:r>
      <w:r>
        <w:rPr>
          <w:rFonts w:cstheme="minorHAnsi"/>
        </w:rPr>
        <w:t>The employment rates for Indigenous higher education graduates and other Australian higher education graduates are comparable. For those with a certificate level III or higher, the difference in employment rates is significantly reduced. Further education is a key to closing the gaps, having many positive intergenerational effects.</w:t>
      </w:r>
      <w:bookmarkStart w:id="0" w:name="_GoBack"/>
      <w:bookmarkEnd w:id="0"/>
    </w:p>
    <w:p w14:paraId="5C9519FC" w14:textId="77777777" w:rsidR="009C1DE4" w:rsidRDefault="002172AA" w:rsidP="00820E91">
      <w:pPr>
        <w:rPr>
          <w:rFonts w:cstheme="minorHAnsi"/>
        </w:rPr>
      </w:pPr>
      <w:r>
        <w:rPr>
          <w:rFonts w:cstheme="minorHAnsi"/>
        </w:rPr>
        <w:t xml:space="preserve">Aboriginal and Torres Strait Islander people are also over-represented in regional and remote areas, where </w:t>
      </w:r>
      <w:r w:rsidR="00354599">
        <w:rPr>
          <w:rFonts w:cstheme="minorHAnsi"/>
        </w:rPr>
        <w:t>the barriers to</w:t>
      </w:r>
      <w:r>
        <w:rPr>
          <w:rFonts w:cstheme="minorHAnsi"/>
        </w:rPr>
        <w:t xml:space="preserve"> access</w:t>
      </w:r>
      <w:r w:rsidR="00354599">
        <w:rPr>
          <w:rFonts w:cstheme="minorHAnsi"/>
        </w:rPr>
        <w:t>ing</w:t>
      </w:r>
      <w:r>
        <w:rPr>
          <w:rFonts w:cstheme="minorHAnsi"/>
        </w:rPr>
        <w:t xml:space="preserve"> education and training </w:t>
      </w:r>
      <w:r w:rsidR="00354599">
        <w:rPr>
          <w:rFonts w:cstheme="minorHAnsi"/>
        </w:rPr>
        <w:t>are highest</w:t>
      </w:r>
      <w:r>
        <w:rPr>
          <w:rFonts w:cstheme="minorHAnsi"/>
        </w:rPr>
        <w:t xml:space="preserve">. </w:t>
      </w:r>
      <w:r w:rsidR="00DF1DAE">
        <w:rPr>
          <w:rFonts w:cstheme="minorHAnsi"/>
        </w:rPr>
        <w:t xml:space="preserve">For Aboriginal and Torres Strait Islander students who study by distance or mixed-mode learning, </w:t>
      </w:r>
      <w:r w:rsidR="00663650">
        <w:rPr>
          <w:rFonts w:cstheme="minorHAnsi"/>
        </w:rPr>
        <w:t>AFB</w:t>
      </w:r>
      <w:r w:rsidR="00CD4DF0" w:rsidRPr="006C5AFE">
        <w:rPr>
          <w:rFonts w:cstheme="minorHAnsi"/>
        </w:rPr>
        <w:t xml:space="preserve"> </w:t>
      </w:r>
      <w:r w:rsidR="00B4263D">
        <w:rPr>
          <w:rFonts w:cstheme="minorHAnsi"/>
        </w:rPr>
        <w:t xml:space="preserve">support </w:t>
      </w:r>
      <w:r w:rsidR="00CD4DF0" w:rsidRPr="006C5AFE">
        <w:rPr>
          <w:rFonts w:cstheme="minorHAnsi"/>
        </w:rPr>
        <w:t>offer</w:t>
      </w:r>
      <w:r w:rsidR="0099581B">
        <w:rPr>
          <w:rFonts w:cstheme="minorHAnsi"/>
        </w:rPr>
        <w:t>s</w:t>
      </w:r>
      <w:r w:rsidR="00CD4DF0" w:rsidRPr="006C5AFE">
        <w:rPr>
          <w:rFonts w:cstheme="minorHAnsi"/>
        </w:rPr>
        <w:t xml:space="preserve"> exposure to opportunities outside community, but also </w:t>
      </w:r>
      <w:r w:rsidR="00C02163">
        <w:rPr>
          <w:rFonts w:cstheme="minorHAnsi"/>
        </w:rPr>
        <w:t xml:space="preserve">assists </w:t>
      </w:r>
      <w:r w:rsidR="0099581B">
        <w:rPr>
          <w:rFonts w:cstheme="minorHAnsi"/>
        </w:rPr>
        <w:t>the</w:t>
      </w:r>
      <w:r w:rsidR="00CD4DF0" w:rsidRPr="006C5AFE">
        <w:rPr>
          <w:rFonts w:cstheme="minorHAnsi"/>
        </w:rPr>
        <w:t xml:space="preserve"> take-up of local jobs </w:t>
      </w:r>
      <w:r w:rsidR="00B4263D">
        <w:rPr>
          <w:rFonts w:cstheme="minorHAnsi"/>
        </w:rPr>
        <w:t>as students continue to live in their community. Local jobs may include those</w:t>
      </w:r>
      <w:r w:rsidR="00CD4DF0" w:rsidRPr="006C5AFE">
        <w:rPr>
          <w:rFonts w:cstheme="minorHAnsi"/>
        </w:rPr>
        <w:t xml:space="preserve"> in the N</w:t>
      </w:r>
      <w:r w:rsidR="00CD4DF0">
        <w:rPr>
          <w:rFonts w:cstheme="minorHAnsi"/>
        </w:rPr>
        <w:t xml:space="preserve">ational </w:t>
      </w:r>
      <w:r w:rsidR="00CD4DF0" w:rsidRPr="006C5AFE">
        <w:rPr>
          <w:rFonts w:cstheme="minorHAnsi"/>
        </w:rPr>
        <w:t>D</w:t>
      </w:r>
      <w:r w:rsidR="00CD4DF0">
        <w:rPr>
          <w:rFonts w:cstheme="minorHAnsi"/>
        </w:rPr>
        <w:t>isability Insurance Scheme</w:t>
      </w:r>
      <w:r w:rsidR="00CD4DF0" w:rsidRPr="006C5AFE">
        <w:rPr>
          <w:rFonts w:cstheme="minorHAnsi"/>
        </w:rPr>
        <w:t>, aged care, health, education, mining and land management.</w:t>
      </w:r>
      <w:r w:rsidR="00CD4DF0">
        <w:rPr>
          <w:rFonts w:cstheme="minorHAnsi"/>
        </w:rPr>
        <w:t xml:space="preserve"> </w:t>
      </w:r>
    </w:p>
    <w:p w14:paraId="6FB07F54" w14:textId="6B97013F" w:rsidR="000778F8" w:rsidRDefault="00781D70" w:rsidP="00820E91">
      <w:pPr>
        <w:rPr>
          <w:rFonts w:cstheme="minorHAnsi"/>
        </w:rPr>
      </w:pPr>
      <w:r>
        <w:rPr>
          <w:rFonts w:cstheme="minorHAnsi"/>
        </w:rPr>
        <w:t>Figure 1</w:t>
      </w:r>
      <w:r w:rsidR="0099581B">
        <w:rPr>
          <w:rFonts w:cstheme="minorHAnsi"/>
        </w:rPr>
        <w:t xml:space="preserve"> </w:t>
      </w:r>
      <w:r w:rsidR="006406F3">
        <w:rPr>
          <w:rFonts w:cstheme="minorHAnsi"/>
        </w:rPr>
        <w:t>illustrates</w:t>
      </w:r>
      <w:r>
        <w:rPr>
          <w:rFonts w:cstheme="minorHAnsi"/>
        </w:rPr>
        <w:t xml:space="preserve"> </w:t>
      </w:r>
      <w:r w:rsidR="006406F3">
        <w:rPr>
          <w:rFonts w:cstheme="minorHAnsi"/>
        </w:rPr>
        <w:t xml:space="preserve">that of </w:t>
      </w:r>
      <w:r>
        <w:rPr>
          <w:rFonts w:cstheme="minorHAnsi"/>
        </w:rPr>
        <w:t xml:space="preserve">students assisted by </w:t>
      </w:r>
      <w:r w:rsidR="00663650">
        <w:rPr>
          <w:rFonts w:cstheme="minorHAnsi"/>
        </w:rPr>
        <w:t>AFB</w:t>
      </w:r>
      <w:r w:rsidR="00FA1685">
        <w:rPr>
          <w:rFonts w:cstheme="minorHAnsi"/>
        </w:rPr>
        <w:t xml:space="preserve"> </w:t>
      </w:r>
      <w:r>
        <w:rPr>
          <w:rFonts w:cstheme="minorHAnsi"/>
        </w:rPr>
        <w:t>administered by the Department of the Prime Minister and Cabinet</w:t>
      </w:r>
      <w:r w:rsidR="00C37DD0">
        <w:rPr>
          <w:rFonts w:cstheme="minorHAnsi"/>
        </w:rPr>
        <w:t xml:space="preserve"> </w:t>
      </w:r>
      <w:r w:rsidR="00A51D3B">
        <w:rPr>
          <w:rFonts w:cstheme="minorHAnsi"/>
        </w:rPr>
        <w:t xml:space="preserve">(PM&amp;C) </w:t>
      </w:r>
      <w:r w:rsidR="00C37DD0">
        <w:rPr>
          <w:rFonts w:cstheme="minorHAnsi"/>
        </w:rPr>
        <w:t>in 2016, 82 per </w:t>
      </w:r>
      <w:r>
        <w:rPr>
          <w:rFonts w:cstheme="minorHAnsi"/>
        </w:rPr>
        <w:t>cent had a home location in a regional or remote area.</w:t>
      </w:r>
    </w:p>
    <w:p w14:paraId="61119B12" w14:textId="01348E57" w:rsidR="002172AA" w:rsidRDefault="00781D70" w:rsidP="00820E91">
      <w:pPr>
        <w:rPr>
          <w:rFonts w:cstheme="minorHAnsi"/>
        </w:rPr>
      </w:pPr>
      <w:r w:rsidRPr="00F50247">
        <w:rPr>
          <w:rFonts w:cstheme="minorHAnsi"/>
          <w:b/>
          <w:color w:val="2E74B5" w:themeColor="accent1" w:themeShade="BF"/>
          <w:sz w:val="20"/>
          <w:szCs w:val="20"/>
        </w:rPr>
        <w:t xml:space="preserve">Figure 1. Enrolments by geolocation – PM&amp;C administered </w:t>
      </w:r>
      <w:r w:rsidR="00663650" w:rsidRPr="00F50247">
        <w:rPr>
          <w:rFonts w:cstheme="minorHAnsi"/>
          <w:b/>
          <w:color w:val="2E74B5" w:themeColor="accent1" w:themeShade="BF"/>
          <w:sz w:val="20"/>
          <w:szCs w:val="20"/>
        </w:rPr>
        <w:t>AFB</w:t>
      </w:r>
      <w:r w:rsidRPr="00F50247">
        <w:rPr>
          <w:rFonts w:cstheme="minorHAnsi"/>
          <w:b/>
          <w:color w:val="2E74B5" w:themeColor="accent1" w:themeShade="BF"/>
          <w:sz w:val="20"/>
          <w:szCs w:val="20"/>
        </w:rPr>
        <w:t>, 2016</w:t>
      </w:r>
      <w:r>
        <w:rPr>
          <w:rFonts w:cstheme="minorHAnsi"/>
        </w:rPr>
        <w:t xml:space="preserve"> </w:t>
      </w:r>
    </w:p>
    <w:p w14:paraId="28B84C93" w14:textId="05D97719" w:rsidR="00AD0935" w:rsidRDefault="00AD0935" w:rsidP="00820E91">
      <w:pPr>
        <w:rPr>
          <w:rFonts w:cstheme="minorHAnsi"/>
        </w:rPr>
      </w:pPr>
      <w:r>
        <w:rPr>
          <w:noProof/>
          <w:lang w:eastAsia="en-AU"/>
        </w:rPr>
        <w:drawing>
          <wp:inline distT="0" distB="0" distL="0" distR="0" wp14:anchorId="02BAA22C" wp14:editId="1A3ECD6D">
            <wp:extent cx="3781425" cy="2019300"/>
            <wp:effectExtent l="0" t="0" r="9525" b="0"/>
            <wp:docPr id="2" name="Picture 2" descr="Figure 1. Enrolments by geolocation – PM&amp;C administered AFB, 2016 &#10;Major city 18%&#10;Inner regional 15%&#10;Outer regional 14%&#10;Remote 20%&#10;Very remote 33%&#10;" title="Figure 1. Enrolments by geolocation – PM&amp;C administered AFB,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1425" cy="2019300"/>
                    </a:xfrm>
                    <a:prstGeom prst="rect">
                      <a:avLst/>
                    </a:prstGeom>
                  </pic:spPr>
                </pic:pic>
              </a:graphicData>
            </a:graphic>
          </wp:inline>
        </w:drawing>
      </w:r>
    </w:p>
    <w:p w14:paraId="7B76EE8E" w14:textId="4D935889" w:rsidR="00781D70" w:rsidRDefault="00663650" w:rsidP="00820E91">
      <w:pPr>
        <w:rPr>
          <w:rFonts w:cstheme="minorHAnsi"/>
        </w:rPr>
      </w:pPr>
      <w:r>
        <w:rPr>
          <w:rFonts w:cstheme="minorHAnsi"/>
        </w:rPr>
        <w:t>AFB</w:t>
      </w:r>
      <w:r w:rsidR="00781D70" w:rsidRPr="006C5AFE">
        <w:rPr>
          <w:rFonts w:cstheme="minorHAnsi"/>
        </w:rPr>
        <w:t xml:space="preserve"> programs were designed in the 1990s to assist students </w:t>
      </w:r>
      <w:r w:rsidR="00781D70">
        <w:rPr>
          <w:rFonts w:cstheme="minorHAnsi"/>
        </w:rPr>
        <w:t xml:space="preserve">to </w:t>
      </w:r>
      <w:r w:rsidR="00781D70" w:rsidRPr="006C5AFE">
        <w:rPr>
          <w:rFonts w:cstheme="minorHAnsi"/>
        </w:rPr>
        <w:t xml:space="preserve">undertake multiple trips between their home and the education provider. However, </w:t>
      </w:r>
      <w:r w:rsidR="00781D70">
        <w:rPr>
          <w:rFonts w:cstheme="minorHAnsi"/>
        </w:rPr>
        <w:t>higher education</w:t>
      </w:r>
      <w:r w:rsidR="00781D70" w:rsidRPr="006C5AFE">
        <w:rPr>
          <w:rFonts w:cstheme="minorHAnsi"/>
        </w:rPr>
        <w:t xml:space="preserve"> and training delivery has changed since that time, with increasing use of technology and improved ability of staff to deliver a wider range of training in or near communities.</w:t>
      </w:r>
      <w:r w:rsidR="00781D70">
        <w:rPr>
          <w:rFonts w:cstheme="minorHAnsi"/>
        </w:rPr>
        <w:t xml:space="preserve"> </w:t>
      </w:r>
      <w:r w:rsidR="00B41A0B" w:rsidRPr="00EC34BE">
        <w:rPr>
          <w:rFonts w:cstheme="minorHAnsi"/>
          <w:lang w:val="en-US"/>
        </w:rPr>
        <w:t xml:space="preserve">This growth in delivery flexibility is occurring across </w:t>
      </w:r>
      <w:r w:rsidR="00B41A0B" w:rsidRPr="00EC34BE">
        <w:rPr>
          <w:rFonts w:cstheme="minorHAnsi"/>
          <w:lang w:val="en-US"/>
        </w:rPr>
        <w:lastRenderedPageBreak/>
        <w:t>an increasing range of different types of courses including those mor</w:t>
      </w:r>
      <w:r w:rsidR="009C1DE4">
        <w:rPr>
          <w:rFonts w:cstheme="minorHAnsi"/>
          <w:lang w:val="en-US"/>
        </w:rPr>
        <w:t>e traditionally offered only on</w:t>
      </w:r>
      <w:r w:rsidR="009C1DE4">
        <w:rPr>
          <w:rFonts w:cstheme="minorHAnsi"/>
          <w:lang w:val="en-US"/>
        </w:rPr>
        <w:noBreakHyphen/>
      </w:r>
      <w:r w:rsidR="00B41A0B" w:rsidRPr="00EC34BE">
        <w:rPr>
          <w:rFonts w:cstheme="minorHAnsi"/>
          <w:lang w:val="en-US"/>
        </w:rPr>
        <w:t>c</w:t>
      </w:r>
      <w:r w:rsidR="00B41A0B">
        <w:rPr>
          <w:rFonts w:cstheme="minorHAnsi"/>
          <w:lang w:val="en-US"/>
        </w:rPr>
        <w:t>ampus</w:t>
      </w:r>
      <w:r w:rsidR="00A24114">
        <w:rPr>
          <w:rFonts w:cstheme="minorHAnsi"/>
          <w:lang w:val="en-US"/>
        </w:rPr>
        <w:t xml:space="preserve"> (</w:t>
      </w:r>
      <w:r w:rsidR="00A4344C">
        <w:rPr>
          <w:rFonts w:cstheme="minorHAnsi"/>
          <w:lang w:val="en-US"/>
        </w:rPr>
        <w:t>e.g.</w:t>
      </w:r>
      <w:r w:rsidR="00B41A0B">
        <w:rPr>
          <w:rFonts w:cstheme="minorHAnsi"/>
          <w:lang w:val="en-US"/>
        </w:rPr>
        <w:t xml:space="preserve"> </w:t>
      </w:r>
      <w:r w:rsidR="00B41A0B" w:rsidRPr="00EC34BE">
        <w:rPr>
          <w:rFonts w:cstheme="minorHAnsi"/>
          <w:lang w:val="en-US"/>
        </w:rPr>
        <w:t>allied health qualifications</w:t>
      </w:r>
      <w:r w:rsidR="00A24114">
        <w:rPr>
          <w:rFonts w:cstheme="minorHAnsi"/>
          <w:lang w:val="en-US"/>
        </w:rPr>
        <w:t>)</w:t>
      </w:r>
      <w:r w:rsidR="00B41A0B" w:rsidRPr="00EC34BE">
        <w:rPr>
          <w:rFonts w:cstheme="minorHAnsi"/>
          <w:lang w:val="en-US"/>
        </w:rPr>
        <w:t>.</w:t>
      </w:r>
      <w:r w:rsidR="00B41A0B">
        <w:rPr>
          <w:rFonts w:cstheme="minorHAnsi"/>
          <w:lang w:val="en-US"/>
        </w:rPr>
        <w:t xml:space="preserve"> </w:t>
      </w:r>
    </w:p>
    <w:p w14:paraId="1CAAC8CE" w14:textId="4099B726" w:rsidR="00C37DD0" w:rsidRDefault="007A0F1A" w:rsidP="00C37DD0">
      <w:pPr>
        <w:rPr>
          <w:rFonts w:cstheme="minorHAnsi"/>
          <w:lang w:val="en-US"/>
        </w:rPr>
      </w:pPr>
      <w:r>
        <w:rPr>
          <w:rFonts w:cstheme="minorHAnsi"/>
          <w:lang w:val="en-US"/>
        </w:rPr>
        <w:t>Over the last decade</w:t>
      </w:r>
      <w:r w:rsidR="004F2F63">
        <w:rPr>
          <w:rFonts w:cstheme="minorHAnsi"/>
          <w:lang w:val="en-US"/>
        </w:rPr>
        <w:t>,</w:t>
      </w:r>
      <w:r>
        <w:rPr>
          <w:rFonts w:cstheme="minorHAnsi"/>
          <w:lang w:val="en-US"/>
        </w:rPr>
        <w:t xml:space="preserve"> there has been a 140 per cent growth in the number of Australian students enrolling</w:t>
      </w:r>
      <w:r w:rsidR="00C37DD0" w:rsidRPr="00EC34BE">
        <w:rPr>
          <w:rFonts w:cstheme="minorHAnsi"/>
          <w:lang w:val="en-US"/>
        </w:rPr>
        <w:t xml:space="preserve"> </w:t>
      </w:r>
      <w:r w:rsidR="00C37DD0">
        <w:rPr>
          <w:rFonts w:cstheme="minorHAnsi"/>
          <w:lang w:val="en-US"/>
        </w:rPr>
        <w:t xml:space="preserve">in </w:t>
      </w:r>
      <w:r w:rsidR="00986223">
        <w:rPr>
          <w:rFonts w:cstheme="minorHAnsi"/>
          <w:lang w:val="en-US"/>
        </w:rPr>
        <w:t xml:space="preserve">mixed-mode </w:t>
      </w:r>
      <w:r w:rsidR="005154CF">
        <w:rPr>
          <w:rFonts w:cstheme="minorHAnsi"/>
          <w:lang w:val="en-US"/>
        </w:rPr>
        <w:t xml:space="preserve">higher education </w:t>
      </w:r>
      <w:r w:rsidR="00C37DD0">
        <w:rPr>
          <w:rFonts w:cstheme="minorHAnsi"/>
          <w:lang w:val="en-US"/>
        </w:rPr>
        <w:t>courses</w:t>
      </w:r>
      <w:r w:rsidR="00BC296A">
        <w:rPr>
          <w:rFonts w:cstheme="minorHAnsi"/>
          <w:lang w:val="en-US"/>
        </w:rPr>
        <w:t>.</w:t>
      </w:r>
      <w:r>
        <w:rPr>
          <w:rFonts w:cstheme="minorHAnsi"/>
          <w:lang w:val="en-US"/>
        </w:rPr>
        <w:t xml:space="preserve"> However, </w:t>
      </w:r>
      <w:r w:rsidR="00CE2AC3">
        <w:rPr>
          <w:rFonts w:cstheme="minorHAnsi"/>
          <w:lang w:val="en-US"/>
        </w:rPr>
        <w:t xml:space="preserve">the rate of </w:t>
      </w:r>
      <w:r>
        <w:rPr>
          <w:rFonts w:cstheme="minorHAnsi"/>
          <w:lang w:val="en-US"/>
        </w:rPr>
        <w:t xml:space="preserve">Indigenous students accessing </w:t>
      </w:r>
      <w:r w:rsidR="00986223">
        <w:rPr>
          <w:rFonts w:cstheme="minorHAnsi"/>
          <w:lang w:val="en-US"/>
        </w:rPr>
        <w:t xml:space="preserve">mixed-mode </w:t>
      </w:r>
      <w:r>
        <w:rPr>
          <w:rFonts w:cstheme="minorHAnsi"/>
          <w:lang w:val="en-US"/>
        </w:rPr>
        <w:t>higher education courses grew by only half</w:t>
      </w:r>
      <w:r w:rsidR="00CE2AC3">
        <w:rPr>
          <w:rFonts w:cstheme="minorHAnsi"/>
          <w:lang w:val="en-US"/>
        </w:rPr>
        <w:t xml:space="preserve"> the rate of other Australians</w:t>
      </w:r>
      <w:r>
        <w:rPr>
          <w:rFonts w:cstheme="minorHAnsi"/>
          <w:lang w:val="en-US"/>
        </w:rPr>
        <w:t xml:space="preserve"> over the sa</w:t>
      </w:r>
      <w:r w:rsidR="005154CF">
        <w:rPr>
          <w:rFonts w:cstheme="minorHAnsi"/>
          <w:lang w:val="en-US"/>
        </w:rPr>
        <w:t>me period. While part of this difference can be explained by a preference for Indigenous student</w:t>
      </w:r>
      <w:r w:rsidR="006406F3">
        <w:rPr>
          <w:rFonts w:cstheme="minorHAnsi"/>
          <w:lang w:val="en-US"/>
        </w:rPr>
        <w:t>s</w:t>
      </w:r>
      <w:r w:rsidR="005154CF">
        <w:rPr>
          <w:rFonts w:cstheme="minorHAnsi"/>
          <w:lang w:val="en-US"/>
        </w:rPr>
        <w:t xml:space="preserve"> to access wholly externally delivered courses, the largest part of the difference </w:t>
      </w:r>
      <w:r w:rsidR="006406F3">
        <w:rPr>
          <w:rFonts w:cstheme="minorHAnsi"/>
          <w:lang w:val="en-US"/>
        </w:rPr>
        <w:t>i</w:t>
      </w:r>
      <w:r w:rsidR="00B93201">
        <w:rPr>
          <w:rFonts w:cstheme="minorHAnsi"/>
          <w:lang w:val="en-US"/>
        </w:rPr>
        <w:t>s unexplained.</w:t>
      </w:r>
      <w:r w:rsidR="00CB090C">
        <w:rPr>
          <w:rStyle w:val="FootnoteReference"/>
          <w:rFonts w:cstheme="minorHAnsi"/>
          <w:lang w:val="en-US"/>
        </w:rPr>
        <w:footnoteReference w:id="2"/>
      </w:r>
      <w:r w:rsidR="00B93201">
        <w:rPr>
          <w:rFonts w:cstheme="minorHAnsi"/>
          <w:lang w:val="en-US"/>
        </w:rPr>
        <w:t xml:space="preserve"> </w:t>
      </w:r>
      <w:r w:rsidR="00663650">
        <w:rPr>
          <w:rFonts w:cstheme="minorHAnsi"/>
          <w:lang w:val="en-US"/>
        </w:rPr>
        <w:t>AFB</w:t>
      </w:r>
      <w:r w:rsidR="005154CF">
        <w:rPr>
          <w:rFonts w:cstheme="minorHAnsi"/>
          <w:lang w:val="en-US"/>
        </w:rPr>
        <w:t xml:space="preserve"> </w:t>
      </w:r>
      <w:r w:rsidR="002229A9">
        <w:rPr>
          <w:rFonts w:cstheme="minorHAnsi"/>
          <w:lang w:val="en-US"/>
        </w:rPr>
        <w:t xml:space="preserve">support </w:t>
      </w:r>
      <w:r w:rsidR="005154CF">
        <w:rPr>
          <w:rFonts w:cstheme="minorHAnsi"/>
          <w:lang w:val="en-US"/>
        </w:rPr>
        <w:t xml:space="preserve">is the main form of assistance </w:t>
      </w:r>
      <w:r w:rsidR="00924042">
        <w:rPr>
          <w:rFonts w:cstheme="minorHAnsi"/>
          <w:lang w:val="en-US"/>
        </w:rPr>
        <w:t xml:space="preserve">that </w:t>
      </w:r>
      <w:r w:rsidR="005154CF">
        <w:rPr>
          <w:rFonts w:cstheme="minorHAnsi"/>
          <w:lang w:val="en-US"/>
        </w:rPr>
        <w:t>Indigenous students use to access m</w:t>
      </w:r>
      <w:r w:rsidR="00924042">
        <w:rPr>
          <w:rFonts w:cstheme="minorHAnsi"/>
          <w:lang w:val="en-US"/>
        </w:rPr>
        <w:t>ixed-</w:t>
      </w:r>
      <w:r w:rsidR="005154CF">
        <w:rPr>
          <w:rFonts w:cstheme="minorHAnsi"/>
          <w:lang w:val="en-US"/>
        </w:rPr>
        <w:t>mod</w:t>
      </w:r>
      <w:r w:rsidR="004F2F63">
        <w:rPr>
          <w:rFonts w:cstheme="minorHAnsi"/>
          <w:lang w:val="en-US"/>
        </w:rPr>
        <w:t>e</w:t>
      </w:r>
      <w:r w:rsidR="005154CF">
        <w:rPr>
          <w:rFonts w:cstheme="minorHAnsi"/>
          <w:lang w:val="en-US"/>
        </w:rPr>
        <w:t xml:space="preserve"> higher education courses.</w:t>
      </w:r>
      <w:r w:rsidR="00F4765D">
        <w:rPr>
          <w:rFonts w:cstheme="minorHAnsi"/>
          <w:lang w:val="en-US"/>
        </w:rPr>
        <w:t xml:space="preserve"> </w:t>
      </w:r>
    </w:p>
    <w:p w14:paraId="5EE64D31" w14:textId="77777777" w:rsidR="00263371" w:rsidRDefault="00A0181E" w:rsidP="00C37DD0">
      <w:pPr>
        <w:rPr>
          <w:lang w:val="en-US"/>
        </w:rPr>
      </w:pPr>
      <w:r>
        <w:rPr>
          <w:lang w:val="en-US"/>
        </w:rPr>
        <w:t>While technology is leading to improved access to education, there are still large numbers of Aboriginal and Torres Strait Islander people living in regional and remote parts of Australia with little or no access to the internet, computers and other information technology.</w:t>
      </w:r>
    </w:p>
    <w:p w14:paraId="442C4025" w14:textId="77777777" w:rsidR="00263371" w:rsidRPr="00754381" w:rsidRDefault="00495F5C" w:rsidP="00C37DD0">
      <w:pPr>
        <w:rPr>
          <w:color w:val="000000"/>
        </w:rPr>
      </w:pPr>
      <w:r>
        <w:rPr>
          <w:lang w:val="en-US"/>
        </w:rPr>
        <w:t xml:space="preserve">In 2017, </w:t>
      </w:r>
      <w:r w:rsidR="00263371" w:rsidRPr="00754381">
        <w:rPr>
          <w:lang w:val="en-US"/>
        </w:rPr>
        <w:t xml:space="preserve">Indigenous </w:t>
      </w:r>
      <w:r w:rsidR="00A24114">
        <w:rPr>
          <w:lang w:val="en-US"/>
        </w:rPr>
        <w:t>Australians</w:t>
      </w:r>
      <w:r w:rsidR="00263371" w:rsidRPr="00754381">
        <w:rPr>
          <w:lang w:val="en-US"/>
        </w:rPr>
        <w:t xml:space="preserve"> </w:t>
      </w:r>
      <w:r>
        <w:rPr>
          <w:lang w:val="en-US"/>
        </w:rPr>
        <w:t>were</w:t>
      </w:r>
      <w:r w:rsidR="009C1DE4">
        <w:rPr>
          <w:lang w:val="en-US"/>
        </w:rPr>
        <w:t xml:space="preserve"> 69 per cent</w:t>
      </w:r>
      <w:r w:rsidR="00263371" w:rsidRPr="00754381">
        <w:rPr>
          <w:lang w:val="en-US"/>
        </w:rPr>
        <w:t xml:space="preserve"> less likely than </w:t>
      </w:r>
      <w:r w:rsidR="00A24114">
        <w:rPr>
          <w:lang w:val="en-US"/>
        </w:rPr>
        <w:t>other Australians</w:t>
      </w:r>
      <w:r w:rsidR="00263371" w:rsidRPr="00754381">
        <w:rPr>
          <w:lang w:val="en-US"/>
        </w:rPr>
        <w:t xml:space="preserve"> to have an internet connection. Even in urban areas, where access to the internet is higher, digital inclusion </w:t>
      </w:r>
      <w:r>
        <w:rPr>
          <w:lang w:val="en-US"/>
        </w:rPr>
        <w:t>was</w:t>
      </w:r>
      <w:r w:rsidR="00263371" w:rsidRPr="00754381">
        <w:rPr>
          <w:lang w:val="en-US"/>
        </w:rPr>
        <w:t xml:space="preserve"> seven </w:t>
      </w:r>
      <w:r w:rsidR="004B7131">
        <w:rPr>
          <w:lang w:val="en-US"/>
        </w:rPr>
        <w:t>per</w:t>
      </w:r>
      <w:r w:rsidR="00E31132">
        <w:rPr>
          <w:lang w:val="en-US"/>
        </w:rPr>
        <w:t xml:space="preserve"> </w:t>
      </w:r>
      <w:r w:rsidR="004B7131">
        <w:rPr>
          <w:lang w:val="en-US"/>
        </w:rPr>
        <w:t>cent</w:t>
      </w:r>
      <w:r w:rsidR="00263371" w:rsidRPr="00754381">
        <w:rPr>
          <w:lang w:val="en-US"/>
        </w:rPr>
        <w:t xml:space="preserve"> lower than the Australian average. Indigenous Australians face additional barriers around skills, affordability and access to culturally appropriate technology.</w:t>
      </w:r>
      <w:r w:rsidR="00E31132">
        <w:rPr>
          <w:lang w:val="en-US"/>
        </w:rPr>
        <w:t xml:space="preserve"> The</w:t>
      </w:r>
      <w:r w:rsidR="00754381" w:rsidRPr="00754381">
        <w:rPr>
          <w:lang w:val="en-US"/>
        </w:rPr>
        <w:t xml:space="preserve"> basic digital literacy skills </w:t>
      </w:r>
      <w:r w:rsidR="00E31132">
        <w:rPr>
          <w:lang w:val="en-US"/>
        </w:rPr>
        <w:t xml:space="preserve">of Indigenous Australians </w:t>
      </w:r>
      <w:r w:rsidR="00754381" w:rsidRPr="00754381">
        <w:rPr>
          <w:lang w:val="en-US"/>
        </w:rPr>
        <w:t xml:space="preserve">in urban and regional/rural areas </w:t>
      </w:r>
      <w:r>
        <w:rPr>
          <w:lang w:val="en-US"/>
        </w:rPr>
        <w:t>were</w:t>
      </w:r>
      <w:r w:rsidR="00754381" w:rsidRPr="00754381">
        <w:rPr>
          <w:lang w:val="en-US"/>
        </w:rPr>
        <w:t xml:space="preserve"> almost 12 </w:t>
      </w:r>
      <w:r w:rsidR="004B7131">
        <w:rPr>
          <w:lang w:val="en-US"/>
        </w:rPr>
        <w:t>percent</w:t>
      </w:r>
      <w:r w:rsidR="00E31132">
        <w:rPr>
          <w:lang w:val="en-US"/>
        </w:rPr>
        <w:t>age points</w:t>
      </w:r>
      <w:r w:rsidR="00754381" w:rsidRPr="00754381">
        <w:rPr>
          <w:lang w:val="en-US"/>
        </w:rPr>
        <w:t xml:space="preserve"> lower than the national (urban an</w:t>
      </w:r>
      <w:r w:rsidR="00C26A61">
        <w:rPr>
          <w:lang w:val="en-US"/>
        </w:rPr>
        <w:t>d regional/rural only) average.</w:t>
      </w:r>
      <w:r w:rsidR="00754381">
        <w:rPr>
          <w:rStyle w:val="FootnoteReference"/>
          <w:color w:val="000000"/>
        </w:rPr>
        <w:footnoteReference w:id="3"/>
      </w:r>
    </w:p>
    <w:p w14:paraId="70A5A221" w14:textId="77777777" w:rsidR="00A0181E" w:rsidRDefault="00B876C0" w:rsidP="00C37DD0">
      <w:pPr>
        <w:rPr>
          <w:rFonts w:cstheme="minorHAnsi"/>
          <w:lang w:val="en-US"/>
        </w:rPr>
      </w:pPr>
      <w:r>
        <w:rPr>
          <w:lang w:val="en-US"/>
        </w:rPr>
        <w:t>I</w:t>
      </w:r>
      <w:r w:rsidR="00A0181E">
        <w:rPr>
          <w:lang w:val="en-US"/>
        </w:rPr>
        <w:t>n 2016, half of the Indigenous households in the remote communities of Apatula (NT) and 45 per cent in Kununurra (WA) were unable to access the internet.</w:t>
      </w:r>
      <w:r w:rsidR="009C1DE4">
        <w:rPr>
          <w:lang w:val="en-US"/>
        </w:rPr>
        <w:t xml:space="preserve"> In 2016</w:t>
      </w:r>
      <w:r w:rsidR="00245FCD">
        <w:rPr>
          <w:lang w:val="en-US"/>
        </w:rPr>
        <w:t>,</w:t>
      </w:r>
      <w:r w:rsidR="009C1DE4">
        <w:rPr>
          <w:lang w:val="en-US"/>
        </w:rPr>
        <w:t xml:space="preserve"> 24</w:t>
      </w:r>
      <w:r w:rsidR="00A0181E" w:rsidRPr="00A0181E">
        <w:rPr>
          <w:lang w:val="en-US"/>
        </w:rPr>
        <w:t xml:space="preserve"> per cent of Indigenous households in Ger</w:t>
      </w:r>
      <w:r w:rsidR="009C1DE4">
        <w:rPr>
          <w:lang w:val="en-US"/>
        </w:rPr>
        <w:t>aldton (WA) and 22</w:t>
      </w:r>
      <w:r w:rsidR="00A0181E" w:rsidRPr="00A0181E">
        <w:rPr>
          <w:lang w:val="en-US"/>
        </w:rPr>
        <w:t xml:space="preserve"> per cent in Port Augusta (SA) were unable to access the internet. This digital divide</w:t>
      </w:r>
      <w:r w:rsidR="00A0181E">
        <w:rPr>
          <w:lang w:val="en-US"/>
        </w:rPr>
        <w:t xml:space="preserve"> contrasts starkly with Melbourne where only 2.5</w:t>
      </w:r>
      <w:r w:rsidR="00430C9D">
        <w:rPr>
          <w:lang w:val="en-US"/>
        </w:rPr>
        <w:t xml:space="preserve"> per cent</w:t>
      </w:r>
      <w:r w:rsidR="00A0181E">
        <w:rPr>
          <w:lang w:val="en-US"/>
        </w:rPr>
        <w:t xml:space="preserve"> of Indigenous households were</w:t>
      </w:r>
      <w:r w:rsidR="00C26A61">
        <w:rPr>
          <w:lang w:val="en-US"/>
        </w:rPr>
        <w:t xml:space="preserve"> unable to access the internet.</w:t>
      </w:r>
      <w:r>
        <w:rPr>
          <w:rStyle w:val="FootnoteReference"/>
          <w:lang w:val="en-US"/>
        </w:rPr>
        <w:footnoteReference w:id="4"/>
      </w:r>
      <w:r w:rsidR="00C26A61">
        <w:rPr>
          <w:lang w:val="en-US"/>
        </w:rPr>
        <w:t xml:space="preserve"> </w:t>
      </w:r>
      <w:r w:rsidR="004B7131">
        <w:rPr>
          <w:lang w:val="en-US"/>
        </w:rPr>
        <w:t xml:space="preserve">Issues with access to technology for students in regional and remote areas is another reason why </w:t>
      </w:r>
      <w:r w:rsidR="00C02163">
        <w:rPr>
          <w:lang w:val="en-US"/>
        </w:rPr>
        <w:t>AFB</w:t>
      </w:r>
      <w:r w:rsidR="00A0181E">
        <w:rPr>
          <w:lang w:val="en-US"/>
        </w:rPr>
        <w:t xml:space="preserve"> support continues to be an important form of assistance for Indigenous Australians in</w:t>
      </w:r>
      <w:r w:rsidR="004B7131">
        <w:rPr>
          <w:lang w:val="en-US"/>
        </w:rPr>
        <w:t xml:space="preserve"> these</w:t>
      </w:r>
      <w:r w:rsidR="00A0181E">
        <w:rPr>
          <w:lang w:val="en-US"/>
        </w:rPr>
        <w:t xml:space="preserve"> areas.</w:t>
      </w:r>
    </w:p>
    <w:p w14:paraId="1D49D243" w14:textId="77777777" w:rsidR="0099581B" w:rsidRPr="00E817D1" w:rsidRDefault="00245FCD" w:rsidP="0099581B">
      <w:pPr>
        <w:rPr>
          <w:rFonts w:cstheme="minorHAnsi"/>
        </w:rPr>
      </w:pPr>
      <w:r>
        <w:rPr>
          <w:rFonts w:cstheme="minorHAnsi"/>
        </w:rPr>
        <w:t>W</w:t>
      </w:r>
      <w:r w:rsidR="0099581B" w:rsidRPr="00E817D1">
        <w:rPr>
          <w:rFonts w:cstheme="minorHAnsi"/>
        </w:rPr>
        <w:t>e need to look forward to the next 10 years and beyond</w:t>
      </w:r>
      <w:r>
        <w:rPr>
          <w:rFonts w:cstheme="minorHAnsi"/>
        </w:rPr>
        <w:t xml:space="preserve"> and </w:t>
      </w:r>
      <w:r w:rsidR="0099581B" w:rsidRPr="00E817D1">
        <w:rPr>
          <w:rFonts w:cstheme="minorHAnsi"/>
        </w:rPr>
        <w:t>consider how an improved distance education support framewo</w:t>
      </w:r>
      <w:r w:rsidR="006406F3">
        <w:rPr>
          <w:rFonts w:cstheme="minorHAnsi"/>
        </w:rPr>
        <w:t>rk can ensure Indigenous</w:t>
      </w:r>
      <w:r w:rsidR="0099581B">
        <w:rPr>
          <w:rFonts w:cstheme="minorHAnsi"/>
        </w:rPr>
        <w:t xml:space="preserve"> Australians </w:t>
      </w:r>
      <w:r w:rsidR="0099581B" w:rsidRPr="00E817D1">
        <w:rPr>
          <w:rFonts w:cstheme="minorHAnsi"/>
        </w:rPr>
        <w:t xml:space="preserve">acquire the skills required for future jobs and leadership positions in their communities and elsewhere. </w:t>
      </w:r>
    </w:p>
    <w:p w14:paraId="34141B00" w14:textId="77777777" w:rsidR="00D87C03" w:rsidRDefault="0099581B" w:rsidP="00A978AD">
      <w:pPr>
        <w:rPr>
          <w:szCs w:val="24"/>
        </w:rPr>
      </w:pPr>
      <w:r>
        <w:rPr>
          <w:rFonts w:cstheme="minorHAnsi"/>
        </w:rPr>
        <w:t>Government</w:t>
      </w:r>
      <w:r w:rsidRPr="00E817D1">
        <w:rPr>
          <w:rFonts w:cstheme="minorHAnsi"/>
        </w:rPr>
        <w:t xml:space="preserve"> support </w:t>
      </w:r>
      <w:r>
        <w:rPr>
          <w:rFonts w:cstheme="minorHAnsi"/>
        </w:rPr>
        <w:t xml:space="preserve">for distance education </w:t>
      </w:r>
      <w:r w:rsidRPr="00E817D1">
        <w:rPr>
          <w:rFonts w:cstheme="minorHAnsi"/>
        </w:rPr>
        <w:t xml:space="preserve">has to be easy for both students and providers to navigate and manage. We also need to assure Government and taxpayers that we are utilising existing funding in the </w:t>
      </w:r>
      <w:r w:rsidR="00045D31">
        <w:rPr>
          <w:rFonts w:cstheme="minorHAnsi"/>
        </w:rPr>
        <w:t xml:space="preserve">most efficient way </w:t>
      </w:r>
      <w:r w:rsidRPr="00E817D1">
        <w:rPr>
          <w:rFonts w:cstheme="minorHAnsi"/>
        </w:rPr>
        <w:t>possible so those that need help the most can receive this support.</w:t>
      </w:r>
      <w:r w:rsidRPr="00E63558">
        <w:rPr>
          <w:szCs w:val="24"/>
        </w:rPr>
        <w:t xml:space="preserve"> </w:t>
      </w:r>
    </w:p>
    <w:p w14:paraId="025C8D7F" w14:textId="77777777" w:rsidR="00354377" w:rsidRPr="00120370" w:rsidRDefault="00897B01" w:rsidP="00AD0935">
      <w:pPr>
        <w:pStyle w:val="h2"/>
      </w:pPr>
      <w:r w:rsidRPr="00120370">
        <w:lastRenderedPageBreak/>
        <w:t>T</w:t>
      </w:r>
      <w:r w:rsidR="00D223E3" w:rsidRPr="00120370">
        <w:t>wo</w:t>
      </w:r>
      <w:r w:rsidR="00F74768" w:rsidRPr="00120370">
        <w:t xml:space="preserve"> Away From Base</w:t>
      </w:r>
      <w:r w:rsidR="00F10C49" w:rsidRPr="00120370">
        <w:t xml:space="preserve"> </w:t>
      </w:r>
      <w:r w:rsidRPr="00120370">
        <w:t>Programs</w:t>
      </w:r>
    </w:p>
    <w:p w14:paraId="33ACE0FB" w14:textId="670D3D9A" w:rsidR="00381275" w:rsidRDefault="00381275" w:rsidP="00132433">
      <w:pPr>
        <w:rPr>
          <w:rFonts w:cstheme="minorHAnsi"/>
        </w:rPr>
      </w:pPr>
      <w:r>
        <w:rPr>
          <w:rFonts w:cstheme="minorHAnsi"/>
        </w:rPr>
        <w:t>AFB programs were once administered as a single program, but split two decades ago to offer flexibility to providers to arrange travel on behalf of</w:t>
      </w:r>
      <w:r w:rsidR="006C2B19">
        <w:rPr>
          <w:rFonts w:cstheme="minorHAnsi"/>
        </w:rPr>
        <w:t xml:space="preserve"> their students. Over time,</w:t>
      </w:r>
      <w:r>
        <w:rPr>
          <w:rFonts w:cstheme="minorHAnsi"/>
        </w:rPr>
        <w:t xml:space="preserve"> </w:t>
      </w:r>
      <w:r w:rsidR="008747AC">
        <w:rPr>
          <w:rFonts w:cstheme="minorHAnsi"/>
        </w:rPr>
        <w:t xml:space="preserve">this </w:t>
      </w:r>
      <w:r>
        <w:rPr>
          <w:rFonts w:cstheme="minorHAnsi"/>
        </w:rPr>
        <w:t xml:space="preserve">flexibility has become available under both </w:t>
      </w:r>
      <w:r w:rsidR="009A2C0F">
        <w:rPr>
          <w:rFonts w:cstheme="minorHAnsi"/>
        </w:rPr>
        <w:t>programs</w:t>
      </w:r>
      <w:r>
        <w:rPr>
          <w:rFonts w:cstheme="minorHAnsi"/>
        </w:rPr>
        <w:t xml:space="preserve">. </w:t>
      </w:r>
      <w:r w:rsidR="00C11851">
        <w:rPr>
          <w:rFonts w:cstheme="minorHAnsi"/>
        </w:rPr>
        <w:t xml:space="preserve">Since the programs separated, </w:t>
      </w:r>
      <w:r w:rsidR="00C11851">
        <w:t>there has been no thorough investigation as to wh</w:t>
      </w:r>
      <w:r w:rsidR="009A2C0F">
        <w:t>ether</w:t>
      </w:r>
      <w:r w:rsidR="00C11851">
        <w:t xml:space="preserve"> two separate programs continue to offer </w:t>
      </w:r>
      <w:r w:rsidR="00E9178D">
        <w:t>eligible students</w:t>
      </w:r>
      <w:r w:rsidR="00F87A96">
        <w:t xml:space="preserve"> </w:t>
      </w:r>
      <w:r w:rsidR="00C11851">
        <w:t xml:space="preserve">the </w:t>
      </w:r>
      <w:r w:rsidR="00E9178D">
        <w:t>most effective assistance.</w:t>
      </w:r>
    </w:p>
    <w:p w14:paraId="0A3FDE99" w14:textId="77777777" w:rsidR="00280365" w:rsidRPr="00E817D1" w:rsidRDefault="00381275" w:rsidP="00132433">
      <w:pPr>
        <w:rPr>
          <w:rFonts w:cstheme="minorHAnsi"/>
        </w:rPr>
      </w:pPr>
      <w:r>
        <w:rPr>
          <w:rFonts w:cstheme="minorHAnsi"/>
        </w:rPr>
        <w:t>T</w:t>
      </w:r>
      <w:r w:rsidR="00132433" w:rsidRPr="00E817D1">
        <w:rPr>
          <w:rFonts w:cstheme="minorHAnsi"/>
        </w:rPr>
        <w:t xml:space="preserve">he </w:t>
      </w:r>
      <w:r w:rsidR="00897B01" w:rsidRPr="00E817D1">
        <w:rPr>
          <w:rFonts w:cstheme="minorHAnsi"/>
        </w:rPr>
        <w:t xml:space="preserve">two </w:t>
      </w:r>
      <w:r w:rsidR="00132433" w:rsidRPr="00E817D1">
        <w:rPr>
          <w:rFonts w:cstheme="minorHAnsi"/>
        </w:rPr>
        <w:t xml:space="preserve">AFB </w:t>
      </w:r>
      <w:r w:rsidR="009A2C0F">
        <w:rPr>
          <w:rFonts w:cstheme="minorHAnsi"/>
        </w:rPr>
        <w:t>programs</w:t>
      </w:r>
      <w:r w:rsidR="00A41C47">
        <w:rPr>
          <w:rFonts w:cstheme="minorHAnsi"/>
        </w:rPr>
        <w:t xml:space="preserve"> currently offered by the Commonwealth are</w:t>
      </w:r>
      <w:r w:rsidR="00280365" w:rsidRPr="00E817D1">
        <w:rPr>
          <w:rFonts w:cstheme="minorHAnsi"/>
        </w:rPr>
        <w:t>:</w:t>
      </w:r>
    </w:p>
    <w:p w14:paraId="4F4B3CCB" w14:textId="00012B8E" w:rsidR="00CB7F15" w:rsidRPr="00CB7F15" w:rsidRDefault="00CB7F15" w:rsidP="00323BDA">
      <w:pPr>
        <w:numPr>
          <w:ilvl w:val="0"/>
          <w:numId w:val="8"/>
        </w:numPr>
        <w:spacing w:after="0" w:line="252" w:lineRule="auto"/>
      </w:pPr>
      <w:r>
        <w:t xml:space="preserve">ABSTUDY AFB assistance, administered by the Department of Human Services (DHS) </w:t>
      </w:r>
      <w:r w:rsidR="00A60E2D">
        <w:t>on behalf of the Department of Social Security (DSS)</w:t>
      </w:r>
      <w:r w:rsidR="00E05FA5">
        <w:t>,</w:t>
      </w:r>
      <w:r>
        <w:t xml:space="preserve"> </w:t>
      </w:r>
      <w:r w:rsidR="00E9178D">
        <w:t>is demand</w:t>
      </w:r>
      <w:r w:rsidR="00E9178D">
        <w:noBreakHyphen/>
        <w:t>driven and</w:t>
      </w:r>
      <w:r>
        <w:t xml:space="preserve"> supports students participating in secondary courses, Vocational Education and Training (VET - including for profit providers), ‘VET in schools’ and higher education. </w:t>
      </w:r>
      <w:r w:rsidR="000A694B">
        <w:t xml:space="preserve">ABSTUDY AFB </w:t>
      </w:r>
      <w:r>
        <w:t xml:space="preserve">is funded under the </w:t>
      </w:r>
      <w:r>
        <w:rPr>
          <w:i/>
          <w:iCs/>
        </w:rPr>
        <w:t>Student Assistance Act 1973</w:t>
      </w:r>
      <w:r>
        <w:t xml:space="preserve">, with the DSS having policy responsibility. Payments are based on submissions of cost estimates or reimbursement of cost by students or providers, generally across an academic year, semester or term. </w:t>
      </w:r>
      <w:r w:rsidR="00B2095E">
        <w:t xml:space="preserve">In 2017, there were 25 providers, who assisted hundreds of students at a cost of </w:t>
      </w:r>
      <w:r>
        <w:t>approximately $4.4 million.</w:t>
      </w:r>
    </w:p>
    <w:p w14:paraId="14680DD7" w14:textId="77777777" w:rsidR="00D223E3" w:rsidRPr="00AC5FA6" w:rsidRDefault="00D223E3" w:rsidP="00323BDA">
      <w:pPr>
        <w:spacing w:after="0"/>
        <w:ind w:left="360"/>
        <w:rPr>
          <w:rFonts w:cstheme="minorHAnsi"/>
          <w:sz w:val="16"/>
          <w:szCs w:val="16"/>
        </w:rPr>
      </w:pPr>
    </w:p>
    <w:p w14:paraId="1181B80E" w14:textId="09C75A78" w:rsidR="00C8612D" w:rsidRPr="00F94829" w:rsidRDefault="00F87A96" w:rsidP="00B2208E">
      <w:pPr>
        <w:numPr>
          <w:ilvl w:val="0"/>
          <w:numId w:val="8"/>
        </w:numPr>
        <w:spacing w:before="240" w:after="200" w:line="276" w:lineRule="auto"/>
        <w:contextualSpacing/>
        <w:rPr>
          <w:rFonts w:cstheme="minorHAnsi"/>
          <w:b/>
          <w:sz w:val="20"/>
          <w:szCs w:val="20"/>
        </w:rPr>
      </w:pPr>
      <w:r w:rsidRPr="00F94829">
        <w:rPr>
          <w:rFonts w:cstheme="minorHAnsi"/>
        </w:rPr>
        <w:t>PM&amp;</w:t>
      </w:r>
      <w:r w:rsidR="00897B01" w:rsidRPr="00F94829">
        <w:rPr>
          <w:rFonts w:cstheme="minorHAnsi"/>
        </w:rPr>
        <w:t>C</w:t>
      </w:r>
      <w:r w:rsidR="00C67745" w:rsidRPr="00F94829">
        <w:rPr>
          <w:rFonts w:cstheme="minorHAnsi"/>
        </w:rPr>
        <w:t xml:space="preserve">’s AFB assistance </w:t>
      </w:r>
      <w:r w:rsidR="00DD2365" w:rsidRPr="00F94829">
        <w:rPr>
          <w:rFonts w:cstheme="minorHAnsi"/>
        </w:rPr>
        <w:t xml:space="preserve">is </w:t>
      </w:r>
      <w:r w:rsidR="000A694B" w:rsidRPr="00F94829">
        <w:rPr>
          <w:rFonts w:cstheme="minorHAnsi"/>
        </w:rPr>
        <w:t>offer</w:t>
      </w:r>
      <w:r w:rsidR="00DD2365" w:rsidRPr="00F94829">
        <w:rPr>
          <w:rFonts w:cstheme="minorHAnsi"/>
        </w:rPr>
        <w:t>ed</w:t>
      </w:r>
      <w:r w:rsidR="00E9178D" w:rsidRPr="00F94829">
        <w:rPr>
          <w:rFonts w:cstheme="minorHAnsi"/>
        </w:rPr>
        <w:t xml:space="preserve"> under </w:t>
      </w:r>
      <w:r w:rsidR="00717D3C" w:rsidRPr="00F94829">
        <w:rPr>
          <w:rFonts w:cstheme="minorHAnsi"/>
        </w:rPr>
        <w:t xml:space="preserve">PM&amp;C’s </w:t>
      </w:r>
      <w:r w:rsidR="00280365" w:rsidRPr="00F94829">
        <w:rPr>
          <w:rFonts w:cstheme="minorHAnsi"/>
        </w:rPr>
        <w:t>Indigenous Advancement Strategy</w:t>
      </w:r>
      <w:r w:rsidR="00BF0AA2" w:rsidRPr="00F94829">
        <w:rPr>
          <w:rFonts w:cstheme="minorHAnsi"/>
        </w:rPr>
        <w:t>.</w:t>
      </w:r>
      <w:r w:rsidR="00280365" w:rsidRPr="00F94829">
        <w:rPr>
          <w:rFonts w:cstheme="minorHAnsi"/>
        </w:rPr>
        <w:t xml:space="preserve"> </w:t>
      </w:r>
      <w:r w:rsidR="00897B01" w:rsidRPr="00F94829">
        <w:rPr>
          <w:rFonts w:cstheme="minorHAnsi"/>
        </w:rPr>
        <w:t>PM&amp;C</w:t>
      </w:r>
      <w:r w:rsidRPr="00F94829">
        <w:rPr>
          <w:rFonts w:cstheme="minorHAnsi"/>
        </w:rPr>
        <w:t>’s</w:t>
      </w:r>
      <w:r w:rsidR="00280365" w:rsidRPr="00F94829">
        <w:rPr>
          <w:rFonts w:cstheme="minorHAnsi"/>
        </w:rPr>
        <w:t xml:space="preserve"> </w:t>
      </w:r>
      <w:r w:rsidR="00DD7F4E" w:rsidRPr="00F94829">
        <w:rPr>
          <w:rFonts w:cstheme="minorHAnsi"/>
        </w:rPr>
        <w:t xml:space="preserve">AFB </w:t>
      </w:r>
      <w:r w:rsidR="00FD3EA5" w:rsidRPr="00F94829">
        <w:rPr>
          <w:rFonts w:cstheme="minorHAnsi"/>
        </w:rPr>
        <w:t>program</w:t>
      </w:r>
      <w:r w:rsidR="00280365" w:rsidRPr="00F94829">
        <w:rPr>
          <w:rFonts w:cstheme="minorHAnsi"/>
        </w:rPr>
        <w:t xml:space="preserve"> </w:t>
      </w:r>
      <w:r w:rsidR="00E9178D" w:rsidRPr="00F94829">
        <w:rPr>
          <w:rFonts w:cstheme="minorHAnsi"/>
        </w:rPr>
        <w:t>is a capped financial year allocation</w:t>
      </w:r>
      <w:r w:rsidR="00717D3C" w:rsidRPr="00F94829">
        <w:rPr>
          <w:rFonts w:cstheme="minorHAnsi"/>
        </w:rPr>
        <w:t xml:space="preserve">, </w:t>
      </w:r>
      <w:r w:rsidR="00280365" w:rsidRPr="00F94829">
        <w:rPr>
          <w:rFonts w:cstheme="minorHAnsi"/>
        </w:rPr>
        <w:t>payable to eligible not-for-profit training providers and universities</w:t>
      </w:r>
      <w:r w:rsidR="00717D3C" w:rsidRPr="00F94829">
        <w:rPr>
          <w:rFonts w:cstheme="minorHAnsi"/>
        </w:rPr>
        <w:t xml:space="preserve"> through an agreement that spans an academic year</w:t>
      </w:r>
      <w:r w:rsidR="00280365" w:rsidRPr="00F94829">
        <w:rPr>
          <w:rFonts w:cstheme="minorHAnsi"/>
        </w:rPr>
        <w:t>.</w:t>
      </w:r>
      <w:r w:rsidR="00505C51" w:rsidRPr="00F94829">
        <w:rPr>
          <w:rFonts w:cstheme="minorHAnsi"/>
        </w:rPr>
        <w:t xml:space="preserve"> Payments are made to providers based on a</w:t>
      </w:r>
      <w:r w:rsidR="00D223E3" w:rsidRPr="00F94829">
        <w:rPr>
          <w:rFonts w:cstheme="minorHAnsi"/>
        </w:rPr>
        <w:t>n average</w:t>
      </w:r>
      <w:r w:rsidR="004B2C68" w:rsidRPr="00F94829">
        <w:rPr>
          <w:rFonts w:cstheme="minorHAnsi"/>
        </w:rPr>
        <w:t xml:space="preserve"> </w:t>
      </w:r>
      <w:r w:rsidR="00E16C07" w:rsidRPr="00F94829">
        <w:rPr>
          <w:rFonts w:cstheme="minorHAnsi"/>
        </w:rPr>
        <w:t xml:space="preserve">funding rate </w:t>
      </w:r>
      <w:r w:rsidR="004B2C68" w:rsidRPr="00F94829">
        <w:rPr>
          <w:rFonts w:cstheme="minorHAnsi"/>
        </w:rPr>
        <w:t xml:space="preserve">per </w:t>
      </w:r>
      <w:r w:rsidR="00505C51" w:rsidRPr="00F94829">
        <w:rPr>
          <w:rFonts w:cstheme="minorHAnsi"/>
        </w:rPr>
        <w:t>full</w:t>
      </w:r>
      <w:r w:rsidR="00505C51" w:rsidRPr="00F94829">
        <w:rPr>
          <w:rFonts w:cstheme="minorHAnsi"/>
        </w:rPr>
        <w:noBreakHyphen/>
        <w:t>time equivalent student.</w:t>
      </w:r>
      <w:r w:rsidR="00280365" w:rsidRPr="00F94829">
        <w:rPr>
          <w:rFonts w:cstheme="minorHAnsi"/>
        </w:rPr>
        <w:t xml:space="preserve"> In 2017</w:t>
      </w:r>
      <w:r w:rsidR="00AC5FA6" w:rsidRPr="00F94829">
        <w:rPr>
          <w:rFonts w:cstheme="minorHAnsi"/>
        </w:rPr>
        <w:t>,</w:t>
      </w:r>
      <w:r w:rsidR="00280365" w:rsidRPr="00F94829">
        <w:rPr>
          <w:rFonts w:cstheme="minorHAnsi"/>
        </w:rPr>
        <w:t xml:space="preserve"> there wer</w:t>
      </w:r>
      <w:r w:rsidR="00D223E3" w:rsidRPr="00F94829">
        <w:rPr>
          <w:rFonts w:cstheme="minorHAnsi"/>
        </w:rPr>
        <w:t>e 28 providers, who assisted 6,8</w:t>
      </w:r>
      <w:r w:rsidR="00280365" w:rsidRPr="00F94829">
        <w:rPr>
          <w:rFonts w:cstheme="minorHAnsi"/>
        </w:rPr>
        <w:t>00 students</w:t>
      </w:r>
      <w:r w:rsidR="00D223E3" w:rsidRPr="00F94829">
        <w:rPr>
          <w:rFonts w:cstheme="minorHAnsi"/>
        </w:rPr>
        <w:t xml:space="preserve"> at a cost of approximately $26 million</w:t>
      </w:r>
      <w:r w:rsidR="00280365" w:rsidRPr="00F94829">
        <w:rPr>
          <w:rFonts w:cstheme="minorHAnsi"/>
        </w:rPr>
        <w:t>.</w:t>
      </w:r>
      <w:r w:rsidR="00D223E3" w:rsidRPr="00F94829">
        <w:rPr>
          <w:rFonts w:cstheme="minorHAnsi"/>
        </w:rPr>
        <w:t xml:space="preserve"> Around </w:t>
      </w:r>
      <w:r w:rsidR="00C11851" w:rsidRPr="00F94829">
        <w:rPr>
          <w:rFonts w:cstheme="minorHAnsi"/>
        </w:rPr>
        <w:t>82</w:t>
      </w:r>
      <w:r w:rsidR="00D223E3" w:rsidRPr="00F94829">
        <w:rPr>
          <w:rFonts w:cstheme="minorHAnsi"/>
        </w:rPr>
        <w:t xml:space="preserve"> per cent of students assisted are from regional or remote areas. More than 8,500 of assisted students graduated between 2013</w:t>
      </w:r>
      <w:r w:rsidR="006E7B96" w:rsidRPr="00F94829">
        <w:rPr>
          <w:rFonts w:cstheme="minorHAnsi"/>
        </w:rPr>
        <w:t xml:space="preserve"> and 20</w:t>
      </w:r>
      <w:r w:rsidR="00D223E3" w:rsidRPr="00F94829">
        <w:rPr>
          <w:rFonts w:cstheme="minorHAnsi"/>
        </w:rPr>
        <w:t>16, receiving qualifications from Certificate I up to Masters Degrees. More than 3,000 of those were at Certificate III and IV levels and almost 650 at Bachelor Degree and above.</w:t>
      </w:r>
      <w:r w:rsidR="00376761" w:rsidRPr="00F94829">
        <w:rPr>
          <w:rFonts w:cstheme="minorHAnsi"/>
        </w:rPr>
        <w:t xml:space="preserve"> Figure 2 below disaggregates enrolments by field of study.</w:t>
      </w:r>
    </w:p>
    <w:p w14:paraId="3FE66172" w14:textId="77777777" w:rsidR="00F94829" w:rsidRPr="00F94829" w:rsidRDefault="00F94829" w:rsidP="00F94829">
      <w:pPr>
        <w:spacing w:before="240" w:after="200" w:line="276" w:lineRule="auto"/>
        <w:ind w:left="360"/>
        <w:contextualSpacing/>
        <w:rPr>
          <w:rFonts w:cstheme="minorHAnsi"/>
          <w:b/>
          <w:sz w:val="20"/>
          <w:szCs w:val="20"/>
        </w:rPr>
      </w:pPr>
    </w:p>
    <w:p w14:paraId="6BAD1977" w14:textId="7A2C5339" w:rsidR="00AC5FA6" w:rsidRPr="00F94829" w:rsidRDefault="00AC5FA6" w:rsidP="00F10C49">
      <w:pPr>
        <w:spacing w:before="240" w:after="200" w:line="276" w:lineRule="auto"/>
        <w:contextualSpacing/>
        <w:rPr>
          <w:rFonts w:cstheme="minorHAnsi"/>
          <w:b/>
          <w:color w:val="2E74B5" w:themeColor="accent1" w:themeShade="BF"/>
          <w:sz w:val="20"/>
          <w:szCs w:val="20"/>
        </w:rPr>
      </w:pPr>
      <w:r w:rsidRPr="00F94829">
        <w:rPr>
          <w:rFonts w:cstheme="minorHAnsi"/>
          <w:b/>
          <w:color w:val="2E74B5" w:themeColor="accent1" w:themeShade="BF"/>
          <w:sz w:val="20"/>
          <w:szCs w:val="20"/>
        </w:rPr>
        <w:t xml:space="preserve">Figure 2: PM&amp;C </w:t>
      </w:r>
      <w:r w:rsidR="00376761" w:rsidRPr="00F94829">
        <w:rPr>
          <w:rFonts w:cstheme="minorHAnsi"/>
          <w:b/>
          <w:color w:val="2E74B5" w:themeColor="accent1" w:themeShade="BF"/>
          <w:sz w:val="20"/>
          <w:szCs w:val="20"/>
        </w:rPr>
        <w:t xml:space="preserve">administered </w:t>
      </w:r>
      <w:r w:rsidR="00663650" w:rsidRPr="00F94829">
        <w:rPr>
          <w:rFonts w:cstheme="minorHAnsi"/>
          <w:b/>
          <w:color w:val="2E74B5" w:themeColor="accent1" w:themeShade="BF"/>
          <w:sz w:val="20"/>
          <w:szCs w:val="20"/>
        </w:rPr>
        <w:t>AFB</w:t>
      </w:r>
      <w:r w:rsidRPr="00F94829">
        <w:rPr>
          <w:rFonts w:cstheme="minorHAnsi"/>
          <w:b/>
          <w:color w:val="2E74B5" w:themeColor="accent1" w:themeShade="BF"/>
          <w:sz w:val="20"/>
          <w:szCs w:val="20"/>
        </w:rPr>
        <w:t xml:space="preserve"> enrolments by field of study, 2016</w:t>
      </w:r>
    </w:p>
    <w:p w14:paraId="6AB6D394" w14:textId="2497FFB3" w:rsidR="00107F6E" w:rsidRDefault="00913154" w:rsidP="00AC5FA6">
      <w:pPr>
        <w:spacing w:before="240" w:after="200" w:line="276" w:lineRule="auto"/>
        <w:contextualSpacing/>
        <w:rPr>
          <w:rFonts w:cstheme="minorHAnsi"/>
          <w:b/>
          <w:u w:val="single"/>
        </w:rPr>
      </w:pPr>
      <w:r>
        <w:rPr>
          <w:noProof/>
          <w:lang w:eastAsia="en-AU"/>
        </w:rPr>
        <w:drawing>
          <wp:inline distT="0" distB="0" distL="0" distR="0" wp14:anchorId="11F5133D" wp14:editId="1D188A4F">
            <wp:extent cx="4924425" cy="2743200"/>
            <wp:effectExtent l="0" t="0" r="9525" b="0"/>
            <wp:docPr id="3" name="Picture 3" descr="Figure 2: PM&amp;C administered AFB enrolments by field of study, 2016&#10;Mixed field 1,053&#10;Food and hospitality 138&#10;Creative arts 386&#10;Society 925&#10;Management 835&#10;Education 1,199&#10;Health 1,306&#10;Agriculture 500&#10;Architecture and building 232&#10;Engineering 214&#10;IT 0&#10;Natural and physical services 7" title="Figure 2: PM&amp;C administered AFB enrolments by field of stud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4519D.13D4DE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24425" cy="2743200"/>
                    </a:xfrm>
                    <a:prstGeom prst="rect">
                      <a:avLst/>
                    </a:prstGeom>
                    <a:noFill/>
                    <a:ln>
                      <a:noFill/>
                    </a:ln>
                  </pic:spPr>
                </pic:pic>
              </a:graphicData>
            </a:graphic>
          </wp:inline>
        </w:drawing>
      </w:r>
    </w:p>
    <w:p w14:paraId="5C79281D" w14:textId="77777777" w:rsidR="00107F6E" w:rsidRDefault="00107F6E" w:rsidP="00107F6E">
      <w:pPr>
        <w:spacing w:before="240" w:after="200" w:line="276" w:lineRule="auto"/>
        <w:contextualSpacing/>
        <w:rPr>
          <w:rFonts w:cstheme="minorHAnsi"/>
        </w:rPr>
      </w:pPr>
      <w:r>
        <w:rPr>
          <w:rFonts w:cstheme="minorHAnsi"/>
        </w:rPr>
        <w:t>Students must be eligible for ABSTUDY to access AFB payments under either program. Students can be eligible for AFB assistance under one program</w:t>
      </w:r>
      <w:r w:rsidR="00D81770">
        <w:rPr>
          <w:rFonts w:cstheme="minorHAnsi"/>
        </w:rPr>
        <w:t xml:space="preserve"> even if they are ineligible under the other program.</w:t>
      </w:r>
      <w:r>
        <w:rPr>
          <w:rFonts w:cstheme="minorHAnsi"/>
        </w:rPr>
        <w:t xml:space="preserve"> </w:t>
      </w:r>
      <w:r w:rsidRPr="00BB5B26">
        <w:rPr>
          <w:rFonts w:cstheme="minorHAnsi"/>
        </w:rPr>
        <w:t xml:space="preserve">Further </w:t>
      </w:r>
      <w:r w:rsidR="00C67745">
        <w:rPr>
          <w:rFonts w:cstheme="minorHAnsi"/>
        </w:rPr>
        <w:t>detail</w:t>
      </w:r>
      <w:r w:rsidR="00C67745" w:rsidRPr="00BB5B26">
        <w:rPr>
          <w:rFonts w:cstheme="minorHAnsi"/>
        </w:rPr>
        <w:t xml:space="preserve"> </w:t>
      </w:r>
      <w:r w:rsidRPr="00BB5B26">
        <w:rPr>
          <w:rFonts w:cstheme="minorHAnsi"/>
        </w:rPr>
        <w:t xml:space="preserve">of the two programs is provided at </w:t>
      </w:r>
      <w:r w:rsidRPr="00BB5B26">
        <w:rPr>
          <w:rFonts w:cstheme="minorHAnsi"/>
          <w:u w:val="single"/>
        </w:rPr>
        <w:t>Attachment A</w:t>
      </w:r>
      <w:r w:rsidRPr="00BB5B26">
        <w:rPr>
          <w:rFonts w:cstheme="minorHAnsi"/>
        </w:rPr>
        <w:t xml:space="preserve"> to this discussion paper.</w:t>
      </w:r>
    </w:p>
    <w:p w14:paraId="2F04CDB6" w14:textId="037B456D" w:rsidR="00D208DC" w:rsidRPr="00120370" w:rsidRDefault="009627D6" w:rsidP="00AD0935">
      <w:pPr>
        <w:pStyle w:val="h2"/>
      </w:pPr>
      <w:r w:rsidRPr="00120370">
        <w:lastRenderedPageBreak/>
        <w:t xml:space="preserve">Scope </w:t>
      </w:r>
    </w:p>
    <w:p w14:paraId="66547C2F" w14:textId="77777777" w:rsidR="00496B9B" w:rsidRDefault="00496B9B" w:rsidP="005E6538">
      <w:pPr>
        <w:rPr>
          <w:rFonts w:cstheme="minorHAnsi"/>
        </w:rPr>
      </w:pPr>
      <w:r>
        <w:rPr>
          <w:rFonts w:cstheme="minorHAnsi"/>
        </w:rPr>
        <w:t>The Commonwealth Government has been investi</w:t>
      </w:r>
      <w:r w:rsidR="007B09CE">
        <w:rPr>
          <w:rFonts w:cstheme="minorHAnsi"/>
        </w:rPr>
        <w:t>n</w:t>
      </w:r>
      <w:r>
        <w:rPr>
          <w:rFonts w:cstheme="minorHAnsi"/>
        </w:rPr>
        <w:t>g</w:t>
      </w:r>
      <w:r w:rsidR="007B09CE">
        <w:rPr>
          <w:rFonts w:cstheme="minorHAnsi"/>
        </w:rPr>
        <w:t xml:space="preserve"> in </w:t>
      </w:r>
      <w:r>
        <w:rPr>
          <w:rFonts w:cstheme="minorHAnsi"/>
        </w:rPr>
        <w:t>measures t</w:t>
      </w:r>
      <w:r w:rsidR="006406F3">
        <w:rPr>
          <w:rFonts w:cstheme="minorHAnsi"/>
        </w:rPr>
        <w:t>o improve access to education for</w:t>
      </w:r>
      <w:r>
        <w:rPr>
          <w:rFonts w:cstheme="minorHAnsi"/>
        </w:rPr>
        <w:t xml:space="preserve"> </w:t>
      </w:r>
      <w:r w:rsidR="00E9178D">
        <w:rPr>
          <w:rFonts w:cstheme="minorHAnsi"/>
        </w:rPr>
        <w:t xml:space="preserve">students </w:t>
      </w:r>
      <w:r>
        <w:rPr>
          <w:rFonts w:cstheme="minorHAnsi"/>
        </w:rPr>
        <w:t>in regional and remote areas</w:t>
      </w:r>
      <w:r w:rsidR="007B09CE">
        <w:rPr>
          <w:rFonts w:cstheme="minorHAnsi"/>
        </w:rPr>
        <w:t xml:space="preserve"> for more than 20 years</w:t>
      </w:r>
      <w:r>
        <w:rPr>
          <w:rFonts w:cstheme="minorHAnsi"/>
        </w:rPr>
        <w:t xml:space="preserve">. AFB is one part of the Commonwealth’s support for these students. </w:t>
      </w:r>
    </w:p>
    <w:p w14:paraId="522CF256" w14:textId="7E4B2882" w:rsidR="00496B9B" w:rsidRDefault="00496B9B" w:rsidP="00B70C05">
      <w:pPr>
        <w:rPr>
          <w:rFonts w:cstheme="minorHAnsi"/>
        </w:rPr>
      </w:pPr>
      <w:r>
        <w:rPr>
          <w:rFonts w:cstheme="minorHAnsi"/>
        </w:rPr>
        <w:t xml:space="preserve">However, the two </w:t>
      </w:r>
      <w:r w:rsidR="007B09CE">
        <w:rPr>
          <w:rFonts w:cstheme="minorHAnsi"/>
        </w:rPr>
        <w:t xml:space="preserve">current </w:t>
      </w:r>
      <w:r>
        <w:rPr>
          <w:rFonts w:cstheme="minorHAnsi"/>
        </w:rPr>
        <w:t xml:space="preserve">AFB programs have evolved separately over the last 20 years. The Commonwealth needs to consider whether current AFB arrangements are the most efficient and effective way of supporting </w:t>
      </w:r>
      <w:r w:rsidR="00723B93">
        <w:rPr>
          <w:rFonts w:cstheme="minorHAnsi"/>
        </w:rPr>
        <w:t xml:space="preserve">Indigenous </w:t>
      </w:r>
      <w:r>
        <w:rPr>
          <w:rFonts w:cstheme="minorHAnsi"/>
        </w:rPr>
        <w:t>students</w:t>
      </w:r>
      <w:r w:rsidR="00723B93">
        <w:rPr>
          <w:rFonts w:cstheme="minorHAnsi"/>
        </w:rPr>
        <w:t xml:space="preserve"> studying </w:t>
      </w:r>
      <w:r w:rsidR="000279EA">
        <w:rPr>
          <w:rFonts w:cstheme="minorHAnsi"/>
        </w:rPr>
        <w:t>mixed-mode</w:t>
      </w:r>
      <w:r w:rsidR="00723B93">
        <w:rPr>
          <w:rFonts w:cstheme="minorHAnsi"/>
        </w:rPr>
        <w:t xml:space="preserve"> </w:t>
      </w:r>
      <w:r w:rsidR="00D81770">
        <w:rPr>
          <w:rFonts w:cstheme="minorHAnsi"/>
        </w:rPr>
        <w:t>tertiary</w:t>
      </w:r>
      <w:r w:rsidR="00723B93">
        <w:rPr>
          <w:rFonts w:cstheme="minorHAnsi"/>
        </w:rPr>
        <w:t xml:space="preserve"> education courses</w:t>
      </w:r>
      <w:r>
        <w:rPr>
          <w:rFonts w:cstheme="minorHAnsi"/>
        </w:rPr>
        <w:t xml:space="preserve">. </w:t>
      </w:r>
      <w:r w:rsidR="000279EA">
        <w:rPr>
          <w:rFonts w:cstheme="minorHAnsi"/>
        </w:rPr>
        <w:t>This includes considering</w:t>
      </w:r>
      <w:r>
        <w:rPr>
          <w:rFonts w:cstheme="minorHAnsi"/>
        </w:rPr>
        <w:t xml:space="preserve"> whether the two program model might benefit from </w:t>
      </w:r>
      <w:r w:rsidR="00FA15F7">
        <w:rPr>
          <w:rFonts w:cstheme="minorHAnsi"/>
        </w:rPr>
        <w:t xml:space="preserve">clearer delineation </w:t>
      </w:r>
      <w:r>
        <w:rPr>
          <w:rFonts w:cstheme="minorHAnsi"/>
        </w:rPr>
        <w:t xml:space="preserve">or perhaps some form of consolidation. </w:t>
      </w:r>
      <w:r w:rsidR="008A0506">
        <w:rPr>
          <w:rFonts w:cstheme="minorHAnsi"/>
        </w:rPr>
        <w:t>This will establish a foundation to consider how AFB could better interact with other support available to eligible students into the future.</w:t>
      </w:r>
      <w:r w:rsidR="00BE3D4F">
        <w:rPr>
          <w:rFonts w:cstheme="minorHAnsi"/>
        </w:rPr>
        <w:t xml:space="preserve"> It will also enable Government to better consider </w:t>
      </w:r>
      <w:r w:rsidR="00B70C05">
        <w:rPr>
          <w:rFonts w:cstheme="minorHAnsi"/>
        </w:rPr>
        <w:t xml:space="preserve">the </w:t>
      </w:r>
      <w:r w:rsidR="00BE3D4F">
        <w:rPr>
          <w:rFonts w:cstheme="minorHAnsi"/>
        </w:rPr>
        <w:t>develop</w:t>
      </w:r>
      <w:r w:rsidR="00B70C05">
        <w:rPr>
          <w:rFonts w:cstheme="minorHAnsi"/>
        </w:rPr>
        <w:t>ment of</w:t>
      </w:r>
      <w:r w:rsidR="00BE3D4F">
        <w:rPr>
          <w:rFonts w:cstheme="minorHAnsi"/>
        </w:rPr>
        <w:t xml:space="preserve"> quality standards </w:t>
      </w:r>
      <w:r w:rsidR="00B70C05">
        <w:rPr>
          <w:rFonts w:cstheme="minorHAnsi"/>
        </w:rPr>
        <w:t>across</w:t>
      </w:r>
      <w:r w:rsidR="00BE3D4F">
        <w:rPr>
          <w:rFonts w:cstheme="minorHAnsi"/>
        </w:rPr>
        <w:t xml:space="preserve"> AFB </w:t>
      </w:r>
      <w:r w:rsidR="00B70C05">
        <w:rPr>
          <w:rFonts w:cstheme="minorHAnsi"/>
        </w:rPr>
        <w:t xml:space="preserve">education </w:t>
      </w:r>
      <w:r w:rsidR="00BE3D4F">
        <w:rPr>
          <w:rFonts w:cstheme="minorHAnsi"/>
        </w:rPr>
        <w:t xml:space="preserve">delivery consistent with recommendations 15 and 16 </w:t>
      </w:r>
      <w:r w:rsidR="00B70C05">
        <w:rPr>
          <w:rFonts w:cstheme="minorHAnsi"/>
        </w:rPr>
        <w:t xml:space="preserve">of </w:t>
      </w:r>
      <w:r w:rsidR="00B70C05" w:rsidRPr="00B70C05">
        <w:rPr>
          <w:rFonts w:cstheme="minorHAnsi"/>
        </w:rPr>
        <w:t xml:space="preserve">the </w:t>
      </w:r>
      <w:r w:rsidR="00B70C05" w:rsidRPr="00B70C05">
        <w:t xml:space="preserve">2012 </w:t>
      </w:r>
      <w:r w:rsidR="00B70C05" w:rsidRPr="00B70C05">
        <w:rPr>
          <w:i/>
        </w:rPr>
        <w:t>Review of Higher Education Access and Outcomes for Aboriginal and Torres Strait Islander People</w:t>
      </w:r>
      <w:r w:rsidR="00B70C05" w:rsidRPr="00B70C05">
        <w:t>.</w:t>
      </w:r>
    </w:p>
    <w:p w14:paraId="2159B03A" w14:textId="77777777" w:rsidR="007B09CE" w:rsidRPr="007B09CE" w:rsidRDefault="00FB7228" w:rsidP="005E6538">
      <w:pPr>
        <w:rPr>
          <w:rFonts w:cstheme="minorHAnsi"/>
          <w:lang w:val="en-US"/>
        </w:rPr>
      </w:pPr>
      <w:r>
        <w:rPr>
          <w:rFonts w:cstheme="minorHAnsi"/>
          <w:lang w:val="en-US"/>
        </w:rPr>
        <w:t xml:space="preserve">As </w:t>
      </w:r>
      <w:r w:rsidR="007B09CE">
        <w:rPr>
          <w:rFonts w:cstheme="minorHAnsi"/>
          <w:lang w:val="en-US"/>
        </w:rPr>
        <w:t>this is a complex process</w:t>
      </w:r>
      <w:r>
        <w:rPr>
          <w:rFonts w:cstheme="minorHAnsi"/>
          <w:lang w:val="en-US"/>
        </w:rPr>
        <w:t>,</w:t>
      </w:r>
      <w:r w:rsidR="007B09CE">
        <w:rPr>
          <w:rFonts w:cstheme="minorHAnsi"/>
          <w:lang w:val="en-US"/>
        </w:rPr>
        <w:t xml:space="preserve"> </w:t>
      </w:r>
      <w:r>
        <w:rPr>
          <w:rFonts w:cstheme="minorHAnsi"/>
          <w:lang w:val="en-US"/>
        </w:rPr>
        <w:t xml:space="preserve">this review </w:t>
      </w:r>
      <w:r w:rsidR="007B09CE">
        <w:rPr>
          <w:rFonts w:cstheme="minorHAnsi"/>
          <w:lang w:val="en-US"/>
        </w:rPr>
        <w:t xml:space="preserve">will be </w:t>
      </w:r>
      <w:r>
        <w:rPr>
          <w:rFonts w:cstheme="minorHAnsi"/>
          <w:lang w:val="en-US"/>
        </w:rPr>
        <w:t>undertaken</w:t>
      </w:r>
      <w:r w:rsidR="007B09CE">
        <w:rPr>
          <w:rFonts w:cstheme="minorHAnsi"/>
          <w:lang w:val="en-US"/>
        </w:rPr>
        <w:t xml:space="preserve"> through a phased approach</w:t>
      </w:r>
      <w:r>
        <w:rPr>
          <w:rFonts w:cstheme="minorHAnsi"/>
          <w:lang w:val="en-US"/>
        </w:rPr>
        <w:t xml:space="preserve">, with the </w:t>
      </w:r>
      <w:r w:rsidR="00717D3C">
        <w:rPr>
          <w:rFonts w:cstheme="minorHAnsi"/>
          <w:lang w:val="en-US"/>
        </w:rPr>
        <w:t>Commonwealth</w:t>
      </w:r>
      <w:r>
        <w:rPr>
          <w:rFonts w:cstheme="minorHAnsi"/>
          <w:lang w:val="en-US"/>
        </w:rPr>
        <w:t xml:space="preserve"> Government</w:t>
      </w:r>
      <w:r w:rsidR="007B09CE">
        <w:rPr>
          <w:rFonts w:cstheme="minorHAnsi"/>
          <w:lang w:val="en-US"/>
        </w:rPr>
        <w:t xml:space="preserve"> working closely with providers, students, governments and industry across the different phases.</w:t>
      </w:r>
    </w:p>
    <w:p w14:paraId="7A10F207" w14:textId="26758ED1" w:rsidR="005C2457" w:rsidRPr="005C2457" w:rsidRDefault="00496B9B" w:rsidP="00E63558">
      <w:pPr>
        <w:rPr>
          <w:rFonts w:cstheme="minorHAnsi"/>
        </w:rPr>
      </w:pPr>
      <w:r>
        <w:rPr>
          <w:rFonts w:cstheme="minorHAnsi"/>
        </w:rPr>
        <w:t>This discussion p</w:t>
      </w:r>
      <w:r w:rsidR="000247A8">
        <w:rPr>
          <w:rFonts w:cstheme="minorHAnsi"/>
        </w:rPr>
        <w:t xml:space="preserve">aper </w:t>
      </w:r>
      <w:r w:rsidR="0047053C">
        <w:rPr>
          <w:rFonts w:cstheme="minorHAnsi"/>
        </w:rPr>
        <w:t xml:space="preserve">seeks to engage with </w:t>
      </w:r>
      <w:r>
        <w:rPr>
          <w:rFonts w:cstheme="minorHAnsi"/>
        </w:rPr>
        <w:t>those that use and administer AFB</w:t>
      </w:r>
      <w:r w:rsidR="00723B93">
        <w:rPr>
          <w:rFonts w:cstheme="minorHAnsi"/>
        </w:rPr>
        <w:t xml:space="preserve"> support</w:t>
      </w:r>
      <w:r w:rsidR="00A31229">
        <w:rPr>
          <w:rFonts w:cstheme="minorHAnsi"/>
        </w:rPr>
        <w:t>, with the aim of considering the two program model currently in place.</w:t>
      </w:r>
      <w:r w:rsidR="007B09CE">
        <w:rPr>
          <w:rFonts w:cstheme="minorHAnsi"/>
        </w:rPr>
        <w:t xml:space="preserve"> </w:t>
      </w:r>
      <w:r w:rsidR="009627D6">
        <w:rPr>
          <w:rFonts w:cstheme="minorHAnsi"/>
        </w:rPr>
        <w:t xml:space="preserve">It </w:t>
      </w:r>
      <w:r w:rsidR="006406F3">
        <w:rPr>
          <w:rFonts w:cstheme="minorHAnsi"/>
        </w:rPr>
        <w:t>is designed to see</w:t>
      </w:r>
      <w:r w:rsidR="00723B93">
        <w:rPr>
          <w:rFonts w:cstheme="minorHAnsi"/>
        </w:rPr>
        <w:t>k</w:t>
      </w:r>
      <w:r w:rsidR="005C2457" w:rsidRPr="005C2457">
        <w:rPr>
          <w:rFonts w:cstheme="minorHAnsi"/>
        </w:rPr>
        <w:t xml:space="preserve"> feedback on activities currently funded through </w:t>
      </w:r>
      <w:r w:rsidR="00B73355">
        <w:rPr>
          <w:rFonts w:cstheme="minorHAnsi"/>
        </w:rPr>
        <w:t>AFB</w:t>
      </w:r>
      <w:r w:rsidR="005C2457" w:rsidRPr="005C2457">
        <w:rPr>
          <w:rFonts w:cstheme="minorHAnsi"/>
        </w:rPr>
        <w:t xml:space="preserve"> programs.</w:t>
      </w:r>
      <w:r w:rsidR="005C2457">
        <w:rPr>
          <w:rFonts w:cstheme="minorHAnsi"/>
        </w:rPr>
        <w:t xml:space="preserve"> While the Commonwealth is interested in interactions with other forms of assistance, the review is initially considering how </w:t>
      </w:r>
      <w:r w:rsidR="00B73355">
        <w:rPr>
          <w:rFonts w:cstheme="minorHAnsi"/>
        </w:rPr>
        <w:t>AFB</w:t>
      </w:r>
      <w:r w:rsidR="005C2457">
        <w:rPr>
          <w:rFonts w:cstheme="minorHAnsi"/>
        </w:rPr>
        <w:t xml:space="preserve"> arrangements can be improved, rather than how other programs can be improved.</w:t>
      </w:r>
      <w:r w:rsidR="00AC5FA6">
        <w:rPr>
          <w:rFonts w:cstheme="minorHAnsi"/>
        </w:rPr>
        <w:t xml:space="preserve"> Given the complexity of </w:t>
      </w:r>
      <w:r w:rsidR="00B73355">
        <w:rPr>
          <w:rFonts w:cstheme="minorHAnsi"/>
        </w:rPr>
        <w:t>AFB</w:t>
      </w:r>
      <w:r w:rsidR="00AC5FA6">
        <w:rPr>
          <w:rFonts w:cstheme="minorHAnsi"/>
        </w:rPr>
        <w:t xml:space="preserve">, the tables below offer some guidance </w:t>
      </w:r>
      <w:r w:rsidR="00463BCE">
        <w:rPr>
          <w:rFonts w:cstheme="minorHAnsi"/>
        </w:rPr>
        <w:t>on</w:t>
      </w:r>
      <w:r w:rsidR="00AC5FA6">
        <w:rPr>
          <w:rFonts w:cstheme="minorHAnsi"/>
        </w:rPr>
        <w:t xml:space="preserve"> what is conside</w:t>
      </w:r>
      <w:r w:rsidR="007C6B82">
        <w:rPr>
          <w:rFonts w:cstheme="minorHAnsi"/>
        </w:rPr>
        <w:t>red in-scope and out of scope in</w:t>
      </w:r>
      <w:r w:rsidR="00AC5FA6">
        <w:rPr>
          <w:rFonts w:cstheme="minorHAnsi"/>
        </w:rPr>
        <w:t xml:space="preserve"> this phase of the review.</w:t>
      </w:r>
    </w:p>
    <w:p w14:paraId="74CD6BA9" w14:textId="77777777" w:rsidR="00C8612D" w:rsidRDefault="00C8612D">
      <w:pPr>
        <w:rPr>
          <w:rFonts w:cstheme="minorHAnsi"/>
          <w:u w:val="single"/>
        </w:rPr>
      </w:pPr>
      <w:r>
        <w:rPr>
          <w:rFonts w:cstheme="minorHAnsi"/>
          <w:u w:val="single"/>
        </w:rPr>
        <w:br w:type="page"/>
      </w:r>
    </w:p>
    <w:p w14:paraId="7721FC23" w14:textId="41A868E8" w:rsidR="00D70102" w:rsidRPr="00AD0935" w:rsidRDefault="00D70102" w:rsidP="00AD0935">
      <w:pPr>
        <w:pStyle w:val="h3"/>
      </w:pPr>
      <w:r w:rsidRPr="00AD0935">
        <w:lastRenderedPageBreak/>
        <w:t>PM&amp;C AFB assistance</w:t>
      </w:r>
    </w:p>
    <w:p w14:paraId="6DD2C5D2" w14:textId="77777777" w:rsidR="00D70102" w:rsidRDefault="00D70102" w:rsidP="00E63558">
      <w:pPr>
        <w:rPr>
          <w:rFonts w:cstheme="minorHAnsi"/>
        </w:rPr>
      </w:pPr>
      <w:r>
        <w:rPr>
          <w:rFonts w:cstheme="minorHAnsi"/>
        </w:rPr>
        <w:t xml:space="preserve">Through PM&amp;C, AFB assistance is provided as a part of the </w:t>
      </w:r>
      <w:r w:rsidR="00663650">
        <w:rPr>
          <w:rFonts w:cstheme="minorHAnsi"/>
        </w:rPr>
        <w:t>AFB</w:t>
      </w:r>
      <w:r>
        <w:rPr>
          <w:rFonts w:cstheme="minorHAnsi"/>
        </w:rPr>
        <w:t xml:space="preserve"> </w:t>
      </w:r>
      <w:r w:rsidR="005C2457">
        <w:rPr>
          <w:rFonts w:cstheme="minorHAnsi"/>
        </w:rPr>
        <w:t>for Mixed-Mode Delivery Program</w:t>
      </w:r>
      <w:r>
        <w:rPr>
          <w:rFonts w:cstheme="minorHAnsi"/>
        </w:rPr>
        <w:t xml:space="preserve"> under the Indigenous Advancement Strategy. </w:t>
      </w:r>
    </w:p>
    <w:tbl>
      <w:tblPr>
        <w:tblStyle w:val="TableGrid"/>
        <w:tblW w:w="0" w:type="auto"/>
        <w:tblLook w:val="04A0" w:firstRow="1" w:lastRow="0" w:firstColumn="1" w:lastColumn="0" w:noHBand="0" w:noVBand="1"/>
      </w:tblPr>
      <w:tblGrid>
        <w:gridCol w:w="4248"/>
        <w:gridCol w:w="4766"/>
      </w:tblGrid>
      <w:tr w:rsidR="00D70102" w:rsidRPr="00D70102" w14:paraId="7B87C629" w14:textId="77777777" w:rsidTr="00AD0935">
        <w:trPr>
          <w:tblHeader/>
        </w:trPr>
        <w:tc>
          <w:tcPr>
            <w:tcW w:w="4248" w:type="dxa"/>
            <w:shd w:val="clear" w:color="auto" w:fill="D0CECE" w:themeFill="background2" w:themeFillShade="E6"/>
          </w:tcPr>
          <w:p w14:paraId="49FBF3E9" w14:textId="77777777" w:rsidR="00D70102" w:rsidRPr="0049137F" w:rsidRDefault="00BB41AA">
            <w:pPr>
              <w:rPr>
                <w:rFonts w:cstheme="minorHAnsi"/>
                <w:b/>
              </w:rPr>
            </w:pPr>
            <w:r>
              <w:rPr>
                <w:rFonts w:cstheme="minorHAnsi"/>
                <w:b/>
              </w:rPr>
              <w:t>I</w:t>
            </w:r>
            <w:r w:rsidR="00D70102" w:rsidRPr="0049137F">
              <w:rPr>
                <w:rFonts w:cstheme="minorHAnsi"/>
                <w:b/>
              </w:rPr>
              <w:t>n scope</w:t>
            </w:r>
          </w:p>
        </w:tc>
        <w:tc>
          <w:tcPr>
            <w:tcW w:w="4766" w:type="dxa"/>
            <w:shd w:val="clear" w:color="auto" w:fill="D0CECE" w:themeFill="background2" w:themeFillShade="E6"/>
          </w:tcPr>
          <w:p w14:paraId="61C91DC4" w14:textId="77777777" w:rsidR="00D70102" w:rsidRPr="0049137F" w:rsidRDefault="00BB41AA">
            <w:pPr>
              <w:rPr>
                <w:rFonts w:cstheme="minorHAnsi"/>
                <w:b/>
              </w:rPr>
            </w:pPr>
            <w:r>
              <w:rPr>
                <w:rFonts w:cstheme="minorHAnsi"/>
                <w:b/>
              </w:rPr>
              <w:t>O</w:t>
            </w:r>
            <w:r w:rsidR="00D70102" w:rsidRPr="0049137F">
              <w:rPr>
                <w:rFonts w:cstheme="minorHAnsi"/>
                <w:b/>
              </w:rPr>
              <w:t>ut of scope</w:t>
            </w:r>
          </w:p>
        </w:tc>
      </w:tr>
      <w:tr w:rsidR="00D70102" w:rsidRPr="00D70102" w14:paraId="2C495D52" w14:textId="77777777" w:rsidTr="00812E32">
        <w:tc>
          <w:tcPr>
            <w:tcW w:w="4248" w:type="dxa"/>
          </w:tcPr>
          <w:p w14:paraId="22CA0A8F" w14:textId="77777777" w:rsidR="00D70102" w:rsidRPr="00D70102" w:rsidRDefault="005C2457" w:rsidP="00D70102">
            <w:pPr>
              <w:rPr>
                <w:rFonts w:cstheme="minorHAnsi"/>
              </w:rPr>
            </w:pPr>
            <w:r>
              <w:rPr>
                <w:rFonts w:cstheme="minorHAnsi"/>
              </w:rPr>
              <w:t>Away from Base activities established under the Indigenous Advancement Strategy</w:t>
            </w:r>
            <w:r w:rsidR="00D229F8">
              <w:rPr>
                <w:rFonts w:cstheme="minorHAnsi"/>
              </w:rPr>
              <w:t>.</w:t>
            </w:r>
          </w:p>
        </w:tc>
        <w:tc>
          <w:tcPr>
            <w:tcW w:w="4766" w:type="dxa"/>
          </w:tcPr>
          <w:p w14:paraId="3C03C693" w14:textId="2B3FA86B" w:rsidR="00D70102" w:rsidRPr="005C2457" w:rsidRDefault="003B0E55" w:rsidP="005C2457">
            <w:pPr>
              <w:pStyle w:val="ListParagraph"/>
              <w:numPr>
                <w:ilvl w:val="0"/>
                <w:numId w:val="14"/>
              </w:numPr>
              <w:spacing w:after="0" w:line="240" w:lineRule="auto"/>
              <w:rPr>
                <w:rFonts w:asciiTheme="minorHAnsi" w:hAnsiTheme="minorHAnsi" w:cstheme="minorHAnsi"/>
              </w:rPr>
            </w:pPr>
            <w:r>
              <w:rPr>
                <w:rFonts w:asciiTheme="minorHAnsi" w:hAnsiTheme="minorHAnsi" w:cstheme="minorHAnsi"/>
              </w:rPr>
              <w:t>F</w:t>
            </w:r>
            <w:r w:rsidR="0049137F" w:rsidRPr="005C2457">
              <w:rPr>
                <w:rFonts w:asciiTheme="minorHAnsi" w:hAnsiTheme="minorHAnsi" w:cstheme="minorHAnsi"/>
              </w:rPr>
              <w:t xml:space="preserve">unding provided </w:t>
            </w:r>
            <w:r w:rsidR="00DC282D" w:rsidRPr="005C2457">
              <w:rPr>
                <w:rFonts w:asciiTheme="minorHAnsi" w:hAnsiTheme="minorHAnsi" w:cstheme="minorHAnsi"/>
              </w:rPr>
              <w:t>through the Indi</w:t>
            </w:r>
            <w:r w:rsidR="00A41C47" w:rsidRPr="005C2457">
              <w:rPr>
                <w:rFonts w:asciiTheme="minorHAnsi" w:hAnsiTheme="minorHAnsi" w:cstheme="minorHAnsi"/>
              </w:rPr>
              <w:t>genous Student Success Program</w:t>
            </w:r>
            <w:r w:rsidR="00FC5F37">
              <w:rPr>
                <w:rFonts w:asciiTheme="minorHAnsi" w:hAnsiTheme="minorHAnsi" w:cstheme="minorHAnsi"/>
              </w:rPr>
              <w:t>;</w:t>
            </w:r>
          </w:p>
          <w:p w14:paraId="77E5B8D6" w14:textId="76C540C8" w:rsidR="005C2457" w:rsidRPr="005C2457" w:rsidRDefault="005C2457" w:rsidP="005C2457">
            <w:pPr>
              <w:pStyle w:val="ListParagraph"/>
              <w:numPr>
                <w:ilvl w:val="0"/>
                <w:numId w:val="14"/>
              </w:numPr>
              <w:spacing w:after="0" w:line="240" w:lineRule="auto"/>
              <w:rPr>
                <w:rFonts w:cstheme="minorHAnsi"/>
              </w:rPr>
            </w:pPr>
            <w:r>
              <w:rPr>
                <w:rFonts w:asciiTheme="minorHAnsi" w:hAnsiTheme="minorHAnsi" w:cstheme="minorHAnsi"/>
              </w:rPr>
              <w:t xml:space="preserve">Vocational </w:t>
            </w:r>
            <w:r w:rsidR="00376761">
              <w:rPr>
                <w:rFonts w:asciiTheme="minorHAnsi" w:hAnsiTheme="minorHAnsi" w:cstheme="minorHAnsi"/>
              </w:rPr>
              <w:t>Training and Employment Centres</w:t>
            </w:r>
            <w:r>
              <w:rPr>
                <w:rFonts w:asciiTheme="minorHAnsi" w:hAnsiTheme="minorHAnsi" w:cstheme="minorHAnsi"/>
              </w:rPr>
              <w:t xml:space="preserve"> (VTEC) funding and Tailore</w:t>
            </w:r>
            <w:r w:rsidR="00FC5F37">
              <w:rPr>
                <w:rFonts w:asciiTheme="minorHAnsi" w:hAnsiTheme="minorHAnsi" w:cstheme="minorHAnsi"/>
              </w:rPr>
              <w:t>d Employment Assistance funding; and</w:t>
            </w:r>
          </w:p>
          <w:p w14:paraId="42F0D5DD" w14:textId="2C3CE946" w:rsidR="005C2457" w:rsidRPr="005C2457" w:rsidRDefault="003B0E55" w:rsidP="00376761">
            <w:pPr>
              <w:pStyle w:val="ListParagraph"/>
              <w:numPr>
                <w:ilvl w:val="0"/>
                <w:numId w:val="14"/>
              </w:numPr>
              <w:spacing w:after="0" w:line="240" w:lineRule="auto"/>
              <w:rPr>
                <w:rFonts w:cstheme="minorHAnsi"/>
              </w:rPr>
            </w:pPr>
            <w:r>
              <w:rPr>
                <w:rFonts w:asciiTheme="minorHAnsi" w:hAnsiTheme="minorHAnsi" w:cstheme="minorHAnsi"/>
              </w:rPr>
              <w:t>O</w:t>
            </w:r>
            <w:r w:rsidR="005C2457" w:rsidRPr="005C2457">
              <w:rPr>
                <w:rFonts w:asciiTheme="minorHAnsi" w:hAnsiTheme="minorHAnsi" w:cstheme="minorHAnsi"/>
              </w:rPr>
              <w:t>ther Indigenous Advancement Strategy funding including funding provided to organisations who support students who live away from home to study (</w:t>
            </w:r>
            <w:r w:rsidR="00376761">
              <w:rPr>
                <w:rFonts w:asciiTheme="minorHAnsi" w:hAnsiTheme="minorHAnsi" w:cstheme="minorHAnsi"/>
              </w:rPr>
              <w:t>such as scholarships</w:t>
            </w:r>
            <w:r w:rsidR="005C2457" w:rsidRPr="005C2457">
              <w:rPr>
                <w:rFonts w:asciiTheme="minorHAnsi" w:hAnsiTheme="minorHAnsi" w:cstheme="minorHAnsi"/>
              </w:rPr>
              <w:t xml:space="preserve"> or </w:t>
            </w:r>
            <w:r w:rsidR="00376761">
              <w:rPr>
                <w:rFonts w:asciiTheme="minorHAnsi" w:hAnsiTheme="minorHAnsi" w:cstheme="minorHAnsi"/>
              </w:rPr>
              <w:t xml:space="preserve">the </w:t>
            </w:r>
            <w:r w:rsidR="005C2457" w:rsidRPr="005C2457">
              <w:rPr>
                <w:rFonts w:asciiTheme="minorHAnsi" w:hAnsiTheme="minorHAnsi" w:cstheme="minorHAnsi"/>
              </w:rPr>
              <w:t>former Indigenous Youth Mobility Program).</w:t>
            </w:r>
          </w:p>
        </w:tc>
      </w:tr>
    </w:tbl>
    <w:p w14:paraId="158DEB0F" w14:textId="4FF33EDA" w:rsidR="00D70102" w:rsidRPr="00620C44" w:rsidRDefault="003355E9" w:rsidP="00AD0935">
      <w:pPr>
        <w:pStyle w:val="h3"/>
      </w:pPr>
      <w:r w:rsidRPr="00620C44">
        <w:t xml:space="preserve">ABSTUDY </w:t>
      </w:r>
      <w:r w:rsidR="00D70102" w:rsidRPr="00620C44">
        <w:t>AFB assistance</w:t>
      </w:r>
    </w:p>
    <w:p w14:paraId="007F50E1" w14:textId="73BF8C0D" w:rsidR="00E63558" w:rsidRDefault="00E63558" w:rsidP="004F2F63">
      <w:pPr>
        <w:spacing w:after="120"/>
        <w:rPr>
          <w:rFonts w:cstheme="minorHAnsi"/>
        </w:rPr>
      </w:pPr>
      <w:r w:rsidRPr="00620C44">
        <w:rPr>
          <w:rFonts w:cstheme="minorHAnsi"/>
        </w:rPr>
        <w:t>Through DHS, AFB assistance is provided as part of the ABSTUDY Scheme. Certain ABSTUDY</w:t>
      </w:r>
      <w:r>
        <w:rPr>
          <w:rFonts w:cstheme="minorHAnsi"/>
        </w:rPr>
        <w:t xml:space="preserve"> payments may be accessed for participation in AFB activities, as well as by other students who need to live away from </w:t>
      </w:r>
      <w:r w:rsidRPr="00620C44">
        <w:rPr>
          <w:rFonts w:cstheme="minorHAnsi"/>
        </w:rPr>
        <w:t>home</w:t>
      </w:r>
      <w:r>
        <w:rPr>
          <w:rFonts w:cstheme="minorHAnsi"/>
        </w:rPr>
        <w:t xml:space="preserve"> to study. The following table shows the </w:t>
      </w:r>
      <w:r w:rsidR="003355E9">
        <w:rPr>
          <w:rFonts w:cstheme="minorHAnsi"/>
        </w:rPr>
        <w:t xml:space="preserve">ABSTUDY </w:t>
      </w:r>
      <w:r w:rsidR="00BE1536">
        <w:rPr>
          <w:rFonts w:cstheme="minorHAnsi"/>
        </w:rPr>
        <w:t>AFB assistance that is in</w:t>
      </w:r>
      <w:r w:rsidR="00BE1536">
        <w:rPr>
          <w:rFonts w:cstheme="minorHAnsi"/>
        </w:rPr>
        <w:noBreakHyphen/>
      </w:r>
      <w:r>
        <w:rPr>
          <w:rFonts w:cstheme="minorHAnsi"/>
        </w:rPr>
        <w:t xml:space="preserve">scope compared to other ABSTUDY assistance that is out of scope of the </w:t>
      </w:r>
      <w:r w:rsidR="00D4650A">
        <w:rPr>
          <w:rFonts w:cstheme="minorHAnsi"/>
        </w:rPr>
        <w:t>review</w:t>
      </w:r>
      <w:r>
        <w:rPr>
          <w:rFonts w:cstheme="minorHAnsi"/>
        </w:rPr>
        <w:t>.</w:t>
      </w:r>
    </w:p>
    <w:tbl>
      <w:tblPr>
        <w:tblStyle w:val="TableGrid"/>
        <w:tblW w:w="0" w:type="auto"/>
        <w:tblLook w:val="04A0" w:firstRow="1" w:lastRow="0" w:firstColumn="1" w:lastColumn="0" w:noHBand="0" w:noVBand="1"/>
      </w:tblPr>
      <w:tblGrid>
        <w:gridCol w:w="4248"/>
        <w:gridCol w:w="4766"/>
      </w:tblGrid>
      <w:tr w:rsidR="00E63558" w14:paraId="44D5A5E4" w14:textId="77777777" w:rsidTr="00AD0935">
        <w:trPr>
          <w:tblHead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4E8495" w14:textId="77777777" w:rsidR="00E63558" w:rsidRDefault="00BB41AA">
            <w:pPr>
              <w:rPr>
                <w:rFonts w:ascii="Arial" w:hAnsi="Arial"/>
                <w:b/>
              </w:rPr>
            </w:pPr>
            <w:r>
              <w:rPr>
                <w:b/>
              </w:rPr>
              <w:t>I</w:t>
            </w:r>
            <w:r w:rsidR="00E63558">
              <w:rPr>
                <w:b/>
              </w:rPr>
              <w:t>n scope</w:t>
            </w:r>
          </w:p>
        </w:tc>
        <w:tc>
          <w:tcPr>
            <w:tcW w:w="47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410E7C" w14:textId="77777777" w:rsidR="00E63558" w:rsidRDefault="00BB41AA">
            <w:pPr>
              <w:rPr>
                <w:rFonts w:ascii="Arial" w:hAnsi="Arial"/>
                <w:b/>
              </w:rPr>
            </w:pPr>
            <w:r>
              <w:rPr>
                <w:b/>
              </w:rPr>
              <w:t>O</w:t>
            </w:r>
            <w:r w:rsidR="00E63558">
              <w:rPr>
                <w:b/>
              </w:rPr>
              <w:t>ut of scope</w:t>
            </w:r>
          </w:p>
        </w:tc>
      </w:tr>
      <w:tr w:rsidR="00E63558" w14:paraId="4D36624C" w14:textId="77777777" w:rsidTr="00812E32">
        <w:tc>
          <w:tcPr>
            <w:tcW w:w="4248" w:type="dxa"/>
            <w:tcBorders>
              <w:top w:val="single" w:sz="4" w:space="0" w:color="auto"/>
              <w:left w:val="single" w:sz="4" w:space="0" w:color="auto"/>
              <w:bottom w:val="single" w:sz="4" w:space="0" w:color="auto"/>
              <w:right w:val="single" w:sz="4" w:space="0" w:color="auto"/>
            </w:tcBorders>
            <w:hideMark/>
          </w:tcPr>
          <w:p w14:paraId="534A0135" w14:textId="77777777" w:rsidR="00E63558" w:rsidRDefault="00E63558" w:rsidP="0062270E">
            <w:pPr>
              <w:rPr>
                <w:rFonts w:ascii="Arial" w:hAnsi="Arial"/>
              </w:rPr>
            </w:pPr>
            <w:r>
              <w:t>Fares Allowance to cover the cost of travel either for the student or the education provider, where they have been approved to participate in an AFB activity.</w:t>
            </w:r>
          </w:p>
        </w:tc>
        <w:tc>
          <w:tcPr>
            <w:tcW w:w="4766" w:type="dxa"/>
            <w:tcBorders>
              <w:top w:val="single" w:sz="4" w:space="0" w:color="auto"/>
              <w:left w:val="single" w:sz="4" w:space="0" w:color="auto"/>
              <w:bottom w:val="single" w:sz="4" w:space="0" w:color="auto"/>
              <w:right w:val="single" w:sz="4" w:space="0" w:color="auto"/>
            </w:tcBorders>
          </w:tcPr>
          <w:p w14:paraId="591D1EE0" w14:textId="77777777" w:rsidR="00E63558" w:rsidRDefault="00E63558" w:rsidP="0062270E">
            <w:pPr>
              <w:rPr>
                <w:rFonts w:ascii="Arial" w:hAnsi="Arial"/>
              </w:rPr>
            </w:pPr>
            <w:r>
              <w:t>Fares Allowance for ABSTUDY students who need to travel away from home to attend study (except for travel to participate in AFB activity)</w:t>
            </w:r>
            <w:r w:rsidR="004B2C68">
              <w:t>.</w:t>
            </w:r>
          </w:p>
        </w:tc>
      </w:tr>
      <w:tr w:rsidR="00E63558" w14:paraId="55F98DBB" w14:textId="77777777" w:rsidTr="00812E32">
        <w:tc>
          <w:tcPr>
            <w:tcW w:w="4248" w:type="dxa"/>
            <w:tcBorders>
              <w:top w:val="single" w:sz="4" w:space="0" w:color="auto"/>
              <w:left w:val="single" w:sz="4" w:space="0" w:color="auto"/>
              <w:bottom w:val="single" w:sz="4" w:space="0" w:color="auto"/>
              <w:right w:val="single" w:sz="4" w:space="0" w:color="auto"/>
            </w:tcBorders>
          </w:tcPr>
          <w:p w14:paraId="3A65DF2B" w14:textId="77777777" w:rsidR="00E63558" w:rsidRDefault="00E63558" w:rsidP="0062270E">
            <w:pPr>
              <w:rPr>
                <w:rFonts w:ascii="Arial" w:hAnsi="Arial"/>
              </w:rPr>
            </w:pPr>
            <w:r>
              <w:t>Meals and accommodation costs, paid as either residential expenses or travel allowance.</w:t>
            </w:r>
            <w:r w:rsidR="004B2C68">
              <w:rPr>
                <w:rFonts w:ascii="Arial" w:hAnsi="Arial"/>
              </w:rPr>
              <w:t xml:space="preserve"> </w:t>
            </w:r>
            <w:r>
              <w:t>May be paid to the student, the education provider or the driver/pilot.</w:t>
            </w:r>
          </w:p>
        </w:tc>
        <w:tc>
          <w:tcPr>
            <w:tcW w:w="4766" w:type="dxa"/>
            <w:tcBorders>
              <w:top w:val="single" w:sz="4" w:space="0" w:color="auto"/>
              <w:left w:val="single" w:sz="4" w:space="0" w:color="auto"/>
              <w:bottom w:val="single" w:sz="4" w:space="0" w:color="auto"/>
              <w:right w:val="single" w:sz="4" w:space="0" w:color="auto"/>
            </w:tcBorders>
          </w:tcPr>
          <w:p w14:paraId="712F3B20" w14:textId="77777777" w:rsidR="00E63558" w:rsidRDefault="00E63558" w:rsidP="0062270E">
            <w:pPr>
              <w:rPr>
                <w:rFonts w:ascii="Arial" w:hAnsi="Arial"/>
              </w:rPr>
            </w:pPr>
            <w:r>
              <w:t>Costs associated with overnight accommodation (including meals and accommodation costs and travel allowance), approved under Fares Allowance entitlement for students who need to travel away from home to attend study.</w:t>
            </w:r>
          </w:p>
          <w:p w14:paraId="3BFC37E8" w14:textId="77777777" w:rsidR="00E63558" w:rsidRDefault="00E63558" w:rsidP="0062270E">
            <w:pPr>
              <w:rPr>
                <w:rFonts w:ascii="Arial" w:hAnsi="Arial"/>
              </w:rPr>
            </w:pPr>
            <w:r>
              <w:t>(except where these costs are approved for student participating in AFB activity)</w:t>
            </w:r>
          </w:p>
        </w:tc>
      </w:tr>
      <w:tr w:rsidR="00E63558" w14:paraId="36EAD263" w14:textId="77777777" w:rsidTr="00812E32">
        <w:tc>
          <w:tcPr>
            <w:tcW w:w="4248" w:type="dxa"/>
            <w:tcBorders>
              <w:top w:val="single" w:sz="4" w:space="0" w:color="auto"/>
              <w:left w:val="single" w:sz="4" w:space="0" w:color="auto"/>
              <w:bottom w:val="single" w:sz="4" w:space="0" w:color="auto"/>
              <w:right w:val="single" w:sz="4" w:space="0" w:color="auto"/>
            </w:tcBorders>
            <w:hideMark/>
          </w:tcPr>
          <w:p w14:paraId="61BF1F97" w14:textId="77777777" w:rsidR="00E63558" w:rsidRDefault="00E63558" w:rsidP="0062270E">
            <w:pPr>
              <w:rPr>
                <w:rFonts w:ascii="Arial" w:hAnsi="Arial"/>
              </w:rPr>
            </w:pPr>
            <w:r>
              <w:t>Non-means tested Living Allowance, where student qualifies for AFB activity</w:t>
            </w:r>
            <w:r w:rsidR="00BB41AA">
              <w:t>.</w:t>
            </w:r>
          </w:p>
        </w:tc>
        <w:tc>
          <w:tcPr>
            <w:tcW w:w="4766" w:type="dxa"/>
            <w:tcBorders>
              <w:top w:val="single" w:sz="4" w:space="0" w:color="auto"/>
              <w:left w:val="single" w:sz="4" w:space="0" w:color="auto"/>
              <w:bottom w:val="single" w:sz="4" w:space="0" w:color="auto"/>
              <w:right w:val="single" w:sz="4" w:space="0" w:color="auto"/>
            </w:tcBorders>
          </w:tcPr>
          <w:p w14:paraId="7C2BC9D4" w14:textId="77777777" w:rsidR="00E63558" w:rsidRDefault="00E63558" w:rsidP="0062270E">
            <w:pPr>
              <w:rPr>
                <w:rFonts w:ascii="Arial" w:hAnsi="Arial"/>
              </w:rPr>
            </w:pPr>
            <w:r>
              <w:t xml:space="preserve">Means tested Living Allowance for students eligible for Schooling B Award, Tertiary Award, </w:t>
            </w:r>
            <w:r w:rsidR="007F52D3">
              <w:t>and Masters</w:t>
            </w:r>
            <w:r>
              <w:t>/Doctorate Award.</w:t>
            </w:r>
          </w:p>
        </w:tc>
      </w:tr>
      <w:tr w:rsidR="00E63558" w14:paraId="0A6514CD" w14:textId="77777777" w:rsidTr="00812E32">
        <w:tc>
          <w:tcPr>
            <w:tcW w:w="4248" w:type="dxa"/>
            <w:tcBorders>
              <w:top w:val="single" w:sz="4" w:space="0" w:color="auto"/>
              <w:left w:val="single" w:sz="4" w:space="0" w:color="auto"/>
              <w:bottom w:val="single" w:sz="4" w:space="0" w:color="auto"/>
              <w:right w:val="single" w:sz="4" w:space="0" w:color="auto"/>
            </w:tcBorders>
            <w:hideMark/>
          </w:tcPr>
          <w:p w14:paraId="6995E9EB" w14:textId="77777777" w:rsidR="00E63558" w:rsidRDefault="00E63558">
            <w:pPr>
              <w:rPr>
                <w:rFonts w:ascii="Arial" w:hAnsi="Arial"/>
              </w:rPr>
            </w:pPr>
            <w:r>
              <w:t xml:space="preserve">Incidentals Allowance to undertake a course where funding for AFB activity is otherwise covered under PM&amp;C </w:t>
            </w:r>
            <w:r w:rsidR="00DD7F4E">
              <w:t xml:space="preserve">AFB </w:t>
            </w:r>
            <w:r>
              <w:t>program.</w:t>
            </w:r>
          </w:p>
        </w:tc>
        <w:tc>
          <w:tcPr>
            <w:tcW w:w="4766" w:type="dxa"/>
            <w:tcBorders>
              <w:top w:val="single" w:sz="4" w:space="0" w:color="auto"/>
              <w:left w:val="single" w:sz="4" w:space="0" w:color="auto"/>
              <w:bottom w:val="single" w:sz="4" w:space="0" w:color="auto"/>
              <w:right w:val="single" w:sz="4" w:space="0" w:color="auto"/>
            </w:tcBorders>
            <w:hideMark/>
          </w:tcPr>
          <w:p w14:paraId="373BC0ED" w14:textId="77777777" w:rsidR="00E63558" w:rsidRDefault="00E63558" w:rsidP="0062270E">
            <w:pPr>
              <w:rPr>
                <w:rFonts w:ascii="Arial" w:hAnsi="Arial"/>
                <w:highlight w:val="yellow"/>
              </w:rPr>
            </w:pPr>
            <w:r>
              <w:t>Incidentals Allowance for non-AFB activity</w:t>
            </w:r>
            <w:r w:rsidR="00BB41AA">
              <w:t>.</w:t>
            </w:r>
          </w:p>
        </w:tc>
      </w:tr>
      <w:tr w:rsidR="00E63558" w14:paraId="61DAC09A" w14:textId="77777777" w:rsidTr="00812E32">
        <w:tc>
          <w:tcPr>
            <w:tcW w:w="4248" w:type="dxa"/>
            <w:tcBorders>
              <w:top w:val="single" w:sz="4" w:space="0" w:color="auto"/>
              <w:left w:val="single" w:sz="4" w:space="0" w:color="auto"/>
              <w:bottom w:val="single" w:sz="4" w:space="0" w:color="auto"/>
              <w:right w:val="single" w:sz="4" w:space="0" w:color="auto"/>
            </w:tcBorders>
            <w:hideMark/>
          </w:tcPr>
          <w:p w14:paraId="62DBA1A3" w14:textId="77777777" w:rsidR="00E63558" w:rsidRDefault="00E63558" w:rsidP="0062270E">
            <w:pPr>
              <w:rPr>
                <w:rFonts w:ascii="Arial" w:hAnsi="Arial"/>
              </w:rPr>
            </w:pPr>
            <w:r>
              <w:t>Administrative and audit costs, paid as bulk funding submission</w:t>
            </w:r>
            <w:r w:rsidR="004B2C68">
              <w:t>s.</w:t>
            </w:r>
          </w:p>
        </w:tc>
        <w:tc>
          <w:tcPr>
            <w:tcW w:w="4766" w:type="dxa"/>
            <w:tcBorders>
              <w:top w:val="single" w:sz="4" w:space="0" w:color="auto"/>
              <w:left w:val="single" w:sz="4" w:space="0" w:color="auto"/>
              <w:bottom w:val="single" w:sz="4" w:space="0" w:color="auto"/>
              <w:right w:val="single" w:sz="4" w:space="0" w:color="auto"/>
            </w:tcBorders>
          </w:tcPr>
          <w:p w14:paraId="1ED4C7A7" w14:textId="77777777" w:rsidR="00E63558" w:rsidRDefault="00E63558" w:rsidP="0062270E">
            <w:pPr>
              <w:rPr>
                <w:rFonts w:ascii="Arial" w:hAnsi="Arial"/>
              </w:rPr>
            </w:pPr>
            <w:r>
              <w:t>All other ABSTUDY assistance that is provided to students living away from home to study, but who are not participating in an AFB activity, including:</w:t>
            </w:r>
          </w:p>
          <w:p w14:paraId="63FC188C" w14:textId="77777777" w:rsidR="00E63558" w:rsidRPr="00E63558" w:rsidRDefault="00E63558" w:rsidP="00DC292B">
            <w:pPr>
              <w:pStyle w:val="ListParagraph"/>
              <w:numPr>
                <w:ilvl w:val="0"/>
                <w:numId w:val="7"/>
              </w:numPr>
              <w:spacing w:after="0" w:line="240" w:lineRule="auto"/>
              <w:rPr>
                <w:rFonts w:asciiTheme="minorHAnsi" w:hAnsiTheme="minorHAnsi" w:cstheme="minorHAnsi"/>
              </w:rPr>
            </w:pPr>
            <w:r w:rsidRPr="00E63558">
              <w:rPr>
                <w:rFonts w:asciiTheme="minorHAnsi" w:hAnsiTheme="minorHAnsi" w:cstheme="minorHAnsi"/>
              </w:rPr>
              <w:t>School Fees Allowance</w:t>
            </w:r>
          </w:p>
          <w:p w14:paraId="5946AC9E" w14:textId="77777777" w:rsidR="00E63558" w:rsidRPr="00E63558" w:rsidRDefault="00E63558" w:rsidP="00DC292B">
            <w:pPr>
              <w:pStyle w:val="ListParagraph"/>
              <w:numPr>
                <w:ilvl w:val="0"/>
                <w:numId w:val="7"/>
              </w:numPr>
              <w:spacing w:after="0" w:line="240" w:lineRule="auto"/>
              <w:rPr>
                <w:rFonts w:asciiTheme="minorHAnsi" w:hAnsiTheme="minorHAnsi" w:cstheme="minorHAnsi"/>
              </w:rPr>
            </w:pPr>
            <w:r w:rsidRPr="00E63558">
              <w:rPr>
                <w:rFonts w:asciiTheme="minorHAnsi" w:hAnsiTheme="minorHAnsi" w:cstheme="minorHAnsi"/>
              </w:rPr>
              <w:t>School Term Allowance</w:t>
            </w:r>
          </w:p>
          <w:p w14:paraId="0759099C" w14:textId="77777777" w:rsidR="00E63558" w:rsidRPr="00E63558" w:rsidRDefault="00E63558" w:rsidP="00DC292B">
            <w:pPr>
              <w:pStyle w:val="ListParagraph"/>
              <w:numPr>
                <w:ilvl w:val="0"/>
                <w:numId w:val="7"/>
              </w:numPr>
              <w:spacing w:after="0" w:line="240" w:lineRule="auto"/>
              <w:rPr>
                <w:rFonts w:asciiTheme="minorHAnsi" w:hAnsiTheme="minorHAnsi" w:cstheme="minorHAnsi"/>
              </w:rPr>
            </w:pPr>
            <w:r w:rsidRPr="00E63558">
              <w:rPr>
                <w:rFonts w:asciiTheme="minorHAnsi" w:hAnsiTheme="minorHAnsi" w:cstheme="minorHAnsi"/>
              </w:rPr>
              <w:t>Rent Assistance</w:t>
            </w:r>
          </w:p>
          <w:p w14:paraId="7DD261D6" w14:textId="77777777" w:rsidR="00E63558" w:rsidRPr="00E63558" w:rsidRDefault="00E63558" w:rsidP="00DC292B">
            <w:pPr>
              <w:pStyle w:val="ListParagraph"/>
              <w:numPr>
                <w:ilvl w:val="0"/>
                <w:numId w:val="7"/>
              </w:numPr>
              <w:spacing w:after="0" w:line="240" w:lineRule="auto"/>
              <w:rPr>
                <w:rFonts w:asciiTheme="minorHAnsi" w:hAnsiTheme="minorHAnsi" w:cstheme="minorHAnsi"/>
              </w:rPr>
            </w:pPr>
            <w:r w:rsidRPr="00E63558">
              <w:rPr>
                <w:rFonts w:asciiTheme="minorHAnsi" w:hAnsiTheme="minorHAnsi" w:cstheme="minorHAnsi"/>
              </w:rPr>
              <w:t>Remote Area Allowance</w:t>
            </w:r>
          </w:p>
          <w:p w14:paraId="0B00497A" w14:textId="77777777" w:rsidR="00E63558" w:rsidRPr="00E63558" w:rsidRDefault="00E63558" w:rsidP="00DC292B">
            <w:pPr>
              <w:pStyle w:val="ListParagraph"/>
              <w:numPr>
                <w:ilvl w:val="0"/>
                <w:numId w:val="7"/>
              </w:numPr>
              <w:spacing w:after="0" w:line="240" w:lineRule="auto"/>
              <w:rPr>
                <w:rFonts w:asciiTheme="minorHAnsi" w:hAnsiTheme="minorHAnsi" w:cstheme="minorHAnsi"/>
              </w:rPr>
            </w:pPr>
            <w:r w:rsidRPr="00E63558">
              <w:rPr>
                <w:rFonts w:asciiTheme="minorHAnsi" w:hAnsiTheme="minorHAnsi" w:cstheme="minorHAnsi"/>
              </w:rPr>
              <w:t>ABSTUDY Pensioner Education Supplement</w:t>
            </w:r>
          </w:p>
          <w:p w14:paraId="250F952E" w14:textId="77777777" w:rsidR="00E63558" w:rsidRDefault="00E63558" w:rsidP="00990B6F">
            <w:pPr>
              <w:pStyle w:val="ListParagraph"/>
              <w:numPr>
                <w:ilvl w:val="0"/>
                <w:numId w:val="7"/>
              </w:numPr>
              <w:spacing w:after="0" w:line="240" w:lineRule="auto"/>
            </w:pPr>
            <w:r w:rsidRPr="00E63558">
              <w:rPr>
                <w:rFonts w:asciiTheme="minorHAnsi" w:hAnsiTheme="minorHAnsi" w:cstheme="minorHAnsi"/>
              </w:rPr>
              <w:t>Additional Incidentals Allowance</w:t>
            </w:r>
          </w:p>
        </w:tc>
      </w:tr>
    </w:tbl>
    <w:p w14:paraId="655356BC" w14:textId="77777777" w:rsidR="00557B21" w:rsidRPr="00120370" w:rsidRDefault="00A31229" w:rsidP="00AD0935">
      <w:pPr>
        <w:pStyle w:val="h2"/>
      </w:pPr>
      <w:r w:rsidRPr="00120370">
        <w:lastRenderedPageBreak/>
        <w:t>Discussion</w:t>
      </w:r>
    </w:p>
    <w:p w14:paraId="49335D9C" w14:textId="1D76130B" w:rsidR="00867763" w:rsidRPr="00E97BAA" w:rsidRDefault="00E97BAA" w:rsidP="00990B6F">
      <w:pPr>
        <w:rPr>
          <w:rFonts w:cstheme="minorHAnsi"/>
        </w:rPr>
      </w:pPr>
      <w:r w:rsidRPr="00E97BAA">
        <w:rPr>
          <w:rFonts w:cstheme="minorHAnsi"/>
        </w:rPr>
        <w:t xml:space="preserve">In this </w:t>
      </w:r>
      <w:r>
        <w:rPr>
          <w:rFonts w:cstheme="minorHAnsi"/>
        </w:rPr>
        <w:t xml:space="preserve">section of the </w:t>
      </w:r>
      <w:r w:rsidRPr="00E97BAA">
        <w:rPr>
          <w:rFonts w:cstheme="minorHAnsi"/>
        </w:rPr>
        <w:t>discussion paper</w:t>
      </w:r>
      <w:r w:rsidR="00717D3C">
        <w:rPr>
          <w:rFonts w:cstheme="minorHAnsi"/>
        </w:rPr>
        <w:t>,</w:t>
      </w:r>
      <w:r w:rsidR="0047053C">
        <w:rPr>
          <w:rFonts w:cstheme="minorHAnsi"/>
        </w:rPr>
        <w:t xml:space="preserve"> key considerations have been</w:t>
      </w:r>
      <w:r w:rsidRPr="00E97BAA">
        <w:rPr>
          <w:rFonts w:cstheme="minorHAnsi"/>
        </w:rPr>
        <w:t xml:space="preserve"> highlight</w:t>
      </w:r>
      <w:r>
        <w:rPr>
          <w:rFonts w:cstheme="minorHAnsi"/>
        </w:rPr>
        <w:t>ed</w:t>
      </w:r>
      <w:r w:rsidRPr="00E97BAA">
        <w:rPr>
          <w:rFonts w:cstheme="minorHAnsi"/>
        </w:rPr>
        <w:t xml:space="preserve"> </w:t>
      </w:r>
      <w:r w:rsidR="0047053C">
        <w:rPr>
          <w:rFonts w:cstheme="minorHAnsi"/>
        </w:rPr>
        <w:t>for</w:t>
      </w:r>
      <w:r>
        <w:rPr>
          <w:rFonts w:cstheme="minorHAnsi"/>
        </w:rPr>
        <w:t xml:space="preserve"> </w:t>
      </w:r>
      <w:r w:rsidRPr="00E97BAA">
        <w:rPr>
          <w:rFonts w:cstheme="minorHAnsi"/>
        </w:rPr>
        <w:t xml:space="preserve">either consolidating or clarifying responsibilities for AFB support in the future. </w:t>
      </w:r>
      <w:r w:rsidR="00867763">
        <w:rPr>
          <w:rFonts w:cstheme="minorHAnsi"/>
        </w:rPr>
        <w:t xml:space="preserve">A response template has been developed and accompanies this discussion paper to </w:t>
      </w:r>
      <w:r w:rsidR="00990B6F">
        <w:rPr>
          <w:rFonts w:cstheme="minorHAnsi"/>
        </w:rPr>
        <w:t xml:space="preserve">give </w:t>
      </w:r>
      <w:r w:rsidR="004B2C68">
        <w:rPr>
          <w:rFonts w:cstheme="minorHAnsi"/>
        </w:rPr>
        <w:t>you</w:t>
      </w:r>
      <w:r w:rsidR="00867763">
        <w:rPr>
          <w:rFonts w:cstheme="minorHAnsi"/>
        </w:rPr>
        <w:t xml:space="preserve"> an opportunity to provide </w:t>
      </w:r>
      <w:r w:rsidR="0092277B">
        <w:rPr>
          <w:rFonts w:cstheme="minorHAnsi"/>
        </w:rPr>
        <w:t>specific</w:t>
      </w:r>
      <w:r w:rsidR="00867763">
        <w:rPr>
          <w:rFonts w:cstheme="minorHAnsi"/>
        </w:rPr>
        <w:t xml:space="preserve"> advice </w:t>
      </w:r>
      <w:r w:rsidR="00E16C07">
        <w:rPr>
          <w:rFonts w:cstheme="minorHAnsi"/>
        </w:rPr>
        <w:t xml:space="preserve">or feedback </w:t>
      </w:r>
      <w:r w:rsidR="00867763">
        <w:rPr>
          <w:rFonts w:cstheme="minorHAnsi"/>
        </w:rPr>
        <w:t>to the Commonwealth. I</w:t>
      </w:r>
      <w:r w:rsidRPr="00E97BAA">
        <w:rPr>
          <w:rFonts w:cstheme="minorHAnsi"/>
        </w:rPr>
        <w:t xml:space="preserve">f you think </w:t>
      </w:r>
      <w:r w:rsidR="0047053C">
        <w:rPr>
          <w:rFonts w:cstheme="minorHAnsi"/>
        </w:rPr>
        <w:t>some important issues have been missed</w:t>
      </w:r>
      <w:r w:rsidRPr="00E97BAA">
        <w:rPr>
          <w:rFonts w:cstheme="minorHAnsi"/>
        </w:rPr>
        <w:t xml:space="preserve">, </w:t>
      </w:r>
      <w:r w:rsidR="00867763">
        <w:rPr>
          <w:rFonts w:cstheme="minorHAnsi"/>
        </w:rPr>
        <w:t xml:space="preserve">a section has been included in the response template so you can advise the Commonwealth of these issues. </w:t>
      </w:r>
      <w:r w:rsidR="00E16C07">
        <w:rPr>
          <w:rFonts w:cstheme="minorHAnsi"/>
        </w:rPr>
        <w:t>Where appropriate, p</w:t>
      </w:r>
      <w:r w:rsidRPr="00E97BAA">
        <w:rPr>
          <w:rFonts w:cstheme="minorHAnsi"/>
        </w:rPr>
        <w:t xml:space="preserve">lease include your suggested solution to any of the issues that you raise here so </w:t>
      </w:r>
      <w:r w:rsidR="00FC5F37">
        <w:rPr>
          <w:rFonts w:cstheme="minorHAnsi"/>
        </w:rPr>
        <w:t>this</w:t>
      </w:r>
      <w:r w:rsidRPr="00E97BAA">
        <w:rPr>
          <w:rFonts w:cstheme="minorHAnsi"/>
        </w:rPr>
        <w:t xml:space="preserve"> can consider</w:t>
      </w:r>
      <w:r w:rsidR="00FC5F37">
        <w:rPr>
          <w:rFonts w:cstheme="minorHAnsi"/>
        </w:rPr>
        <w:t>ed</w:t>
      </w:r>
      <w:r w:rsidRPr="00E97BAA">
        <w:rPr>
          <w:rFonts w:cstheme="minorHAnsi"/>
        </w:rPr>
        <w:t xml:space="preserve"> </w:t>
      </w:r>
      <w:r w:rsidR="00867763">
        <w:rPr>
          <w:rFonts w:cstheme="minorHAnsi"/>
        </w:rPr>
        <w:t>in</w:t>
      </w:r>
      <w:r w:rsidRPr="00E97BAA">
        <w:rPr>
          <w:rFonts w:cstheme="minorHAnsi"/>
        </w:rPr>
        <w:t xml:space="preserve"> </w:t>
      </w:r>
      <w:r w:rsidR="00E16C07">
        <w:rPr>
          <w:rFonts w:cstheme="minorHAnsi"/>
        </w:rPr>
        <w:t>the</w:t>
      </w:r>
      <w:r w:rsidR="00E16C07" w:rsidRPr="00E97BAA">
        <w:rPr>
          <w:rFonts w:cstheme="minorHAnsi"/>
        </w:rPr>
        <w:t xml:space="preserve"> </w:t>
      </w:r>
      <w:r w:rsidRPr="00E97BAA">
        <w:rPr>
          <w:rFonts w:cstheme="minorHAnsi"/>
        </w:rPr>
        <w:t>review.</w:t>
      </w:r>
    </w:p>
    <w:p w14:paraId="529B186A" w14:textId="2545CBF6" w:rsidR="00A74285" w:rsidRPr="00301F62" w:rsidRDefault="00D6085F" w:rsidP="00AD0935">
      <w:pPr>
        <w:pStyle w:val="h3"/>
        <w:numPr>
          <w:ilvl w:val="0"/>
          <w:numId w:val="35"/>
        </w:numPr>
      </w:pPr>
      <w:r w:rsidRPr="00301F62">
        <w:t xml:space="preserve">Importance of </w:t>
      </w:r>
      <w:r w:rsidR="000463E3" w:rsidRPr="00301F62">
        <w:t>AFB assistance for Aboriginal and Torres Strait Islander students</w:t>
      </w:r>
    </w:p>
    <w:p w14:paraId="6230148A" w14:textId="70F9D0F4" w:rsidR="00CF7F90" w:rsidRPr="00096DE3" w:rsidRDefault="00C8612D" w:rsidP="000F51A9">
      <w:r w:rsidRPr="00096DE3">
        <w:t>The context section of this discussion paper outline</w:t>
      </w:r>
      <w:r w:rsidR="00CF7F90" w:rsidRPr="00096DE3">
        <w:t>d</w:t>
      </w:r>
      <w:r w:rsidRPr="00096DE3">
        <w:t xml:space="preserve"> some of the issues AFB seeks to address. </w:t>
      </w:r>
      <w:r w:rsidR="008718DD" w:rsidRPr="00096DE3">
        <w:t xml:space="preserve">Similarly, the 2012 </w:t>
      </w:r>
      <w:r w:rsidR="008718DD" w:rsidRPr="00096DE3">
        <w:rPr>
          <w:i/>
        </w:rPr>
        <w:t>Review of Higher Education Access and Outcomes for Aboriginal and Torres Strait Islander People</w:t>
      </w:r>
      <w:r w:rsidR="008718DD" w:rsidRPr="00096DE3">
        <w:t xml:space="preserve"> noted that “Regional and remote Aboriginal and Torres Strait Islander students can be prevented from accessing higher education by geographical, academic, family and cultural factors. They have special logistical, academic and pastoral care requirements” (p140). The Review went on to identify key challenges like “accommodating the family responsibilities and limited capacity to travel of Aboriginal and Torres Strait Islander students</w:t>
      </w:r>
      <w:r w:rsidR="00CF7F90" w:rsidRPr="00096DE3">
        <w:t xml:space="preserve"> [and]…. Dealing with inadequate computer infrastructure, low levels of computer literacy and lack of English language proficiency”.</w:t>
      </w:r>
    </w:p>
    <w:p w14:paraId="3AD202DF" w14:textId="5F33E89E" w:rsidR="00BD0C6D" w:rsidRPr="00096DE3" w:rsidRDefault="007C1D46" w:rsidP="000F51A9">
      <w:r w:rsidRPr="00096DE3">
        <w:t>AFB was designed over two decades ago, but higher education and training delivery has changed significantly since then.</w:t>
      </w:r>
      <w:r>
        <w:t xml:space="preserve"> </w:t>
      </w:r>
      <w:r w:rsidR="00802EAB">
        <w:t>State</w:t>
      </w:r>
      <w:r>
        <w:t xml:space="preserve"> and territory </w:t>
      </w:r>
      <w:r w:rsidR="00802EAB">
        <w:t>governments have a range of strategies in place to enable access to training. While there is limited information on the up</w:t>
      </w:r>
      <w:r>
        <w:t xml:space="preserve">take of mixed-mode training by </w:t>
      </w:r>
      <w:r w:rsidRPr="00096DE3">
        <w:t>Aboriginal and Torres Strait Islander people</w:t>
      </w:r>
      <w:r>
        <w:t xml:space="preserve">, </w:t>
      </w:r>
      <w:r w:rsidR="00BD0C6D" w:rsidRPr="00096DE3">
        <w:t xml:space="preserve">growth in the take up of mixed-mode higher education by Aboriginal and Torres Strait Islander people has not kept pace with the general population. </w:t>
      </w:r>
    </w:p>
    <w:p w14:paraId="55E8CAC6" w14:textId="4E29843F" w:rsidR="00867763" w:rsidRPr="007911A5" w:rsidRDefault="00AB3902" w:rsidP="007911A5">
      <w:pPr>
        <w:shd w:val="clear" w:color="auto" w:fill="D9D9D9" w:themeFill="background1" w:themeFillShade="D9"/>
        <w:rPr>
          <w:rFonts w:cstheme="minorHAnsi"/>
          <w:i/>
        </w:rPr>
      </w:pPr>
      <w:r w:rsidRPr="00D94AB5">
        <w:rPr>
          <w:rFonts w:cstheme="minorHAnsi"/>
          <w:i/>
        </w:rPr>
        <w:t>Please comment on the relevance or otherwise of AFB assistance and its components to Aboriginal and Torres Strait Islander people now and into the future</w:t>
      </w:r>
      <w:r w:rsidR="005069AD" w:rsidRPr="00D94AB5">
        <w:rPr>
          <w:rFonts w:cstheme="minorHAnsi"/>
          <w:i/>
        </w:rPr>
        <w:t>.</w:t>
      </w:r>
      <w:r w:rsidR="007C1D46">
        <w:rPr>
          <w:rFonts w:cstheme="minorHAnsi"/>
          <w:i/>
        </w:rPr>
        <w:t xml:space="preserve"> What are the gaps in </w:t>
      </w:r>
      <w:r w:rsidR="00D94AB5">
        <w:rPr>
          <w:rFonts w:cstheme="minorHAnsi"/>
          <w:i/>
        </w:rPr>
        <w:t xml:space="preserve">State, Territory and university support </w:t>
      </w:r>
      <w:r w:rsidR="0089389D">
        <w:rPr>
          <w:rFonts w:cstheme="minorHAnsi"/>
          <w:i/>
        </w:rPr>
        <w:t xml:space="preserve">to assist </w:t>
      </w:r>
      <w:r w:rsidR="00D94AB5">
        <w:rPr>
          <w:rFonts w:cstheme="minorHAnsi"/>
          <w:i/>
        </w:rPr>
        <w:t xml:space="preserve">Aboriginal and Torres Strait Islander students </w:t>
      </w:r>
      <w:r w:rsidR="007C4070">
        <w:rPr>
          <w:rFonts w:cstheme="minorHAnsi"/>
          <w:i/>
        </w:rPr>
        <w:t xml:space="preserve">to </w:t>
      </w:r>
      <w:r w:rsidR="0089389D">
        <w:rPr>
          <w:rFonts w:cstheme="minorHAnsi"/>
          <w:i/>
        </w:rPr>
        <w:t xml:space="preserve">access </w:t>
      </w:r>
      <w:r w:rsidR="00D94AB5">
        <w:rPr>
          <w:rFonts w:cstheme="minorHAnsi"/>
          <w:i/>
        </w:rPr>
        <w:t>distance</w:t>
      </w:r>
      <w:r w:rsidR="0089389D">
        <w:rPr>
          <w:rFonts w:cstheme="minorHAnsi"/>
          <w:i/>
        </w:rPr>
        <w:t xml:space="preserve"> education and training</w:t>
      </w:r>
      <w:r w:rsidR="00D94AB5">
        <w:rPr>
          <w:rFonts w:cstheme="minorHAnsi"/>
          <w:i/>
        </w:rPr>
        <w:t>? Are there other ways than AFB to address these gaps?</w:t>
      </w:r>
    </w:p>
    <w:p w14:paraId="3CF5A137" w14:textId="1A9F24CE" w:rsidR="000518E7" w:rsidRPr="00301F62" w:rsidRDefault="00D103E3" w:rsidP="00AD0935">
      <w:pPr>
        <w:pStyle w:val="h3"/>
        <w:numPr>
          <w:ilvl w:val="0"/>
          <w:numId w:val="35"/>
        </w:numPr>
      </w:pPr>
      <w:r w:rsidRPr="00301F62">
        <w:t>Administration of AFB</w:t>
      </w:r>
    </w:p>
    <w:p w14:paraId="2CCFA1B0" w14:textId="32CCBC9C" w:rsidR="000518E7" w:rsidRDefault="000518E7" w:rsidP="000518E7">
      <w:pPr>
        <w:rPr>
          <w:rFonts w:cstheme="minorHAnsi"/>
        </w:rPr>
      </w:pPr>
      <w:r>
        <w:rPr>
          <w:rFonts w:cstheme="minorHAnsi"/>
        </w:rPr>
        <w:t>The current two program model allows flexibility for large providers to arrange travel for their students while small providers and individuals can utilise the services of QBT to arrange travel through DHS.</w:t>
      </w:r>
      <w:r w:rsidR="00A55E7F">
        <w:rPr>
          <w:rFonts w:cstheme="minorHAnsi"/>
        </w:rPr>
        <w:t xml:space="preserve"> This comes with different administration requirements.</w:t>
      </w:r>
    </w:p>
    <w:p w14:paraId="648BEAB9" w14:textId="77777777" w:rsidR="00D103E3" w:rsidRDefault="00450501" w:rsidP="00D103E3">
      <w:pPr>
        <w:rPr>
          <w:rFonts w:cstheme="minorHAnsi"/>
        </w:rPr>
      </w:pPr>
      <w:r>
        <w:rPr>
          <w:rFonts w:cstheme="minorHAnsi"/>
        </w:rPr>
        <w:t>Requirements of</w:t>
      </w:r>
      <w:r w:rsidR="00D103E3">
        <w:rPr>
          <w:rFonts w:cstheme="minorHAnsi"/>
        </w:rPr>
        <w:t xml:space="preserve"> </w:t>
      </w:r>
      <w:r w:rsidR="008E2481">
        <w:rPr>
          <w:rFonts w:cstheme="minorHAnsi"/>
        </w:rPr>
        <w:t>PM&amp;C’s AFB</w:t>
      </w:r>
      <w:r w:rsidR="00563B47">
        <w:rPr>
          <w:rFonts w:cstheme="minorHAnsi"/>
        </w:rPr>
        <w:t xml:space="preserve"> </w:t>
      </w:r>
      <w:r w:rsidR="00D103E3">
        <w:rPr>
          <w:rFonts w:cstheme="minorHAnsi"/>
        </w:rPr>
        <w:t>sees providers:</w:t>
      </w:r>
    </w:p>
    <w:p w14:paraId="66B8AE85" w14:textId="066DBD15" w:rsidR="00D103E3" w:rsidRDefault="008648E7" w:rsidP="00563B47">
      <w:pPr>
        <w:pStyle w:val="ListParagraph"/>
        <w:numPr>
          <w:ilvl w:val="0"/>
          <w:numId w:val="28"/>
        </w:numPr>
        <w:rPr>
          <w:rFonts w:asciiTheme="minorHAnsi" w:hAnsiTheme="minorHAnsi" w:cstheme="minorHAnsi"/>
        </w:rPr>
      </w:pPr>
      <w:r w:rsidRPr="007A5012">
        <w:rPr>
          <w:rFonts w:asciiTheme="minorHAnsi" w:hAnsiTheme="minorHAnsi"/>
        </w:rPr>
        <w:t>s</w:t>
      </w:r>
      <w:r w:rsidR="00D103E3" w:rsidRPr="007A5012">
        <w:rPr>
          <w:rFonts w:asciiTheme="minorHAnsi" w:hAnsiTheme="minorHAnsi" w:cstheme="minorHAnsi"/>
        </w:rPr>
        <w:t>eek</w:t>
      </w:r>
      <w:r w:rsidR="00D103E3">
        <w:rPr>
          <w:rFonts w:asciiTheme="minorHAnsi" w:hAnsiTheme="minorHAnsi" w:cstheme="minorHAnsi"/>
        </w:rPr>
        <w:t xml:space="preserve"> ABSTUDY course approval (directly through ABSTUDY) and provide approval documents to PM&amp;C;</w:t>
      </w:r>
    </w:p>
    <w:p w14:paraId="560C130F" w14:textId="1E542BF7" w:rsidR="00D103E3" w:rsidRPr="008B0039"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c</w:t>
      </w:r>
      <w:r w:rsidR="00D103E3">
        <w:rPr>
          <w:rFonts w:asciiTheme="minorHAnsi" w:hAnsiTheme="minorHAnsi" w:cstheme="minorHAnsi"/>
        </w:rPr>
        <w:t>omplete t</w:t>
      </w:r>
      <w:r w:rsidR="00D103E3" w:rsidRPr="008B0039">
        <w:rPr>
          <w:rFonts w:asciiTheme="minorHAnsi" w:hAnsiTheme="minorHAnsi" w:cstheme="minorHAnsi"/>
        </w:rPr>
        <w:t>wo annual checks of student enrolments;</w:t>
      </w:r>
    </w:p>
    <w:p w14:paraId="2844121F" w14:textId="4BE7E336" w:rsidR="00D103E3" w:rsidRPr="008B0039"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c</w:t>
      </w:r>
      <w:r w:rsidR="00D103E3">
        <w:rPr>
          <w:rFonts w:asciiTheme="minorHAnsi" w:hAnsiTheme="minorHAnsi" w:cstheme="minorHAnsi"/>
        </w:rPr>
        <w:t>omplete a</w:t>
      </w:r>
      <w:r w:rsidR="00D103E3" w:rsidRPr="008B0039">
        <w:rPr>
          <w:rFonts w:asciiTheme="minorHAnsi" w:hAnsiTheme="minorHAnsi" w:cstheme="minorHAnsi"/>
        </w:rPr>
        <w:t>n annual expenditure report;</w:t>
      </w:r>
    </w:p>
    <w:p w14:paraId="567809C6" w14:textId="2B4DCF46" w:rsidR="00D103E3"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c</w:t>
      </w:r>
      <w:r w:rsidR="00D103E3">
        <w:rPr>
          <w:rFonts w:asciiTheme="minorHAnsi" w:hAnsiTheme="minorHAnsi" w:cstheme="minorHAnsi"/>
        </w:rPr>
        <w:t>omplete a</w:t>
      </w:r>
      <w:r w:rsidR="00D103E3" w:rsidRPr="008B0039">
        <w:rPr>
          <w:rFonts w:asciiTheme="minorHAnsi" w:hAnsiTheme="minorHAnsi" w:cstheme="minorHAnsi"/>
        </w:rPr>
        <w:t>n annual outcomes report</w:t>
      </w:r>
      <w:r w:rsidR="00D103E3">
        <w:rPr>
          <w:rFonts w:asciiTheme="minorHAnsi" w:hAnsiTheme="minorHAnsi" w:cstheme="minorHAnsi"/>
        </w:rPr>
        <w:t xml:space="preserve"> detailing student completions and academic achievement</w:t>
      </w:r>
      <w:r w:rsidR="00D103E3" w:rsidRPr="008B0039">
        <w:rPr>
          <w:rFonts w:asciiTheme="minorHAnsi" w:hAnsiTheme="minorHAnsi" w:cstheme="minorHAnsi"/>
        </w:rPr>
        <w:t>;</w:t>
      </w:r>
    </w:p>
    <w:p w14:paraId="561BDAF4" w14:textId="4A12F808" w:rsidR="00D103E3" w:rsidRPr="008B0039"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k</w:t>
      </w:r>
      <w:r w:rsidR="00D103E3">
        <w:rPr>
          <w:rFonts w:asciiTheme="minorHAnsi" w:hAnsiTheme="minorHAnsi" w:cstheme="minorHAnsi"/>
        </w:rPr>
        <w:t>eep records of all student ABSTUDY eligibility documentation; and</w:t>
      </w:r>
    </w:p>
    <w:p w14:paraId="05AB9D4F" w14:textId="39904A3F" w:rsidR="00D103E3"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s</w:t>
      </w:r>
      <w:r w:rsidR="00D103E3">
        <w:rPr>
          <w:rFonts w:asciiTheme="minorHAnsi" w:hAnsiTheme="minorHAnsi" w:cstheme="minorHAnsi"/>
        </w:rPr>
        <w:t>ubmit o</w:t>
      </w:r>
      <w:r w:rsidR="00D103E3" w:rsidRPr="008B0039">
        <w:rPr>
          <w:rFonts w:asciiTheme="minorHAnsi" w:hAnsiTheme="minorHAnsi" w:cstheme="minorHAnsi"/>
        </w:rPr>
        <w:t xml:space="preserve">ngoing requests </w:t>
      </w:r>
      <w:r w:rsidR="00D103E3">
        <w:rPr>
          <w:rFonts w:asciiTheme="minorHAnsi" w:hAnsiTheme="minorHAnsi" w:cstheme="minorHAnsi"/>
        </w:rPr>
        <w:t xml:space="preserve">to the Department </w:t>
      </w:r>
      <w:r w:rsidR="00D103E3" w:rsidRPr="008B0039">
        <w:rPr>
          <w:rFonts w:asciiTheme="minorHAnsi" w:hAnsiTheme="minorHAnsi" w:cstheme="minorHAnsi"/>
        </w:rPr>
        <w:t xml:space="preserve">for approval of special circumstances for reverse block, field trips, practical placements </w:t>
      </w:r>
      <w:r w:rsidR="00D103E3">
        <w:rPr>
          <w:rFonts w:asciiTheme="minorHAnsi" w:hAnsiTheme="minorHAnsi" w:cstheme="minorHAnsi"/>
        </w:rPr>
        <w:t>and other activities.</w:t>
      </w:r>
    </w:p>
    <w:p w14:paraId="23BE8AEF" w14:textId="77777777" w:rsidR="003B7650" w:rsidRDefault="00D103E3" w:rsidP="00D103E3">
      <w:pPr>
        <w:rPr>
          <w:rFonts w:cstheme="minorHAnsi"/>
        </w:rPr>
      </w:pPr>
      <w:r w:rsidRPr="008B0039">
        <w:rPr>
          <w:rFonts w:cstheme="minorHAnsi"/>
        </w:rPr>
        <w:lastRenderedPageBreak/>
        <w:t>In recognition of</w:t>
      </w:r>
      <w:r>
        <w:rPr>
          <w:rFonts w:cstheme="minorHAnsi"/>
        </w:rPr>
        <w:t xml:space="preserve"> providers meeting the above reporting expectations and organising travel, meals and accommodation for students, they are able to use up to 10 per cent of their annual entitlement on administration costs.</w:t>
      </w:r>
    </w:p>
    <w:p w14:paraId="5FE4C53E" w14:textId="77777777" w:rsidR="00450501" w:rsidRPr="008B0039" w:rsidRDefault="008E2481" w:rsidP="00D103E3">
      <w:pPr>
        <w:rPr>
          <w:rFonts w:cstheme="minorHAnsi"/>
        </w:rPr>
      </w:pPr>
      <w:r>
        <w:rPr>
          <w:rFonts w:cstheme="minorHAnsi"/>
        </w:rPr>
        <w:t>PM&amp;C’s AFB</w:t>
      </w:r>
      <w:r w:rsidR="00450501" w:rsidRPr="003B7650">
        <w:rPr>
          <w:rFonts w:cstheme="minorHAnsi"/>
        </w:rPr>
        <w:t xml:space="preserve"> offers two advance payments with acquittal and rollover arrangements. This makes government administration complicated, with the true annual costs of the program difficult to report. However, it ensures providers have sufficient funds to arrange travel in a way that balances economies of scale and the needs of individual students. </w:t>
      </w:r>
    </w:p>
    <w:p w14:paraId="666FD43B" w14:textId="058100FD" w:rsidR="00D103E3" w:rsidRDefault="00450501" w:rsidP="00D103E3">
      <w:pPr>
        <w:rPr>
          <w:rFonts w:cstheme="minorHAnsi"/>
        </w:rPr>
      </w:pPr>
      <w:r>
        <w:rPr>
          <w:rFonts w:cstheme="minorHAnsi"/>
        </w:rPr>
        <w:t xml:space="preserve">Requirements of </w:t>
      </w:r>
      <w:r w:rsidR="008E2481">
        <w:rPr>
          <w:rFonts w:cstheme="minorHAnsi"/>
        </w:rPr>
        <w:t>ABSTUDY AFB</w:t>
      </w:r>
      <w:r w:rsidR="00B6782E">
        <w:t xml:space="preserve"> </w:t>
      </w:r>
      <w:r w:rsidR="00D103E3">
        <w:rPr>
          <w:rFonts w:cstheme="minorHAnsi"/>
        </w:rPr>
        <w:t>sees providers:</w:t>
      </w:r>
    </w:p>
    <w:p w14:paraId="6B2DCD2C" w14:textId="4183013F" w:rsidR="00D103E3" w:rsidRPr="00C16077"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s</w:t>
      </w:r>
      <w:r w:rsidR="00D103E3" w:rsidRPr="00C16077">
        <w:rPr>
          <w:rFonts w:asciiTheme="minorHAnsi" w:hAnsiTheme="minorHAnsi" w:cstheme="minorHAnsi"/>
        </w:rPr>
        <w:t>eek ABSTUDY course approval (directly through ABSTUDY);</w:t>
      </w:r>
    </w:p>
    <w:p w14:paraId="572506D8" w14:textId="68DD8356" w:rsidR="00D103E3" w:rsidRPr="00C16077"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c</w:t>
      </w:r>
      <w:r w:rsidR="00D103E3" w:rsidRPr="00C16077">
        <w:rPr>
          <w:rFonts w:asciiTheme="minorHAnsi" w:hAnsiTheme="minorHAnsi" w:cstheme="minorHAnsi"/>
        </w:rPr>
        <w:t>omplete an annual bulk application form for advance payment or reimbursement;</w:t>
      </w:r>
    </w:p>
    <w:p w14:paraId="42848208" w14:textId="723F5FF6" w:rsidR="00D103E3" w:rsidRPr="00C16077"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c</w:t>
      </w:r>
      <w:r w:rsidR="00D103E3" w:rsidRPr="00C16077">
        <w:rPr>
          <w:rFonts w:asciiTheme="minorHAnsi" w:hAnsiTheme="minorHAnsi" w:cstheme="minorHAnsi"/>
        </w:rPr>
        <w:t>omplete an annual financial reconciliation of funding spent;</w:t>
      </w:r>
    </w:p>
    <w:p w14:paraId="707D4685" w14:textId="18FB0DB7" w:rsidR="00D103E3" w:rsidRPr="00C16077"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a</w:t>
      </w:r>
      <w:r w:rsidR="00D103E3" w:rsidRPr="00C16077">
        <w:rPr>
          <w:rFonts w:asciiTheme="minorHAnsi" w:hAnsiTheme="minorHAnsi" w:cstheme="minorHAnsi"/>
        </w:rPr>
        <w:t>ssist students where necessary to complete ABSTUDY eligibility documentation;</w:t>
      </w:r>
    </w:p>
    <w:p w14:paraId="11073F73" w14:textId="2ED89ADB" w:rsidR="00D103E3" w:rsidRPr="00C16077"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c</w:t>
      </w:r>
      <w:r w:rsidR="00D103E3" w:rsidRPr="00C16077">
        <w:rPr>
          <w:rFonts w:asciiTheme="minorHAnsi" w:hAnsiTheme="minorHAnsi" w:cstheme="minorHAnsi"/>
        </w:rPr>
        <w:t>omplete ongoing applications and reconciliations throughout the year for individual students or groups of students in the same courses (not included in bulk application);</w:t>
      </w:r>
      <w:r w:rsidR="008A13D4">
        <w:rPr>
          <w:rFonts w:asciiTheme="minorHAnsi" w:hAnsiTheme="minorHAnsi" w:cstheme="minorHAnsi"/>
        </w:rPr>
        <w:t xml:space="preserve"> and</w:t>
      </w:r>
    </w:p>
    <w:p w14:paraId="5E19DE3D" w14:textId="41BE63AB" w:rsidR="00D103E3" w:rsidRPr="00C16077" w:rsidRDefault="008648E7" w:rsidP="00563B47">
      <w:pPr>
        <w:pStyle w:val="ListParagraph"/>
        <w:numPr>
          <w:ilvl w:val="0"/>
          <w:numId w:val="28"/>
        </w:numPr>
        <w:rPr>
          <w:rFonts w:asciiTheme="minorHAnsi" w:hAnsiTheme="minorHAnsi" w:cstheme="minorHAnsi"/>
        </w:rPr>
      </w:pPr>
      <w:r>
        <w:rPr>
          <w:rFonts w:asciiTheme="minorHAnsi" w:hAnsiTheme="minorHAnsi" w:cstheme="minorHAnsi"/>
        </w:rPr>
        <w:t>l</w:t>
      </w:r>
      <w:r w:rsidR="00D103E3" w:rsidRPr="00C16077">
        <w:rPr>
          <w:rFonts w:asciiTheme="minorHAnsi" w:hAnsiTheme="minorHAnsi" w:cstheme="minorHAnsi"/>
        </w:rPr>
        <w:t>iaise with DHS in relation to student travel, meals and accommodation booked through DHS by QBT travel consultants.</w:t>
      </w:r>
    </w:p>
    <w:p w14:paraId="216FC498" w14:textId="79B45CE6" w:rsidR="00D103E3" w:rsidRDefault="00D103E3" w:rsidP="00D103E3">
      <w:pPr>
        <w:rPr>
          <w:rFonts w:cstheme="minorHAnsi"/>
        </w:rPr>
      </w:pPr>
      <w:r w:rsidRPr="008B0039">
        <w:rPr>
          <w:rFonts w:cstheme="minorHAnsi"/>
        </w:rPr>
        <w:t xml:space="preserve">In recognition </w:t>
      </w:r>
      <w:r>
        <w:rPr>
          <w:rFonts w:cstheme="minorHAnsi"/>
        </w:rPr>
        <w:t>of the</w:t>
      </w:r>
      <w:r>
        <w:t xml:space="preserve"> administratio</w:t>
      </w:r>
      <w:r w:rsidR="003B5E28">
        <w:t>n and audit costs for</w:t>
      </w:r>
      <w:r>
        <w:t xml:space="preserve"> acquittal of bulk payments</w:t>
      </w:r>
      <w:r w:rsidRPr="008B0039">
        <w:rPr>
          <w:rFonts w:cstheme="minorHAnsi"/>
        </w:rPr>
        <w:t>,</w:t>
      </w:r>
      <w:r w:rsidR="001B479E">
        <w:rPr>
          <w:rFonts w:cstheme="minorHAnsi"/>
        </w:rPr>
        <w:t xml:space="preserve"> total</w:t>
      </w:r>
      <w:r w:rsidRPr="008B0039">
        <w:rPr>
          <w:rFonts w:cstheme="minorHAnsi"/>
        </w:rPr>
        <w:t xml:space="preserve"> costs paid to providers are limited to a </w:t>
      </w:r>
      <w:r>
        <w:rPr>
          <w:rFonts w:cstheme="minorHAnsi"/>
        </w:rPr>
        <w:t>maximum</w:t>
      </w:r>
      <w:r w:rsidR="001036F4">
        <w:rPr>
          <w:rFonts w:cstheme="minorHAnsi"/>
        </w:rPr>
        <w:t xml:space="preserve"> of</w:t>
      </w:r>
      <w:r w:rsidRPr="008B0039">
        <w:rPr>
          <w:rFonts w:cstheme="minorHAnsi"/>
        </w:rPr>
        <w:t xml:space="preserve"> $4,851 per provider</w:t>
      </w:r>
      <w:r>
        <w:rPr>
          <w:rFonts w:cstheme="minorHAnsi"/>
        </w:rPr>
        <w:t xml:space="preserve"> per year</w:t>
      </w:r>
      <w:r w:rsidRPr="008B0039">
        <w:rPr>
          <w:rFonts w:cstheme="minorHAnsi"/>
        </w:rPr>
        <w:t>.</w:t>
      </w:r>
    </w:p>
    <w:p w14:paraId="57D5CD6A" w14:textId="2C2A1913" w:rsidR="00D103E3" w:rsidRDefault="008E2481" w:rsidP="00D103E3">
      <w:pPr>
        <w:rPr>
          <w:rFonts w:cstheme="minorHAnsi"/>
        </w:rPr>
      </w:pPr>
      <w:r>
        <w:rPr>
          <w:rFonts w:cstheme="minorHAnsi"/>
        </w:rPr>
        <w:t>ABSTUDY AFB</w:t>
      </w:r>
      <w:r w:rsidR="00D103E3">
        <w:rPr>
          <w:rFonts w:cstheme="minorHAnsi"/>
        </w:rPr>
        <w:t xml:space="preserve"> offers both advances to certain providers and reimbursements to either students or providers. Advances are made on a semester or term basis and require students in each course to be identified along with estimates of reasonable costs. These advances are then acquitted. </w:t>
      </w:r>
    </w:p>
    <w:p w14:paraId="40363F50" w14:textId="516042EA" w:rsidR="00D103E3" w:rsidRDefault="00D103E3" w:rsidP="00D103E3">
      <w:pPr>
        <w:rPr>
          <w:rFonts w:cstheme="minorHAnsi"/>
        </w:rPr>
      </w:pPr>
      <w:r>
        <w:rPr>
          <w:rFonts w:cstheme="minorHAnsi"/>
        </w:rPr>
        <w:t xml:space="preserve">Under the reimbursement model, students or education providers can cover the costs of </w:t>
      </w:r>
      <w:r w:rsidR="00295145">
        <w:rPr>
          <w:rFonts w:cstheme="minorHAnsi"/>
        </w:rPr>
        <w:t xml:space="preserve">students </w:t>
      </w:r>
      <w:r>
        <w:rPr>
          <w:rFonts w:cstheme="minorHAnsi"/>
        </w:rPr>
        <w:t xml:space="preserve">participating in the activity and seek reimbursement of reasonable </w:t>
      </w:r>
      <w:r w:rsidR="00295145">
        <w:rPr>
          <w:rFonts w:cstheme="minorHAnsi"/>
        </w:rPr>
        <w:t>eligible</w:t>
      </w:r>
      <w:r>
        <w:rPr>
          <w:rFonts w:cstheme="minorHAnsi"/>
        </w:rPr>
        <w:t xml:space="preserve"> costs from DHS. Government then reports on the expenditure associated with the program </w:t>
      </w:r>
      <w:r w:rsidR="00295145">
        <w:rPr>
          <w:rFonts w:cstheme="minorHAnsi"/>
        </w:rPr>
        <w:t xml:space="preserve">each </w:t>
      </w:r>
      <w:r>
        <w:rPr>
          <w:rFonts w:cstheme="minorHAnsi"/>
        </w:rPr>
        <w:t xml:space="preserve">year. </w:t>
      </w:r>
    </w:p>
    <w:p w14:paraId="6A221E2A" w14:textId="77777777" w:rsidR="00A55E7F" w:rsidRDefault="00A55E7F" w:rsidP="00A55E7F">
      <w:pPr>
        <w:rPr>
          <w:rFonts w:cstheme="minorHAnsi"/>
        </w:rPr>
      </w:pPr>
      <w:r>
        <w:rPr>
          <w:rFonts w:cstheme="minorHAnsi"/>
        </w:rPr>
        <w:t>However, the two program model can create confusion for students and providers. It can mean that providers in a similar education “market” may receive different forms of assistance for their students. For the Commonwealth, costly controls are required to ensure students don’t access both forms of assistance at once. In addition, changes to one program can have consequences on the other AFB program. For example, if a group of students are not supported under PM&amp;C’s AFB, these students may become eligible for ABSTUDY AFB.</w:t>
      </w:r>
    </w:p>
    <w:p w14:paraId="79F63DFD" w14:textId="06874771" w:rsidR="000518E7" w:rsidRDefault="000518E7" w:rsidP="009561B8">
      <w:pPr>
        <w:shd w:val="clear" w:color="auto" w:fill="D9D9D9" w:themeFill="background1" w:themeFillShade="D9"/>
        <w:rPr>
          <w:rFonts w:cstheme="minorHAnsi"/>
          <w:i/>
        </w:rPr>
      </w:pPr>
      <w:r>
        <w:rPr>
          <w:rFonts w:cstheme="minorHAnsi"/>
          <w:i/>
        </w:rPr>
        <w:t>Does the</w:t>
      </w:r>
      <w:r w:rsidRPr="00D91A8B">
        <w:rPr>
          <w:rFonts w:cstheme="minorHAnsi"/>
          <w:i/>
        </w:rPr>
        <w:t xml:space="preserve"> two program model </w:t>
      </w:r>
      <w:r>
        <w:rPr>
          <w:rFonts w:cstheme="minorHAnsi"/>
          <w:i/>
        </w:rPr>
        <w:t>provide the best outcomes for students, or are there</w:t>
      </w:r>
      <w:r w:rsidRPr="00D91A8B">
        <w:rPr>
          <w:rFonts w:cstheme="minorHAnsi"/>
          <w:i/>
        </w:rPr>
        <w:t xml:space="preserve"> alternatives you believe would improve administration of AFB</w:t>
      </w:r>
      <w:r>
        <w:rPr>
          <w:rFonts w:cstheme="minorHAnsi"/>
          <w:i/>
        </w:rPr>
        <w:t>?</w:t>
      </w:r>
      <w:r w:rsidRPr="00D91A8B">
        <w:rPr>
          <w:rFonts w:cstheme="minorHAnsi"/>
          <w:i/>
        </w:rPr>
        <w:t xml:space="preserve"> If you are suggesting alternative models, please </w:t>
      </w:r>
      <w:r>
        <w:rPr>
          <w:rFonts w:cstheme="minorHAnsi"/>
          <w:i/>
        </w:rPr>
        <w:t>provide information on</w:t>
      </w:r>
      <w:r w:rsidRPr="00D91A8B">
        <w:rPr>
          <w:rFonts w:cstheme="minorHAnsi"/>
          <w:i/>
        </w:rPr>
        <w:t xml:space="preserve"> the preferred process for implementing the model</w:t>
      </w:r>
      <w:r>
        <w:rPr>
          <w:rFonts w:cstheme="minorHAnsi"/>
          <w:i/>
        </w:rPr>
        <w:t>.</w:t>
      </w:r>
    </w:p>
    <w:p w14:paraId="7C27B7CD" w14:textId="2F1DE8D9" w:rsidR="00D103E3" w:rsidRDefault="00B36160" w:rsidP="009561B8">
      <w:pPr>
        <w:shd w:val="clear" w:color="auto" w:fill="D9D9D9" w:themeFill="background1" w:themeFillShade="D9"/>
        <w:rPr>
          <w:rFonts w:cstheme="minorHAnsi"/>
          <w:i/>
        </w:rPr>
      </w:pPr>
      <w:r w:rsidRPr="00295145">
        <w:rPr>
          <w:rFonts w:cstheme="minorHAnsi"/>
          <w:i/>
        </w:rPr>
        <w:t xml:space="preserve">Consider the time and resources spent on administering travel arrangements and undertaking reporting as well as the funds </w:t>
      </w:r>
      <w:r w:rsidR="002D0F29">
        <w:rPr>
          <w:rFonts w:cstheme="minorHAnsi"/>
          <w:i/>
        </w:rPr>
        <w:t>providers</w:t>
      </w:r>
      <w:r w:rsidRPr="00295145">
        <w:rPr>
          <w:rFonts w:cstheme="minorHAnsi"/>
          <w:i/>
        </w:rPr>
        <w:t xml:space="preserve"> receive for this work. </w:t>
      </w:r>
      <w:r w:rsidR="00220010">
        <w:rPr>
          <w:rFonts w:cstheme="minorHAnsi"/>
          <w:i/>
        </w:rPr>
        <w:t xml:space="preserve">If your institution </w:t>
      </w:r>
      <w:r w:rsidR="00164EAA">
        <w:rPr>
          <w:rFonts w:cstheme="minorHAnsi"/>
          <w:i/>
        </w:rPr>
        <w:t xml:space="preserve">accesses </w:t>
      </w:r>
      <w:r w:rsidR="00220010">
        <w:rPr>
          <w:rFonts w:cstheme="minorHAnsi"/>
          <w:i/>
        </w:rPr>
        <w:t>both AFB progra</w:t>
      </w:r>
      <w:r w:rsidR="00C97CC5">
        <w:rPr>
          <w:rFonts w:cstheme="minorHAnsi"/>
          <w:i/>
        </w:rPr>
        <w:t xml:space="preserve">ms, how does the administration and </w:t>
      </w:r>
      <w:r w:rsidR="00220010">
        <w:rPr>
          <w:rFonts w:cstheme="minorHAnsi"/>
          <w:i/>
        </w:rPr>
        <w:t xml:space="preserve">compliance requirements compare? </w:t>
      </w:r>
      <w:r w:rsidRPr="00295145">
        <w:rPr>
          <w:rFonts w:cstheme="minorHAnsi"/>
          <w:i/>
        </w:rPr>
        <w:t xml:space="preserve">Also consider </w:t>
      </w:r>
      <w:r w:rsidR="002D0F29" w:rsidRPr="00295145">
        <w:rPr>
          <w:rFonts w:cstheme="minorHAnsi"/>
          <w:i/>
        </w:rPr>
        <w:t xml:space="preserve">whether special arrangements allowing provider payments should continue and if so, </w:t>
      </w:r>
      <w:r w:rsidR="00E44E41">
        <w:rPr>
          <w:rFonts w:cstheme="minorHAnsi"/>
          <w:i/>
        </w:rPr>
        <w:t>whether</w:t>
      </w:r>
      <w:r w:rsidR="00E44E41" w:rsidRPr="00295145">
        <w:rPr>
          <w:rFonts w:cstheme="minorHAnsi"/>
          <w:i/>
        </w:rPr>
        <w:t xml:space="preserve"> </w:t>
      </w:r>
      <w:r w:rsidR="002D0F29" w:rsidRPr="00295145">
        <w:rPr>
          <w:rFonts w:cstheme="minorHAnsi"/>
          <w:i/>
        </w:rPr>
        <w:t xml:space="preserve">reimbursement, advance payment or both options </w:t>
      </w:r>
      <w:r w:rsidR="00563B47">
        <w:rPr>
          <w:rFonts w:cstheme="minorHAnsi"/>
          <w:i/>
        </w:rPr>
        <w:t xml:space="preserve">should </w:t>
      </w:r>
      <w:r w:rsidR="002D0F29" w:rsidRPr="00295145">
        <w:rPr>
          <w:rFonts w:cstheme="minorHAnsi"/>
          <w:i/>
        </w:rPr>
        <w:t>remain available to providers.</w:t>
      </w:r>
    </w:p>
    <w:p w14:paraId="2AFF2B6D" w14:textId="2A209584" w:rsidR="007A5012" w:rsidRPr="00096DE3" w:rsidRDefault="007A5012" w:rsidP="007A5012">
      <w:pPr>
        <w:rPr>
          <w:rFonts w:cstheme="minorHAnsi"/>
        </w:rPr>
      </w:pPr>
    </w:p>
    <w:p w14:paraId="2294E4D0" w14:textId="77777777" w:rsidR="00096DE3" w:rsidRDefault="00096DE3">
      <w:pPr>
        <w:rPr>
          <w:rFonts w:ascii="Arial" w:hAnsi="Arial" w:cstheme="minorHAnsi"/>
          <w:b/>
        </w:rPr>
      </w:pPr>
      <w:r>
        <w:rPr>
          <w:rFonts w:cstheme="minorHAnsi"/>
          <w:b/>
        </w:rPr>
        <w:br w:type="page"/>
      </w:r>
    </w:p>
    <w:p w14:paraId="1AC32837" w14:textId="12AD05C3" w:rsidR="00287430" w:rsidRPr="00301F62" w:rsidRDefault="00287430" w:rsidP="00AD0935">
      <w:pPr>
        <w:pStyle w:val="h3"/>
        <w:numPr>
          <w:ilvl w:val="0"/>
          <w:numId w:val="35"/>
        </w:numPr>
      </w:pPr>
      <w:r w:rsidRPr="00301F62">
        <w:lastRenderedPageBreak/>
        <w:t>Individual students</w:t>
      </w:r>
    </w:p>
    <w:p w14:paraId="4BEA7975" w14:textId="77777777" w:rsidR="00C30893" w:rsidRPr="00C30893" w:rsidRDefault="00C30893" w:rsidP="00C30893">
      <w:pPr>
        <w:rPr>
          <w:rFonts w:cstheme="minorHAnsi"/>
        </w:rPr>
      </w:pPr>
      <w:r w:rsidRPr="00C30893">
        <w:rPr>
          <w:rFonts w:cstheme="minorHAnsi"/>
        </w:rPr>
        <w:t xml:space="preserve">For Youth Allowance, Austudy and other ABSTUDY tertiary students that are eligible for Fares Allowance, it is normal practice for the students to be responsible for booking their own travel and seeking reimbursement from DHS. </w:t>
      </w:r>
    </w:p>
    <w:p w14:paraId="7D424F2C" w14:textId="178B59BA" w:rsidR="00287430" w:rsidRDefault="008E2481" w:rsidP="00287430">
      <w:pPr>
        <w:rPr>
          <w:rFonts w:cstheme="minorHAnsi"/>
        </w:rPr>
      </w:pPr>
      <w:r>
        <w:rPr>
          <w:rFonts w:cstheme="minorHAnsi"/>
        </w:rPr>
        <w:t>ABSTUDY AFB</w:t>
      </w:r>
      <w:r w:rsidR="00287430">
        <w:rPr>
          <w:rFonts w:cstheme="minorHAnsi"/>
        </w:rPr>
        <w:t xml:space="preserve"> allows eligible individual students to contact DHS directly to arrange travel. DHS contract a travel agent (currently QBT) to book the travel so students don’t need to arrange what can be very complicated itineraries. The link to DHS means individuals can discuss other support they may also be entitled to receive.</w:t>
      </w:r>
    </w:p>
    <w:p w14:paraId="73E44ABC" w14:textId="77777777" w:rsidR="00287430" w:rsidRDefault="008E2481" w:rsidP="00287430">
      <w:pPr>
        <w:rPr>
          <w:rFonts w:cstheme="minorHAnsi"/>
        </w:rPr>
      </w:pPr>
      <w:r>
        <w:rPr>
          <w:rFonts w:cstheme="minorHAnsi"/>
        </w:rPr>
        <w:t>PM&amp;C’s AFB</w:t>
      </w:r>
      <w:r w:rsidR="00287430">
        <w:rPr>
          <w:rFonts w:cstheme="minorHAnsi"/>
        </w:rPr>
        <w:t xml:space="preserve"> does not allow individual students to apply directly to PM&amp;C for AFB support. Students must apply through an </w:t>
      </w:r>
      <w:r w:rsidR="002D4F10">
        <w:rPr>
          <w:rFonts w:cstheme="minorHAnsi"/>
        </w:rPr>
        <w:t>eligible</w:t>
      </w:r>
      <w:r w:rsidR="00287430">
        <w:rPr>
          <w:rFonts w:cstheme="minorHAnsi"/>
        </w:rPr>
        <w:t xml:space="preserve"> not-for-profit higher education or VET provider, who arrange the travel, meals and accommodation on their behalf.</w:t>
      </w:r>
    </w:p>
    <w:p w14:paraId="52C26A2A" w14:textId="3755FDAD" w:rsidR="00B36160" w:rsidRPr="00287430" w:rsidRDefault="00287430" w:rsidP="00287430">
      <w:pPr>
        <w:shd w:val="clear" w:color="auto" w:fill="D9D9D9" w:themeFill="background1" w:themeFillShade="D9"/>
        <w:rPr>
          <w:rFonts w:cstheme="minorHAnsi"/>
          <w:i/>
        </w:rPr>
      </w:pPr>
      <w:r>
        <w:rPr>
          <w:rFonts w:cstheme="minorHAnsi"/>
          <w:i/>
        </w:rPr>
        <w:t xml:space="preserve">Should individual students be able to claim AFB support, or should they be required to apply through a provider? </w:t>
      </w:r>
      <w:r w:rsidRPr="00D91A8B">
        <w:rPr>
          <w:rFonts w:cstheme="minorHAnsi"/>
          <w:i/>
        </w:rPr>
        <w:t xml:space="preserve">Consider the advantages and disadvantages of a central travel agent organising travel compared to </w:t>
      </w:r>
      <w:r>
        <w:rPr>
          <w:rFonts w:cstheme="minorHAnsi"/>
          <w:i/>
        </w:rPr>
        <w:t>providers</w:t>
      </w:r>
      <w:r w:rsidRPr="00D91A8B">
        <w:rPr>
          <w:rFonts w:cstheme="minorHAnsi"/>
          <w:i/>
        </w:rPr>
        <w:t xml:space="preserve"> booking student and staff travel. Should both options be available in the future? </w:t>
      </w:r>
      <w:r w:rsidRPr="00D91A8B">
        <w:rPr>
          <w:rFonts w:cstheme="minorHAnsi"/>
          <w:i/>
          <w:shd w:val="clear" w:color="auto" w:fill="DBDBDB" w:themeFill="accent3" w:themeFillTint="66"/>
        </w:rPr>
        <w:t>Offer comments in support of your position and where relevant, suggestions on how</w:t>
      </w:r>
      <w:r>
        <w:rPr>
          <w:rFonts w:cstheme="minorHAnsi"/>
          <w:i/>
        </w:rPr>
        <w:t xml:space="preserve"> any improved</w:t>
      </w:r>
      <w:r w:rsidRPr="00D91A8B">
        <w:rPr>
          <w:rFonts w:cstheme="minorHAnsi"/>
          <w:i/>
        </w:rPr>
        <w:t xml:space="preserve"> arrangement might be implemented</w:t>
      </w:r>
      <w:r>
        <w:rPr>
          <w:rFonts w:cstheme="minorHAnsi"/>
          <w:i/>
        </w:rPr>
        <w:t>.</w:t>
      </w:r>
    </w:p>
    <w:p w14:paraId="076F9C16" w14:textId="2103100D" w:rsidR="000463E3" w:rsidRPr="00301F62" w:rsidRDefault="00CD6A02" w:rsidP="00AD0935">
      <w:pPr>
        <w:pStyle w:val="h3"/>
        <w:numPr>
          <w:ilvl w:val="0"/>
          <w:numId w:val="35"/>
        </w:numPr>
      </w:pPr>
      <w:r w:rsidRPr="00301F62">
        <w:t xml:space="preserve">Targeting and </w:t>
      </w:r>
      <w:r w:rsidR="001D295E" w:rsidRPr="00301F62">
        <w:t xml:space="preserve">Prioritising </w:t>
      </w:r>
      <w:r w:rsidR="00663650" w:rsidRPr="00301F62">
        <w:t>AFB</w:t>
      </w:r>
      <w:r w:rsidR="001D295E" w:rsidRPr="00301F62">
        <w:t xml:space="preserve"> </w:t>
      </w:r>
    </w:p>
    <w:p w14:paraId="5FC3AEC3" w14:textId="216762D1" w:rsidR="005F578A" w:rsidRPr="000463E3" w:rsidRDefault="00663650" w:rsidP="000463E3">
      <w:pPr>
        <w:rPr>
          <w:rFonts w:cstheme="minorHAnsi"/>
        </w:rPr>
      </w:pPr>
      <w:r w:rsidRPr="000463E3">
        <w:rPr>
          <w:rFonts w:cstheme="minorHAnsi"/>
        </w:rPr>
        <w:t>AFB</w:t>
      </w:r>
      <w:r w:rsidR="005F578A" w:rsidRPr="000463E3">
        <w:rPr>
          <w:rFonts w:cstheme="minorHAnsi"/>
        </w:rPr>
        <w:t xml:space="preserve"> assistance is mainly available to Aboriginal and Torres Strait Islander students undertaking an eligible course with particular distance learning requirements. Both programs are</w:t>
      </w:r>
      <w:r w:rsidR="00936BF5">
        <w:rPr>
          <w:rFonts w:cstheme="minorHAnsi"/>
        </w:rPr>
        <w:t xml:space="preserve"> designed</w:t>
      </w:r>
      <w:r w:rsidR="005F578A" w:rsidRPr="000463E3">
        <w:rPr>
          <w:rFonts w:cstheme="minorHAnsi"/>
        </w:rPr>
        <w:t xml:space="preserve"> in different ways, to ensure they are sustainable and can continue to help those most in need. For example, </w:t>
      </w:r>
      <w:r w:rsidR="008E2481">
        <w:rPr>
          <w:rFonts w:cstheme="minorHAnsi"/>
        </w:rPr>
        <w:t>PM&amp;C’s AFB</w:t>
      </w:r>
      <w:r w:rsidR="005F578A" w:rsidRPr="000463E3">
        <w:rPr>
          <w:rFonts w:cstheme="minorHAnsi"/>
        </w:rPr>
        <w:t xml:space="preserve"> has a capped per student funding a</w:t>
      </w:r>
      <w:r w:rsidR="004A4AB3">
        <w:rPr>
          <w:rFonts w:cstheme="minorHAnsi"/>
        </w:rPr>
        <w:t>mount each year ($6</w:t>
      </w:r>
      <w:r w:rsidR="00D47BDD">
        <w:rPr>
          <w:rFonts w:cstheme="minorHAnsi"/>
        </w:rPr>
        <w:t>,</w:t>
      </w:r>
      <w:r w:rsidR="004A4AB3">
        <w:rPr>
          <w:rFonts w:cstheme="minorHAnsi"/>
        </w:rPr>
        <w:t>283 per full</w:t>
      </w:r>
      <w:r w:rsidR="004A4AB3">
        <w:rPr>
          <w:rFonts w:cstheme="minorHAnsi"/>
        </w:rPr>
        <w:noBreakHyphen/>
      </w:r>
      <w:r w:rsidR="005F578A" w:rsidRPr="000463E3">
        <w:rPr>
          <w:rFonts w:cstheme="minorHAnsi"/>
        </w:rPr>
        <w:t xml:space="preserve">time equivalent student in 2017). For most students, </w:t>
      </w:r>
      <w:r w:rsidR="008E2481">
        <w:rPr>
          <w:rFonts w:cstheme="minorHAnsi"/>
        </w:rPr>
        <w:t>ABSTUDY AFB</w:t>
      </w:r>
      <w:r w:rsidR="005F578A" w:rsidRPr="000463E3">
        <w:rPr>
          <w:rFonts w:cstheme="minorHAnsi"/>
        </w:rPr>
        <w:t xml:space="preserve"> is limited by the number of return trips and number of days for which residential costs may be paid each year. </w:t>
      </w:r>
      <w:r w:rsidR="002D4F10" w:rsidRPr="00BE1536">
        <w:t xml:space="preserve">A discussion of the </w:t>
      </w:r>
      <w:r w:rsidR="007C520B">
        <w:t xml:space="preserve">targeting and </w:t>
      </w:r>
      <w:r w:rsidR="002D4F10" w:rsidRPr="00BE1536">
        <w:t>prioritisation of AFB is included on the following pages</w:t>
      </w:r>
      <w:r w:rsidR="002D4F10" w:rsidRPr="00BE1536">
        <w:rPr>
          <w:rFonts w:cstheme="minorHAnsi"/>
        </w:rPr>
        <w:t>.</w:t>
      </w:r>
    </w:p>
    <w:p w14:paraId="71146693" w14:textId="77777777" w:rsidR="005F578A" w:rsidRDefault="005F578A" w:rsidP="005F578A">
      <w:pPr>
        <w:rPr>
          <w:rFonts w:cstheme="minorHAnsi"/>
        </w:rPr>
      </w:pPr>
      <w:r>
        <w:rPr>
          <w:rFonts w:cstheme="minorHAnsi"/>
        </w:rPr>
        <w:t xml:space="preserve">We would value your consideration on the </w:t>
      </w:r>
      <w:r w:rsidR="00107F6E">
        <w:rPr>
          <w:rFonts w:cstheme="minorHAnsi"/>
        </w:rPr>
        <w:t>way AFB resources are prioritised</w:t>
      </w:r>
      <w:r>
        <w:rPr>
          <w:rFonts w:cstheme="minorHAnsi"/>
        </w:rPr>
        <w:t>, what is working and not working and any suggestions for what might work better to meet student need, noting current resources available across both AFB programs was around $30 million in 2017.</w:t>
      </w:r>
    </w:p>
    <w:p w14:paraId="36AFF948" w14:textId="16C38C75" w:rsidR="00820AB8" w:rsidRPr="009561B8" w:rsidRDefault="00820AB8" w:rsidP="009561B8">
      <w:pPr>
        <w:shd w:val="clear" w:color="auto" w:fill="D9D9D9" w:themeFill="background1" w:themeFillShade="D9"/>
        <w:rPr>
          <w:rFonts w:cstheme="minorHAnsi"/>
          <w:i/>
        </w:rPr>
      </w:pPr>
      <w:r w:rsidRPr="009561B8">
        <w:rPr>
          <w:rFonts w:cstheme="minorHAnsi"/>
          <w:i/>
        </w:rPr>
        <w:t>What is the fairest way of</w:t>
      </w:r>
      <w:r w:rsidR="00CD6A02" w:rsidRPr="009561B8">
        <w:rPr>
          <w:rFonts w:cstheme="minorHAnsi"/>
          <w:i/>
        </w:rPr>
        <w:t xml:space="preserve"> targeting and</w:t>
      </w:r>
      <w:r w:rsidRPr="009561B8">
        <w:rPr>
          <w:rFonts w:cstheme="minorHAnsi"/>
          <w:i/>
        </w:rPr>
        <w:t xml:space="preserve"> prioritising existing AFB resources? Please comment on how your preferred approach might be implemented.</w:t>
      </w:r>
    </w:p>
    <w:p w14:paraId="17B877C7" w14:textId="306A5C72" w:rsidR="002D0F29" w:rsidRPr="00AD0935" w:rsidRDefault="002D0F29" w:rsidP="00AD0935">
      <w:pPr>
        <w:pStyle w:val="h4"/>
      </w:pPr>
      <w:r w:rsidRPr="00AD0935">
        <w:t>Courses</w:t>
      </w:r>
    </w:p>
    <w:p w14:paraId="1AD7BCE0" w14:textId="77777777" w:rsidR="00A7465C" w:rsidRPr="00A7465C" w:rsidRDefault="00A7465C" w:rsidP="005F578A">
      <w:pPr>
        <w:rPr>
          <w:rFonts w:cstheme="minorHAnsi"/>
        </w:rPr>
      </w:pPr>
      <w:r>
        <w:rPr>
          <w:rFonts w:cstheme="minorHAnsi"/>
        </w:rPr>
        <w:t xml:space="preserve">There are different rules regarding the eligibility for student payments for courses at different levels. </w:t>
      </w:r>
      <w:r w:rsidRPr="00A7465C">
        <w:rPr>
          <w:rFonts w:cstheme="minorHAnsi"/>
        </w:rPr>
        <w:t>For Youth Allowance, Austudy and ABSTUDY:</w:t>
      </w:r>
    </w:p>
    <w:p w14:paraId="61759DF6" w14:textId="550F5F2B" w:rsidR="00A7465C" w:rsidRPr="00A7465C" w:rsidRDefault="00A7465C" w:rsidP="00A7465C">
      <w:pPr>
        <w:pStyle w:val="ListParagraph"/>
        <w:numPr>
          <w:ilvl w:val="0"/>
          <w:numId w:val="27"/>
        </w:numPr>
        <w:rPr>
          <w:rFonts w:asciiTheme="minorHAnsi" w:hAnsiTheme="minorHAnsi" w:cstheme="minorHAnsi"/>
        </w:rPr>
      </w:pPr>
      <w:r w:rsidRPr="00A7465C">
        <w:rPr>
          <w:rFonts w:asciiTheme="minorHAnsi" w:hAnsiTheme="minorHAnsi" w:cstheme="minorHAnsi"/>
        </w:rPr>
        <w:t xml:space="preserve">All </w:t>
      </w:r>
      <w:r w:rsidR="00CC386B">
        <w:rPr>
          <w:rFonts w:asciiTheme="minorHAnsi" w:hAnsiTheme="minorHAnsi" w:cstheme="minorHAnsi"/>
        </w:rPr>
        <w:t>C</w:t>
      </w:r>
      <w:r w:rsidRPr="00A7465C">
        <w:rPr>
          <w:rFonts w:asciiTheme="minorHAnsi" w:hAnsiTheme="minorHAnsi" w:cstheme="minorHAnsi"/>
        </w:rPr>
        <w:t>ertificate I</w:t>
      </w:r>
      <w:r w:rsidR="00CC386B">
        <w:rPr>
          <w:rFonts w:asciiTheme="minorHAnsi" w:hAnsiTheme="minorHAnsi" w:cstheme="minorHAnsi"/>
        </w:rPr>
        <w:t xml:space="preserve"> to Certificate </w:t>
      </w:r>
      <w:r w:rsidRPr="00A7465C">
        <w:rPr>
          <w:rFonts w:asciiTheme="minorHAnsi" w:hAnsiTheme="minorHAnsi" w:cstheme="minorHAnsi"/>
        </w:rPr>
        <w:t>IV level courses are approved for student payments, provided they are approved by the relevant accrediting authority;</w:t>
      </w:r>
    </w:p>
    <w:p w14:paraId="7839D63B" w14:textId="77777777" w:rsidR="00A7465C" w:rsidRPr="00A7465C" w:rsidRDefault="00A7465C" w:rsidP="00A7465C">
      <w:pPr>
        <w:pStyle w:val="ListParagraph"/>
        <w:numPr>
          <w:ilvl w:val="0"/>
          <w:numId w:val="27"/>
        </w:numPr>
        <w:rPr>
          <w:rFonts w:asciiTheme="minorHAnsi" w:hAnsiTheme="minorHAnsi" w:cstheme="minorHAnsi"/>
        </w:rPr>
      </w:pPr>
      <w:r w:rsidRPr="00A7465C">
        <w:rPr>
          <w:rFonts w:asciiTheme="minorHAnsi" w:hAnsiTheme="minorHAnsi" w:cstheme="minorHAnsi"/>
        </w:rPr>
        <w:t>Vocational education and training courses at diploma level and above are only approved for student payments if both the course and the provider are approved for VET Student Loans (VSL);</w:t>
      </w:r>
    </w:p>
    <w:p w14:paraId="5DDC9CE7" w14:textId="606983F5" w:rsidR="00A7465C" w:rsidRPr="00A7465C" w:rsidRDefault="00A7465C" w:rsidP="00323BDA">
      <w:pPr>
        <w:pStyle w:val="ListParagraph"/>
        <w:numPr>
          <w:ilvl w:val="1"/>
          <w:numId w:val="27"/>
        </w:numPr>
        <w:rPr>
          <w:rFonts w:asciiTheme="minorHAnsi" w:hAnsiTheme="minorHAnsi" w:cstheme="minorHAnsi"/>
        </w:rPr>
      </w:pPr>
      <w:r w:rsidRPr="00A7465C">
        <w:rPr>
          <w:rFonts w:asciiTheme="minorHAnsi" w:hAnsiTheme="minorHAnsi" w:cstheme="minorHAnsi"/>
          <w:lang w:val="en"/>
        </w:rPr>
        <w:t>This direct</w:t>
      </w:r>
      <w:r>
        <w:rPr>
          <w:rFonts w:asciiTheme="minorHAnsi" w:hAnsiTheme="minorHAnsi" w:cstheme="minorHAnsi"/>
          <w:lang w:val="en"/>
        </w:rPr>
        <w:t>s</w:t>
      </w:r>
      <w:r w:rsidRPr="00A7465C">
        <w:rPr>
          <w:rFonts w:asciiTheme="minorHAnsi" w:hAnsiTheme="minorHAnsi" w:cstheme="minorHAnsi"/>
          <w:lang w:val="en"/>
        </w:rPr>
        <w:t xml:space="preserve"> student payments to VET courses that </w:t>
      </w:r>
      <w:r w:rsidR="00A4344C" w:rsidRPr="00A7465C">
        <w:rPr>
          <w:rFonts w:asciiTheme="minorHAnsi" w:hAnsiTheme="minorHAnsi" w:cstheme="minorHAnsi"/>
          <w:lang w:val="en"/>
        </w:rPr>
        <w:t>hav</w:t>
      </w:r>
      <w:r w:rsidR="00A4344C">
        <w:rPr>
          <w:rFonts w:asciiTheme="minorHAnsi" w:hAnsiTheme="minorHAnsi" w:cstheme="minorHAnsi"/>
          <w:lang w:val="en"/>
        </w:rPr>
        <w:t>e</w:t>
      </w:r>
      <w:r w:rsidRPr="00A7465C">
        <w:rPr>
          <w:rFonts w:asciiTheme="minorHAnsi" w:hAnsiTheme="minorHAnsi" w:cstheme="minorHAnsi"/>
          <w:lang w:val="en"/>
        </w:rPr>
        <w:t xml:space="preserve"> a high national priority, meet industry needs, contribute to addressing skills shortages and align with strong employment outcomes</w:t>
      </w:r>
      <w:r w:rsidR="0036416B">
        <w:rPr>
          <w:rFonts w:asciiTheme="minorHAnsi" w:hAnsiTheme="minorHAnsi" w:cstheme="minorHAnsi"/>
          <w:lang w:val="en"/>
        </w:rPr>
        <w:t>;</w:t>
      </w:r>
    </w:p>
    <w:p w14:paraId="737C3357" w14:textId="77777777" w:rsidR="00A7465C" w:rsidRPr="005F6C54" w:rsidRDefault="00A7465C" w:rsidP="00A7465C">
      <w:pPr>
        <w:pStyle w:val="ListParagraph"/>
        <w:numPr>
          <w:ilvl w:val="0"/>
          <w:numId w:val="27"/>
        </w:numPr>
        <w:rPr>
          <w:rFonts w:asciiTheme="minorHAnsi" w:hAnsiTheme="minorHAnsi" w:cstheme="minorHAnsi"/>
        </w:rPr>
      </w:pPr>
      <w:r w:rsidRPr="00A7465C">
        <w:rPr>
          <w:rFonts w:asciiTheme="minorHAnsi" w:hAnsiTheme="minorHAnsi" w:cstheme="minorHAnsi"/>
        </w:rPr>
        <w:lastRenderedPageBreak/>
        <w:t>Bachelor degrees, graduate certificates, graduate diplomas and similar are approved for student payments, provided that the higher education provider is approved for the Higher Education Loan Program (HELP)</w:t>
      </w:r>
      <w:r w:rsidR="0036416B">
        <w:rPr>
          <w:rFonts w:asciiTheme="minorHAnsi" w:hAnsiTheme="minorHAnsi" w:cstheme="minorHAnsi"/>
        </w:rPr>
        <w:t>;</w:t>
      </w:r>
    </w:p>
    <w:p w14:paraId="7ECA803F" w14:textId="77777777" w:rsidR="00A7465C" w:rsidRPr="00E86F5F" w:rsidRDefault="00A7465C" w:rsidP="00A7465C">
      <w:pPr>
        <w:pStyle w:val="ListParagraph"/>
        <w:numPr>
          <w:ilvl w:val="0"/>
          <w:numId w:val="27"/>
        </w:numPr>
        <w:rPr>
          <w:rFonts w:asciiTheme="minorHAnsi" w:hAnsiTheme="minorHAnsi" w:cstheme="minorHAnsi"/>
        </w:rPr>
      </w:pPr>
      <w:r w:rsidRPr="00A7465C">
        <w:rPr>
          <w:rFonts w:asciiTheme="minorHAnsi" w:hAnsiTheme="minorHAnsi" w:cstheme="minorHAnsi"/>
        </w:rPr>
        <w:t>Masters by coursework</w:t>
      </w:r>
      <w:r w:rsidR="00E86F5F">
        <w:rPr>
          <w:rFonts w:asciiTheme="minorHAnsi" w:hAnsiTheme="minorHAnsi" w:cstheme="minorHAnsi"/>
        </w:rPr>
        <w:t xml:space="preserve"> degrees are only eligible for Youth Allowance and Austudy if the Minister</w:t>
      </w:r>
      <w:r w:rsidR="0036416B">
        <w:rPr>
          <w:rFonts w:asciiTheme="minorHAnsi" w:hAnsiTheme="minorHAnsi" w:cstheme="minorHAnsi"/>
        </w:rPr>
        <w:t xml:space="preserve"> for Social Services</w:t>
      </w:r>
      <w:r w:rsidR="00E86F5F">
        <w:rPr>
          <w:rFonts w:asciiTheme="minorHAnsi" w:hAnsiTheme="minorHAnsi" w:cstheme="minorHAnsi"/>
        </w:rPr>
        <w:t xml:space="preserve"> has listed them on the </w:t>
      </w:r>
      <w:r w:rsidR="005F6C54">
        <w:rPr>
          <w:rFonts w:asciiTheme="minorHAnsi" w:hAnsiTheme="minorHAnsi" w:cstheme="minorHAnsi"/>
          <w:i/>
        </w:rPr>
        <w:t>Student Assistance (Education Institutions and Courses) Determination</w:t>
      </w:r>
      <w:r w:rsidR="005F6C54">
        <w:rPr>
          <w:rFonts w:asciiTheme="minorHAnsi" w:hAnsiTheme="minorHAnsi" w:cstheme="minorHAnsi"/>
        </w:rPr>
        <w:t xml:space="preserve"> </w:t>
      </w:r>
      <w:r w:rsidR="0036416B">
        <w:rPr>
          <w:rFonts w:asciiTheme="minorHAnsi" w:hAnsiTheme="minorHAnsi" w:cstheme="minorHAnsi"/>
        </w:rPr>
        <w:t>(note a</w:t>
      </w:r>
      <w:r w:rsidR="005F6C54">
        <w:rPr>
          <w:rFonts w:asciiTheme="minorHAnsi" w:hAnsiTheme="minorHAnsi" w:cstheme="minorHAnsi"/>
        </w:rPr>
        <w:t>ll masters by coursework degrees are eligible for ABSTUDY</w:t>
      </w:r>
      <w:r w:rsidR="0036416B">
        <w:rPr>
          <w:rFonts w:asciiTheme="minorHAnsi" w:hAnsiTheme="minorHAnsi" w:cstheme="minorHAnsi"/>
        </w:rPr>
        <w:t>); and</w:t>
      </w:r>
    </w:p>
    <w:p w14:paraId="39A6E39A" w14:textId="77777777" w:rsidR="00A7465C" w:rsidRPr="00A7465C" w:rsidRDefault="00A7465C" w:rsidP="00A7465C">
      <w:pPr>
        <w:pStyle w:val="ListParagraph"/>
        <w:numPr>
          <w:ilvl w:val="0"/>
          <w:numId w:val="27"/>
        </w:numPr>
        <w:rPr>
          <w:rFonts w:asciiTheme="minorHAnsi" w:hAnsiTheme="minorHAnsi" w:cstheme="minorHAnsi"/>
        </w:rPr>
      </w:pPr>
      <w:r w:rsidRPr="00E86F5F">
        <w:rPr>
          <w:rFonts w:asciiTheme="minorHAnsi" w:hAnsiTheme="minorHAnsi" w:cstheme="minorHAnsi"/>
        </w:rPr>
        <w:t xml:space="preserve">Higher degree by research </w:t>
      </w:r>
      <w:r w:rsidR="00D47BDD">
        <w:rPr>
          <w:rFonts w:asciiTheme="minorHAnsi" w:hAnsiTheme="minorHAnsi" w:cstheme="minorHAnsi"/>
        </w:rPr>
        <w:t xml:space="preserve">courses </w:t>
      </w:r>
      <w:r w:rsidRPr="00E86F5F">
        <w:rPr>
          <w:rFonts w:asciiTheme="minorHAnsi" w:hAnsiTheme="minorHAnsi" w:cstheme="minorHAnsi"/>
        </w:rPr>
        <w:t>are only eligible</w:t>
      </w:r>
      <w:r>
        <w:rPr>
          <w:rFonts w:asciiTheme="minorHAnsi" w:hAnsiTheme="minorHAnsi" w:cstheme="minorHAnsi"/>
        </w:rPr>
        <w:t xml:space="preserve"> for ABSTUDY, not for other student payments.</w:t>
      </w:r>
    </w:p>
    <w:p w14:paraId="52766861" w14:textId="6953142F" w:rsidR="00A7465C" w:rsidRDefault="00EE7EF5" w:rsidP="005F6C54">
      <w:pPr>
        <w:rPr>
          <w:rFonts w:cstheme="minorHAnsi"/>
        </w:rPr>
      </w:pPr>
      <w:r w:rsidRPr="00483A35">
        <w:rPr>
          <w:rFonts w:cstheme="minorHAnsi"/>
        </w:rPr>
        <w:t>S</w:t>
      </w:r>
      <w:r w:rsidR="00483A35" w:rsidRPr="00483A35">
        <w:rPr>
          <w:rFonts w:cstheme="minorHAnsi"/>
        </w:rPr>
        <w:t>tudents can</w:t>
      </w:r>
      <w:r w:rsidR="005F6C54" w:rsidRPr="00483A35">
        <w:rPr>
          <w:rFonts w:cstheme="minorHAnsi"/>
        </w:rPr>
        <w:t xml:space="preserve"> receive ABSTUDY for undertaking </w:t>
      </w:r>
      <w:r w:rsidRPr="00483A35">
        <w:rPr>
          <w:rFonts w:cstheme="minorHAnsi"/>
        </w:rPr>
        <w:t>I</w:t>
      </w:r>
      <w:r w:rsidR="005F6C54" w:rsidRPr="00483A35">
        <w:rPr>
          <w:rFonts w:cstheme="minorHAnsi"/>
        </w:rPr>
        <w:t>ndigenous special courses of study, where the course</w:t>
      </w:r>
      <w:r w:rsidR="00483A35">
        <w:rPr>
          <w:rFonts w:cstheme="minorHAnsi"/>
        </w:rPr>
        <w:t>s</w:t>
      </w:r>
      <w:r w:rsidR="005F6C54" w:rsidRPr="00483A35">
        <w:rPr>
          <w:rFonts w:cstheme="minorHAnsi"/>
        </w:rPr>
        <w:t xml:space="preserve"> would not otherwise be eligible for student payments</w:t>
      </w:r>
      <w:r w:rsidR="00483A35">
        <w:rPr>
          <w:rFonts w:cstheme="minorHAnsi"/>
        </w:rPr>
        <w:t>.</w:t>
      </w:r>
      <w:r w:rsidR="005F6C54">
        <w:rPr>
          <w:rFonts w:cstheme="minorHAnsi"/>
        </w:rPr>
        <w:t xml:space="preserve"> Indigenous special courses are courses developed</w:t>
      </w:r>
      <w:r w:rsidR="005F6C54">
        <w:t xml:space="preserve"> with content designed specifically for Aboriginal and Torres Strait Islander students. </w:t>
      </w:r>
    </w:p>
    <w:p w14:paraId="238F3E7C" w14:textId="5BCF4E3C" w:rsidR="008B4716" w:rsidRDefault="00611736" w:rsidP="005F578A">
      <w:pPr>
        <w:rPr>
          <w:rFonts w:cstheme="minorHAnsi"/>
        </w:rPr>
      </w:pPr>
      <w:r>
        <w:rPr>
          <w:rFonts w:cstheme="minorHAnsi"/>
        </w:rPr>
        <w:t>However, a</w:t>
      </w:r>
      <w:r w:rsidR="005F578A">
        <w:rPr>
          <w:rFonts w:cstheme="minorHAnsi"/>
        </w:rPr>
        <w:t xml:space="preserve">cross the two </w:t>
      </w:r>
      <w:r w:rsidR="00663650">
        <w:rPr>
          <w:rFonts w:cstheme="minorHAnsi"/>
        </w:rPr>
        <w:t>AFB</w:t>
      </w:r>
      <w:r w:rsidR="005F578A">
        <w:rPr>
          <w:rFonts w:cstheme="minorHAnsi"/>
        </w:rPr>
        <w:t xml:space="preserve"> programs, </w:t>
      </w:r>
      <w:r w:rsidR="00BD6B20">
        <w:rPr>
          <w:rFonts w:cstheme="minorHAnsi"/>
        </w:rPr>
        <w:t xml:space="preserve">the level of courses for which </w:t>
      </w:r>
      <w:r w:rsidR="005F578A">
        <w:rPr>
          <w:rFonts w:cstheme="minorHAnsi"/>
        </w:rPr>
        <w:t>assistance can be provided</w:t>
      </w:r>
      <w:r w:rsidR="00BD6B20">
        <w:rPr>
          <w:rFonts w:cstheme="minorHAnsi"/>
        </w:rPr>
        <w:t xml:space="preserve"> differ</w:t>
      </w:r>
      <w:r>
        <w:rPr>
          <w:rFonts w:cstheme="minorHAnsi"/>
        </w:rPr>
        <w:t>s</w:t>
      </w:r>
      <w:r w:rsidR="00D47BDD">
        <w:rPr>
          <w:rFonts w:cstheme="minorHAnsi"/>
        </w:rPr>
        <w:t>.</w:t>
      </w:r>
      <w:r w:rsidR="00BD6B20">
        <w:rPr>
          <w:rFonts w:cstheme="minorHAnsi"/>
        </w:rPr>
        <w:t xml:space="preserve"> </w:t>
      </w:r>
      <w:r w:rsidR="008E2481">
        <w:rPr>
          <w:rFonts w:cstheme="minorHAnsi"/>
        </w:rPr>
        <w:t>PM&amp;C’s AFB</w:t>
      </w:r>
      <w:r w:rsidR="005F578A">
        <w:rPr>
          <w:rFonts w:cstheme="minorHAnsi"/>
        </w:rPr>
        <w:t xml:space="preserve"> support</w:t>
      </w:r>
      <w:r w:rsidR="00E75D3D">
        <w:rPr>
          <w:rFonts w:cstheme="minorHAnsi"/>
        </w:rPr>
        <w:t>s</w:t>
      </w:r>
      <w:r w:rsidR="005F578A">
        <w:rPr>
          <w:rFonts w:cstheme="minorHAnsi"/>
        </w:rPr>
        <w:t xml:space="preserve"> students across Australian Qualifications Framework Certificate I to Masters Degree by Coursework (no support for </w:t>
      </w:r>
      <w:r w:rsidR="00BD6B20">
        <w:rPr>
          <w:rFonts w:cstheme="minorHAnsi"/>
        </w:rPr>
        <w:t xml:space="preserve">higher </w:t>
      </w:r>
      <w:r w:rsidR="005F578A">
        <w:rPr>
          <w:rFonts w:cstheme="minorHAnsi"/>
        </w:rPr>
        <w:t xml:space="preserve">degrees by </w:t>
      </w:r>
      <w:r w:rsidR="00BD6B20">
        <w:rPr>
          <w:rFonts w:cstheme="minorHAnsi"/>
        </w:rPr>
        <w:t>r</w:t>
      </w:r>
      <w:r w:rsidR="005F578A">
        <w:rPr>
          <w:rFonts w:cstheme="minorHAnsi"/>
        </w:rPr>
        <w:t xml:space="preserve">esearch). </w:t>
      </w:r>
      <w:r w:rsidR="008E2481">
        <w:rPr>
          <w:rFonts w:cstheme="minorHAnsi"/>
        </w:rPr>
        <w:t>ABSTUDY AFB</w:t>
      </w:r>
      <w:r w:rsidR="005F578A">
        <w:rPr>
          <w:rFonts w:cstheme="minorHAnsi"/>
        </w:rPr>
        <w:t xml:space="preserve"> support</w:t>
      </w:r>
      <w:r w:rsidR="00C31BB7">
        <w:rPr>
          <w:rFonts w:cstheme="minorHAnsi"/>
        </w:rPr>
        <w:t>s</w:t>
      </w:r>
      <w:r w:rsidR="005F578A">
        <w:rPr>
          <w:rFonts w:cstheme="minorHAnsi"/>
        </w:rPr>
        <w:t xml:space="preserve"> students </w:t>
      </w:r>
      <w:r w:rsidR="00BD6B20">
        <w:rPr>
          <w:rFonts w:cstheme="minorHAnsi"/>
        </w:rPr>
        <w:t xml:space="preserve">from secondary school through to </w:t>
      </w:r>
      <w:r w:rsidR="005F578A">
        <w:rPr>
          <w:rFonts w:cstheme="minorHAnsi"/>
        </w:rPr>
        <w:t>Doctora</w:t>
      </w:r>
      <w:r w:rsidR="001B479E">
        <w:rPr>
          <w:rFonts w:cstheme="minorHAnsi"/>
        </w:rPr>
        <w:t>te</w:t>
      </w:r>
      <w:r w:rsidR="005F578A">
        <w:rPr>
          <w:rFonts w:cstheme="minorHAnsi"/>
        </w:rPr>
        <w:t xml:space="preserve"> Degree</w:t>
      </w:r>
      <w:r w:rsidR="00BD6B20">
        <w:rPr>
          <w:rFonts w:cstheme="minorHAnsi"/>
        </w:rPr>
        <w:t>. However, there are</w:t>
      </w:r>
      <w:r w:rsidR="005F578A">
        <w:rPr>
          <w:rFonts w:cstheme="minorHAnsi"/>
        </w:rPr>
        <w:t xml:space="preserve"> </w:t>
      </w:r>
      <w:r w:rsidR="00BD6B20">
        <w:rPr>
          <w:rFonts w:cstheme="minorHAnsi"/>
        </w:rPr>
        <w:t xml:space="preserve">financial </w:t>
      </w:r>
      <w:r w:rsidR="005F578A">
        <w:rPr>
          <w:rFonts w:cstheme="minorHAnsi"/>
        </w:rPr>
        <w:t xml:space="preserve">limits on students enrolled in </w:t>
      </w:r>
      <w:r w:rsidR="00970A57">
        <w:rPr>
          <w:rFonts w:cstheme="minorHAnsi"/>
        </w:rPr>
        <w:t>Masters and Doctorate Degrees</w:t>
      </w:r>
      <w:r w:rsidR="005F578A">
        <w:rPr>
          <w:rFonts w:cstheme="minorHAnsi"/>
        </w:rPr>
        <w:t xml:space="preserve"> (assistance not to exceed $2,080 per year).</w:t>
      </w:r>
      <w:r w:rsidR="00165891">
        <w:rPr>
          <w:rFonts w:cstheme="minorHAnsi"/>
        </w:rPr>
        <w:t xml:space="preserve"> </w:t>
      </w:r>
    </w:p>
    <w:p w14:paraId="495CEE71" w14:textId="7F2A792F" w:rsidR="0053133A" w:rsidRDefault="0047299C" w:rsidP="005F578A">
      <w:pPr>
        <w:rPr>
          <w:rFonts w:cstheme="minorHAnsi"/>
        </w:rPr>
      </w:pPr>
      <w:r>
        <w:rPr>
          <w:rFonts w:cstheme="minorHAnsi"/>
        </w:rPr>
        <w:t xml:space="preserve">The full range of </w:t>
      </w:r>
      <w:r w:rsidR="00E44E41">
        <w:rPr>
          <w:rFonts w:cstheme="minorHAnsi"/>
        </w:rPr>
        <w:t xml:space="preserve">eligible </w:t>
      </w:r>
      <w:r>
        <w:rPr>
          <w:rFonts w:cstheme="minorHAnsi"/>
        </w:rPr>
        <w:t>courses under ABSTUDY are available through both AFB programs, subject to the course meeting the respective distance learning requirements of each program. For VET courses below diploma level and for university delivered courses (with the exception of study by research) there are generally no exceptions. For</w:t>
      </w:r>
      <w:r w:rsidR="008B4716" w:rsidRPr="008B4716">
        <w:rPr>
          <w:rFonts w:cstheme="minorHAnsi"/>
        </w:rPr>
        <w:t xml:space="preserve"> VET courses at Diploma level or above</w:t>
      </w:r>
      <w:r>
        <w:rPr>
          <w:rFonts w:cstheme="minorHAnsi"/>
        </w:rPr>
        <w:t>,</w:t>
      </w:r>
      <w:r w:rsidR="008B4716" w:rsidRPr="008B4716">
        <w:rPr>
          <w:rFonts w:cstheme="minorHAnsi"/>
        </w:rPr>
        <w:t xml:space="preserve"> student payments </w:t>
      </w:r>
      <w:r>
        <w:rPr>
          <w:rFonts w:cstheme="minorHAnsi"/>
        </w:rPr>
        <w:t xml:space="preserve">are only eligible </w:t>
      </w:r>
      <w:r w:rsidR="008B4716" w:rsidRPr="008B4716">
        <w:rPr>
          <w:rFonts w:cstheme="minorHAnsi"/>
        </w:rPr>
        <w:t>where both the course, and the provider, are appr</w:t>
      </w:r>
      <w:r w:rsidR="00A47C3E">
        <w:rPr>
          <w:rFonts w:cstheme="minorHAnsi"/>
        </w:rPr>
        <w:t>oved for VSL</w:t>
      </w:r>
      <w:r w:rsidR="008B4716" w:rsidRPr="008B4716">
        <w:rPr>
          <w:rFonts w:cstheme="minorHAnsi"/>
        </w:rPr>
        <w:t>.</w:t>
      </w:r>
      <w:r w:rsidR="0053133A">
        <w:rPr>
          <w:rFonts w:cstheme="minorHAnsi"/>
        </w:rPr>
        <w:t xml:space="preserve"> T</w:t>
      </w:r>
      <w:r w:rsidR="0053133A" w:rsidRPr="008837C4">
        <w:rPr>
          <w:rFonts w:cstheme="minorHAnsi"/>
        </w:rPr>
        <w:t xml:space="preserve">he approved course list for </w:t>
      </w:r>
      <w:r>
        <w:rPr>
          <w:rFonts w:cstheme="minorHAnsi"/>
        </w:rPr>
        <w:t>VSL</w:t>
      </w:r>
      <w:r w:rsidR="0053133A" w:rsidRPr="008837C4">
        <w:rPr>
          <w:rFonts w:cstheme="minorHAnsi"/>
        </w:rPr>
        <w:t xml:space="preserve"> has been designed with the objective of aligning course eligibility to areas of high national priority, addressing skills shortages and industry needs and aligning with strong employment outcomes. T</w:t>
      </w:r>
      <w:r>
        <w:rPr>
          <w:rFonts w:cstheme="minorHAnsi"/>
        </w:rPr>
        <w:t>o be eligible for VSL</w:t>
      </w:r>
      <w:r w:rsidR="0053133A" w:rsidRPr="008837C4">
        <w:rPr>
          <w:rFonts w:cstheme="minorHAnsi"/>
        </w:rPr>
        <w:t>, a course must be current and on at least two state or territory skills needs lists; or science, technology, engineering, agriculture or mathematics related; or tied to lic</w:t>
      </w:r>
      <w:r>
        <w:rPr>
          <w:rFonts w:cstheme="minorHAnsi"/>
        </w:rPr>
        <w:t>enc</w:t>
      </w:r>
      <w:r w:rsidR="0053133A" w:rsidRPr="008837C4">
        <w:rPr>
          <w:rFonts w:cstheme="minorHAnsi"/>
        </w:rPr>
        <w:t xml:space="preserve">ing requirements for a particular occupation. </w:t>
      </w:r>
      <w:r w:rsidR="0053133A">
        <w:rPr>
          <w:rFonts w:cstheme="minorHAnsi"/>
        </w:rPr>
        <w:t xml:space="preserve">In addition, section 11.5.2 of the ABSTUDY policy manual makes provision for </w:t>
      </w:r>
      <w:r w:rsidR="0053133A" w:rsidRPr="0053133A">
        <w:rPr>
          <w:rFonts w:cstheme="minorHAnsi"/>
        </w:rPr>
        <w:t>Indigenous special courses of study</w:t>
      </w:r>
      <w:r w:rsidR="0053133A">
        <w:rPr>
          <w:rFonts w:cstheme="minorHAnsi"/>
        </w:rPr>
        <w:t xml:space="preserve"> to be eligible courses for ABSTUDY purposes</w:t>
      </w:r>
      <w:r w:rsidR="0053133A" w:rsidRPr="0053133A">
        <w:rPr>
          <w:rFonts w:cstheme="minorHAnsi"/>
        </w:rPr>
        <w:t>.</w:t>
      </w:r>
      <w:r w:rsidR="0053133A">
        <w:rPr>
          <w:rFonts w:cstheme="minorHAnsi"/>
        </w:rPr>
        <w:t xml:space="preserve"> </w:t>
      </w:r>
    </w:p>
    <w:p w14:paraId="0D344543" w14:textId="77777777" w:rsidR="0053133A" w:rsidRDefault="0047299C" w:rsidP="005F578A">
      <w:pPr>
        <w:rPr>
          <w:rFonts w:cstheme="minorHAnsi"/>
        </w:rPr>
      </w:pPr>
      <w:r>
        <w:rPr>
          <w:rFonts w:cstheme="minorHAnsi"/>
        </w:rPr>
        <w:t xml:space="preserve">The full range of </w:t>
      </w:r>
      <w:r w:rsidR="000F5365">
        <w:rPr>
          <w:rFonts w:cstheme="minorHAnsi"/>
        </w:rPr>
        <w:t>approved</w:t>
      </w:r>
      <w:r w:rsidR="008255F4">
        <w:rPr>
          <w:rFonts w:cstheme="minorHAnsi"/>
        </w:rPr>
        <w:t xml:space="preserve"> </w:t>
      </w:r>
      <w:r>
        <w:rPr>
          <w:rFonts w:cstheme="minorHAnsi"/>
        </w:rPr>
        <w:t xml:space="preserve">courses under ABSTUDY are available through both AFB programs, subject to the course meeting the respective </w:t>
      </w:r>
      <w:r w:rsidR="000F5365">
        <w:rPr>
          <w:rFonts w:cstheme="minorHAnsi"/>
        </w:rPr>
        <w:t>eligibility</w:t>
      </w:r>
      <w:r>
        <w:rPr>
          <w:rFonts w:cstheme="minorHAnsi"/>
        </w:rPr>
        <w:t xml:space="preserve"> requirements of each program.</w:t>
      </w:r>
      <w:r w:rsidR="00611736">
        <w:rPr>
          <w:rFonts w:cstheme="minorHAnsi"/>
        </w:rPr>
        <w:t xml:space="preserve"> </w:t>
      </w:r>
    </w:p>
    <w:p w14:paraId="2951D782" w14:textId="2E01B8D5" w:rsidR="009D5F7B" w:rsidRPr="0047299C" w:rsidRDefault="0047299C" w:rsidP="00165891">
      <w:pPr>
        <w:rPr>
          <w:rFonts w:cstheme="minorHAnsi"/>
        </w:rPr>
      </w:pPr>
      <w:r>
        <w:rPr>
          <w:rFonts w:cstheme="minorHAnsi"/>
        </w:rPr>
        <w:t>S</w:t>
      </w:r>
      <w:r w:rsidR="00521C4C" w:rsidRPr="008255F4">
        <w:rPr>
          <w:rFonts w:cstheme="minorHAnsi"/>
        </w:rPr>
        <w:t xml:space="preserve">ome </w:t>
      </w:r>
      <w:r w:rsidR="00CC386B">
        <w:rPr>
          <w:rFonts w:cstheme="minorHAnsi"/>
        </w:rPr>
        <w:t>C</w:t>
      </w:r>
      <w:r w:rsidR="00521C4C" w:rsidRPr="008255F4">
        <w:rPr>
          <w:rFonts w:cstheme="minorHAnsi"/>
        </w:rPr>
        <w:t xml:space="preserve">ertificate level I and II courses can offer a way for Aboriginal and Torres Strait Islander Australians to start a post-school qualification. </w:t>
      </w:r>
      <w:r>
        <w:rPr>
          <w:rFonts w:cstheme="minorHAnsi"/>
        </w:rPr>
        <w:t xml:space="preserve">While these </w:t>
      </w:r>
      <w:r w:rsidR="00521C4C" w:rsidRPr="008255F4">
        <w:rPr>
          <w:rFonts w:cstheme="minorHAnsi"/>
        </w:rPr>
        <w:t>courses</w:t>
      </w:r>
      <w:r>
        <w:rPr>
          <w:rFonts w:cstheme="minorHAnsi"/>
        </w:rPr>
        <w:t xml:space="preserve"> might not result in a direct pathway into employment</w:t>
      </w:r>
      <w:r w:rsidR="001630B0">
        <w:rPr>
          <w:rFonts w:cstheme="minorHAnsi"/>
        </w:rPr>
        <w:t xml:space="preserve">, they can offer the </w:t>
      </w:r>
      <w:r w:rsidR="00521C4C" w:rsidRPr="008255F4">
        <w:rPr>
          <w:rFonts w:cstheme="minorHAnsi"/>
        </w:rPr>
        <w:t xml:space="preserve">foundations </w:t>
      </w:r>
      <w:r w:rsidR="001630B0">
        <w:rPr>
          <w:rFonts w:cstheme="minorHAnsi"/>
        </w:rPr>
        <w:t>for</w:t>
      </w:r>
      <w:r w:rsidR="00521C4C" w:rsidRPr="008255F4">
        <w:rPr>
          <w:rFonts w:cstheme="minorHAnsi"/>
        </w:rPr>
        <w:t xml:space="preserve"> higher level qualifi</w:t>
      </w:r>
      <w:r w:rsidR="008B4716" w:rsidRPr="008255F4">
        <w:rPr>
          <w:rFonts w:cstheme="minorHAnsi"/>
        </w:rPr>
        <w:t xml:space="preserve">cations. </w:t>
      </w:r>
      <w:r w:rsidR="001630B0">
        <w:rPr>
          <w:rFonts w:cstheme="minorHAnsi"/>
        </w:rPr>
        <w:t xml:space="preserve">However, where </w:t>
      </w:r>
      <w:r w:rsidR="008B4716">
        <w:rPr>
          <w:rFonts w:cstheme="minorHAnsi"/>
        </w:rPr>
        <w:t xml:space="preserve">courses target foundations skills, face to face learning </w:t>
      </w:r>
      <w:r w:rsidR="001630B0">
        <w:rPr>
          <w:rFonts w:cstheme="minorHAnsi"/>
        </w:rPr>
        <w:t xml:space="preserve">is </w:t>
      </w:r>
      <w:r w:rsidR="00B6642C">
        <w:rPr>
          <w:rFonts w:cstheme="minorHAnsi"/>
        </w:rPr>
        <w:t>sometimes the</w:t>
      </w:r>
      <w:r w:rsidR="001630B0">
        <w:rPr>
          <w:rFonts w:cstheme="minorHAnsi"/>
        </w:rPr>
        <w:t xml:space="preserve"> </w:t>
      </w:r>
      <w:r w:rsidR="006A3C8C">
        <w:rPr>
          <w:rFonts w:cstheme="minorHAnsi"/>
        </w:rPr>
        <w:t xml:space="preserve">more effective </w:t>
      </w:r>
      <w:r w:rsidR="001630B0">
        <w:rPr>
          <w:rFonts w:cstheme="minorHAnsi"/>
        </w:rPr>
        <w:t xml:space="preserve">delivery mode </w:t>
      </w:r>
      <w:r w:rsidR="008B4716">
        <w:rPr>
          <w:rFonts w:cstheme="minorHAnsi"/>
        </w:rPr>
        <w:t xml:space="preserve">rather than the distance learning </w:t>
      </w:r>
      <w:r w:rsidR="001630B0">
        <w:rPr>
          <w:rFonts w:cstheme="minorHAnsi"/>
        </w:rPr>
        <w:t>mode supported through AFB</w:t>
      </w:r>
      <w:r w:rsidR="008B4716">
        <w:rPr>
          <w:rFonts w:cstheme="minorHAnsi"/>
        </w:rPr>
        <w:t>.</w:t>
      </w:r>
    </w:p>
    <w:p w14:paraId="43C56A99" w14:textId="77777777" w:rsidR="002D0F29" w:rsidRPr="003C1A97" w:rsidRDefault="002D0F29" w:rsidP="00AD0935">
      <w:pPr>
        <w:pStyle w:val="h4"/>
      </w:pPr>
      <w:r w:rsidRPr="003C1A97">
        <w:t xml:space="preserve">Student home locations </w:t>
      </w:r>
    </w:p>
    <w:p w14:paraId="0797374B" w14:textId="5626374A" w:rsidR="00176C55" w:rsidRDefault="005F578A" w:rsidP="005F578A">
      <w:pPr>
        <w:rPr>
          <w:rFonts w:cstheme="minorHAnsi"/>
          <w:shd w:val="clear" w:color="auto" w:fill="00B0F0"/>
        </w:rPr>
      </w:pPr>
      <w:r>
        <w:rPr>
          <w:rFonts w:cstheme="minorHAnsi"/>
        </w:rPr>
        <w:t xml:space="preserve">Under both </w:t>
      </w:r>
      <w:r w:rsidR="00F00F6A">
        <w:rPr>
          <w:rFonts w:cstheme="minorHAnsi"/>
        </w:rPr>
        <w:t>AFB</w:t>
      </w:r>
      <w:r>
        <w:rPr>
          <w:rFonts w:cstheme="minorHAnsi"/>
        </w:rPr>
        <w:t xml:space="preserve"> </w:t>
      </w:r>
      <w:r w:rsidR="00FD3EA5">
        <w:rPr>
          <w:rFonts w:cstheme="minorHAnsi"/>
        </w:rPr>
        <w:t>programs</w:t>
      </w:r>
      <w:r>
        <w:rPr>
          <w:rFonts w:cstheme="minorHAnsi"/>
        </w:rPr>
        <w:t>,</w:t>
      </w:r>
      <w:r w:rsidR="00F00F6A" w:rsidRPr="00F00F6A">
        <w:rPr>
          <w:rFonts w:cstheme="minorHAnsi"/>
        </w:rPr>
        <w:t xml:space="preserve"> </w:t>
      </w:r>
      <w:r w:rsidR="00F00F6A">
        <w:rPr>
          <w:rFonts w:cstheme="minorHAnsi"/>
        </w:rPr>
        <w:t>assistance is availa</w:t>
      </w:r>
      <w:r w:rsidR="00F00F6A" w:rsidRPr="00E12F01">
        <w:rPr>
          <w:rFonts w:cstheme="minorHAnsi"/>
        </w:rPr>
        <w:t xml:space="preserve">ble to </w:t>
      </w:r>
      <w:r w:rsidR="00F00F6A">
        <w:rPr>
          <w:rFonts w:cstheme="minorHAnsi"/>
        </w:rPr>
        <w:t xml:space="preserve">eligible Indigenous </w:t>
      </w:r>
      <w:r w:rsidR="00F00F6A" w:rsidRPr="00E12F01">
        <w:rPr>
          <w:rFonts w:cstheme="minorHAnsi"/>
        </w:rPr>
        <w:t>students throughout the country.</w:t>
      </w:r>
      <w:r w:rsidR="00A156A8">
        <w:rPr>
          <w:rFonts w:cstheme="minorHAnsi"/>
        </w:rPr>
        <w:t xml:space="preserve"> </w:t>
      </w:r>
      <w:r w:rsidR="00176C55">
        <w:rPr>
          <w:rFonts w:cstheme="minorHAnsi"/>
        </w:rPr>
        <w:t>T</w:t>
      </w:r>
      <w:r w:rsidR="00F00F6A" w:rsidRPr="00176C55">
        <w:rPr>
          <w:rFonts w:cstheme="minorHAnsi"/>
        </w:rPr>
        <w:t>here</w:t>
      </w:r>
      <w:r w:rsidR="00F00F6A" w:rsidRPr="00AE6241">
        <w:t xml:space="preserve"> are no firm rules regarding the distance a student must be away from the provider</w:t>
      </w:r>
      <w:r w:rsidR="00A156A8" w:rsidRPr="00AE6241">
        <w:t xml:space="preserve"> </w:t>
      </w:r>
      <w:r w:rsidR="00A156A8" w:rsidRPr="00176C55">
        <w:rPr>
          <w:rFonts w:cstheme="minorHAnsi"/>
        </w:rPr>
        <w:t>under PM&amp;C</w:t>
      </w:r>
      <w:r w:rsidR="008E2481">
        <w:rPr>
          <w:rFonts w:cstheme="minorHAnsi"/>
        </w:rPr>
        <w:t>’s</w:t>
      </w:r>
      <w:r w:rsidR="00A156A8" w:rsidRPr="00176C55">
        <w:rPr>
          <w:rFonts w:cstheme="minorHAnsi"/>
        </w:rPr>
        <w:t xml:space="preserve"> AFB, </w:t>
      </w:r>
      <w:r w:rsidR="00176C55">
        <w:rPr>
          <w:rFonts w:cstheme="minorHAnsi"/>
        </w:rPr>
        <w:t xml:space="preserve">but </w:t>
      </w:r>
      <w:r w:rsidR="00A156A8" w:rsidRPr="00176C55">
        <w:rPr>
          <w:rFonts w:cstheme="minorHAnsi"/>
        </w:rPr>
        <w:t xml:space="preserve">under </w:t>
      </w:r>
      <w:r w:rsidR="003355E9">
        <w:rPr>
          <w:rFonts w:cstheme="minorHAnsi"/>
        </w:rPr>
        <w:t xml:space="preserve">ABSTUDY </w:t>
      </w:r>
      <w:r w:rsidR="00A156A8" w:rsidRPr="00176C55">
        <w:rPr>
          <w:rFonts w:cstheme="minorHAnsi"/>
        </w:rPr>
        <w:t>AFB</w:t>
      </w:r>
      <w:r w:rsidR="00176C55">
        <w:rPr>
          <w:rFonts w:cstheme="minorHAnsi"/>
        </w:rPr>
        <w:t xml:space="preserve"> </w:t>
      </w:r>
      <w:r w:rsidR="00497997">
        <w:rPr>
          <w:rFonts w:cstheme="minorHAnsi"/>
        </w:rPr>
        <w:t>one or more of the following criteria must be met</w:t>
      </w:r>
      <w:r w:rsidR="00176C55" w:rsidRPr="00176C55">
        <w:rPr>
          <w:rFonts w:cstheme="minorHAnsi"/>
        </w:rPr>
        <w:t>:</w:t>
      </w:r>
    </w:p>
    <w:p w14:paraId="4F30E534" w14:textId="65A43822" w:rsidR="00176C55" w:rsidRPr="00497997" w:rsidRDefault="00176C55" w:rsidP="00176C55">
      <w:pPr>
        <w:pStyle w:val="CommentText"/>
        <w:numPr>
          <w:ilvl w:val="0"/>
          <w:numId w:val="17"/>
        </w:numPr>
        <w:rPr>
          <w:rFonts w:cstheme="minorHAnsi"/>
          <w:sz w:val="22"/>
          <w:szCs w:val="22"/>
        </w:rPr>
      </w:pPr>
      <w:r w:rsidRPr="00497997">
        <w:rPr>
          <w:rFonts w:cstheme="minorHAnsi"/>
          <w:sz w:val="22"/>
          <w:szCs w:val="22"/>
        </w:rPr>
        <w:t>on-campus residence during residential school or a</w:t>
      </w:r>
      <w:r w:rsidR="00D801B5">
        <w:rPr>
          <w:rFonts w:cstheme="minorHAnsi"/>
          <w:sz w:val="22"/>
          <w:szCs w:val="22"/>
        </w:rPr>
        <w:t>ssessment program is compulsory;</w:t>
      </w:r>
      <w:r w:rsidRPr="00497997">
        <w:rPr>
          <w:rFonts w:cstheme="minorHAnsi"/>
          <w:sz w:val="22"/>
          <w:szCs w:val="22"/>
        </w:rPr>
        <w:t xml:space="preserve"> or</w:t>
      </w:r>
    </w:p>
    <w:p w14:paraId="21D5D522" w14:textId="79A89710" w:rsidR="00176C55" w:rsidRPr="00497997" w:rsidRDefault="00176C55" w:rsidP="00176C55">
      <w:pPr>
        <w:pStyle w:val="CommentText"/>
        <w:numPr>
          <w:ilvl w:val="0"/>
          <w:numId w:val="17"/>
        </w:numPr>
        <w:rPr>
          <w:rFonts w:cstheme="minorHAnsi"/>
          <w:sz w:val="22"/>
          <w:szCs w:val="22"/>
        </w:rPr>
      </w:pPr>
      <w:r w:rsidRPr="00497997">
        <w:rPr>
          <w:rFonts w:cstheme="minorHAnsi"/>
          <w:sz w:val="22"/>
          <w:szCs w:val="22"/>
        </w:rPr>
        <w:t>the one way travel time (by public transport) between home and location of campus</w:t>
      </w:r>
      <w:r w:rsidR="00D801B5">
        <w:rPr>
          <w:rFonts w:cstheme="minorHAnsi"/>
          <w:sz w:val="22"/>
          <w:szCs w:val="22"/>
        </w:rPr>
        <w:t>/activity is 90 minutes or more;</w:t>
      </w:r>
      <w:r w:rsidRPr="00497997">
        <w:rPr>
          <w:rFonts w:cstheme="minorHAnsi"/>
          <w:sz w:val="22"/>
          <w:szCs w:val="22"/>
        </w:rPr>
        <w:t xml:space="preserve"> </w:t>
      </w:r>
    </w:p>
    <w:p w14:paraId="235E39A4" w14:textId="3758F429" w:rsidR="00176C55" w:rsidRPr="003523AA" w:rsidRDefault="00176C55" w:rsidP="00AE6241">
      <w:pPr>
        <w:pStyle w:val="CommentText"/>
        <w:numPr>
          <w:ilvl w:val="0"/>
          <w:numId w:val="17"/>
        </w:numPr>
      </w:pPr>
      <w:r w:rsidRPr="00497997">
        <w:rPr>
          <w:rFonts w:cstheme="minorHAnsi"/>
          <w:sz w:val="22"/>
          <w:szCs w:val="22"/>
        </w:rPr>
        <w:lastRenderedPageBreak/>
        <w:t>there are special access issues</w:t>
      </w:r>
      <w:r w:rsidRPr="00AE6241">
        <w:rPr>
          <w:sz w:val="22"/>
        </w:rPr>
        <w:t xml:space="preserve"> that make </w:t>
      </w:r>
      <w:r w:rsidRPr="00497997">
        <w:rPr>
          <w:rFonts w:cstheme="minorHAnsi"/>
          <w:sz w:val="22"/>
          <w:szCs w:val="22"/>
        </w:rPr>
        <w:t>travel difficult (</w:t>
      </w:r>
      <w:r w:rsidR="00A4344C" w:rsidRPr="00497997">
        <w:rPr>
          <w:rFonts w:cstheme="minorHAnsi"/>
          <w:sz w:val="22"/>
          <w:szCs w:val="22"/>
        </w:rPr>
        <w:t>e.g.</w:t>
      </w:r>
      <w:r w:rsidR="00D801B5">
        <w:rPr>
          <w:rFonts w:cstheme="minorHAnsi"/>
          <w:sz w:val="22"/>
          <w:szCs w:val="22"/>
        </w:rPr>
        <w:t xml:space="preserve"> impassable roads);</w:t>
      </w:r>
      <w:r w:rsidRPr="00497997">
        <w:rPr>
          <w:rFonts w:cstheme="minorHAnsi"/>
          <w:sz w:val="22"/>
          <w:szCs w:val="22"/>
        </w:rPr>
        <w:t xml:space="preserve"> or </w:t>
      </w:r>
    </w:p>
    <w:p w14:paraId="70D61C92" w14:textId="58932AC6" w:rsidR="00176C55" w:rsidRPr="00497997" w:rsidRDefault="00176C55" w:rsidP="00176C55">
      <w:pPr>
        <w:pStyle w:val="CommentText"/>
        <w:numPr>
          <w:ilvl w:val="0"/>
          <w:numId w:val="17"/>
        </w:numPr>
        <w:rPr>
          <w:rFonts w:cstheme="minorHAnsi"/>
          <w:sz w:val="22"/>
          <w:szCs w:val="22"/>
        </w:rPr>
      </w:pPr>
      <w:r w:rsidRPr="00497997">
        <w:rPr>
          <w:rFonts w:cstheme="minorHAnsi"/>
          <w:sz w:val="22"/>
          <w:szCs w:val="22"/>
        </w:rPr>
        <w:t xml:space="preserve">the distance between home and location of campus/activity is 56 </w:t>
      </w:r>
      <w:r w:rsidR="00107F6E">
        <w:rPr>
          <w:rFonts w:cstheme="minorHAnsi"/>
          <w:sz w:val="22"/>
          <w:szCs w:val="22"/>
        </w:rPr>
        <w:t>kilometres</w:t>
      </w:r>
      <w:r w:rsidR="00107F6E" w:rsidRPr="00497997">
        <w:rPr>
          <w:rFonts w:cstheme="minorHAnsi"/>
          <w:sz w:val="22"/>
          <w:szCs w:val="22"/>
        </w:rPr>
        <w:t xml:space="preserve"> </w:t>
      </w:r>
      <w:r w:rsidR="00D801B5">
        <w:rPr>
          <w:rFonts w:cstheme="minorHAnsi"/>
          <w:sz w:val="22"/>
          <w:szCs w:val="22"/>
        </w:rPr>
        <w:t>or more;</w:t>
      </w:r>
      <w:r w:rsidRPr="00497997">
        <w:rPr>
          <w:rFonts w:cstheme="minorHAnsi"/>
          <w:sz w:val="22"/>
          <w:szCs w:val="22"/>
        </w:rPr>
        <w:t xml:space="preserve"> or</w:t>
      </w:r>
    </w:p>
    <w:p w14:paraId="6112FEA1" w14:textId="77777777" w:rsidR="00A156A8" w:rsidRPr="00497997" w:rsidRDefault="00176C55" w:rsidP="00497997">
      <w:pPr>
        <w:pStyle w:val="CommentText"/>
        <w:numPr>
          <w:ilvl w:val="0"/>
          <w:numId w:val="17"/>
        </w:numPr>
        <w:rPr>
          <w:rFonts w:cstheme="minorHAnsi"/>
          <w:sz w:val="22"/>
          <w:szCs w:val="22"/>
        </w:rPr>
      </w:pPr>
      <w:r w:rsidRPr="00497997">
        <w:rPr>
          <w:rFonts w:cstheme="minorHAnsi"/>
          <w:sz w:val="22"/>
          <w:szCs w:val="22"/>
        </w:rPr>
        <w:t xml:space="preserve">the distance between home and location of campus/activity is 16 </w:t>
      </w:r>
      <w:r w:rsidR="00107F6E">
        <w:rPr>
          <w:rFonts w:cstheme="minorHAnsi"/>
          <w:sz w:val="22"/>
          <w:szCs w:val="22"/>
        </w:rPr>
        <w:t>kilometres</w:t>
      </w:r>
      <w:r w:rsidR="00107F6E" w:rsidRPr="00497997" w:rsidDel="00107F6E">
        <w:rPr>
          <w:rFonts w:cstheme="minorHAnsi"/>
          <w:sz w:val="22"/>
          <w:szCs w:val="22"/>
        </w:rPr>
        <w:t xml:space="preserve"> </w:t>
      </w:r>
      <w:r w:rsidRPr="00497997">
        <w:rPr>
          <w:rFonts w:cstheme="minorHAnsi"/>
          <w:sz w:val="22"/>
          <w:szCs w:val="22"/>
        </w:rPr>
        <w:t xml:space="preserve">or more and distance between home and nearest transport service is 4.5 </w:t>
      </w:r>
      <w:r w:rsidR="00107F6E">
        <w:rPr>
          <w:rFonts w:cstheme="minorHAnsi"/>
          <w:sz w:val="22"/>
          <w:szCs w:val="22"/>
        </w:rPr>
        <w:t>kilometres</w:t>
      </w:r>
      <w:r w:rsidR="00107F6E" w:rsidRPr="00497997" w:rsidDel="00107F6E">
        <w:rPr>
          <w:rFonts w:cstheme="minorHAnsi"/>
          <w:sz w:val="22"/>
          <w:szCs w:val="22"/>
        </w:rPr>
        <w:t xml:space="preserve"> </w:t>
      </w:r>
      <w:r w:rsidRPr="00497997">
        <w:rPr>
          <w:rFonts w:cstheme="minorHAnsi"/>
          <w:sz w:val="22"/>
          <w:szCs w:val="22"/>
        </w:rPr>
        <w:t xml:space="preserve">or more. </w:t>
      </w:r>
    </w:p>
    <w:p w14:paraId="30BF4E6A" w14:textId="77777777" w:rsidR="00F00F6A" w:rsidRPr="009F0A06" w:rsidRDefault="00F00F6A" w:rsidP="00F00F6A">
      <w:r w:rsidRPr="00D36274">
        <w:t>In 2016, 82</w:t>
      </w:r>
      <w:r w:rsidR="00675BF1" w:rsidRPr="00D36274">
        <w:t xml:space="preserve"> </w:t>
      </w:r>
      <w:r w:rsidR="00430C9D" w:rsidRPr="00D36274">
        <w:t>per cent</w:t>
      </w:r>
      <w:r w:rsidRPr="00D36274">
        <w:t xml:space="preserve"> of students assisted by PM&amp;C</w:t>
      </w:r>
      <w:r w:rsidR="00DD2365" w:rsidRPr="00D36274">
        <w:t>’s</w:t>
      </w:r>
      <w:r w:rsidR="00F95ABC" w:rsidRPr="00D36274">
        <w:t xml:space="preserve"> AFB </w:t>
      </w:r>
      <w:r w:rsidRPr="00D36274">
        <w:t xml:space="preserve">were from regional and remote communities. Data </w:t>
      </w:r>
      <w:r w:rsidR="004A5EA3" w:rsidRPr="005C3B2F">
        <w:t>indicate</w:t>
      </w:r>
      <w:r w:rsidR="001B479E" w:rsidRPr="005C3B2F">
        <w:t>s</w:t>
      </w:r>
      <w:r w:rsidR="004A5EA3" w:rsidRPr="005C3B2F">
        <w:t xml:space="preserve"> </w:t>
      </w:r>
      <w:r w:rsidRPr="009F0A06">
        <w:t xml:space="preserve">that Indigenous students in these areas have, on average, greater education and employment disadvantage and poorer access to training and higher education. </w:t>
      </w:r>
    </w:p>
    <w:p w14:paraId="36300FE0" w14:textId="77777777" w:rsidR="004A4AB3" w:rsidRPr="005C3B2F" w:rsidRDefault="00F00F6A" w:rsidP="005F578A">
      <w:r w:rsidRPr="009F0A06">
        <w:t>However, 18</w:t>
      </w:r>
      <w:r w:rsidR="00675BF1" w:rsidRPr="009F0A06">
        <w:t xml:space="preserve"> </w:t>
      </w:r>
      <w:r w:rsidR="00430C9D" w:rsidRPr="009627D6">
        <w:t>per cent</w:t>
      </w:r>
      <w:r w:rsidRPr="009627D6">
        <w:t xml:space="preserve"> of </w:t>
      </w:r>
      <w:r w:rsidR="00F95ABC" w:rsidRPr="009627D6">
        <w:t>students assisted by PM&amp;C</w:t>
      </w:r>
      <w:r w:rsidR="00DD2365" w:rsidRPr="009627D6">
        <w:t>’s</w:t>
      </w:r>
      <w:r w:rsidR="00F95ABC" w:rsidRPr="009627D6">
        <w:t xml:space="preserve"> AFB were</w:t>
      </w:r>
      <w:r w:rsidRPr="009627D6">
        <w:t xml:space="preserve"> </w:t>
      </w:r>
      <w:r w:rsidR="00D2102C" w:rsidRPr="00D06CDC">
        <w:t xml:space="preserve">from </w:t>
      </w:r>
      <w:r w:rsidRPr="00D06CDC">
        <w:t xml:space="preserve">major cities. </w:t>
      </w:r>
      <w:r w:rsidR="005F578A" w:rsidRPr="00D36274">
        <w:t>Often relevant courses, which are highly specialised and specific, are only of</w:t>
      </w:r>
      <w:r w:rsidRPr="00D36274">
        <w:t xml:space="preserve">fered in one or two locations. </w:t>
      </w:r>
      <w:r w:rsidR="005F578A" w:rsidRPr="00D36274">
        <w:t xml:space="preserve">For example the Diploma of National Aboriginal and Torres Strait Islander Legal Advocacy is a specialised course designed to develop practical skills and knowledge necessary to address the unique place of Indigenous Australians within the legal system. </w:t>
      </w:r>
      <w:r w:rsidR="00A12B40" w:rsidRPr="00D36274">
        <w:t>O</w:t>
      </w:r>
      <w:r w:rsidR="005F578A" w:rsidRPr="00D36274">
        <w:t xml:space="preserve">nly </w:t>
      </w:r>
      <w:r w:rsidRPr="00D36274">
        <w:t>two providers offer this course</w:t>
      </w:r>
      <w:r w:rsidR="00F95ABC" w:rsidRPr="00D36274">
        <w:t>, one in the Gold Coast, the other in Sydney</w:t>
      </w:r>
      <w:r w:rsidR="005F578A" w:rsidRPr="005C3B2F">
        <w:t>.</w:t>
      </w:r>
    </w:p>
    <w:p w14:paraId="6CDDD645" w14:textId="4ECDD22C" w:rsidR="00460BEA" w:rsidRPr="00CC64BD" w:rsidRDefault="00F00F6A" w:rsidP="005F578A">
      <w:pPr>
        <w:rPr>
          <w:rFonts w:cstheme="minorHAnsi"/>
        </w:rPr>
      </w:pPr>
      <w:r w:rsidRPr="009F0A06">
        <w:t>AFB</w:t>
      </w:r>
      <w:r w:rsidR="00F95ABC" w:rsidRPr="009F0A06">
        <w:t xml:space="preserve"> support</w:t>
      </w:r>
      <w:r w:rsidR="005F578A" w:rsidRPr="00D36274">
        <w:t xml:space="preserve"> helps to ensure that Indigenous students are able to </w:t>
      </w:r>
      <w:r w:rsidR="00F95ABC" w:rsidRPr="00D36274">
        <w:t>undertake the necessary components of approved specialised courses that require travel away from home for a period of time</w:t>
      </w:r>
      <w:r w:rsidRPr="00D36274">
        <w:t xml:space="preserve">, no matter </w:t>
      </w:r>
      <w:r w:rsidR="007C520B">
        <w:t xml:space="preserve">whether students live </w:t>
      </w:r>
      <w:r w:rsidR="00D36274">
        <w:t xml:space="preserve">in regional, remote </w:t>
      </w:r>
      <w:r w:rsidR="007C520B">
        <w:t>or</w:t>
      </w:r>
      <w:r w:rsidR="00D36274">
        <w:t xml:space="preserve"> metro</w:t>
      </w:r>
      <w:r w:rsidR="007C520B">
        <w:t>politan</w:t>
      </w:r>
      <w:r w:rsidR="00D36274">
        <w:t xml:space="preserve"> locations to complete mixed-mode studies.</w:t>
      </w:r>
    </w:p>
    <w:p w14:paraId="1572035D" w14:textId="77777777" w:rsidR="002D0F29" w:rsidRPr="003C1A97" w:rsidRDefault="002D0F29" w:rsidP="00AD0935">
      <w:pPr>
        <w:pStyle w:val="h4"/>
      </w:pPr>
      <w:r w:rsidRPr="003C1A97">
        <w:t>Providers</w:t>
      </w:r>
    </w:p>
    <w:p w14:paraId="51F7C8A5" w14:textId="77777777" w:rsidR="005F578A" w:rsidRDefault="008E2481" w:rsidP="005F578A">
      <w:pPr>
        <w:rPr>
          <w:rFonts w:cstheme="minorHAnsi"/>
        </w:rPr>
      </w:pPr>
      <w:r>
        <w:rPr>
          <w:rFonts w:cstheme="minorHAnsi"/>
        </w:rPr>
        <w:t>PM&amp;C’s AFB</w:t>
      </w:r>
      <w:r w:rsidR="005F578A" w:rsidRPr="00E555F2">
        <w:rPr>
          <w:rFonts w:cstheme="minorHAnsi"/>
        </w:rPr>
        <w:t xml:space="preserve"> </w:t>
      </w:r>
      <w:r w:rsidR="00770DE6">
        <w:rPr>
          <w:rFonts w:cstheme="minorHAnsi"/>
        </w:rPr>
        <w:t xml:space="preserve">only </w:t>
      </w:r>
      <w:r w:rsidR="005F578A" w:rsidRPr="00E555F2">
        <w:rPr>
          <w:rFonts w:cstheme="minorHAnsi"/>
        </w:rPr>
        <w:t>support</w:t>
      </w:r>
      <w:r w:rsidR="00770DE6">
        <w:rPr>
          <w:rFonts w:cstheme="minorHAnsi"/>
        </w:rPr>
        <w:t>s</w:t>
      </w:r>
      <w:r w:rsidR="005F578A">
        <w:rPr>
          <w:rFonts w:cstheme="minorHAnsi"/>
        </w:rPr>
        <w:t xml:space="preserve"> not-fo</w:t>
      </w:r>
      <w:r w:rsidR="00770DE6">
        <w:rPr>
          <w:rFonts w:cstheme="minorHAnsi"/>
        </w:rPr>
        <w:t>r-profit providers,</w:t>
      </w:r>
      <w:r w:rsidR="005F578A">
        <w:rPr>
          <w:rFonts w:cstheme="minorHAnsi"/>
        </w:rPr>
        <w:t xml:space="preserve"> with five or more </w:t>
      </w:r>
      <w:r w:rsidR="002F7D66">
        <w:rPr>
          <w:rFonts w:cstheme="minorHAnsi"/>
        </w:rPr>
        <w:t>AFB</w:t>
      </w:r>
      <w:r w:rsidR="005F578A">
        <w:rPr>
          <w:rFonts w:cstheme="minorHAnsi"/>
        </w:rPr>
        <w:t xml:space="preserve"> students requiring </w:t>
      </w:r>
      <w:r w:rsidR="00770DE6">
        <w:rPr>
          <w:rFonts w:cstheme="minorHAnsi"/>
        </w:rPr>
        <w:t>assistance</w:t>
      </w:r>
      <w:r w:rsidR="005F578A">
        <w:rPr>
          <w:rFonts w:cstheme="minorHAnsi"/>
        </w:rPr>
        <w:t xml:space="preserve">. </w:t>
      </w:r>
      <w:r w:rsidR="00180C98">
        <w:rPr>
          <w:rFonts w:cstheme="minorHAnsi"/>
        </w:rPr>
        <w:t>In 2017 there were 28 providers</w:t>
      </w:r>
      <w:r w:rsidR="005F578A">
        <w:rPr>
          <w:rFonts w:cstheme="minorHAnsi"/>
        </w:rPr>
        <w:t xml:space="preserve"> </w:t>
      </w:r>
      <w:r w:rsidR="00180C98">
        <w:rPr>
          <w:rFonts w:cstheme="minorHAnsi"/>
        </w:rPr>
        <w:t>that</w:t>
      </w:r>
      <w:r w:rsidR="005F578A">
        <w:rPr>
          <w:rFonts w:cstheme="minorHAnsi"/>
        </w:rPr>
        <w:t xml:space="preserve"> received a share in approximately $26 million to support Indigenous students to attend </w:t>
      </w:r>
      <w:r w:rsidR="00663650">
        <w:rPr>
          <w:rFonts w:cstheme="minorHAnsi"/>
        </w:rPr>
        <w:t>AFB</w:t>
      </w:r>
      <w:r w:rsidR="005F578A">
        <w:rPr>
          <w:rFonts w:cstheme="minorHAnsi"/>
        </w:rPr>
        <w:t xml:space="preserve"> activities. </w:t>
      </w:r>
      <w:r w:rsidR="00675BF1">
        <w:rPr>
          <w:rFonts w:cstheme="minorHAnsi"/>
        </w:rPr>
        <w:t>These n</w:t>
      </w:r>
      <w:r w:rsidR="005F578A">
        <w:rPr>
          <w:rFonts w:cstheme="minorHAnsi"/>
        </w:rPr>
        <w:t xml:space="preserve">ot-for-profit providers ranged from government-funded training providers (such as TAFEs), </w:t>
      </w:r>
      <w:r w:rsidR="00770DE6">
        <w:rPr>
          <w:rFonts w:cstheme="minorHAnsi"/>
        </w:rPr>
        <w:t>u</w:t>
      </w:r>
      <w:r w:rsidR="005F578A">
        <w:rPr>
          <w:rFonts w:cstheme="minorHAnsi"/>
        </w:rPr>
        <w:t>niversities and a variety of community</w:t>
      </w:r>
      <w:r w:rsidR="005F578A">
        <w:rPr>
          <w:rFonts w:cstheme="minorHAnsi"/>
        </w:rPr>
        <w:noBreakHyphen/>
        <w:t xml:space="preserve">run training </w:t>
      </w:r>
      <w:r w:rsidR="00770DE6">
        <w:rPr>
          <w:rFonts w:cstheme="minorHAnsi"/>
        </w:rPr>
        <w:t>organisation</w:t>
      </w:r>
      <w:r w:rsidR="005F578A">
        <w:rPr>
          <w:rFonts w:cstheme="minorHAnsi"/>
        </w:rPr>
        <w:t>s</w:t>
      </w:r>
      <w:r w:rsidR="00770DE6">
        <w:rPr>
          <w:rFonts w:cstheme="minorHAnsi"/>
        </w:rPr>
        <w:t xml:space="preserve"> such as Indigenous health organisations</w:t>
      </w:r>
      <w:r w:rsidR="005F578A">
        <w:rPr>
          <w:rFonts w:cstheme="minorHAnsi"/>
        </w:rPr>
        <w:t>.</w:t>
      </w:r>
    </w:p>
    <w:p w14:paraId="29D9552F" w14:textId="0A975A8E" w:rsidR="005F578A" w:rsidRDefault="005F578A" w:rsidP="005F578A">
      <w:pPr>
        <w:rPr>
          <w:rFonts w:cstheme="minorHAnsi"/>
        </w:rPr>
      </w:pPr>
      <w:r>
        <w:rPr>
          <w:rFonts w:cstheme="minorHAnsi"/>
        </w:rPr>
        <w:t>In 2017</w:t>
      </w:r>
      <w:r w:rsidR="00180C98">
        <w:rPr>
          <w:rFonts w:cstheme="minorHAnsi"/>
        </w:rPr>
        <w:t>,</w:t>
      </w:r>
      <w:r>
        <w:rPr>
          <w:rFonts w:cstheme="minorHAnsi"/>
        </w:rPr>
        <w:t xml:space="preserve"> </w:t>
      </w:r>
      <w:r w:rsidR="00180C98">
        <w:rPr>
          <w:rFonts w:cstheme="minorHAnsi"/>
        </w:rPr>
        <w:t>ABSTUDY AFB</w:t>
      </w:r>
      <w:r w:rsidR="00180C98" w:rsidRPr="00E555F2">
        <w:rPr>
          <w:rFonts w:cstheme="minorHAnsi"/>
        </w:rPr>
        <w:t xml:space="preserve"> support</w:t>
      </w:r>
      <w:r w:rsidR="00180C98">
        <w:rPr>
          <w:rFonts w:cstheme="minorHAnsi"/>
        </w:rPr>
        <w:t>ed</w:t>
      </w:r>
      <w:r w:rsidRPr="00C8521D">
        <w:rPr>
          <w:rFonts w:cstheme="minorHAnsi"/>
        </w:rPr>
        <w:t xml:space="preserve"> 2</w:t>
      </w:r>
      <w:r w:rsidR="000F03F4">
        <w:rPr>
          <w:rFonts w:cstheme="minorHAnsi"/>
        </w:rPr>
        <w:t>5</w:t>
      </w:r>
      <w:r w:rsidR="00180C98">
        <w:rPr>
          <w:rFonts w:cstheme="minorHAnsi"/>
        </w:rPr>
        <w:t> </w:t>
      </w:r>
      <w:r w:rsidRPr="00C8521D">
        <w:rPr>
          <w:rFonts w:cstheme="minorHAnsi"/>
        </w:rPr>
        <w:t>providers</w:t>
      </w:r>
      <w:r>
        <w:rPr>
          <w:rFonts w:cstheme="minorHAnsi"/>
        </w:rPr>
        <w:t xml:space="preserve"> </w:t>
      </w:r>
      <w:r w:rsidR="002F7D66">
        <w:rPr>
          <w:rFonts w:cstheme="minorHAnsi"/>
        </w:rPr>
        <w:t>that</w:t>
      </w:r>
      <w:r w:rsidR="00CC386B">
        <w:rPr>
          <w:rFonts w:cstheme="minorHAnsi"/>
        </w:rPr>
        <w:t>, in total,</w:t>
      </w:r>
      <w:r>
        <w:rPr>
          <w:rFonts w:cstheme="minorHAnsi"/>
        </w:rPr>
        <w:t xml:space="preserve"> received </w:t>
      </w:r>
      <w:r w:rsidR="00CC386B">
        <w:rPr>
          <w:rFonts w:cstheme="minorHAnsi"/>
        </w:rPr>
        <w:t>a</w:t>
      </w:r>
      <w:r w:rsidR="00180C98">
        <w:rPr>
          <w:rFonts w:cstheme="minorHAnsi"/>
        </w:rPr>
        <w:t>pproximately $4.4 million to assis</w:t>
      </w:r>
      <w:r>
        <w:rPr>
          <w:rFonts w:cstheme="minorHAnsi"/>
        </w:rPr>
        <w:t>t Indigenous</w:t>
      </w:r>
      <w:r w:rsidR="002F7D66">
        <w:rPr>
          <w:rFonts w:cstheme="minorHAnsi"/>
        </w:rPr>
        <w:t xml:space="preserve"> AFB students</w:t>
      </w:r>
      <w:r>
        <w:rPr>
          <w:rFonts w:cstheme="minorHAnsi"/>
        </w:rPr>
        <w:t xml:space="preserve">. </w:t>
      </w:r>
      <w:r w:rsidR="00675BF1">
        <w:rPr>
          <w:rFonts w:cstheme="minorHAnsi"/>
        </w:rPr>
        <w:t>These</w:t>
      </w:r>
      <w:r>
        <w:rPr>
          <w:rFonts w:cstheme="minorHAnsi"/>
        </w:rPr>
        <w:t xml:space="preserve"> providers included government-funded training providers (such as TAFEs), </w:t>
      </w:r>
      <w:r w:rsidR="00770DE6">
        <w:rPr>
          <w:rFonts w:cstheme="minorHAnsi"/>
        </w:rPr>
        <w:t>u</w:t>
      </w:r>
      <w:r w:rsidR="00675BF1">
        <w:rPr>
          <w:rFonts w:cstheme="minorHAnsi"/>
        </w:rPr>
        <w:t>niversities,</w:t>
      </w:r>
      <w:r>
        <w:rPr>
          <w:rFonts w:cstheme="minorHAnsi"/>
        </w:rPr>
        <w:t xml:space="preserve"> commun</w:t>
      </w:r>
      <w:r w:rsidR="002F7D66">
        <w:rPr>
          <w:rFonts w:cstheme="minorHAnsi"/>
        </w:rPr>
        <w:t>ity-run training providers</w:t>
      </w:r>
      <w:r w:rsidR="00675BF1">
        <w:rPr>
          <w:rFonts w:cstheme="minorHAnsi"/>
        </w:rPr>
        <w:t xml:space="preserve"> and </w:t>
      </w:r>
      <w:r w:rsidR="00100470">
        <w:rPr>
          <w:rFonts w:cstheme="minorHAnsi"/>
        </w:rPr>
        <w:t>f</w:t>
      </w:r>
      <w:r w:rsidR="00C313C0">
        <w:rPr>
          <w:rFonts w:cstheme="minorHAnsi"/>
        </w:rPr>
        <w:t>or-profit</w:t>
      </w:r>
      <w:r w:rsidR="00100470">
        <w:rPr>
          <w:rFonts w:cstheme="minorHAnsi"/>
        </w:rPr>
        <w:t xml:space="preserve"> </w:t>
      </w:r>
      <w:r w:rsidR="00770DE6">
        <w:rPr>
          <w:rFonts w:cstheme="minorHAnsi"/>
        </w:rPr>
        <w:t xml:space="preserve">training </w:t>
      </w:r>
      <w:r>
        <w:rPr>
          <w:rFonts w:cstheme="minorHAnsi"/>
        </w:rPr>
        <w:t>companies.</w:t>
      </w:r>
    </w:p>
    <w:p w14:paraId="11A5AD7D" w14:textId="77777777" w:rsidR="00BF3411" w:rsidRDefault="0047299C" w:rsidP="005F578A">
      <w:pPr>
        <w:rPr>
          <w:rFonts w:cstheme="minorHAnsi"/>
        </w:rPr>
      </w:pPr>
      <w:r w:rsidRPr="008B4716">
        <w:rPr>
          <w:rFonts w:cstheme="minorHAnsi"/>
        </w:rPr>
        <w:t xml:space="preserve">However, </w:t>
      </w:r>
      <w:r>
        <w:rPr>
          <w:rFonts w:cstheme="minorHAnsi"/>
        </w:rPr>
        <w:t>some</w:t>
      </w:r>
      <w:r w:rsidRPr="008B4716">
        <w:rPr>
          <w:rFonts w:cstheme="minorHAnsi"/>
        </w:rPr>
        <w:t xml:space="preserve"> Indigenous-specific providers are not eligib</w:t>
      </w:r>
      <w:r>
        <w:rPr>
          <w:rFonts w:cstheme="minorHAnsi"/>
        </w:rPr>
        <w:t xml:space="preserve">le for </w:t>
      </w:r>
      <w:r w:rsidR="00180C98">
        <w:rPr>
          <w:rFonts w:cstheme="minorHAnsi"/>
        </w:rPr>
        <w:t>VET Student Loans</w:t>
      </w:r>
      <w:r>
        <w:rPr>
          <w:rFonts w:cstheme="minorHAnsi"/>
        </w:rPr>
        <w:t xml:space="preserve"> which can restrict the courses eligible through ABSTUDY and therefore AFB</w:t>
      </w:r>
      <w:r w:rsidR="00BF3411">
        <w:rPr>
          <w:rFonts w:cstheme="minorHAnsi"/>
        </w:rPr>
        <w:t xml:space="preserve">. </w:t>
      </w:r>
    </w:p>
    <w:p w14:paraId="2BB6427D" w14:textId="4A0C9A46" w:rsidR="00F64B32" w:rsidRDefault="002F7D66" w:rsidP="005F578A">
      <w:pPr>
        <w:rPr>
          <w:rFonts w:cstheme="minorHAnsi"/>
        </w:rPr>
      </w:pPr>
      <w:r>
        <w:rPr>
          <w:rFonts w:cstheme="minorHAnsi"/>
        </w:rPr>
        <w:t xml:space="preserve">Under the National Agreement </w:t>
      </w:r>
      <w:r w:rsidR="00B70767">
        <w:rPr>
          <w:rFonts w:cstheme="minorHAnsi"/>
        </w:rPr>
        <w:t>for</w:t>
      </w:r>
      <w:r>
        <w:rPr>
          <w:rFonts w:cstheme="minorHAnsi"/>
        </w:rPr>
        <w:t xml:space="preserve"> Skills and Workforce Development, State and Territory governments </w:t>
      </w:r>
      <w:r w:rsidR="00B70767">
        <w:rPr>
          <w:rFonts w:cstheme="minorHAnsi"/>
        </w:rPr>
        <w:t xml:space="preserve">have committed to “oversee the expenditure of public funds for, and the delivery of, training within states and territories”. In addition to the commitments made by State and Territory </w:t>
      </w:r>
      <w:r w:rsidR="00891800">
        <w:rPr>
          <w:rFonts w:cstheme="minorHAnsi"/>
        </w:rPr>
        <w:t>governments</w:t>
      </w:r>
      <w:r w:rsidR="00B70767">
        <w:rPr>
          <w:rFonts w:cstheme="minorHAnsi"/>
        </w:rPr>
        <w:t xml:space="preserve">, the Commonwealth contributes $1.5 billion each year to support training in Australia. Improvements in education and training delivery have meant “reverse block” </w:t>
      </w:r>
      <w:r w:rsidR="00100470">
        <w:rPr>
          <w:rFonts w:cstheme="minorHAnsi"/>
        </w:rPr>
        <w:t>(</w:t>
      </w:r>
      <w:r w:rsidR="00A4344C">
        <w:rPr>
          <w:rFonts w:cstheme="minorHAnsi"/>
        </w:rPr>
        <w:t>i.e.</w:t>
      </w:r>
      <w:r w:rsidR="00100470">
        <w:rPr>
          <w:rFonts w:cstheme="minorHAnsi"/>
        </w:rPr>
        <w:t xml:space="preserve"> educators travelling to groups of students) </w:t>
      </w:r>
      <w:r w:rsidR="00B70767">
        <w:rPr>
          <w:rFonts w:cstheme="minorHAnsi"/>
        </w:rPr>
        <w:t xml:space="preserve">arrangements are being used increasingly </w:t>
      </w:r>
      <w:r w:rsidR="004A5EA3">
        <w:rPr>
          <w:rFonts w:cstheme="minorHAnsi"/>
        </w:rPr>
        <w:t>as a more efficient delivery</w:t>
      </w:r>
      <w:r w:rsidR="001B479E">
        <w:rPr>
          <w:rFonts w:cstheme="minorHAnsi"/>
        </w:rPr>
        <w:t xml:space="preserve"> method</w:t>
      </w:r>
      <w:r w:rsidR="00B70767">
        <w:rPr>
          <w:rFonts w:cstheme="minorHAnsi"/>
        </w:rPr>
        <w:t xml:space="preserve">. </w:t>
      </w:r>
      <w:r w:rsidR="00180C98">
        <w:rPr>
          <w:rFonts w:cstheme="minorHAnsi"/>
        </w:rPr>
        <w:t xml:space="preserve">Despite State responsibility for training delivery, Commonwealth-funded AFB has been increasingly </w:t>
      </w:r>
      <w:r w:rsidR="00E122EE">
        <w:rPr>
          <w:rFonts w:cstheme="minorHAnsi"/>
        </w:rPr>
        <w:t>fund</w:t>
      </w:r>
      <w:r w:rsidR="00180C98">
        <w:rPr>
          <w:rFonts w:cstheme="minorHAnsi"/>
        </w:rPr>
        <w:t xml:space="preserve">ing </w:t>
      </w:r>
      <w:r w:rsidR="00E122EE">
        <w:rPr>
          <w:rFonts w:cstheme="minorHAnsi"/>
        </w:rPr>
        <w:t xml:space="preserve">trainers to travel to communities through </w:t>
      </w:r>
      <w:r w:rsidR="00180C98">
        <w:rPr>
          <w:rFonts w:cstheme="minorHAnsi"/>
        </w:rPr>
        <w:t xml:space="preserve">“reverse block” arrangements </w:t>
      </w:r>
      <w:r w:rsidR="00E122EE">
        <w:rPr>
          <w:rFonts w:cstheme="minorHAnsi"/>
        </w:rPr>
        <w:t>as</w:t>
      </w:r>
      <w:r w:rsidR="00180C98">
        <w:rPr>
          <w:rFonts w:cstheme="minorHAnsi"/>
        </w:rPr>
        <w:t xml:space="preserve"> this can reduce the </w:t>
      </w:r>
      <w:r w:rsidR="00E122EE">
        <w:rPr>
          <w:rFonts w:cstheme="minorHAnsi"/>
        </w:rPr>
        <w:t>costs of student travel under AFB arrangements.</w:t>
      </w:r>
    </w:p>
    <w:p w14:paraId="6205DB3E" w14:textId="7D617A09" w:rsidR="002D0F29" w:rsidRPr="003C1A97" w:rsidRDefault="002D0F29" w:rsidP="00AD0935">
      <w:pPr>
        <w:pStyle w:val="h4"/>
      </w:pPr>
      <w:r w:rsidRPr="003C1A97">
        <w:t>Per student allocations</w:t>
      </w:r>
    </w:p>
    <w:p w14:paraId="15B8C712" w14:textId="5DE52EB4" w:rsidR="000431EA" w:rsidRPr="00237EE3" w:rsidRDefault="005F578A" w:rsidP="005F578A">
      <w:pPr>
        <w:rPr>
          <w:rFonts w:cstheme="minorHAnsi"/>
        </w:rPr>
      </w:pPr>
      <w:r>
        <w:rPr>
          <w:rFonts w:cstheme="minorHAnsi"/>
        </w:rPr>
        <w:t xml:space="preserve">Under </w:t>
      </w:r>
      <w:r w:rsidR="008E2481">
        <w:rPr>
          <w:rFonts w:cstheme="minorHAnsi"/>
        </w:rPr>
        <w:t>PM&amp;C’s AFB</w:t>
      </w:r>
      <w:r>
        <w:rPr>
          <w:rFonts w:cstheme="minorHAnsi"/>
        </w:rPr>
        <w:t>, in 2017 an average of $6</w:t>
      </w:r>
      <w:r w:rsidR="000431EA">
        <w:rPr>
          <w:rFonts w:cstheme="minorHAnsi"/>
        </w:rPr>
        <w:t>,</w:t>
      </w:r>
      <w:r>
        <w:rPr>
          <w:rFonts w:cstheme="minorHAnsi"/>
        </w:rPr>
        <w:t>283 per full-time student per year was available to meet the travel, accommodation, meals and administration costs of eligible students. A pro-rata of this amount was available for part</w:t>
      </w:r>
      <w:r>
        <w:rPr>
          <w:rFonts w:cstheme="minorHAnsi"/>
        </w:rPr>
        <w:noBreakHyphen/>
        <w:t xml:space="preserve">year or part-time load students. </w:t>
      </w:r>
      <w:r w:rsidR="00611736">
        <w:rPr>
          <w:rFonts w:cstheme="minorHAnsi"/>
        </w:rPr>
        <w:t xml:space="preserve">For the vast majority of students in </w:t>
      </w:r>
      <w:r w:rsidR="00CE7A50">
        <w:rPr>
          <w:rFonts w:cstheme="minorHAnsi"/>
        </w:rPr>
        <w:t>ABSTUDY</w:t>
      </w:r>
      <w:r w:rsidR="00611736">
        <w:rPr>
          <w:rFonts w:cstheme="minorHAnsi"/>
        </w:rPr>
        <w:t xml:space="preserve"> AFB, there is no financial cap</w:t>
      </w:r>
      <w:r w:rsidR="00E122EE">
        <w:rPr>
          <w:rFonts w:cstheme="minorHAnsi"/>
        </w:rPr>
        <w:t>. H</w:t>
      </w:r>
      <w:r w:rsidR="00611736">
        <w:rPr>
          <w:rFonts w:cstheme="minorHAnsi"/>
        </w:rPr>
        <w:t>owever</w:t>
      </w:r>
      <w:r w:rsidR="00E122EE">
        <w:rPr>
          <w:rFonts w:cstheme="minorHAnsi"/>
        </w:rPr>
        <w:t>,</w:t>
      </w:r>
      <w:r>
        <w:rPr>
          <w:rFonts w:cstheme="minorHAnsi"/>
        </w:rPr>
        <w:t xml:space="preserve"> a cap of </w:t>
      </w:r>
      <w:r>
        <w:t>$2</w:t>
      </w:r>
      <w:r w:rsidR="000431EA">
        <w:t>,</w:t>
      </w:r>
      <w:r w:rsidRPr="00E817D1">
        <w:t xml:space="preserve">080 </w:t>
      </w:r>
      <w:r>
        <w:t>per year applie</w:t>
      </w:r>
      <w:r w:rsidR="00891800">
        <w:t>s</w:t>
      </w:r>
      <w:r>
        <w:t xml:space="preserve"> to eligible </w:t>
      </w:r>
      <w:r>
        <w:lastRenderedPageBreak/>
        <w:t xml:space="preserve">students undertaking </w:t>
      </w:r>
      <w:r w:rsidR="00A12B40">
        <w:rPr>
          <w:rFonts w:cstheme="minorHAnsi"/>
        </w:rPr>
        <w:t>Masters and Doctorate Degrees</w:t>
      </w:r>
      <w:r w:rsidR="00BE1536">
        <w:rPr>
          <w:rFonts w:cstheme="minorHAnsi"/>
        </w:rPr>
        <w:t xml:space="preserve"> accessing</w:t>
      </w:r>
      <w:r w:rsidR="00E122EE">
        <w:rPr>
          <w:rFonts w:cstheme="minorHAnsi"/>
        </w:rPr>
        <w:t xml:space="preserve"> ABSTUDY AFB</w:t>
      </w:r>
      <w:r>
        <w:rPr>
          <w:rFonts w:cstheme="minorHAnsi"/>
        </w:rPr>
        <w:t>. Both caps are flat rates and there is no distinction made regarding where students are travelling from or to.</w:t>
      </w:r>
    </w:p>
    <w:p w14:paraId="6CB9C671" w14:textId="77777777" w:rsidR="002D0F29" w:rsidRPr="003C1A97" w:rsidRDefault="002D0F29" w:rsidP="00AD0935">
      <w:pPr>
        <w:pStyle w:val="h4"/>
      </w:pPr>
      <w:r w:rsidRPr="003C1A97">
        <w:t>Number of trips and days of accommodation</w:t>
      </w:r>
    </w:p>
    <w:p w14:paraId="6168EA1E" w14:textId="57FA0423" w:rsidR="007A5012" w:rsidRPr="00712659" w:rsidRDefault="005F578A" w:rsidP="005F578A">
      <w:pPr>
        <w:rPr>
          <w:rFonts w:cstheme="minorHAnsi"/>
        </w:rPr>
      </w:pPr>
      <w:r w:rsidRPr="00712659">
        <w:rPr>
          <w:rFonts w:cstheme="minorHAnsi"/>
        </w:rPr>
        <w:t xml:space="preserve">For most eligible students accessing </w:t>
      </w:r>
      <w:r w:rsidR="00CE7A50">
        <w:rPr>
          <w:rFonts w:cstheme="minorHAnsi"/>
        </w:rPr>
        <w:t>ABSTUDY AFB</w:t>
      </w:r>
      <w:r w:rsidRPr="00712659">
        <w:rPr>
          <w:rFonts w:cstheme="minorHAnsi"/>
        </w:rPr>
        <w:t>, students can receive assistance with the full reasona</w:t>
      </w:r>
      <w:r w:rsidR="0070650B">
        <w:rPr>
          <w:rFonts w:cstheme="minorHAnsi"/>
        </w:rPr>
        <w:t>ble travel costs for</w:t>
      </w:r>
      <w:r w:rsidRPr="00712659">
        <w:rPr>
          <w:rFonts w:cstheme="minorHAnsi"/>
        </w:rPr>
        <w:t xml:space="preserve"> up to six return trips each year for students</w:t>
      </w:r>
      <w:r w:rsidR="003A43E9">
        <w:rPr>
          <w:rFonts w:cstheme="minorHAnsi"/>
        </w:rPr>
        <w:t xml:space="preserve"> doing courses longer than one semester</w:t>
      </w:r>
      <w:r w:rsidRPr="00712659">
        <w:rPr>
          <w:rFonts w:cstheme="minorHAnsi"/>
        </w:rPr>
        <w:t>, with less trips available to students</w:t>
      </w:r>
      <w:r w:rsidR="003A43E9">
        <w:rPr>
          <w:rFonts w:cstheme="minorHAnsi"/>
        </w:rPr>
        <w:t xml:space="preserve"> doing shorter courses</w:t>
      </w:r>
      <w:r w:rsidRPr="00712659">
        <w:rPr>
          <w:rFonts w:cstheme="minorHAnsi"/>
        </w:rPr>
        <w:t>. Similarly, up to 40 days of accommodation can be accessed for full-year students</w:t>
      </w:r>
      <w:r w:rsidR="003A43E9">
        <w:rPr>
          <w:rFonts w:cstheme="minorHAnsi"/>
        </w:rPr>
        <w:t xml:space="preserve"> doing courses longer than one semester</w:t>
      </w:r>
      <w:r w:rsidRPr="00712659">
        <w:rPr>
          <w:rFonts w:cstheme="minorHAnsi"/>
        </w:rPr>
        <w:t>, with a lesser allowance of days accessible for part-year students</w:t>
      </w:r>
      <w:r w:rsidR="003A43E9">
        <w:rPr>
          <w:rFonts w:cstheme="minorHAnsi"/>
        </w:rPr>
        <w:t xml:space="preserve"> doing shorter courses</w:t>
      </w:r>
      <w:r w:rsidR="003D088D">
        <w:rPr>
          <w:rFonts w:cstheme="minorHAnsi"/>
        </w:rPr>
        <w:t>.</w:t>
      </w:r>
    </w:p>
    <w:p w14:paraId="23F6C9BF" w14:textId="77777777" w:rsidR="002D0F29" w:rsidRPr="003C1A97" w:rsidRDefault="002D0F29" w:rsidP="00AD0935">
      <w:pPr>
        <w:pStyle w:val="h4"/>
      </w:pPr>
      <w:r w:rsidRPr="003C1A97">
        <w:t>Co-contributions</w:t>
      </w:r>
    </w:p>
    <w:p w14:paraId="4DA66AAB" w14:textId="7AEF65D6" w:rsidR="008434D2" w:rsidRDefault="002247E6" w:rsidP="00A74285">
      <w:pPr>
        <w:rPr>
          <w:rFonts w:cstheme="minorHAnsi"/>
        </w:rPr>
      </w:pPr>
      <w:r>
        <w:rPr>
          <w:rFonts w:cstheme="minorHAnsi"/>
        </w:rPr>
        <w:t>Most</w:t>
      </w:r>
      <w:r w:rsidR="00A74285">
        <w:rPr>
          <w:rFonts w:cstheme="minorHAnsi"/>
        </w:rPr>
        <w:t xml:space="preserve"> students</w:t>
      </w:r>
      <w:r>
        <w:rPr>
          <w:rFonts w:cstheme="minorHAnsi"/>
        </w:rPr>
        <w:t xml:space="preserve"> already</w:t>
      </w:r>
      <w:r w:rsidR="00A74285" w:rsidRPr="003A04D7">
        <w:rPr>
          <w:rFonts w:cstheme="minorHAnsi"/>
        </w:rPr>
        <w:t xml:space="preserve"> </w:t>
      </w:r>
      <w:r>
        <w:rPr>
          <w:rFonts w:cstheme="minorHAnsi"/>
        </w:rPr>
        <w:t xml:space="preserve">contribute towards </w:t>
      </w:r>
      <w:r w:rsidR="00A74285" w:rsidRPr="003A04D7">
        <w:rPr>
          <w:rFonts w:cstheme="minorHAnsi"/>
        </w:rPr>
        <w:t>their own study costs</w:t>
      </w:r>
      <w:r>
        <w:rPr>
          <w:rFonts w:cstheme="minorHAnsi"/>
        </w:rPr>
        <w:t xml:space="preserve">. However, a person’s capacity to contribute </w:t>
      </w:r>
      <w:r w:rsidR="00A12B40">
        <w:rPr>
          <w:rFonts w:cstheme="minorHAnsi"/>
        </w:rPr>
        <w:t xml:space="preserve">may be </w:t>
      </w:r>
      <w:r>
        <w:rPr>
          <w:rFonts w:cstheme="minorHAnsi"/>
        </w:rPr>
        <w:t xml:space="preserve">assessed to </w:t>
      </w:r>
      <w:r w:rsidR="00A12B40">
        <w:rPr>
          <w:rFonts w:cstheme="minorHAnsi"/>
        </w:rPr>
        <w:t>determine</w:t>
      </w:r>
      <w:r>
        <w:rPr>
          <w:rFonts w:cstheme="minorHAnsi"/>
        </w:rPr>
        <w:t xml:space="preserve"> the amount of </w:t>
      </w:r>
      <w:r w:rsidR="00107F6E">
        <w:rPr>
          <w:rFonts w:cstheme="minorHAnsi"/>
        </w:rPr>
        <w:t xml:space="preserve">additional </w:t>
      </w:r>
      <w:r>
        <w:rPr>
          <w:rFonts w:cstheme="minorHAnsi"/>
        </w:rPr>
        <w:t xml:space="preserve">government assistance </w:t>
      </w:r>
      <w:r w:rsidR="00A34000">
        <w:rPr>
          <w:rFonts w:cstheme="minorHAnsi"/>
        </w:rPr>
        <w:t>they are</w:t>
      </w:r>
      <w:r w:rsidR="00A12B40">
        <w:rPr>
          <w:rFonts w:cstheme="minorHAnsi"/>
        </w:rPr>
        <w:t xml:space="preserve"> eligible to</w:t>
      </w:r>
      <w:r>
        <w:rPr>
          <w:rFonts w:cstheme="minorHAnsi"/>
        </w:rPr>
        <w:t xml:space="preserve"> receive</w:t>
      </w:r>
      <w:r w:rsidR="00A24114">
        <w:rPr>
          <w:rFonts w:cstheme="minorHAnsi"/>
        </w:rPr>
        <w:t xml:space="preserve"> through program</w:t>
      </w:r>
      <w:r w:rsidR="004A5EA3">
        <w:rPr>
          <w:rFonts w:cstheme="minorHAnsi"/>
        </w:rPr>
        <w:t>s such as Yo</w:t>
      </w:r>
      <w:r w:rsidR="001B479E">
        <w:rPr>
          <w:rFonts w:cstheme="minorHAnsi"/>
        </w:rPr>
        <w:t>u</w:t>
      </w:r>
      <w:r w:rsidR="004A5EA3">
        <w:rPr>
          <w:rFonts w:cstheme="minorHAnsi"/>
        </w:rPr>
        <w:t>th Allowance and Austudy</w:t>
      </w:r>
      <w:r>
        <w:rPr>
          <w:rFonts w:cstheme="minorHAnsi"/>
        </w:rPr>
        <w:t xml:space="preserve">. </w:t>
      </w:r>
      <w:r w:rsidR="00E7654D">
        <w:rPr>
          <w:rFonts w:cstheme="minorHAnsi"/>
        </w:rPr>
        <w:t xml:space="preserve">While these assessments can ensure there are more funds for those less able to contribute, they are very costly to administer and difficult to monitor and respond to changes in circumstances. </w:t>
      </w:r>
    </w:p>
    <w:p w14:paraId="04570A80" w14:textId="77777777" w:rsidR="008434D2" w:rsidRDefault="008434D2" w:rsidP="008434D2">
      <w:pPr>
        <w:rPr>
          <w:rFonts w:cstheme="minorHAnsi"/>
        </w:rPr>
      </w:pPr>
      <w:r>
        <w:rPr>
          <w:rFonts w:cstheme="minorHAnsi"/>
        </w:rPr>
        <w:t>For students on Youth Allowance and Austudy, Fares Allowance covers the full reasonable cost of travel. Depending on the student’s actual method of travel, this may or may not be the actual costs incurred by the students.</w:t>
      </w:r>
      <w:r w:rsidR="00323711">
        <w:rPr>
          <w:rFonts w:cstheme="minorHAnsi"/>
        </w:rPr>
        <w:t xml:space="preserve"> </w:t>
      </w:r>
      <w:r w:rsidR="00E122EE">
        <w:rPr>
          <w:rFonts w:cstheme="minorHAnsi"/>
        </w:rPr>
        <w:t>As each</w:t>
      </w:r>
      <w:r>
        <w:rPr>
          <w:rFonts w:cstheme="minorHAnsi"/>
        </w:rPr>
        <w:t xml:space="preserve"> student needs to be on either Youth Allowance or Austudy</w:t>
      </w:r>
      <w:r w:rsidR="004A5EA3" w:rsidRPr="004A5EA3">
        <w:rPr>
          <w:rFonts w:cstheme="minorHAnsi"/>
        </w:rPr>
        <w:t xml:space="preserve"> </w:t>
      </w:r>
      <w:r w:rsidR="004A5EA3">
        <w:rPr>
          <w:rFonts w:cstheme="minorHAnsi"/>
        </w:rPr>
        <w:t xml:space="preserve">to access Fares Allowance, the student’s capacity to contribute has already been considered in this eligibility. </w:t>
      </w:r>
    </w:p>
    <w:p w14:paraId="1A3A84F4" w14:textId="77777777" w:rsidR="008434D2" w:rsidRDefault="00E7654D" w:rsidP="00A74285">
      <w:pPr>
        <w:rPr>
          <w:rFonts w:cstheme="minorHAnsi"/>
        </w:rPr>
      </w:pPr>
      <w:r>
        <w:rPr>
          <w:rFonts w:cstheme="minorHAnsi"/>
        </w:rPr>
        <w:t xml:space="preserve">There is currently no expectation on AFB recipients under either program to make a financial contribution to the </w:t>
      </w:r>
      <w:r w:rsidR="008434D2">
        <w:rPr>
          <w:rFonts w:cstheme="minorHAnsi"/>
        </w:rPr>
        <w:t xml:space="preserve">reasonable </w:t>
      </w:r>
      <w:r>
        <w:rPr>
          <w:rFonts w:cstheme="minorHAnsi"/>
        </w:rPr>
        <w:t>costs of travel, accommodation and meals for eligible activities.</w:t>
      </w:r>
    </w:p>
    <w:p w14:paraId="520B3DCF" w14:textId="77777777" w:rsidR="002D0F29" w:rsidRPr="00AD0935" w:rsidRDefault="002D0F29" w:rsidP="00AD0935">
      <w:pPr>
        <w:pStyle w:val="h4"/>
      </w:pPr>
      <w:r w:rsidRPr="003C1A97">
        <w:t>Employer-sponsored education and training</w:t>
      </w:r>
    </w:p>
    <w:p w14:paraId="144F1EBF" w14:textId="6D899143" w:rsidR="008E5CD5" w:rsidRPr="008E5CD5" w:rsidRDefault="008E5CD5" w:rsidP="005F578A">
      <w:pPr>
        <w:rPr>
          <w:rFonts w:cstheme="minorHAnsi"/>
        </w:rPr>
      </w:pPr>
      <w:r>
        <w:rPr>
          <w:rFonts w:cstheme="minorHAnsi"/>
        </w:rPr>
        <w:t>Employers offer professional development, education and tra</w:t>
      </w:r>
      <w:r w:rsidR="00B64BAC">
        <w:rPr>
          <w:rFonts w:cstheme="minorHAnsi"/>
        </w:rPr>
        <w:t xml:space="preserve">ining to staff through </w:t>
      </w:r>
      <w:r>
        <w:rPr>
          <w:rFonts w:cstheme="minorHAnsi"/>
        </w:rPr>
        <w:t>workplace arrangements. Ordinarily, where students receive study assistance from their employers the students are not eligible for A</w:t>
      </w:r>
      <w:r w:rsidR="00A34000">
        <w:rPr>
          <w:rFonts w:cstheme="minorHAnsi"/>
        </w:rPr>
        <w:t>FB</w:t>
      </w:r>
      <w:r>
        <w:rPr>
          <w:rFonts w:cstheme="minorHAnsi"/>
        </w:rPr>
        <w:t xml:space="preserve"> assistance, as this would shift the cost from employers to taxpayers. In addition, where the study is related to a person’s work, the out of pocke</w:t>
      </w:r>
      <w:r w:rsidR="00F07FCF">
        <w:rPr>
          <w:rFonts w:cstheme="minorHAnsi"/>
        </w:rPr>
        <w:t>t costs may be tax deduct</w:t>
      </w:r>
      <w:r w:rsidR="00CC386B">
        <w:rPr>
          <w:rFonts w:cstheme="minorHAnsi"/>
        </w:rPr>
        <w:t>i</w:t>
      </w:r>
      <w:r w:rsidR="00F07FCF">
        <w:rPr>
          <w:rFonts w:cstheme="minorHAnsi"/>
        </w:rPr>
        <w:t xml:space="preserve">ble. </w:t>
      </w:r>
      <w:r>
        <w:rPr>
          <w:rFonts w:cstheme="minorHAnsi"/>
        </w:rPr>
        <w:t>However, currently, an exemption is available for registered chari</w:t>
      </w:r>
      <w:r w:rsidR="00B64BAC">
        <w:rPr>
          <w:rFonts w:cstheme="minorHAnsi"/>
        </w:rPr>
        <w:t>ties and registered Indigenous C</w:t>
      </w:r>
      <w:r>
        <w:rPr>
          <w:rFonts w:cstheme="minorHAnsi"/>
        </w:rPr>
        <w:t xml:space="preserve">orporations. This is in recognition of the significant cost of travel and accommodation associated with distance education – in particular for employers in remote areas. </w:t>
      </w:r>
    </w:p>
    <w:p w14:paraId="3A5B321F" w14:textId="77777777" w:rsidR="00E97BAA" w:rsidRPr="003C1A97" w:rsidRDefault="00E97BAA" w:rsidP="00AD0935">
      <w:pPr>
        <w:pStyle w:val="h4"/>
      </w:pPr>
      <w:r w:rsidRPr="003C1A97">
        <w:t>Type of costs covered</w:t>
      </w:r>
    </w:p>
    <w:p w14:paraId="4C1AF7A6" w14:textId="5081E17A" w:rsidR="000B4DAF" w:rsidRPr="00E122EE" w:rsidRDefault="000B4DAF" w:rsidP="000B4DAF">
      <w:pPr>
        <w:spacing w:after="120"/>
        <w:rPr>
          <w:rFonts w:cstheme="minorHAnsi"/>
        </w:rPr>
      </w:pPr>
      <w:r w:rsidRPr="00E122EE">
        <w:rPr>
          <w:rFonts w:cstheme="minorHAnsi"/>
        </w:rPr>
        <w:t>Pre</w:t>
      </w:r>
      <w:r w:rsidRPr="00E122EE">
        <w:rPr>
          <w:rFonts w:cstheme="minorHAnsi"/>
        </w:rPr>
        <w:noBreakHyphen/>
        <w:t>enrolment testing and assessment costs are covered by ABSTUDY AFB, but not PM&amp;C’s AFB.</w:t>
      </w:r>
    </w:p>
    <w:p w14:paraId="56FA3305" w14:textId="77777777" w:rsidR="000B4DAF" w:rsidRDefault="000B4DAF" w:rsidP="000B4DAF">
      <w:pPr>
        <w:spacing w:after="120"/>
        <w:rPr>
          <w:rFonts w:cstheme="minorHAnsi"/>
        </w:rPr>
      </w:pPr>
      <w:r w:rsidRPr="00E122EE">
        <w:rPr>
          <w:rFonts w:cstheme="minorHAnsi"/>
        </w:rPr>
        <w:t>Both Away from Base programs support students to participate in field trips, practical or professional placements and on-campus residential schools.</w:t>
      </w:r>
    </w:p>
    <w:p w14:paraId="7C1A432F" w14:textId="66AEB247" w:rsidR="000B4DAF" w:rsidRPr="00E122EE" w:rsidRDefault="005F578A" w:rsidP="000B4DAF">
      <w:pPr>
        <w:spacing w:after="120"/>
        <w:rPr>
          <w:rFonts w:cstheme="minorHAnsi"/>
        </w:rPr>
      </w:pPr>
      <w:r>
        <w:rPr>
          <w:rFonts w:cstheme="minorHAnsi"/>
        </w:rPr>
        <w:t xml:space="preserve">Both </w:t>
      </w:r>
      <w:r w:rsidR="001757FF">
        <w:rPr>
          <w:rFonts w:cstheme="minorHAnsi"/>
        </w:rPr>
        <w:t>AF</w:t>
      </w:r>
      <w:r w:rsidR="00E47CEE">
        <w:rPr>
          <w:rFonts w:cstheme="minorHAnsi"/>
        </w:rPr>
        <w:t>B</w:t>
      </w:r>
      <w:r w:rsidR="001757FF">
        <w:rPr>
          <w:rFonts w:cstheme="minorHAnsi"/>
        </w:rPr>
        <w:t xml:space="preserve"> programs</w:t>
      </w:r>
      <w:r>
        <w:rPr>
          <w:rFonts w:cstheme="minorHAnsi"/>
        </w:rPr>
        <w:t xml:space="preserve"> currently </w:t>
      </w:r>
      <w:r w:rsidR="001757FF">
        <w:rPr>
          <w:rFonts w:cstheme="minorHAnsi"/>
        </w:rPr>
        <w:t>include</w:t>
      </w:r>
      <w:r>
        <w:rPr>
          <w:rFonts w:cstheme="minorHAnsi"/>
        </w:rPr>
        <w:t xml:space="preserve"> assistance for travel, accommodation and meals for students or for eligible teachers and lecturers who travel to community in lieu of groups of students travelling to attend residential blocks of study (Reverse Block). </w:t>
      </w:r>
      <w:r w:rsidR="000B4DAF" w:rsidRPr="00E122EE">
        <w:rPr>
          <w:rFonts w:cstheme="minorHAnsi"/>
        </w:rPr>
        <w:t>While travel costs can be a barrier for students, they are not always a barrier to larger government-funded education and training providers who send staff to communities to train groups of students.</w:t>
      </w:r>
    </w:p>
    <w:p w14:paraId="579E9398" w14:textId="2D92DB1D" w:rsidR="00C84271" w:rsidRDefault="000B4DAF" w:rsidP="000B4DAF">
      <w:pPr>
        <w:spacing w:after="120"/>
        <w:rPr>
          <w:rFonts w:cstheme="minorHAnsi"/>
        </w:rPr>
      </w:pPr>
      <w:r w:rsidRPr="00E122EE">
        <w:rPr>
          <w:rFonts w:cstheme="minorHAnsi"/>
        </w:rPr>
        <w:t xml:space="preserve">While travel and accommodation away from home can present significant financial barriers, meals are costs students would incur at home or away from home. </w:t>
      </w:r>
      <w:r w:rsidR="005F578A">
        <w:rPr>
          <w:rFonts w:cstheme="minorHAnsi"/>
        </w:rPr>
        <w:t xml:space="preserve">Under both </w:t>
      </w:r>
      <w:r w:rsidR="001757FF">
        <w:rPr>
          <w:rFonts w:cstheme="minorHAnsi"/>
        </w:rPr>
        <w:t>programs</w:t>
      </w:r>
      <w:r w:rsidR="00E122EE">
        <w:rPr>
          <w:rFonts w:cstheme="minorHAnsi"/>
        </w:rPr>
        <w:t>,</w:t>
      </w:r>
      <w:r w:rsidR="005F578A">
        <w:rPr>
          <w:rFonts w:cstheme="minorHAnsi"/>
        </w:rPr>
        <w:t xml:space="preserve"> reasonable accommodation is book</w:t>
      </w:r>
      <w:r w:rsidR="00E122EE">
        <w:rPr>
          <w:rFonts w:cstheme="minorHAnsi"/>
        </w:rPr>
        <w:t>ed via a twin share arrangement</w:t>
      </w:r>
      <w:r w:rsidR="005F578A">
        <w:rPr>
          <w:rFonts w:cstheme="minorHAnsi"/>
        </w:rPr>
        <w:t xml:space="preserve"> unless there are medical or cultural reasons</w:t>
      </w:r>
      <w:r w:rsidR="00E122EE">
        <w:rPr>
          <w:rFonts w:cstheme="minorHAnsi"/>
        </w:rPr>
        <w:t xml:space="preserve"> preventing this</w:t>
      </w:r>
      <w:r w:rsidR="005F578A">
        <w:rPr>
          <w:rFonts w:cstheme="minorHAnsi"/>
        </w:rPr>
        <w:t xml:space="preserve">. </w:t>
      </w:r>
    </w:p>
    <w:p w14:paraId="3B016BB5" w14:textId="77777777" w:rsidR="00FA338B" w:rsidRPr="00E122EE" w:rsidRDefault="005F578A" w:rsidP="000B4DAF">
      <w:pPr>
        <w:spacing w:after="120"/>
        <w:rPr>
          <w:rFonts w:cstheme="minorHAnsi"/>
        </w:rPr>
      </w:pPr>
      <w:r w:rsidRPr="00E122EE">
        <w:rPr>
          <w:rFonts w:cstheme="minorHAnsi"/>
        </w:rPr>
        <w:t xml:space="preserve">No support is available for students to participate </w:t>
      </w:r>
      <w:r w:rsidR="00892DCE" w:rsidRPr="00E122EE">
        <w:rPr>
          <w:rFonts w:cstheme="minorHAnsi"/>
        </w:rPr>
        <w:t xml:space="preserve">in </w:t>
      </w:r>
      <w:r w:rsidR="00FC01EC" w:rsidRPr="00E122EE">
        <w:rPr>
          <w:rFonts w:cstheme="minorHAnsi"/>
        </w:rPr>
        <w:t>i</w:t>
      </w:r>
      <w:r w:rsidRPr="00E122EE">
        <w:rPr>
          <w:rFonts w:cstheme="minorHAnsi"/>
        </w:rPr>
        <w:t xml:space="preserve">nternational </w:t>
      </w:r>
      <w:r w:rsidR="00FC01EC" w:rsidRPr="00E122EE">
        <w:rPr>
          <w:rFonts w:cstheme="minorHAnsi"/>
        </w:rPr>
        <w:t>AFB</w:t>
      </w:r>
      <w:r w:rsidRPr="00E122EE">
        <w:rPr>
          <w:rFonts w:cstheme="minorHAnsi"/>
        </w:rPr>
        <w:t xml:space="preserve"> activities.</w:t>
      </w:r>
    </w:p>
    <w:p w14:paraId="1DD1E459" w14:textId="77777777" w:rsidR="00480981" w:rsidRPr="00301F62" w:rsidRDefault="00043148" w:rsidP="00AD0935">
      <w:pPr>
        <w:pStyle w:val="h2"/>
      </w:pPr>
      <w:r w:rsidRPr="00301F62">
        <w:lastRenderedPageBreak/>
        <w:t>Next Steps</w:t>
      </w:r>
    </w:p>
    <w:p w14:paraId="1831F39D" w14:textId="02CA849D" w:rsidR="00A07E50" w:rsidRDefault="00043148" w:rsidP="00480981">
      <w:pPr>
        <w:spacing w:before="120" w:after="120" w:line="240" w:lineRule="auto"/>
        <w:rPr>
          <w:rFonts w:cstheme="minorHAnsi"/>
        </w:rPr>
      </w:pPr>
      <w:r>
        <w:rPr>
          <w:rFonts w:cstheme="minorHAnsi"/>
        </w:rPr>
        <w:t>We are planning teleconferences with providers and othe</w:t>
      </w:r>
      <w:r w:rsidR="00376685">
        <w:rPr>
          <w:rFonts w:cstheme="minorHAnsi"/>
        </w:rPr>
        <w:t>r key stakeholders during</w:t>
      </w:r>
      <w:r>
        <w:rPr>
          <w:rFonts w:cstheme="minorHAnsi"/>
        </w:rPr>
        <w:t xml:space="preserve"> </w:t>
      </w:r>
      <w:r w:rsidR="001B479E">
        <w:rPr>
          <w:rFonts w:cstheme="minorHAnsi"/>
        </w:rPr>
        <w:t xml:space="preserve">October </w:t>
      </w:r>
      <w:r>
        <w:rPr>
          <w:rFonts w:cstheme="minorHAnsi"/>
        </w:rPr>
        <w:t xml:space="preserve">2018 to complement this discussion paper. However, we would appreciate written comments on the template </w:t>
      </w:r>
      <w:r w:rsidR="000B4DAF">
        <w:rPr>
          <w:rFonts w:cstheme="minorHAnsi"/>
        </w:rPr>
        <w:t>that accompanies</w:t>
      </w:r>
      <w:r>
        <w:rPr>
          <w:rFonts w:cstheme="minorHAnsi"/>
        </w:rPr>
        <w:t xml:space="preserve"> this discussion paper by</w:t>
      </w:r>
      <w:r w:rsidR="009E79A0">
        <w:rPr>
          <w:rFonts w:cstheme="minorHAnsi"/>
        </w:rPr>
        <w:t xml:space="preserve"> Friday</w:t>
      </w:r>
      <w:r>
        <w:rPr>
          <w:rFonts w:cstheme="minorHAnsi"/>
        </w:rPr>
        <w:t xml:space="preserve"> </w:t>
      </w:r>
      <w:r w:rsidR="00BA2D92">
        <w:rPr>
          <w:rFonts w:cstheme="minorHAnsi"/>
          <w:b/>
          <w:color w:val="FF0000"/>
          <w:u w:val="single"/>
        </w:rPr>
        <w:t>2</w:t>
      </w:r>
      <w:r w:rsidR="009E79A0">
        <w:rPr>
          <w:rFonts w:cstheme="minorHAnsi"/>
          <w:b/>
          <w:color w:val="FF0000"/>
          <w:u w:val="single"/>
        </w:rPr>
        <w:t xml:space="preserve"> November</w:t>
      </w:r>
      <w:r w:rsidRPr="00483A35">
        <w:rPr>
          <w:rFonts w:cstheme="minorHAnsi"/>
          <w:b/>
          <w:color w:val="FF0000"/>
          <w:u w:val="single"/>
        </w:rPr>
        <w:t xml:space="preserve"> 2018</w:t>
      </w:r>
      <w:r w:rsidR="00A07E50">
        <w:rPr>
          <w:rFonts w:cstheme="minorHAnsi"/>
          <w:b/>
          <w:color w:val="FF0000"/>
          <w:u w:val="single"/>
        </w:rPr>
        <w:t xml:space="preserve"> </w:t>
      </w:r>
      <w:r w:rsidR="00A07E50" w:rsidRPr="00A07E50">
        <w:rPr>
          <w:rFonts w:cstheme="minorHAnsi"/>
        </w:rPr>
        <w:t xml:space="preserve">sent to </w:t>
      </w:r>
      <w:hyperlink r:id="rId14" w:history="1">
        <w:r w:rsidR="00A07E50" w:rsidRPr="003457A5">
          <w:rPr>
            <w:rStyle w:val="Hyperlink"/>
            <w:rFonts w:cstheme="minorHAnsi"/>
          </w:rPr>
          <w:t>ITPT@pmc.gov.au</w:t>
        </w:r>
      </w:hyperlink>
      <w:r w:rsidR="00A07E50">
        <w:rPr>
          <w:rFonts w:cstheme="minorHAnsi"/>
        </w:rPr>
        <w:t>.</w:t>
      </w:r>
    </w:p>
    <w:p w14:paraId="4F5B9A3D" w14:textId="77777777" w:rsidR="00043148" w:rsidRDefault="00043148" w:rsidP="00480981">
      <w:pPr>
        <w:spacing w:before="120" w:after="120" w:line="240" w:lineRule="auto"/>
        <w:rPr>
          <w:rFonts w:cstheme="minorHAnsi"/>
        </w:rPr>
      </w:pPr>
      <w:r>
        <w:rPr>
          <w:rFonts w:cstheme="minorHAnsi"/>
        </w:rPr>
        <w:t>The participating agencies will consider your comments and provide an overview of the comments we receive on the following website:</w:t>
      </w:r>
    </w:p>
    <w:p w14:paraId="0838E596" w14:textId="77777777" w:rsidR="000431EA" w:rsidRDefault="006C2885" w:rsidP="00480981">
      <w:pPr>
        <w:spacing w:before="120" w:after="120" w:line="240" w:lineRule="auto"/>
        <w:rPr>
          <w:rFonts w:cstheme="minorHAnsi"/>
        </w:rPr>
      </w:pPr>
      <w:hyperlink r:id="rId15" w:history="1">
        <w:r w:rsidR="000431EA" w:rsidRPr="00474BAF">
          <w:rPr>
            <w:rStyle w:val="Hyperlink"/>
            <w:rFonts w:cstheme="minorHAnsi"/>
          </w:rPr>
          <w:t>https://www.pmc.gov.au/indigenous-affairs/education/away-base-mixed-mode-program-afb</w:t>
        </w:r>
      </w:hyperlink>
    </w:p>
    <w:p w14:paraId="09CC73A7" w14:textId="77777777" w:rsidR="00043148" w:rsidRDefault="00043148" w:rsidP="00480981">
      <w:pPr>
        <w:spacing w:before="120" w:after="120" w:line="240" w:lineRule="auto"/>
        <w:rPr>
          <w:rFonts w:cstheme="minorHAnsi"/>
        </w:rPr>
      </w:pPr>
      <w:r>
        <w:rPr>
          <w:rFonts w:cstheme="minorHAnsi"/>
        </w:rPr>
        <w:t>While your submission</w:t>
      </w:r>
      <w:r w:rsidR="00980344">
        <w:rPr>
          <w:rFonts w:cstheme="minorHAnsi"/>
        </w:rPr>
        <w:t xml:space="preserve"> will not be made public</w:t>
      </w:r>
      <w:r>
        <w:rPr>
          <w:rFonts w:cstheme="minorHAnsi"/>
        </w:rPr>
        <w:t>, participating agencies are covered by Freedom of Information requirements and Parliamentary scrutiny. Please do not include personal or private information in your response and let us know about any submission you wish to keep confidential</w:t>
      </w:r>
      <w:r w:rsidR="00A07E50">
        <w:rPr>
          <w:rFonts w:cstheme="minorHAnsi"/>
        </w:rPr>
        <w:t>, noting our legislative and Parliamentary obligations</w:t>
      </w:r>
      <w:r>
        <w:rPr>
          <w:rFonts w:cstheme="minorHAnsi"/>
        </w:rPr>
        <w:t>.</w:t>
      </w:r>
    </w:p>
    <w:p w14:paraId="037D7E13" w14:textId="77777777" w:rsidR="002C61E4" w:rsidRDefault="00A07E50" w:rsidP="00CA3914">
      <w:pPr>
        <w:spacing w:before="120" w:after="120" w:line="240" w:lineRule="auto"/>
        <w:rPr>
          <w:rFonts w:cstheme="minorHAnsi"/>
        </w:rPr>
      </w:pPr>
      <w:r>
        <w:rPr>
          <w:rFonts w:cstheme="minorHAnsi"/>
        </w:rPr>
        <w:t>Any changes to AFB will need to be considered by Government before they can be implemented. We will consult providers on guidelines and next steps if Government does agree to make changes to AFB arrangements in the future.</w:t>
      </w:r>
    </w:p>
    <w:p w14:paraId="005A5F6B" w14:textId="192E16A1" w:rsidR="00644713" w:rsidRPr="00301F62" w:rsidRDefault="00A07E50" w:rsidP="00AD0935">
      <w:pPr>
        <w:pStyle w:val="h2"/>
      </w:pPr>
      <w:r w:rsidRPr="00301F62">
        <w:t>Contacts</w:t>
      </w:r>
    </w:p>
    <w:p w14:paraId="5950E043" w14:textId="457B77E8" w:rsidR="00A07E50" w:rsidRPr="00D03F14" w:rsidRDefault="00D03F14" w:rsidP="00D03F14">
      <w:pPr>
        <w:spacing w:after="0"/>
        <w:rPr>
          <w:rFonts w:cstheme="minorHAnsi"/>
          <w:u w:val="single"/>
        </w:rPr>
      </w:pPr>
      <w:r w:rsidRPr="00D03F14">
        <w:rPr>
          <w:rFonts w:cstheme="minorHAnsi"/>
        </w:rPr>
        <w:t xml:space="preserve">Please provide all responses to this discussion paper and </w:t>
      </w:r>
      <w:r>
        <w:rPr>
          <w:rFonts w:cstheme="minorHAnsi"/>
        </w:rPr>
        <w:t xml:space="preserve">requests for teleconferences to </w:t>
      </w:r>
      <w:r w:rsidR="00A07E50" w:rsidRPr="003B3349">
        <w:rPr>
          <w:rStyle w:val="Hyperlink"/>
        </w:rPr>
        <w:t>ITPT@pmc.gov.au</w:t>
      </w:r>
    </w:p>
    <w:p w14:paraId="5B7D66A6" w14:textId="77777777" w:rsidR="003B3349" w:rsidRDefault="003B3349" w:rsidP="009902B0">
      <w:pPr>
        <w:spacing w:after="120"/>
        <w:ind w:left="720"/>
        <w:rPr>
          <w:rFonts w:cstheme="minorHAnsi"/>
        </w:rPr>
        <w:sectPr w:rsidR="003B3349">
          <w:footerReference w:type="default" r:id="rId16"/>
          <w:pgSz w:w="11906" w:h="16838"/>
          <w:pgMar w:top="1440" w:right="1440" w:bottom="1440" w:left="1440" w:header="708" w:footer="708" w:gutter="0"/>
          <w:cols w:space="708"/>
          <w:docGrid w:linePitch="360"/>
        </w:sectPr>
      </w:pPr>
    </w:p>
    <w:p w14:paraId="74D7CA8A" w14:textId="77777777" w:rsidR="003B3349" w:rsidRPr="00DC0975" w:rsidRDefault="0058181E" w:rsidP="00A93E89">
      <w:pPr>
        <w:ind w:left="720"/>
        <w:jc w:val="right"/>
        <w:rPr>
          <w:b/>
          <w:color w:val="2E74B5" w:themeColor="accent1" w:themeShade="BF"/>
        </w:rPr>
      </w:pPr>
      <w:r w:rsidRPr="00DC0975">
        <w:rPr>
          <w:rFonts w:cstheme="minorHAnsi"/>
          <w:b/>
          <w:color w:val="2E74B5" w:themeColor="accent1" w:themeShade="BF"/>
        </w:rPr>
        <w:lastRenderedPageBreak/>
        <w:t>ATTACHMENT A</w:t>
      </w:r>
    </w:p>
    <w:p w14:paraId="158200FA" w14:textId="77777777" w:rsidR="00C37073" w:rsidRPr="00301F62" w:rsidRDefault="00C37073" w:rsidP="00AD0935">
      <w:pPr>
        <w:pStyle w:val="h2"/>
        <w:numPr>
          <w:ilvl w:val="0"/>
          <w:numId w:val="0"/>
        </w:numPr>
        <w:ind w:left="360" w:hanging="360"/>
      </w:pPr>
      <w:r w:rsidRPr="00301F62">
        <w:t>Summary of the two current AFB models being delivered by PM&amp;C and DHS in 2018</w:t>
      </w:r>
    </w:p>
    <w:tbl>
      <w:tblPr>
        <w:tblStyle w:val="TableGrid"/>
        <w:tblW w:w="14601" w:type="dxa"/>
        <w:tblInd w:w="-714" w:type="dxa"/>
        <w:tblLook w:val="04A0" w:firstRow="1" w:lastRow="0" w:firstColumn="1" w:lastColumn="0" w:noHBand="0" w:noVBand="1"/>
      </w:tblPr>
      <w:tblGrid>
        <w:gridCol w:w="2977"/>
        <w:gridCol w:w="5529"/>
        <w:gridCol w:w="6095"/>
      </w:tblGrid>
      <w:tr w:rsidR="00C37073" w:rsidRPr="00E817D1" w14:paraId="01A268AD" w14:textId="77777777" w:rsidTr="00AD0935">
        <w:trPr>
          <w:tblHeader/>
        </w:trPr>
        <w:tc>
          <w:tcPr>
            <w:tcW w:w="2977" w:type="dxa"/>
            <w:shd w:val="clear" w:color="auto" w:fill="D9D9D9" w:themeFill="background1" w:themeFillShade="D9"/>
          </w:tcPr>
          <w:p w14:paraId="376C3F94" w14:textId="77777777" w:rsidR="00C37073" w:rsidRPr="00DC0975" w:rsidRDefault="00C37073" w:rsidP="000F51A9">
            <w:pPr>
              <w:rPr>
                <w:rFonts w:cstheme="minorHAnsi"/>
                <w:b/>
              </w:rPr>
            </w:pPr>
          </w:p>
        </w:tc>
        <w:tc>
          <w:tcPr>
            <w:tcW w:w="5529" w:type="dxa"/>
            <w:shd w:val="clear" w:color="auto" w:fill="D9D9D9" w:themeFill="background1" w:themeFillShade="D9"/>
          </w:tcPr>
          <w:p w14:paraId="4ECFD28D" w14:textId="77777777" w:rsidR="00C37073" w:rsidRPr="00E817D1" w:rsidRDefault="003355E9" w:rsidP="003355E9">
            <w:pPr>
              <w:rPr>
                <w:b/>
              </w:rPr>
            </w:pPr>
            <w:r>
              <w:rPr>
                <w:b/>
              </w:rPr>
              <w:t xml:space="preserve">Current </w:t>
            </w:r>
            <w:r w:rsidR="00C37073" w:rsidRPr="00E817D1">
              <w:rPr>
                <w:b/>
              </w:rPr>
              <w:t>PM&amp;C AFB</w:t>
            </w:r>
            <w:r>
              <w:rPr>
                <w:b/>
              </w:rPr>
              <w:t xml:space="preserve"> program</w:t>
            </w:r>
          </w:p>
        </w:tc>
        <w:tc>
          <w:tcPr>
            <w:tcW w:w="6095" w:type="dxa"/>
            <w:shd w:val="clear" w:color="auto" w:fill="D9D9D9" w:themeFill="background1" w:themeFillShade="D9"/>
          </w:tcPr>
          <w:p w14:paraId="15CD577F" w14:textId="77777777" w:rsidR="00C37073" w:rsidRPr="00E817D1" w:rsidRDefault="003355E9" w:rsidP="003355E9">
            <w:pPr>
              <w:rPr>
                <w:b/>
              </w:rPr>
            </w:pPr>
            <w:r>
              <w:rPr>
                <w:b/>
              </w:rPr>
              <w:t xml:space="preserve">Current </w:t>
            </w:r>
            <w:r w:rsidR="00C37073" w:rsidRPr="00E817D1">
              <w:rPr>
                <w:b/>
              </w:rPr>
              <w:t xml:space="preserve">DHS </w:t>
            </w:r>
            <w:r>
              <w:rPr>
                <w:b/>
              </w:rPr>
              <w:t xml:space="preserve">ABSTUDY AFB program </w:t>
            </w:r>
          </w:p>
        </w:tc>
      </w:tr>
      <w:tr w:rsidR="00C37073" w:rsidRPr="00E817D1" w14:paraId="5FF8BC2A" w14:textId="77777777" w:rsidTr="000F51A9">
        <w:tc>
          <w:tcPr>
            <w:tcW w:w="2977" w:type="dxa"/>
            <w:shd w:val="clear" w:color="auto" w:fill="D9D9D9" w:themeFill="background1" w:themeFillShade="D9"/>
          </w:tcPr>
          <w:p w14:paraId="4E96578A" w14:textId="77777777" w:rsidR="00C37073" w:rsidRPr="00DC0975" w:rsidRDefault="00C37073" w:rsidP="000F51A9">
            <w:pPr>
              <w:rPr>
                <w:rFonts w:cstheme="minorHAnsi"/>
                <w:b/>
              </w:rPr>
            </w:pPr>
            <w:r w:rsidRPr="00DC0975">
              <w:rPr>
                <w:rFonts w:cstheme="minorHAnsi"/>
                <w:b/>
              </w:rPr>
              <w:t>Provider agreements</w:t>
            </w:r>
          </w:p>
        </w:tc>
        <w:tc>
          <w:tcPr>
            <w:tcW w:w="5529" w:type="dxa"/>
          </w:tcPr>
          <w:p w14:paraId="78A926CB" w14:textId="77777777" w:rsidR="00C37073" w:rsidRPr="00E817D1" w:rsidRDefault="00C37073" w:rsidP="000F51A9">
            <w:r w:rsidRPr="00E817D1">
              <w:t>Yes</w:t>
            </w:r>
          </w:p>
        </w:tc>
        <w:tc>
          <w:tcPr>
            <w:tcW w:w="6095" w:type="dxa"/>
          </w:tcPr>
          <w:p w14:paraId="0C422100" w14:textId="77777777" w:rsidR="00C37073" w:rsidRPr="00E817D1" w:rsidRDefault="00C37073" w:rsidP="000F51A9">
            <w:r w:rsidRPr="00E817D1">
              <w:t>No</w:t>
            </w:r>
          </w:p>
        </w:tc>
      </w:tr>
      <w:tr w:rsidR="00C37073" w:rsidRPr="00E817D1" w14:paraId="7C59AD6A" w14:textId="77777777" w:rsidTr="000F51A9">
        <w:tc>
          <w:tcPr>
            <w:tcW w:w="2977" w:type="dxa"/>
            <w:shd w:val="clear" w:color="auto" w:fill="D9D9D9" w:themeFill="background1" w:themeFillShade="D9"/>
          </w:tcPr>
          <w:p w14:paraId="645775D1" w14:textId="77777777" w:rsidR="00C37073" w:rsidRPr="00DC0975" w:rsidRDefault="00C37073" w:rsidP="000F51A9">
            <w:pPr>
              <w:rPr>
                <w:rFonts w:cstheme="minorHAnsi"/>
                <w:b/>
              </w:rPr>
            </w:pPr>
            <w:r w:rsidRPr="00DC0975">
              <w:rPr>
                <w:rFonts w:cstheme="minorHAnsi"/>
                <w:b/>
              </w:rPr>
              <w:t>Funding</w:t>
            </w:r>
          </w:p>
        </w:tc>
        <w:tc>
          <w:tcPr>
            <w:tcW w:w="5529" w:type="dxa"/>
          </w:tcPr>
          <w:p w14:paraId="0A4FB59C" w14:textId="77777777" w:rsidR="00C37073" w:rsidRPr="00E817D1" w:rsidRDefault="00C37073" w:rsidP="000F51A9">
            <w:r w:rsidRPr="00E817D1">
              <w:t>EPUC x FTE = annual entitlement</w:t>
            </w:r>
          </w:p>
          <w:p w14:paraId="2EF6DD9E" w14:textId="77777777" w:rsidR="00C37073" w:rsidRPr="00E817D1" w:rsidRDefault="00C37073" w:rsidP="000F51A9">
            <w:r w:rsidRPr="00E817D1">
              <w:t>Providers have flexibility to use their annual entitlement on any eligible student activity in accordance with the grant agreement and program guidelines.</w:t>
            </w:r>
          </w:p>
        </w:tc>
        <w:tc>
          <w:tcPr>
            <w:tcW w:w="6095" w:type="dxa"/>
          </w:tcPr>
          <w:p w14:paraId="4FA0B5DD" w14:textId="77777777" w:rsidR="00C37073" w:rsidRPr="00E817D1" w:rsidRDefault="00C37073" w:rsidP="000F51A9">
            <w:r w:rsidRPr="00E817D1">
              <w:t xml:space="preserve">Maximum of six trips </w:t>
            </w:r>
            <w:r w:rsidR="003355E9">
              <w:t>and</w:t>
            </w:r>
            <w:r w:rsidRPr="00E817D1">
              <w:t xml:space="preserve"> 40 days residential </w:t>
            </w:r>
            <w:r w:rsidR="000431EA">
              <w:t>per year for full-year students.</w:t>
            </w:r>
          </w:p>
          <w:p w14:paraId="636DB35A" w14:textId="77777777" w:rsidR="00C37073" w:rsidRPr="00E817D1" w:rsidRDefault="00C37073" w:rsidP="000F51A9">
            <w:r w:rsidRPr="00E817D1">
              <w:t>Less for students studying for less than the full-year</w:t>
            </w:r>
            <w:r w:rsidR="000431EA">
              <w:t>.</w:t>
            </w:r>
          </w:p>
          <w:p w14:paraId="02867C42" w14:textId="77777777" w:rsidR="00C37073" w:rsidRPr="00E817D1" w:rsidRDefault="00C37073" w:rsidP="000F51A9">
            <w:r w:rsidRPr="00E817D1">
              <w:t>See table A below</w:t>
            </w:r>
          </w:p>
        </w:tc>
      </w:tr>
      <w:tr w:rsidR="00C37073" w:rsidRPr="00E817D1" w14:paraId="6EC74CE9" w14:textId="77777777" w:rsidTr="000F51A9">
        <w:tc>
          <w:tcPr>
            <w:tcW w:w="2977" w:type="dxa"/>
            <w:shd w:val="clear" w:color="auto" w:fill="D9D9D9" w:themeFill="background1" w:themeFillShade="D9"/>
          </w:tcPr>
          <w:p w14:paraId="175EB99E" w14:textId="77777777" w:rsidR="00C37073" w:rsidRPr="00DC0975" w:rsidRDefault="00C37073" w:rsidP="000F51A9">
            <w:pPr>
              <w:rPr>
                <w:rFonts w:cstheme="minorHAnsi"/>
                <w:b/>
              </w:rPr>
            </w:pPr>
            <w:r w:rsidRPr="00DC0975">
              <w:rPr>
                <w:rFonts w:cstheme="minorHAnsi"/>
                <w:b/>
              </w:rPr>
              <w:t>Administration funds</w:t>
            </w:r>
          </w:p>
        </w:tc>
        <w:tc>
          <w:tcPr>
            <w:tcW w:w="5529" w:type="dxa"/>
          </w:tcPr>
          <w:p w14:paraId="2803A16A" w14:textId="77777777" w:rsidR="00C37073" w:rsidRPr="00E817D1" w:rsidRDefault="00C37073" w:rsidP="000F51A9">
            <w:r w:rsidRPr="00E817D1">
              <w:t>Yes up to 10</w:t>
            </w:r>
            <w:r w:rsidR="00430C9D">
              <w:t xml:space="preserve"> per cent</w:t>
            </w:r>
            <w:r w:rsidRPr="00E817D1">
              <w:t xml:space="preserve"> of entitlement</w:t>
            </w:r>
          </w:p>
        </w:tc>
        <w:tc>
          <w:tcPr>
            <w:tcW w:w="6095" w:type="dxa"/>
          </w:tcPr>
          <w:p w14:paraId="2E543022" w14:textId="77777777" w:rsidR="00C37073" w:rsidRPr="00E817D1" w:rsidRDefault="00C37073" w:rsidP="000F51A9">
            <w:r w:rsidRPr="00E817D1">
              <w:t>Maximum</w:t>
            </w:r>
            <w:r w:rsidR="000431EA">
              <w:t xml:space="preserve"> of</w:t>
            </w:r>
            <w:r w:rsidRPr="00E817D1">
              <w:t xml:space="preserve"> $4,851</w:t>
            </w:r>
            <w:r w:rsidR="000431EA">
              <w:t xml:space="preserve"> </w:t>
            </w:r>
            <w:r w:rsidRPr="00E817D1">
              <w:t>per provider per year</w:t>
            </w:r>
          </w:p>
        </w:tc>
      </w:tr>
      <w:tr w:rsidR="00C37073" w:rsidRPr="00E817D1" w14:paraId="425DF68F" w14:textId="77777777" w:rsidTr="000F51A9">
        <w:tc>
          <w:tcPr>
            <w:tcW w:w="2977" w:type="dxa"/>
            <w:shd w:val="clear" w:color="auto" w:fill="D9D9D9" w:themeFill="background1" w:themeFillShade="D9"/>
          </w:tcPr>
          <w:p w14:paraId="6EDE6833" w14:textId="77777777" w:rsidR="00C37073" w:rsidRPr="00DC0975" w:rsidRDefault="00C37073" w:rsidP="000F51A9">
            <w:pPr>
              <w:rPr>
                <w:rFonts w:cstheme="minorHAnsi"/>
                <w:b/>
              </w:rPr>
            </w:pPr>
            <w:r w:rsidRPr="00DC0975">
              <w:rPr>
                <w:rFonts w:cstheme="minorHAnsi"/>
                <w:b/>
              </w:rPr>
              <w:t>For-profit providers</w:t>
            </w:r>
          </w:p>
        </w:tc>
        <w:tc>
          <w:tcPr>
            <w:tcW w:w="5529" w:type="dxa"/>
          </w:tcPr>
          <w:p w14:paraId="6550598C" w14:textId="77777777" w:rsidR="00C37073" w:rsidRPr="00E817D1" w:rsidRDefault="00C37073" w:rsidP="000F51A9">
            <w:r w:rsidRPr="00E817D1">
              <w:t>No</w:t>
            </w:r>
          </w:p>
        </w:tc>
        <w:tc>
          <w:tcPr>
            <w:tcW w:w="6095" w:type="dxa"/>
          </w:tcPr>
          <w:p w14:paraId="568834C9" w14:textId="77777777" w:rsidR="00C37073" w:rsidRPr="00E817D1" w:rsidRDefault="00C37073" w:rsidP="000F51A9">
            <w:r w:rsidRPr="00E817D1">
              <w:t>Yes</w:t>
            </w:r>
          </w:p>
        </w:tc>
      </w:tr>
      <w:tr w:rsidR="00C37073" w:rsidRPr="00E817D1" w14:paraId="1DD2B1E0" w14:textId="77777777" w:rsidTr="000F51A9">
        <w:tc>
          <w:tcPr>
            <w:tcW w:w="2977" w:type="dxa"/>
            <w:shd w:val="clear" w:color="auto" w:fill="D9D9D9" w:themeFill="background1" w:themeFillShade="D9"/>
          </w:tcPr>
          <w:p w14:paraId="29C8A93D" w14:textId="77777777" w:rsidR="00C37073" w:rsidRPr="00DC0975" w:rsidRDefault="00C37073" w:rsidP="000F51A9">
            <w:pPr>
              <w:rPr>
                <w:rFonts w:cstheme="minorHAnsi"/>
                <w:b/>
              </w:rPr>
            </w:pPr>
            <w:r w:rsidRPr="00DC0975">
              <w:rPr>
                <w:rFonts w:cstheme="minorHAnsi"/>
                <w:b/>
              </w:rPr>
              <w:t>Not-for-profit providers</w:t>
            </w:r>
          </w:p>
        </w:tc>
        <w:tc>
          <w:tcPr>
            <w:tcW w:w="5529" w:type="dxa"/>
          </w:tcPr>
          <w:p w14:paraId="1211421C" w14:textId="77777777" w:rsidR="00C37073" w:rsidRPr="00E817D1" w:rsidRDefault="00C37073" w:rsidP="000F51A9">
            <w:r w:rsidRPr="00E817D1">
              <w:t>Yes</w:t>
            </w:r>
          </w:p>
        </w:tc>
        <w:tc>
          <w:tcPr>
            <w:tcW w:w="6095" w:type="dxa"/>
          </w:tcPr>
          <w:p w14:paraId="3B21E172" w14:textId="77777777" w:rsidR="00C37073" w:rsidRPr="00E817D1" w:rsidRDefault="00C37073" w:rsidP="000F51A9">
            <w:r w:rsidRPr="00E817D1">
              <w:t>Yes</w:t>
            </w:r>
          </w:p>
        </w:tc>
      </w:tr>
      <w:tr w:rsidR="00C37073" w:rsidRPr="00E817D1" w14:paraId="6E602F70" w14:textId="77777777" w:rsidTr="000F51A9">
        <w:tc>
          <w:tcPr>
            <w:tcW w:w="2977" w:type="dxa"/>
            <w:shd w:val="clear" w:color="auto" w:fill="D9D9D9" w:themeFill="background1" w:themeFillShade="D9"/>
          </w:tcPr>
          <w:p w14:paraId="36FEA196" w14:textId="77777777" w:rsidR="00C37073" w:rsidRPr="00DC0975" w:rsidRDefault="00C37073" w:rsidP="000F51A9">
            <w:pPr>
              <w:rPr>
                <w:rFonts w:cstheme="minorHAnsi"/>
                <w:b/>
              </w:rPr>
            </w:pPr>
            <w:r w:rsidRPr="00DC0975">
              <w:rPr>
                <w:rFonts w:cstheme="minorHAnsi"/>
                <w:b/>
              </w:rPr>
              <w:t>Universities</w:t>
            </w:r>
          </w:p>
        </w:tc>
        <w:tc>
          <w:tcPr>
            <w:tcW w:w="5529" w:type="dxa"/>
          </w:tcPr>
          <w:p w14:paraId="6189CEB5" w14:textId="77777777" w:rsidR="00C37073" w:rsidRPr="00E817D1" w:rsidRDefault="00C37073" w:rsidP="000F51A9">
            <w:r w:rsidRPr="00E817D1">
              <w:t>Yes, Table A Universities only</w:t>
            </w:r>
          </w:p>
        </w:tc>
        <w:tc>
          <w:tcPr>
            <w:tcW w:w="6095" w:type="dxa"/>
          </w:tcPr>
          <w:p w14:paraId="7ECBE013" w14:textId="77777777" w:rsidR="00C37073" w:rsidRPr="00E817D1" w:rsidRDefault="00C37073" w:rsidP="000F51A9">
            <w:r w:rsidRPr="00E817D1">
              <w:t>Yes</w:t>
            </w:r>
          </w:p>
        </w:tc>
      </w:tr>
      <w:tr w:rsidR="00C37073" w:rsidRPr="00E817D1" w14:paraId="4A922E4F" w14:textId="77777777" w:rsidTr="000F51A9">
        <w:tc>
          <w:tcPr>
            <w:tcW w:w="2977" w:type="dxa"/>
            <w:shd w:val="clear" w:color="auto" w:fill="D9D9D9" w:themeFill="background1" w:themeFillShade="D9"/>
          </w:tcPr>
          <w:p w14:paraId="7B08C34F" w14:textId="77777777" w:rsidR="00C37073" w:rsidRPr="00DC0975" w:rsidRDefault="00C37073" w:rsidP="000F51A9">
            <w:pPr>
              <w:rPr>
                <w:rFonts w:cstheme="minorHAnsi"/>
                <w:b/>
              </w:rPr>
            </w:pPr>
            <w:r w:rsidRPr="00DC0975">
              <w:rPr>
                <w:rFonts w:cstheme="minorHAnsi"/>
                <w:b/>
              </w:rPr>
              <w:t>Registered Training Organisations (VET)</w:t>
            </w:r>
          </w:p>
        </w:tc>
        <w:tc>
          <w:tcPr>
            <w:tcW w:w="5529" w:type="dxa"/>
          </w:tcPr>
          <w:p w14:paraId="1A39B5FF" w14:textId="77777777" w:rsidR="00C37073" w:rsidRPr="00E817D1" w:rsidRDefault="00C37073" w:rsidP="000F51A9">
            <w:r w:rsidRPr="00E817D1">
              <w:t>Yes, but only not-for-profit providers</w:t>
            </w:r>
          </w:p>
        </w:tc>
        <w:tc>
          <w:tcPr>
            <w:tcW w:w="6095" w:type="dxa"/>
          </w:tcPr>
          <w:p w14:paraId="3307BAB3" w14:textId="77777777" w:rsidR="00C37073" w:rsidRPr="00E817D1" w:rsidRDefault="00C37073" w:rsidP="000F51A9">
            <w:r w:rsidRPr="00E817D1">
              <w:t>Yes</w:t>
            </w:r>
          </w:p>
        </w:tc>
      </w:tr>
      <w:tr w:rsidR="00C37073" w:rsidRPr="00E817D1" w14:paraId="3AEB0765" w14:textId="77777777" w:rsidTr="000F51A9">
        <w:tc>
          <w:tcPr>
            <w:tcW w:w="2977" w:type="dxa"/>
            <w:shd w:val="clear" w:color="auto" w:fill="D9D9D9" w:themeFill="background1" w:themeFillShade="D9"/>
          </w:tcPr>
          <w:p w14:paraId="650758E6" w14:textId="77777777" w:rsidR="00C37073" w:rsidRPr="00DC0975" w:rsidRDefault="00C37073" w:rsidP="000F51A9">
            <w:pPr>
              <w:rPr>
                <w:rFonts w:cstheme="minorHAnsi"/>
                <w:b/>
              </w:rPr>
            </w:pPr>
            <w:r w:rsidRPr="00DC0975">
              <w:rPr>
                <w:rFonts w:cstheme="minorHAnsi"/>
                <w:b/>
              </w:rPr>
              <w:t>School distance education providers</w:t>
            </w:r>
          </w:p>
        </w:tc>
        <w:tc>
          <w:tcPr>
            <w:tcW w:w="5529" w:type="dxa"/>
          </w:tcPr>
          <w:p w14:paraId="65EA6557" w14:textId="77777777" w:rsidR="00C37073" w:rsidRPr="00E817D1" w:rsidRDefault="00C37073" w:rsidP="000F51A9">
            <w:r w:rsidRPr="00E817D1">
              <w:t>No</w:t>
            </w:r>
          </w:p>
        </w:tc>
        <w:tc>
          <w:tcPr>
            <w:tcW w:w="6095" w:type="dxa"/>
          </w:tcPr>
          <w:p w14:paraId="6C3EA91F" w14:textId="77777777" w:rsidR="00C37073" w:rsidRPr="00E817D1" w:rsidRDefault="00C37073" w:rsidP="000F51A9">
            <w:r w:rsidRPr="00E817D1">
              <w:t>Yes</w:t>
            </w:r>
          </w:p>
        </w:tc>
      </w:tr>
      <w:tr w:rsidR="00C37073" w:rsidRPr="00E817D1" w14:paraId="74A3DD20" w14:textId="77777777" w:rsidTr="000F51A9">
        <w:tc>
          <w:tcPr>
            <w:tcW w:w="2977" w:type="dxa"/>
            <w:shd w:val="clear" w:color="auto" w:fill="D9D9D9" w:themeFill="background1" w:themeFillShade="D9"/>
          </w:tcPr>
          <w:p w14:paraId="65876E5A" w14:textId="77777777" w:rsidR="00C37073" w:rsidRPr="00DC0975" w:rsidRDefault="004C0F63" w:rsidP="000F51A9">
            <w:pPr>
              <w:rPr>
                <w:rFonts w:cstheme="minorHAnsi"/>
                <w:b/>
              </w:rPr>
            </w:pPr>
            <w:r w:rsidRPr="00DC0975">
              <w:rPr>
                <w:rFonts w:cstheme="minorHAnsi"/>
                <w:b/>
              </w:rPr>
              <w:t>Up-front payments based on estimates</w:t>
            </w:r>
          </w:p>
        </w:tc>
        <w:tc>
          <w:tcPr>
            <w:tcW w:w="5529" w:type="dxa"/>
          </w:tcPr>
          <w:p w14:paraId="17A16989" w14:textId="77777777" w:rsidR="00C37073" w:rsidRPr="00E817D1" w:rsidRDefault="00C37073" w:rsidP="000F51A9">
            <w:r w:rsidRPr="00E817D1">
              <w:t>Yes</w:t>
            </w:r>
          </w:p>
        </w:tc>
        <w:tc>
          <w:tcPr>
            <w:tcW w:w="6095" w:type="dxa"/>
          </w:tcPr>
          <w:p w14:paraId="265A6365" w14:textId="77777777" w:rsidR="00C37073" w:rsidRPr="00E817D1" w:rsidRDefault="00C37073" w:rsidP="000F51A9">
            <w:r w:rsidRPr="00E817D1">
              <w:t>Yes</w:t>
            </w:r>
          </w:p>
        </w:tc>
      </w:tr>
      <w:tr w:rsidR="00C37073" w:rsidRPr="00E817D1" w14:paraId="7694B749" w14:textId="77777777" w:rsidTr="000F51A9">
        <w:tc>
          <w:tcPr>
            <w:tcW w:w="2977" w:type="dxa"/>
            <w:shd w:val="clear" w:color="auto" w:fill="D9D9D9" w:themeFill="background1" w:themeFillShade="D9"/>
          </w:tcPr>
          <w:p w14:paraId="4D6700BF" w14:textId="77777777" w:rsidR="00C37073" w:rsidRPr="00DC0975" w:rsidRDefault="00C37073" w:rsidP="000F51A9">
            <w:pPr>
              <w:rPr>
                <w:rFonts w:cstheme="minorHAnsi"/>
                <w:b/>
              </w:rPr>
            </w:pPr>
            <w:r w:rsidRPr="00DC0975">
              <w:rPr>
                <w:rFonts w:cstheme="minorHAnsi"/>
                <w:b/>
              </w:rPr>
              <w:t>Reimbursements</w:t>
            </w:r>
          </w:p>
        </w:tc>
        <w:tc>
          <w:tcPr>
            <w:tcW w:w="5529" w:type="dxa"/>
          </w:tcPr>
          <w:p w14:paraId="03947D6D" w14:textId="77777777" w:rsidR="00C37073" w:rsidRPr="00E817D1" w:rsidRDefault="00C37073" w:rsidP="000F51A9">
            <w:r w:rsidRPr="00E817D1">
              <w:t>No</w:t>
            </w:r>
            <w:r w:rsidR="004C0F63">
              <w:t>, except for special approved circumstances of self-drive</w:t>
            </w:r>
          </w:p>
        </w:tc>
        <w:tc>
          <w:tcPr>
            <w:tcW w:w="6095" w:type="dxa"/>
          </w:tcPr>
          <w:p w14:paraId="729C707F" w14:textId="77777777" w:rsidR="00C37073" w:rsidRPr="00E817D1" w:rsidRDefault="00C37073" w:rsidP="000F51A9">
            <w:r w:rsidRPr="00E817D1">
              <w:t>Yes</w:t>
            </w:r>
          </w:p>
        </w:tc>
      </w:tr>
      <w:tr w:rsidR="00C37073" w:rsidRPr="00E817D1" w14:paraId="3910C1A7" w14:textId="77777777" w:rsidTr="000F51A9">
        <w:tc>
          <w:tcPr>
            <w:tcW w:w="2977" w:type="dxa"/>
            <w:shd w:val="clear" w:color="auto" w:fill="D9D9D9" w:themeFill="background1" w:themeFillShade="D9"/>
          </w:tcPr>
          <w:p w14:paraId="4248752A" w14:textId="77777777" w:rsidR="00C37073" w:rsidRPr="00DC0975" w:rsidRDefault="00C37073" w:rsidP="000F51A9">
            <w:pPr>
              <w:rPr>
                <w:rFonts w:cstheme="minorHAnsi"/>
                <w:b/>
              </w:rPr>
            </w:pPr>
            <w:r w:rsidRPr="00DC0975">
              <w:rPr>
                <w:rFonts w:cstheme="minorHAnsi"/>
                <w:b/>
              </w:rPr>
              <w:t>Individuals</w:t>
            </w:r>
          </w:p>
        </w:tc>
        <w:tc>
          <w:tcPr>
            <w:tcW w:w="5529" w:type="dxa"/>
          </w:tcPr>
          <w:p w14:paraId="70C399A8" w14:textId="77777777" w:rsidR="00C37073" w:rsidRPr="00E817D1" w:rsidRDefault="00C37073" w:rsidP="000F51A9">
            <w:r w:rsidRPr="00E817D1">
              <w:t>No</w:t>
            </w:r>
          </w:p>
        </w:tc>
        <w:tc>
          <w:tcPr>
            <w:tcW w:w="6095" w:type="dxa"/>
          </w:tcPr>
          <w:p w14:paraId="1AEAB439" w14:textId="77777777" w:rsidR="00C37073" w:rsidRPr="00E817D1" w:rsidRDefault="00C37073" w:rsidP="000F51A9">
            <w:r w:rsidRPr="00E817D1">
              <w:t>Yes</w:t>
            </w:r>
          </w:p>
        </w:tc>
      </w:tr>
      <w:tr w:rsidR="00C37073" w:rsidRPr="00E817D1" w14:paraId="0D6AF70D" w14:textId="77777777" w:rsidTr="000F51A9">
        <w:tc>
          <w:tcPr>
            <w:tcW w:w="2977" w:type="dxa"/>
            <w:shd w:val="clear" w:color="auto" w:fill="D9D9D9" w:themeFill="background1" w:themeFillShade="D9"/>
          </w:tcPr>
          <w:p w14:paraId="52E2006E" w14:textId="77777777" w:rsidR="00C37073" w:rsidRPr="00DC0975" w:rsidRDefault="00C37073" w:rsidP="003355E9">
            <w:pPr>
              <w:rPr>
                <w:rFonts w:cstheme="minorHAnsi"/>
                <w:b/>
              </w:rPr>
            </w:pPr>
            <w:r w:rsidRPr="00DC0975">
              <w:rPr>
                <w:rFonts w:cstheme="minorHAnsi"/>
                <w:b/>
              </w:rPr>
              <w:t>Pre-</w:t>
            </w:r>
            <w:r w:rsidR="004C0F63" w:rsidRPr="00DC0975">
              <w:rPr>
                <w:rFonts w:cstheme="minorHAnsi"/>
                <w:b/>
              </w:rPr>
              <w:t xml:space="preserve">enrolment testing </w:t>
            </w:r>
            <w:r w:rsidR="003355E9" w:rsidRPr="00DC0975">
              <w:rPr>
                <w:rFonts w:cstheme="minorHAnsi"/>
                <w:b/>
              </w:rPr>
              <w:t>and</w:t>
            </w:r>
            <w:r w:rsidR="004C0F63" w:rsidRPr="00DC0975">
              <w:rPr>
                <w:rFonts w:cstheme="minorHAnsi"/>
                <w:b/>
              </w:rPr>
              <w:t xml:space="preserve"> assessment</w:t>
            </w:r>
          </w:p>
        </w:tc>
        <w:tc>
          <w:tcPr>
            <w:tcW w:w="5529" w:type="dxa"/>
          </w:tcPr>
          <w:p w14:paraId="433750DB" w14:textId="77777777" w:rsidR="00C37073" w:rsidRPr="00E817D1" w:rsidRDefault="00C37073" w:rsidP="000F51A9">
            <w:r w:rsidRPr="00E817D1">
              <w:t>No</w:t>
            </w:r>
          </w:p>
        </w:tc>
        <w:tc>
          <w:tcPr>
            <w:tcW w:w="6095" w:type="dxa"/>
          </w:tcPr>
          <w:p w14:paraId="3C25B3AE" w14:textId="77777777" w:rsidR="00C37073" w:rsidRPr="00E817D1" w:rsidRDefault="00C37073" w:rsidP="000F51A9">
            <w:r w:rsidRPr="00E817D1">
              <w:t>Yes</w:t>
            </w:r>
          </w:p>
        </w:tc>
      </w:tr>
      <w:tr w:rsidR="004C0F63" w:rsidRPr="00E817D1" w14:paraId="66186F12" w14:textId="77777777" w:rsidTr="000F51A9">
        <w:tc>
          <w:tcPr>
            <w:tcW w:w="2977" w:type="dxa"/>
            <w:shd w:val="clear" w:color="auto" w:fill="D9D9D9" w:themeFill="background1" w:themeFillShade="D9"/>
          </w:tcPr>
          <w:p w14:paraId="5B946338" w14:textId="77777777" w:rsidR="004C0F63" w:rsidRPr="00DC0975" w:rsidRDefault="004C0F63" w:rsidP="004C0F63">
            <w:pPr>
              <w:rPr>
                <w:rFonts w:cstheme="minorHAnsi"/>
                <w:b/>
              </w:rPr>
            </w:pPr>
            <w:r w:rsidRPr="00DC0975">
              <w:rPr>
                <w:rFonts w:cstheme="minorHAnsi"/>
                <w:b/>
              </w:rPr>
              <w:t>Study related assessment for eligible enrolled students</w:t>
            </w:r>
          </w:p>
        </w:tc>
        <w:tc>
          <w:tcPr>
            <w:tcW w:w="5529" w:type="dxa"/>
          </w:tcPr>
          <w:p w14:paraId="66AF4FB5" w14:textId="77777777" w:rsidR="004C0F63" w:rsidRPr="00E817D1" w:rsidRDefault="004C0F63" w:rsidP="004C0F63">
            <w:r>
              <w:t>Yes, during approved blocks of study</w:t>
            </w:r>
          </w:p>
        </w:tc>
        <w:tc>
          <w:tcPr>
            <w:tcW w:w="6095" w:type="dxa"/>
          </w:tcPr>
          <w:p w14:paraId="6E91AFF6" w14:textId="77777777" w:rsidR="004C0F63" w:rsidRPr="00E817D1" w:rsidRDefault="004C0F63" w:rsidP="004C0F63">
            <w:r>
              <w:t>Yes</w:t>
            </w:r>
          </w:p>
        </w:tc>
      </w:tr>
      <w:tr w:rsidR="004C0F63" w:rsidRPr="00E817D1" w14:paraId="598E70B7" w14:textId="77777777" w:rsidTr="000F51A9">
        <w:tc>
          <w:tcPr>
            <w:tcW w:w="2977" w:type="dxa"/>
            <w:shd w:val="clear" w:color="auto" w:fill="D9D9D9" w:themeFill="background1" w:themeFillShade="D9"/>
          </w:tcPr>
          <w:p w14:paraId="5269E55F" w14:textId="77777777" w:rsidR="004C0F63" w:rsidRPr="00DC0975" w:rsidRDefault="004C0F63" w:rsidP="004C0F63">
            <w:pPr>
              <w:rPr>
                <w:rFonts w:cstheme="minorHAnsi"/>
                <w:b/>
              </w:rPr>
            </w:pPr>
            <w:r w:rsidRPr="00DC0975">
              <w:rPr>
                <w:rFonts w:cstheme="minorHAnsi"/>
                <w:b/>
              </w:rPr>
              <w:t>Field trips</w:t>
            </w:r>
          </w:p>
        </w:tc>
        <w:tc>
          <w:tcPr>
            <w:tcW w:w="5529" w:type="dxa"/>
          </w:tcPr>
          <w:p w14:paraId="43915390" w14:textId="77777777" w:rsidR="004C0F63" w:rsidRPr="00E817D1" w:rsidRDefault="004C0F63" w:rsidP="004C0F63">
            <w:r w:rsidRPr="00E817D1">
              <w:t>Yes</w:t>
            </w:r>
          </w:p>
        </w:tc>
        <w:tc>
          <w:tcPr>
            <w:tcW w:w="6095" w:type="dxa"/>
          </w:tcPr>
          <w:p w14:paraId="393FA44A" w14:textId="77777777" w:rsidR="004C0F63" w:rsidRPr="00E817D1" w:rsidRDefault="004C0F63" w:rsidP="004C0F63">
            <w:r w:rsidRPr="00E817D1">
              <w:t>Yes</w:t>
            </w:r>
          </w:p>
        </w:tc>
      </w:tr>
      <w:tr w:rsidR="004C0F63" w:rsidRPr="00E817D1" w14:paraId="76F47948" w14:textId="77777777" w:rsidTr="000F51A9">
        <w:tc>
          <w:tcPr>
            <w:tcW w:w="2977" w:type="dxa"/>
            <w:shd w:val="clear" w:color="auto" w:fill="D9D9D9" w:themeFill="background1" w:themeFillShade="D9"/>
          </w:tcPr>
          <w:p w14:paraId="48870169" w14:textId="77777777" w:rsidR="004C0F63" w:rsidRPr="00DC0975" w:rsidRDefault="004C0F63" w:rsidP="004C0F63">
            <w:pPr>
              <w:rPr>
                <w:rFonts w:cstheme="minorHAnsi"/>
                <w:b/>
              </w:rPr>
            </w:pPr>
            <w:r w:rsidRPr="00DC0975">
              <w:rPr>
                <w:rFonts w:cstheme="minorHAnsi"/>
                <w:b/>
              </w:rPr>
              <w:t>Placements</w:t>
            </w:r>
          </w:p>
        </w:tc>
        <w:tc>
          <w:tcPr>
            <w:tcW w:w="5529" w:type="dxa"/>
          </w:tcPr>
          <w:p w14:paraId="7E4DE651" w14:textId="77777777" w:rsidR="004C0F63" w:rsidRPr="00E817D1" w:rsidRDefault="004C0F63" w:rsidP="004C0F63">
            <w:r w:rsidRPr="00E817D1">
              <w:t>Yes</w:t>
            </w:r>
          </w:p>
        </w:tc>
        <w:tc>
          <w:tcPr>
            <w:tcW w:w="6095" w:type="dxa"/>
          </w:tcPr>
          <w:p w14:paraId="0D89B514" w14:textId="77777777" w:rsidR="004C0F63" w:rsidRPr="00E817D1" w:rsidRDefault="004C0F63" w:rsidP="004C0F63">
            <w:r w:rsidRPr="00E817D1">
              <w:t>Yes</w:t>
            </w:r>
          </w:p>
        </w:tc>
      </w:tr>
      <w:tr w:rsidR="004C0F63" w:rsidRPr="00E817D1" w14:paraId="29B6801F" w14:textId="77777777" w:rsidTr="000F51A9">
        <w:tc>
          <w:tcPr>
            <w:tcW w:w="2977" w:type="dxa"/>
            <w:shd w:val="clear" w:color="auto" w:fill="D9D9D9" w:themeFill="background1" w:themeFillShade="D9"/>
          </w:tcPr>
          <w:p w14:paraId="1BDDC821" w14:textId="77777777" w:rsidR="004C0F63" w:rsidRPr="00DC0975" w:rsidRDefault="004C0F63" w:rsidP="004C0F63">
            <w:pPr>
              <w:rPr>
                <w:rFonts w:cstheme="minorHAnsi"/>
                <w:b/>
              </w:rPr>
            </w:pPr>
            <w:r w:rsidRPr="00DC0975">
              <w:rPr>
                <w:rFonts w:cstheme="minorHAnsi"/>
                <w:b/>
              </w:rPr>
              <w:t>Reverse Block</w:t>
            </w:r>
          </w:p>
        </w:tc>
        <w:tc>
          <w:tcPr>
            <w:tcW w:w="5529" w:type="dxa"/>
          </w:tcPr>
          <w:p w14:paraId="26534EF7" w14:textId="77777777" w:rsidR="004C0F63" w:rsidRPr="00E817D1" w:rsidRDefault="004C0F63" w:rsidP="004C0F63">
            <w:r w:rsidRPr="00E817D1">
              <w:t>Yes</w:t>
            </w:r>
          </w:p>
        </w:tc>
        <w:tc>
          <w:tcPr>
            <w:tcW w:w="6095" w:type="dxa"/>
          </w:tcPr>
          <w:p w14:paraId="65091D50" w14:textId="77777777" w:rsidR="004C0F63" w:rsidRPr="00E817D1" w:rsidRDefault="004C0F63" w:rsidP="004C0F63">
            <w:r w:rsidRPr="00E817D1">
              <w:t>Yes</w:t>
            </w:r>
          </w:p>
        </w:tc>
      </w:tr>
      <w:tr w:rsidR="004C0F63" w:rsidRPr="00E817D1" w14:paraId="49584BF5" w14:textId="77777777" w:rsidTr="000F51A9">
        <w:tc>
          <w:tcPr>
            <w:tcW w:w="2977" w:type="dxa"/>
            <w:shd w:val="clear" w:color="auto" w:fill="D9D9D9" w:themeFill="background1" w:themeFillShade="D9"/>
          </w:tcPr>
          <w:p w14:paraId="595DFAFA" w14:textId="77777777" w:rsidR="004C0F63" w:rsidRPr="00DC0975" w:rsidRDefault="004C0F63" w:rsidP="004C0F63">
            <w:pPr>
              <w:rPr>
                <w:rFonts w:cstheme="minorHAnsi"/>
                <w:b/>
              </w:rPr>
            </w:pPr>
            <w:r w:rsidRPr="00DC0975">
              <w:rPr>
                <w:rFonts w:cstheme="minorHAnsi"/>
                <w:b/>
              </w:rPr>
              <w:t>Minimum face to face requirements reduced if using IT</w:t>
            </w:r>
          </w:p>
        </w:tc>
        <w:tc>
          <w:tcPr>
            <w:tcW w:w="5529" w:type="dxa"/>
          </w:tcPr>
          <w:p w14:paraId="0572413C" w14:textId="77777777" w:rsidR="004C0F63" w:rsidRPr="00E817D1" w:rsidRDefault="004C0F63" w:rsidP="004C0F63">
            <w:r w:rsidRPr="00E817D1">
              <w:t>Yes</w:t>
            </w:r>
          </w:p>
        </w:tc>
        <w:tc>
          <w:tcPr>
            <w:tcW w:w="6095" w:type="dxa"/>
          </w:tcPr>
          <w:p w14:paraId="0B3D4A4E" w14:textId="77777777" w:rsidR="004C0F63" w:rsidRPr="00E817D1" w:rsidRDefault="004C0F63" w:rsidP="004C0F63">
            <w:r w:rsidRPr="00E817D1">
              <w:t>Yes</w:t>
            </w:r>
          </w:p>
        </w:tc>
      </w:tr>
      <w:tr w:rsidR="004C0F63" w:rsidRPr="00E817D1" w14:paraId="4700F9C5" w14:textId="77777777" w:rsidTr="000F51A9">
        <w:tc>
          <w:tcPr>
            <w:tcW w:w="2977" w:type="dxa"/>
            <w:shd w:val="clear" w:color="auto" w:fill="D9D9D9" w:themeFill="background1" w:themeFillShade="D9"/>
          </w:tcPr>
          <w:p w14:paraId="5B66C3A1" w14:textId="77777777" w:rsidR="004C0F63" w:rsidRPr="00DC0975" w:rsidRDefault="004C0F63" w:rsidP="004C0F63">
            <w:pPr>
              <w:rPr>
                <w:rFonts w:cstheme="minorHAnsi"/>
                <w:b/>
              </w:rPr>
            </w:pPr>
            <w:r w:rsidRPr="00DC0975">
              <w:rPr>
                <w:rFonts w:cstheme="minorHAnsi"/>
                <w:b/>
              </w:rPr>
              <w:t>Part-time</w:t>
            </w:r>
          </w:p>
        </w:tc>
        <w:tc>
          <w:tcPr>
            <w:tcW w:w="5529" w:type="dxa"/>
          </w:tcPr>
          <w:p w14:paraId="106BD839" w14:textId="77777777" w:rsidR="004C0F63" w:rsidRPr="00E817D1" w:rsidRDefault="004C0F63" w:rsidP="004C0F63">
            <w:r w:rsidRPr="00E817D1">
              <w:t>Yes</w:t>
            </w:r>
          </w:p>
        </w:tc>
        <w:tc>
          <w:tcPr>
            <w:tcW w:w="6095" w:type="dxa"/>
          </w:tcPr>
          <w:p w14:paraId="1452C94B" w14:textId="77777777" w:rsidR="004C0F63" w:rsidRPr="00E817D1" w:rsidRDefault="004C0F63" w:rsidP="004C0F63">
            <w:r w:rsidRPr="00E817D1">
              <w:t>Yes</w:t>
            </w:r>
          </w:p>
        </w:tc>
      </w:tr>
      <w:tr w:rsidR="004C0F63" w:rsidRPr="00E817D1" w14:paraId="4C87C7CF" w14:textId="77777777" w:rsidTr="000F51A9">
        <w:tc>
          <w:tcPr>
            <w:tcW w:w="2977" w:type="dxa"/>
            <w:shd w:val="clear" w:color="auto" w:fill="D9D9D9" w:themeFill="background1" w:themeFillShade="D9"/>
          </w:tcPr>
          <w:p w14:paraId="0B7AC4E6" w14:textId="77777777" w:rsidR="004C0F63" w:rsidRPr="00E817D1" w:rsidRDefault="004C0F63" w:rsidP="004C0F63">
            <w:pPr>
              <w:rPr>
                <w:b/>
              </w:rPr>
            </w:pPr>
            <w:r w:rsidRPr="00E817D1">
              <w:rPr>
                <w:b/>
              </w:rPr>
              <w:lastRenderedPageBreak/>
              <w:t>Responsibility for organising travel, meals and accommodation</w:t>
            </w:r>
          </w:p>
        </w:tc>
        <w:tc>
          <w:tcPr>
            <w:tcW w:w="5529" w:type="dxa"/>
          </w:tcPr>
          <w:p w14:paraId="7FE06638" w14:textId="77777777" w:rsidR="004C0F63" w:rsidRPr="00E817D1" w:rsidRDefault="004C0F63" w:rsidP="004C0F63">
            <w:r w:rsidRPr="00E817D1">
              <w:t>Providers</w:t>
            </w:r>
          </w:p>
        </w:tc>
        <w:tc>
          <w:tcPr>
            <w:tcW w:w="6095" w:type="dxa"/>
          </w:tcPr>
          <w:p w14:paraId="5EBE7B29" w14:textId="77777777" w:rsidR="004C0F63" w:rsidRPr="00E817D1" w:rsidRDefault="004C0F63" w:rsidP="004C0F63">
            <w:r w:rsidRPr="00E817D1">
              <w:t>Providers or QBT</w:t>
            </w:r>
          </w:p>
        </w:tc>
      </w:tr>
      <w:tr w:rsidR="004C0F63" w:rsidRPr="00E817D1" w14:paraId="6A248D97" w14:textId="77777777" w:rsidTr="000F51A9">
        <w:tc>
          <w:tcPr>
            <w:tcW w:w="2977" w:type="dxa"/>
            <w:shd w:val="clear" w:color="auto" w:fill="D9D9D9" w:themeFill="background1" w:themeFillShade="D9"/>
          </w:tcPr>
          <w:p w14:paraId="100929F7" w14:textId="77777777" w:rsidR="004C0F63" w:rsidRPr="00E817D1" w:rsidRDefault="004C0F63" w:rsidP="004C0F63">
            <w:pPr>
              <w:rPr>
                <w:b/>
              </w:rPr>
            </w:pPr>
            <w:r w:rsidRPr="00E817D1">
              <w:rPr>
                <w:b/>
              </w:rPr>
              <w:t>Reporting – financial acquittal</w:t>
            </w:r>
          </w:p>
        </w:tc>
        <w:tc>
          <w:tcPr>
            <w:tcW w:w="5529" w:type="dxa"/>
          </w:tcPr>
          <w:p w14:paraId="4A9BB36F" w14:textId="77777777" w:rsidR="004C0F63" w:rsidRPr="00E817D1" w:rsidRDefault="004C0F63" w:rsidP="004C0F63">
            <w:r w:rsidRPr="00E817D1">
              <w:t>Yes</w:t>
            </w:r>
          </w:p>
        </w:tc>
        <w:tc>
          <w:tcPr>
            <w:tcW w:w="6095" w:type="dxa"/>
          </w:tcPr>
          <w:p w14:paraId="523F86D5" w14:textId="77777777" w:rsidR="004C0F63" w:rsidRPr="00E817D1" w:rsidRDefault="004C0F63" w:rsidP="004C0F63">
            <w:r w:rsidRPr="00E817D1">
              <w:t>Yes</w:t>
            </w:r>
          </w:p>
        </w:tc>
      </w:tr>
      <w:tr w:rsidR="004C0F63" w:rsidRPr="00E817D1" w14:paraId="529A094D" w14:textId="77777777" w:rsidTr="000F51A9">
        <w:tc>
          <w:tcPr>
            <w:tcW w:w="2977" w:type="dxa"/>
            <w:shd w:val="clear" w:color="auto" w:fill="D9D9D9" w:themeFill="background1" w:themeFillShade="D9"/>
          </w:tcPr>
          <w:p w14:paraId="1758CF7F" w14:textId="77777777" w:rsidR="004C0F63" w:rsidRPr="00E817D1" w:rsidRDefault="004C0F63" w:rsidP="004C0F63">
            <w:pPr>
              <w:rPr>
                <w:b/>
              </w:rPr>
            </w:pPr>
            <w:r w:rsidRPr="00E817D1">
              <w:rPr>
                <w:b/>
              </w:rPr>
              <w:t>Reporting – student achievement and completions</w:t>
            </w:r>
          </w:p>
        </w:tc>
        <w:tc>
          <w:tcPr>
            <w:tcW w:w="5529" w:type="dxa"/>
          </w:tcPr>
          <w:p w14:paraId="451CF55B" w14:textId="77777777" w:rsidR="004C0F63" w:rsidRPr="00E817D1" w:rsidRDefault="004C0F63" w:rsidP="004C0F63">
            <w:r w:rsidRPr="00E817D1">
              <w:t>Yes</w:t>
            </w:r>
          </w:p>
        </w:tc>
        <w:tc>
          <w:tcPr>
            <w:tcW w:w="6095" w:type="dxa"/>
          </w:tcPr>
          <w:p w14:paraId="02FD8312" w14:textId="77777777" w:rsidR="004C0F63" w:rsidRPr="00E817D1" w:rsidRDefault="004C0F63" w:rsidP="004C0F63">
            <w:r w:rsidRPr="00E817D1">
              <w:t>No</w:t>
            </w:r>
          </w:p>
        </w:tc>
      </w:tr>
      <w:tr w:rsidR="004C0F63" w:rsidRPr="00E817D1" w14:paraId="34532E67" w14:textId="77777777" w:rsidTr="000F51A9">
        <w:tc>
          <w:tcPr>
            <w:tcW w:w="2977" w:type="dxa"/>
            <w:shd w:val="clear" w:color="auto" w:fill="D9D9D9" w:themeFill="background1" w:themeFillShade="D9"/>
          </w:tcPr>
          <w:p w14:paraId="7A63BEEA" w14:textId="77777777" w:rsidR="004C0F63" w:rsidRPr="00E817D1" w:rsidRDefault="004C0F63" w:rsidP="004C0F63">
            <w:pPr>
              <w:rPr>
                <w:b/>
              </w:rPr>
            </w:pPr>
            <w:r>
              <w:rPr>
                <w:b/>
              </w:rPr>
              <w:t>Post-graduate courses</w:t>
            </w:r>
          </w:p>
        </w:tc>
        <w:tc>
          <w:tcPr>
            <w:tcW w:w="5529" w:type="dxa"/>
          </w:tcPr>
          <w:p w14:paraId="5FA01616" w14:textId="77777777" w:rsidR="004C0F63" w:rsidRPr="00E817D1" w:rsidRDefault="004C0F63" w:rsidP="004C0F63">
            <w:r w:rsidRPr="00E817D1">
              <w:t>Yes, for Masters by coursework only.</w:t>
            </w:r>
          </w:p>
          <w:p w14:paraId="1B7C263B" w14:textId="77777777" w:rsidR="004C0F63" w:rsidRPr="00E817D1" w:rsidRDefault="004C0F63" w:rsidP="004C0F63">
            <w:r w:rsidRPr="00E817D1">
              <w:t>No for Masters by research and PhD students.</w:t>
            </w:r>
          </w:p>
        </w:tc>
        <w:tc>
          <w:tcPr>
            <w:tcW w:w="6095" w:type="dxa"/>
          </w:tcPr>
          <w:p w14:paraId="04D36FEB" w14:textId="77777777" w:rsidR="004C0F63" w:rsidRPr="00E817D1" w:rsidRDefault="004C0F63" w:rsidP="004C0F63">
            <w:r w:rsidRPr="00E817D1">
              <w:t>Yes, with a maximum $2,080 per year</w:t>
            </w:r>
          </w:p>
          <w:p w14:paraId="3E792C9D" w14:textId="77777777" w:rsidR="004C0F63" w:rsidRPr="00E817D1" w:rsidRDefault="004C0F63" w:rsidP="004C0F63"/>
          <w:p w14:paraId="49B15D40" w14:textId="77777777" w:rsidR="004C0F63" w:rsidRPr="00E817D1" w:rsidRDefault="004C0F63" w:rsidP="004C0F63">
            <w:r w:rsidRPr="00E817D1">
              <w:t>ABSTUDY provides AFB for all eligible masters by coursework, masters by research and doctorate students</w:t>
            </w:r>
            <w:r w:rsidR="000431EA">
              <w:t>.</w:t>
            </w:r>
          </w:p>
        </w:tc>
      </w:tr>
      <w:tr w:rsidR="004C0F63" w:rsidRPr="00E817D1" w14:paraId="41059EDC" w14:textId="77777777" w:rsidTr="000F51A9">
        <w:tc>
          <w:tcPr>
            <w:tcW w:w="2977" w:type="dxa"/>
            <w:shd w:val="clear" w:color="auto" w:fill="D9D9D9" w:themeFill="background1" w:themeFillShade="D9"/>
          </w:tcPr>
          <w:p w14:paraId="7627EA33" w14:textId="77777777" w:rsidR="004C0F63" w:rsidRPr="00E817D1" w:rsidRDefault="004C0F63" w:rsidP="004C0F63">
            <w:pPr>
              <w:rPr>
                <w:b/>
              </w:rPr>
            </w:pPr>
            <w:r>
              <w:rPr>
                <w:b/>
              </w:rPr>
              <w:t>Undergraduate courses</w:t>
            </w:r>
          </w:p>
        </w:tc>
        <w:tc>
          <w:tcPr>
            <w:tcW w:w="5529" w:type="dxa"/>
          </w:tcPr>
          <w:p w14:paraId="74509CFC" w14:textId="77777777" w:rsidR="004C0F63" w:rsidRPr="00E817D1" w:rsidRDefault="004C0F63" w:rsidP="004C0F63">
            <w:r>
              <w:t>Yes</w:t>
            </w:r>
          </w:p>
        </w:tc>
        <w:tc>
          <w:tcPr>
            <w:tcW w:w="6095" w:type="dxa"/>
          </w:tcPr>
          <w:p w14:paraId="53A3767E" w14:textId="77777777" w:rsidR="004C0F63" w:rsidRPr="00E817D1" w:rsidRDefault="004C0F63" w:rsidP="004C0F63">
            <w:r w:rsidRPr="00E817D1">
              <w:t>Yes</w:t>
            </w:r>
          </w:p>
        </w:tc>
      </w:tr>
      <w:tr w:rsidR="004C0F63" w:rsidRPr="00E817D1" w14:paraId="00CFC6B5" w14:textId="77777777" w:rsidTr="000F51A9">
        <w:tc>
          <w:tcPr>
            <w:tcW w:w="2977" w:type="dxa"/>
            <w:shd w:val="clear" w:color="auto" w:fill="D9D9D9" w:themeFill="background1" w:themeFillShade="D9"/>
          </w:tcPr>
          <w:p w14:paraId="0FAC24A8" w14:textId="77777777" w:rsidR="004C0F63" w:rsidRPr="00E817D1" w:rsidRDefault="004C0F63" w:rsidP="004C0F63">
            <w:pPr>
              <w:rPr>
                <w:b/>
              </w:rPr>
            </w:pPr>
            <w:r w:rsidRPr="00E817D1">
              <w:rPr>
                <w:b/>
              </w:rPr>
              <w:t>Statement of Attainment, Certificate I, II, III, IV and Diploma</w:t>
            </w:r>
            <w:r>
              <w:rPr>
                <w:b/>
              </w:rPr>
              <w:t xml:space="preserve"> and Advanced Diploma courses</w:t>
            </w:r>
          </w:p>
        </w:tc>
        <w:tc>
          <w:tcPr>
            <w:tcW w:w="5529" w:type="dxa"/>
          </w:tcPr>
          <w:p w14:paraId="5A07067D" w14:textId="77777777" w:rsidR="004C0F63" w:rsidRPr="00E817D1" w:rsidRDefault="004C0F63" w:rsidP="004C0F63">
            <w:r w:rsidRPr="00E817D1">
              <w:t>Yes</w:t>
            </w:r>
          </w:p>
        </w:tc>
        <w:tc>
          <w:tcPr>
            <w:tcW w:w="6095" w:type="dxa"/>
          </w:tcPr>
          <w:p w14:paraId="5A90D1DC" w14:textId="77777777" w:rsidR="004C0F63" w:rsidRPr="00E817D1" w:rsidRDefault="004C0F63" w:rsidP="004C0F63">
            <w:r w:rsidRPr="00E817D1">
              <w:t>Ye</w:t>
            </w:r>
            <w:r>
              <w:t>s</w:t>
            </w:r>
          </w:p>
        </w:tc>
      </w:tr>
      <w:tr w:rsidR="004C0F63" w:rsidRPr="00E817D1" w14:paraId="21E07A3A" w14:textId="77777777" w:rsidTr="000F51A9">
        <w:tc>
          <w:tcPr>
            <w:tcW w:w="2977" w:type="dxa"/>
            <w:shd w:val="clear" w:color="auto" w:fill="D9D9D9" w:themeFill="background1" w:themeFillShade="D9"/>
          </w:tcPr>
          <w:p w14:paraId="3E06C2CE" w14:textId="77777777" w:rsidR="004C0F63" w:rsidRPr="00E817D1" w:rsidRDefault="004C0F63" w:rsidP="004C0F63">
            <w:pPr>
              <w:rPr>
                <w:b/>
              </w:rPr>
            </w:pPr>
            <w:r>
              <w:rPr>
                <w:b/>
              </w:rPr>
              <w:t>Preparatory courses</w:t>
            </w:r>
          </w:p>
        </w:tc>
        <w:tc>
          <w:tcPr>
            <w:tcW w:w="5529" w:type="dxa"/>
          </w:tcPr>
          <w:p w14:paraId="246C2365" w14:textId="77777777" w:rsidR="004C0F63" w:rsidRPr="00E817D1" w:rsidRDefault="004C0F63" w:rsidP="004C0F63">
            <w:r>
              <w:t>Yes for those delivered by eligible AFB providers</w:t>
            </w:r>
          </w:p>
        </w:tc>
        <w:tc>
          <w:tcPr>
            <w:tcW w:w="6095" w:type="dxa"/>
          </w:tcPr>
          <w:p w14:paraId="63968E5D" w14:textId="77777777" w:rsidR="004C0F63" w:rsidRPr="00E817D1" w:rsidRDefault="004C0F63" w:rsidP="00323711">
            <w:r>
              <w:t>Yes - Br</w:t>
            </w:r>
            <w:r w:rsidRPr="00E817D1">
              <w:t xml:space="preserve">idging/preparatory courses for entry into VET tertiary or higher education courses undertaking residential schools </w:t>
            </w:r>
          </w:p>
        </w:tc>
      </w:tr>
      <w:tr w:rsidR="004C0F63" w:rsidRPr="00E817D1" w14:paraId="04DFA3CA" w14:textId="77777777" w:rsidTr="000F51A9">
        <w:tc>
          <w:tcPr>
            <w:tcW w:w="2977" w:type="dxa"/>
            <w:shd w:val="clear" w:color="auto" w:fill="D9D9D9" w:themeFill="background1" w:themeFillShade="D9"/>
          </w:tcPr>
          <w:p w14:paraId="3BBDC0E3" w14:textId="77777777" w:rsidR="004C0F63" w:rsidRPr="00E817D1" w:rsidRDefault="004C0F63" w:rsidP="004C0F63">
            <w:pPr>
              <w:rPr>
                <w:b/>
              </w:rPr>
            </w:pPr>
            <w:r w:rsidRPr="00E817D1">
              <w:rPr>
                <w:b/>
              </w:rPr>
              <w:t>ABSTUDY eligibility required to receive AFB assistance</w:t>
            </w:r>
          </w:p>
        </w:tc>
        <w:tc>
          <w:tcPr>
            <w:tcW w:w="5529" w:type="dxa"/>
          </w:tcPr>
          <w:p w14:paraId="799D98AE" w14:textId="77777777" w:rsidR="004C0F63" w:rsidRPr="00E817D1" w:rsidRDefault="004C0F63" w:rsidP="004C0F63">
            <w:r w:rsidRPr="00E817D1">
              <w:t>Yes</w:t>
            </w:r>
          </w:p>
        </w:tc>
        <w:tc>
          <w:tcPr>
            <w:tcW w:w="6095" w:type="dxa"/>
          </w:tcPr>
          <w:p w14:paraId="2DF751B5" w14:textId="77777777" w:rsidR="004C0F63" w:rsidRDefault="004C0F63" w:rsidP="004C0F63">
            <w:r w:rsidRPr="00E817D1">
              <w:t>Yes</w:t>
            </w:r>
          </w:p>
          <w:p w14:paraId="04066865" w14:textId="77777777" w:rsidR="004C0F63" w:rsidRPr="00E817D1" w:rsidRDefault="004C0F63" w:rsidP="004C0F63"/>
        </w:tc>
      </w:tr>
      <w:tr w:rsidR="004C0F63" w:rsidRPr="00E817D1" w14:paraId="3AB890F2" w14:textId="77777777" w:rsidTr="000F51A9">
        <w:tc>
          <w:tcPr>
            <w:tcW w:w="2977" w:type="dxa"/>
            <w:shd w:val="clear" w:color="auto" w:fill="D9D9D9" w:themeFill="background1" w:themeFillShade="D9"/>
          </w:tcPr>
          <w:p w14:paraId="129B3F99" w14:textId="77777777" w:rsidR="004C0F63" w:rsidRPr="00E817D1" w:rsidRDefault="004C0F63" w:rsidP="004C0F63">
            <w:pPr>
              <w:rPr>
                <w:b/>
              </w:rPr>
            </w:pPr>
            <w:r>
              <w:rPr>
                <w:b/>
              </w:rPr>
              <w:t>Secondary courses</w:t>
            </w:r>
          </w:p>
        </w:tc>
        <w:tc>
          <w:tcPr>
            <w:tcW w:w="5529" w:type="dxa"/>
          </w:tcPr>
          <w:p w14:paraId="68E3816F" w14:textId="77777777" w:rsidR="004C0F63" w:rsidRPr="00E817D1" w:rsidRDefault="004C0F63" w:rsidP="004C0F63">
            <w:r w:rsidRPr="00E817D1">
              <w:t>No</w:t>
            </w:r>
          </w:p>
        </w:tc>
        <w:tc>
          <w:tcPr>
            <w:tcW w:w="6095" w:type="dxa"/>
          </w:tcPr>
          <w:p w14:paraId="7AE969A5" w14:textId="77777777" w:rsidR="004C0F63" w:rsidRPr="00E817D1" w:rsidRDefault="004C0F63" w:rsidP="004C0F63">
            <w:r>
              <w:t>Yes</w:t>
            </w:r>
          </w:p>
          <w:p w14:paraId="6786D57A" w14:textId="77777777" w:rsidR="004C0F63" w:rsidRPr="00E817D1" w:rsidRDefault="004C0F63" w:rsidP="000431EA">
            <w:r w:rsidRPr="00E817D1">
              <w:t>Distance education school students undertaking residential schools</w:t>
            </w:r>
            <w:r w:rsidR="000431EA">
              <w:t>.</w:t>
            </w:r>
          </w:p>
        </w:tc>
      </w:tr>
      <w:tr w:rsidR="004C0F63" w:rsidRPr="00E817D1" w14:paraId="1DC60403" w14:textId="77777777" w:rsidTr="000F51A9">
        <w:tc>
          <w:tcPr>
            <w:tcW w:w="2977" w:type="dxa"/>
            <w:shd w:val="clear" w:color="auto" w:fill="D9D9D9" w:themeFill="background1" w:themeFillShade="D9"/>
          </w:tcPr>
          <w:p w14:paraId="559D75C5" w14:textId="77777777" w:rsidR="004C0F63" w:rsidRPr="00E817D1" w:rsidRDefault="004C0F63" w:rsidP="004C0F63">
            <w:pPr>
              <w:rPr>
                <w:b/>
              </w:rPr>
            </w:pPr>
            <w:r w:rsidRPr="00E817D1">
              <w:rPr>
                <w:b/>
              </w:rPr>
              <w:t>Program Guidelines</w:t>
            </w:r>
          </w:p>
        </w:tc>
        <w:tc>
          <w:tcPr>
            <w:tcW w:w="5529" w:type="dxa"/>
          </w:tcPr>
          <w:p w14:paraId="14BBE8F3" w14:textId="77777777" w:rsidR="004C0F63" w:rsidRPr="00E817D1" w:rsidRDefault="004C0F63" w:rsidP="004C0F63">
            <w:r w:rsidRPr="00E817D1">
              <w:t>IAS Guidelines</w:t>
            </w:r>
          </w:p>
          <w:p w14:paraId="07E478B7" w14:textId="77777777" w:rsidR="004C0F63" w:rsidRPr="00E817D1" w:rsidRDefault="006C2885" w:rsidP="004C0F63">
            <w:hyperlink r:id="rId17" w:history="1">
              <w:r w:rsidR="004C0F63" w:rsidRPr="00E817D1">
                <w:rPr>
                  <w:rStyle w:val="Hyperlink"/>
                </w:rPr>
                <w:t>https://www.PM&amp;C.gov.au/resource-centre/indigenous-affairs/indigenous-advancement-strategy-grant-guidelines-march-2016</w:t>
              </w:r>
            </w:hyperlink>
          </w:p>
          <w:p w14:paraId="62F7AE10" w14:textId="77777777" w:rsidR="004C0F63" w:rsidRPr="00E817D1" w:rsidRDefault="004C0F63" w:rsidP="004C0F63"/>
        </w:tc>
        <w:tc>
          <w:tcPr>
            <w:tcW w:w="6095" w:type="dxa"/>
          </w:tcPr>
          <w:p w14:paraId="52DD94BF" w14:textId="77777777" w:rsidR="004C0F63" w:rsidRPr="00E817D1" w:rsidRDefault="004C0F63" w:rsidP="004C0F63">
            <w:r w:rsidRPr="00E817D1">
              <w:t>ABSTUDY Policy Manual</w:t>
            </w:r>
          </w:p>
          <w:p w14:paraId="19A043AC" w14:textId="77777777" w:rsidR="004C0F63" w:rsidRPr="00E817D1" w:rsidRDefault="006C2885" w:rsidP="004C0F63">
            <w:hyperlink r:id="rId18" w:history="1">
              <w:r w:rsidR="004C0F63" w:rsidRPr="00E817D1">
                <w:rPr>
                  <w:rStyle w:val="Hyperlink"/>
                </w:rPr>
                <w:t>http://guides.dss.gov.au/abstudy-policy-manual</w:t>
              </w:r>
            </w:hyperlink>
          </w:p>
          <w:p w14:paraId="3450E09F" w14:textId="77777777" w:rsidR="004C0F63" w:rsidRPr="00E817D1" w:rsidRDefault="004C0F63" w:rsidP="004C0F63"/>
        </w:tc>
      </w:tr>
    </w:tbl>
    <w:p w14:paraId="5094AF2C" w14:textId="77777777" w:rsidR="00C37073" w:rsidRDefault="00C37073" w:rsidP="00C37073"/>
    <w:p w14:paraId="7310FAC8" w14:textId="77777777" w:rsidR="006D68A5" w:rsidRPr="00045D31" w:rsidRDefault="006D68A5">
      <w:r>
        <w:br w:type="page"/>
      </w:r>
    </w:p>
    <w:p w14:paraId="6D71B5A7" w14:textId="77777777" w:rsidR="006D68A5" w:rsidRDefault="006D68A5" w:rsidP="00C37073"/>
    <w:p w14:paraId="3E52B032" w14:textId="77777777" w:rsidR="006D68A5" w:rsidRPr="00E817D1" w:rsidRDefault="006D68A5" w:rsidP="00C37073"/>
    <w:p w14:paraId="053E30A1" w14:textId="27926A95" w:rsidR="00C37073" w:rsidRPr="00301F62" w:rsidRDefault="006D68A5" w:rsidP="00AD0935">
      <w:pPr>
        <w:pStyle w:val="h2"/>
        <w:numPr>
          <w:ilvl w:val="0"/>
          <w:numId w:val="0"/>
        </w:numPr>
      </w:pPr>
      <w:r w:rsidRPr="00301F62">
        <w:t xml:space="preserve">TABLE A - </w:t>
      </w:r>
      <w:r w:rsidR="00D03F14" w:rsidRPr="00301F62">
        <w:t xml:space="preserve">Limits for the </w:t>
      </w:r>
      <w:r w:rsidRPr="00301F62">
        <w:t>ABSTUDY AFB program</w:t>
      </w:r>
    </w:p>
    <w:tbl>
      <w:tblPr>
        <w:tblStyle w:val="TableGrid"/>
        <w:tblW w:w="14601" w:type="dxa"/>
        <w:tblInd w:w="-714" w:type="dxa"/>
        <w:tblLook w:val="04A0" w:firstRow="1" w:lastRow="0" w:firstColumn="1" w:lastColumn="0" w:noHBand="0" w:noVBand="1"/>
      </w:tblPr>
      <w:tblGrid>
        <w:gridCol w:w="2581"/>
        <w:gridCol w:w="2299"/>
        <w:gridCol w:w="2299"/>
        <w:gridCol w:w="7422"/>
      </w:tblGrid>
      <w:tr w:rsidR="00BB3BC4" w:rsidRPr="00E817D1" w14:paraId="69F1CF32" w14:textId="77777777" w:rsidTr="00AD0935">
        <w:trPr>
          <w:tblHeader/>
        </w:trPr>
        <w:tc>
          <w:tcPr>
            <w:tcW w:w="2581" w:type="dxa"/>
            <w:shd w:val="clear" w:color="auto" w:fill="D9D9D9" w:themeFill="background1" w:themeFillShade="D9"/>
          </w:tcPr>
          <w:p w14:paraId="3DDC4863" w14:textId="77777777" w:rsidR="006D68A5" w:rsidRPr="00A93E89" w:rsidRDefault="006D68A5" w:rsidP="00A93E89">
            <w:pPr>
              <w:rPr>
                <w:b/>
              </w:rPr>
            </w:pPr>
            <w:r w:rsidRPr="006D68A5">
              <w:rPr>
                <w:b/>
              </w:rPr>
              <w:t>Student-type</w:t>
            </w:r>
          </w:p>
        </w:tc>
        <w:tc>
          <w:tcPr>
            <w:tcW w:w="2299" w:type="dxa"/>
            <w:shd w:val="clear" w:color="auto" w:fill="D9D9D9" w:themeFill="background1" w:themeFillShade="D9"/>
          </w:tcPr>
          <w:p w14:paraId="46D1C4C6" w14:textId="77777777" w:rsidR="006D68A5" w:rsidRPr="006D68A5" w:rsidRDefault="006D68A5" w:rsidP="00164EAA">
            <w:pPr>
              <w:rPr>
                <w:b/>
              </w:rPr>
            </w:pPr>
            <w:r w:rsidRPr="006D68A5">
              <w:rPr>
                <w:b/>
              </w:rPr>
              <w:t>Study duration</w:t>
            </w:r>
          </w:p>
        </w:tc>
        <w:tc>
          <w:tcPr>
            <w:tcW w:w="2299" w:type="dxa"/>
            <w:shd w:val="clear" w:color="auto" w:fill="D9D9D9" w:themeFill="background1" w:themeFillShade="D9"/>
          </w:tcPr>
          <w:p w14:paraId="7876AC5A" w14:textId="77777777" w:rsidR="006D68A5" w:rsidRPr="006D68A5" w:rsidRDefault="006D68A5" w:rsidP="00164EAA">
            <w:pPr>
              <w:rPr>
                <w:b/>
              </w:rPr>
            </w:pPr>
            <w:r w:rsidRPr="006D68A5">
              <w:rPr>
                <w:b/>
              </w:rPr>
              <w:t>Travel</w:t>
            </w:r>
          </w:p>
        </w:tc>
        <w:tc>
          <w:tcPr>
            <w:tcW w:w="7422" w:type="dxa"/>
            <w:shd w:val="clear" w:color="auto" w:fill="D9D9D9" w:themeFill="background1" w:themeFillShade="D9"/>
          </w:tcPr>
          <w:p w14:paraId="7BBF0362" w14:textId="77777777" w:rsidR="006D68A5" w:rsidRPr="006D68A5" w:rsidRDefault="006D68A5" w:rsidP="00164EAA">
            <w:pPr>
              <w:rPr>
                <w:b/>
              </w:rPr>
            </w:pPr>
            <w:r w:rsidRPr="006D68A5">
              <w:rPr>
                <w:b/>
              </w:rPr>
              <w:t>Accommodation</w:t>
            </w:r>
          </w:p>
        </w:tc>
      </w:tr>
      <w:tr w:rsidR="00C37073" w:rsidRPr="00E817D1" w14:paraId="7E1F3A62" w14:textId="77777777" w:rsidTr="000F51A9">
        <w:tc>
          <w:tcPr>
            <w:tcW w:w="2581" w:type="dxa"/>
          </w:tcPr>
          <w:p w14:paraId="7CA69018" w14:textId="77777777" w:rsidR="00C37073" w:rsidRPr="00E817D1" w:rsidRDefault="00C37073" w:rsidP="000F51A9">
            <w:r w:rsidRPr="00E817D1">
              <w:t>Full and part-time tertiary and secondary students</w:t>
            </w:r>
          </w:p>
        </w:tc>
        <w:tc>
          <w:tcPr>
            <w:tcW w:w="2299" w:type="dxa"/>
          </w:tcPr>
          <w:p w14:paraId="1CF2EE3E" w14:textId="77777777" w:rsidR="00C37073" w:rsidRPr="00E817D1" w:rsidRDefault="00C37073" w:rsidP="000F51A9">
            <w:r w:rsidRPr="00E817D1">
              <w:t>Two semesters</w:t>
            </w:r>
          </w:p>
        </w:tc>
        <w:tc>
          <w:tcPr>
            <w:tcW w:w="2299" w:type="dxa"/>
          </w:tcPr>
          <w:p w14:paraId="2EAA8E60" w14:textId="77777777" w:rsidR="00C37073" w:rsidRPr="00E817D1" w:rsidRDefault="00C37073" w:rsidP="000F51A9">
            <w:r w:rsidRPr="00E817D1">
              <w:t>Up to 6 return trips</w:t>
            </w:r>
          </w:p>
        </w:tc>
        <w:tc>
          <w:tcPr>
            <w:tcW w:w="7422" w:type="dxa"/>
          </w:tcPr>
          <w:p w14:paraId="6024C826" w14:textId="77777777" w:rsidR="00C37073" w:rsidRPr="00E817D1" w:rsidRDefault="00C37073" w:rsidP="000F51A9">
            <w:r w:rsidRPr="00E817D1">
              <w:t>Up to 40 days of residentials (and other AFB activities for tertiary students)</w:t>
            </w:r>
          </w:p>
        </w:tc>
      </w:tr>
      <w:tr w:rsidR="00C37073" w:rsidRPr="00E817D1" w14:paraId="7D4B3613" w14:textId="77777777" w:rsidTr="000F51A9">
        <w:tc>
          <w:tcPr>
            <w:tcW w:w="2581" w:type="dxa"/>
          </w:tcPr>
          <w:p w14:paraId="0F0FC6FA" w14:textId="77777777" w:rsidR="00C37073" w:rsidRPr="00E817D1" w:rsidRDefault="00C37073" w:rsidP="000F51A9">
            <w:r w:rsidRPr="00E817D1">
              <w:t>Full and part-time tertiary and secondary students</w:t>
            </w:r>
          </w:p>
        </w:tc>
        <w:tc>
          <w:tcPr>
            <w:tcW w:w="2299" w:type="dxa"/>
          </w:tcPr>
          <w:p w14:paraId="6B512495" w14:textId="77777777" w:rsidR="00C37073" w:rsidRPr="00E817D1" w:rsidRDefault="00C37073" w:rsidP="000F51A9">
            <w:r w:rsidRPr="00E817D1">
              <w:t>One semester</w:t>
            </w:r>
          </w:p>
        </w:tc>
        <w:tc>
          <w:tcPr>
            <w:tcW w:w="2299" w:type="dxa"/>
          </w:tcPr>
          <w:p w14:paraId="22F55813" w14:textId="77777777" w:rsidR="00C37073" w:rsidRPr="00E817D1" w:rsidRDefault="00C37073" w:rsidP="000F51A9">
            <w:r w:rsidRPr="00E817D1">
              <w:t>Up to 4 return trips</w:t>
            </w:r>
          </w:p>
        </w:tc>
        <w:tc>
          <w:tcPr>
            <w:tcW w:w="7422" w:type="dxa"/>
          </w:tcPr>
          <w:p w14:paraId="394092C4" w14:textId="7BA715D0" w:rsidR="00C37073" w:rsidRPr="00E817D1" w:rsidRDefault="00D03F14" w:rsidP="00D03F14">
            <w:r>
              <w:t>Up to 30 days of residentials</w:t>
            </w:r>
          </w:p>
        </w:tc>
      </w:tr>
      <w:tr w:rsidR="00C37073" w:rsidRPr="00E817D1" w14:paraId="13F03394" w14:textId="77777777" w:rsidTr="000F51A9">
        <w:tc>
          <w:tcPr>
            <w:tcW w:w="2581" w:type="dxa"/>
          </w:tcPr>
          <w:p w14:paraId="4966850B" w14:textId="77777777" w:rsidR="00C37073" w:rsidRPr="00E817D1" w:rsidRDefault="00C37073" w:rsidP="000F51A9">
            <w:r w:rsidRPr="00E817D1">
              <w:t>Full and part-time tertiary and secondary students</w:t>
            </w:r>
          </w:p>
        </w:tc>
        <w:tc>
          <w:tcPr>
            <w:tcW w:w="2299" w:type="dxa"/>
          </w:tcPr>
          <w:p w14:paraId="7D0AC07F" w14:textId="77777777" w:rsidR="00C37073" w:rsidRPr="00E817D1" w:rsidRDefault="00C37073" w:rsidP="000F51A9">
            <w:r w:rsidRPr="00E817D1">
              <w:t>12-16 weeks</w:t>
            </w:r>
          </w:p>
        </w:tc>
        <w:tc>
          <w:tcPr>
            <w:tcW w:w="2299" w:type="dxa"/>
          </w:tcPr>
          <w:p w14:paraId="2087CF9C" w14:textId="77777777" w:rsidR="00C37073" w:rsidRPr="00E817D1" w:rsidRDefault="00C37073" w:rsidP="000F51A9">
            <w:r w:rsidRPr="00E817D1">
              <w:t>Up to 3 return trips</w:t>
            </w:r>
          </w:p>
        </w:tc>
        <w:tc>
          <w:tcPr>
            <w:tcW w:w="7422" w:type="dxa"/>
          </w:tcPr>
          <w:p w14:paraId="153456BC" w14:textId="5756D6EB" w:rsidR="00C37073" w:rsidRPr="00E817D1" w:rsidRDefault="00C37073" w:rsidP="000F51A9">
            <w:r w:rsidRPr="00E817D1">
              <w:t xml:space="preserve">Up </w:t>
            </w:r>
            <w:r w:rsidR="00D03F14">
              <w:t>to 20 days of residentials</w:t>
            </w:r>
          </w:p>
        </w:tc>
      </w:tr>
      <w:tr w:rsidR="00C37073" w:rsidRPr="00E817D1" w14:paraId="79103731" w14:textId="77777777" w:rsidTr="000F51A9">
        <w:tc>
          <w:tcPr>
            <w:tcW w:w="2581" w:type="dxa"/>
          </w:tcPr>
          <w:p w14:paraId="00F780F9" w14:textId="77777777" w:rsidR="00C37073" w:rsidRPr="00E817D1" w:rsidRDefault="00C37073" w:rsidP="000F51A9">
            <w:r w:rsidRPr="00E817D1">
              <w:t>Full and part-time tertiary and secondary students</w:t>
            </w:r>
          </w:p>
        </w:tc>
        <w:tc>
          <w:tcPr>
            <w:tcW w:w="2299" w:type="dxa"/>
          </w:tcPr>
          <w:p w14:paraId="321B7985" w14:textId="77777777" w:rsidR="00C37073" w:rsidRPr="00E817D1" w:rsidRDefault="00C37073" w:rsidP="000F51A9">
            <w:r w:rsidRPr="00E817D1">
              <w:t>Less than 12 weeks</w:t>
            </w:r>
          </w:p>
        </w:tc>
        <w:tc>
          <w:tcPr>
            <w:tcW w:w="2299" w:type="dxa"/>
          </w:tcPr>
          <w:p w14:paraId="6311AB79" w14:textId="77777777" w:rsidR="00C37073" w:rsidRPr="00E817D1" w:rsidRDefault="00C37073" w:rsidP="000F51A9">
            <w:r w:rsidRPr="00E817D1">
              <w:t>Up to 2 return trips</w:t>
            </w:r>
          </w:p>
        </w:tc>
        <w:tc>
          <w:tcPr>
            <w:tcW w:w="7422" w:type="dxa"/>
          </w:tcPr>
          <w:p w14:paraId="37EC233A" w14:textId="6865DC1F" w:rsidR="00C37073" w:rsidRPr="00E817D1" w:rsidRDefault="00C37073" w:rsidP="000F51A9">
            <w:r w:rsidRPr="00E817D1">
              <w:t>Up to 10 days of residential (provided that this does not exceed 50</w:t>
            </w:r>
            <w:r w:rsidR="00430C9D">
              <w:t xml:space="preserve"> per cent</w:t>
            </w:r>
            <w:r w:rsidR="00D03F14">
              <w:t xml:space="preserve"> of the course length)</w:t>
            </w:r>
          </w:p>
        </w:tc>
      </w:tr>
      <w:tr w:rsidR="00C37073" w:rsidRPr="00E817D1" w14:paraId="57A1702F" w14:textId="77777777" w:rsidTr="000F51A9">
        <w:tc>
          <w:tcPr>
            <w:tcW w:w="2581" w:type="dxa"/>
          </w:tcPr>
          <w:p w14:paraId="7E224BCE" w14:textId="77777777" w:rsidR="00C37073" w:rsidRPr="00E817D1" w:rsidRDefault="00C37073" w:rsidP="000F51A9">
            <w:r w:rsidRPr="00E817D1">
              <w:t>Full and part-time Masters and Doctorate students</w:t>
            </w:r>
          </w:p>
        </w:tc>
        <w:tc>
          <w:tcPr>
            <w:tcW w:w="2299" w:type="dxa"/>
          </w:tcPr>
          <w:p w14:paraId="04C32B87" w14:textId="77777777" w:rsidR="00C37073" w:rsidRPr="00E817D1" w:rsidRDefault="00C37073" w:rsidP="000F51A9"/>
        </w:tc>
        <w:tc>
          <w:tcPr>
            <w:tcW w:w="2299" w:type="dxa"/>
          </w:tcPr>
          <w:p w14:paraId="4E69A01A" w14:textId="77777777" w:rsidR="00C37073" w:rsidRPr="00E817D1" w:rsidRDefault="00C37073" w:rsidP="000F51A9">
            <w:r w:rsidRPr="00E817D1">
              <w:t>Maximum of $2,080 in one year</w:t>
            </w:r>
          </w:p>
        </w:tc>
        <w:tc>
          <w:tcPr>
            <w:tcW w:w="7422" w:type="dxa"/>
          </w:tcPr>
          <w:p w14:paraId="452FD8EA" w14:textId="77777777" w:rsidR="00C37073" w:rsidRPr="00E817D1" w:rsidRDefault="00C37073" w:rsidP="000F51A9"/>
        </w:tc>
      </w:tr>
    </w:tbl>
    <w:p w14:paraId="0024B3B5" w14:textId="77777777" w:rsidR="00924042" w:rsidRPr="00924042" w:rsidRDefault="00924042" w:rsidP="000B4DAF">
      <w:pPr>
        <w:spacing w:after="120" w:line="240" w:lineRule="auto"/>
        <w:rPr>
          <w:rFonts w:cstheme="minorHAnsi"/>
        </w:rPr>
      </w:pPr>
    </w:p>
    <w:sectPr w:rsidR="00924042" w:rsidRPr="00924042" w:rsidSect="000B4DA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AE62" w14:textId="77777777" w:rsidR="00DB6766" w:rsidRDefault="00DB6766">
      <w:pPr>
        <w:spacing w:after="0" w:line="240" w:lineRule="auto"/>
      </w:pPr>
      <w:r>
        <w:separator/>
      </w:r>
    </w:p>
  </w:endnote>
  <w:endnote w:type="continuationSeparator" w:id="0">
    <w:p w14:paraId="1D181409" w14:textId="77777777" w:rsidR="00DB6766" w:rsidRDefault="00DB6766">
      <w:pPr>
        <w:spacing w:after="0" w:line="240" w:lineRule="auto"/>
      </w:pPr>
      <w:r>
        <w:continuationSeparator/>
      </w:r>
    </w:p>
  </w:endnote>
  <w:endnote w:type="continuationNotice" w:id="1">
    <w:p w14:paraId="13B9B2E4" w14:textId="77777777" w:rsidR="00DB6766" w:rsidRDefault="00DB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818615"/>
      <w:docPartObj>
        <w:docPartGallery w:val="Page Numbers (Bottom of Page)"/>
        <w:docPartUnique/>
      </w:docPartObj>
    </w:sdtPr>
    <w:sdtEndPr>
      <w:rPr>
        <w:noProof/>
      </w:rPr>
    </w:sdtEndPr>
    <w:sdtContent>
      <w:p w14:paraId="556E6E38" w14:textId="32C619EE" w:rsidR="00DB6766" w:rsidRDefault="00DB6766">
        <w:pPr>
          <w:pStyle w:val="Footer"/>
          <w:jc w:val="right"/>
        </w:pPr>
        <w:r>
          <w:fldChar w:fldCharType="begin"/>
        </w:r>
        <w:r>
          <w:instrText xml:space="preserve"> PAGE   \* MERGEFORMAT </w:instrText>
        </w:r>
        <w:r>
          <w:fldChar w:fldCharType="separate"/>
        </w:r>
        <w:r w:rsidR="006C2885">
          <w:rPr>
            <w:noProof/>
          </w:rPr>
          <w:t>2</w:t>
        </w:r>
        <w:r>
          <w:rPr>
            <w:noProof/>
          </w:rPr>
          <w:fldChar w:fldCharType="end"/>
        </w:r>
      </w:p>
    </w:sdtContent>
  </w:sdt>
  <w:p w14:paraId="088736CF" w14:textId="3C528DF3" w:rsidR="00DB6766" w:rsidRPr="00F50247" w:rsidRDefault="00F50247">
    <w:pPr>
      <w:pStyle w:val="Footer"/>
      <w:rPr>
        <w:i/>
      </w:rPr>
    </w:pPr>
    <w:r w:rsidRPr="00F50247">
      <w:rPr>
        <w:i/>
      </w:rPr>
      <w:t>Away from Base Futures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D9C28" w14:textId="77777777" w:rsidR="00DB6766" w:rsidRDefault="00DB6766">
      <w:pPr>
        <w:spacing w:after="0" w:line="240" w:lineRule="auto"/>
      </w:pPr>
      <w:r>
        <w:separator/>
      </w:r>
    </w:p>
  </w:footnote>
  <w:footnote w:type="continuationSeparator" w:id="0">
    <w:p w14:paraId="7198EB6B" w14:textId="77777777" w:rsidR="00DB6766" w:rsidRDefault="00DB6766">
      <w:pPr>
        <w:spacing w:after="0" w:line="240" w:lineRule="auto"/>
      </w:pPr>
      <w:r>
        <w:continuationSeparator/>
      </w:r>
    </w:p>
  </w:footnote>
  <w:footnote w:type="continuationNotice" w:id="1">
    <w:p w14:paraId="2FFA2D38" w14:textId="77777777" w:rsidR="00DB6766" w:rsidRDefault="00DB6766">
      <w:pPr>
        <w:spacing w:after="0" w:line="240" w:lineRule="auto"/>
      </w:pPr>
    </w:p>
  </w:footnote>
  <w:footnote w:id="2">
    <w:p w14:paraId="6A1243FB" w14:textId="77777777" w:rsidR="00DB6766" w:rsidRPr="00192F8A" w:rsidRDefault="00DB6766">
      <w:pPr>
        <w:pStyle w:val="FootnoteText"/>
        <w:rPr>
          <w:rFonts w:cstheme="minorHAnsi"/>
          <w:sz w:val="22"/>
          <w:szCs w:val="22"/>
        </w:rPr>
      </w:pPr>
      <w:r>
        <w:rPr>
          <w:rStyle w:val="FootnoteReference"/>
        </w:rPr>
        <w:footnoteRef/>
      </w:r>
      <w:r>
        <w:t xml:space="preserve"> </w:t>
      </w:r>
      <w:r w:rsidRPr="00192F8A">
        <w:rPr>
          <w:rFonts w:cstheme="minorHAnsi"/>
          <w:sz w:val="22"/>
          <w:szCs w:val="22"/>
        </w:rPr>
        <w:t>Unpublished data received from Department of Education and Training</w:t>
      </w:r>
    </w:p>
    <w:p w14:paraId="59C6EE3E" w14:textId="77777777" w:rsidR="00DB6766" w:rsidRPr="00CB090C" w:rsidRDefault="00DB6766">
      <w:pPr>
        <w:pStyle w:val="FootnoteText"/>
        <w:rPr>
          <w:lang w:val="en-US"/>
        </w:rPr>
      </w:pPr>
      <w:r w:rsidRPr="00192F8A">
        <w:rPr>
          <w:rFonts w:cstheme="minorHAnsi"/>
          <w:sz w:val="22"/>
          <w:szCs w:val="22"/>
        </w:rPr>
        <w:t>22 August 2018 – Reference 18-452</w:t>
      </w:r>
    </w:p>
  </w:footnote>
  <w:footnote w:id="3">
    <w:p w14:paraId="3FAE963E" w14:textId="77777777" w:rsidR="00DB6766" w:rsidRDefault="00DB6766" w:rsidP="004F2F63">
      <w:pPr>
        <w:spacing w:after="120"/>
      </w:pPr>
      <w:r>
        <w:rPr>
          <w:rStyle w:val="FootnoteReference"/>
        </w:rPr>
        <w:footnoteRef/>
      </w:r>
      <w:r>
        <w:t xml:space="preserve"> Thomas, J, Barraket, J, Wilson, C, Ewing, S, MacDonald, T, Tucker, J &amp; Rennie, E, 2017, </w:t>
      </w:r>
      <w:r>
        <w:rPr>
          <w:i/>
          <w:iCs/>
        </w:rPr>
        <w:t>Measuring Australia’s Digital Divide: The Australian Digital Inclusion Index 201</w:t>
      </w:r>
      <w:r>
        <w:t>7, RMIT University, Melbourne, for Telstra – Accessed 03.09.18</w:t>
      </w:r>
    </w:p>
    <w:p w14:paraId="27C69A92" w14:textId="77777777" w:rsidR="00DB6766" w:rsidRPr="00754381" w:rsidRDefault="006C2885" w:rsidP="004F2F63">
      <w:pPr>
        <w:spacing w:after="0"/>
      </w:pPr>
      <w:hyperlink r:id="rId1" w:history="1">
        <w:r w:rsidR="00DB6766" w:rsidRPr="00046A2E">
          <w:rPr>
            <w:rStyle w:val="Hyperlink"/>
          </w:rPr>
          <w:t>https://digitalinclusionindex.org.au/wp-content/uploads/2016/08/Australian-Digital-Inclusion-Index-2017.pdf</w:t>
        </w:r>
      </w:hyperlink>
    </w:p>
  </w:footnote>
  <w:footnote w:id="4">
    <w:p w14:paraId="0924A8E9" w14:textId="77777777" w:rsidR="00DB6766" w:rsidRDefault="00DB6766" w:rsidP="004F2F63">
      <w:pPr>
        <w:spacing w:after="0"/>
        <w:rPr>
          <w:rFonts w:cstheme="minorHAnsi"/>
        </w:rPr>
      </w:pPr>
      <w:r>
        <w:rPr>
          <w:rStyle w:val="FootnoteReference"/>
        </w:rPr>
        <w:footnoteRef/>
      </w:r>
      <w:r>
        <w:t xml:space="preserve"> </w:t>
      </w:r>
      <w:r>
        <w:rPr>
          <w:rFonts w:cstheme="minorHAnsi"/>
        </w:rPr>
        <w:t>2017 P Radoll and B Hunter Dynamics of the Digital Divide</w:t>
      </w:r>
      <w:r w:rsidRPr="00B5410A">
        <w:t xml:space="preserve"> </w:t>
      </w:r>
      <w:r>
        <w:t xml:space="preserve">- </w:t>
      </w:r>
      <w:r w:rsidRPr="00B876C0">
        <w:t>Accessed 20.08.18</w:t>
      </w:r>
    </w:p>
    <w:p w14:paraId="238D7A55" w14:textId="718208C1" w:rsidR="00DB6766" w:rsidRPr="00B876C0" w:rsidRDefault="006C2885" w:rsidP="004F2F63">
      <w:pPr>
        <w:spacing w:after="0"/>
        <w:rPr>
          <w:lang w:val="en-US"/>
        </w:rPr>
      </w:pPr>
      <w:hyperlink r:id="rId2" w:history="1">
        <w:r w:rsidR="00DB6766" w:rsidRPr="00487AAE">
          <w:rPr>
            <w:rStyle w:val="Hyperlink"/>
            <w:rFonts w:cstheme="minorHAnsi"/>
          </w:rPr>
          <w:t>http://caepr.cass.anu.edu.au/sites/default/files/docs/Working_Paper_120_2017_1.pdf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DE5"/>
    <w:multiLevelType w:val="hybridMultilevel"/>
    <w:tmpl w:val="8AC88F56"/>
    <w:lvl w:ilvl="0" w:tplc="0C090001">
      <w:start w:val="1"/>
      <w:numFmt w:val="bullet"/>
      <w:lvlText w:val=""/>
      <w:lvlJc w:val="left"/>
      <w:pPr>
        <w:tabs>
          <w:tab w:val="num" w:pos="360"/>
        </w:tabs>
        <w:ind w:left="360" w:hanging="360"/>
      </w:pPr>
      <w:rPr>
        <w:rFonts w:ascii="Symbol" w:hAnsi="Symbol" w:hint="default"/>
      </w:rPr>
    </w:lvl>
    <w:lvl w:ilvl="1" w:tplc="0E4E2836">
      <w:start w:val="206"/>
      <w:numFmt w:val="bullet"/>
      <w:lvlText w:val=""/>
      <w:lvlJc w:val="left"/>
      <w:pPr>
        <w:tabs>
          <w:tab w:val="num" w:pos="1080"/>
        </w:tabs>
        <w:ind w:left="1080" w:hanging="360"/>
      </w:pPr>
      <w:rPr>
        <w:rFonts w:ascii="Wingdings" w:hAnsi="Wingdings" w:hint="default"/>
      </w:rPr>
    </w:lvl>
    <w:lvl w:ilvl="2" w:tplc="182A5576" w:tentative="1">
      <w:start w:val="1"/>
      <w:numFmt w:val="bullet"/>
      <w:lvlText w:val="•"/>
      <w:lvlJc w:val="left"/>
      <w:pPr>
        <w:tabs>
          <w:tab w:val="num" w:pos="1800"/>
        </w:tabs>
        <w:ind w:left="1800" w:hanging="360"/>
      </w:pPr>
      <w:rPr>
        <w:rFonts w:ascii="Arial" w:hAnsi="Arial" w:hint="default"/>
      </w:rPr>
    </w:lvl>
    <w:lvl w:ilvl="3" w:tplc="13E0BE36" w:tentative="1">
      <w:start w:val="1"/>
      <w:numFmt w:val="bullet"/>
      <w:lvlText w:val="•"/>
      <w:lvlJc w:val="left"/>
      <w:pPr>
        <w:tabs>
          <w:tab w:val="num" w:pos="2520"/>
        </w:tabs>
        <w:ind w:left="2520" w:hanging="360"/>
      </w:pPr>
      <w:rPr>
        <w:rFonts w:ascii="Arial" w:hAnsi="Arial" w:hint="default"/>
      </w:rPr>
    </w:lvl>
    <w:lvl w:ilvl="4" w:tplc="A1165C84" w:tentative="1">
      <w:start w:val="1"/>
      <w:numFmt w:val="bullet"/>
      <w:lvlText w:val="•"/>
      <w:lvlJc w:val="left"/>
      <w:pPr>
        <w:tabs>
          <w:tab w:val="num" w:pos="3240"/>
        </w:tabs>
        <w:ind w:left="3240" w:hanging="360"/>
      </w:pPr>
      <w:rPr>
        <w:rFonts w:ascii="Arial" w:hAnsi="Arial" w:hint="default"/>
      </w:rPr>
    </w:lvl>
    <w:lvl w:ilvl="5" w:tplc="BECAF4E8" w:tentative="1">
      <w:start w:val="1"/>
      <w:numFmt w:val="bullet"/>
      <w:lvlText w:val="•"/>
      <w:lvlJc w:val="left"/>
      <w:pPr>
        <w:tabs>
          <w:tab w:val="num" w:pos="3960"/>
        </w:tabs>
        <w:ind w:left="3960" w:hanging="360"/>
      </w:pPr>
      <w:rPr>
        <w:rFonts w:ascii="Arial" w:hAnsi="Arial" w:hint="default"/>
      </w:rPr>
    </w:lvl>
    <w:lvl w:ilvl="6" w:tplc="24566678" w:tentative="1">
      <w:start w:val="1"/>
      <w:numFmt w:val="bullet"/>
      <w:lvlText w:val="•"/>
      <w:lvlJc w:val="left"/>
      <w:pPr>
        <w:tabs>
          <w:tab w:val="num" w:pos="4680"/>
        </w:tabs>
        <w:ind w:left="4680" w:hanging="360"/>
      </w:pPr>
      <w:rPr>
        <w:rFonts w:ascii="Arial" w:hAnsi="Arial" w:hint="default"/>
      </w:rPr>
    </w:lvl>
    <w:lvl w:ilvl="7" w:tplc="8F4CCD7C" w:tentative="1">
      <w:start w:val="1"/>
      <w:numFmt w:val="bullet"/>
      <w:lvlText w:val="•"/>
      <w:lvlJc w:val="left"/>
      <w:pPr>
        <w:tabs>
          <w:tab w:val="num" w:pos="5400"/>
        </w:tabs>
        <w:ind w:left="5400" w:hanging="360"/>
      </w:pPr>
      <w:rPr>
        <w:rFonts w:ascii="Arial" w:hAnsi="Arial" w:hint="default"/>
      </w:rPr>
    </w:lvl>
    <w:lvl w:ilvl="8" w:tplc="99A4955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AE18AF"/>
    <w:multiLevelType w:val="hybridMultilevel"/>
    <w:tmpl w:val="53C41B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3F1ED7"/>
    <w:multiLevelType w:val="hybridMultilevel"/>
    <w:tmpl w:val="B9E86B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BB2F28"/>
    <w:multiLevelType w:val="hybridMultilevel"/>
    <w:tmpl w:val="9B80EED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E01EE1"/>
    <w:multiLevelType w:val="hybridMultilevel"/>
    <w:tmpl w:val="8F7E3C0C"/>
    <w:lvl w:ilvl="0" w:tplc="BC14C3F4">
      <w:start w:val="402"/>
      <w:numFmt w:val="bullet"/>
      <w:pStyle w:val="Heading1"/>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6141C"/>
    <w:multiLevelType w:val="hybridMultilevel"/>
    <w:tmpl w:val="77487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872C17"/>
    <w:multiLevelType w:val="hybridMultilevel"/>
    <w:tmpl w:val="311A2F3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6F63A31"/>
    <w:multiLevelType w:val="hybridMultilevel"/>
    <w:tmpl w:val="763C5990"/>
    <w:lvl w:ilvl="0" w:tplc="1B7243F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240F67"/>
    <w:multiLevelType w:val="hybridMultilevel"/>
    <w:tmpl w:val="1FCE7AC8"/>
    <w:lvl w:ilvl="0" w:tplc="EF80822A">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683E28"/>
    <w:multiLevelType w:val="hybridMultilevel"/>
    <w:tmpl w:val="311A2F3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783570"/>
    <w:multiLevelType w:val="hybridMultilevel"/>
    <w:tmpl w:val="232A5E8E"/>
    <w:lvl w:ilvl="0" w:tplc="E8EC5B82">
      <w:start w:val="1"/>
      <w:numFmt w:val="decimal"/>
      <w:pStyle w:val="h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8451AD"/>
    <w:multiLevelType w:val="hybridMultilevel"/>
    <w:tmpl w:val="2B328DAE"/>
    <w:lvl w:ilvl="0" w:tplc="FDB477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27D12"/>
    <w:multiLevelType w:val="hybridMultilevel"/>
    <w:tmpl w:val="EC7AC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996AAE"/>
    <w:multiLevelType w:val="hybridMultilevel"/>
    <w:tmpl w:val="5AAE4EA6"/>
    <w:lvl w:ilvl="0" w:tplc="B9826A9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692911"/>
    <w:multiLevelType w:val="hybridMultilevel"/>
    <w:tmpl w:val="5D0855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608172A"/>
    <w:multiLevelType w:val="hybridMultilevel"/>
    <w:tmpl w:val="3FFE65C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D9109B"/>
    <w:multiLevelType w:val="hybridMultilevel"/>
    <w:tmpl w:val="A900F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7" w15:restartNumberingAfterBreak="0">
    <w:nsid w:val="3BC06848"/>
    <w:multiLevelType w:val="hybridMultilevel"/>
    <w:tmpl w:val="7012D3DC"/>
    <w:lvl w:ilvl="0" w:tplc="F012904C">
      <w:start w:val="1"/>
      <w:numFmt w:val="bullet"/>
      <w:pStyle w:val="ListStyle1"/>
      <w:lvlText w:val=""/>
      <w:lvlJc w:val="left"/>
      <w:pPr>
        <w:ind w:left="720" w:hanging="360"/>
      </w:pPr>
      <w:rPr>
        <w:rFonts w:ascii="Symbol" w:hAnsi="Symbol" w:hint="default"/>
      </w:rPr>
    </w:lvl>
    <w:lvl w:ilvl="1" w:tplc="3E968892">
      <w:start w:val="1"/>
      <w:numFmt w:val="lowerLetter"/>
      <w:lvlText w:val="%2)"/>
      <w:lvlJc w:val="left"/>
      <w:pPr>
        <w:ind w:left="1440" w:hanging="360"/>
      </w:pPr>
      <w:rPr>
        <w:rFonts w:ascii="Century Gothic" w:eastAsiaTheme="minorHAnsi" w:hAnsi="Century Gothic"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C16B6"/>
    <w:multiLevelType w:val="hybridMultilevel"/>
    <w:tmpl w:val="63F87D46"/>
    <w:lvl w:ilvl="0" w:tplc="6600921A">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E429E4"/>
    <w:multiLevelType w:val="hybridMultilevel"/>
    <w:tmpl w:val="0B8AFC26"/>
    <w:lvl w:ilvl="0" w:tplc="11DEED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A2E4D"/>
    <w:multiLevelType w:val="hybridMultilevel"/>
    <w:tmpl w:val="0576DF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03C7F31"/>
    <w:multiLevelType w:val="hybridMultilevel"/>
    <w:tmpl w:val="A642B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A772F2"/>
    <w:multiLevelType w:val="hybridMultilevel"/>
    <w:tmpl w:val="1DE09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A7534"/>
    <w:multiLevelType w:val="hybridMultilevel"/>
    <w:tmpl w:val="C8A4B11A"/>
    <w:lvl w:ilvl="0" w:tplc="CCD6C8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8D0D93"/>
    <w:multiLevelType w:val="hybridMultilevel"/>
    <w:tmpl w:val="DD9AE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5B0F1E"/>
    <w:multiLevelType w:val="hybridMultilevel"/>
    <w:tmpl w:val="4402789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F22071"/>
    <w:multiLevelType w:val="hybridMultilevel"/>
    <w:tmpl w:val="745A1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3C63CD"/>
    <w:multiLevelType w:val="hybridMultilevel"/>
    <w:tmpl w:val="EE98E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C3B2B13"/>
    <w:multiLevelType w:val="hybridMultilevel"/>
    <w:tmpl w:val="604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25"/>
  </w:num>
  <w:num w:numId="5">
    <w:abstractNumId w:val="15"/>
  </w:num>
  <w:num w:numId="6">
    <w:abstractNumId w:val="16"/>
  </w:num>
  <w:num w:numId="7">
    <w:abstractNumId w:val="14"/>
  </w:num>
  <w:num w:numId="8">
    <w:abstractNumId w:val="0"/>
  </w:num>
  <w:num w:numId="9">
    <w:abstractNumId w:val="18"/>
  </w:num>
  <w:num w:numId="10">
    <w:abstractNumId w:val="11"/>
  </w:num>
  <w:num w:numId="11">
    <w:abstractNumId w:val="23"/>
  </w:num>
  <w:num w:numId="12">
    <w:abstractNumId w:val="4"/>
  </w:num>
  <w:num w:numId="13">
    <w:abstractNumId w:val="28"/>
  </w:num>
  <w:num w:numId="14">
    <w:abstractNumId w:val="22"/>
  </w:num>
  <w:num w:numId="15">
    <w:abstractNumId w:val="26"/>
  </w:num>
  <w:num w:numId="16">
    <w:abstractNumId w:val="3"/>
  </w:num>
  <w:num w:numId="17">
    <w:abstractNumId w:val="7"/>
  </w:num>
  <w:num w:numId="18">
    <w:abstractNumId w:val="19"/>
  </w:num>
  <w:num w:numId="19">
    <w:abstractNumId w:val="20"/>
  </w:num>
  <w:num w:numId="20">
    <w:abstractNumId w:val="0"/>
  </w:num>
  <w:num w:numId="21">
    <w:abstractNumId w:val="6"/>
  </w:num>
  <w:num w:numId="22">
    <w:abstractNumId w:val="8"/>
  </w:num>
  <w:num w:numId="23">
    <w:abstractNumId w:val="9"/>
  </w:num>
  <w:num w:numId="24">
    <w:abstractNumId w:val="12"/>
  </w:num>
  <w:num w:numId="25">
    <w:abstractNumId w:val="5"/>
  </w:num>
  <w:num w:numId="26">
    <w:abstractNumId w:val="27"/>
  </w:num>
  <w:num w:numId="27">
    <w:abstractNumId w:val="2"/>
  </w:num>
  <w:num w:numId="28">
    <w:abstractNumId w:val="24"/>
  </w:num>
  <w:num w:numId="29">
    <w:abstractNumId w:val="21"/>
  </w:num>
  <w:num w:numId="30">
    <w:abstractNumId w:val="4"/>
  </w:num>
  <w:num w:numId="31">
    <w:abstractNumId w:val="4"/>
  </w:num>
  <w:num w:numId="32">
    <w:abstractNumId w:val="4"/>
  </w:num>
  <w:num w:numId="33">
    <w:abstractNumId w:val="4"/>
  </w:num>
  <w:num w:numId="34">
    <w:abstractNumId w:val="10"/>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D0"/>
    <w:rsid w:val="0000090A"/>
    <w:rsid w:val="00000A81"/>
    <w:rsid w:val="00012908"/>
    <w:rsid w:val="0001387B"/>
    <w:rsid w:val="00014D56"/>
    <w:rsid w:val="000177A8"/>
    <w:rsid w:val="000247A8"/>
    <w:rsid w:val="00025DF1"/>
    <w:rsid w:val="00026401"/>
    <w:rsid w:val="00026B12"/>
    <w:rsid w:val="000279EA"/>
    <w:rsid w:val="00027B0D"/>
    <w:rsid w:val="00033555"/>
    <w:rsid w:val="00034292"/>
    <w:rsid w:val="000353FF"/>
    <w:rsid w:val="00037929"/>
    <w:rsid w:val="000402A3"/>
    <w:rsid w:val="00041D21"/>
    <w:rsid w:val="00043148"/>
    <w:rsid w:val="000431EA"/>
    <w:rsid w:val="000450F8"/>
    <w:rsid w:val="00045D31"/>
    <w:rsid w:val="000463B2"/>
    <w:rsid w:val="000463E3"/>
    <w:rsid w:val="0005067F"/>
    <w:rsid w:val="000518E7"/>
    <w:rsid w:val="00061592"/>
    <w:rsid w:val="000717B3"/>
    <w:rsid w:val="00076CFB"/>
    <w:rsid w:val="000778F8"/>
    <w:rsid w:val="00081A8A"/>
    <w:rsid w:val="00081D52"/>
    <w:rsid w:val="000842F8"/>
    <w:rsid w:val="000861CB"/>
    <w:rsid w:val="000959B6"/>
    <w:rsid w:val="00096DE3"/>
    <w:rsid w:val="000A0420"/>
    <w:rsid w:val="000A08FE"/>
    <w:rsid w:val="000A2A66"/>
    <w:rsid w:val="000A694B"/>
    <w:rsid w:val="000A6D32"/>
    <w:rsid w:val="000B2CE6"/>
    <w:rsid w:val="000B4DAF"/>
    <w:rsid w:val="000B687F"/>
    <w:rsid w:val="000C23DC"/>
    <w:rsid w:val="000C572B"/>
    <w:rsid w:val="000D0AA4"/>
    <w:rsid w:val="000D580F"/>
    <w:rsid w:val="000D7A61"/>
    <w:rsid w:val="000E0E44"/>
    <w:rsid w:val="000E351C"/>
    <w:rsid w:val="000E451B"/>
    <w:rsid w:val="000E6AF5"/>
    <w:rsid w:val="000E7552"/>
    <w:rsid w:val="000E7FD7"/>
    <w:rsid w:val="000F03F4"/>
    <w:rsid w:val="000F51A9"/>
    <w:rsid w:val="000F5365"/>
    <w:rsid w:val="000F7EED"/>
    <w:rsid w:val="00100470"/>
    <w:rsid w:val="00100B3F"/>
    <w:rsid w:val="00100C15"/>
    <w:rsid w:val="00100D3F"/>
    <w:rsid w:val="001010FA"/>
    <w:rsid w:val="001015B9"/>
    <w:rsid w:val="001036F4"/>
    <w:rsid w:val="001067D0"/>
    <w:rsid w:val="001077FB"/>
    <w:rsid w:val="00107F6E"/>
    <w:rsid w:val="00110154"/>
    <w:rsid w:val="00111948"/>
    <w:rsid w:val="0011291F"/>
    <w:rsid w:val="00113405"/>
    <w:rsid w:val="00120370"/>
    <w:rsid w:val="00120B72"/>
    <w:rsid w:val="00122B0B"/>
    <w:rsid w:val="001272E2"/>
    <w:rsid w:val="00127A7E"/>
    <w:rsid w:val="00132182"/>
    <w:rsid w:val="00132433"/>
    <w:rsid w:val="00141795"/>
    <w:rsid w:val="00142C51"/>
    <w:rsid w:val="00143CB7"/>
    <w:rsid w:val="00144712"/>
    <w:rsid w:val="00144C4A"/>
    <w:rsid w:val="00150DF0"/>
    <w:rsid w:val="001538F2"/>
    <w:rsid w:val="00153A64"/>
    <w:rsid w:val="00161B33"/>
    <w:rsid w:val="001620A9"/>
    <w:rsid w:val="001630B0"/>
    <w:rsid w:val="00164EAA"/>
    <w:rsid w:val="00165891"/>
    <w:rsid w:val="00170C05"/>
    <w:rsid w:val="001753D0"/>
    <w:rsid w:val="001757FF"/>
    <w:rsid w:val="00175DD6"/>
    <w:rsid w:val="00176C55"/>
    <w:rsid w:val="00180C98"/>
    <w:rsid w:val="00183B99"/>
    <w:rsid w:val="00183C06"/>
    <w:rsid w:val="001843A4"/>
    <w:rsid w:val="0018638E"/>
    <w:rsid w:val="00190F26"/>
    <w:rsid w:val="001925AB"/>
    <w:rsid w:val="00192F8A"/>
    <w:rsid w:val="00193BB7"/>
    <w:rsid w:val="001A1844"/>
    <w:rsid w:val="001A50A1"/>
    <w:rsid w:val="001A6896"/>
    <w:rsid w:val="001B0997"/>
    <w:rsid w:val="001B0B03"/>
    <w:rsid w:val="001B19E6"/>
    <w:rsid w:val="001B236B"/>
    <w:rsid w:val="001B2A61"/>
    <w:rsid w:val="001B2B7C"/>
    <w:rsid w:val="001B479E"/>
    <w:rsid w:val="001B7FE2"/>
    <w:rsid w:val="001C02DA"/>
    <w:rsid w:val="001C1CD3"/>
    <w:rsid w:val="001C2B56"/>
    <w:rsid w:val="001C448E"/>
    <w:rsid w:val="001C5FBA"/>
    <w:rsid w:val="001C7B7A"/>
    <w:rsid w:val="001D295E"/>
    <w:rsid w:val="001D4657"/>
    <w:rsid w:val="001D6E1D"/>
    <w:rsid w:val="001E1417"/>
    <w:rsid w:val="001E4E68"/>
    <w:rsid w:val="001E7DE4"/>
    <w:rsid w:val="001F25AF"/>
    <w:rsid w:val="001F4BBC"/>
    <w:rsid w:val="001F5DE4"/>
    <w:rsid w:val="00205419"/>
    <w:rsid w:val="00206CA7"/>
    <w:rsid w:val="002103FA"/>
    <w:rsid w:val="0021220D"/>
    <w:rsid w:val="00213EBD"/>
    <w:rsid w:val="00216197"/>
    <w:rsid w:val="00216B21"/>
    <w:rsid w:val="002172AA"/>
    <w:rsid w:val="00220010"/>
    <w:rsid w:val="002220C3"/>
    <w:rsid w:val="002229A9"/>
    <w:rsid w:val="00223544"/>
    <w:rsid w:val="002247E6"/>
    <w:rsid w:val="002305E9"/>
    <w:rsid w:val="00232D1B"/>
    <w:rsid w:val="00233554"/>
    <w:rsid w:val="00234AF7"/>
    <w:rsid w:val="00237EE3"/>
    <w:rsid w:val="00242919"/>
    <w:rsid w:val="00243A5F"/>
    <w:rsid w:val="00245FCD"/>
    <w:rsid w:val="00247E48"/>
    <w:rsid w:val="00251662"/>
    <w:rsid w:val="00252D44"/>
    <w:rsid w:val="00252F26"/>
    <w:rsid w:val="0025679A"/>
    <w:rsid w:val="00257C25"/>
    <w:rsid w:val="00263371"/>
    <w:rsid w:val="00264B81"/>
    <w:rsid w:val="00264C6D"/>
    <w:rsid w:val="0026568E"/>
    <w:rsid w:val="00267066"/>
    <w:rsid w:val="00280365"/>
    <w:rsid w:val="00280AEF"/>
    <w:rsid w:val="00281C4C"/>
    <w:rsid w:val="00283725"/>
    <w:rsid w:val="00283E19"/>
    <w:rsid w:val="00287430"/>
    <w:rsid w:val="00287FA0"/>
    <w:rsid w:val="002904BF"/>
    <w:rsid w:val="00294F08"/>
    <w:rsid w:val="00295145"/>
    <w:rsid w:val="002954E6"/>
    <w:rsid w:val="00295627"/>
    <w:rsid w:val="00295850"/>
    <w:rsid w:val="00296246"/>
    <w:rsid w:val="002A1DE5"/>
    <w:rsid w:val="002A3FCF"/>
    <w:rsid w:val="002A57A4"/>
    <w:rsid w:val="002A6150"/>
    <w:rsid w:val="002B21A6"/>
    <w:rsid w:val="002B5463"/>
    <w:rsid w:val="002B6600"/>
    <w:rsid w:val="002C2F25"/>
    <w:rsid w:val="002C61E4"/>
    <w:rsid w:val="002C7EFD"/>
    <w:rsid w:val="002D0F29"/>
    <w:rsid w:val="002D405F"/>
    <w:rsid w:val="002D44D1"/>
    <w:rsid w:val="002D4F10"/>
    <w:rsid w:val="002D565C"/>
    <w:rsid w:val="002E0167"/>
    <w:rsid w:val="002E01FD"/>
    <w:rsid w:val="002E0903"/>
    <w:rsid w:val="002E29E8"/>
    <w:rsid w:val="002E4F4A"/>
    <w:rsid w:val="002E53CD"/>
    <w:rsid w:val="002E57F9"/>
    <w:rsid w:val="002E7490"/>
    <w:rsid w:val="002E76A7"/>
    <w:rsid w:val="002F09D0"/>
    <w:rsid w:val="002F0EC0"/>
    <w:rsid w:val="002F1071"/>
    <w:rsid w:val="002F1EE4"/>
    <w:rsid w:val="002F3196"/>
    <w:rsid w:val="002F3DED"/>
    <w:rsid w:val="002F4D7A"/>
    <w:rsid w:val="002F53A6"/>
    <w:rsid w:val="002F685C"/>
    <w:rsid w:val="002F7D66"/>
    <w:rsid w:val="0030050A"/>
    <w:rsid w:val="0030081D"/>
    <w:rsid w:val="00301F62"/>
    <w:rsid w:val="00302523"/>
    <w:rsid w:val="00304FFF"/>
    <w:rsid w:val="0030615E"/>
    <w:rsid w:val="00310F1D"/>
    <w:rsid w:val="00312E5C"/>
    <w:rsid w:val="00314316"/>
    <w:rsid w:val="00316FE6"/>
    <w:rsid w:val="003200CF"/>
    <w:rsid w:val="00320C84"/>
    <w:rsid w:val="00322595"/>
    <w:rsid w:val="00323711"/>
    <w:rsid w:val="00323BDA"/>
    <w:rsid w:val="00323D2D"/>
    <w:rsid w:val="003301CF"/>
    <w:rsid w:val="003326E8"/>
    <w:rsid w:val="003327FF"/>
    <w:rsid w:val="00332DB3"/>
    <w:rsid w:val="003336CF"/>
    <w:rsid w:val="003355E9"/>
    <w:rsid w:val="00340FE5"/>
    <w:rsid w:val="003425E4"/>
    <w:rsid w:val="00343758"/>
    <w:rsid w:val="00344695"/>
    <w:rsid w:val="003523AA"/>
    <w:rsid w:val="00354377"/>
    <w:rsid w:val="00354599"/>
    <w:rsid w:val="00354F5F"/>
    <w:rsid w:val="00360961"/>
    <w:rsid w:val="0036416B"/>
    <w:rsid w:val="003661A1"/>
    <w:rsid w:val="0036739E"/>
    <w:rsid w:val="0037076B"/>
    <w:rsid w:val="00374CD0"/>
    <w:rsid w:val="00376685"/>
    <w:rsid w:val="00376761"/>
    <w:rsid w:val="00381275"/>
    <w:rsid w:val="003827DB"/>
    <w:rsid w:val="00384649"/>
    <w:rsid w:val="0039249E"/>
    <w:rsid w:val="0039328E"/>
    <w:rsid w:val="003946D0"/>
    <w:rsid w:val="003967C4"/>
    <w:rsid w:val="00396906"/>
    <w:rsid w:val="00397745"/>
    <w:rsid w:val="003A04D7"/>
    <w:rsid w:val="003A17AC"/>
    <w:rsid w:val="003A24E0"/>
    <w:rsid w:val="003A3852"/>
    <w:rsid w:val="003A43E9"/>
    <w:rsid w:val="003A4A41"/>
    <w:rsid w:val="003A56D5"/>
    <w:rsid w:val="003A683A"/>
    <w:rsid w:val="003B0E55"/>
    <w:rsid w:val="003B2700"/>
    <w:rsid w:val="003B2FFE"/>
    <w:rsid w:val="003B3349"/>
    <w:rsid w:val="003B5E28"/>
    <w:rsid w:val="003B7650"/>
    <w:rsid w:val="003B7CAC"/>
    <w:rsid w:val="003C1323"/>
    <w:rsid w:val="003C1A97"/>
    <w:rsid w:val="003C22E9"/>
    <w:rsid w:val="003C558A"/>
    <w:rsid w:val="003C767F"/>
    <w:rsid w:val="003C7C71"/>
    <w:rsid w:val="003D088D"/>
    <w:rsid w:val="003D0ACC"/>
    <w:rsid w:val="003D0F96"/>
    <w:rsid w:val="003D6FA3"/>
    <w:rsid w:val="003D7C85"/>
    <w:rsid w:val="003E1FF1"/>
    <w:rsid w:val="003E310B"/>
    <w:rsid w:val="003E4882"/>
    <w:rsid w:val="003E799F"/>
    <w:rsid w:val="003F230B"/>
    <w:rsid w:val="003F25E8"/>
    <w:rsid w:val="003F52DA"/>
    <w:rsid w:val="003F6979"/>
    <w:rsid w:val="004022C9"/>
    <w:rsid w:val="0040380E"/>
    <w:rsid w:val="004039C2"/>
    <w:rsid w:val="00404693"/>
    <w:rsid w:val="0040577B"/>
    <w:rsid w:val="00406831"/>
    <w:rsid w:val="00406881"/>
    <w:rsid w:val="00406E4A"/>
    <w:rsid w:val="00412573"/>
    <w:rsid w:val="00413D0E"/>
    <w:rsid w:val="00416738"/>
    <w:rsid w:val="00416F3B"/>
    <w:rsid w:val="004225E5"/>
    <w:rsid w:val="004232FA"/>
    <w:rsid w:val="00423C87"/>
    <w:rsid w:val="00423E37"/>
    <w:rsid w:val="00425A2F"/>
    <w:rsid w:val="00427685"/>
    <w:rsid w:val="00430C9D"/>
    <w:rsid w:val="00434831"/>
    <w:rsid w:val="004354E1"/>
    <w:rsid w:val="00437CBC"/>
    <w:rsid w:val="004423AD"/>
    <w:rsid w:val="00445026"/>
    <w:rsid w:val="004452A9"/>
    <w:rsid w:val="00446EDD"/>
    <w:rsid w:val="00450501"/>
    <w:rsid w:val="004541E5"/>
    <w:rsid w:val="0045690D"/>
    <w:rsid w:val="00457251"/>
    <w:rsid w:val="004608F6"/>
    <w:rsid w:val="00460BEA"/>
    <w:rsid w:val="00463BCE"/>
    <w:rsid w:val="00463E82"/>
    <w:rsid w:val="00464FE4"/>
    <w:rsid w:val="0047053C"/>
    <w:rsid w:val="00470D3D"/>
    <w:rsid w:val="0047299C"/>
    <w:rsid w:val="004746F9"/>
    <w:rsid w:val="004753B4"/>
    <w:rsid w:val="0047782A"/>
    <w:rsid w:val="00480151"/>
    <w:rsid w:val="00480981"/>
    <w:rsid w:val="00483A35"/>
    <w:rsid w:val="00483DBA"/>
    <w:rsid w:val="004860A6"/>
    <w:rsid w:val="0048612C"/>
    <w:rsid w:val="004875AA"/>
    <w:rsid w:val="00490401"/>
    <w:rsid w:val="0049137F"/>
    <w:rsid w:val="004944E7"/>
    <w:rsid w:val="00495F5C"/>
    <w:rsid w:val="00495F95"/>
    <w:rsid w:val="00496B9B"/>
    <w:rsid w:val="00497997"/>
    <w:rsid w:val="004A13AC"/>
    <w:rsid w:val="004A19DD"/>
    <w:rsid w:val="004A4AB3"/>
    <w:rsid w:val="004A586F"/>
    <w:rsid w:val="004A5EA3"/>
    <w:rsid w:val="004A6241"/>
    <w:rsid w:val="004B031E"/>
    <w:rsid w:val="004B17A6"/>
    <w:rsid w:val="004B2C68"/>
    <w:rsid w:val="004B2F05"/>
    <w:rsid w:val="004B3E70"/>
    <w:rsid w:val="004B7131"/>
    <w:rsid w:val="004C06DA"/>
    <w:rsid w:val="004C0EC4"/>
    <w:rsid w:val="004C0F63"/>
    <w:rsid w:val="004C438C"/>
    <w:rsid w:val="004C6C5F"/>
    <w:rsid w:val="004C791E"/>
    <w:rsid w:val="004C7BD6"/>
    <w:rsid w:val="004D3333"/>
    <w:rsid w:val="004E21B5"/>
    <w:rsid w:val="004E53E5"/>
    <w:rsid w:val="004E63D2"/>
    <w:rsid w:val="004E6774"/>
    <w:rsid w:val="004E7AD8"/>
    <w:rsid w:val="004F1714"/>
    <w:rsid w:val="004F2F63"/>
    <w:rsid w:val="004F6230"/>
    <w:rsid w:val="0050309E"/>
    <w:rsid w:val="00505C51"/>
    <w:rsid w:val="005069AD"/>
    <w:rsid w:val="00506F21"/>
    <w:rsid w:val="00510C07"/>
    <w:rsid w:val="00510C9E"/>
    <w:rsid w:val="00512981"/>
    <w:rsid w:val="005135E4"/>
    <w:rsid w:val="005154CF"/>
    <w:rsid w:val="00521C4C"/>
    <w:rsid w:val="005240F0"/>
    <w:rsid w:val="0052443A"/>
    <w:rsid w:val="00525A17"/>
    <w:rsid w:val="00530054"/>
    <w:rsid w:val="0053133A"/>
    <w:rsid w:val="00531BB7"/>
    <w:rsid w:val="005337BB"/>
    <w:rsid w:val="00536DBC"/>
    <w:rsid w:val="0054090C"/>
    <w:rsid w:val="0054095F"/>
    <w:rsid w:val="005414CB"/>
    <w:rsid w:val="00543731"/>
    <w:rsid w:val="00546C1E"/>
    <w:rsid w:val="00547451"/>
    <w:rsid w:val="00547EEA"/>
    <w:rsid w:val="0055150E"/>
    <w:rsid w:val="00552CF5"/>
    <w:rsid w:val="00557508"/>
    <w:rsid w:val="00557692"/>
    <w:rsid w:val="00557B21"/>
    <w:rsid w:val="00560784"/>
    <w:rsid w:val="00560F57"/>
    <w:rsid w:val="00561331"/>
    <w:rsid w:val="00563B47"/>
    <w:rsid w:val="00565C7C"/>
    <w:rsid w:val="00566B10"/>
    <w:rsid w:val="005703EC"/>
    <w:rsid w:val="0057311C"/>
    <w:rsid w:val="005754E4"/>
    <w:rsid w:val="00575712"/>
    <w:rsid w:val="00577A88"/>
    <w:rsid w:val="0058181E"/>
    <w:rsid w:val="005841DD"/>
    <w:rsid w:val="005844B2"/>
    <w:rsid w:val="005856F0"/>
    <w:rsid w:val="005918CE"/>
    <w:rsid w:val="00597E96"/>
    <w:rsid w:val="005A167F"/>
    <w:rsid w:val="005A2592"/>
    <w:rsid w:val="005A3A61"/>
    <w:rsid w:val="005A5529"/>
    <w:rsid w:val="005A5D12"/>
    <w:rsid w:val="005B16CB"/>
    <w:rsid w:val="005B3121"/>
    <w:rsid w:val="005B42D5"/>
    <w:rsid w:val="005B4F33"/>
    <w:rsid w:val="005C2457"/>
    <w:rsid w:val="005C3B2F"/>
    <w:rsid w:val="005C6370"/>
    <w:rsid w:val="005C7EC6"/>
    <w:rsid w:val="005D17FA"/>
    <w:rsid w:val="005D3899"/>
    <w:rsid w:val="005D4273"/>
    <w:rsid w:val="005D499C"/>
    <w:rsid w:val="005E11B2"/>
    <w:rsid w:val="005E35D0"/>
    <w:rsid w:val="005E5979"/>
    <w:rsid w:val="005E5DF1"/>
    <w:rsid w:val="005E6538"/>
    <w:rsid w:val="005E66ED"/>
    <w:rsid w:val="005F04A9"/>
    <w:rsid w:val="005F04DC"/>
    <w:rsid w:val="005F1871"/>
    <w:rsid w:val="005F21F7"/>
    <w:rsid w:val="005F35ED"/>
    <w:rsid w:val="005F3852"/>
    <w:rsid w:val="005F3C2E"/>
    <w:rsid w:val="005F4CF5"/>
    <w:rsid w:val="005F578A"/>
    <w:rsid w:val="005F6B65"/>
    <w:rsid w:val="005F6C54"/>
    <w:rsid w:val="00603B29"/>
    <w:rsid w:val="00611736"/>
    <w:rsid w:val="006129D3"/>
    <w:rsid w:val="00615208"/>
    <w:rsid w:val="00615CBB"/>
    <w:rsid w:val="00620C44"/>
    <w:rsid w:val="00620E43"/>
    <w:rsid w:val="00620F4D"/>
    <w:rsid w:val="00622566"/>
    <w:rsid w:val="0062270E"/>
    <w:rsid w:val="00624D25"/>
    <w:rsid w:val="00625C53"/>
    <w:rsid w:val="006279A5"/>
    <w:rsid w:val="00627D9B"/>
    <w:rsid w:val="00631001"/>
    <w:rsid w:val="00631B1A"/>
    <w:rsid w:val="00633DAE"/>
    <w:rsid w:val="00634656"/>
    <w:rsid w:val="006373E7"/>
    <w:rsid w:val="00640078"/>
    <w:rsid w:val="006406F3"/>
    <w:rsid w:val="00640732"/>
    <w:rsid w:val="00640E0E"/>
    <w:rsid w:val="006418DE"/>
    <w:rsid w:val="00644713"/>
    <w:rsid w:val="00644B74"/>
    <w:rsid w:val="00646738"/>
    <w:rsid w:val="006579E6"/>
    <w:rsid w:val="00660863"/>
    <w:rsid w:val="00663650"/>
    <w:rsid w:val="00663CA4"/>
    <w:rsid w:val="00663D45"/>
    <w:rsid w:val="006642EC"/>
    <w:rsid w:val="00664C65"/>
    <w:rsid w:val="0066670D"/>
    <w:rsid w:val="0067103B"/>
    <w:rsid w:val="00672441"/>
    <w:rsid w:val="00673088"/>
    <w:rsid w:val="0067526C"/>
    <w:rsid w:val="00675BF1"/>
    <w:rsid w:val="00676029"/>
    <w:rsid w:val="0067665E"/>
    <w:rsid w:val="00681D19"/>
    <w:rsid w:val="00684D1B"/>
    <w:rsid w:val="00686581"/>
    <w:rsid w:val="00690858"/>
    <w:rsid w:val="00690B00"/>
    <w:rsid w:val="006A065B"/>
    <w:rsid w:val="006A1717"/>
    <w:rsid w:val="006A1986"/>
    <w:rsid w:val="006A3C8C"/>
    <w:rsid w:val="006B0057"/>
    <w:rsid w:val="006B3CA3"/>
    <w:rsid w:val="006C19BD"/>
    <w:rsid w:val="006C2885"/>
    <w:rsid w:val="006C2B19"/>
    <w:rsid w:val="006C3621"/>
    <w:rsid w:val="006C5638"/>
    <w:rsid w:val="006C6295"/>
    <w:rsid w:val="006C66EE"/>
    <w:rsid w:val="006C7075"/>
    <w:rsid w:val="006D0218"/>
    <w:rsid w:val="006D0C9C"/>
    <w:rsid w:val="006D2AFE"/>
    <w:rsid w:val="006D5811"/>
    <w:rsid w:val="006D656B"/>
    <w:rsid w:val="006D68A5"/>
    <w:rsid w:val="006E1F82"/>
    <w:rsid w:val="006E4542"/>
    <w:rsid w:val="006E5268"/>
    <w:rsid w:val="006E7B96"/>
    <w:rsid w:val="006F4258"/>
    <w:rsid w:val="00704197"/>
    <w:rsid w:val="0070650B"/>
    <w:rsid w:val="0071175C"/>
    <w:rsid w:val="00712659"/>
    <w:rsid w:val="00712CC9"/>
    <w:rsid w:val="007138A8"/>
    <w:rsid w:val="007150A2"/>
    <w:rsid w:val="00715FF7"/>
    <w:rsid w:val="00717D3C"/>
    <w:rsid w:val="00722C30"/>
    <w:rsid w:val="00723B93"/>
    <w:rsid w:val="007264C9"/>
    <w:rsid w:val="00726CB3"/>
    <w:rsid w:val="007275D4"/>
    <w:rsid w:val="007318F6"/>
    <w:rsid w:val="00737DE9"/>
    <w:rsid w:val="00741D31"/>
    <w:rsid w:val="00744D1D"/>
    <w:rsid w:val="00745154"/>
    <w:rsid w:val="007464D8"/>
    <w:rsid w:val="00747C7D"/>
    <w:rsid w:val="00747D5C"/>
    <w:rsid w:val="00753629"/>
    <w:rsid w:val="00754381"/>
    <w:rsid w:val="00760508"/>
    <w:rsid w:val="00761653"/>
    <w:rsid w:val="00770DE6"/>
    <w:rsid w:val="00771A40"/>
    <w:rsid w:val="007721F6"/>
    <w:rsid w:val="007758EA"/>
    <w:rsid w:val="007801F1"/>
    <w:rsid w:val="00780E09"/>
    <w:rsid w:val="00781D70"/>
    <w:rsid w:val="00783236"/>
    <w:rsid w:val="007839F0"/>
    <w:rsid w:val="00786D61"/>
    <w:rsid w:val="00787113"/>
    <w:rsid w:val="007911A5"/>
    <w:rsid w:val="00796B24"/>
    <w:rsid w:val="007970BE"/>
    <w:rsid w:val="007A0B89"/>
    <w:rsid w:val="007A0F1A"/>
    <w:rsid w:val="007A2F53"/>
    <w:rsid w:val="007A4082"/>
    <w:rsid w:val="007A5012"/>
    <w:rsid w:val="007B09CE"/>
    <w:rsid w:val="007B0D3B"/>
    <w:rsid w:val="007B2F11"/>
    <w:rsid w:val="007B3CA7"/>
    <w:rsid w:val="007B4F1E"/>
    <w:rsid w:val="007B725D"/>
    <w:rsid w:val="007B7EA4"/>
    <w:rsid w:val="007C0AE0"/>
    <w:rsid w:val="007C0B20"/>
    <w:rsid w:val="007C10B2"/>
    <w:rsid w:val="007C1D46"/>
    <w:rsid w:val="007C2EBF"/>
    <w:rsid w:val="007C4070"/>
    <w:rsid w:val="007C520B"/>
    <w:rsid w:val="007C52A8"/>
    <w:rsid w:val="007C6B82"/>
    <w:rsid w:val="007C740C"/>
    <w:rsid w:val="007C7959"/>
    <w:rsid w:val="007C7B90"/>
    <w:rsid w:val="007D084B"/>
    <w:rsid w:val="007D0A7F"/>
    <w:rsid w:val="007D4941"/>
    <w:rsid w:val="007E368A"/>
    <w:rsid w:val="007E40CC"/>
    <w:rsid w:val="007E66B2"/>
    <w:rsid w:val="007F0982"/>
    <w:rsid w:val="007F0EC6"/>
    <w:rsid w:val="007F1808"/>
    <w:rsid w:val="007F23BD"/>
    <w:rsid w:val="007F2A64"/>
    <w:rsid w:val="007F2BD0"/>
    <w:rsid w:val="007F52D3"/>
    <w:rsid w:val="00800957"/>
    <w:rsid w:val="00802EAB"/>
    <w:rsid w:val="00803855"/>
    <w:rsid w:val="008044D9"/>
    <w:rsid w:val="00806517"/>
    <w:rsid w:val="00812E32"/>
    <w:rsid w:val="008156B0"/>
    <w:rsid w:val="00815BE1"/>
    <w:rsid w:val="008170BC"/>
    <w:rsid w:val="008203EF"/>
    <w:rsid w:val="00820AB8"/>
    <w:rsid w:val="00820E91"/>
    <w:rsid w:val="00822B0B"/>
    <w:rsid w:val="008255F4"/>
    <w:rsid w:val="0082602A"/>
    <w:rsid w:val="00827A59"/>
    <w:rsid w:val="00827E12"/>
    <w:rsid w:val="008307FF"/>
    <w:rsid w:val="00835ED7"/>
    <w:rsid w:val="008402F8"/>
    <w:rsid w:val="008434D2"/>
    <w:rsid w:val="008463B5"/>
    <w:rsid w:val="00847DEB"/>
    <w:rsid w:val="00850E7B"/>
    <w:rsid w:val="00851D15"/>
    <w:rsid w:val="00853173"/>
    <w:rsid w:val="008532BD"/>
    <w:rsid w:val="00854FF1"/>
    <w:rsid w:val="00856480"/>
    <w:rsid w:val="00856BDF"/>
    <w:rsid w:val="0085792E"/>
    <w:rsid w:val="008644E0"/>
    <w:rsid w:val="008648E7"/>
    <w:rsid w:val="00865838"/>
    <w:rsid w:val="0086692C"/>
    <w:rsid w:val="00867763"/>
    <w:rsid w:val="00867F99"/>
    <w:rsid w:val="00870D29"/>
    <w:rsid w:val="00871561"/>
    <w:rsid w:val="008718DD"/>
    <w:rsid w:val="008747AC"/>
    <w:rsid w:val="00882C0F"/>
    <w:rsid w:val="0088485A"/>
    <w:rsid w:val="00884B50"/>
    <w:rsid w:val="00884DC5"/>
    <w:rsid w:val="00887792"/>
    <w:rsid w:val="00891743"/>
    <w:rsid w:val="008917E2"/>
    <w:rsid w:val="00891800"/>
    <w:rsid w:val="0089274E"/>
    <w:rsid w:val="0089281E"/>
    <w:rsid w:val="00892DCE"/>
    <w:rsid w:val="00892EBE"/>
    <w:rsid w:val="0089389D"/>
    <w:rsid w:val="00893B2A"/>
    <w:rsid w:val="0089565E"/>
    <w:rsid w:val="008956C1"/>
    <w:rsid w:val="00896B2E"/>
    <w:rsid w:val="00897B01"/>
    <w:rsid w:val="008A0506"/>
    <w:rsid w:val="008A13D4"/>
    <w:rsid w:val="008A2B8B"/>
    <w:rsid w:val="008A3A26"/>
    <w:rsid w:val="008A583B"/>
    <w:rsid w:val="008A71AB"/>
    <w:rsid w:val="008A7EC4"/>
    <w:rsid w:val="008B0039"/>
    <w:rsid w:val="008B33CC"/>
    <w:rsid w:val="008B4716"/>
    <w:rsid w:val="008B7773"/>
    <w:rsid w:val="008C1001"/>
    <w:rsid w:val="008C45BC"/>
    <w:rsid w:val="008C4B29"/>
    <w:rsid w:val="008C7333"/>
    <w:rsid w:val="008D04A7"/>
    <w:rsid w:val="008D1009"/>
    <w:rsid w:val="008D2677"/>
    <w:rsid w:val="008D36A4"/>
    <w:rsid w:val="008D68D2"/>
    <w:rsid w:val="008E2481"/>
    <w:rsid w:val="008E2A89"/>
    <w:rsid w:val="008E35BA"/>
    <w:rsid w:val="008E362A"/>
    <w:rsid w:val="008E5CD5"/>
    <w:rsid w:val="008E6218"/>
    <w:rsid w:val="008F4AA9"/>
    <w:rsid w:val="008F4EC8"/>
    <w:rsid w:val="00900E53"/>
    <w:rsid w:val="009017A7"/>
    <w:rsid w:val="0090528B"/>
    <w:rsid w:val="00912DB8"/>
    <w:rsid w:val="00913154"/>
    <w:rsid w:val="009150C5"/>
    <w:rsid w:val="009155B4"/>
    <w:rsid w:val="00915F40"/>
    <w:rsid w:val="00920CE2"/>
    <w:rsid w:val="00921E09"/>
    <w:rsid w:val="0092277B"/>
    <w:rsid w:val="00924042"/>
    <w:rsid w:val="00926835"/>
    <w:rsid w:val="009273ED"/>
    <w:rsid w:val="009277DA"/>
    <w:rsid w:val="00931905"/>
    <w:rsid w:val="00931E1F"/>
    <w:rsid w:val="0093275D"/>
    <w:rsid w:val="00933613"/>
    <w:rsid w:val="009357A0"/>
    <w:rsid w:val="00936BF5"/>
    <w:rsid w:val="00937199"/>
    <w:rsid w:val="009432F4"/>
    <w:rsid w:val="00951D84"/>
    <w:rsid w:val="00954BFB"/>
    <w:rsid w:val="00954D0E"/>
    <w:rsid w:val="00956029"/>
    <w:rsid w:val="009561B8"/>
    <w:rsid w:val="00956346"/>
    <w:rsid w:val="00960ACE"/>
    <w:rsid w:val="009620AF"/>
    <w:rsid w:val="009627D6"/>
    <w:rsid w:val="0096647F"/>
    <w:rsid w:val="00970A57"/>
    <w:rsid w:val="009714BB"/>
    <w:rsid w:val="009747C6"/>
    <w:rsid w:val="009754A1"/>
    <w:rsid w:val="00980344"/>
    <w:rsid w:val="00981501"/>
    <w:rsid w:val="009829C9"/>
    <w:rsid w:val="00986223"/>
    <w:rsid w:val="00986E32"/>
    <w:rsid w:val="009902B0"/>
    <w:rsid w:val="00990B6F"/>
    <w:rsid w:val="0099180D"/>
    <w:rsid w:val="00994B82"/>
    <w:rsid w:val="0099581B"/>
    <w:rsid w:val="00995F69"/>
    <w:rsid w:val="009A04A0"/>
    <w:rsid w:val="009A1CD3"/>
    <w:rsid w:val="009A2C0F"/>
    <w:rsid w:val="009A64E7"/>
    <w:rsid w:val="009A6753"/>
    <w:rsid w:val="009B0D7E"/>
    <w:rsid w:val="009B2396"/>
    <w:rsid w:val="009B40E4"/>
    <w:rsid w:val="009B4C62"/>
    <w:rsid w:val="009B5932"/>
    <w:rsid w:val="009B6353"/>
    <w:rsid w:val="009B724C"/>
    <w:rsid w:val="009C11F9"/>
    <w:rsid w:val="009C1DE4"/>
    <w:rsid w:val="009C2104"/>
    <w:rsid w:val="009C2FFF"/>
    <w:rsid w:val="009C3F9C"/>
    <w:rsid w:val="009C4C4E"/>
    <w:rsid w:val="009C4DA2"/>
    <w:rsid w:val="009D3884"/>
    <w:rsid w:val="009D5F7B"/>
    <w:rsid w:val="009D6CAD"/>
    <w:rsid w:val="009D7925"/>
    <w:rsid w:val="009E79A0"/>
    <w:rsid w:val="009F0A06"/>
    <w:rsid w:val="009F3273"/>
    <w:rsid w:val="009F4607"/>
    <w:rsid w:val="009F4E04"/>
    <w:rsid w:val="009F666A"/>
    <w:rsid w:val="00A01412"/>
    <w:rsid w:val="00A0181E"/>
    <w:rsid w:val="00A01E80"/>
    <w:rsid w:val="00A0508C"/>
    <w:rsid w:val="00A07E50"/>
    <w:rsid w:val="00A10F1B"/>
    <w:rsid w:val="00A12055"/>
    <w:rsid w:val="00A12B40"/>
    <w:rsid w:val="00A156A8"/>
    <w:rsid w:val="00A17032"/>
    <w:rsid w:val="00A1786D"/>
    <w:rsid w:val="00A22644"/>
    <w:rsid w:val="00A22811"/>
    <w:rsid w:val="00A24114"/>
    <w:rsid w:val="00A25316"/>
    <w:rsid w:val="00A25A97"/>
    <w:rsid w:val="00A25F17"/>
    <w:rsid w:val="00A30872"/>
    <w:rsid w:val="00A30965"/>
    <w:rsid w:val="00A31229"/>
    <w:rsid w:val="00A3179C"/>
    <w:rsid w:val="00A320B7"/>
    <w:rsid w:val="00A322EE"/>
    <w:rsid w:val="00A34000"/>
    <w:rsid w:val="00A4183F"/>
    <w:rsid w:val="00A41C47"/>
    <w:rsid w:val="00A42098"/>
    <w:rsid w:val="00A424C3"/>
    <w:rsid w:val="00A43012"/>
    <w:rsid w:val="00A43388"/>
    <w:rsid w:val="00A4344C"/>
    <w:rsid w:val="00A443F2"/>
    <w:rsid w:val="00A4478E"/>
    <w:rsid w:val="00A45F71"/>
    <w:rsid w:val="00A46DA0"/>
    <w:rsid w:val="00A47C3E"/>
    <w:rsid w:val="00A51D3B"/>
    <w:rsid w:val="00A5503D"/>
    <w:rsid w:val="00A55E7F"/>
    <w:rsid w:val="00A5739A"/>
    <w:rsid w:val="00A60E2D"/>
    <w:rsid w:val="00A642A6"/>
    <w:rsid w:val="00A646E0"/>
    <w:rsid w:val="00A6524B"/>
    <w:rsid w:val="00A71483"/>
    <w:rsid w:val="00A72FE7"/>
    <w:rsid w:val="00A74285"/>
    <w:rsid w:val="00A7465C"/>
    <w:rsid w:val="00A80CB9"/>
    <w:rsid w:val="00A82155"/>
    <w:rsid w:val="00A85FC6"/>
    <w:rsid w:val="00A92F6C"/>
    <w:rsid w:val="00A93E89"/>
    <w:rsid w:val="00A97393"/>
    <w:rsid w:val="00A978AD"/>
    <w:rsid w:val="00AA1F22"/>
    <w:rsid w:val="00AA1F3C"/>
    <w:rsid w:val="00AA5006"/>
    <w:rsid w:val="00AA6337"/>
    <w:rsid w:val="00AB10E4"/>
    <w:rsid w:val="00AB16D1"/>
    <w:rsid w:val="00AB3902"/>
    <w:rsid w:val="00AB720B"/>
    <w:rsid w:val="00AB7A7F"/>
    <w:rsid w:val="00AC5AB2"/>
    <w:rsid w:val="00AC5FA6"/>
    <w:rsid w:val="00AC73EB"/>
    <w:rsid w:val="00AD0935"/>
    <w:rsid w:val="00AD3205"/>
    <w:rsid w:val="00AD4A7F"/>
    <w:rsid w:val="00AD7817"/>
    <w:rsid w:val="00AE1F66"/>
    <w:rsid w:val="00AE2F07"/>
    <w:rsid w:val="00AE372E"/>
    <w:rsid w:val="00AE40EC"/>
    <w:rsid w:val="00AE6241"/>
    <w:rsid w:val="00AF4669"/>
    <w:rsid w:val="00AF4733"/>
    <w:rsid w:val="00AF5885"/>
    <w:rsid w:val="00AF6875"/>
    <w:rsid w:val="00AF7657"/>
    <w:rsid w:val="00B001C1"/>
    <w:rsid w:val="00B0364C"/>
    <w:rsid w:val="00B071AF"/>
    <w:rsid w:val="00B0733F"/>
    <w:rsid w:val="00B07509"/>
    <w:rsid w:val="00B12F81"/>
    <w:rsid w:val="00B149EA"/>
    <w:rsid w:val="00B168DF"/>
    <w:rsid w:val="00B2095E"/>
    <w:rsid w:val="00B20B14"/>
    <w:rsid w:val="00B20ED1"/>
    <w:rsid w:val="00B2102B"/>
    <w:rsid w:val="00B22DB0"/>
    <w:rsid w:val="00B24376"/>
    <w:rsid w:val="00B253CA"/>
    <w:rsid w:val="00B30CB3"/>
    <w:rsid w:val="00B335AD"/>
    <w:rsid w:val="00B34E70"/>
    <w:rsid w:val="00B35733"/>
    <w:rsid w:val="00B36160"/>
    <w:rsid w:val="00B37D9E"/>
    <w:rsid w:val="00B41A0B"/>
    <w:rsid w:val="00B4263D"/>
    <w:rsid w:val="00B46676"/>
    <w:rsid w:val="00B53A0C"/>
    <w:rsid w:val="00B5410A"/>
    <w:rsid w:val="00B56443"/>
    <w:rsid w:val="00B6052D"/>
    <w:rsid w:val="00B63834"/>
    <w:rsid w:val="00B64BAC"/>
    <w:rsid w:val="00B662D2"/>
    <w:rsid w:val="00B6642C"/>
    <w:rsid w:val="00B6782E"/>
    <w:rsid w:val="00B70767"/>
    <w:rsid w:val="00B707E8"/>
    <w:rsid w:val="00B70C05"/>
    <w:rsid w:val="00B73355"/>
    <w:rsid w:val="00B7542C"/>
    <w:rsid w:val="00B761B4"/>
    <w:rsid w:val="00B8021C"/>
    <w:rsid w:val="00B8122D"/>
    <w:rsid w:val="00B81471"/>
    <w:rsid w:val="00B82E70"/>
    <w:rsid w:val="00B852F1"/>
    <w:rsid w:val="00B876C0"/>
    <w:rsid w:val="00B9067C"/>
    <w:rsid w:val="00B93201"/>
    <w:rsid w:val="00BA2B0A"/>
    <w:rsid w:val="00BA2D92"/>
    <w:rsid w:val="00BA3E64"/>
    <w:rsid w:val="00BA4415"/>
    <w:rsid w:val="00BA58EE"/>
    <w:rsid w:val="00BA622B"/>
    <w:rsid w:val="00BA7125"/>
    <w:rsid w:val="00BA7755"/>
    <w:rsid w:val="00BB3786"/>
    <w:rsid w:val="00BB3BC4"/>
    <w:rsid w:val="00BB41AA"/>
    <w:rsid w:val="00BB464C"/>
    <w:rsid w:val="00BB4802"/>
    <w:rsid w:val="00BB5675"/>
    <w:rsid w:val="00BB5B26"/>
    <w:rsid w:val="00BB5C4C"/>
    <w:rsid w:val="00BC0E37"/>
    <w:rsid w:val="00BC1344"/>
    <w:rsid w:val="00BC296A"/>
    <w:rsid w:val="00BC2B49"/>
    <w:rsid w:val="00BC3634"/>
    <w:rsid w:val="00BC3818"/>
    <w:rsid w:val="00BC3DA8"/>
    <w:rsid w:val="00BC3DC1"/>
    <w:rsid w:val="00BC4761"/>
    <w:rsid w:val="00BC4EE0"/>
    <w:rsid w:val="00BC5E7E"/>
    <w:rsid w:val="00BC684D"/>
    <w:rsid w:val="00BC77C3"/>
    <w:rsid w:val="00BD0C6D"/>
    <w:rsid w:val="00BD0E98"/>
    <w:rsid w:val="00BD33D9"/>
    <w:rsid w:val="00BD6308"/>
    <w:rsid w:val="00BD6B20"/>
    <w:rsid w:val="00BD776A"/>
    <w:rsid w:val="00BE1536"/>
    <w:rsid w:val="00BE3D4F"/>
    <w:rsid w:val="00BE76CA"/>
    <w:rsid w:val="00BE7CB6"/>
    <w:rsid w:val="00BF0093"/>
    <w:rsid w:val="00BF0AA2"/>
    <w:rsid w:val="00BF1CEB"/>
    <w:rsid w:val="00BF3411"/>
    <w:rsid w:val="00BF3438"/>
    <w:rsid w:val="00BF3466"/>
    <w:rsid w:val="00BF66A4"/>
    <w:rsid w:val="00BF7472"/>
    <w:rsid w:val="00BF7E2E"/>
    <w:rsid w:val="00BF7E36"/>
    <w:rsid w:val="00C003A1"/>
    <w:rsid w:val="00C0108B"/>
    <w:rsid w:val="00C02163"/>
    <w:rsid w:val="00C02237"/>
    <w:rsid w:val="00C034D9"/>
    <w:rsid w:val="00C050DB"/>
    <w:rsid w:val="00C056F1"/>
    <w:rsid w:val="00C05CB5"/>
    <w:rsid w:val="00C060D9"/>
    <w:rsid w:val="00C11851"/>
    <w:rsid w:val="00C16077"/>
    <w:rsid w:val="00C20764"/>
    <w:rsid w:val="00C207B6"/>
    <w:rsid w:val="00C2112D"/>
    <w:rsid w:val="00C21D89"/>
    <w:rsid w:val="00C26A61"/>
    <w:rsid w:val="00C30112"/>
    <w:rsid w:val="00C30143"/>
    <w:rsid w:val="00C30893"/>
    <w:rsid w:val="00C3121D"/>
    <w:rsid w:val="00C313C0"/>
    <w:rsid w:val="00C31BB7"/>
    <w:rsid w:val="00C331EF"/>
    <w:rsid w:val="00C34281"/>
    <w:rsid w:val="00C34A98"/>
    <w:rsid w:val="00C35038"/>
    <w:rsid w:val="00C36988"/>
    <w:rsid w:val="00C37008"/>
    <w:rsid w:val="00C37073"/>
    <w:rsid w:val="00C379E4"/>
    <w:rsid w:val="00C37DD0"/>
    <w:rsid w:val="00C41495"/>
    <w:rsid w:val="00C4358C"/>
    <w:rsid w:val="00C44E60"/>
    <w:rsid w:val="00C45D7E"/>
    <w:rsid w:val="00C474CA"/>
    <w:rsid w:val="00C523FD"/>
    <w:rsid w:val="00C542F2"/>
    <w:rsid w:val="00C549E0"/>
    <w:rsid w:val="00C56A4A"/>
    <w:rsid w:val="00C56D3A"/>
    <w:rsid w:val="00C57B34"/>
    <w:rsid w:val="00C648B2"/>
    <w:rsid w:val="00C67745"/>
    <w:rsid w:val="00C70D0F"/>
    <w:rsid w:val="00C7319A"/>
    <w:rsid w:val="00C7330B"/>
    <w:rsid w:val="00C73BC2"/>
    <w:rsid w:val="00C749CA"/>
    <w:rsid w:val="00C84271"/>
    <w:rsid w:val="00C8612D"/>
    <w:rsid w:val="00C86393"/>
    <w:rsid w:val="00C90B40"/>
    <w:rsid w:val="00C92082"/>
    <w:rsid w:val="00C92937"/>
    <w:rsid w:val="00C93578"/>
    <w:rsid w:val="00C93FD7"/>
    <w:rsid w:val="00C957F1"/>
    <w:rsid w:val="00C95B93"/>
    <w:rsid w:val="00C972AF"/>
    <w:rsid w:val="00C97CC5"/>
    <w:rsid w:val="00CA199D"/>
    <w:rsid w:val="00CA2A64"/>
    <w:rsid w:val="00CA3914"/>
    <w:rsid w:val="00CA6718"/>
    <w:rsid w:val="00CB090C"/>
    <w:rsid w:val="00CB3FDB"/>
    <w:rsid w:val="00CB4590"/>
    <w:rsid w:val="00CB4753"/>
    <w:rsid w:val="00CB7F15"/>
    <w:rsid w:val="00CC13E5"/>
    <w:rsid w:val="00CC2EE3"/>
    <w:rsid w:val="00CC3262"/>
    <w:rsid w:val="00CC386B"/>
    <w:rsid w:val="00CC498C"/>
    <w:rsid w:val="00CC4D03"/>
    <w:rsid w:val="00CC56C1"/>
    <w:rsid w:val="00CC627B"/>
    <w:rsid w:val="00CD2421"/>
    <w:rsid w:val="00CD39BB"/>
    <w:rsid w:val="00CD4DF0"/>
    <w:rsid w:val="00CD6A02"/>
    <w:rsid w:val="00CD6D8C"/>
    <w:rsid w:val="00CE0082"/>
    <w:rsid w:val="00CE2AC3"/>
    <w:rsid w:val="00CE46AD"/>
    <w:rsid w:val="00CE565B"/>
    <w:rsid w:val="00CE7A50"/>
    <w:rsid w:val="00CF022D"/>
    <w:rsid w:val="00CF53F9"/>
    <w:rsid w:val="00CF570F"/>
    <w:rsid w:val="00CF7209"/>
    <w:rsid w:val="00CF7F90"/>
    <w:rsid w:val="00D0096A"/>
    <w:rsid w:val="00D03F14"/>
    <w:rsid w:val="00D0545D"/>
    <w:rsid w:val="00D05C9E"/>
    <w:rsid w:val="00D0667D"/>
    <w:rsid w:val="00D06CDC"/>
    <w:rsid w:val="00D103E3"/>
    <w:rsid w:val="00D11FD0"/>
    <w:rsid w:val="00D1665E"/>
    <w:rsid w:val="00D16D5B"/>
    <w:rsid w:val="00D17CB9"/>
    <w:rsid w:val="00D2073B"/>
    <w:rsid w:val="00D208DC"/>
    <w:rsid w:val="00D2102C"/>
    <w:rsid w:val="00D214E6"/>
    <w:rsid w:val="00D223E3"/>
    <w:rsid w:val="00D229F8"/>
    <w:rsid w:val="00D24420"/>
    <w:rsid w:val="00D26DE8"/>
    <w:rsid w:val="00D31325"/>
    <w:rsid w:val="00D349C8"/>
    <w:rsid w:val="00D36274"/>
    <w:rsid w:val="00D40972"/>
    <w:rsid w:val="00D41378"/>
    <w:rsid w:val="00D41F8F"/>
    <w:rsid w:val="00D455CF"/>
    <w:rsid w:val="00D4650A"/>
    <w:rsid w:val="00D47BDD"/>
    <w:rsid w:val="00D50BF7"/>
    <w:rsid w:val="00D514F2"/>
    <w:rsid w:val="00D572B8"/>
    <w:rsid w:val="00D601E9"/>
    <w:rsid w:val="00D6085F"/>
    <w:rsid w:val="00D610A4"/>
    <w:rsid w:val="00D6137E"/>
    <w:rsid w:val="00D6281B"/>
    <w:rsid w:val="00D70102"/>
    <w:rsid w:val="00D70AB8"/>
    <w:rsid w:val="00D72B59"/>
    <w:rsid w:val="00D72F6E"/>
    <w:rsid w:val="00D73B01"/>
    <w:rsid w:val="00D741D7"/>
    <w:rsid w:val="00D801B5"/>
    <w:rsid w:val="00D81770"/>
    <w:rsid w:val="00D8381F"/>
    <w:rsid w:val="00D84BE3"/>
    <w:rsid w:val="00D86EB5"/>
    <w:rsid w:val="00D87C03"/>
    <w:rsid w:val="00D9079A"/>
    <w:rsid w:val="00D91A8B"/>
    <w:rsid w:val="00D925A0"/>
    <w:rsid w:val="00D92613"/>
    <w:rsid w:val="00D94AB5"/>
    <w:rsid w:val="00DA27D3"/>
    <w:rsid w:val="00DA4DAE"/>
    <w:rsid w:val="00DA4EDA"/>
    <w:rsid w:val="00DA701A"/>
    <w:rsid w:val="00DB6766"/>
    <w:rsid w:val="00DB6DF1"/>
    <w:rsid w:val="00DC0975"/>
    <w:rsid w:val="00DC281A"/>
    <w:rsid w:val="00DC282D"/>
    <w:rsid w:val="00DC292B"/>
    <w:rsid w:val="00DC4372"/>
    <w:rsid w:val="00DC4F27"/>
    <w:rsid w:val="00DD1066"/>
    <w:rsid w:val="00DD11C2"/>
    <w:rsid w:val="00DD2365"/>
    <w:rsid w:val="00DD418D"/>
    <w:rsid w:val="00DD6F77"/>
    <w:rsid w:val="00DD7F4E"/>
    <w:rsid w:val="00DE008E"/>
    <w:rsid w:val="00DE20AE"/>
    <w:rsid w:val="00DE516F"/>
    <w:rsid w:val="00DE63AF"/>
    <w:rsid w:val="00DF1DAE"/>
    <w:rsid w:val="00DF373C"/>
    <w:rsid w:val="00DF5852"/>
    <w:rsid w:val="00DF7D3E"/>
    <w:rsid w:val="00E03E4E"/>
    <w:rsid w:val="00E05089"/>
    <w:rsid w:val="00E05FA5"/>
    <w:rsid w:val="00E06303"/>
    <w:rsid w:val="00E066BD"/>
    <w:rsid w:val="00E074BD"/>
    <w:rsid w:val="00E07F34"/>
    <w:rsid w:val="00E11448"/>
    <w:rsid w:val="00E122EE"/>
    <w:rsid w:val="00E1690E"/>
    <w:rsid w:val="00E16C07"/>
    <w:rsid w:val="00E179E8"/>
    <w:rsid w:val="00E227EF"/>
    <w:rsid w:val="00E22FEF"/>
    <w:rsid w:val="00E23283"/>
    <w:rsid w:val="00E2669D"/>
    <w:rsid w:val="00E31132"/>
    <w:rsid w:val="00E31423"/>
    <w:rsid w:val="00E32368"/>
    <w:rsid w:val="00E32BE7"/>
    <w:rsid w:val="00E350E9"/>
    <w:rsid w:val="00E44E41"/>
    <w:rsid w:val="00E450C8"/>
    <w:rsid w:val="00E45F37"/>
    <w:rsid w:val="00E46146"/>
    <w:rsid w:val="00E47CEE"/>
    <w:rsid w:val="00E54D0A"/>
    <w:rsid w:val="00E57220"/>
    <w:rsid w:val="00E60F37"/>
    <w:rsid w:val="00E61B61"/>
    <w:rsid w:val="00E626F0"/>
    <w:rsid w:val="00E63558"/>
    <w:rsid w:val="00E637FE"/>
    <w:rsid w:val="00E71723"/>
    <w:rsid w:val="00E75D3D"/>
    <w:rsid w:val="00E7654D"/>
    <w:rsid w:val="00E806A3"/>
    <w:rsid w:val="00E817D1"/>
    <w:rsid w:val="00E82387"/>
    <w:rsid w:val="00E84A16"/>
    <w:rsid w:val="00E86C64"/>
    <w:rsid w:val="00E86F5F"/>
    <w:rsid w:val="00E87D58"/>
    <w:rsid w:val="00E9178D"/>
    <w:rsid w:val="00E939D7"/>
    <w:rsid w:val="00E947B3"/>
    <w:rsid w:val="00E95FBA"/>
    <w:rsid w:val="00E962D7"/>
    <w:rsid w:val="00E974CE"/>
    <w:rsid w:val="00E97BAA"/>
    <w:rsid w:val="00EA02BF"/>
    <w:rsid w:val="00EA0507"/>
    <w:rsid w:val="00EA0D87"/>
    <w:rsid w:val="00EA14C3"/>
    <w:rsid w:val="00EA6B4E"/>
    <w:rsid w:val="00EA6CD7"/>
    <w:rsid w:val="00EA795A"/>
    <w:rsid w:val="00EB29C7"/>
    <w:rsid w:val="00EB6466"/>
    <w:rsid w:val="00EC1801"/>
    <w:rsid w:val="00EC32CC"/>
    <w:rsid w:val="00EC34BE"/>
    <w:rsid w:val="00EC70B3"/>
    <w:rsid w:val="00EC7311"/>
    <w:rsid w:val="00ED42F7"/>
    <w:rsid w:val="00ED6140"/>
    <w:rsid w:val="00ED655E"/>
    <w:rsid w:val="00ED7A0C"/>
    <w:rsid w:val="00EE1953"/>
    <w:rsid w:val="00EE2DCB"/>
    <w:rsid w:val="00EE5B41"/>
    <w:rsid w:val="00EE5B48"/>
    <w:rsid w:val="00EE7EF5"/>
    <w:rsid w:val="00EF4E74"/>
    <w:rsid w:val="00EF63F0"/>
    <w:rsid w:val="00F00F6A"/>
    <w:rsid w:val="00F018E1"/>
    <w:rsid w:val="00F04222"/>
    <w:rsid w:val="00F0450D"/>
    <w:rsid w:val="00F05BDC"/>
    <w:rsid w:val="00F063EF"/>
    <w:rsid w:val="00F07FCF"/>
    <w:rsid w:val="00F10C49"/>
    <w:rsid w:val="00F132B7"/>
    <w:rsid w:val="00F20307"/>
    <w:rsid w:val="00F21753"/>
    <w:rsid w:val="00F21DD6"/>
    <w:rsid w:val="00F2232E"/>
    <w:rsid w:val="00F248D1"/>
    <w:rsid w:val="00F261F8"/>
    <w:rsid w:val="00F279F2"/>
    <w:rsid w:val="00F3745C"/>
    <w:rsid w:val="00F413DE"/>
    <w:rsid w:val="00F41668"/>
    <w:rsid w:val="00F42362"/>
    <w:rsid w:val="00F43E61"/>
    <w:rsid w:val="00F4765D"/>
    <w:rsid w:val="00F476BB"/>
    <w:rsid w:val="00F47E55"/>
    <w:rsid w:val="00F50247"/>
    <w:rsid w:val="00F52ABB"/>
    <w:rsid w:val="00F53D21"/>
    <w:rsid w:val="00F61EB1"/>
    <w:rsid w:val="00F64539"/>
    <w:rsid w:val="00F64B32"/>
    <w:rsid w:val="00F65C7D"/>
    <w:rsid w:val="00F72A99"/>
    <w:rsid w:val="00F72C74"/>
    <w:rsid w:val="00F72FF7"/>
    <w:rsid w:val="00F73803"/>
    <w:rsid w:val="00F74768"/>
    <w:rsid w:val="00F76E72"/>
    <w:rsid w:val="00F8163B"/>
    <w:rsid w:val="00F8181E"/>
    <w:rsid w:val="00F8661D"/>
    <w:rsid w:val="00F87A96"/>
    <w:rsid w:val="00F94829"/>
    <w:rsid w:val="00F95226"/>
    <w:rsid w:val="00F95633"/>
    <w:rsid w:val="00F95ABC"/>
    <w:rsid w:val="00FA092E"/>
    <w:rsid w:val="00FA15F7"/>
    <w:rsid w:val="00FA1685"/>
    <w:rsid w:val="00FA2AA5"/>
    <w:rsid w:val="00FA338B"/>
    <w:rsid w:val="00FA3BC0"/>
    <w:rsid w:val="00FA4BFD"/>
    <w:rsid w:val="00FB1496"/>
    <w:rsid w:val="00FB1862"/>
    <w:rsid w:val="00FB25BC"/>
    <w:rsid w:val="00FB6412"/>
    <w:rsid w:val="00FB7228"/>
    <w:rsid w:val="00FC01EC"/>
    <w:rsid w:val="00FC1AE7"/>
    <w:rsid w:val="00FC59F8"/>
    <w:rsid w:val="00FC5C29"/>
    <w:rsid w:val="00FC5F37"/>
    <w:rsid w:val="00FC7653"/>
    <w:rsid w:val="00FC7F62"/>
    <w:rsid w:val="00FD1D4F"/>
    <w:rsid w:val="00FD250D"/>
    <w:rsid w:val="00FD299F"/>
    <w:rsid w:val="00FD3EA5"/>
    <w:rsid w:val="00FD69E8"/>
    <w:rsid w:val="00FD7AE2"/>
    <w:rsid w:val="00FE38B6"/>
    <w:rsid w:val="00FE459A"/>
    <w:rsid w:val="00FE7E42"/>
    <w:rsid w:val="00FF03C6"/>
    <w:rsid w:val="00FF20EA"/>
    <w:rsid w:val="00FF33B0"/>
    <w:rsid w:val="00FF4C9A"/>
    <w:rsid w:val="00FF4F77"/>
    <w:rsid w:val="00FF50EC"/>
    <w:rsid w:val="00FF7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076343"/>
  <w15:chartTrackingRefBased/>
  <w15:docId w15:val="{D53F7C72-1FCC-4336-9EC5-20C27D5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2B0"/>
  </w:style>
  <w:style w:type="paragraph" w:styleId="Heading1">
    <w:name w:val="heading 1"/>
    <w:basedOn w:val="Normal"/>
    <w:next w:val="Normal"/>
    <w:link w:val="Heading1Char"/>
    <w:uiPriority w:val="9"/>
    <w:qFormat/>
    <w:rsid w:val="00120370"/>
    <w:pPr>
      <w:keepNext/>
      <w:keepLines/>
      <w:numPr>
        <w:numId w:val="12"/>
      </w:numPr>
      <w:tabs>
        <w:tab w:val="left" w:pos="426"/>
      </w:tabs>
      <w:suppressAutoHyphens/>
      <w:autoSpaceDE w:val="0"/>
      <w:autoSpaceDN w:val="0"/>
      <w:adjustRightInd w:val="0"/>
      <w:spacing w:before="240" w:after="120" w:line="276" w:lineRule="auto"/>
      <w:textAlignment w:val="center"/>
      <w:outlineLvl w:val="0"/>
    </w:pPr>
    <w:rPr>
      <w:rFonts w:asciiTheme="majorHAnsi" w:eastAsiaTheme="majorEastAsia" w:hAnsiTheme="majorHAnsi" w:cstheme="majorBidi"/>
      <w:bCs/>
      <w:color w:val="2E74B5" w:themeColor="accent1" w:themeShade="BF"/>
      <w:sz w:val="32"/>
      <w:szCs w:val="32"/>
      <w:lang w:val="en-US" w:eastAsia="en-AU"/>
    </w:rPr>
  </w:style>
  <w:style w:type="paragraph" w:styleId="Heading2">
    <w:name w:val="heading 2"/>
    <w:basedOn w:val="Normal"/>
    <w:next w:val="Normal"/>
    <w:link w:val="Heading2Char"/>
    <w:uiPriority w:val="9"/>
    <w:unhideWhenUsed/>
    <w:qFormat/>
    <w:rsid w:val="003C1A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1A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AF4669"/>
    <w:pPr>
      <w:keepNext/>
      <w:keepLines/>
      <w:spacing w:after="80" w:line="240" w:lineRule="auto"/>
      <w:outlineLvl w:val="3"/>
    </w:pPr>
    <w:rPr>
      <w:rFonts w:ascii="Cambria" w:eastAsia="Times New Roman" w:hAnsi="Cambria" w:cs="Times New Roman"/>
      <w:b/>
      <w:bCs/>
      <w:i/>
      <w:iCs/>
      <w:color w:val="4F81BD"/>
      <w:sz w:val="24"/>
      <w:szCs w:val="24"/>
      <w:lang w:eastAsia="en-AU"/>
    </w:rPr>
  </w:style>
  <w:style w:type="paragraph" w:styleId="Heading5">
    <w:name w:val="heading 5"/>
    <w:basedOn w:val="Normal"/>
    <w:next w:val="Normal"/>
    <w:link w:val="Heading5Char"/>
    <w:uiPriority w:val="9"/>
    <w:unhideWhenUsed/>
    <w:qFormat/>
    <w:rsid w:val="003C1A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3F230B"/>
    <w:pPr>
      <w:spacing w:after="200" w:line="276" w:lineRule="auto"/>
      <w:ind w:left="720"/>
      <w:contextualSpacing/>
    </w:pPr>
    <w:rPr>
      <w:rFonts w:ascii="Arial" w:hAnsi="Arial"/>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Bullet points Char,Content descriptions Char"/>
    <w:basedOn w:val="DefaultParagraphFont"/>
    <w:link w:val="ListParagraph"/>
    <w:uiPriority w:val="34"/>
    <w:locked/>
    <w:rsid w:val="003F230B"/>
    <w:rPr>
      <w:rFonts w:ascii="Arial" w:hAnsi="Arial"/>
    </w:rPr>
  </w:style>
  <w:style w:type="character" w:customStyle="1" w:styleId="Heading4Char">
    <w:name w:val="Heading 4 Char"/>
    <w:basedOn w:val="DefaultParagraphFont"/>
    <w:link w:val="Heading4"/>
    <w:uiPriority w:val="9"/>
    <w:rsid w:val="00AF4669"/>
    <w:rPr>
      <w:rFonts w:ascii="Cambria" w:eastAsia="Times New Roman" w:hAnsi="Cambria" w:cs="Times New Roman"/>
      <w:b/>
      <w:bCs/>
      <w:i/>
      <w:iCs/>
      <w:color w:val="4F81BD"/>
      <w:sz w:val="24"/>
      <w:szCs w:val="24"/>
      <w:lang w:eastAsia="en-AU"/>
    </w:rPr>
  </w:style>
  <w:style w:type="table" w:styleId="TableGrid">
    <w:name w:val="Table Grid"/>
    <w:basedOn w:val="TableNormal"/>
    <w:uiPriority w:val="39"/>
    <w:rsid w:val="00AF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F4669"/>
    <w:rPr>
      <w:i/>
      <w:iCs/>
    </w:rPr>
  </w:style>
  <w:style w:type="paragraph" w:styleId="Header">
    <w:name w:val="header"/>
    <w:basedOn w:val="Normal"/>
    <w:link w:val="HeaderChar"/>
    <w:uiPriority w:val="99"/>
    <w:unhideWhenUsed/>
    <w:rsid w:val="00AF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669"/>
  </w:style>
  <w:style w:type="paragraph" w:styleId="Footer">
    <w:name w:val="footer"/>
    <w:basedOn w:val="Normal"/>
    <w:link w:val="FooterChar"/>
    <w:uiPriority w:val="99"/>
    <w:unhideWhenUsed/>
    <w:rsid w:val="00AF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669"/>
  </w:style>
  <w:style w:type="paragraph" w:styleId="BalloonText">
    <w:name w:val="Balloon Text"/>
    <w:basedOn w:val="Normal"/>
    <w:link w:val="BalloonTextChar"/>
    <w:uiPriority w:val="99"/>
    <w:semiHidden/>
    <w:unhideWhenUsed/>
    <w:rsid w:val="00AF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69"/>
    <w:rPr>
      <w:rFonts w:ascii="Segoe UI" w:hAnsi="Segoe UI" w:cs="Segoe UI"/>
      <w:sz w:val="18"/>
      <w:szCs w:val="18"/>
    </w:rPr>
  </w:style>
  <w:style w:type="character" w:styleId="FootnoteReference">
    <w:name w:val="footnote reference"/>
    <w:basedOn w:val="DefaultParagraphFont"/>
    <w:uiPriority w:val="99"/>
    <w:unhideWhenUsed/>
    <w:rsid w:val="00AF4669"/>
    <w:rPr>
      <w:vertAlign w:val="superscript"/>
    </w:rPr>
  </w:style>
  <w:style w:type="paragraph" w:styleId="FootnoteText">
    <w:name w:val="footnote text"/>
    <w:aliases w:val="Footnote Text Char1 Char,Footnote Text Char Char1 Char,Footnote Text Char Char Char Char Char1,Footnote Text Char Char Char,Footnote Text Char Char Char Char"/>
    <w:basedOn w:val="Normal"/>
    <w:link w:val="FootnoteTextChar"/>
    <w:uiPriority w:val="99"/>
    <w:unhideWhenUsed/>
    <w:rsid w:val="00AF4669"/>
    <w:pPr>
      <w:spacing w:after="0" w:line="240" w:lineRule="auto"/>
    </w:pPr>
    <w:rPr>
      <w:sz w:val="20"/>
      <w:szCs w:val="20"/>
    </w:rPr>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uiPriority w:val="99"/>
    <w:rsid w:val="00AF4669"/>
    <w:rPr>
      <w:sz w:val="20"/>
      <w:szCs w:val="20"/>
    </w:rPr>
  </w:style>
  <w:style w:type="character" w:styleId="CommentReference">
    <w:name w:val="annotation reference"/>
    <w:basedOn w:val="DefaultParagraphFont"/>
    <w:uiPriority w:val="99"/>
    <w:semiHidden/>
    <w:unhideWhenUsed/>
    <w:rsid w:val="00AF4669"/>
    <w:rPr>
      <w:sz w:val="16"/>
      <w:szCs w:val="16"/>
    </w:rPr>
  </w:style>
  <w:style w:type="paragraph" w:styleId="CommentText">
    <w:name w:val="annotation text"/>
    <w:basedOn w:val="Normal"/>
    <w:link w:val="CommentTextChar"/>
    <w:uiPriority w:val="99"/>
    <w:semiHidden/>
    <w:unhideWhenUsed/>
    <w:rsid w:val="00AF4669"/>
    <w:pPr>
      <w:spacing w:line="240" w:lineRule="auto"/>
    </w:pPr>
    <w:rPr>
      <w:sz w:val="20"/>
      <w:szCs w:val="20"/>
    </w:rPr>
  </w:style>
  <w:style w:type="character" w:customStyle="1" w:styleId="CommentTextChar">
    <w:name w:val="Comment Text Char"/>
    <w:basedOn w:val="DefaultParagraphFont"/>
    <w:link w:val="CommentText"/>
    <w:uiPriority w:val="99"/>
    <w:semiHidden/>
    <w:rsid w:val="00AF4669"/>
    <w:rPr>
      <w:sz w:val="20"/>
      <w:szCs w:val="20"/>
    </w:rPr>
  </w:style>
  <w:style w:type="paragraph" w:styleId="CommentSubject">
    <w:name w:val="annotation subject"/>
    <w:basedOn w:val="CommentText"/>
    <w:next w:val="CommentText"/>
    <w:link w:val="CommentSubjectChar"/>
    <w:uiPriority w:val="99"/>
    <w:semiHidden/>
    <w:unhideWhenUsed/>
    <w:rsid w:val="00AF4669"/>
    <w:rPr>
      <w:b/>
      <w:bCs/>
    </w:rPr>
  </w:style>
  <w:style w:type="character" w:customStyle="1" w:styleId="CommentSubjectChar">
    <w:name w:val="Comment Subject Char"/>
    <w:basedOn w:val="CommentTextChar"/>
    <w:link w:val="CommentSubject"/>
    <w:uiPriority w:val="99"/>
    <w:semiHidden/>
    <w:rsid w:val="00AF4669"/>
    <w:rPr>
      <w:b/>
      <w:bCs/>
      <w:sz w:val="20"/>
      <w:szCs w:val="20"/>
    </w:rPr>
  </w:style>
  <w:style w:type="character" w:styleId="BookTitle">
    <w:name w:val="Book Title"/>
    <w:uiPriority w:val="33"/>
    <w:qFormat/>
    <w:rsid w:val="00AF4669"/>
    <w:rPr>
      <w:i/>
      <w:iCs/>
      <w:smallCaps/>
      <w:spacing w:val="5"/>
    </w:rPr>
  </w:style>
  <w:style w:type="paragraph" w:customStyle="1" w:styleId="ListStyle1">
    <w:name w:val="List Style 1"/>
    <w:basedOn w:val="ListParagraph"/>
    <w:link w:val="ListStyle1Char"/>
    <w:qFormat/>
    <w:rsid w:val="004A6241"/>
    <w:pPr>
      <w:numPr>
        <w:numId w:val="2"/>
      </w:numPr>
      <w:spacing w:after="120"/>
    </w:pPr>
    <w:rPr>
      <w:rFonts w:ascii="Century Gothic" w:hAnsi="Century Gothic"/>
      <w:sz w:val="18"/>
      <w:lang w:val="en-US"/>
    </w:rPr>
  </w:style>
  <w:style w:type="character" w:customStyle="1" w:styleId="ListStyle1Char">
    <w:name w:val="List Style 1 Char"/>
    <w:basedOn w:val="DefaultParagraphFont"/>
    <w:link w:val="ListStyle1"/>
    <w:rsid w:val="00AF4669"/>
    <w:rPr>
      <w:rFonts w:ascii="Century Gothic" w:hAnsi="Century Gothic"/>
      <w:sz w:val="18"/>
      <w:lang w:val="en-US"/>
    </w:rPr>
  </w:style>
  <w:style w:type="character" w:styleId="Hyperlink">
    <w:name w:val="Hyperlink"/>
    <w:basedOn w:val="DefaultParagraphFont"/>
    <w:uiPriority w:val="99"/>
    <w:unhideWhenUsed/>
    <w:rsid w:val="00AF4669"/>
    <w:rPr>
      <w:color w:val="0563C1" w:themeColor="hyperlink"/>
      <w:u w:val="single"/>
    </w:rPr>
  </w:style>
  <w:style w:type="character" w:styleId="FollowedHyperlink">
    <w:name w:val="FollowedHyperlink"/>
    <w:basedOn w:val="DefaultParagraphFont"/>
    <w:uiPriority w:val="99"/>
    <w:semiHidden/>
    <w:unhideWhenUsed/>
    <w:rsid w:val="00AF4669"/>
    <w:rPr>
      <w:color w:val="954F72" w:themeColor="followedHyperlink"/>
      <w:u w:val="single"/>
    </w:rPr>
  </w:style>
  <w:style w:type="paragraph" w:styleId="Revision">
    <w:name w:val="Revision"/>
    <w:hidden/>
    <w:uiPriority w:val="99"/>
    <w:semiHidden/>
    <w:rsid w:val="00AF4669"/>
    <w:pPr>
      <w:spacing w:after="0" w:line="240" w:lineRule="auto"/>
    </w:pPr>
  </w:style>
  <w:style w:type="paragraph" w:styleId="EndnoteText">
    <w:name w:val="endnote text"/>
    <w:basedOn w:val="Normal"/>
    <w:link w:val="EndnoteTextChar"/>
    <w:uiPriority w:val="99"/>
    <w:semiHidden/>
    <w:unhideWhenUsed/>
    <w:rsid w:val="007C74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740C"/>
    <w:rPr>
      <w:sz w:val="20"/>
      <w:szCs w:val="20"/>
    </w:rPr>
  </w:style>
  <w:style w:type="character" w:styleId="EndnoteReference">
    <w:name w:val="endnote reference"/>
    <w:basedOn w:val="DefaultParagraphFont"/>
    <w:uiPriority w:val="99"/>
    <w:semiHidden/>
    <w:unhideWhenUsed/>
    <w:rsid w:val="007C740C"/>
    <w:rPr>
      <w:vertAlign w:val="superscript"/>
    </w:rPr>
  </w:style>
  <w:style w:type="character" w:customStyle="1" w:styleId="Heading1Char">
    <w:name w:val="Heading 1 Char"/>
    <w:basedOn w:val="DefaultParagraphFont"/>
    <w:link w:val="Heading1"/>
    <w:uiPriority w:val="9"/>
    <w:rsid w:val="00120370"/>
    <w:rPr>
      <w:rFonts w:asciiTheme="majorHAnsi" w:eastAsiaTheme="majorEastAsia" w:hAnsiTheme="majorHAnsi" w:cstheme="majorBidi"/>
      <w:bCs/>
      <w:color w:val="2E74B5" w:themeColor="accent1" w:themeShade="BF"/>
      <w:sz w:val="32"/>
      <w:szCs w:val="32"/>
      <w:lang w:val="en-US" w:eastAsia="en-AU"/>
    </w:rPr>
  </w:style>
  <w:style w:type="character" w:customStyle="1" w:styleId="Heading2Char">
    <w:name w:val="Heading 2 Char"/>
    <w:basedOn w:val="DefaultParagraphFont"/>
    <w:link w:val="Heading2"/>
    <w:uiPriority w:val="9"/>
    <w:rsid w:val="003C1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1A97"/>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3C1A97"/>
    <w:rPr>
      <w:rFonts w:asciiTheme="majorHAnsi" w:eastAsiaTheme="majorEastAsia" w:hAnsiTheme="majorHAnsi" w:cstheme="majorBidi"/>
      <w:color w:val="2E74B5" w:themeColor="accent1" w:themeShade="BF"/>
    </w:rPr>
  </w:style>
  <w:style w:type="paragraph" w:customStyle="1" w:styleId="h2">
    <w:name w:val="h2"/>
    <w:basedOn w:val="Heading1"/>
    <w:link w:val="h2Char"/>
    <w:qFormat/>
    <w:rsid w:val="00AD0935"/>
    <w:pPr>
      <w:numPr>
        <w:numId w:val="1"/>
      </w:numPr>
      <w:spacing w:before="120"/>
      <w:outlineLvl w:val="1"/>
    </w:pPr>
  </w:style>
  <w:style w:type="paragraph" w:customStyle="1" w:styleId="h3">
    <w:name w:val="h3"/>
    <w:basedOn w:val="Normal"/>
    <w:link w:val="h3Char"/>
    <w:qFormat/>
    <w:rsid w:val="00AD0935"/>
    <w:pPr>
      <w:spacing w:after="120"/>
      <w:outlineLvl w:val="2"/>
    </w:pPr>
    <w:rPr>
      <w:rFonts w:asciiTheme="majorHAnsi" w:eastAsiaTheme="majorEastAsia" w:hAnsiTheme="majorHAnsi" w:cstheme="majorBidi"/>
      <w:bCs/>
      <w:color w:val="2E74B5" w:themeColor="accent1" w:themeShade="BF"/>
      <w:sz w:val="26"/>
      <w:szCs w:val="26"/>
      <w:lang w:val="en-GB" w:eastAsia="en-AU"/>
    </w:rPr>
  </w:style>
  <w:style w:type="character" w:customStyle="1" w:styleId="h2Char">
    <w:name w:val="h2 Char"/>
    <w:basedOn w:val="Heading1Char"/>
    <w:link w:val="h2"/>
    <w:rsid w:val="00AD0935"/>
    <w:rPr>
      <w:rFonts w:asciiTheme="majorHAnsi" w:eastAsiaTheme="majorEastAsia" w:hAnsiTheme="majorHAnsi" w:cstheme="majorBidi"/>
      <w:bCs/>
      <w:color w:val="2E74B5" w:themeColor="accent1" w:themeShade="BF"/>
      <w:sz w:val="32"/>
      <w:szCs w:val="32"/>
      <w:lang w:val="en-US" w:eastAsia="en-AU"/>
    </w:rPr>
  </w:style>
  <w:style w:type="paragraph" w:customStyle="1" w:styleId="h4">
    <w:name w:val="h4"/>
    <w:basedOn w:val="Heading5"/>
    <w:link w:val="h4Char"/>
    <w:qFormat/>
    <w:rsid w:val="00AD0935"/>
    <w:pPr>
      <w:outlineLvl w:val="3"/>
    </w:pPr>
    <w:rPr>
      <w:lang w:val="en-GB"/>
    </w:rPr>
  </w:style>
  <w:style w:type="character" w:customStyle="1" w:styleId="h3Char">
    <w:name w:val="h3 Char"/>
    <w:basedOn w:val="DefaultParagraphFont"/>
    <w:link w:val="h3"/>
    <w:rsid w:val="00AD0935"/>
    <w:rPr>
      <w:rFonts w:asciiTheme="majorHAnsi" w:eastAsiaTheme="majorEastAsia" w:hAnsiTheme="majorHAnsi" w:cstheme="majorBidi"/>
      <w:bCs/>
      <w:color w:val="2E74B5" w:themeColor="accent1" w:themeShade="BF"/>
      <w:sz w:val="26"/>
      <w:szCs w:val="26"/>
      <w:lang w:val="en-GB" w:eastAsia="en-AU"/>
    </w:rPr>
  </w:style>
  <w:style w:type="character" w:customStyle="1" w:styleId="h4Char">
    <w:name w:val="h4 Char"/>
    <w:basedOn w:val="Heading5Char"/>
    <w:link w:val="h4"/>
    <w:rsid w:val="00AD0935"/>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92000">
      <w:bodyDiv w:val="1"/>
      <w:marLeft w:val="0"/>
      <w:marRight w:val="0"/>
      <w:marTop w:val="0"/>
      <w:marBottom w:val="0"/>
      <w:divBdr>
        <w:top w:val="none" w:sz="0" w:space="0" w:color="auto"/>
        <w:left w:val="none" w:sz="0" w:space="0" w:color="auto"/>
        <w:bottom w:val="none" w:sz="0" w:space="0" w:color="auto"/>
        <w:right w:val="none" w:sz="0" w:space="0" w:color="auto"/>
      </w:divBdr>
    </w:div>
    <w:div w:id="267469422">
      <w:bodyDiv w:val="1"/>
      <w:marLeft w:val="0"/>
      <w:marRight w:val="0"/>
      <w:marTop w:val="0"/>
      <w:marBottom w:val="0"/>
      <w:divBdr>
        <w:top w:val="none" w:sz="0" w:space="0" w:color="auto"/>
        <w:left w:val="none" w:sz="0" w:space="0" w:color="auto"/>
        <w:bottom w:val="none" w:sz="0" w:space="0" w:color="auto"/>
        <w:right w:val="none" w:sz="0" w:space="0" w:color="auto"/>
      </w:divBdr>
    </w:div>
    <w:div w:id="353386675">
      <w:bodyDiv w:val="1"/>
      <w:marLeft w:val="0"/>
      <w:marRight w:val="0"/>
      <w:marTop w:val="0"/>
      <w:marBottom w:val="0"/>
      <w:divBdr>
        <w:top w:val="none" w:sz="0" w:space="0" w:color="auto"/>
        <w:left w:val="none" w:sz="0" w:space="0" w:color="auto"/>
        <w:bottom w:val="none" w:sz="0" w:space="0" w:color="auto"/>
        <w:right w:val="none" w:sz="0" w:space="0" w:color="auto"/>
      </w:divBdr>
    </w:div>
    <w:div w:id="424957975">
      <w:bodyDiv w:val="1"/>
      <w:marLeft w:val="0"/>
      <w:marRight w:val="0"/>
      <w:marTop w:val="0"/>
      <w:marBottom w:val="0"/>
      <w:divBdr>
        <w:top w:val="none" w:sz="0" w:space="0" w:color="auto"/>
        <w:left w:val="none" w:sz="0" w:space="0" w:color="auto"/>
        <w:bottom w:val="none" w:sz="0" w:space="0" w:color="auto"/>
        <w:right w:val="none" w:sz="0" w:space="0" w:color="auto"/>
      </w:divBdr>
    </w:div>
    <w:div w:id="431319664">
      <w:bodyDiv w:val="1"/>
      <w:marLeft w:val="0"/>
      <w:marRight w:val="0"/>
      <w:marTop w:val="0"/>
      <w:marBottom w:val="0"/>
      <w:divBdr>
        <w:top w:val="none" w:sz="0" w:space="0" w:color="auto"/>
        <w:left w:val="none" w:sz="0" w:space="0" w:color="auto"/>
        <w:bottom w:val="none" w:sz="0" w:space="0" w:color="auto"/>
        <w:right w:val="none" w:sz="0" w:space="0" w:color="auto"/>
      </w:divBdr>
    </w:div>
    <w:div w:id="556009251">
      <w:bodyDiv w:val="1"/>
      <w:marLeft w:val="0"/>
      <w:marRight w:val="0"/>
      <w:marTop w:val="0"/>
      <w:marBottom w:val="0"/>
      <w:divBdr>
        <w:top w:val="none" w:sz="0" w:space="0" w:color="auto"/>
        <w:left w:val="none" w:sz="0" w:space="0" w:color="auto"/>
        <w:bottom w:val="none" w:sz="0" w:space="0" w:color="auto"/>
        <w:right w:val="none" w:sz="0" w:space="0" w:color="auto"/>
      </w:divBdr>
    </w:div>
    <w:div w:id="812216607">
      <w:bodyDiv w:val="1"/>
      <w:marLeft w:val="0"/>
      <w:marRight w:val="0"/>
      <w:marTop w:val="0"/>
      <w:marBottom w:val="0"/>
      <w:divBdr>
        <w:top w:val="none" w:sz="0" w:space="0" w:color="auto"/>
        <w:left w:val="none" w:sz="0" w:space="0" w:color="auto"/>
        <w:bottom w:val="none" w:sz="0" w:space="0" w:color="auto"/>
        <w:right w:val="none" w:sz="0" w:space="0" w:color="auto"/>
      </w:divBdr>
    </w:div>
    <w:div w:id="825633288">
      <w:bodyDiv w:val="1"/>
      <w:marLeft w:val="0"/>
      <w:marRight w:val="0"/>
      <w:marTop w:val="0"/>
      <w:marBottom w:val="0"/>
      <w:divBdr>
        <w:top w:val="none" w:sz="0" w:space="0" w:color="auto"/>
        <w:left w:val="none" w:sz="0" w:space="0" w:color="auto"/>
        <w:bottom w:val="none" w:sz="0" w:space="0" w:color="auto"/>
        <w:right w:val="none" w:sz="0" w:space="0" w:color="auto"/>
      </w:divBdr>
    </w:div>
    <w:div w:id="1005475883">
      <w:bodyDiv w:val="1"/>
      <w:marLeft w:val="0"/>
      <w:marRight w:val="0"/>
      <w:marTop w:val="0"/>
      <w:marBottom w:val="0"/>
      <w:divBdr>
        <w:top w:val="none" w:sz="0" w:space="0" w:color="auto"/>
        <w:left w:val="none" w:sz="0" w:space="0" w:color="auto"/>
        <w:bottom w:val="none" w:sz="0" w:space="0" w:color="auto"/>
        <w:right w:val="none" w:sz="0" w:space="0" w:color="auto"/>
      </w:divBdr>
    </w:div>
    <w:div w:id="1018049026">
      <w:bodyDiv w:val="1"/>
      <w:marLeft w:val="0"/>
      <w:marRight w:val="0"/>
      <w:marTop w:val="0"/>
      <w:marBottom w:val="0"/>
      <w:divBdr>
        <w:top w:val="none" w:sz="0" w:space="0" w:color="auto"/>
        <w:left w:val="none" w:sz="0" w:space="0" w:color="auto"/>
        <w:bottom w:val="none" w:sz="0" w:space="0" w:color="auto"/>
        <w:right w:val="none" w:sz="0" w:space="0" w:color="auto"/>
      </w:divBdr>
    </w:div>
    <w:div w:id="1067000165">
      <w:bodyDiv w:val="1"/>
      <w:marLeft w:val="0"/>
      <w:marRight w:val="0"/>
      <w:marTop w:val="0"/>
      <w:marBottom w:val="0"/>
      <w:divBdr>
        <w:top w:val="none" w:sz="0" w:space="0" w:color="auto"/>
        <w:left w:val="none" w:sz="0" w:space="0" w:color="auto"/>
        <w:bottom w:val="none" w:sz="0" w:space="0" w:color="auto"/>
        <w:right w:val="none" w:sz="0" w:space="0" w:color="auto"/>
      </w:divBdr>
    </w:div>
    <w:div w:id="1275014751">
      <w:bodyDiv w:val="1"/>
      <w:marLeft w:val="0"/>
      <w:marRight w:val="0"/>
      <w:marTop w:val="0"/>
      <w:marBottom w:val="0"/>
      <w:divBdr>
        <w:top w:val="none" w:sz="0" w:space="0" w:color="auto"/>
        <w:left w:val="none" w:sz="0" w:space="0" w:color="auto"/>
        <w:bottom w:val="none" w:sz="0" w:space="0" w:color="auto"/>
        <w:right w:val="none" w:sz="0" w:space="0" w:color="auto"/>
      </w:divBdr>
    </w:div>
    <w:div w:id="1374034795">
      <w:bodyDiv w:val="1"/>
      <w:marLeft w:val="0"/>
      <w:marRight w:val="0"/>
      <w:marTop w:val="0"/>
      <w:marBottom w:val="0"/>
      <w:divBdr>
        <w:top w:val="none" w:sz="0" w:space="0" w:color="auto"/>
        <w:left w:val="none" w:sz="0" w:space="0" w:color="auto"/>
        <w:bottom w:val="none" w:sz="0" w:space="0" w:color="auto"/>
        <w:right w:val="none" w:sz="0" w:space="0" w:color="auto"/>
      </w:divBdr>
    </w:div>
    <w:div w:id="1518041051">
      <w:bodyDiv w:val="1"/>
      <w:marLeft w:val="0"/>
      <w:marRight w:val="0"/>
      <w:marTop w:val="0"/>
      <w:marBottom w:val="0"/>
      <w:divBdr>
        <w:top w:val="none" w:sz="0" w:space="0" w:color="auto"/>
        <w:left w:val="none" w:sz="0" w:space="0" w:color="auto"/>
        <w:bottom w:val="none" w:sz="0" w:space="0" w:color="auto"/>
        <w:right w:val="none" w:sz="0" w:space="0" w:color="auto"/>
      </w:divBdr>
    </w:div>
    <w:div w:id="1612736777">
      <w:bodyDiv w:val="1"/>
      <w:marLeft w:val="0"/>
      <w:marRight w:val="0"/>
      <w:marTop w:val="0"/>
      <w:marBottom w:val="0"/>
      <w:divBdr>
        <w:top w:val="none" w:sz="0" w:space="0" w:color="auto"/>
        <w:left w:val="none" w:sz="0" w:space="0" w:color="auto"/>
        <w:bottom w:val="none" w:sz="0" w:space="0" w:color="auto"/>
        <w:right w:val="none" w:sz="0" w:space="0" w:color="auto"/>
      </w:divBdr>
    </w:div>
    <w:div w:id="1671790143">
      <w:bodyDiv w:val="1"/>
      <w:marLeft w:val="0"/>
      <w:marRight w:val="0"/>
      <w:marTop w:val="0"/>
      <w:marBottom w:val="0"/>
      <w:divBdr>
        <w:top w:val="none" w:sz="0" w:space="0" w:color="auto"/>
        <w:left w:val="none" w:sz="0" w:space="0" w:color="auto"/>
        <w:bottom w:val="none" w:sz="0" w:space="0" w:color="auto"/>
        <w:right w:val="none" w:sz="0" w:space="0" w:color="auto"/>
      </w:divBdr>
    </w:div>
    <w:div w:id="1716809431">
      <w:bodyDiv w:val="1"/>
      <w:marLeft w:val="0"/>
      <w:marRight w:val="0"/>
      <w:marTop w:val="0"/>
      <w:marBottom w:val="0"/>
      <w:divBdr>
        <w:top w:val="none" w:sz="0" w:space="0" w:color="auto"/>
        <w:left w:val="none" w:sz="0" w:space="0" w:color="auto"/>
        <w:bottom w:val="none" w:sz="0" w:space="0" w:color="auto"/>
        <w:right w:val="none" w:sz="0" w:space="0" w:color="auto"/>
      </w:divBdr>
    </w:div>
    <w:div w:id="1805809374">
      <w:bodyDiv w:val="1"/>
      <w:marLeft w:val="0"/>
      <w:marRight w:val="0"/>
      <w:marTop w:val="0"/>
      <w:marBottom w:val="0"/>
      <w:divBdr>
        <w:top w:val="none" w:sz="0" w:space="0" w:color="auto"/>
        <w:left w:val="none" w:sz="0" w:space="0" w:color="auto"/>
        <w:bottom w:val="none" w:sz="0" w:space="0" w:color="auto"/>
        <w:right w:val="none" w:sz="0" w:space="0" w:color="auto"/>
      </w:divBdr>
    </w:div>
    <w:div w:id="1896811607">
      <w:bodyDiv w:val="1"/>
      <w:marLeft w:val="0"/>
      <w:marRight w:val="0"/>
      <w:marTop w:val="0"/>
      <w:marBottom w:val="0"/>
      <w:divBdr>
        <w:top w:val="none" w:sz="0" w:space="0" w:color="auto"/>
        <w:left w:val="none" w:sz="0" w:space="0" w:color="auto"/>
        <w:bottom w:val="none" w:sz="0" w:space="0" w:color="auto"/>
        <w:right w:val="none" w:sz="0" w:space="0" w:color="auto"/>
      </w:divBdr>
    </w:div>
    <w:div w:id="2017801008">
      <w:bodyDiv w:val="1"/>
      <w:marLeft w:val="0"/>
      <w:marRight w:val="0"/>
      <w:marTop w:val="0"/>
      <w:marBottom w:val="0"/>
      <w:divBdr>
        <w:top w:val="none" w:sz="0" w:space="0" w:color="auto"/>
        <w:left w:val="none" w:sz="0" w:space="0" w:color="auto"/>
        <w:bottom w:val="none" w:sz="0" w:space="0" w:color="auto"/>
        <w:right w:val="none" w:sz="0" w:space="0" w:color="auto"/>
      </w:divBdr>
    </w:div>
    <w:div w:id="2084794189">
      <w:bodyDiv w:val="1"/>
      <w:marLeft w:val="0"/>
      <w:marRight w:val="0"/>
      <w:marTop w:val="0"/>
      <w:marBottom w:val="0"/>
      <w:divBdr>
        <w:top w:val="none" w:sz="0" w:space="0" w:color="auto"/>
        <w:left w:val="none" w:sz="0" w:space="0" w:color="auto"/>
        <w:bottom w:val="none" w:sz="0" w:space="0" w:color="auto"/>
        <w:right w:val="none" w:sz="0" w:space="0" w:color="auto"/>
      </w:divBdr>
    </w:div>
    <w:div w:id="2098860818">
      <w:bodyDiv w:val="1"/>
      <w:marLeft w:val="0"/>
      <w:marRight w:val="0"/>
      <w:marTop w:val="0"/>
      <w:marBottom w:val="0"/>
      <w:divBdr>
        <w:top w:val="none" w:sz="0" w:space="0" w:color="auto"/>
        <w:left w:val="none" w:sz="0" w:space="0" w:color="auto"/>
        <w:bottom w:val="none" w:sz="0" w:space="0" w:color="auto"/>
        <w:right w:val="none" w:sz="0" w:space="0" w:color="auto"/>
      </w:divBdr>
      <w:divsChild>
        <w:div w:id="903954476">
          <w:marLeft w:val="547"/>
          <w:marRight w:val="0"/>
          <w:marTop w:val="58"/>
          <w:marBottom w:val="60"/>
          <w:divBdr>
            <w:top w:val="none" w:sz="0" w:space="0" w:color="auto"/>
            <w:left w:val="none" w:sz="0" w:space="0" w:color="auto"/>
            <w:bottom w:val="none" w:sz="0" w:space="0" w:color="auto"/>
            <w:right w:val="none" w:sz="0" w:space="0" w:color="auto"/>
          </w:divBdr>
        </w:div>
        <w:div w:id="1826241586">
          <w:marLeft w:val="1166"/>
          <w:marRight w:val="0"/>
          <w:marTop w:val="58"/>
          <w:marBottom w:val="60"/>
          <w:divBdr>
            <w:top w:val="none" w:sz="0" w:space="0" w:color="auto"/>
            <w:left w:val="none" w:sz="0" w:space="0" w:color="auto"/>
            <w:bottom w:val="none" w:sz="0" w:space="0" w:color="auto"/>
            <w:right w:val="none" w:sz="0" w:space="0" w:color="auto"/>
          </w:divBdr>
        </w:div>
        <w:div w:id="851380015">
          <w:marLeft w:val="1166"/>
          <w:marRight w:val="0"/>
          <w:marTop w:val="58"/>
          <w:marBottom w:val="60"/>
          <w:divBdr>
            <w:top w:val="none" w:sz="0" w:space="0" w:color="auto"/>
            <w:left w:val="none" w:sz="0" w:space="0" w:color="auto"/>
            <w:bottom w:val="none" w:sz="0" w:space="0" w:color="auto"/>
            <w:right w:val="none" w:sz="0" w:space="0" w:color="auto"/>
          </w:divBdr>
        </w:div>
        <w:div w:id="1414545939">
          <w:marLeft w:val="1166"/>
          <w:marRight w:val="0"/>
          <w:marTop w:val="58"/>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4519D.13D4DE60" TargetMode="External"/><Relationship Id="rId18" Type="http://schemas.openxmlformats.org/officeDocument/2006/relationships/hyperlink" Target="http://guides.dss.gov.au/abstudy-policy-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pmc.gov.au/resource-centre/indigenous-affairs/indigenous-advancement-strategy-grant-guidelines-march-201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mc.gov.au/indigenous-affairs/education/away-base-mixed-mode-program-af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PT@pmc.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aepr.cass.anu.edu.au/sites/default/files/docs/Working_Paper_120_2017_1.pdf" TargetMode="External"/><Relationship Id="rId1" Type="http://schemas.openxmlformats.org/officeDocument/2006/relationships/hyperlink" Target="https://digitalinclusionindex.org.au/wp-content/uploads/2016/08/Australian-Digital-Inclusion-Index-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0" ma:contentTypeDescription="PMC Document" ma:contentTypeScope="" ma:versionID="03f23b18532e2d7dadc795d2bebe09db">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1225e4e12cf6c551c42f7939bb82e2e1"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DOC18-352484</ShareHubID>
    <TaxCatchAll xmlns="166541c0-0594-4e6a-9105-c24d4b6de6f7">
      <Value>1</Value>
    </TaxCatchAll>
    <jd1c641577414dfdab1686c9d5d0dbd0 xmlns="166541c0-0594-4e6a-9105-c24d4b6de6f7">
      <Terms xmlns="http://schemas.microsoft.com/office/infopath/2007/PartnerControls"/>
    </jd1c641577414dfdab1686c9d5d0dbd0>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554E-34B4-4218-87F5-D2F777005963}"/>
</file>

<file path=customXml/itemProps2.xml><?xml version="1.0" encoding="utf-8"?>
<ds:datastoreItem xmlns:ds="http://schemas.openxmlformats.org/officeDocument/2006/customXml" ds:itemID="{1850DBBB-0A14-4450-95F4-770E27C209F8}"/>
</file>

<file path=customXml/itemProps3.xml><?xml version="1.0" encoding="utf-8"?>
<ds:datastoreItem xmlns:ds="http://schemas.openxmlformats.org/officeDocument/2006/customXml" ds:itemID="{4E87051A-3826-4A43-9820-20ED3FFF83C9}"/>
</file>

<file path=customXml/itemProps4.xml><?xml version="1.0" encoding="utf-8"?>
<ds:datastoreItem xmlns:ds="http://schemas.openxmlformats.org/officeDocument/2006/customXml" ds:itemID="{64FCE538-94FE-4EB0-8B1B-48E897C43D8D}"/>
</file>

<file path=docProps/app.xml><?xml version="1.0" encoding="utf-8"?>
<Properties xmlns="http://schemas.openxmlformats.org/officeDocument/2006/extended-properties" xmlns:vt="http://schemas.openxmlformats.org/officeDocument/2006/docPropsVTypes">
  <Template>FFF16329</Template>
  <TotalTime>260</TotalTime>
  <Pages>16</Pages>
  <Words>6055</Words>
  <Characters>34395</Characters>
  <Application>Microsoft Office Word</Application>
  <DocSecurity>0</DocSecurity>
  <Lines>661</Lines>
  <Paragraphs>328</Paragraphs>
  <ScaleCrop>false</ScaleCrop>
  <HeadingPairs>
    <vt:vector size="2" baseType="variant">
      <vt:variant>
        <vt:lpstr>Title</vt:lpstr>
      </vt:variant>
      <vt:variant>
        <vt:i4>1</vt:i4>
      </vt:variant>
    </vt:vector>
  </HeadingPairs>
  <TitlesOfParts>
    <vt:vector size="1" baseType="lpstr">
      <vt:lpstr>Away from Base Futures Discussion Paper</vt:lpstr>
    </vt:vector>
  </TitlesOfParts>
  <Company>Department of the Prime Minister and Cabinet</Company>
  <LinksUpToDate>false</LinksUpToDate>
  <CharactersWithSpaces>40122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Away from Base Futures Discussion Paper</dc:title>
  <dc:subject/>
  <dc:creator>Department of the Prime Minister and Cabinet</dc:creator>
  <cp:keywords/>
  <dc:description/>
  <cp:lastModifiedBy>Roberts, Sarah</cp:lastModifiedBy>
  <cp:revision>44</cp:revision>
  <cp:lastPrinted>2018-09-24T03:49:00Z</cp:lastPrinted>
  <dcterms:created xsi:type="dcterms:W3CDTF">2018-09-24T03:50:00Z</dcterms:created>
  <dcterms:modified xsi:type="dcterms:W3CDTF">2018-10-09T03:08:00Z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ies>
</file>