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88" w:rsidRPr="00F12A07" w:rsidRDefault="0040648D" w:rsidP="00F12A07">
      <w:pPr>
        <w:pStyle w:val="ProtectiveMarking"/>
        <w:rPr>
          <w:caps w:val="0"/>
          <w:noProof w:val="0"/>
          <w:color w:val="191919" w:themeColor="text1" w:themeTint="E6"/>
        </w:rPr>
      </w:pPr>
      <w:r>
        <w:rPr>
          <w:lang w:eastAsia="en-AU"/>
        </w:rPr>
        <mc:AlternateContent>
          <mc:Choice Requires="wps">
            <w:drawing>
              <wp:anchor distT="0" distB="0" distL="114300" distR="114300" simplePos="0" relativeHeight="251662336" behindDoc="0" locked="1" layoutInCell="1" allowOverlap="1" wp14:anchorId="38051B04" wp14:editId="36EA3255">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EC7C79FA13614963AD3B01560EF5AB1E"/>
                              </w:placeholder>
                              <w:dataBinding w:xpath="/root[1]/SectionName[1]" w:storeItemID="{F533AE62-A212-4B26-92DA-A3B336E8AE06}"/>
                              <w:text w:multiLine="1"/>
                            </w:sdtPr>
                            <w:sdtEndPr/>
                            <w:sdtContent>
                              <w:p w:rsidR="0040648D" w:rsidRPr="002834C6" w:rsidRDefault="00597049" w:rsidP="0040648D">
                                <w:pPr>
                                  <w:pStyle w:val="SectionNameRev"/>
                                  <w:rPr>
                                    <w:color w:val="auto"/>
                                  </w:rPr>
                                </w:pPr>
                                <w:r w:rsidRPr="002834C6">
                                  <w:t xml:space="preserve">CATSI Act Review </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051B04" id="_x0000_t202" coordsize="21600,21600" o:spt="202" path="m,l,21600r21600,l21600,xe">
                <v:stroke joinstyle="miter"/>
                <v:path gradientshapeok="t" o:connecttype="rect"/>
              </v:shapetype>
              <v:shape id="Text Box 45" o:spid="_x0000_s1026" type="#_x0000_t202" style="position:absolute;left:0;text-align:left;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EC7C79FA13614963AD3B01560EF5AB1E"/>
                        </w:placeholder>
                        <w:dataBinding w:xpath="/root[1]/SectionName[1]" w:storeItemID="{F533AE62-A212-4B26-92DA-A3B336E8AE06}"/>
                        <w:text w:multiLine="1"/>
                      </w:sdtPr>
                      <w:sdtEndPr/>
                      <w:sdtContent>
                        <w:p w:rsidR="0040648D" w:rsidRPr="002834C6" w:rsidRDefault="00597049" w:rsidP="0040648D">
                          <w:pPr>
                            <w:pStyle w:val="SectionNameRev"/>
                            <w:rPr>
                              <w:color w:val="auto"/>
                            </w:rPr>
                          </w:pPr>
                          <w:r w:rsidRPr="002834C6">
                            <w:t xml:space="preserve">CATSI Act Review </w:t>
                          </w:r>
                        </w:p>
                      </w:sdtContent>
                    </w:sdt>
                  </w:txbxContent>
                </v:textbox>
                <w10:wrap type="topAndBottom" anchorx="page" anchory="page"/>
                <w10:anchorlock/>
              </v:shape>
            </w:pict>
          </mc:Fallback>
        </mc:AlternateContent>
      </w:r>
    </w:p>
    <w:p w:rsidR="00E578B7" w:rsidRPr="0096556E" w:rsidRDefault="00916867" w:rsidP="0096556E">
      <w:pPr>
        <w:pStyle w:val="Title"/>
        <w:rPr>
          <w:color w:val="auto"/>
        </w:rPr>
      </w:pPr>
      <w:bookmarkStart w:id="0" w:name="_GoBack"/>
      <w:r w:rsidRPr="0096556E">
        <w:t>Governance</w:t>
      </w:r>
    </w:p>
    <w:bookmarkEnd w:id="0"/>
    <w:p w:rsidR="00916867" w:rsidRPr="00750ABF" w:rsidRDefault="00916867" w:rsidP="00597049">
      <w:pPr>
        <w:spacing w:after="240"/>
        <w:rPr>
          <w:sz w:val="24"/>
          <w:szCs w:val="24"/>
        </w:rPr>
      </w:pPr>
      <w:r w:rsidRPr="00750ABF">
        <w:rPr>
          <w:sz w:val="24"/>
          <w:szCs w:val="24"/>
        </w:rPr>
        <w:t xml:space="preserve">The CATSI Act outlines governance requirements for Aboriginal and Torres Strait Islander corporations registered under the Act. Some of these have been specifically developed to take account of </w:t>
      </w:r>
      <w:r w:rsidR="00CA51BB" w:rsidRPr="00750ABF">
        <w:rPr>
          <w:sz w:val="24"/>
          <w:szCs w:val="24"/>
        </w:rPr>
        <w:t xml:space="preserve">the </w:t>
      </w:r>
      <w:r w:rsidRPr="00750ABF">
        <w:rPr>
          <w:sz w:val="24"/>
          <w:szCs w:val="24"/>
        </w:rPr>
        <w:t xml:space="preserve">tradition and circumstance of Aboriginal and Torres Strait Islander people, others are general requirements that </w:t>
      </w:r>
      <w:r w:rsidR="00CA51BB" w:rsidRPr="00750ABF">
        <w:rPr>
          <w:sz w:val="24"/>
          <w:szCs w:val="24"/>
        </w:rPr>
        <w:t>promote</w:t>
      </w:r>
      <w:r w:rsidRPr="00750ABF">
        <w:rPr>
          <w:sz w:val="24"/>
          <w:szCs w:val="24"/>
        </w:rPr>
        <w:t xml:space="preserve"> good governance and ensure accountability and transparency.</w:t>
      </w:r>
    </w:p>
    <w:p w:rsidR="00916867" w:rsidRPr="00750ABF" w:rsidRDefault="00916867" w:rsidP="00597049">
      <w:pPr>
        <w:spacing w:after="240"/>
        <w:rPr>
          <w:sz w:val="24"/>
          <w:szCs w:val="24"/>
        </w:rPr>
      </w:pPr>
      <w:r w:rsidRPr="00750ABF">
        <w:rPr>
          <w:sz w:val="24"/>
          <w:szCs w:val="24"/>
        </w:rPr>
        <w:t>The CATSI Act outlines requirements about how corporations:</w:t>
      </w:r>
    </w:p>
    <w:p w:rsidR="00916867" w:rsidRPr="00750ABF" w:rsidRDefault="00916867" w:rsidP="006B6D1F">
      <w:pPr>
        <w:pStyle w:val="ListParagraph"/>
        <w:numPr>
          <w:ilvl w:val="0"/>
          <w:numId w:val="32"/>
        </w:numPr>
        <w:spacing w:after="240" w:line="240" w:lineRule="auto"/>
        <w:ind w:right="142"/>
        <w:rPr>
          <w:sz w:val="24"/>
          <w:szCs w:val="24"/>
        </w:rPr>
      </w:pPr>
      <w:r w:rsidRPr="00750ABF">
        <w:rPr>
          <w:sz w:val="24"/>
          <w:szCs w:val="24"/>
        </w:rPr>
        <w:t>manage their membership</w:t>
      </w:r>
    </w:p>
    <w:p w:rsidR="00916867" w:rsidRPr="00750ABF" w:rsidRDefault="00916867" w:rsidP="006B6D1F">
      <w:pPr>
        <w:pStyle w:val="ListParagraph"/>
        <w:numPr>
          <w:ilvl w:val="0"/>
          <w:numId w:val="32"/>
        </w:numPr>
        <w:spacing w:after="240" w:line="240" w:lineRule="auto"/>
        <w:ind w:right="142"/>
        <w:rPr>
          <w:sz w:val="24"/>
          <w:szCs w:val="24"/>
        </w:rPr>
      </w:pPr>
      <w:r w:rsidRPr="00750ABF">
        <w:rPr>
          <w:sz w:val="24"/>
          <w:szCs w:val="24"/>
        </w:rPr>
        <w:t>establish suitable corporate structures</w:t>
      </w:r>
    </w:p>
    <w:p w:rsidR="00916867" w:rsidRPr="00750ABF" w:rsidRDefault="00916867" w:rsidP="006B6D1F">
      <w:pPr>
        <w:pStyle w:val="ListParagraph"/>
        <w:numPr>
          <w:ilvl w:val="0"/>
          <w:numId w:val="32"/>
        </w:numPr>
        <w:spacing w:after="240" w:line="240" w:lineRule="auto"/>
        <w:ind w:right="142"/>
        <w:rPr>
          <w:sz w:val="24"/>
          <w:szCs w:val="24"/>
        </w:rPr>
      </w:pPr>
      <w:r w:rsidRPr="00750ABF">
        <w:rPr>
          <w:sz w:val="24"/>
          <w:szCs w:val="24"/>
        </w:rPr>
        <w:t>manage their meeting and reporting obligations</w:t>
      </w:r>
    </w:p>
    <w:p w:rsidR="00C407FC" w:rsidRPr="00750ABF" w:rsidRDefault="00916867" w:rsidP="006B6D1F">
      <w:pPr>
        <w:pStyle w:val="ListParagraph"/>
        <w:numPr>
          <w:ilvl w:val="0"/>
          <w:numId w:val="32"/>
        </w:numPr>
        <w:spacing w:after="240" w:line="240" w:lineRule="auto"/>
        <w:ind w:right="142"/>
        <w:rPr>
          <w:sz w:val="24"/>
          <w:szCs w:val="24"/>
        </w:rPr>
      </w:pPr>
      <w:proofErr w:type="gramStart"/>
      <w:r w:rsidRPr="00750ABF">
        <w:rPr>
          <w:sz w:val="24"/>
          <w:szCs w:val="24"/>
        </w:rPr>
        <w:t>develop</w:t>
      </w:r>
      <w:proofErr w:type="gramEnd"/>
      <w:r w:rsidRPr="00750ABF">
        <w:rPr>
          <w:sz w:val="24"/>
          <w:szCs w:val="24"/>
        </w:rPr>
        <w:t xml:space="preserve"> and use their rule books.</w:t>
      </w:r>
    </w:p>
    <w:p w:rsidR="00750ABF" w:rsidRPr="0096556E" w:rsidRDefault="00916867" w:rsidP="008734E4">
      <w:pPr>
        <w:pStyle w:val="Heading2"/>
      </w:pPr>
      <w:r w:rsidRPr="0096556E">
        <w:t>Managing membership</w:t>
      </w:r>
    </w:p>
    <w:p w:rsidR="000D4693" w:rsidRDefault="000D4693" w:rsidP="008734E4">
      <w:pPr>
        <w:pStyle w:val="Heading3"/>
        <w:rPr>
          <w:sz w:val="24"/>
          <w:szCs w:val="24"/>
        </w:rPr>
      </w:pPr>
      <w:r w:rsidRPr="003344BC">
        <w:t>Contact</w:t>
      </w:r>
      <w:r>
        <w:t>ing members</w:t>
      </w:r>
      <w:r w:rsidRPr="00750ABF">
        <w:rPr>
          <w:sz w:val="24"/>
          <w:szCs w:val="24"/>
        </w:rPr>
        <w:t xml:space="preserve"> </w:t>
      </w:r>
    </w:p>
    <w:p w:rsidR="00916867" w:rsidRDefault="00916867" w:rsidP="002E707B">
      <w:pPr>
        <w:spacing w:after="240"/>
        <w:ind w:right="142"/>
        <w:rPr>
          <w:sz w:val="24"/>
          <w:szCs w:val="24"/>
        </w:rPr>
      </w:pPr>
      <w:r w:rsidRPr="00750ABF">
        <w:rPr>
          <w:sz w:val="24"/>
          <w:szCs w:val="24"/>
        </w:rPr>
        <w:t xml:space="preserve">Indigenous corporations </w:t>
      </w:r>
      <w:r w:rsidR="00BD0ED2">
        <w:rPr>
          <w:sz w:val="24"/>
          <w:szCs w:val="24"/>
        </w:rPr>
        <w:t xml:space="preserve">incorporated under the CATSI Act </w:t>
      </w:r>
      <w:r w:rsidRPr="00750ABF">
        <w:rPr>
          <w:sz w:val="24"/>
          <w:szCs w:val="24"/>
        </w:rPr>
        <w:t>are controlled by their members—therefore, it is important that corporations know exactly who their members are.</w:t>
      </w:r>
      <w:r w:rsidR="00CA51BB" w:rsidRPr="00750ABF">
        <w:rPr>
          <w:sz w:val="24"/>
          <w:szCs w:val="24"/>
        </w:rPr>
        <w:t xml:space="preserve"> </w:t>
      </w:r>
      <w:r w:rsidRPr="00750ABF">
        <w:rPr>
          <w:sz w:val="24"/>
          <w:szCs w:val="24"/>
        </w:rPr>
        <w:t xml:space="preserve">Corporations must have a register of members with their names, addresses and date they became members. </w:t>
      </w:r>
    </w:p>
    <w:p w:rsidR="00C50846" w:rsidRPr="0096556E" w:rsidRDefault="00C50846" w:rsidP="0096556E">
      <w:pPr>
        <w:pStyle w:val="ListParagraph"/>
        <w:numPr>
          <w:ilvl w:val="0"/>
          <w:numId w:val="36"/>
        </w:numPr>
        <w:spacing w:after="240" w:line="240" w:lineRule="auto"/>
        <w:ind w:right="142"/>
        <w:rPr>
          <w:sz w:val="24"/>
          <w:szCs w:val="24"/>
        </w:rPr>
      </w:pPr>
      <w:r w:rsidRPr="0096556E">
        <w:rPr>
          <w:sz w:val="24"/>
          <w:szCs w:val="24"/>
        </w:rPr>
        <w:t>Should corporations also collect email addresses and phone numbers for members to be added to the register, which could make it easier and cheaper for corporations to contact members?</w:t>
      </w:r>
    </w:p>
    <w:p w:rsidR="00E23066" w:rsidRPr="0096556E" w:rsidRDefault="00C50846" w:rsidP="0096556E">
      <w:pPr>
        <w:pStyle w:val="ListParagraph"/>
        <w:numPr>
          <w:ilvl w:val="0"/>
          <w:numId w:val="36"/>
        </w:numPr>
        <w:spacing w:after="240" w:line="240" w:lineRule="auto"/>
        <w:ind w:right="142"/>
        <w:rPr>
          <w:sz w:val="24"/>
          <w:szCs w:val="24"/>
        </w:rPr>
      </w:pPr>
      <w:r w:rsidRPr="0096556E">
        <w:rPr>
          <w:sz w:val="24"/>
          <w:szCs w:val="24"/>
        </w:rPr>
        <w:t>Should corporations also be able to use social media and community noticeboards to contact members? How would corporations make this decision—through a motion at a general meeting?</w:t>
      </w:r>
    </w:p>
    <w:p w:rsidR="000D4693" w:rsidRDefault="000D4693" w:rsidP="008734E4">
      <w:pPr>
        <w:pStyle w:val="Heading3"/>
      </w:pPr>
      <w:r>
        <w:t>Member privacy</w:t>
      </w:r>
    </w:p>
    <w:p w:rsidR="00916867" w:rsidRDefault="00916867" w:rsidP="00916867">
      <w:pPr>
        <w:spacing w:after="240"/>
        <w:ind w:right="142"/>
        <w:rPr>
          <w:sz w:val="24"/>
          <w:szCs w:val="24"/>
        </w:rPr>
      </w:pPr>
      <w:r w:rsidRPr="00750ABF">
        <w:rPr>
          <w:sz w:val="24"/>
          <w:szCs w:val="24"/>
        </w:rPr>
        <w:t xml:space="preserve">The register of members is made available at Annual General Meetings (AGMs) for inspection by </w:t>
      </w:r>
      <w:proofErr w:type="gramStart"/>
      <w:r w:rsidRPr="00750ABF">
        <w:rPr>
          <w:sz w:val="24"/>
          <w:szCs w:val="24"/>
        </w:rPr>
        <w:t>members</w:t>
      </w:r>
      <w:proofErr w:type="gramEnd"/>
      <w:r w:rsidRPr="00750ABF">
        <w:rPr>
          <w:sz w:val="24"/>
          <w:szCs w:val="24"/>
        </w:rPr>
        <w:t xml:space="preserve">. </w:t>
      </w:r>
      <w:r w:rsidR="00CA51BB" w:rsidRPr="00750ABF">
        <w:rPr>
          <w:sz w:val="24"/>
          <w:szCs w:val="24"/>
        </w:rPr>
        <w:t>Privacy and safety c</w:t>
      </w:r>
      <w:r w:rsidRPr="00750ABF">
        <w:rPr>
          <w:sz w:val="24"/>
          <w:szCs w:val="24"/>
        </w:rPr>
        <w:t xml:space="preserve">oncerns have been raised </w:t>
      </w:r>
      <w:r w:rsidR="00CA51BB" w:rsidRPr="00750ABF">
        <w:rPr>
          <w:sz w:val="24"/>
          <w:szCs w:val="24"/>
        </w:rPr>
        <w:t xml:space="preserve">in relation to members’ personal information </w:t>
      </w:r>
      <w:r w:rsidRPr="00750ABF">
        <w:rPr>
          <w:sz w:val="24"/>
          <w:szCs w:val="24"/>
        </w:rPr>
        <w:t xml:space="preserve">being viewable.  </w:t>
      </w:r>
    </w:p>
    <w:p w:rsidR="00C50846" w:rsidRPr="0096556E" w:rsidRDefault="00C50846" w:rsidP="0096556E">
      <w:pPr>
        <w:pStyle w:val="ListParagraph"/>
        <w:numPr>
          <w:ilvl w:val="0"/>
          <w:numId w:val="37"/>
        </w:numPr>
        <w:spacing w:after="240" w:line="240" w:lineRule="auto"/>
        <w:ind w:right="142"/>
        <w:rPr>
          <w:sz w:val="24"/>
          <w:szCs w:val="24"/>
        </w:rPr>
      </w:pPr>
      <w:r w:rsidRPr="0096556E">
        <w:rPr>
          <w:sz w:val="24"/>
          <w:szCs w:val="24"/>
        </w:rPr>
        <w:t>Should members’ addresses be hidden from viewing?</w:t>
      </w:r>
    </w:p>
    <w:p w:rsidR="00C50846" w:rsidRPr="0096556E" w:rsidRDefault="00C50846" w:rsidP="0096556E">
      <w:pPr>
        <w:pStyle w:val="ListParagraph"/>
        <w:numPr>
          <w:ilvl w:val="0"/>
          <w:numId w:val="37"/>
        </w:numPr>
        <w:spacing w:after="240" w:line="240" w:lineRule="auto"/>
        <w:ind w:right="142"/>
        <w:rPr>
          <w:sz w:val="24"/>
          <w:szCs w:val="24"/>
        </w:rPr>
      </w:pPr>
      <w:r w:rsidRPr="0096556E">
        <w:rPr>
          <w:sz w:val="24"/>
          <w:szCs w:val="24"/>
        </w:rPr>
        <w:t>Should the relevant member have to request that their information be removed from the register, or in some circumstances, should the corporation be able to make that decision on behalf of the member?</w:t>
      </w:r>
    </w:p>
    <w:p w:rsidR="00C50846" w:rsidRPr="0096556E" w:rsidRDefault="00C50846" w:rsidP="0096556E">
      <w:pPr>
        <w:pStyle w:val="ListParagraph"/>
        <w:numPr>
          <w:ilvl w:val="0"/>
          <w:numId w:val="37"/>
        </w:numPr>
        <w:spacing w:after="240" w:line="240" w:lineRule="auto"/>
        <w:ind w:right="142"/>
        <w:rPr>
          <w:sz w:val="24"/>
          <w:szCs w:val="24"/>
        </w:rPr>
      </w:pPr>
      <w:r w:rsidRPr="0096556E">
        <w:rPr>
          <w:sz w:val="24"/>
          <w:szCs w:val="24"/>
        </w:rPr>
        <w:t>If members have to submit a request, should it be made to the corporation or could it be submitted to the Registrar directly?</w:t>
      </w:r>
    </w:p>
    <w:p w:rsidR="00C50846" w:rsidRPr="0096556E" w:rsidRDefault="00C50846" w:rsidP="0096556E">
      <w:pPr>
        <w:pStyle w:val="ListParagraph"/>
        <w:numPr>
          <w:ilvl w:val="0"/>
          <w:numId w:val="37"/>
        </w:numPr>
        <w:spacing w:after="240" w:line="240" w:lineRule="auto"/>
        <w:ind w:right="142"/>
        <w:rPr>
          <w:sz w:val="24"/>
          <w:szCs w:val="24"/>
        </w:rPr>
      </w:pPr>
      <w:r w:rsidRPr="0096556E">
        <w:rPr>
          <w:sz w:val="24"/>
          <w:szCs w:val="24"/>
        </w:rPr>
        <w:lastRenderedPageBreak/>
        <w:t>Should there be particular circumstances for someone requesting the removal of personal information, such as personal safety?</w:t>
      </w:r>
    </w:p>
    <w:p w:rsidR="00F12A07" w:rsidRPr="0096556E" w:rsidRDefault="00C50846" w:rsidP="0096556E">
      <w:pPr>
        <w:pStyle w:val="ListParagraph"/>
        <w:numPr>
          <w:ilvl w:val="0"/>
          <w:numId w:val="37"/>
        </w:numPr>
        <w:spacing w:after="240" w:line="240" w:lineRule="auto"/>
        <w:ind w:right="142"/>
        <w:rPr>
          <w:sz w:val="24"/>
          <w:szCs w:val="24"/>
        </w:rPr>
      </w:pPr>
      <w:r w:rsidRPr="0096556E">
        <w:rPr>
          <w:sz w:val="24"/>
          <w:szCs w:val="24"/>
        </w:rPr>
        <w:t>How would members be able to organise a meeting without access to the personal information of other members?</w:t>
      </w:r>
    </w:p>
    <w:p w:rsidR="000D4693" w:rsidRDefault="000D4693" w:rsidP="008734E4">
      <w:pPr>
        <w:pStyle w:val="Heading3"/>
      </w:pPr>
      <w:r>
        <w:t>Cancelling membership</w:t>
      </w:r>
    </w:p>
    <w:p w:rsidR="00916867" w:rsidRDefault="00916867" w:rsidP="00916867">
      <w:pPr>
        <w:spacing w:after="240"/>
        <w:ind w:right="142"/>
        <w:rPr>
          <w:sz w:val="24"/>
          <w:szCs w:val="24"/>
        </w:rPr>
      </w:pPr>
      <w:r w:rsidRPr="002E707B">
        <w:rPr>
          <w:sz w:val="24"/>
          <w:szCs w:val="24"/>
        </w:rPr>
        <w:t xml:space="preserve">Members can provide alternative contact details but the corporation can only use these details for certain types of contact. </w:t>
      </w:r>
    </w:p>
    <w:p w:rsidR="00C50846" w:rsidRPr="0096556E" w:rsidRDefault="00C50846" w:rsidP="0096556E">
      <w:pPr>
        <w:pStyle w:val="ListParagraph"/>
        <w:numPr>
          <w:ilvl w:val="0"/>
          <w:numId w:val="38"/>
        </w:numPr>
        <w:spacing w:after="240" w:line="240" w:lineRule="auto"/>
        <w:ind w:right="142"/>
        <w:rPr>
          <w:sz w:val="24"/>
          <w:szCs w:val="24"/>
        </w:rPr>
      </w:pPr>
      <w:r w:rsidRPr="0096556E">
        <w:rPr>
          <w:sz w:val="24"/>
          <w:szCs w:val="24"/>
        </w:rPr>
        <w:t xml:space="preserve">This could be changed so that corporations must use it when trying to contact members when deciding if their membership should be cancelled. Memberships can be cancelled if members haven’t responded to contact for two years but it has been suggested that this should be 11 months. What do you think? </w:t>
      </w:r>
    </w:p>
    <w:p w:rsidR="00C50846" w:rsidRPr="002E707B" w:rsidRDefault="00C50846" w:rsidP="00C50846">
      <w:pPr>
        <w:pStyle w:val="ListParagraph"/>
        <w:spacing w:after="240" w:line="240" w:lineRule="auto"/>
        <w:ind w:left="357" w:right="142"/>
        <w:rPr>
          <w:sz w:val="24"/>
          <w:szCs w:val="24"/>
        </w:rPr>
      </w:pPr>
    </w:p>
    <w:p w:rsidR="002E707B" w:rsidRPr="0096556E" w:rsidRDefault="00C50846" w:rsidP="0096556E">
      <w:pPr>
        <w:pStyle w:val="ListParagraph"/>
        <w:numPr>
          <w:ilvl w:val="0"/>
          <w:numId w:val="38"/>
        </w:numPr>
        <w:spacing w:after="240" w:line="240" w:lineRule="auto"/>
        <w:ind w:right="142"/>
        <w:rPr>
          <w:sz w:val="24"/>
          <w:szCs w:val="24"/>
        </w:rPr>
      </w:pPr>
      <w:r w:rsidRPr="0096556E">
        <w:rPr>
          <w:sz w:val="24"/>
          <w:szCs w:val="24"/>
        </w:rPr>
        <w:t>How many times should a corporation be required to try to contact a member, and how long between each attempt?</w:t>
      </w:r>
    </w:p>
    <w:p w:rsidR="001B518E" w:rsidRDefault="001B518E" w:rsidP="008734E4">
      <w:pPr>
        <w:pStyle w:val="Heading3"/>
      </w:pPr>
      <w:r>
        <w:t>Membership applications</w:t>
      </w:r>
    </w:p>
    <w:p w:rsidR="00916867" w:rsidRDefault="00916867" w:rsidP="00916867">
      <w:pPr>
        <w:spacing w:after="240"/>
        <w:ind w:right="142"/>
        <w:rPr>
          <w:sz w:val="24"/>
          <w:szCs w:val="24"/>
        </w:rPr>
      </w:pPr>
      <w:r w:rsidRPr="002E707B">
        <w:rPr>
          <w:sz w:val="24"/>
          <w:szCs w:val="24"/>
        </w:rPr>
        <w:t>Currently boards don’t have to decide on membership applications within a specific timeframe.</w:t>
      </w:r>
    </w:p>
    <w:p w:rsidR="00C50846" w:rsidRPr="0096556E" w:rsidRDefault="00C50846" w:rsidP="0096556E">
      <w:pPr>
        <w:pStyle w:val="ListParagraph"/>
        <w:numPr>
          <w:ilvl w:val="0"/>
          <w:numId w:val="39"/>
        </w:numPr>
        <w:spacing w:after="240" w:line="240" w:lineRule="auto"/>
        <w:ind w:right="142"/>
        <w:rPr>
          <w:sz w:val="24"/>
          <w:szCs w:val="24"/>
        </w:rPr>
      </w:pPr>
      <w:r w:rsidRPr="0096556E">
        <w:rPr>
          <w:sz w:val="24"/>
          <w:szCs w:val="24"/>
        </w:rPr>
        <w:t>Should there be a specific timeframe within which membership applications need to be decided? What should that timeframe be?</w:t>
      </w:r>
    </w:p>
    <w:p w:rsidR="00C50846" w:rsidRPr="0096556E" w:rsidRDefault="00C50846" w:rsidP="0096556E">
      <w:pPr>
        <w:pStyle w:val="ListParagraph"/>
        <w:numPr>
          <w:ilvl w:val="0"/>
          <w:numId w:val="39"/>
        </w:numPr>
        <w:spacing w:after="240" w:line="240" w:lineRule="auto"/>
        <w:ind w:right="142"/>
        <w:rPr>
          <w:sz w:val="24"/>
          <w:szCs w:val="24"/>
        </w:rPr>
      </w:pPr>
      <w:r w:rsidRPr="0096556E">
        <w:rPr>
          <w:sz w:val="24"/>
          <w:szCs w:val="24"/>
        </w:rPr>
        <w:t>If a board rejects an application, even if it meets all the criteria, should the applicant be able to ask the corporation’s members to reconsider the application at a general meeting? Should that be within a specific timeframe and with a specified quorum?</w:t>
      </w:r>
    </w:p>
    <w:p w:rsidR="002E707B" w:rsidRPr="0096556E" w:rsidRDefault="00C50846" w:rsidP="0096556E">
      <w:pPr>
        <w:pStyle w:val="ListParagraph"/>
        <w:numPr>
          <w:ilvl w:val="0"/>
          <w:numId w:val="39"/>
        </w:numPr>
        <w:spacing w:after="240" w:line="240" w:lineRule="auto"/>
        <w:ind w:right="142"/>
        <w:rPr>
          <w:sz w:val="24"/>
          <w:szCs w:val="24"/>
        </w:rPr>
      </w:pPr>
      <w:r w:rsidRPr="0096556E">
        <w:rPr>
          <w:sz w:val="24"/>
          <w:szCs w:val="24"/>
        </w:rPr>
        <w:t>If a member wants to challenge a particular membership, and they call a members’ meeting, should that meeting occur in a specific timeframe and with a specified quorum?</w:t>
      </w:r>
    </w:p>
    <w:p w:rsidR="00597049" w:rsidRPr="0096556E" w:rsidRDefault="00597049" w:rsidP="008734E4">
      <w:pPr>
        <w:pStyle w:val="Heading2"/>
        <w:rPr>
          <w:rFonts w:eastAsiaTheme="majorEastAsia" w:cstheme="majorBidi"/>
        </w:rPr>
      </w:pPr>
      <w:r w:rsidRPr="0096556E">
        <w:t>Corporate structures</w:t>
      </w:r>
    </w:p>
    <w:p w:rsidR="00597049" w:rsidRPr="002E707B" w:rsidRDefault="00597049" w:rsidP="00597049">
      <w:pPr>
        <w:tabs>
          <w:tab w:val="left" w:pos="851"/>
        </w:tabs>
        <w:spacing w:after="240"/>
        <w:ind w:right="357"/>
        <w:rPr>
          <w:rFonts w:eastAsia="Times New Roman" w:cstheme="minorHAnsi"/>
          <w:sz w:val="24"/>
          <w:szCs w:val="24"/>
        </w:rPr>
      </w:pPr>
      <w:r w:rsidRPr="002E707B">
        <w:rPr>
          <w:sz w:val="24"/>
          <w:szCs w:val="24"/>
        </w:rPr>
        <w:t>Currently it is difficult for corporations to set up subsidiaries</w:t>
      </w:r>
      <w:r w:rsidR="00CA51BB" w:rsidRPr="002E707B">
        <w:rPr>
          <w:sz w:val="24"/>
          <w:szCs w:val="24"/>
        </w:rPr>
        <w:t xml:space="preserve"> and joint ventures</w:t>
      </w:r>
      <w:r w:rsidRPr="002E707B">
        <w:rPr>
          <w:sz w:val="24"/>
          <w:szCs w:val="24"/>
        </w:rPr>
        <w:t xml:space="preserve"> under the CATSI Act. Changing the current rules for membership and directors would make it easier to set up subsidiaries and joint ventures to help grow their businesses.</w:t>
      </w:r>
      <w:r w:rsidRPr="002E707B">
        <w:rPr>
          <w:rFonts w:eastAsia="Times New Roman" w:cstheme="minorHAnsi"/>
          <w:sz w:val="24"/>
          <w:szCs w:val="24"/>
        </w:rPr>
        <w:t xml:space="preserve"> </w:t>
      </w:r>
    </w:p>
    <w:p w:rsidR="00597049" w:rsidRDefault="00597049" w:rsidP="00597049">
      <w:pPr>
        <w:spacing w:after="240"/>
        <w:ind w:right="142"/>
        <w:rPr>
          <w:sz w:val="24"/>
          <w:szCs w:val="24"/>
        </w:rPr>
      </w:pPr>
      <w:r w:rsidRPr="002E707B">
        <w:rPr>
          <w:sz w:val="24"/>
          <w:szCs w:val="24"/>
        </w:rPr>
        <w:t>Two-member corporations, when only one person is Indigenous, could also be easier to establish under the CATSI Act. This would encourage small business, especially in the case of spouses setting up a business together.</w:t>
      </w:r>
    </w:p>
    <w:p w:rsidR="00C50846" w:rsidRPr="0096556E" w:rsidRDefault="00C50846" w:rsidP="00C50846">
      <w:pPr>
        <w:tabs>
          <w:tab w:val="left" w:pos="851"/>
        </w:tabs>
        <w:spacing w:after="240"/>
        <w:ind w:right="357"/>
        <w:rPr>
          <w:sz w:val="24"/>
          <w:szCs w:val="24"/>
        </w:rPr>
      </w:pPr>
      <w:r w:rsidRPr="0096556E">
        <w:rPr>
          <w:sz w:val="24"/>
          <w:szCs w:val="24"/>
        </w:rPr>
        <w:t>What do you think about changing the CATSI Act to allow a</w:t>
      </w:r>
      <w:r w:rsidRPr="0096556E">
        <w:rPr>
          <w:rFonts w:eastAsia="Times New Roman" w:cstheme="minorHAnsi"/>
          <w:sz w:val="24"/>
          <w:szCs w:val="24"/>
        </w:rPr>
        <w:t>:</w:t>
      </w:r>
    </w:p>
    <w:p w:rsidR="00C50846" w:rsidRPr="0096556E" w:rsidRDefault="00C50846" w:rsidP="0096556E">
      <w:pPr>
        <w:pStyle w:val="ListParagraph"/>
        <w:numPr>
          <w:ilvl w:val="0"/>
          <w:numId w:val="40"/>
        </w:numPr>
        <w:spacing w:after="240" w:line="240" w:lineRule="auto"/>
        <w:ind w:right="142"/>
        <w:rPr>
          <w:sz w:val="24"/>
          <w:szCs w:val="24"/>
        </w:rPr>
      </w:pPr>
      <w:r w:rsidRPr="0096556E">
        <w:rPr>
          <w:sz w:val="24"/>
          <w:szCs w:val="24"/>
        </w:rPr>
        <w:t xml:space="preserve">corporation to set up a wholly-owned subsidiary CATSI corporation </w:t>
      </w:r>
    </w:p>
    <w:p w:rsidR="00C50846" w:rsidRPr="0096556E" w:rsidRDefault="00C50846" w:rsidP="0096556E">
      <w:pPr>
        <w:pStyle w:val="ListParagraph"/>
        <w:numPr>
          <w:ilvl w:val="0"/>
          <w:numId w:val="40"/>
        </w:numPr>
        <w:spacing w:after="240" w:line="240" w:lineRule="auto"/>
        <w:ind w:right="142"/>
        <w:rPr>
          <w:sz w:val="24"/>
          <w:szCs w:val="24"/>
        </w:rPr>
      </w:pPr>
      <w:r w:rsidRPr="0096556E">
        <w:rPr>
          <w:sz w:val="24"/>
          <w:szCs w:val="24"/>
        </w:rPr>
        <w:t>group of entities (which meet Indigeneity requirements) to establish a CATSI corporation, similar to a joint venture</w:t>
      </w:r>
    </w:p>
    <w:p w:rsidR="009B39CA" w:rsidRPr="0096556E" w:rsidRDefault="00C50846" w:rsidP="0096556E">
      <w:pPr>
        <w:pStyle w:val="ListParagraph"/>
        <w:numPr>
          <w:ilvl w:val="0"/>
          <w:numId w:val="40"/>
        </w:numPr>
        <w:spacing w:after="240" w:line="240" w:lineRule="auto"/>
        <w:ind w:right="142"/>
        <w:rPr>
          <w:sz w:val="24"/>
          <w:szCs w:val="24"/>
        </w:rPr>
      </w:pPr>
      <w:proofErr w:type="gramStart"/>
      <w:r w:rsidRPr="0096556E">
        <w:rPr>
          <w:sz w:val="24"/>
          <w:szCs w:val="24"/>
        </w:rPr>
        <w:lastRenderedPageBreak/>
        <w:t>a</w:t>
      </w:r>
      <w:proofErr w:type="gramEnd"/>
      <w:r w:rsidRPr="0096556E">
        <w:rPr>
          <w:sz w:val="24"/>
          <w:szCs w:val="24"/>
        </w:rPr>
        <w:t xml:space="preserve"> two-person entity when one person is Indigenous and the other is non-Indigenous, if the Indigenous person has the casting vote?</w:t>
      </w:r>
    </w:p>
    <w:p w:rsidR="00C50846" w:rsidRDefault="00597049" w:rsidP="00C50846">
      <w:pPr>
        <w:rPr>
          <w:sz w:val="24"/>
          <w:szCs w:val="24"/>
        </w:rPr>
      </w:pPr>
      <w:r w:rsidRPr="00C75236">
        <w:rPr>
          <w:sz w:val="24"/>
          <w:szCs w:val="24"/>
        </w:rPr>
        <w:t xml:space="preserve">Sometimes corporate structures are very complex which can make it hard for members to understand the operations of the corporation. </w:t>
      </w:r>
    </w:p>
    <w:p w:rsidR="00C50846" w:rsidRPr="00C75236" w:rsidRDefault="00C50846" w:rsidP="00C50846">
      <w:pPr>
        <w:rPr>
          <w:sz w:val="24"/>
          <w:szCs w:val="24"/>
        </w:rPr>
      </w:pPr>
      <w:r w:rsidRPr="00C75236">
        <w:rPr>
          <w:sz w:val="24"/>
          <w:szCs w:val="24"/>
        </w:rPr>
        <w:t xml:space="preserve">Should the CATSI Act be amended to make things more transparent for members by requiring corporations to include in their annual </w:t>
      </w:r>
      <w:proofErr w:type="gramStart"/>
      <w:r w:rsidRPr="00C75236">
        <w:rPr>
          <w:sz w:val="24"/>
          <w:szCs w:val="24"/>
        </w:rPr>
        <w:t>report:</w:t>
      </w:r>
      <w:proofErr w:type="gramEnd"/>
    </w:p>
    <w:p w:rsidR="00C50846" w:rsidRPr="0096556E" w:rsidRDefault="00C50846" w:rsidP="0096556E">
      <w:pPr>
        <w:pStyle w:val="ListParagraph"/>
        <w:numPr>
          <w:ilvl w:val="0"/>
          <w:numId w:val="41"/>
        </w:numPr>
        <w:spacing w:after="240" w:line="240" w:lineRule="auto"/>
        <w:ind w:right="142"/>
        <w:rPr>
          <w:sz w:val="24"/>
          <w:szCs w:val="24"/>
        </w:rPr>
      </w:pPr>
      <w:proofErr w:type="gramStart"/>
      <w:r w:rsidRPr="0096556E">
        <w:rPr>
          <w:sz w:val="24"/>
          <w:szCs w:val="24"/>
        </w:rPr>
        <w:t>information</w:t>
      </w:r>
      <w:proofErr w:type="gramEnd"/>
      <w:r w:rsidRPr="0096556E">
        <w:rPr>
          <w:sz w:val="24"/>
          <w:szCs w:val="24"/>
        </w:rPr>
        <w:t xml:space="preserve"> about their corporate structure, for example, if the corporation has subsidiaries and/or trusts</w:t>
      </w:r>
      <w:r w:rsidR="001B518E" w:rsidRPr="0096556E">
        <w:rPr>
          <w:sz w:val="24"/>
          <w:szCs w:val="24"/>
        </w:rPr>
        <w:t>?</w:t>
      </w:r>
    </w:p>
    <w:p w:rsidR="00597049" w:rsidRPr="0096556E" w:rsidRDefault="00C50846" w:rsidP="0096556E">
      <w:pPr>
        <w:pStyle w:val="ListParagraph"/>
        <w:numPr>
          <w:ilvl w:val="0"/>
          <w:numId w:val="41"/>
        </w:numPr>
        <w:spacing w:after="240" w:line="240" w:lineRule="auto"/>
        <w:ind w:right="142"/>
        <w:rPr>
          <w:sz w:val="24"/>
          <w:szCs w:val="24"/>
        </w:rPr>
      </w:pPr>
      <w:r w:rsidRPr="0096556E">
        <w:rPr>
          <w:sz w:val="24"/>
          <w:szCs w:val="24"/>
        </w:rPr>
        <w:t>the names of the key managers such as the Chief Executive Officer, Chief Operating Officer and Chief Financial Officer?</w:t>
      </w:r>
    </w:p>
    <w:p w:rsidR="009B39CA" w:rsidRPr="009B39CA" w:rsidRDefault="009B39CA" w:rsidP="009B39CA">
      <w:pPr>
        <w:pStyle w:val="ListParagraph"/>
        <w:spacing w:after="240" w:line="240" w:lineRule="auto"/>
        <w:ind w:left="340" w:right="142"/>
        <w:rPr>
          <w:sz w:val="24"/>
          <w:szCs w:val="24"/>
        </w:rPr>
      </w:pPr>
    </w:p>
    <w:p w:rsidR="00C50846" w:rsidRPr="00C50846" w:rsidRDefault="00C50846" w:rsidP="00C50846">
      <w:pPr>
        <w:pStyle w:val="ListParagraph"/>
        <w:numPr>
          <w:ilvl w:val="0"/>
          <w:numId w:val="33"/>
        </w:numPr>
        <w:spacing w:after="240"/>
        <w:ind w:right="142"/>
        <w:rPr>
          <w:rFonts w:cstheme="minorHAnsi"/>
          <w:sz w:val="24"/>
          <w:szCs w:val="24"/>
        </w:rPr>
      </w:pPr>
      <w:r w:rsidRPr="00C50846">
        <w:rPr>
          <w:rFonts w:cstheme="minorHAnsi"/>
          <w:sz w:val="24"/>
          <w:szCs w:val="24"/>
        </w:rPr>
        <w:t xml:space="preserve">Could the CATSI Act better support </w:t>
      </w:r>
      <w:r w:rsidRPr="00C50846">
        <w:rPr>
          <w:rFonts w:cstheme="minorHAnsi"/>
          <w:b/>
          <w:sz w:val="24"/>
          <w:szCs w:val="24"/>
        </w:rPr>
        <w:t>for profit corporations</w:t>
      </w:r>
      <w:r w:rsidRPr="00C50846">
        <w:rPr>
          <w:rFonts w:cstheme="minorHAnsi"/>
          <w:sz w:val="24"/>
          <w:szCs w:val="24"/>
        </w:rPr>
        <w:t xml:space="preserve"> and if so, how?</w:t>
      </w:r>
    </w:p>
    <w:p w:rsidR="00C50846" w:rsidRPr="00C50846" w:rsidRDefault="00C50846" w:rsidP="00C50846">
      <w:pPr>
        <w:pStyle w:val="ListParagraph"/>
        <w:numPr>
          <w:ilvl w:val="0"/>
          <w:numId w:val="33"/>
        </w:numPr>
        <w:spacing w:after="240"/>
        <w:ind w:right="142"/>
        <w:rPr>
          <w:sz w:val="24"/>
          <w:szCs w:val="24"/>
        </w:rPr>
      </w:pPr>
      <w:r w:rsidRPr="00C50846">
        <w:rPr>
          <w:sz w:val="24"/>
          <w:szCs w:val="24"/>
        </w:rPr>
        <w:t xml:space="preserve">How can the CATSI Act be changed to help </w:t>
      </w:r>
      <w:r w:rsidRPr="00C50846">
        <w:rPr>
          <w:b/>
          <w:sz w:val="24"/>
          <w:szCs w:val="24"/>
        </w:rPr>
        <w:t>single member corporations</w:t>
      </w:r>
      <w:r w:rsidRPr="00C50846">
        <w:rPr>
          <w:sz w:val="24"/>
          <w:szCs w:val="24"/>
        </w:rPr>
        <w:t xml:space="preserve"> develop and grow?</w:t>
      </w:r>
    </w:p>
    <w:p w:rsidR="00C75226" w:rsidRPr="0096556E" w:rsidRDefault="00C75226" w:rsidP="008734E4">
      <w:pPr>
        <w:pStyle w:val="Heading2"/>
      </w:pPr>
      <w:r w:rsidRPr="0096556E">
        <w:t>Size classification</w:t>
      </w:r>
    </w:p>
    <w:p w:rsidR="00C75226" w:rsidRDefault="00C75226" w:rsidP="00C75226">
      <w:pPr>
        <w:spacing w:after="240"/>
        <w:ind w:right="142"/>
        <w:rPr>
          <w:sz w:val="24"/>
          <w:szCs w:val="24"/>
        </w:rPr>
      </w:pPr>
      <w:r w:rsidRPr="00C75236">
        <w:rPr>
          <w:sz w:val="24"/>
          <w:szCs w:val="24"/>
        </w:rPr>
        <w:t>A CATSI corporation is classified as small, medium or large, based on whether it meets thresholds for any two of three criteria relating to income, assets and number of employees. How</w:t>
      </w:r>
      <w:r w:rsidR="00E60A53">
        <w:rPr>
          <w:sz w:val="24"/>
          <w:szCs w:val="24"/>
        </w:rPr>
        <w:t>ever, the way</w:t>
      </w:r>
      <w:r w:rsidRPr="00C75236">
        <w:rPr>
          <w:sz w:val="24"/>
          <w:szCs w:val="24"/>
        </w:rPr>
        <w:t xml:space="preserve"> it reports to the Registrar, is based on its size and income.</w:t>
      </w:r>
      <w:r w:rsidR="001B4EF4" w:rsidRPr="00C75236">
        <w:rPr>
          <w:sz w:val="24"/>
          <w:szCs w:val="24"/>
        </w:rPr>
        <w:t xml:space="preserve"> </w:t>
      </w:r>
      <w:r w:rsidRPr="00C75236">
        <w:rPr>
          <w:sz w:val="24"/>
          <w:szCs w:val="24"/>
        </w:rPr>
        <w:t>This means it could be classified as small according to assets and staffing, but have more reporting obligations</w:t>
      </w:r>
      <w:r w:rsidR="001B4EF4" w:rsidRPr="00C75236">
        <w:rPr>
          <w:sz w:val="24"/>
          <w:szCs w:val="24"/>
        </w:rPr>
        <w:t xml:space="preserve"> </w:t>
      </w:r>
      <w:r w:rsidRPr="00C75236">
        <w:rPr>
          <w:sz w:val="24"/>
          <w:szCs w:val="24"/>
        </w:rPr>
        <w:t>because of its income. This is confusing and can make it difficult for corporations to self-assess.</w:t>
      </w:r>
    </w:p>
    <w:p w:rsidR="00C50846" w:rsidRPr="0096556E" w:rsidRDefault="00C50846" w:rsidP="0096556E">
      <w:pPr>
        <w:pStyle w:val="ListParagraph"/>
        <w:numPr>
          <w:ilvl w:val="0"/>
          <w:numId w:val="42"/>
        </w:numPr>
        <w:spacing w:after="240"/>
        <w:ind w:right="142"/>
        <w:rPr>
          <w:sz w:val="24"/>
          <w:szCs w:val="24"/>
        </w:rPr>
      </w:pPr>
      <w:r w:rsidRPr="0096556E">
        <w:rPr>
          <w:sz w:val="24"/>
          <w:szCs w:val="24"/>
        </w:rPr>
        <w:t>Should the test for size be the same as that of the Australian Charities and Not-for-profits Commission and be based solely on revenue as shown in the table below?</w:t>
      </w:r>
    </w:p>
    <w:p w:rsidR="00C50846" w:rsidRDefault="00C50846" w:rsidP="00C50846">
      <w:pPr>
        <w:pStyle w:val="ListParagraph"/>
        <w:numPr>
          <w:ilvl w:val="0"/>
          <w:numId w:val="34"/>
        </w:numPr>
        <w:rPr>
          <w:rFonts w:cstheme="minorHAnsi"/>
          <w:sz w:val="24"/>
          <w:szCs w:val="24"/>
        </w:rPr>
      </w:pPr>
      <w:r w:rsidRPr="00C50846">
        <w:rPr>
          <w:rFonts w:cstheme="minorHAnsi"/>
          <w:sz w:val="24"/>
          <w:szCs w:val="24"/>
        </w:rPr>
        <w:t>Another suggestion was that there should only be two sizes—small and large. What do you think?</w:t>
      </w:r>
    </w:p>
    <w:p w:rsidR="00C75226" w:rsidRPr="00C50846" w:rsidRDefault="00C50846" w:rsidP="00C50846">
      <w:pPr>
        <w:pStyle w:val="ListParagraph"/>
        <w:numPr>
          <w:ilvl w:val="0"/>
          <w:numId w:val="34"/>
        </w:numPr>
        <w:rPr>
          <w:rFonts w:cstheme="minorHAnsi"/>
          <w:sz w:val="24"/>
          <w:szCs w:val="24"/>
        </w:rPr>
      </w:pPr>
      <w:r w:rsidRPr="00C50846">
        <w:rPr>
          <w:rFonts w:cstheme="minorHAnsi"/>
          <w:sz w:val="24"/>
          <w:szCs w:val="24"/>
        </w:rPr>
        <w:t>If there were only two sizes, what criteria and thresholds could be used?</w:t>
      </w:r>
    </w:p>
    <w:tbl>
      <w:tblPr>
        <w:tblStyle w:val="NIAADefaultTableStyle"/>
        <w:tblW w:w="5279" w:type="pct"/>
        <w:tblInd w:w="-426" w:type="dxa"/>
        <w:tblLook w:val="04A0" w:firstRow="1" w:lastRow="0" w:firstColumn="1" w:lastColumn="0" w:noHBand="0" w:noVBand="1"/>
        <w:tblDescription w:val="Size classification thresholds for CATSI Corporations"/>
      </w:tblPr>
      <w:tblGrid>
        <w:gridCol w:w="5104"/>
        <w:gridCol w:w="5669"/>
      </w:tblGrid>
      <w:tr w:rsidR="00C131D9" w:rsidRPr="00C131D9" w:rsidTr="00530BF8">
        <w:trPr>
          <w:cnfStyle w:val="100000000000" w:firstRow="1" w:lastRow="0" w:firstColumn="0" w:lastColumn="0" w:oddVBand="0" w:evenVBand="0" w:oddHBand="0" w:evenHBand="0" w:firstRowFirstColumn="0" w:firstRowLastColumn="0" w:lastRowFirstColumn="0" w:lastRowLastColumn="0"/>
        </w:trPr>
        <w:tc>
          <w:tcPr>
            <w:tcW w:w="2369" w:type="pct"/>
            <w:shd w:val="clear" w:color="auto" w:fill="E5DCCF" w:themeFill="accent2" w:themeFillTint="66"/>
          </w:tcPr>
          <w:p w:rsidR="00520104" w:rsidRPr="00C75236" w:rsidRDefault="00520104" w:rsidP="00530BF8">
            <w:pPr>
              <w:spacing w:after="240" w:line="240" w:lineRule="auto"/>
              <w:ind w:right="142"/>
              <w:rPr>
                <w:rFonts w:eastAsia="Times New Roman" w:cstheme="minorHAnsi"/>
                <w:b w:val="0"/>
                <w:color w:val="auto"/>
                <w:sz w:val="24"/>
                <w:szCs w:val="24"/>
              </w:rPr>
            </w:pPr>
            <w:r w:rsidRPr="00C75236">
              <w:rPr>
                <w:rFonts w:eastAsia="Times New Roman" w:cstheme="minorHAnsi"/>
                <w:color w:val="auto"/>
                <w:sz w:val="24"/>
                <w:szCs w:val="24"/>
              </w:rPr>
              <w:t>Current CATSI thresholds</w:t>
            </w:r>
          </w:p>
        </w:tc>
        <w:tc>
          <w:tcPr>
            <w:tcW w:w="2631" w:type="pct"/>
            <w:shd w:val="clear" w:color="auto" w:fill="E5DCCF" w:themeFill="accent2" w:themeFillTint="66"/>
          </w:tcPr>
          <w:p w:rsidR="00520104" w:rsidRPr="00C75236" w:rsidRDefault="00520104" w:rsidP="00530BF8">
            <w:pPr>
              <w:spacing w:after="240" w:line="240" w:lineRule="auto"/>
              <w:ind w:right="142"/>
              <w:rPr>
                <w:rFonts w:eastAsia="Times New Roman" w:cstheme="minorHAnsi"/>
                <w:b w:val="0"/>
                <w:color w:val="auto"/>
                <w:sz w:val="24"/>
                <w:szCs w:val="24"/>
              </w:rPr>
            </w:pPr>
            <w:r w:rsidRPr="00C75236">
              <w:rPr>
                <w:color w:val="auto"/>
                <w:sz w:val="24"/>
                <w:szCs w:val="24"/>
              </w:rPr>
              <w:t>Australian Charities and Not-for-profits Commission</w:t>
            </w:r>
            <w:r w:rsidRPr="00C75236">
              <w:rPr>
                <w:rFonts w:eastAsia="Times New Roman" w:cstheme="minorHAnsi"/>
                <w:color w:val="auto"/>
                <w:sz w:val="24"/>
                <w:szCs w:val="24"/>
              </w:rPr>
              <w:t xml:space="preserve"> thresholds</w:t>
            </w:r>
          </w:p>
        </w:tc>
      </w:tr>
      <w:tr w:rsidR="00520B80" w:rsidRPr="00C131D9" w:rsidTr="00530BF8">
        <w:trPr>
          <w:cnfStyle w:val="000000100000" w:firstRow="0" w:lastRow="0" w:firstColumn="0" w:lastColumn="0" w:oddVBand="0" w:evenVBand="0" w:oddHBand="1" w:evenHBand="0" w:firstRowFirstColumn="0" w:firstRowLastColumn="0" w:lastRowFirstColumn="0" w:lastRowLastColumn="0"/>
        </w:trPr>
        <w:tc>
          <w:tcPr>
            <w:tcW w:w="2369" w:type="pct"/>
          </w:tcPr>
          <w:p w:rsidR="00520B80" w:rsidRPr="00C75236" w:rsidRDefault="00520B80" w:rsidP="00530BF8">
            <w:pPr>
              <w:tabs>
                <w:tab w:val="left" w:pos="1449"/>
              </w:tabs>
              <w:spacing w:after="240" w:line="240" w:lineRule="auto"/>
              <w:ind w:right="142"/>
              <w:rPr>
                <w:rFonts w:eastAsia="Times New Roman" w:cstheme="minorHAnsi"/>
                <w:color w:val="auto"/>
                <w:sz w:val="24"/>
                <w:szCs w:val="24"/>
              </w:rPr>
            </w:pPr>
            <w:r w:rsidRPr="00C75236">
              <w:rPr>
                <w:rFonts w:eastAsia="Times New Roman" w:cstheme="minorHAnsi"/>
                <w:color w:val="auto"/>
                <w:sz w:val="24"/>
                <w:szCs w:val="24"/>
              </w:rPr>
              <w:t>Small</w:t>
            </w:r>
            <w:r>
              <w:rPr>
                <w:rFonts w:eastAsia="Times New Roman" w:cstheme="minorHAnsi"/>
                <w:color w:val="auto"/>
                <w:sz w:val="24"/>
                <w:szCs w:val="24"/>
              </w:rPr>
              <w:t xml:space="preserve"> </w:t>
            </w:r>
            <w:r>
              <w:rPr>
                <w:rFonts w:eastAsia="Times New Roman" w:cstheme="minorHAnsi"/>
                <w:color w:val="auto"/>
                <w:sz w:val="24"/>
                <w:szCs w:val="24"/>
              </w:rPr>
              <w:tab/>
            </w:r>
            <w:r w:rsidRPr="00C75236">
              <w:rPr>
                <w:rFonts w:eastAsia="Times New Roman" w:cstheme="minorHAnsi"/>
                <w:color w:val="auto"/>
                <w:sz w:val="24"/>
                <w:szCs w:val="24"/>
              </w:rPr>
              <w:t>Less than $100,000</w:t>
            </w:r>
          </w:p>
        </w:tc>
        <w:tc>
          <w:tcPr>
            <w:tcW w:w="2631" w:type="pct"/>
          </w:tcPr>
          <w:p w:rsidR="00520B80" w:rsidRPr="00C75236" w:rsidRDefault="00520B80" w:rsidP="00530BF8">
            <w:pPr>
              <w:tabs>
                <w:tab w:val="left" w:pos="1169"/>
              </w:tabs>
              <w:spacing w:after="240" w:line="240" w:lineRule="auto"/>
              <w:ind w:right="142"/>
              <w:jc w:val="both"/>
              <w:rPr>
                <w:rFonts w:eastAsia="Times New Roman" w:cstheme="minorHAnsi"/>
                <w:color w:val="auto"/>
                <w:sz w:val="24"/>
                <w:szCs w:val="24"/>
              </w:rPr>
            </w:pPr>
            <w:r w:rsidRPr="00C75236">
              <w:rPr>
                <w:rFonts w:eastAsia="Times New Roman" w:cstheme="minorHAnsi"/>
                <w:color w:val="auto"/>
                <w:sz w:val="24"/>
                <w:szCs w:val="24"/>
              </w:rPr>
              <w:t>Small</w:t>
            </w:r>
            <w:r w:rsidR="00530BF8">
              <w:rPr>
                <w:rFonts w:eastAsia="Times New Roman" w:cstheme="minorHAnsi"/>
                <w:color w:val="auto"/>
                <w:sz w:val="24"/>
                <w:szCs w:val="24"/>
              </w:rPr>
              <w:tab/>
            </w:r>
            <w:r w:rsidRPr="00C75236">
              <w:rPr>
                <w:rFonts w:eastAsia="Times New Roman" w:cstheme="minorHAnsi"/>
                <w:color w:val="auto"/>
                <w:sz w:val="24"/>
                <w:szCs w:val="24"/>
              </w:rPr>
              <w:t>Less than $250,000</w:t>
            </w:r>
          </w:p>
        </w:tc>
      </w:tr>
      <w:tr w:rsidR="00520B80" w:rsidRPr="00C131D9" w:rsidTr="00530BF8">
        <w:trPr>
          <w:cnfStyle w:val="000000010000" w:firstRow="0" w:lastRow="0" w:firstColumn="0" w:lastColumn="0" w:oddVBand="0" w:evenVBand="0" w:oddHBand="0" w:evenHBand="1" w:firstRowFirstColumn="0" w:firstRowLastColumn="0" w:lastRowFirstColumn="0" w:lastRowLastColumn="0"/>
        </w:trPr>
        <w:tc>
          <w:tcPr>
            <w:tcW w:w="2369" w:type="pct"/>
          </w:tcPr>
          <w:p w:rsidR="00520B80" w:rsidRPr="00C75236" w:rsidRDefault="00520B80" w:rsidP="00530BF8">
            <w:pPr>
              <w:tabs>
                <w:tab w:val="left" w:pos="1449"/>
              </w:tabs>
              <w:spacing w:after="240" w:line="240" w:lineRule="auto"/>
              <w:ind w:right="142"/>
              <w:rPr>
                <w:rFonts w:eastAsia="Times New Roman" w:cstheme="minorHAnsi"/>
                <w:color w:val="auto"/>
                <w:sz w:val="24"/>
                <w:szCs w:val="24"/>
              </w:rPr>
            </w:pPr>
            <w:r w:rsidRPr="00C75236">
              <w:rPr>
                <w:rFonts w:eastAsia="Times New Roman" w:cstheme="minorHAnsi"/>
                <w:color w:val="auto"/>
                <w:sz w:val="24"/>
                <w:szCs w:val="24"/>
              </w:rPr>
              <w:t xml:space="preserve">Medium </w:t>
            </w:r>
            <w:r>
              <w:rPr>
                <w:rFonts w:eastAsia="Times New Roman" w:cstheme="minorHAnsi"/>
                <w:color w:val="auto"/>
                <w:sz w:val="24"/>
                <w:szCs w:val="24"/>
              </w:rPr>
              <w:tab/>
            </w:r>
            <w:r w:rsidRPr="00C75236">
              <w:rPr>
                <w:rFonts w:eastAsia="Times New Roman" w:cstheme="minorHAnsi"/>
                <w:color w:val="auto"/>
                <w:sz w:val="24"/>
                <w:szCs w:val="24"/>
              </w:rPr>
              <w:t>Between $100,000 and $5 million</w:t>
            </w:r>
          </w:p>
        </w:tc>
        <w:tc>
          <w:tcPr>
            <w:tcW w:w="2631" w:type="pct"/>
          </w:tcPr>
          <w:p w:rsidR="00520B80" w:rsidRPr="00C75236" w:rsidRDefault="00520B80" w:rsidP="00530BF8">
            <w:pPr>
              <w:tabs>
                <w:tab w:val="left" w:pos="1169"/>
              </w:tabs>
              <w:spacing w:after="240" w:line="240" w:lineRule="auto"/>
              <w:ind w:right="142"/>
              <w:rPr>
                <w:rFonts w:eastAsia="Times New Roman" w:cstheme="minorHAnsi"/>
                <w:color w:val="auto"/>
                <w:sz w:val="24"/>
                <w:szCs w:val="24"/>
              </w:rPr>
            </w:pPr>
            <w:r w:rsidRPr="00C75236">
              <w:rPr>
                <w:rFonts w:eastAsia="Times New Roman" w:cstheme="minorHAnsi"/>
                <w:color w:val="auto"/>
                <w:sz w:val="24"/>
                <w:szCs w:val="24"/>
              </w:rPr>
              <w:t>Medium</w:t>
            </w:r>
            <w:r w:rsidR="00530BF8">
              <w:rPr>
                <w:rFonts w:eastAsia="Times New Roman" w:cstheme="minorHAnsi"/>
                <w:color w:val="auto"/>
                <w:sz w:val="24"/>
                <w:szCs w:val="24"/>
              </w:rPr>
              <w:tab/>
            </w:r>
            <w:r w:rsidRPr="00C75236">
              <w:rPr>
                <w:rFonts w:eastAsia="Times New Roman" w:cstheme="minorHAnsi"/>
                <w:color w:val="auto"/>
                <w:sz w:val="24"/>
                <w:szCs w:val="24"/>
              </w:rPr>
              <w:t>$250,000 or more and less than $1 million</w:t>
            </w:r>
          </w:p>
        </w:tc>
      </w:tr>
      <w:tr w:rsidR="00520B80" w:rsidRPr="00C131D9" w:rsidTr="00530BF8">
        <w:trPr>
          <w:cnfStyle w:val="000000100000" w:firstRow="0" w:lastRow="0" w:firstColumn="0" w:lastColumn="0" w:oddVBand="0" w:evenVBand="0" w:oddHBand="1" w:evenHBand="0" w:firstRowFirstColumn="0" w:firstRowLastColumn="0" w:lastRowFirstColumn="0" w:lastRowLastColumn="0"/>
        </w:trPr>
        <w:tc>
          <w:tcPr>
            <w:tcW w:w="2369" w:type="pct"/>
          </w:tcPr>
          <w:p w:rsidR="00520B80" w:rsidRPr="00C75236" w:rsidRDefault="00520B80" w:rsidP="00530BF8">
            <w:pPr>
              <w:tabs>
                <w:tab w:val="left" w:pos="1449"/>
              </w:tabs>
              <w:spacing w:after="240" w:line="240" w:lineRule="auto"/>
              <w:ind w:right="142"/>
              <w:rPr>
                <w:rFonts w:eastAsia="Times New Roman" w:cstheme="minorHAnsi"/>
                <w:color w:val="auto"/>
                <w:sz w:val="24"/>
                <w:szCs w:val="24"/>
              </w:rPr>
            </w:pPr>
            <w:r w:rsidRPr="00C75236">
              <w:rPr>
                <w:rFonts w:eastAsia="Times New Roman" w:cstheme="minorHAnsi"/>
                <w:color w:val="auto"/>
                <w:sz w:val="24"/>
                <w:szCs w:val="24"/>
              </w:rPr>
              <w:t>Large</w:t>
            </w:r>
            <w:r>
              <w:rPr>
                <w:rFonts w:eastAsia="Times New Roman" w:cstheme="minorHAnsi"/>
                <w:color w:val="auto"/>
                <w:sz w:val="24"/>
                <w:szCs w:val="24"/>
              </w:rPr>
              <w:tab/>
            </w:r>
            <w:r w:rsidRPr="00C75236">
              <w:rPr>
                <w:rFonts w:eastAsia="Times New Roman" w:cstheme="minorHAnsi"/>
                <w:color w:val="auto"/>
                <w:sz w:val="24"/>
                <w:szCs w:val="24"/>
              </w:rPr>
              <w:t>$5 million or more</w:t>
            </w:r>
          </w:p>
        </w:tc>
        <w:tc>
          <w:tcPr>
            <w:tcW w:w="2631" w:type="pct"/>
          </w:tcPr>
          <w:p w:rsidR="00520B80" w:rsidRPr="00C75236" w:rsidRDefault="00520B80" w:rsidP="00530BF8">
            <w:pPr>
              <w:tabs>
                <w:tab w:val="left" w:pos="1169"/>
              </w:tabs>
              <w:spacing w:after="240" w:line="240" w:lineRule="auto"/>
              <w:ind w:right="142"/>
              <w:rPr>
                <w:rFonts w:eastAsia="Times New Roman" w:cstheme="minorHAnsi"/>
                <w:color w:val="auto"/>
                <w:sz w:val="24"/>
                <w:szCs w:val="24"/>
              </w:rPr>
            </w:pPr>
            <w:r w:rsidRPr="00C75236">
              <w:rPr>
                <w:rFonts w:eastAsia="Times New Roman" w:cstheme="minorHAnsi"/>
                <w:color w:val="auto"/>
                <w:sz w:val="24"/>
                <w:szCs w:val="24"/>
              </w:rPr>
              <w:t>Large</w:t>
            </w:r>
            <w:r>
              <w:rPr>
                <w:rFonts w:eastAsia="Times New Roman" w:cstheme="minorHAnsi"/>
                <w:color w:val="auto"/>
                <w:sz w:val="24"/>
                <w:szCs w:val="24"/>
              </w:rPr>
              <w:tab/>
            </w:r>
            <w:r w:rsidRPr="00C75236">
              <w:rPr>
                <w:rFonts w:eastAsia="Times New Roman" w:cstheme="minorHAnsi"/>
                <w:color w:val="auto"/>
                <w:sz w:val="24"/>
                <w:szCs w:val="24"/>
              </w:rPr>
              <w:t>$1 million or more</w:t>
            </w:r>
          </w:p>
        </w:tc>
      </w:tr>
    </w:tbl>
    <w:p w:rsidR="00C50846" w:rsidRDefault="00C50846" w:rsidP="00520104">
      <w:pPr>
        <w:spacing w:after="240"/>
        <w:ind w:right="142"/>
        <w:rPr>
          <w:b/>
          <w:color w:val="BEA887" w:themeColor="accent2"/>
          <w:sz w:val="60"/>
          <w:szCs w:val="60"/>
        </w:rPr>
      </w:pPr>
    </w:p>
    <w:p w:rsidR="00C50846" w:rsidRDefault="00C50846" w:rsidP="00520104">
      <w:pPr>
        <w:spacing w:after="240"/>
        <w:ind w:right="142"/>
        <w:rPr>
          <w:b/>
          <w:color w:val="BEA887" w:themeColor="accent2"/>
          <w:sz w:val="60"/>
          <w:szCs w:val="60"/>
        </w:rPr>
      </w:pPr>
    </w:p>
    <w:p w:rsidR="00520104" w:rsidRPr="0096556E" w:rsidRDefault="00520104" w:rsidP="008734E4">
      <w:pPr>
        <w:pStyle w:val="Heading2"/>
      </w:pPr>
      <w:r w:rsidRPr="0096556E">
        <w:lastRenderedPageBreak/>
        <w:t>Meetings</w:t>
      </w:r>
    </w:p>
    <w:p w:rsidR="00520104" w:rsidRDefault="00520104" w:rsidP="00520104">
      <w:pPr>
        <w:spacing w:after="240"/>
        <w:ind w:right="142"/>
        <w:rPr>
          <w:sz w:val="24"/>
          <w:szCs w:val="24"/>
        </w:rPr>
      </w:pPr>
      <w:r w:rsidRPr="00C75236">
        <w:rPr>
          <w:sz w:val="24"/>
          <w:szCs w:val="24"/>
        </w:rPr>
        <w:t xml:space="preserve">Meetings are an important way to keep members engaged, and ensure accountability and transparency. However, meetings can be burdensome both financially and administratively, particularly for small corporations. </w:t>
      </w:r>
    </w:p>
    <w:p w:rsidR="00C50846" w:rsidRPr="00C75236" w:rsidRDefault="00C50846" w:rsidP="00C50846">
      <w:pPr>
        <w:pStyle w:val="ListParagraph"/>
        <w:numPr>
          <w:ilvl w:val="0"/>
          <w:numId w:val="27"/>
        </w:numPr>
        <w:spacing w:after="240" w:line="240" w:lineRule="auto"/>
        <w:ind w:right="142"/>
        <w:rPr>
          <w:sz w:val="24"/>
          <w:szCs w:val="24"/>
        </w:rPr>
      </w:pPr>
      <w:r w:rsidRPr="00C75236">
        <w:rPr>
          <w:sz w:val="24"/>
          <w:szCs w:val="24"/>
        </w:rPr>
        <w:t>Should small CATSI corporations be able to pass a resolution to not have an A</w:t>
      </w:r>
      <w:r w:rsidR="00E60A53">
        <w:rPr>
          <w:sz w:val="24"/>
          <w:szCs w:val="24"/>
        </w:rPr>
        <w:t xml:space="preserve">nnual </w:t>
      </w:r>
      <w:r w:rsidRPr="00C75236">
        <w:rPr>
          <w:sz w:val="24"/>
          <w:szCs w:val="24"/>
        </w:rPr>
        <w:t>G</w:t>
      </w:r>
      <w:r w:rsidR="00E60A53">
        <w:rPr>
          <w:sz w:val="24"/>
          <w:szCs w:val="24"/>
        </w:rPr>
        <w:t xml:space="preserve">eneral </w:t>
      </w:r>
      <w:r w:rsidRPr="00C75236">
        <w:rPr>
          <w:sz w:val="24"/>
          <w:szCs w:val="24"/>
        </w:rPr>
        <w:t>M</w:t>
      </w:r>
      <w:r w:rsidR="00E60A53">
        <w:rPr>
          <w:sz w:val="24"/>
          <w:szCs w:val="24"/>
        </w:rPr>
        <w:t>eeting (AGM)</w:t>
      </w:r>
      <w:r w:rsidRPr="00C75236">
        <w:rPr>
          <w:sz w:val="24"/>
          <w:szCs w:val="24"/>
        </w:rPr>
        <w:t xml:space="preserve"> for up to three years, provided the directors do not vote on that resolution (unless all members are directors)?</w:t>
      </w:r>
    </w:p>
    <w:p w:rsidR="00C50846" w:rsidRPr="00C75236" w:rsidRDefault="00C50846" w:rsidP="00C50846">
      <w:pPr>
        <w:pStyle w:val="ListParagraph"/>
        <w:numPr>
          <w:ilvl w:val="0"/>
          <w:numId w:val="27"/>
        </w:numPr>
        <w:spacing w:after="240" w:line="240" w:lineRule="auto"/>
        <w:ind w:right="142"/>
        <w:rPr>
          <w:sz w:val="24"/>
          <w:szCs w:val="24"/>
        </w:rPr>
      </w:pPr>
      <w:r w:rsidRPr="00C75236">
        <w:rPr>
          <w:sz w:val="24"/>
          <w:szCs w:val="24"/>
        </w:rPr>
        <w:t>Or, should corporations be able to hold AGMs online, when in-person meetings are not feasible? During the COVID-19 pandemic the Registrar introduced such special rules, which expire in November 2020—should they become standard under the CATSI Act?</w:t>
      </w:r>
    </w:p>
    <w:p w:rsidR="00C50846" w:rsidRPr="00C75236" w:rsidRDefault="00C50846" w:rsidP="00C50846">
      <w:pPr>
        <w:pStyle w:val="ListParagraph"/>
        <w:numPr>
          <w:ilvl w:val="0"/>
          <w:numId w:val="27"/>
        </w:numPr>
        <w:spacing w:after="240" w:line="240" w:lineRule="auto"/>
        <w:ind w:right="142"/>
        <w:rPr>
          <w:sz w:val="24"/>
          <w:szCs w:val="24"/>
        </w:rPr>
      </w:pPr>
      <w:r w:rsidRPr="00C75236">
        <w:rPr>
          <w:sz w:val="24"/>
          <w:szCs w:val="24"/>
        </w:rPr>
        <w:t>Should the Registrar be able to call a general meeting if, for example, there have been a lot of complaints or if members haven’t been able to ask questions of the board?</w:t>
      </w:r>
    </w:p>
    <w:p w:rsidR="00C50846" w:rsidRPr="00C75236" w:rsidRDefault="00C50846" w:rsidP="00C50846">
      <w:pPr>
        <w:pStyle w:val="ListParagraph"/>
        <w:numPr>
          <w:ilvl w:val="0"/>
          <w:numId w:val="27"/>
        </w:numPr>
        <w:spacing w:after="240" w:line="240" w:lineRule="auto"/>
        <w:ind w:right="142"/>
        <w:rPr>
          <w:sz w:val="24"/>
          <w:szCs w:val="24"/>
        </w:rPr>
      </w:pPr>
      <w:r w:rsidRPr="00C75236">
        <w:rPr>
          <w:sz w:val="24"/>
          <w:szCs w:val="24"/>
        </w:rPr>
        <w:t>Should corporations be able to have a</w:t>
      </w:r>
      <w:r>
        <w:rPr>
          <w:sz w:val="24"/>
          <w:szCs w:val="24"/>
        </w:rPr>
        <w:t>n automatic</w:t>
      </w:r>
      <w:r w:rsidRPr="00C75236">
        <w:rPr>
          <w:sz w:val="24"/>
          <w:szCs w:val="24"/>
        </w:rPr>
        <w:t xml:space="preserve"> 30-day extension to hold an AGM in the case of death, natural disaster or certain cultural activities in the community?</w:t>
      </w:r>
    </w:p>
    <w:p w:rsidR="00C50846" w:rsidRPr="00C75236" w:rsidRDefault="00C50846" w:rsidP="00C50846">
      <w:pPr>
        <w:pStyle w:val="ListParagraph"/>
        <w:numPr>
          <w:ilvl w:val="0"/>
          <w:numId w:val="27"/>
        </w:numPr>
        <w:spacing w:after="240" w:line="240" w:lineRule="auto"/>
        <w:ind w:right="142"/>
        <w:rPr>
          <w:sz w:val="24"/>
          <w:szCs w:val="24"/>
        </w:rPr>
      </w:pPr>
      <w:r w:rsidRPr="00C75236">
        <w:rPr>
          <w:sz w:val="24"/>
          <w:szCs w:val="24"/>
        </w:rPr>
        <w:t>Does the CATSI Act need to be clearer about holding and cancelling general meetings or are the rules around this clear?</w:t>
      </w:r>
    </w:p>
    <w:p w:rsidR="00C75236" w:rsidRPr="00C50846" w:rsidRDefault="00C50846" w:rsidP="00520104">
      <w:pPr>
        <w:pStyle w:val="ListParagraph"/>
        <w:numPr>
          <w:ilvl w:val="0"/>
          <w:numId w:val="27"/>
        </w:numPr>
        <w:spacing w:after="240" w:line="240" w:lineRule="auto"/>
        <w:ind w:right="142"/>
        <w:rPr>
          <w:sz w:val="24"/>
          <w:szCs w:val="24"/>
        </w:rPr>
      </w:pPr>
      <w:r w:rsidRPr="007466A0">
        <w:rPr>
          <w:sz w:val="24"/>
          <w:szCs w:val="24"/>
        </w:rPr>
        <w:t xml:space="preserve">Should large corporations </w:t>
      </w:r>
      <w:r w:rsidR="00E60A53">
        <w:rPr>
          <w:sz w:val="24"/>
          <w:szCs w:val="24"/>
        </w:rPr>
        <w:t xml:space="preserve">be required to </w:t>
      </w:r>
      <w:r w:rsidRPr="007466A0">
        <w:rPr>
          <w:sz w:val="24"/>
          <w:szCs w:val="24"/>
        </w:rPr>
        <w:t>have audit committees to advise boards on financial matters?</w:t>
      </w:r>
    </w:p>
    <w:p w:rsidR="00520104" w:rsidRPr="0096556E" w:rsidRDefault="00520104" w:rsidP="008734E4">
      <w:pPr>
        <w:pStyle w:val="Heading2"/>
      </w:pPr>
      <w:r w:rsidRPr="0096556E">
        <w:t>Reporting</w:t>
      </w:r>
    </w:p>
    <w:p w:rsidR="00520104" w:rsidRDefault="00520104" w:rsidP="00520104">
      <w:pPr>
        <w:spacing w:after="240"/>
        <w:ind w:right="142"/>
        <w:rPr>
          <w:sz w:val="24"/>
          <w:szCs w:val="24"/>
        </w:rPr>
      </w:pPr>
      <w:r w:rsidRPr="00C75236">
        <w:rPr>
          <w:sz w:val="24"/>
          <w:szCs w:val="24"/>
        </w:rPr>
        <w:t>Corporations need to prepare reports and lodge them with the Registrar at specified times. Sometimes it is hard for corporations to meet their reporting obligations particularly when faced with something unexpected.</w:t>
      </w:r>
    </w:p>
    <w:p w:rsidR="00C50846" w:rsidRPr="00C75236" w:rsidRDefault="00C50846" w:rsidP="00C50846">
      <w:pPr>
        <w:pStyle w:val="ListParagraph"/>
        <w:numPr>
          <w:ilvl w:val="0"/>
          <w:numId w:val="30"/>
        </w:numPr>
        <w:spacing w:after="240" w:line="240" w:lineRule="auto"/>
        <w:ind w:right="142"/>
        <w:rPr>
          <w:sz w:val="24"/>
          <w:szCs w:val="24"/>
        </w:rPr>
      </w:pPr>
      <w:r w:rsidRPr="00C75236">
        <w:rPr>
          <w:sz w:val="24"/>
          <w:szCs w:val="24"/>
        </w:rPr>
        <w:t>Should corporations be allowed to have a</w:t>
      </w:r>
      <w:r>
        <w:rPr>
          <w:sz w:val="24"/>
          <w:szCs w:val="24"/>
        </w:rPr>
        <w:t>n automatic</w:t>
      </w:r>
      <w:r w:rsidRPr="00C75236">
        <w:rPr>
          <w:sz w:val="24"/>
          <w:szCs w:val="24"/>
        </w:rPr>
        <w:t xml:space="preserve"> 30-day extension to lodge reports with the Registrar in the case of death, natural disaster and certain cultural activities in community?</w:t>
      </w:r>
    </w:p>
    <w:p w:rsidR="00C50846" w:rsidRPr="00C75236" w:rsidRDefault="00C50846" w:rsidP="00C50846">
      <w:pPr>
        <w:pStyle w:val="ListParagraph"/>
        <w:numPr>
          <w:ilvl w:val="0"/>
          <w:numId w:val="30"/>
        </w:numPr>
        <w:spacing w:after="240" w:line="240" w:lineRule="auto"/>
        <w:ind w:right="142"/>
        <w:rPr>
          <w:sz w:val="24"/>
          <w:szCs w:val="24"/>
        </w:rPr>
      </w:pPr>
      <w:r w:rsidRPr="00C75236">
        <w:rPr>
          <w:sz w:val="24"/>
          <w:szCs w:val="24"/>
        </w:rPr>
        <w:t>Currently corporations only have to give members copies of reports (such as financial, audit and directors’ reports) on request. Should they have to present them at AGMs to provide greater transparency to members?</w:t>
      </w:r>
    </w:p>
    <w:p w:rsidR="00C50846" w:rsidRPr="00C75236" w:rsidRDefault="00C50846" w:rsidP="00C50846">
      <w:pPr>
        <w:pStyle w:val="ListParagraph"/>
        <w:numPr>
          <w:ilvl w:val="0"/>
          <w:numId w:val="30"/>
        </w:numPr>
        <w:spacing w:after="240" w:line="240" w:lineRule="auto"/>
        <w:ind w:right="142"/>
        <w:rPr>
          <w:sz w:val="24"/>
          <w:szCs w:val="24"/>
        </w:rPr>
      </w:pPr>
      <w:r w:rsidRPr="00C75236">
        <w:rPr>
          <w:sz w:val="24"/>
          <w:szCs w:val="24"/>
        </w:rPr>
        <w:t>Should ‘dormant’ corporations have less reporting and audit requirements? If so, what makes a ‘dormant corporation’? What should those reduced requirements be?</w:t>
      </w:r>
    </w:p>
    <w:p w:rsidR="00520104" w:rsidRPr="0096556E" w:rsidRDefault="00520104" w:rsidP="008734E4">
      <w:pPr>
        <w:pStyle w:val="Heading2"/>
      </w:pPr>
      <w:r w:rsidRPr="0096556E">
        <w:t>Rule books</w:t>
      </w:r>
    </w:p>
    <w:p w:rsidR="006B6D1F" w:rsidRPr="006B6D1F" w:rsidRDefault="006B6D1F" w:rsidP="006B6D1F">
      <w:pPr>
        <w:spacing w:after="240"/>
        <w:ind w:right="142"/>
        <w:rPr>
          <w:rFonts w:eastAsia="Times New Roman" w:cstheme="minorHAnsi"/>
          <w:sz w:val="24"/>
          <w:szCs w:val="24"/>
        </w:rPr>
      </w:pPr>
      <w:r w:rsidRPr="006B6D1F">
        <w:rPr>
          <w:rFonts w:eastAsia="Times New Roman" w:cstheme="minorHAnsi"/>
          <w:sz w:val="24"/>
          <w:szCs w:val="24"/>
        </w:rPr>
        <w:t>All corporations are required to have a constitution, which is commonly known as a rule book. Rule books include rules for the internal governance of a corporation.</w:t>
      </w:r>
    </w:p>
    <w:p w:rsidR="006B6D1F" w:rsidRPr="006B6D1F" w:rsidRDefault="006B6D1F" w:rsidP="006B6D1F">
      <w:pPr>
        <w:ind w:right="142"/>
        <w:rPr>
          <w:rFonts w:eastAsia="Times New Roman" w:cstheme="minorHAnsi"/>
          <w:sz w:val="24"/>
          <w:szCs w:val="24"/>
        </w:rPr>
      </w:pPr>
      <w:r w:rsidRPr="006B6D1F">
        <w:rPr>
          <w:rFonts w:eastAsia="Times New Roman" w:cstheme="minorHAnsi"/>
          <w:sz w:val="24"/>
          <w:szCs w:val="24"/>
        </w:rPr>
        <w:t>Not all of the rules relating to internal governance are located in the rule book. Some rules are located in the CATSI Act, in particular:</w:t>
      </w:r>
    </w:p>
    <w:p w:rsidR="006B6D1F" w:rsidRPr="006B6D1F" w:rsidRDefault="006B6D1F" w:rsidP="006B6D1F">
      <w:pPr>
        <w:pStyle w:val="ListParagraph"/>
        <w:numPr>
          <w:ilvl w:val="0"/>
          <w:numId w:val="27"/>
        </w:numPr>
        <w:spacing w:after="240" w:line="240" w:lineRule="auto"/>
        <w:ind w:right="142"/>
        <w:rPr>
          <w:sz w:val="24"/>
          <w:szCs w:val="24"/>
        </w:rPr>
      </w:pPr>
      <w:r w:rsidRPr="006B6D1F">
        <w:rPr>
          <w:sz w:val="24"/>
          <w:szCs w:val="24"/>
        </w:rPr>
        <w:t>rules that apply to all corporations and cannot be changed (unless exempted by the Registrar); and</w:t>
      </w:r>
    </w:p>
    <w:p w:rsidR="006B6D1F" w:rsidRPr="006B6D1F" w:rsidRDefault="006B6D1F" w:rsidP="006B6D1F">
      <w:pPr>
        <w:pStyle w:val="ListParagraph"/>
        <w:numPr>
          <w:ilvl w:val="0"/>
          <w:numId w:val="27"/>
        </w:numPr>
        <w:spacing w:after="240" w:line="240" w:lineRule="auto"/>
        <w:ind w:right="142"/>
        <w:rPr>
          <w:rFonts w:eastAsia="Times New Roman" w:cstheme="minorHAnsi"/>
          <w:sz w:val="24"/>
          <w:szCs w:val="24"/>
        </w:rPr>
      </w:pPr>
      <w:r w:rsidRPr="006B6D1F" w:rsidDel="00C474FE">
        <w:rPr>
          <w:sz w:val="24"/>
          <w:szCs w:val="24"/>
        </w:rPr>
        <w:lastRenderedPageBreak/>
        <w:t xml:space="preserve"> </w:t>
      </w:r>
      <w:r w:rsidRPr="006B6D1F">
        <w:rPr>
          <w:sz w:val="24"/>
          <w:szCs w:val="24"/>
        </w:rPr>
        <w:t>‘</w:t>
      </w:r>
      <w:proofErr w:type="gramStart"/>
      <w:r w:rsidRPr="006B6D1F">
        <w:rPr>
          <w:sz w:val="24"/>
          <w:szCs w:val="24"/>
        </w:rPr>
        <w:t>replaceable</w:t>
      </w:r>
      <w:proofErr w:type="gramEnd"/>
      <w:r w:rsidRPr="006B6D1F">
        <w:rPr>
          <w:sz w:val="24"/>
          <w:szCs w:val="24"/>
        </w:rPr>
        <w:t xml:space="preserve">’ rules that apply to corporations unless modified or replaced by a corporation in its rule book. </w:t>
      </w:r>
    </w:p>
    <w:p w:rsidR="006B6D1F" w:rsidRDefault="00426056" w:rsidP="006B6D1F">
      <w:pPr>
        <w:spacing w:after="240"/>
        <w:ind w:right="142"/>
        <w:rPr>
          <w:rFonts w:eastAsia="Times New Roman" w:cstheme="minorHAnsi"/>
          <w:sz w:val="24"/>
          <w:szCs w:val="24"/>
        </w:rPr>
      </w:pPr>
      <w:r>
        <w:rPr>
          <w:rFonts w:eastAsia="Times New Roman" w:cstheme="minorHAnsi"/>
          <w:color w:val="auto"/>
          <w:sz w:val="24"/>
          <w:szCs w:val="24"/>
        </w:rPr>
        <w:t>Sometimes m</w:t>
      </w:r>
      <w:r w:rsidRPr="00426056">
        <w:rPr>
          <w:rFonts w:eastAsia="Times New Roman" w:cstheme="minorHAnsi"/>
          <w:color w:val="auto"/>
          <w:sz w:val="24"/>
          <w:szCs w:val="24"/>
        </w:rPr>
        <w:t>embers and directors are unaware of the replaceable rules</w:t>
      </w:r>
      <w:r>
        <w:rPr>
          <w:rFonts w:eastAsia="Times New Roman" w:cstheme="minorHAnsi"/>
          <w:color w:val="auto"/>
          <w:sz w:val="24"/>
          <w:szCs w:val="24"/>
        </w:rPr>
        <w:t xml:space="preserve"> because they are not in the corporation’s rule book</w:t>
      </w:r>
      <w:r w:rsidRPr="00426056">
        <w:rPr>
          <w:rFonts w:eastAsia="Times New Roman" w:cstheme="minorHAnsi"/>
          <w:color w:val="auto"/>
          <w:sz w:val="24"/>
          <w:szCs w:val="24"/>
        </w:rPr>
        <w:t xml:space="preserve">. </w:t>
      </w:r>
      <w:r w:rsidR="006B6D1F" w:rsidRPr="006B6D1F">
        <w:rPr>
          <w:rFonts w:eastAsia="Times New Roman" w:cstheme="minorHAnsi"/>
          <w:sz w:val="24"/>
          <w:szCs w:val="24"/>
        </w:rPr>
        <w:t>To address this problem we are proposing that all replaceable rules be included in rule books, whether they have been replaced or not.</w:t>
      </w:r>
    </w:p>
    <w:p w:rsidR="00C75236" w:rsidRPr="00C50846" w:rsidRDefault="00C50846" w:rsidP="00520104">
      <w:pPr>
        <w:pStyle w:val="ListParagraph"/>
        <w:numPr>
          <w:ilvl w:val="0"/>
          <w:numId w:val="35"/>
        </w:numPr>
        <w:spacing w:after="240"/>
        <w:ind w:right="142"/>
        <w:rPr>
          <w:rFonts w:eastAsia="Times New Roman" w:cstheme="minorHAnsi"/>
          <w:sz w:val="24"/>
          <w:szCs w:val="24"/>
        </w:rPr>
      </w:pPr>
      <w:r w:rsidRPr="00C50846">
        <w:rPr>
          <w:sz w:val="24"/>
          <w:szCs w:val="24"/>
        </w:rPr>
        <w:t xml:space="preserve">Do you agree that </w:t>
      </w:r>
      <w:r w:rsidRPr="00C50846">
        <w:rPr>
          <w:rFonts w:eastAsia="Times New Roman" w:cstheme="minorHAnsi"/>
          <w:sz w:val="24"/>
          <w:szCs w:val="24"/>
        </w:rPr>
        <w:t xml:space="preserve">all replaceable rules should be included in rule books—whether they have been adopted as they are or replaced? </w:t>
      </w:r>
    </w:p>
    <w:p w:rsidR="00520104" w:rsidRDefault="00520104" w:rsidP="00520104">
      <w:pPr>
        <w:spacing w:after="240"/>
        <w:ind w:right="142"/>
        <w:rPr>
          <w:rFonts w:eastAsia="Times New Roman" w:cstheme="minorHAnsi"/>
          <w:sz w:val="24"/>
          <w:szCs w:val="24"/>
        </w:rPr>
      </w:pPr>
      <w:r w:rsidRPr="00C75236">
        <w:rPr>
          <w:rFonts w:eastAsia="Times New Roman" w:cstheme="minorHAnsi"/>
          <w:sz w:val="24"/>
          <w:szCs w:val="24"/>
        </w:rPr>
        <w:t xml:space="preserve">The Registrar can change rule books and also approves changes made by corporations to their rule books. The CATSI Act says that the Registrar can reject changes that are different </w:t>
      </w:r>
      <w:r w:rsidR="002B5FD8">
        <w:rPr>
          <w:rFonts w:eastAsia="Times New Roman" w:cstheme="minorHAnsi"/>
          <w:sz w:val="24"/>
          <w:szCs w:val="24"/>
        </w:rPr>
        <w:t>from</w:t>
      </w:r>
      <w:r w:rsidR="002B5FD8" w:rsidRPr="00C75236">
        <w:rPr>
          <w:rFonts w:eastAsia="Times New Roman" w:cstheme="minorHAnsi"/>
          <w:sz w:val="24"/>
          <w:szCs w:val="24"/>
        </w:rPr>
        <w:t xml:space="preserve"> </w:t>
      </w:r>
      <w:r w:rsidRPr="00C75236">
        <w:rPr>
          <w:rFonts w:eastAsia="Times New Roman" w:cstheme="minorHAnsi"/>
          <w:sz w:val="24"/>
          <w:szCs w:val="24"/>
        </w:rPr>
        <w:t xml:space="preserve">changes he or she has already made to the rule book. </w:t>
      </w:r>
    </w:p>
    <w:p w:rsidR="00C50846" w:rsidRDefault="00C50846" w:rsidP="00C50846">
      <w:pPr>
        <w:pStyle w:val="ListParagraph"/>
        <w:numPr>
          <w:ilvl w:val="0"/>
          <w:numId w:val="35"/>
        </w:numPr>
        <w:spacing w:after="240"/>
        <w:ind w:right="142"/>
        <w:rPr>
          <w:rFonts w:eastAsia="Times New Roman" w:cstheme="minorHAnsi"/>
          <w:sz w:val="24"/>
          <w:szCs w:val="24"/>
        </w:rPr>
      </w:pPr>
      <w:r w:rsidRPr="00C50846">
        <w:rPr>
          <w:rFonts w:eastAsia="Times New Roman" w:cstheme="minorHAnsi"/>
          <w:sz w:val="24"/>
          <w:szCs w:val="24"/>
        </w:rPr>
        <w:t>Do you agree The CATSI Act should also say that the Registrar can reject changes to a rule book that are different from changes made by a special administrator</w:t>
      </w:r>
      <w:r w:rsidR="00E60A53">
        <w:rPr>
          <w:rFonts w:eastAsia="Times New Roman" w:cstheme="minorHAnsi"/>
          <w:sz w:val="24"/>
          <w:szCs w:val="24"/>
        </w:rPr>
        <w:t>?</w:t>
      </w:r>
    </w:p>
    <w:p w:rsidR="00C50846" w:rsidRPr="00C50846" w:rsidRDefault="00C50846" w:rsidP="00520104">
      <w:pPr>
        <w:pStyle w:val="ListParagraph"/>
        <w:numPr>
          <w:ilvl w:val="0"/>
          <w:numId w:val="35"/>
        </w:numPr>
        <w:spacing w:after="240"/>
        <w:ind w:right="142"/>
        <w:rPr>
          <w:rFonts w:eastAsia="Times New Roman" w:cstheme="minorHAnsi"/>
          <w:sz w:val="24"/>
          <w:szCs w:val="24"/>
        </w:rPr>
      </w:pPr>
      <w:r w:rsidRPr="00C50846">
        <w:rPr>
          <w:rFonts w:cstheme="minorHAnsi"/>
          <w:sz w:val="24"/>
          <w:szCs w:val="24"/>
        </w:rPr>
        <w:t>Some people think rule books should be simplified. What do you think?</w:t>
      </w:r>
    </w:p>
    <w:p w:rsidR="00C50846" w:rsidRPr="0096556E" w:rsidRDefault="00C50846" w:rsidP="008734E4">
      <w:pPr>
        <w:pStyle w:val="Heading2"/>
      </w:pPr>
      <w:r w:rsidRPr="0096556E">
        <w:t>Should the CATSI Act be strengthened?</w:t>
      </w:r>
    </w:p>
    <w:p w:rsidR="00C50846" w:rsidRPr="00C75236" w:rsidRDefault="00C50846" w:rsidP="00C50846">
      <w:pPr>
        <w:pStyle w:val="ListParagraph"/>
        <w:numPr>
          <w:ilvl w:val="0"/>
          <w:numId w:val="27"/>
        </w:numPr>
        <w:spacing w:after="240" w:line="240" w:lineRule="auto"/>
        <w:ind w:right="142"/>
        <w:rPr>
          <w:sz w:val="24"/>
          <w:szCs w:val="24"/>
        </w:rPr>
      </w:pPr>
      <w:r w:rsidRPr="00C75236">
        <w:rPr>
          <w:sz w:val="24"/>
          <w:szCs w:val="24"/>
        </w:rPr>
        <w:t>Are there more changes that can be made to make the rules for CATSI corporations the same as the rules for registered charities, in particular, registered charities that are also companies limited by guarantee under the Corporations Act?</w:t>
      </w:r>
    </w:p>
    <w:p w:rsidR="004708C0" w:rsidRDefault="00C50846" w:rsidP="00520B80">
      <w:pPr>
        <w:pStyle w:val="ListParagraph"/>
        <w:numPr>
          <w:ilvl w:val="0"/>
          <w:numId w:val="27"/>
        </w:numPr>
        <w:spacing w:before="1440" w:after="240" w:line="240" w:lineRule="auto"/>
        <w:ind w:left="714" w:right="142" w:hanging="357"/>
        <w:rPr>
          <w:sz w:val="24"/>
          <w:szCs w:val="24"/>
        </w:rPr>
      </w:pPr>
      <w:r w:rsidRPr="00C75236">
        <w:rPr>
          <w:sz w:val="24"/>
          <w:szCs w:val="24"/>
        </w:rPr>
        <w:t>Members can be asked to vote on behalf of up to three other members at the moment—is this too many votes</w:t>
      </w:r>
      <w:r>
        <w:rPr>
          <w:sz w:val="24"/>
          <w:szCs w:val="24"/>
        </w:rPr>
        <w:t xml:space="preserve"> for one person to hold</w:t>
      </w:r>
      <w:r w:rsidRPr="00C75236">
        <w:rPr>
          <w:sz w:val="24"/>
          <w:szCs w:val="24"/>
        </w:rPr>
        <w:t>?</w:t>
      </w:r>
    </w:p>
    <w:p w:rsidR="00520B80" w:rsidRPr="00520B80" w:rsidRDefault="00520B80" w:rsidP="00520B80">
      <w:pPr>
        <w:spacing w:before="1440" w:after="240" w:line="240" w:lineRule="auto"/>
        <w:ind w:right="142"/>
        <w:rPr>
          <w:sz w:val="24"/>
          <w:szCs w:val="24"/>
        </w:rPr>
      </w:pPr>
    </w:p>
    <w:p w:rsidR="004708C0" w:rsidRDefault="004708C0" w:rsidP="00520B80">
      <w:pPr>
        <w:pBdr>
          <w:top w:val="single" w:sz="4" w:space="1" w:color="auto"/>
          <w:left w:val="single" w:sz="4" w:space="4" w:color="auto"/>
          <w:bottom w:val="single" w:sz="4" w:space="1" w:color="auto"/>
          <w:right w:val="single" w:sz="4" w:space="4" w:color="auto"/>
        </w:pBdr>
        <w:spacing w:before="240"/>
        <w:ind w:right="7085"/>
        <w:rPr>
          <w:b/>
        </w:rPr>
      </w:pPr>
      <w:r w:rsidRPr="006B27E0">
        <w:rPr>
          <w:b/>
        </w:rPr>
        <w:t xml:space="preserve">Contact the CATSI Act Team </w:t>
      </w:r>
    </w:p>
    <w:p w:rsidR="00520B80" w:rsidRDefault="004708C0" w:rsidP="00520B80">
      <w:pPr>
        <w:pBdr>
          <w:top w:val="single" w:sz="4" w:space="1" w:color="auto"/>
          <w:left w:val="single" w:sz="4" w:space="4" w:color="auto"/>
          <w:bottom w:val="single" w:sz="4" w:space="1" w:color="auto"/>
          <w:right w:val="single" w:sz="4" w:space="4" w:color="auto"/>
        </w:pBdr>
        <w:ind w:right="7085"/>
        <w:rPr>
          <w:rStyle w:val="Hyperlink"/>
          <w:rFonts w:ascii="Calibri" w:eastAsia="Calibri" w:hAnsi="Calibri" w:cs="Calibri"/>
          <w:noProof/>
          <w:color w:val="auto"/>
          <w:lang w:eastAsia="en-AU"/>
        </w:rPr>
      </w:pPr>
      <w:bookmarkStart w:id="1" w:name="_MailAutoSig"/>
      <w:r>
        <w:rPr>
          <w:rFonts w:ascii="Calibri" w:eastAsia="Calibri" w:hAnsi="Calibri" w:cs="Calibri"/>
          <w:noProof/>
          <w:lang w:eastAsia="en-AU"/>
        </w:rPr>
        <w:t xml:space="preserve">e. </w:t>
      </w:r>
      <w:hyperlink r:id="rId9" w:history="1">
        <w:r>
          <w:rPr>
            <w:rStyle w:val="Hyperlink"/>
            <w:rFonts w:ascii="Calibri" w:eastAsia="Calibri" w:hAnsi="Calibri" w:cs="Calibri"/>
            <w:noProof/>
            <w:color w:val="auto"/>
            <w:lang w:eastAsia="en-AU"/>
          </w:rPr>
          <w:t>CATSIActReview@niaa.gov.au</w:t>
        </w:r>
      </w:hyperlink>
    </w:p>
    <w:p w:rsidR="004708C0" w:rsidRDefault="004708C0" w:rsidP="00520B80">
      <w:pPr>
        <w:pBdr>
          <w:top w:val="single" w:sz="4" w:space="1" w:color="auto"/>
          <w:left w:val="single" w:sz="4" w:space="4" w:color="auto"/>
          <w:bottom w:val="single" w:sz="4" w:space="1" w:color="auto"/>
          <w:right w:val="single" w:sz="4" w:space="4" w:color="auto"/>
        </w:pBdr>
        <w:ind w:right="7085"/>
        <w:rPr>
          <w:rFonts w:ascii="Calibri" w:eastAsia="Calibri" w:hAnsi="Calibri" w:cs="Calibri"/>
          <w:noProof/>
          <w:sz w:val="22"/>
          <w:szCs w:val="22"/>
          <w:lang w:eastAsia="en-AU"/>
        </w:rPr>
      </w:pPr>
      <w:r>
        <w:rPr>
          <w:rFonts w:ascii="Calibri" w:eastAsia="Calibri" w:hAnsi="Calibri" w:cs="Calibri"/>
          <w:noProof/>
          <w:lang w:eastAsia="en-AU"/>
        </w:rPr>
        <w:t xml:space="preserve">w. </w:t>
      </w:r>
      <w:hyperlink r:id="rId10" w:history="1">
        <w:r>
          <w:rPr>
            <w:rStyle w:val="Hyperlink"/>
            <w:rFonts w:ascii="Calibri" w:eastAsia="Calibri" w:hAnsi="Calibri" w:cs="Calibri"/>
            <w:noProof/>
            <w:color w:val="auto"/>
            <w:lang w:eastAsia="en-AU"/>
          </w:rPr>
          <w:t>niaa.gov.au</w:t>
        </w:r>
      </w:hyperlink>
      <w:r>
        <w:rPr>
          <w:rFonts w:ascii="Calibri" w:eastAsia="Calibri" w:hAnsi="Calibri" w:cs="Calibri"/>
          <w:noProof/>
          <w:lang w:eastAsia="en-AU"/>
        </w:rPr>
        <w:t xml:space="preserve">  w. </w:t>
      </w:r>
      <w:hyperlink r:id="rId11" w:history="1">
        <w:r>
          <w:rPr>
            <w:rStyle w:val="Hyperlink"/>
            <w:rFonts w:ascii="Calibri" w:eastAsia="Calibri" w:hAnsi="Calibri" w:cs="Calibri"/>
            <w:noProof/>
            <w:color w:val="auto"/>
            <w:lang w:eastAsia="en-AU"/>
          </w:rPr>
          <w:t>indigenous.gov.au</w:t>
        </w:r>
      </w:hyperlink>
      <w:bookmarkEnd w:id="1"/>
    </w:p>
    <w:p w:rsidR="004708C0" w:rsidRDefault="004708C0" w:rsidP="00916867">
      <w:pPr>
        <w:rPr>
          <w:rFonts w:asciiTheme="majorHAnsi" w:eastAsiaTheme="majorEastAsia" w:hAnsiTheme="majorHAnsi" w:cstheme="majorBidi"/>
          <w:sz w:val="40"/>
          <w:szCs w:val="40"/>
        </w:rPr>
      </w:pPr>
    </w:p>
    <w:sectPr w:rsidR="004708C0" w:rsidSect="00426056">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567"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81" w:rsidRDefault="00423781" w:rsidP="00B95533">
      <w:pPr>
        <w:spacing w:after="0" w:line="240" w:lineRule="auto"/>
      </w:pPr>
      <w:r>
        <w:separator/>
      </w:r>
    </w:p>
  </w:endnote>
  <w:endnote w:type="continuationSeparator" w:id="0">
    <w:p w:rsidR="00423781" w:rsidRDefault="00423781"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80" w:rsidRDefault="00520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EB" w:rsidRPr="00B87E45" w:rsidRDefault="009672EB" w:rsidP="00C75236">
    <w:pPr>
      <w:pStyle w:val="ProtectiveMarking"/>
      <w:jc w:val="left"/>
    </w:pPr>
  </w:p>
  <w:p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DD22ACE" wp14:editId="12C0EF70">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6D38E"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0EAE63EC" wp14:editId="533C0C1B">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C94378">
                            <w:rPr>
                              <w:noProof/>
                              <w:color w:val="25303B" w:themeColor="accent1"/>
                            </w:rPr>
                            <w:t>5</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AE63EC"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C94378">
                      <w:rPr>
                        <w:noProof/>
                        <w:color w:val="25303B" w:themeColor="accent1"/>
                      </w:rPr>
                      <w:t>5</w:t>
                    </w:r>
                    <w:r w:rsidRPr="00F97B14">
                      <w:rPr>
                        <w:color w:val="25303B" w:themeColor="accent1"/>
                      </w:rPr>
                      <w:fldChar w:fldCharType="end"/>
                    </w:r>
                  </w:p>
                </w:txbxContent>
              </v:textbox>
              <w10:wrap anchorx="margin" anchory="page"/>
              <w10:anchorlock/>
            </v:shape>
          </w:pict>
        </mc:Fallback>
      </mc:AlternateContent>
    </w:r>
  </w:p>
  <w:p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EC7C79FA13614963AD3B01560EF5AB1E"/>
        </w:placeholder>
        <w:dataBinding w:xpath="/root[1]/SectionName[1]" w:storeItemID="{F533AE62-A212-4B26-92DA-A3B336E8AE06}"/>
        <w:text/>
      </w:sdtPr>
      <w:sdtEndPr/>
      <w:sdtContent>
        <w:r w:rsidR="00597049">
          <w:rPr>
            <w:color w:val="25303B" w:themeColor="accent1"/>
          </w:rPr>
          <w:t xml:space="preserve">CATSI Act Review </w:t>
        </w:r>
      </w:sdtContent>
    </w:sdt>
    <w:r w:rsidRPr="0040648D">
      <w:rPr>
        <w:color w:val="25303B" w:themeColor="accent1"/>
      </w:rPr>
      <w:t xml:space="preserve"> | </w:t>
    </w:r>
    <w:r w:rsidRPr="002B5FD8">
      <w:rPr>
        <w:color w:val="25303B" w:themeColor="accent1"/>
      </w:rPr>
      <w:fldChar w:fldCharType="begin"/>
    </w:r>
    <w:r w:rsidRPr="002B5FD8">
      <w:rPr>
        <w:color w:val="25303B" w:themeColor="accent1"/>
      </w:rPr>
      <w:instrText xml:space="preserve"> STYLEREF  "Title"  \* MERGEFORMAT </w:instrText>
    </w:r>
    <w:r w:rsidRPr="002B5FD8">
      <w:rPr>
        <w:color w:val="25303B" w:themeColor="accent1"/>
      </w:rPr>
      <w:fldChar w:fldCharType="separate"/>
    </w:r>
    <w:r w:rsidR="00C94378" w:rsidRPr="00C94378">
      <w:rPr>
        <w:bCs w:val="0"/>
        <w:noProof/>
        <w:color w:val="25303B" w:themeColor="accent1"/>
        <w:lang w:val="en-US"/>
      </w:rPr>
      <w:t>Governance</w:t>
    </w:r>
    <w:r w:rsidRPr="002B5FD8">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EB" w:rsidRPr="00B87E45" w:rsidRDefault="009672EB" w:rsidP="00917F95">
    <w:pPr>
      <w:pStyle w:val="ProtectiveMarking"/>
    </w:pPr>
  </w:p>
  <w:p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4A6A18AD" wp14:editId="6341868D">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21F2D"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63D3CA07" wp14:editId="4EFA6395">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30BF8">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D3CA07"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30BF8">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597049">
          <w:rPr>
            <w:color w:val="25303B" w:themeColor="accent1"/>
          </w:rPr>
          <w:t xml:space="preserve">CATSI Act Review </w:t>
        </w:r>
      </w:sdtContent>
    </w:sdt>
    <w:r w:rsidRPr="0040648D">
      <w:rPr>
        <w:color w:val="25303B" w:themeColor="accent1"/>
      </w:rPr>
      <w:t xml:space="preserve"> | </w:t>
    </w:r>
    <w:r w:rsidRPr="002B5FD8">
      <w:rPr>
        <w:color w:val="25303B" w:themeColor="accent1"/>
      </w:rPr>
      <w:fldChar w:fldCharType="begin"/>
    </w:r>
    <w:r w:rsidRPr="0064695A">
      <w:rPr>
        <w:color w:val="25303B" w:themeColor="accent1"/>
      </w:rPr>
      <w:instrText xml:space="preserve"> STYLEREF  "Title"  \* MERGEFORMAT </w:instrText>
    </w:r>
    <w:r w:rsidRPr="002B5FD8">
      <w:rPr>
        <w:color w:val="25303B" w:themeColor="accent1"/>
      </w:rPr>
      <w:fldChar w:fldCharType="separate"/>
    </w:r>
    <w:r w:rsidR="00530BF8" w:rsidRPr="00530BF8">
      <w:rPr>
        <w:bCs w:val="0"/>
        <w:noProof/>
        <w:color w:val="25303B" w:themeColor="accent1"/>
        <w:lang w:val="en-US"/>
      </w:rPr>
      <w:t>Governance</w:t>
    </w:r>
    <w:r w:rsidRPr="002B5FD8">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81" w:rsidRPr="007A6FC6" w:rsidRDefault="00423781" w:rsidP="00B95533">
      <w:pPr>
        <w:spacing w:after="0" w:line="240" w:lineRule="auto"/>
        <w:rPr>
          <w:color w:val="BEA887" w:themeColor="accent2"/>
        </w:rPr>
      </w:pPr>
      <w:r w:rsidRPr="007A6FC6">
        <w:rPr>
          <w:color w:val="BEA887" w:themeColor="accent2"/>
        </w:rPr>
        <w:separator/>
      </w:r>
    </w:p>
  </w:footnote>
  <w:footnote w:type="continuationSeparator" w:id="0">
    <w:p w:rsidR="00423781" w:rsidRPr="007A6FC6" w:rsidRDefault="00423781"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80" w:rsidRDefault="0052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EA" w:rsidRDefault="006564EA" w:rsidP="00510499">
    <w:pPr>
      <w:pStyle w:val="ProtectiveMarking"/>
    </w:pPr>
  </w:p>
  <w:p w:rsidR="006564EA" w:rsidRDefault="006564EA">
    <w:pPr>
      <w:pStyle w:val="Header"/>
    </w:pPr>
    <w:r>
      <w:rPr>
        <w:noProof/>
        <w:lang w:eastAsia="en-AU"/>
      </w:rPr>
      <w:drawing>
        <wp:anchor distT="0" distB="0" distL="114300" distR="114300" simplePos="0" relativeHeight="251730944" behindDoc="0" locked="1" layoutInCell="1" allowOverlap="1" wp14:anchorId="0A94D0CE" wp14:editId="0A1B211E">
          <wp:simplePos x="0" y="0"/>
          <wp:positionH relativeFrom="margin">
            <wp:align>left</wp:align>
          </wp:positionH>
          <wp:positionV relativeFrom="page">
            <wp:posOffset>628650</wp:posOffset>
          </wp:positionV>
          <wp:extent cx="6480000" cy="186711"/>
          <wp:effectExtent l="0" t="0" r="0" b="3810"/>
          <wp:wrapNone/>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64EA" w:rsidRDefault="006564EA">
    <w:pPr>
      <w:pStyle w:val="Header"/>
    </w:pPr>
  </w:p>
  <w:p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EB" w:rsidRDefault="00BE446D">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41A94A90" wp14:editId="169E5F97">
          <wp:simplePos x="0" y="0"/>
          <wp:positionH relativeFrom="page">
            <wp:posOffset>535305</wp:posOffset>
          </wp:positionH>
          <wp:positionV relativeFrom="page">
            <wp:posOffset>257175</wp:posOffset>
          </wp:positionV>
          <wp:extent cx="2118360" cy="640080"/>
          <wp:effectExtent l="0" t="0" r="0" b="7620"/>
          <wp:wrapNone/>
          <wp:docPr id="53" name="Graphic 19"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37088" behindDoc="0" locked="0" layoutInCell="1" allowOverlap="1" wp14:anchorId="54C5DF33" wp14:editId="46107BF9">
              <wp:simplePos x="0" y="0"/>
              <wp:positionH relativeFrom="page">
                <wp:posOffset>2852738</wp:posOffset>
              </wp:positionH>
              <wp:positionV relativeFrom="page">
                <wp:posOffset>290513</wp:posOffset>
              </wp:positionV>
              <wp:extent cx="0" cy="620077"/>
              <wp:effectExtent l="0" t="0" r="38100" b="27940"/>
              <wp:wrapNone/>
              <wp:docPr id="49" name="Straight Connector 49"/>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1A999" id="Straight Connector 49"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RYM8&#10;7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0170CE23" wp14:editId="5FA0BD8D">
              <wp:simplePos x="0" y="0"/>
              <wp:positionH relativeFrom="page">
                <wp:posOffset>0</wp:posOffset>
              </wp:positionH>
              <wp:positionV relativeFrom="page">
                <wp:posOffset>1153160</wp:posOffset>
              </wp:positionV>
              <wp:extent cx="3096000" cy="143510"/>
              <wp:effectExtent l="0" t="0" r="9525" b="889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rsidR="00BE446D" w:rsidRPr="00661E36" w:rsidRDefault="00BE446D"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70CE23"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BmnHlBCQIAAPEDAAAO&#10;AAAAAAAAAAAAAAAAAC4CAABkcnMvZTJvRG9jLnhtbFBLAQItABQABgAIAAAAIQDxPbSY3AAAAAgB&#10;AAAPAAAAAAAAAAAAAAAAAGMEAABkcnMvZG93bnJldi54bWxQSwUGAAAAAAQABADzAAAAbAUAAAAA&#10;" filled="f" stroked="f">
              <v:textbox inset="15mm,0,0,0">
                <w:txbxContent>
                  <w:p w:rsidR="00BE446D" w:rsidRPr="00661E36" w:rsidRDefault="00BE446D"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3494A3D7" wp14:editId="455E3756">
          <wp:simplePos x="0" y="0"/>
          <wp:positionH relativeFrom="page">
            <wp:posOffset>3016885</wp:posOffset>
          </wp:positionH>
          <wp:positionV relativeFrom="page">
            <wp:posOffset>291465</wp:posOffset>
          </wp:positionV>
          <wp:extent cx="1580400" cy="518400"/>
          <wp:effectExtent l="0" t="0" r="1270" b="0"/>
          <wp:wrapNone/>
          <wp:docPr id="52" name="Graphic 16"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4A7DBBFA" wp14:editId="54A14893">
          <wp:simplePos x="0" y="0"/>
          <wp:positionH relativeFrom="page">
            <wp:align>left</wp:align>
          </wp:positionH>
          <wp:positionV relativeFrom="page">
            <wp:align>top</wp:align>
          </wp:positionV>
          <wp:extent cx="7448400" cy="1328400"/>
          <wp:effectExtent l="0" t="0" r="635" b="5715"/>
          <wp:wrapSquare wrapText="bothSides"/>
          <wp:docPr id="54"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6827A6"/>
    <w:multiLevelType w:val="hybridMultilevel"/>
    <w:tmpl w:val="0DB67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55A8F"/>
    <w:multiLevelType w:val="hybridMultilevel"/>
    <w:tmpl w:val="8954D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C2B10"/>
    <w:multiLevelType w:val="hybridMultilevel"/>
    <w:tmpl w:val="AC4C4C3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5" w15:restartNumberingAfterBreak="0">
    <w:nsid w:val="19D077DF"/>
    <w:multiLevelType w:val="hybridMultilevel"/>
    <w:tmpl w:val="0AD01BA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56F10"/>
    <w:multiLevelType w:val="hybridMultilevel"/>
    <w:tmpl w:val="667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C4CE1"/>
    <w:multiLevelType w:val="hybridMultilevel"/>
    <w:tmpl w:val="198A335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C715A"/>
    <w:multiLevelType w:val="hybridMultilevel"/>
    <w:tmpl w:val="2D66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42CE2196"/>
    <w:multiLevelType w:val="hybridMultilevel"/>
    <w:tmpl w:val="F8021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45132B"/>
    <w:multiLevelType w:val="hybridMultilevel"/>
    <w:tmpl w:val="C3B0ACA0"/>
    <w:lvl w:ilvl="0" w:tplc="0C090001">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4FBF"/>
    <w:multiLevelType w:val="hybridMultilevel"/>
    <w:tmpl w:val="204C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5" w15:restartNumberingAfterBreak="0">
    <w:nsid w:val="5DBD53EF"/>
    <w:multiLevelType w:val="hybridMultilevel"/>
    <w:tmpl w:val="1C52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5FBF7B0E"/>
    <w:multiLevelType w:val="hybridMultilevel"/>
    <w:tmpl w:val="8F88F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9" w15:restartNumberingAfterBreak="0">
    <w:nsid w:val="61CB0603"/>
    <w:multiLevelType w:val="hybridMultilevel"/>
    <w:tmpl w:val="9744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926E6"/>
    <w:multiLevelType w:val="hybridMultilevel"/>
    <w:tmpl w:val="00FC19A2"/>
    <w:lvl w:ilvl="0" w:tplc="0C090001">
      <w:start w:val="1"/>
      <w:numFmt w:val="bullet"/>
      <w:lvlText w:val=""/>
      <w:lvlJc w:val="left"/>
      <w:pPr>
        <w:ind w:left="766" w:hanging="34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2"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E14BF"/>
    <w:multiLevelType w:val="hybridMultilevel"/>
    <w:tmpl w:val="0CDCC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5" w15:restartNumberingAfterBreak="0">
    <w:nsid w:val="73914E06"/>
    <w:multiLevelType w:val="hybridMultilevel"/>
    <w:tmpl w:val="4E023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22"/>
  </w:num>
  <w:num w:numId="5">
    <w:abstractNumId w:val="18"/>
  </w:num>
  <w:num w:numId="6">
    <w:abstractNumId w:val="1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10"/>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10"/>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10"/>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0"/>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4"/>
  </w:num>
  <w:num w:numId="18">
    <w:abstractNumId w:val="4"/>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4"/>
  </w:num>
  <w:num w:numId="20">
    <w:abstractNumId w:val="24"/>
  </w:num>
  <w:num w:numId="21">
    <w:abstractNumId w:val="0"/>
  </w:num>
  <w:num w:numId="22">
    <w:abstractNumId w:val="21"/>
  </w:num>
  <w:num w:numId="23">
    <w:abstractNumId w:val="21"/>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3"/>
  </w:num>
  <w:num w:numId="28">
    <w:abstractNumId w:val="13"/>
  </w:num>
  <w:num w:numId="29">
    <w:abstractNumId w:val="12"/>
  </w:num>
  <w:num w:numId="30">
    <w:abstractNumId w:val="20"/>
  </w:num>
  <w:num w:numId="31">
    <w:abstractNumId w:val="5"/>
  </w:num>
  <w:num w:numId="32">
    <w:abstractNumId w:val="8"/>
  </w:num>
  <w:num w:numId="33">
    <w:abstractNumId w:val="25"/>
  </w:num>
  <w:num w:numId="34">
    <w:abstractNumId w:val="23"/>
  </w:num>
  <w:num w:numId="35">
    <w:abstractNumId w:val="17"/>
  </w:num>
  <w:num w:numId="36">
    <w:abstractNumId w:val="11"/>
  </w:num>
  <w:num w:numId="37">
    <w:abstractNumId w:val="1"/>
  </w:num>
  <w:num w:numId="38">
    <w:abstractNumId w:val="2"/>
  </w:num>
  <w:num w:numId="39">
    <w:abstractNumId w:val="6"/>
  </w:num>
  <w:num w:numId="40">
    <w:abstractNumId w:val="9"/>
  </w:num>
  <w:num w:numId="41">
    <w:abstractNumId w:val="1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98"/>
    <w:rsid w:val="00002F73"/>
    <w:rsid w:val="00007EB1"/>
    <w:rsid w:val="00014206"/>
    <w:rsid w:val="000230F3"/>
    <w:rsid w:val="00023AC4"/>
    <w:rsid w:val="000304B2"/>
    <w:rsid w:val="00031B5C"/>
    <w:rsid w:val="00034193"/>
    <w:rsid w:val="00034FEC"/>
    <w:rsid w:val="0004082F"/>
    <w:rsid w:val="00042E89"/>
    <w:rsid w:val="00044BF9"/>
    <w:rsid w:val="000503A6"/>
    <w:rsid w:val="00053CD9"/>
    <w:rsid w:val="00057B46"/>
    <w:rsid w:val="00063034"/>
    <w:rsid w:val="00073D52"/>
    <w:rsid w:val="00076AD1"/>
    <w:rsid w:val="00077DB2"/>
    <w:rsid w:val="000803CA"/>
    <w:rsid w:val="00091BCD"/>
    <w:rsid w:val="0009265A"/>
    <w:rsid w:val="00094B02"/>
    <w:rsid w:val="0009590F"/>
    <w:rsid w:val="00095BF3"/>
    <w:rsid w:val="000A041E"/>
    <w:rsid w:val="000A08CA"/>
    <w:rsid w:val="000A0E4C"/>
    <w:rsid w:val="000C29C5"/>
    <w:rsid w:val="000C630D"/>
    <w:rsid w:val="000C6475"/>
    <w:rsid w:val="000D106A"/>
    <w:rsid w:val="000D113F"/>
    <w:rsid w:val="000D4693"/>
    <w:rsid w:val="000E351D"/>
    <w:rsid w:val="000E60F7"/>
    <w:rsid w:val="000F1B86"/>
    <w:rsid w:val="000F23B0"/>
    <w:rsid w:val="000F5917"/>
    <w:rsid w:val="001007B9"/>
    <w:rsid w:val="00105ECB"/>
    <w:rsid w:val="00131315"/>
    <w:rsid w:val="00132268"/>
    <w:rsid w:val="001336CF"/>
    <w:rsid w:val="0014287B"/>
    <w:rsid w:val="00143288"/>
    <w:rsid w:val="00153672"/>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B4EF4"/>
    <w:rsid w:val="001B518E"/>
    <w:rsid w:val="001C2FC8"/>
    <w:rsid w:val="001D283B"/>
    <w:rsid w:val="001E4245"/>
    <w:rsid w:val="001F0654"/>
    <w:rsid w:val="001F3722"/>
    <w:rsid w:val="001F738E"/>
    <w:rsid w:val="0020007C"/>
    <w:rsid w:val="0021247A"/>
    <w:rsid w:val="002129AD"/>
    <w:rsid w:val="00216546"/>
    <w:rsid w:val="002229A5"/>
    <w:rsid w:val="002317BD"/>
    <w:rsid w:val="00231B22"/>
    <w:rsid w:val="00234705"/>
    <w:rsid w:val="00237365"/>
    <w:rsid w:val="00250BE6"/>
    <w:rsid w:val="00252F38"/>
    <w:rsid w:val="00260C56"/>
    <w:rsid w:val="00264A5E"/>
    <w:rsid w:val="00271572"/>
    <w:rsid w:val="00277016"/>
    <w:rsid w:val="0027769C"/>
    <w:rsid w:val="00281E3E"/>
    <w:rsid w:val="002834C6"/>
    <w:rsid w:val="00284710"/>
    <w:rsid w:val="00294819"/>
    <w:rsid w:val="00294D1D"/>
    <w:rsid w:val="002952F9"/>
    <w:rsid w:val="002955DD"/>
    <w:rsid w:val="002A0289"/>
    <w:rsid w:val="002A371E"/>
    <w:rsid w:val="002B4B0A"/>
    <w:rsid w:val="002B5FD8"/>
    <w:rsid w:val="002C0866"/>
    <w:rsid w:val="002C0B0E"/>
    <w:rsid w:val="002C5F5B"/>
    <w:rsid w:val="002C777D"/>
    <w:rsid w:val="002D40B1"/>
    <w:rsid w:val="002D45CD"/>
    <w:rsid w:val="002D75F9"/>
    <w:rsid w:val="002E07AC"/>
    <w:rsid w:val="002E6AA1"/>
    <w:rsid w:val="002E707B"/>
    <w:rsid w:val="002F57C6"/>
    <w:rsid w:val="00307A69"/>
    <w:rsid w:val="00312E4A"/>
    <w:rsid w:val="0031546F"/>
    <w:rsid w:val="00316B0D"/>
    <w:rsid w:val="003300DB"/>
    <w:rsid w:val="0033088D"/>
    <w:rsid w:val="00335425"/>
    <w:rsid w:val="003371F0"/>
    <w:rsid w:val="00345B55"/>
    <w:rsid w:val="003500C6"/>
    <w:rsid w:val="00357154"/>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1654B"/>
    <w:rsid w:val="00423781"/>
    <w:rsid w:val="00423E92"/>
    <w:rsid w:val="004257F1"/>
    <w:rsid w:val="00426056"/>
    <w:rsid w:val="004366AE"/>
    <w:rsid w:val="0044371A"/>
    <w:rsid w:val="00454696"/>
    <w:rsid w:val="004616FF"/>
    <w:rsid w:val="004708C0"/>
    <w:rsid w:val="004759ED"/>
    <w:rsid w:val="004945F7"/>
    <w:rsid w:val="004957BB"/>
    <w:rsid w:val="00497F14"/>
    <w:rsid w:val="004B2CB0"/>
    <w:rsid w:val="004B7B8B"/>
    <w:rsid w:val="004C18F6"/>
    <w:rsid w:val="004C6518"/>
    <w:rsid w:val="004C7039"/>
    <w:rsid w:val="004D0B40"/>
    <w:rsid w:val="004D24EB"/>
    <w:rsid w:val="004D688C"/>
    <w:rsid w:val="004E58AE"/>
    <w:rsid w:val="004F20A9"/>
    <w:rsid w:val="004F73E8"/>
    <w:rsid w:val="0051316F"/>
    <w:rsid w:val="00520104"/>
    <w:rsid w:val="00520B80"/>
    <w:rsid w:val="00523958"/>
    <w:rsid w:val="00530BF8"/>
    <w:rsid w:val="0053301E"/>
    <w:rsid w:val="005370B2"/>
    <w:rsid w:val="005400C8"/>
    <w:rsid w:val="00543E44"/>
    <w:rsid w:val="00543FDE"/>
    <w:rsid w:val="00552F1C"/>
    <w:rsid w:val="00562166"/>
    <w:rsid w:val="00565BE2"/>
    <w:rsid w:val="00574F28"/>
    <w:rsid w:val="00576C8D"/>
    <w:rsid w:val="00582074"/>
    <w:rsid w:val="0058793B"/>
    <w:rsid w:val="005917FA"/>
    <w:rsid w:val="00596D03"/>
    <w:rsid w:val="00597049"/>
    <w:rsid w:val="005A0DE7"/>
    <w:rsid w:val="005A355D"/>
    <w:rsid w:val="005B210C"/>
    <w:rsid w:val="005B241C"/>
    <w:rsid w:val="005B27D0"/>
    <w:rsid w:val="005C2B64"/>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3180B"/>
    <w:rsid w:val="006427AA"/>
    <w:rsid w:val="006429D7"/>
    <w:rsid w:val="006454DC"/>
    <w:rsid w:val="0064695A"/>
    <w:rsid w:val="006564EA"/>
    <w:rsid w:val="00657D2D"/>
    <w:rsid w:val="0066199A"/>
    <w:rsid w:val="00661E36"/>
    <w:rsid w:val="00663EAD"/>
    <w:rsid w:val="006674FC"/>
    <w:rsid w:val="00667A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B6D1F"/>
    <w:rsid w:val="006C0869"/>
    <w:rsid w:val="006C7B63"/>
    <w:rsid w:val="006D24B1"/>
    <w:rsid w:val="006E086B"/>
    <w:rsid w:val="006E2EA3"/>
    <w:rsid w:val="006E350F"/>
    <w:rsid w:val="006E70FF"/>
    <w:rsid w:val="006F173B"/>
    <w:rsid w:val="00711110"/>
    <w:rsid w:val="00714E79"/>
    <w:rsid w:val="007239F8"/>
    <w:rsid w:val="007466A0"/>
    <w:rsid w:val="00750ABF"/>
    <w:rsid w:val="00753B4D"/>
    <w:rsid w:val="00754949"/>
    <w:rsid w:val="007660B9"/>
    <w:rsid w:val="007767E0"/>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4280"/>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4E4"/>
    <w:rsid w:val="00873DED"/>
    <w:rsid w:val="00877425"/>
    <w:rsid w:val="008777F4"/>
    <w:rsid w:val="00880786"/>
    <w:rsid w:val="008A6759"/>
    <w:rsid w:val="008B13B1"/>
    <w:rsid w:val="008B493F"/>
    <w:rsid w:val="008C115E"/>
    <w:rsid w:val="008D0504"/>
    <w:rsid w:val="008D1256"/>
    <w:rsid w:val="008D275A"/>
    <w:rsid w:val="008E109E"/>
    <w:rsid w:val="008E66E6"/>
    <w:rsid w:val="008F112A"/>
    <w:rsid w:val="00900D4B"/>
    <w:rsid w:val="009014BC"/>
    <w:rsid w:val="00902CAC"/>
    <w:rsid w:val="009036CA"/>
    <w:rsid w:val="00916867"/>
    <w:rsid w:val="00917F95"/>
    <w:rsid w:val="00923EDF"/>
    <w:rsid w:val="00935AD4"/>
    <w:rsid w:val="00937CE1"/>
    <w:rsid w:val="0094513B"/>
    <w:rsid w:val="0094688C"/>
    <w:rsid w:val="00963FB3"/>
    <w:rsid w:val="0096556E"/>
    <w:rsid w:val="009672EB"/>
    <w:rsid w:val="00973090"/>
    <w:rsid w:val="009906FD"/>
    <w:rsid w:val="0099436F"/>
    <w:rsid w:val="009959E0"/>
    <w:rsid w:val="00996BEA"/>
    <w:rsid w:val="009A33FB"/>
    <w:rsid w:val="009A5056"/>
    <w:rsid w:val="009B1A44"/>
    <w:rsid w:val="009B300F"/>
    <w:rsid w:val="009B39CA"/>
    <w:rsid w:val="009B437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3B90"/>
    <w:rsid w:val="00A66C34"/>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1398"/>
    <w:rsid w:val="00AF7794"/>
    <w:rsid w:val="00B0140E"/>
    <w:rsid w:val="00B01AC4"/>
    <w:rsid w:val="00B0259B"/>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24CA"/>
    <w:rsid w:val="00BD0ED2"/>
    <w:rsid w:val="00BD113A"/>
    <w:rsid w:val="00BD2B9F"/>
    <w:rsid w:val="00BD35B3"/>
    <w:rsid w:val="00BD3DA8"/>
    <w:rsid w:val="00BD45D5"/>
    <w:rsid w:val="00BE446D"/>
    <w:rsid w:val="00BE64F3"/>
    <w:rsid w:val="00BF285D"/>
    <w:rsid w:val="00C00697"/>
    <w:rsid w:val="00C0095A"/>
    <w:rsid w:val="00C06627"/>
    <w:rsid w:val="00C131D9"/>
    <w:rsid w:val="00C407FC"/>
    <w:rsid w:val="00C464A7"/>
    <w:rsid w:val="00C50846"/>
    <w:rsid w:val="00C511C3"/>
    <w:rsid w:val="00C51C42"/>
    <w:rsid w:val="00C52329"/>
    <w:rsid w:val="00C57F4E"/>
    <w:rsid w:val="00C66A73"/>
    <w:rsid w:val="00C67AA6"/>
    <w:rsid w:val="00C75226"/>
    <w:rsid w:val="00C75236"/>
    <w:rsid w:val="00C76497"/>
    <w:rsid w:val="00C80CAE"/>
    <w:rsid w:val="00C86AD9"/>
    <w:rsid w:val="00C86F22"/>
    <w:rsid w:val="00C91A83"/>
    <w:rsid w:val="00C94378"/>
    <w:rsid w:val="00C9650F"/>
    <w:rsid w:val="00C9741E"/>
    <w:rsid w:val="00CA2516"/>
    <w:rsid w:val="00CA33C7"/>
    <w:rsid w:val="00CA51BB"/>
    <w:rsid w:val="00CB2C58"/>
    <w:rsid w:val="00CB38A3"/>
    <w:rsid w:val="00CB3B70"/>
    <w:rsid w:val="00CC1475"/>
    <w:rsid w:val="00CC6B7E"/>
    <w:rsid w:val="00CD730D"/>
    <w:rsid w:val="00CE1635"/>
    <w:rsid w:val="00CF0D33"/>
    <w:rsid w:val="00CF7819"/>
    <w:rsid w:val="00D171A8"/>
    <w:rsid w:val="00D44DFF"/>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10BC"/>
    <w:rsid w:val="00DD6C35"/>
    <w:rsid w:val="00DE193D"/>
    <w:rsid w:val="00DE710F"/>
    <w:rsid w:val="00DE7EED"/>
    <w:rsid w:val="00E02E5D"/>
    <w:rsid w:val="00E14B90"/>
    <w:rsid w:val="00E23066"/>
    <w:rsid w:val="00E23B18"/>
    <w:rsid w:val="00E360B5"/>
    <w:rsid w:val="00E401B3"/>
    <w:rsid w:val="00E46F31"/>
    <w:rsid w:val="00E50185"/>
    <w:rsid w:val="00E578B7"/>
    <w:rsid w:val="00E60A53"/>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E272D"/>
    <w:rsid w:val="00EE76B9"/>
    <w:rsid w:val="00EF125F"/>
    <w:rsid w:val="00EF2497"/>
    <w:rsid w:val="00EF38A6"/>
    <w:rsid w:val="00F017E0"/>
    <w:rsid w:val="00F03B20"/>
    <w:rsid w:val="00F065A0"/>
    <w:rsid w:val="00F12A07"/>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3579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8734E4"/>
    <w:pPr>
      <w:spacing w:after="240" w:line="240" w:lineRule="auto"/>
      <w:ind w:right="142"/>
      <w:outlineLvl w:val="1"/>
    </w:pPr>
    <w:rPr>
      <w:rFonts w:asciiTheme="majorHAnsi" w:hAnsiTheme="majorHAnsi"/>
      <w:b/>
      <w:color w:val="auto"/>
      <w:sz w:val="40"/>
      <w:szCs w:val="40"/>
    </w:rPr>
  </w:style>
  <w:style w:type="paragraph" w:styleId="Heading3">
    <w:name w:val="heading 3"/>
    <w:basedOn w:val="Normal"/>
    <w:next w:val="BodyText"/>
    <w:link w:val="Heading3Char"/>
    <w:uiPriority w:val="9"/>
    <w:unhideWhenUsed/>
    <w:qFormat/>
    <w:rsid w:val="008734E4"/>
    <w:pPr>
      <w:spacing w:after="240"/>
      <w:ind w:right="142"/>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8734E4"/>
    <w:rPr>
      <w:rFonts w:asciiTheme="majorHAnsi" w:hAnsiTheme="majorHAnsi"/>
      <w:b/>
      <w:color w:val="auto"/>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8734E4"/>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916867"/>
  </w:style>
  <w:style w:type="character" w:styleId="Hyperlink">
    <w:name w:val="Hyperlink"/>
    <w:basedOn w:val="DefaultParagraphFont"/>
    <w:uiPriority w:val="99"/>
    <w:semiHidden/>
    <w:unhideWhenUsed/>
    <w:rsid w:val="00C131D9"/>
    <w:rPr>
      <w:color w:val="0000FF"/>
      <w:u w:val="single"/>
    </w:rPr>
  </w:style>
  <w:style w:type="character" w:styleId="CommentReference">
    <w:name w:val="annotation reference"/>
    <w:basedOn w:val="DefaultParagraphFont"/>
    <w:uiPriority w:val="99"/>
    <w:semiHidden/>
    <w:unhideWhenUsed/>
    <w:rsid w:val="00DD10BC"/>
    <w:rPr>
      <w:sz w:val="16"/>
      <w:szCs w:val="16"/>
    </w:rPr>
  </w:style>
  <w:style w:type="paragraph" w:styleId="CommentText">
    <w:name w:val="annotation text"/>
    <w:basedOn w:val="Normal"/>
    <w:link w:val="CommentTextChar"/>
    <w:uiPriority w:val="99"/>
    <w:semiHidden/>
    <w:unhideWhenUsed/>
    <w:rsid w:val="00DD10BC"/>
    <w:pPr>
      <w:spacing w:line="240" w:lineRule="auto"/>
    </w:pPr>
  </w:style>
  <w:style w:type="character" w:customStyle="1" w:styleId="CommentTextChar">
    <w:name w:val="Comment Text Char"/>
    <w:basedOn w:val="DefaultParagraphFont"/>
    <w:link w:val="CommentText"/>
    <w:uiPriority w:val="99"/>
    <w:semiHidden/>
    <w:rsid w:val="00DD10BC"/>
  </w:style>
  <w:style w:type="paragraph" w:styleId="CommentSubject">
    <w:name w:val="annotation subject"/>
    <w:basedOn w:val="CommentText"/>
    <w:next w:val="CommentText"/>
    <w:link w:val="CommentSubjectChar"/>
    <w:uiPriority w:val="99"/>
    <w:semiHidden/>
    <w:unhideWhenUsed/>
    <w:rsid w:val="00DD10BC"/>
    <w:rPr>
      <w:b/>
      <w:bCs/>
    </w:rPr>
  </w:style>
  <w:style w:type="character" w:customStyle="1" w:styleId="CommentSubjectChar">
    <w:name w:val="Comment Subject Char"/>
    <w:basedOn w:val="CommentTextChar"/>
    <w:link w:val="CommentSubject"/>
    <w:uiPriority w:val="99"/>
    <w:semiHidden/>
    <w:rsid w:val="00DD1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igenous.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iaa.gov.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ATSIActReview@niaa.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7C79FA13614963AD3B01560EF5AB1E"/>
        <w:category>
          <w:name w:val="General"/>
          <w:gallery w:val="placeholder"/>
        </w:category>
        <w:types>
          <w:type w:val="bbPlcHdr"/>
        </w:types>
        <w:behaviors>
          <w:behavior w:val="content"/>
        </w:behaviors>
        <w:guid w:val="{557003BA-AD1C-4691-B860-2C4878124138}"/>
      </w:docPartPr>
      <w:docPartBody>
        <w:p w:rsidR="00EF0269" w:rsidRDefault="00197D6C">
          <w:pPr>
            <w:pStyle w:val="EC7C79FA13614963AD3B01560EF5AB1E"/>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6C"/>
    <w:rsid w:val="00197D6C"/>
    <w:rsid w:val="00EF0269"/>
    <w:rsid w:val="00FE5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EC7C79FA13614963AD3B01560EF5AB1E">
    <w:name w:val="EC7C79FA13614963AD3B01560EF5A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
  <DLM/>
  <SectionName>CATSI Act Review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5D73ADCD-1EF6-4E1B-89E7-A5DAD7AE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CATSI Act Governance factsheet</dc:title>
  <dc:subject/>
  <dc:creator/>
  <cp:keywords/>
  <dc:description/>
  <cp:lastModifiedBy/>
  <cp:revision>1</cp:revision>
  <dcterms:created xsi:type="dcterms:W3CDTF">2020-07-31T05:39:00Z</dcterms:created>
  <dcterms:modified xsi:type="dcterms:W3CDTF">2020-07-31T05:50:00Z</dcterms:modified>
</cp:coreProperties>
</file>