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78ADDFAA" w14:textId="71995247" w:rsidR="00733692" w:rsidRPr="00733692" w:rsidRDefault="00733692" w:rsidP="00733692">
          <w:pPr>
            <w:pStyle w:val="Title"/>
          </w:pPr>
          <w:r w:rsidRPr="00733692">
            <w:t xml:space="preserve">Community Development Program (CDP) </w:t>
          </w:r>
          <w:r w:rsidR="00A0477C">
            <w:t>Dec</w:t>
          </w:r>
          <w:r w:rsidRPr="00733692">
            <w:t>ember 2019 Quarterly Compliance Data</w:t>
          </w:r>
        </w:p>
      </w:sdtContent>
    </w:sdt>
    <w:bookmarkEnd w:id="0" w:displacedByCustomXml="prev"/>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b/>
          <w:noProof/>
          <w:sz w:val="22"/>
        </w:rPr>
      </w:sdtEndPr>
      <w:sdtContent>
        <w:p w14:paraId="59B9A6BC" w14:textId="61761AC9" w:rsidR="00733692" w:rsidRDefault="007A3CAF">
          <w:pPr>
            <w:pStyle w:val="TOCHeading"/>
          </w:pPr>
          <w:r>
            <w:t>Table of Contents</w:t>
          </w:r>
        </w:p>
        <w:p w14:paraId="10E0B6ED" w14:textId="680E96F7" w:rsidR="004B2B7B" w:rsidRDefault="001673A8">
          <w:pPr>
            <w:pStyle w:val="TOC1"/>
            <w:rPr>
              <w:rFonts w:asciiTheme="minorHAnsi" w:eastAsiaTheme="minorEastAsia" w:hAnsiTheme="minorHAnsi"/>
              <w:b w:val="0"/>
              <w:noProof/>
              <w:lang w:eastAsia="en-AU"/>
            </w:rPr>
          </w:pPr>
          <w:r>
            <w:rPr>
              <w:rStyle w:val="Hyperlink"/>
            </w:rPr>
            <w:fldChar w:fldCharType="begin"/>
          </w:r>
          <w:r>
            <w:rPr>
              <w:rStyle w:val="Hyperlink"/>
            </w:rPr>
            <w:instrText xml:space="preserve"> TOC \o "1-3" \h \z \u </w:instrText>
          </w:r>
          <w:r>
            <w:rPr>
              <w:rStyle w:val="Hyperlink"/>
            </w:rPr>
            <w:fldChar w:fldCharType="separate"/>
          </w:r>
          <w:hyperlink w:anchor="_Toc40179117" w:history="1">
            <w:r w:rsidR="004B2B7B" w:rsidRPr="00186683">
              <w:rPr>
                <w:rStyle w:val="Hyperlink"/>
                <w:noProof/>
              </w:rPr>
              <w:t>Part A</w:t>
            </w:r>
            <w:r w:rsidR="004B2B7B">
              <w:rPr>
                <w:noProof/>
                <w:webHidden/>
              </w:rPr>
              <w:tab/>
            </w:r>
            <w:r w:rsidR="004B2B7B">
              <w:rPr>
                <w:noProof/>
                <w:webHidden/>
              </w:rPr>
              <w:fldChar w:fldCharType="begin"/>
            </w:r>
            <w:r w:rsidR="004B2B7B">
              <w:rPr>
                <w:noProof/>
                <w:webHidden/>
              </w:rPr>
              <w:instrText xml:space="preserve"> PAGEREF _Toc40179117 \h </w:instrText>
            </w:r>
            <w:r w:rsidR="004B2B7B">
              <w:rPr>
                <w:noProof/>
                <w:webHidden/>
              </w:rPr>
            </w:r>
            <w:r w:rsidR="004B2B7B">
              <w:rPr>
                <w:noProof/>
                <w:webHidden/>
              </w:rPr>
              <w:fldChar w:fldCharType="separate"/>
            </w:r>
            <w:r w:rsidR="004B2B7B">
              <w:rPr>
                <w:noProof/>
                <w:webHidden/>
              </w:rPr>
              <w:t>2</w:t>
            </w:r>
            <w:r w:rsidR="004B2B7B">
              <w:rPr>
                <w:noProof/>
                <w:webHidden/>
              </w:rPr>
              <w:fldChar w:fldCharType="end"/>
            </w:r>
          </w:hyperlink>
        </w:p>
        <w:p w14:paraId="17D663F6" w14:textId="6A69527D" w:rsidR="004B2B7B" w:rsidRPr="004B2B7B" w:rsidRDefault="006D017A">
          <w:pPr>
            <w:pStyle w:val="TOC2"/>
            <w:tabs>
              <w:tab w:val="left" w:pos="660"/>
            </w:tabs>
            <w:rPr>
              <w:rFonts w:eastAsiaTheme="minorEastAsia"/>
              <w:noProof/>
              <w:lang w:eastAsia="en-AU"/>
            </w:rPr>
          </w:pPr>
          <w:hyperlink w:anchor="_Toc40179118" w:history="1">
            <w:r w:rsidR="004B2B7B" w:rsidRPr="004B2B7B">
              <w:rPr>
                <w:rStyle w:val="Hyperlink"/>
                <w:noProof/>
              </w:rPr>
              <w:t>1.</w:t>
            </w:r>
            <w:r w:rsidR="004B2B7B" w:rsidRPr="004B2B7B">
              <w:rPr>
                <w:rFonts w:eastAsiaTheme="minorEastAsia"/>
                <w:noProof/>
                <w:lang w:eastAsia="en-AU"/>
              </w:rPr>
              <w:tab/>
            </w:r>
            <w:r w:rsidR="004B2B7B" w:rsidRPr="004B2B7B">
              <w:rPr>
                <w:rStyle w:val="Hyperlink"/>
                <w:noProof/>
              </w:rPr>
              <w:t>Number of active job seekers and job seekers with a vulnerability indicator</w:t>
            </w:r>
            <w:r w:rsidR="004B2B7B" w:rsidRPr="004B2B7B">
              <w:rPr>
                <w:rStyle w:val="Hyperlink"/>
                <w:rFonts w:eastAsia="Times New Roman"/>
                <w:noProof/>
              </w:rPr>
              <w:t xml:space="preserve"> </w:t>
            </w:r>
            <w:r w:rsidR="004B2B7B" w:rsidRPr="004B2B7B">
              <w:rPr>
                <w:rStyle w:val="Hyperlink"/>
                <w:noProof/>
              </w:rPr>
              <w:t>as at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_Toc40179118 \h </w:instrText>
            </w:r>
            <w:r w:rsidR="004B2B7B" w:rsidRPr="004B2B7B">
              <w:rPr>
                <w:noProof/>
                <w:webHidden/>
              </w:rPr>
            </w:r>
            <w:r w:rsidR="004B2B7B" w:rsidRPr="004B2B7B">
              <w:rPr>
                <w:noProof/>
                <w:webHidden/>
              </w:rPr>
              <w:fldChar w:fldCharType="separate"/>
            </w:r>
            <w:r w:rsidR="004B2B7B" w:rsidRPr="004B2B7B">
              <w:rPr>
                <w:noProof/>
                <w:webHidden/>
              </w:rPr>
              <w:t>2</w:t>
            </w:r>
            <w:r w:rsidR="004B2B7B" w:rsidRPr="004B2B7B">
              <w:rPr>
                <w:noProof/>
                <w:webHidden/>
              </w:rPr>
              <w:fldChar w:fldCharType="end"/>
            </w:r>
          </w:hyperlink>
        </w:p>
        <w:p w14:paraId="16C5A13F" w14:textId="63993921" w:rsidR="004B2B7B" w:rsidRPr="004B2B7B" w:rsidRDefault="006D017A">
          <w:pPr>
            <w:pStyle w:val="TOC2"/>
            <w:tabs>
              <w:tab w:val="left" w:pos="660"/>
            </w:tabs>
            <w:rPr>
              <w:rFonts w:eastAsiaTheme="minorEastAsia"/>
              <w:noProof/>
              <w:lang w:eastAsia="en-AU"/>
            </w:rPr>
          </w:pPr>
          <w:hyperlink w:anchor="_Toc40179119" w:history="1">
            <w:r w:rsidR="004B2B7B" w:rsidRPr="004B2B7B">
              <w:rPr>
                <w:rStyle w:val="Hyperlink"/>
                <w:noProof/>
              </w:rPr>
              <w:t>2.</w:t>
            </w:r>
            <w:r w:rsidR="004B2B7B" w:rsidRPr="004B2B7B">
              <w:rPr>
                <w:rFonts w:eastAsiaTheme="minorEastAsia"/>
                <w:noProof/>
                <w:lang w:eastAsia="en-AU"/>
              </w:rPr>
              <w:tab/>
            </w:r>
            <w:r w:rsidR="004B2B7B" w:rsidRPr="004B2B7B">
              <w:rPr>
                <w:rStyle w:val="Hyperlink"/>
                <w:noProof/>
              </w:rPr>
              <w:t>Attendance at Appointments</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_Toc40179119 \h </w:instrText>
            </w:r>
            <w:r w:rsidR="004B2B7B" w:rsidRPr="004B2B7B">
              <w:rPr>
                <w:noProof/>
                <w:webHidden/>
              </w:rPr>
            </w:r>
            <w:r w:rsidR="004B2B7B" w:rsidRPr="004B2B7B">
              <w:rPr>
                <w:noProof/>
                <w:webHidden/>
              </w:rPr>
              <w:fldChar w:fldCharType="separate"/>
            </w:r>
            <w:r w:rsidR="004B2B7B" w:rsidRPr="004B2B7B">
              <w:rPr>
                <w:noProof/>
                <w:webHidden/>
              </w:rPr>
              <w:t>3</w:t>
            </w:r>
            <w:r w:rsidR="004B2B7B" w:rsidRPr="004B2B7B">
              <w:rPr>
                <w:noProof/>
                <w:webHidden/>
              </w:rPr>
              <w:fldChar w:fldCharType="end"/>
            </w:r>
          </w:hyperlink>
        </w:p>
        <w:p w14:paraId="36C7AF4D" w14:textId="1765CC4B" w:rsidR="004B2B7B" w:rsidRPr="004B2B7B" w:rsidRDefault="006D017A">
          <w:pPr>
            <w:pStyle w:val="TOC3"/>
            <w:tabs>
              <w:tab w:val="left" w:pos="660"/>
            </w:tabs>
            <w:rPr>
              <w:rFonts w:eastAsiaTheme="minorEastAsia"/>
              <w:noProof/>
              <w:lang w:eastAsia="en-AU"/>
            </w:rPr>
          </w:pPr>
          <w:hyperlink w:anchor="_Toc40179120" w:history="1">
            <w:r w:rsidR="004B2B7B" w:rsidRPr="004B2B7B">
              <w:rPr>
                <w:rStyle w:val="Hyperlink"/>
                <w:rFonts w:cs="Arial"/>
                <w:noProof/>
              </w:rPr>
              <w:t>2a.</w:t>
            </w:r>
            <w:r w:rsidR="004B2B7B" w:rsidRPr="004B2B7B">
              <w:rPr>
                <w:rFonts w:eastAsiaTheme="minorEastAsia"/>
                <w:noProof/>
                <w:lang w:eastAsia="en-AU"/>
              </w:rPr>
              <w:tab/>
            </w:r>
            <w:r w:rsidR="004B2B7B" w:rsidRPr="004B2B7B">
              <w:rPr>
                <w:rStyle w:val="Hyperlink"/>
                <w:rFonts w:cs="Arial"/>
                <w:noProof/>
              </w:rPr>
              <w:t>Attendance at Appointments with CDP employment services providers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_Toc40179120 \h </w:instrText>
            </w:r>
            <w:r w:rsidR="004B2B7B" w:rsidRPr="004B2B7B">
              <w:rPr>
                <w:noProof/>
                <w:webHidden/>
              </w:rPr>
            </w:r>
            <w:r w:rsidR="004B2B7B" w:rsidRPr="004B2B7B">
              <w:rPr>
                <w:noProof/>
                <w:webHidden/>
              </w:rPr>
              <w:fldChar w:fldCharType="separate"/>
            </w:r>
            <w:r w:rsidR="004B2B7B" w:rsidRPr="004B2B7B">
              <w:rPr>
                <w:noProof/>
                <w:webHidden/>
              </w:rPr>
              <w:t>3</w:t>
            </w:r>
            <w:r w:rsidR="004B2B7B" w:rsidRPr="004B2B7B">
              <w:rPr>
                <w:noProof/>
                <w:webHidden/>
              </w:rPr>
              <w:fldChar w:fldCharType="end"/>
            </w:r>
          </w:hyperlink>
        </w:p>
        <w:p w14:paraId="259CE668" w14:textId="6F6D3D0D" w:rsidR="004B2B7B" w:rsidRPr="004B2B7B" w:rsidRDefault="006D017A">
          <w:pPr>
            <w:pStyle w:val="TOC3"/>
            <w:tabs>
              <w:tab w:val="left" w:pos="660"/>
            </w:tabs>
            <w:rPr>
              <w:rFonts w:eastAsiaTheme="minorEastAsia"/>
              <w:noProof/>
              <w:lang w:eastAsia="en-AU"/>
            </w:rPr>
          </w:pPr>
          <w:hyperlink w:anchor="_Toc40179121" w:history="1">
            <w:r w:rsidR="004B2B7B" w:rsidRPr="004B2B7B">
              <w:rPr>
                <w:rStyle w:val="Hyperlink"/>
                <w:rFonts w:cs="Arial"/>
                <w:noProof/>
              </w:rPr>
              <w:t>2b.</w:t>
            </w:r>
            <w:r w:rsidR="004B2B7B" w:rsidRPr="004B2B7B">
              <w:rPr>
                <w:rFonts w:eastAsiaTheme="minorEastAsia"/>
                <w:noProof/>
                <w:lang w:eastAsia="en-AU"/>
              </w:rPr>
              <w:tab/>
            </w:r>
            <w:r w:rsidR="004B2B7B" w:rsidRPr="004B2B7B">
              <w:rPr>
                <w:rStyle w:val="Hyperlink"/>
                <w:rFonts w:cs="Arial"/>
                <w:noProof/>
              </w:rPr>
              <w:t>Attendance at Re-engagement Appointments with CDP employment services providers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_Toc40179121 \h </w:instrText>
            </w:r>
            <w:r w:rsidR="004B2B7B" w:rsidRPr="004B2B7B">
              <w:rPr>
                <w:noProof/>
                <w:webHidden/>
              </w:rPr>
            </w:r>
            <w:r w:rsidR="004B2B7B" w:rsidRPr="004B2B7B">
              <w:rPr>
                <w:noProof/>
                <w:webHidden/>
              </w:rPr>
              <w:fldChar w:fldCharType="separate"/>
            </w:r>
            <w:r w:rsidR="004B2B7B" w:rsidRPr="004B2B7B">
              <w:rPr>
                <w:noProof/>
                <w:webHidden/>
              </w:rPr>
              <w:t>3</w:t>
            </w:r>
            <w:r w:rsidR="004B2B7B" w:rsidRPr="004B2B7B">
              <w:rPr>
                <w:noProof/>
                <w:webHidden/>
              </w:rPr>
              <w:fldChar w:fldCharType="end"/>
            </w:r>
          </w:hyperlink>
        </w:p>
        <w:p w14:paraId="0F3FD78F" w14:textId="561FA005" w:rsidR="004B2B7B" w:rsidRPr="004B2B7B" w:rsidRDefault="006D017A">
          <w:pPr>
            <w:pStyle w:val="TOC2"/>
            <w:tabs>
              <w:tab w:val="left" w:pos="660"/>
            </w:tabs>
            <w:rPr>
              <w:rFonts w:eastAsiaTheme="minorEastAsia"/>
              <w:noProof/>
              <w:lang w:eastAsia="en-AU"/>
            </w:rPr>
          </w:pPr>
          <w:hyperlink w:anchor="_Toc40179122" w:history="1">
            <w:r w:rsidR="004B2B7B" w:rsidRPr="004B2B7B">
              <w:rPr>
                <w:rStyle w:val="Hyperlink"/>
                <w:noProof/>
              </w:rPr>
              <w:t>3.</w:t>
            </w:r>
            <w:r w:rsidR="004B2B7B" w:rsidRPr="004B2B7B">
              <w:rPr>
                <w:rFonts w:eastAsiaTheme="minorEastAsia"/>
                <w:noProof/>
                <w:lang w:eastAsia="en-AU"/>
              </w:rPr>
              <w:tab/>
            </w:r>
            <w:r w:rsidR="004B2B7B" w:rsidRPr="004B2B7B">
              <w:rPr>
                <w:rStyle w:val="Hyperlink"/>
                <w:noProof/>
              </w:rPr>
              <w:t>Income Support payment suspensions for non-attendance at appointments/activities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_Toc40179122 \h </w:instrText>
            </w:r>
            <w:r w:rsidR="004B2B7B" w:rsidRPr="004B2B7B">
              <w:rPr>
                <w:noProof/>
                <w:webHidden/>
              </w:rPr>
            </w:r>
            <w:r w:rsidR="004B2B7B" w:rsidRPr="004B2B7B">
              <w:rPr>
                <w:noProof/>
                <w:webHidden/>
              </w:rPr>
              <w:fldChar w:fldCharType="separate"/>
            </w:r>
            <w:r w:rsidR="004B2B7B" w:rsidRPr="004B2B7B">
              <w:rPr>
                <w:noProof/>
                <w:webHidden/>
              </w:rPr>
              <w:t>4</w:t>
            </w:r>
            <w:r w:rsidR="004B2B7B" w:rsidRPr="004B2B7B">
              <w:rPr>
                <w:noProof/>
                <w:webHidden/>
              </w:rPr>
              <w:fldChar w:fldCharType="end"/>
            </w:r>
          </w:hyperlink>
        </w:p>
        <w:p w14:paraId="1F3D5022" w14:textId="0A690085" w:rsidR="004B2B7B" w:rsidRPr="004B2B7B" w:rsidRDefault="006D017A">
          <w:pPr>
            <w:pStyle w:val="TOC2"/>
            <w:tabs>
              <w:tab w:val="left" w:pos="660"/>
            </w:tabs>
            <w:rPr>
              <w:rFonts w:eastAsiaTheme="minorEastAsia"/>
              <w:noProof/>
              <w:lang w:eastAsia="en-AU"/>
            </w:rPr>
          </w:pPr>
          <w:hyperlink w:anchor="_Toc40179123" w:history="1">
            <w:r w:rsidR="004B2B7B" w:rsidRPr="004B2B7B">
              <w:rPr>
                <w:rStyle w:val="Hyperlink"/>
                <w:noProof/>
              </w:rPr>
              <w:t>4.</w:t>
            </w:r>
            <w:r w:rsidR="004B2B7B" w:rsidRPr="004B2B7B">
              <w:rPr>
                <w:rFonts w:eastAsiaTheme="minorEastAsia"/>
                <w:noProof/>
                <w:lang w:eastAsia="en-AU"/>
              </w:rPr>
              <w:tab/>
            </w:r>
            <w:r w:rsidR="004B2B7B" w:rsidRPr="004B2B7B">
              <w:rPr>
                <w:rStyle w:val="Hyperlink"/>
                <w:noProof/>
              </w:rPr>
              <w:t>Number of Non-Attendance Reports, Participation Reports and Provider Appointment Reports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_Toc40179123 \h </w:instrText>
            </w:r>
            <w:r w:rsidR="004B2B7B" w:rsidRPr="004B2B7B">
              <w:rPr>
                <w:noProof/>
                <w:webHidden/>
              </w:rPr>
            </w:r>
            <w:r w:rsidR="004B2B7B" w:rsidRPr="004B2B7B">
              <w:rPr>
                <w:noProof/>
                <w:webHidden/>
              </w:rPr>
              <w:fldChar w:fldCharType="separate"/>
            </w:r>
            <w:r w:rsidR="004B2B7B" w:rsidRPr="004B2B7B">
              <w:rPr>
                <w:noProof/>
                <w:webHidden/>
              </w:rPr>
              <w:t>4</w:t>
            </w:r>
            <w:r w:rsidR="004B2B7B" w:rsidRPr="004B2B7B">
              <w:rPr>
                <w:noProof/>
                <w:webHidden/>
              </w:rPr>
              <w:fldChar w:fldCharType="end"/>
            </w:r>
          </w:hyperlink>
        </w:p>
        <w:p w14:paraId="0E37F143" w14:textId="3C35329E" w:rsidR="004B2B7B" w:rsidRPr="004B2B7B" w:rsidRDefault="006D017A">
          <w:pPr>
            <w:pStyle w:val="TOC2"/>
            <w:tabs>
              <w:tab w:val="left" w:pos="660"/>
            </w:tabs>
            <w:rPr>
              <w:rFonts w:eastAsiaTheme="minorEastAsia"/>
              <w:noProof/>
              <w:lang w:eastAsia="en-AU"/>
            </w:rPr>
          </w:pPr>
          <w:hyperlink w:anchor="_Toc40179124" w:history="1">
            <w:r w:rsidR="004B2B7B" w:rsidRPr="004B2B7B">
              <w:rPr>
                <w:rStyle w:val="Hyperlink"/>
                <w:noProof/>
              </w:rPr>
              <w:t>5.</w:t>
            </w:r>
            <w:r w:rsidR="004B2B7B" w:rsidRPr="004B2B7B">
              <w:rPr>
                <w:rFonts w:eastAsiaTheme="minorEastAsia"/>
                <w:noProof/>
                <w:lang w:eastAsia="en-AU"/>
              </w:rPr>
              <w:tab/>
            </w:r>
            <w:r w:rsidR="004B2B7B" w:rsidRPr="004B2B7B">
              <w:rPr>
                <w:rStyle w:val="Hyperlink"/>
                <w:noProof/>
              </w:rPr>
              <w:t>Reasons for providers reporting non-compliance to Services Australia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_Toc40179124 \h </w:instrText>
            </w:r>
            <w:r w:rsidR="004B2B7B" w:rsidRPr="004B2B7B">
              <w:rPr>
                <w:noProof/>
                <w:webHidden/>
              </w:rPr>
            </w:r>
            <w:r w:rsidR="004B2B7B" w:rsidRPr="004B2B7B">
              <w:rPr>
                <w:noProof/>
                <w:webHidden/>
              </w:rPr>
              <w:fldChar w:fldCharType="separate"/>
            </w:r>
            <w:r w:rsidR="004B2B7B" w:rsidRPr="004B2B7B">
              <w:rPr>
                <w:noProof/>
                <w:webHidden/>
              </w:rPr>
              <w:t>5</w:t>
            </w:r>
            <w:r w:rsidR="004B2B7B" w:rsidRPr="004B2B7B">
              <w:rPr>
                <w:noProof/>
                <w:webHidden/>
              </w:rPr>
              <w:fldChar w:fldCharType="end"/>
            </w:r>
          </w:hyperlink>
        </w:p>
        <w:p w14:paraId="132F40B4" w14:textId="0E87E7AD" w:rsidR="004B2B7B" w:rsidRPr="004B2B7B" w:rsidRDefault="006D017A">
          <w:pPr>
            <w:pStyle w:val="TOC2"/>
            <w:tabs>
              <w:tab w:val="left" w:pos="660"/>
            </w:tabs>
            <w:rPr>
              <w:rFonts w:eastAsiaTheme="minorEastAsia"/>
              <w:noProof/>
              <w:lang w:eastAsia="en-AU"/>
            </w:rPr>
          </w:pPr>
          <w:hyperlink w:anchor="_Toc40179125" w:history="1">
            <w:r w:rsidR="004B2B7B" w:rsidRPr="004B2B7B">
              <w:rPr>
                <w:rStyle w:val="Hyperlink"/>
                <w:noProof/>
              </w:rPr>
              <w:t>6.</w:t>
            </w:r>
            <w:r w:rsidR="004B2B7B" w:rsidRPr="004B2B7B">
              <w:rPr>
                <w:rFonts w:eastAsiaTheme="minorEastAsia"/>
                <w:noProof/>
                <w:lang w:eastAsia="en-AU"/>
              </w:rPr>
              <w:tab/>
            </w:r>
            <w:r w:rsidR="004B2B7B" w:rsidRPr="004B2B7B">
              <w:rPr>
                <w:rStyle w:val="Hyperlink"/>
                <w:noProof/>
              </w:rPr>
              <w:t>Services Australia responses to Provider Appointment Reports and Participation Reports</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_Toc40179125 \h </w:instrText>
            </w:r>
            <w:r w:rsidR="004B2B7B" w:rsidRPr="004B2B7B">
              <w:rPr>
                <w:noProof/>
                <w:webHidden/>
              </w:rPr>
            </w:r>
            <w:r w:rsidR="004B2B7B" w:rsidRPr="004B2B7B">
              <w:rPr>
                <w:noProof/>
                <w:webHidden/>
              </w:rPr>
              <w:fldChar w:fldCharType="separate"/>
            </w:r>
            <w:r w:rsidR="004B2B7B" w:rsidRPr="004B2B7B">
              <w:rPr>
                <w:noProof/>
                <w:webHidden/>
              </w:rPr>
              <w:t>6</w:t>
            </w:r>
            <w:r w:rsidR="004B2B7B" w:rsidRPr="004B2B7B">
              <w:rPr>
                <w:noProof/>
                <w:webHidden/>
              </w:rPr>
              <w:fldChar w:fldCharType="end"/>
            </w:r>
          </w:hyperlink>
        </w:p>
        <w:p w14:paraId="16D1F70F" w14:textId="110435E3" w:rsidR="004B2B7B" w:rsidRPr="004B2B7B" w:rsidRDefault="006D017A">
          <w:pPr>
            <w:pStyle w:val="TOC3"/>
            <w:tabs>
              <w:tab w:val="left" w:pos="660"/>
            </w:tabs>
            <w:rPr>
              <w:rFonts w:eastAsiaTheme="minorEastAsia"/>
              <w:noProof/>
              <w:lang w:eastAsia="en-AU"/>
            </w:rPr>
          </w:pPr>
          <w:hyperlink w:anchor="_Toc40179126" w:history="1">
            <w:r w:rsidR="004B2B7B" w:rsidRPr="004B2B7B">
              <w:rPr>
                <w:rStyle w:val="Hyperlink"/>
                <w:rFonts w:cs="Arial"/>
                <w:noProof/>
              </w:rPr>
              <w:t>6a.</w:t>
            </w:r>
            <w:r w:rsidR="004B2B7B" w:rsidRPr="004B2B7B">
              <w:rPr>
                <w:rFonts w:eastAsiaTheme="minorEastAsia"/>
                <w:noProof/>
                <w:lang w:eastAsia="en-AU"/>
              </w:rPr>
              <w:tab/>
            </w:r>
            <w:r w:rsidR="004B2B7B" w:rsidRPr="004B2B7B">
              <w:rPr>
                <w:rStyle w:val="Hyperlink"/>
                <w:rFonts w:cs="Arial"/>
                <w:noProof/>
              </w:rPr>
              <w:t>Services Australia responses to Provider Appointment Reports and Participation Reports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_Toc40179126 \h </w:instrText>
            </w:r>
            <w:r w:rsidR="004B2B7B" w:rsidRPr="004B2B7B">
              <w:rPr>
                <w:noProof/>
                <w:webHidden/>
              </w:rPr>
            </w:r>
            <w:r w:rsidR="004B2B7B" w:rsidRPr="004B2B7B">
              <w:rPr>
                <w:noProof/>
                <w:webHidden/>
              </w:rPr>
              <w:fldChar w:fldCharType="separate"/>
            </w:r>
            <w:r w:rsidR="004B2B7B" w:rsidRPr="004B2B7B">
              <w:rPr>
                <w:noProof/>
                <w:webHidden/>
              </w:rPr>
              <w:t>6</w:t>
            </w:r>
            <w:r w:rsidR="004B2B7B" w:rsidRPr="004B2B7B">
              <w:rPr>
                <w:noProof/>
                <w:webHidden/>
              </w:rPr>
              <w:fldChar w:fldCharType="end"/>
            </w:r>
          </w:hyperlink>
        </w:p>
        <w:p w14:paraId="0FFFC0BC" w14:textId="0C6C51D9" w:rsidR="004B2B7B" w:rsidRPr="004B2B7B" w:rsidRDefault="006D017A">
          <w:pPr>
            <w:pStyle w:val="TOC3"/>
            <w:tabs>
              <w:tab w:val="left" w:pos="660"/>
            </w:tabs>
            <w:rPr>
              <w:rFonts w:eastAsiaTheme="minorEastAsia"/>
              <w:noProof/>
              <w:lang w:eastAsia="en-AU"/>
            </w:rPr>
          </w:pPr>
          <w:hyperlink w:anchor="_Toc40179127" w:history="1">
            <w:r w:rsidR="004B2B7B" w:rsidRPr="004B2B7B">
              <w:rPr>
                <w:rStyle w:val="Hyperlink"/>
                <w:noProof/>
              </w:rPr>
              <w:t>6b.</w:t>
            </w:r>
            <w:r w:rsidR="004B2B7B" w:rsidRPr="004B2B7B">
              <w:rPr>
                <w:rFonts w:eastAsiaTheme="minorEastAsia"/>
                <w:noProof/>
                <w:lang w:eastAsia="en-AU"/>
              </w:rPr>
              <w:tab/>
            </w:r>
            <w:r w:rsidR="004B2B7B" w:rsidRPr="004B2B7B">
              <w:rPr>
                <w:rStyle w:val="Hyperlink"/>
                <w:noProof/>
              </w:rPr>
              <w:t>Participation Failures applied by Services Australia due to unacceptable reasons given by job seekers for non-attendance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_Toc40179127 \h </w:instrText>
            </w:r>
            <w:r w:rsidR="004B2B7B" w:rsidRPr="004B2B7B">
              <w:rPr>
                <w:noProof/>
                <w:webHidden/>
              </w:rPr>
            </w:r>
            <w:r w:rsidR="004B2B7B" w:rsidRPr="004B2B7B">
              <w:rPr>
                <w:noProof/>
                <w:webHidden/>
              </w:rPr>
              <w:fldChar w:fldCharType="separate"/>
            </w:r>
            <w:r w:rsidR="004B2B7B" w:rsidRPr="004B2B7B">
              <w:rPr>
                <w:noProof/>
                <w:webHidden/>
              </w:rPr>
              <w:t>7</w:t>
            </w:r>
            <w:r w:rsidR="004B2B7B" w:rsidRPr="004B2B7B">
              <w:rPr>
                <w:noProof/>
                <w:webHidden/>
              </w:rPr>
              <w:fldChar w:fldCharType="end"/>
            </w:r>
          </w:hyperlink>
        </w:p>
        <w:p w14:paraId="6191AE4F" w14:textId="2B06CFA2" w:rsidR="004B2B7B" w:rsidRPr="004B2B7B" w:rsidRDefault="006D017A">
          <w:pPr>
            <w:pStyle w:val="TOC3"/>
            <w:tabs>
              <w:tab w:val="left" w:pos="660"/>
            </w:tabs>
            <w:rPr>
              <w:rFonts w:eastAsiaTheme="minorEastAsia"/>
              <w:noProof/>
              <w:lang w:eastAsia="en-AU"/>
            </w:rPr>
          </w:pPr>
          <w:hyperlink w:anchor="_Toc40179128" w:history="1">
            <w:r w:rsidR="004B2B7B" w:rsidRPr="004B2B7B">
              <w:rPr>
                <w:rStyle w:val="Hyperlink"/>
                <w:rFonts w:cs="Arial"/>
                <w:noProof/>
              </w:rPr>
              <w:t>6c.</w:t>
            </w:r>
            <w:r w:rsidR="004B2B7B" w:rsidRPr="004B2B7B">
              <w:rPr>
                <w:rFonts w:eastAsiaTheme="minorEastAsia"/>
                <w:noProof/>
                <w:lang w:eastAsia="en-AU"/>
              </w:rPr>
              <w:tab/>
            </w:r>
            <w:r w:rsidR="004B2B7B" w:rsidRPr="004B2B7B">
              <w:rPr>
                <w:rStyle w:val="Hyperlink"/>
                <w:rFonts w:cs="Arial"/>
                <w:noProof/>
              </w:rPr>
              <w:t>Services Australia’s reasons for applying Provider Appointment Reports or Participation Reports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_Toc40179128 \h </w:instrText>
            </w:r>
            <w:r w:rsidR="004B2B7B" w:rsidRPr="004B2B7B">
              <w:rPr>
                <w:noProof/>
                <w:webHidden/>
              </w:rPr>
            </w:r>
            <w:r w:rsidR="004B2B7B" w:rsidRPr="004B2B7B">
              <w:rPr>
                <w:noProof/>
                <w:webHidden/>
              </w:rPr>
              <w:fldChar w:fldCharType="separate"/>
            </w:r>
            <w:r w:rsidR="004B2B7B" w:rsidRPr="004B2B7B">
              <w:rPr>
                <w:noProof/>
                <w:webHidden/>
              </w:rPr>
              <w:t>8</w:t>
            </w:r>
            <w:r w:rsidR="004B2B7B" w:rsidRPr="004B2B7B">
              <w:rPr>
                <w:noProof/>
                <w:webHidden/>
              </w:rPr>
              <w:fldChar w:fldCharType="end"/>
            </w:r>
          </w:hyperlink>
        </w:p>
        <w:p w14:paraId="2CD8E784" w14:textId="31A65A2A" w:rsidR="004B2B7B" w:rsidRPr="004B2B7B" w:rsidRDefault="006D017A">
          <w:pPr>
            <w:pStyle w:val="TOC3"/>
            <w:tabs>
              <w:tab w:val="left" w:pos="660"/>
            </w:tabs>
            <w:rPr>
              <w:rFonts w:eastAsiaTheme="minorEastAsia"/>
              <w:noProof/>
              <w:lang w:eastAsia="en-AU"/>
            </w:rPr>
          </w:pPr>
          <w:hyperlink w:anchor="_Toc40179129" w:history="1">
            <w:r w:rsidR="004B2B7B" w:rsidRPr="004B2B7B">
              <w:rPr>
                <w:rStyle w:val="Hyperlink"/>
                <w:rFonts w:cs="Arial"/>
                <w:noProof/>
              </w:rPr>
              <w:t>6d.</w:t>
            </w:r>
            <w:r w:rsidR="004B2B7B" w:rsidRPr="004B2B7B">
              <w:rPr>
                <w:rFonts w:eastAsiaTheme="minorEastAsia"/>
                <w:noProof/>
                <w:lang w:eastAsia="en-AU"/>
              </w:rPr>
              <w:tab/>
            </w:r>
            <w:r w:rsidR="004B2B7B" w:rsidRPr="004B2B7B">
              <w:rPr>
                <w:rStyle w:val="Hyperlink"/>
                <w:rFonts w:cs="Arial"/>
                <w:noProof/>
              </w:rPr>
              <w:t>Services Australia’s reasons for rejecting Provider Appointment Reports and Participation Reports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_Toc40179129 \h </w:instrText>
            </w:r>
            <w:r w:rsidR="004B2B7B" w:rsidRPr="004B2B7B">
              <w:rPr>
                <w:noProof/>
                <w:webHidden/>
              </w:rPr>
            </w:r>
            <w:r w:rsidR="004B2B7B" w:rsidRPr="004B2B7B">
              <w:rPr>
                <w:noProof/>
                <w:webHidden/>
              </w:rPr>
              <w:fldChar w:fldCharType="separate"/>
            </w:r>
            <w:r w:rsidR="004B2B7B" w:rsidRPr="004B2B7B">
              <w:rPr>
                <w:noProof/>
                <w:webHidden/>
              </w:rPr>
              <w:t>9</w:t>
            </w:r>
            <w:r w:rsidR="004B2B7B" w:rsidRPr="004B2B7B">
              <w:rPr>
                <w:noProof/>
                <w:webHidden/>
              </w:rPr>
              <w:fldChar w:fldCharType="end"/>
            </w:r>
          </w:hyperlink>
        </w:p>
        <w:p w14:paraId="18366C20" w14:textId="122085B7" w:rsidR="004B2B7B" w:rsidRPr="004B2B7B" w:rsidRDefault="006D017A">
          <w:pPr>
            <w:pStyle w:val="TOC3"/>
            <w:tabs>
              <w:tab w:val="left" w:pos="660"/>
            </w:tabs>
            <w:rPr>
              <w:rFonts w:eastAsiaTheme="minorEastAsia"/>
              <w:noProof/>
              <w:lang w:eastAsia="en-AU"/>
            </w:rPr>
          </w:pPr>
          <w:hyperlink w:anchor="_Toc40179130" w:history="1">
            <w:r w:rsidR="004B2B7B" w:rsidRPr="004B2B7B">
              <w:rPr>
                <w:rStyle w:val="Hyperlink"/>
                <w:rFonts w:cs="Arial"/>
                <w:noProof/>
              </w:rPr>
              <w:t>6e.</w:t>
            </w:r>
            <w:r w:rsidR="004B2B7B" w:rsidRPr="004B2B7B">
              <w:rPr>
                <w:rFonts w:eastAsiaTheme="minorEastAsia"/>
                <w:noProof/>
                <w:lang w:eastAsia="en-AU"/>
              </w:rPr>
              <w:tab/>
            </w:r>
            <w:r w:rsidR="004B2B7B" w:rsidRPr="004B2B7B">
              <w:rPr>
                <w:rStyle w:val="Hyperlink"/>
                <w:rFonts w:cs="Arial"/>
                <w:noProof/>
              </w:rPr>
              <w:t>Services Australia’s reasons for rejecting Provider Appointment Reports and Participation Reports: Reasonable Excuse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_Toc40179130 \h </w:instrText>
            </w:r>
            <w:r w:rsidR="004B2B7B" w:rsidRPr="004B2B7B">
              <w:rPr>
                <w:noProof/>
                <w:webHidden/>
              </w:rPr>
            </w:r>
            <w:r w:rsidR="004B2B7B" w:rsidRPr="004B2B7B">
              <w:rPr>
                <w:noProof/>
                <w:webHidden/>
              </w:rPr>
              <w:fldChar w:fldCharType="separate"/>
            </w:r>
            <w:r w:rsidR="004B2B7B" w:rsidRPr="004B2B7B">
              <w:rPr>
                <w:noProof/>
                <w:webHidden/>
              </w:rPr>
              <w:t>10</w:t>
            </w:r>
            <w:r w:rsidR="004B2B7B" w:rsidRPr="004B2B7B">
              <w:rPr>
                <w:noProof/>
                <w:webHidden/>
              </w:rPr>
              <w:fldChar w:fldCharType="end"/>
            </w:r>
          </w:hyperlink>
        </w:p>
        <w:p w14:paraId="7ADED1CD" w14:textId="28A30247" w:rsidR="004B2B7B" w:rsidRPr="004B2B7B" w:rsidRDefault="006D017A">
          <w:pPr>
            <w:pStyle w:val="TOC2"/>
            <w:tabs>
              <w:tab w:val="left" w:pos="660"/>
            </w:tabs>
            <w:rPr>
              <w:rFonts w:eastAsiaTheme="minorEastAsia"/>
              <w:noProof/>
              <w:lang w:eastAsia="en-AU"/>
            </w:rPr>
          </w:pPr>
          <w:hyperlink w:anchor="_Toc40179131" w:history="1">
            <w:r w:rsidR="004B2B7B" w:rsidRPr="004B2B7B">
              <w:rPr>
                <w:rStyle w:val="Hyperlink"/>
                <w:noProof/>
              </w:rPr>
              <w:t>7.</w:t>
            </w:r>
            <w:r w:rsidR="004B2B7B" w:rsidRPr="004B2B7B">
              <w:rPr>
                <w:rFonts w:eastAsiaTheme="minorEastAsia"/>
                <w:noProof/>
                <w:lang w:eastAsia="en-AU"/>
              </w:rPr>
              <w:tab/>
            </w:r>
            <w:r w:rsidR="004B2B7B" w:rsidRPr="004B2B7B">
              <w:rPr>
                <w:rStyle w:val="Hyperlink"/>
                <w:noProof/>
              </w:rPr>
              <w:t>Number of Compliance Reports Submitted per job seeker over past 12 months (as at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_Toc40179131 \h </w:instrText>
            </w:r>
            <w:r w:rsidR="004B2B7B" w:rsidRPr="004B2B7B">
              <w:rPr>
                <w:noProof/>
                <w:webHidden/>
              </w:rPr>
            </w:r>
            <w:r w:rsidR="004B2B7B" w:rsidRPr="004B2B7B">
              <w:rPr>
                <w:noProof/>
                <w:webHidden/>
              </w:rPr>
              <w:fldChar w:fldCharType="separate"/>
            </w:r>
            <w:r w:rsidR="004B2B7B" w:rsidRPr="004B2B7B">
              <w:rPr>
                <w:noProof/>
                <w:webHidden/>
              </w:rPr>
              <w:t>11</w:t>
            </w:r>
            <w:r w:rsidR="004B2B7B" w:rsidRPr="004B2B7B">
              <w:rPr>
                <w:noProof/>
                <w:webHidden/>
              </w:rPr>
              <w:fldChar w:fldCharType="end"/>
            </w:r>
          </w:hyperlink>
        </w:p>
        <w:p w14:paraId="51239EEE" w14:textId="0B9BA668" w:rsidR="004B2B7B" w:rsidRPr="004B2B7B" w:rsidRDefault="006D017A">
          <w:pPr>
            <w:pStyle w:val="TOC2"/>
            <w:tabs>
              <w:tab w:val="left" w:pos="660"/>
            </w:tabs>
            <w:rPr>
              <w:rFonts w:eastAsiaTheme="minorEastAsia"/>
              <w:noProof/>
              <w:lang w:eastAsia="en-AU"/>
            </w:rPr>
          </w:pPr>
          <w:hyperlink w:anchor="_Toc40179132" w:history="1">
            <w:r w:rsidR="004B2B7B" w:rsidRPr="004B2B7B">
              <w:rPr>
                <w:rStyle w:val="Hyperlink"/>
                <w:noProof/>
              </w:rPr>
              <w:t>8.</w:t>
            </w:r>
            <w:r w:rsidR="004B2B7B" w:rsidRPr="004B2B7B">
              <w:rPr>
                <w:rFonts w:eastAsiaTheme="minorEastAsia"/>
                <w:noProof/>
                <w:lang w:eastAsia="en-AU"/>
              </w:rPr>
              <w:tab/>
            </w:r>
            <w:r w:rsidR="004B2B7B" w:rsidRPr="004B2B7B">
              <w:rPr>
                <w:rStyle w:val="Hyperlink"/>
                <w:noProof/>
              </w:rPr>
              <w:t>Number of Participation Failures Applied</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_Toc40179132 \h </w:instrText>
            </w:r>
            <w:r w:rsidR="004B2B7B" w:rsidRPr="004B2B7B">
              <w:rPr>
                <w:noProof/>
                <w:webHidden/>
              </w:rPr>
            </w:r>
            <w:r w:rsidR="004B2B7B" w:rsidRPr="004B2B7B">
              <w:rPr>
                <w:noProof/>
                <w:webHidden/>
              </w:rPr>
              <w:fldChar w:fldCharType="separate"/>
            </w:r>
            <w:r w:rsidR="004B2B7B" w:rsidRPr="004B2B7B">
              <w:rPr>
                <w:noProof/>
                <w:webHidden/>
              </w:rPr>
              <w:t>12</w:t>
            </w:r>
            <w:r w:rsidR="004B2B7B" w:rsidRPr="004B2B7B">
              <w:rPr>
                <w:noProof/>
                <w:webHidden/>
              </w:rPr>
              <w:fldChar w:fldCharType="end"/>
            </w:r>
          </w:hyperlink>
        </w:p>
        <w:p w14:paraId="5E94FB3B" w14:textId="71C641A5" w:rsidR="004B2B7B" w:rsidRPr="004B2B7B" w:rsidRDefault="006D017A">
          <w:pPr>
            <w:pStyle w:val="TOC2"/>
            <w:tabs>
              <w:tab w:val="left" w:pos="660"/>
            </w:tabs>
            <w:rPr>
              <w:rFonts w:eastAsiaTheme="minorEastAsia"/>
              <w:noProof/>
              <w:lang w:eastAsia="en-AU"/>
            </w:rPr>
          </w:pPr>
          <w:hyperlink w:anchor="_Toc40179133" w:history="1">
            <w:r w:rsidR="004B2B7B" w:rsidRPr="004B2B7B">
              <w:rPr>
                <w:rStyle w:val="Hyperlink"/>
                <w:noProof/>
              </w:rPr>
              <w:t>9.</w:t>
            </w:r>
            <w:r w:rsidR="004B2B7B" w:rsidRPr="004B2B7B">
              <w:rPr>
                <w:rFonts w:eastAsiaTheme="minorEastAsia"/>
                <w:noProof/>
                <w:lang w:eastAsia="en-AU"/>
              </w:rPr>
              <w:tab/>
            </w:r>
            <w:r w:rsidR="004B2B7B" w:rsidRPr="004B2B7B">
              <w:rPr>
                <w:rStyle w:val="Hyperlink"/>
                <w:noProof/>
              </w:rPr>
              <w:t>Types of Participation Failures</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_Toc40179133 \h </w:instrText>
            </w:r>
            <w:r w:rsidR="004B2B7B" w:rsidRPr="004B2B7B">
              <w:rPr>
                <w:noProof/>
                <w:webHidden/>
              </w:rPr>
            </w:r>
            <w:r w:rsidR="004B2B7B" w:rsidRPr="004B2B7B">
              <w:rPr>
                <w:noProof/>
                <w:webHidden/>
              </w:rPr>
              <w:fldChar w:fldCharType="separate"/>
            </w:r>
            <w:r w:rsidR="004B2B7B" w:rsidRPr="004B2B7B">
              <w:rPr>
                <w:noProof/>
                <w:webHidden/>
              </w:rPr>
              <w:t>13</w:t>
            </w:r>
            <w:r w:rsidR="004B2B7B" w:rsidRPr="004B2B7B">
              <w:rPr>
                <w:noProof/>
                <w:webHidden/>
              </w:rPr>
              <w:fldChar w:fldCharType="end"/>
            </w:r>
          </w:hyperlink>
        </w:p>
        <w:p w14:paraId="1477006B" w14:textId="090D6E1A" w:rsidR="004B2B7B" w:rsidRPr="004B2B7B" w:rsidRDefault="006D017A">
          <w:pPr>
            <w:pStyle w:val="TOC2"/>
            <w:tabs>
              <w:tab w:val="left" w:pos="660"/>
            </w:tabs>
            <w:rPr>
              <w:rFonts w:eastAsiaTheme="minorEastAsia"/>
              <w:noProof/>
              <w:lang w:eastAsia="en-AU"/>
            </w:rPr>
          </w:pPr>
          <w:hyperlink w:anchor="_Toc40179134" w:history="1">
            <w:r w:rsidR="004B2B7B" w:rsidRPr="004B2B7B">
              <w:rPr>
                <w:rStyle w:val="Hyperlink"/>
                <w:noProof/>
              </w:rPr>
              <w:t>9a.</w:t>
            </w:r>
            <w:r w:rsidR="004B2B7B" w:rsidRPr="004B2B7B">
              <w:rPr>
                <w:rFonts w:eastAsiaTheme="minorEastAsia"/>
                <w:noProof/>
                <w:lang w:eastAsia="en-AU"/>
              </w:rPr>
              <w:tab/>
            </w:r>
            <w:r w:rsidR="004B2B7B" w:rsidRPr="004B2B7B">
              <w:rPr>
                <w:rStyle w:val="Hyperlink"/>
                <w:rFonts w:cs="Arial"/>
                <w:noProof/>
              </w:rPr>
              <w:t>Types of Participation Failures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_Toc40179134 \h </w:instrText>
            </w:r>
            <w:r w:rsidR="004B2B7B" w:rsidRPr="004B2B7B">
              <w:rPr>
                <w:noProof/>
                <w:webHidden/>
              </w:rPr>
            </w:r>
            <w:r w:rsidR="004B2B7B" w:rsidRPr="004B2B7B">
              <w:rPr>
                <w:noProof/>
                <w:webHidden/>
              </w:rPr>
              <w:fldChar w:fldCharType="separate"/>
            </w:r>
            <w:r w:rsidR="004B2B7B" w:rsidRPr="004B2B7B">
              <w:rPr>
                <w:noProof/>
                <w:webHidden/>
              </w:rPr>
              <w:t>13</w:t>
            </w:r>
            <w:r w:rsidR="004B2B7B" w:rsidRPr="004B2B7B">
              <w:rPr>
                <w:noProof/>
                <w:webHidden/>
              </w:rPr>
              <w:fldChar w:fldCharType="end"/>
            </w:r>
          </w:hyperlink>
        </w:p>
        <w:p w14:paraId="3457D79F" w14:textId="15A19DE5" w:rsidR="004B2B7B" w:rsidRPr="004B2B7B" w:rsidRDefault="006D017A">
          <w:pPr>
            <w:pStyle w:val="TOC2"/>
            <w:tabs>
              <w:tab w:val="left" w:pos="660"/>
            </w:tabs>
            <w:rPr>
              <w:rFonts w:eastAsiaTheme="minorEastAsia"/>
              <w:noProof/>
              <w:lang w:eastAsia="en-AU"/>
            </w:rPr>
          </w:pPr>
          <w:hyperlink w:anchor="_Toc40179135" w:history="1">
            <w:r w:rsidR="004B2B7B" w:rsidRPr="004B2B7B">
              <w:rPr>
                <w:rStyle w:val="Hyperlink"/>
                <w:rFonts w:cs="Arial"/>
                <w:noProof/>
              </w:rPr>
              <w:t>9b.</w:t>
            </w:r>
            <w:r w:rsidR="004B2B7B" w:rsidRPr="004B2B7B">
              <w:rPr>
                <w:rFonts w:eastAsiaTheme="minorEastAsia"/>
                <w:noProof/>
                <w:lang w:eastAsia="en-AU"/>
              </w:rPr>
              <w:tab/>
            </w:r>
            <w:r w:rsidR="004B2B7B" w:rsidRPr="004B2B7B">
              <w:rPr>
                <w:rStyle w:val="Hyperlink"/>
                <w:rFonts w:cs="Arial"/>
                <w:noProof/>
              </w:rPr>
              <w:t>Types of Participa</w:t>
            </w:r>
            <w:r w:rsidR="00E80672">
              <w:rPr>
                <w:rStyle w:val="Hyperlink"/>
                <w:rFonts w:cs="Arial"/>
                <w:noProof/>
              </w:rPr>
              <w:t>tion Failures: Serious Failures</w:t>
            </w:r>
            <w:r w:rsidR="004B2B7B" w:rsidRPr="004B2B7B">
              <w:rPr>
                <w:rStyle w:val="Hyperlink"/>
                <w:rFonts w:cs="Arial"/>
                <w:noProof/>
              </w:rPr>
              <w:t xml:space="preserve">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_Toc40179135 \h </w:instrText>
            </w:r>
            <w:r w:rsidR="004B2B7B" w:rsidRPr="004B2B7B">
              <w:rPr>
                <w:noProof/>
                <w:webHidden/>
              </w:rPr>
            </w:r>
            <w:r w:rsidR="004B2B7B" w:rsidRPr="004B2B7B">
              <w:rPr>
                <w:noProof/>
                <w:webHidden/>
              </w:rPr>
              <w:fldChar w:fldCharType="separate"/>
            </w:r>
            <w:r w:rsidR="004B2B7B" w:rsidRPr="004B2B7B">
              <w:rPr>
                <w:noProof/>
                <w:webHidden/>
              </w:rPr>
              <w:t>13</w:t>
            </w:r>
            <w:r w:rsidR="004B2B7B" w:rsidRPr="004B2B7B">
              <w:rPr>
                <w:noProof/>
                <w:webHidden/>
              </w:rPr>
              <w:fldChar w:fldCharType="end"/>
            </w:r>
          </w:hyperlink>
        </w:p>
        <w:p w14:paraId="28F7C4EE" w14:textId="119AA9F5" w:rsidR="004B2B7B" w:rsidRPr="004B2B7B" w:rsidRDefault="006D017A">
          <w:pPr>
            <w:pStyle w:val="TOC2"/>
            <w:tabs>
              <w:tab w:val="left" w:pos="660"/>
            </w:tabs>
            <w:rPr>
              <w:rFonts w:eastAsiaTheme="minorEastAsia"/>
              <w:noProof/>
              <w:lang w:eastAsia="en-AU"/>
            </w:rPr>
          </w:pPr>
          <w:hyperlink w:anchor="_Toc40179136" w:history="1">
            <w:r w:rsidR="004B2B7B" w:rsidRPr="004B2B7B">
              <w:rPr>
                <w:rStyle w:val="Hyperlink"/>
                <w:noProof/>
              </w:rPr>
              <w:t>10.</w:t>
            </w:r>
            <w:r w:rsidR="004B2B7B" w:rsidRPr="004B2B7B">
              <w:rPr>
                <w:rFonts w:eastAsiaTheme="minorEastAsia"/>
                <w:noProof/>
                <w:lang w:eastAsia="en-AU"/>
              </w:rPr>
              <w:tab/>
            </w:r>
            <w:r w:rsidR="004B2B7B" w:rsidRPr="004B2B7B">
              <w:rPr>
                <w:rStyle w:val="Hyperlink"/>
                <w:noProof/>
              </w:rPr>
              <w:t>Sanctions for Serious Failures and Unemployment Non-Payment Periods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_Toc40179136 \h </w:instrText>
            </w:r>
            <w:r w:rsidR="004B2B7B" w:rsidRPr="004B2B7B">
              <w:rPr>
                <w:noProof/>
                <w:webHidden/>
              </w:rPr>
            </w:r>
            <w:r w:rsidR="004B2B7B" w:rsidRPr="004B2B7B">
              <w:rPr>
                <w:noProof/>
                <w:webHidden/>
              </w:rPr>
              <w:fldChar w:fldCharType="separate"/>
            </w:r>
            <w:r w:rsidR="004B2B7B" w:rsidRPr="004B2B7B">
              <w:rPr>
                <w:noProof/>
                <w:webHidden/>
              </w:rPr>
              <w:t>14</w:t>
            </w:r>
            <w:r w:rsidR="004B2B7B" w:rsidRPr="004B2B7B">
              <w:rPr>
                <w:noProof/>
                <w:webHidden/>
              </w:rPr>
              <w:fldChar w:fldCharType="end"/>
            </w:r>
          </w:hyperlink>
        </w:p>
        <w:p w14:paraId="444AB3F4" w14:textId="25686579" w:rsidR="004B2B7B" w:rsidRDefault="006D017A">
          <w:pPr>
            <w:pStyle w:val="TOC1"/>
            <w:rPr>
              <w:rFonts w:asciiTheme="minorHAnsi" w:eastAsiaTheme="minorEastAsia" w:hAnsiTheme="minorHAnsi"/>
              <w:b w:val="0"/>
              <w:noProof/>
              <w:lang w:eastAsia="en-AU"/>
            </w:rPr>
          </w:pPr>
          <w:hyperlink w:anchor="_Toc40179137" w:history="1">
            <w:r w:rsidR="004B2B7B" w:rsidRPr="00186683">
              <w:rPr>
                <w:rStyle w:val="Hyperlink"/>
                <w:noProof/>
              </w:rPr>
              <w:t>Part B</w:t>
            </w:r>
            <w:r w:rsidR="004B2B7B">
              <w:rPr>
                <w:noProof/>
                <w:webHidden/>
              </w:rPr>
              <w:tab/>
            </w:r>
            <w:r w:rsidR="004B2B7B">
              <w:rPr>
                <w:noProof/>
                <w:webHidden/>
              </w:rPr>
              <w:fldChar w:fldCharType="begin"/>
            </w:r>
            <w:r w:rsidR="004B2B7B">
              <w:rPr>
                <w:noProof/>
                <w:webHidden/>
              </w:rPr>
              <w:instrText xml:space="preserve"> PAGEREF _Toc40179137 \h </w:instrText>
            </w:r>
            <w:r w:rsidR="004B2B7B">
              <w:rPr>
                <w:noProof/>
                <w:webHidden/>
              </w:rPr>
            </w:r>
            <w:r w:rsidR="004B2B7B">
              <w:rPr>
                <w:noProof/>
                <w:webHidden/>
              </w:rPr>
              <w:fldChar w:fldCharType="separate"/>
            </w:r>
            <w:r w:rsidR="004B2B7B">
              <w:rPr>
                <w:noProof/>
                <w:webHidden/>
              </w:rPr>
              <w:t>15</w:t>
            </w:r>
            <w:r w:rsidR="004B2B7B">
              <w:rPr>
                <w:noProof/>
                <w:webHidden/>
              </w:rPr>
              <w:fldChar w:fldCharType="end"/>
            </w:r>
          </w:hyperlink>
        </w:p>
        <w:p w14:paraId="00E67B26" w14:textId="275D3FA9" w:rsidR="004B2B7B" w:rsidRPr="004B2B7B" w:rsidRDefault="006D017A">
          <w:pPr>
            <w:pStyle w:val="TOC2"/>
            <w:tabs>
              <w:tab w:val="left" w:pos="660"/>
            </w:tabs>
            <w:rPr>
              <w:rFonts w:eastAsiaTheme="minorEastAsia"/>
              <w:noProof/>
              <w:lang w:eastAsia="en-AU"/>
            </w:rPr>
          </w:pPr>
          <w:hyperlink w:anchor="_Toc40179138" w:history="1">
            <w:r w:rsidR="004B2B7B" w:rsidRPr="004B2B7B">
              <w:rPr>
                <w:rStyle w:val="Hyperlink"/>
                <w:noProof/>
              </w:rPr>
              <w:t>11.</w:t>
            </w:r>
            <w:r w:rsidR="004B2B7B" w:rsidRPr="004B2B7B">
              <w:rPr>
                <w:rFonts w:eastAsiaTheme="minorEastAsia"/>
                <w:noProof/>
                <w:lang w:eastAsia="en-AU"/>
              </w:rPr>
              <w:tab/>
            </w:r>
            <w:r w:rsidR="004B2B7B" w:rsidRPr="004B2B7B">
              <w:rPr>
                <w:rStyle w:val="Hyperlink"/>
                <w:noProof/>
              </w:rPr>
              <w:t>Financial Penalties and Income Support Payment Suspensions by Gender</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_Toc40179138 \h </w:instrText>
            </w:r>
            <w:r w:rsidR="004B2B7B" w:rsidRPr="004B2B7B">
              <w:rPr>
                <w:noProof/>
                <w:webHidden/>
              </w:rPr>
            </w:r>
            <w:r w:rsidR="004B2B7B" w:rsidRPr="004B2B7B">
              <w:rPr>
                <w:noProof/>
                <w:webHidden/>
              </w:rPr>
              <w:fldChar w:fldCharType="separate"/>
            </w:r>
            <w:r w:rsidR="004B2B7B" w:rsidRPr="004B2B7B">
              <w:rPr>
                <w:noProof/>
                <w:webHidden/>
              </w:rPr>
              <w:t>15</w:t>
            </w:r>
            <w:r w:rsidR="004B2B7B" w:rsidRPr="004B2B7B">
              <w:rPr>
                <w:noProof/>
                <w:webHidden/>
              </w:rPr>
              <w:fldChar w:fldCharType="end"/>
            </w:r>
          </w:hyperlink>
        </w:p>
        <w:p w14:paraId="250F1CAD" w14:textId="23A3E00F" w:rsidR="004B2B7B" w:rsidRPr="004B2B7B" w:rsidRDefault="006D017A">
          <w:pPr>
            <w:pStyle w:val="TOC3"/>
            <w:tabs>
              <w:tab w:val="left" w:pos="660"/>
            </w:tabs>
            <w:rPr>
              <w:rFonts w:eastAsiaTheme="minorEastAsia"/>
              <w:noProof/>
              <w:lang w:eastAsia="en-AU"/>
            </w:rPr>
          </w:pPr>
          <w:hyperlink w:anchor="_Toc40179139" w:history="1">
            <w:r w:rsidR="004B2B7B" w:rsidRPr="004B2B7B">
              <w:rPr>
                <w:rStyle w:val="Hyperlink"/>
                <w:rFonts w:cs="Arial"/>
                <w:noProof/>
              </w:rPr>
              <w:t xml:space="preserve">11a. </w:t>
            </w:r>
            <w:r w:rsidR="004B2B7B" w:rsidRPr="004B2B7B">
              <w:rPr>
                <w:rFonts w:eastAsiaTheme="minorEastAsia"/>
                <w:noProof/>
                <w:lang w:eastAsia="en-AU"/>
              </w:rPr>
              <w:tab/>
            </w:r>
            <w:r w:rsidR="004B2B7B" w:rsidRPr="004B2B7B">
              <w:rPr>
                <w:rStyle w:val="Hyperlink"/>
                <w:rFonts w:cs="Arial"/>
                <w:noProof/>
              </w:rPr>
              <w:t>Non Payment Periods (Serious and UNPPs)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_Toc40179139 \h </w:instrText>
            </w:r>
            <w:r w:rsidR="004B2B7B" w:rsidRPr="004B2B7B">
              <w:rPr>
                <w:noProof/>
                <w:webHidden/>
              </w:rPr>
            </w:r>
            <w:r w:rsidR="004B2B7B" w:rsidRPr="004B2B7B">
              <w:rPr>
                <w:noProof/>
                <w:webHidden/>
              </w:rPr>
              <w:fldChar w:fldCharType="separate"/>
            </w:r>
            <w:r w:rsidR="004B2B7B" w:rsidRPr="004B2B7B">
              <w:rPr>
                <w:noProof/>
                <w:webHidden/>
              </w:rPr>
              <w:t>15</w:t>
            </w:r>
            <w:r w:rsidR="004B2B7B" w:rsidRPr="004B2B7B">
              <w:rPr>
                <w:noProof/>
                <w:webHidden/>
              </w:rPr>
              <w:fldChar w:fldCharType="end"/>
            </w:r>
          </w:hyperlink>
        </w:p>
        <w:p w14:paraId="4FCBD158" w14:textId="44FA9683" w:rsidR="004B2B7B" w:rsidRPr="004B2B7B" w:rsidRDefault="006D017A">
          <w:pPr>
            <w:pStyle w:val="TOC3"/>
            <w:tabs>
              <w:tab w:val="left" w:pos="660"/>
            </w:tabs>
            <w:rPr>
              <w:rFonts w:eastAsiaTheme="minorEastAsia"/>
              <w:noProof/>
              <w:lang w:eastAsia="en-AU"/>
            </w:rPr>
          </w:pPr>
          <w:hyperlink w:anchor="_Toc40179140" w:history="1">
            <w:r w:rsidR="004B2B7B" w:rsidRPr="004B2B7B">
              <w:rPr>
                <w:rStyle w:val="Hyperlink"/>
                <w:rFonts w:cs="Arial"/>
                <w:noProof/>
              </w:rPr>
              <w:t xml:space="preserve">11b. </w:t>
            </w:r>
            <w:r w:rsidR="004B2B7B" w:rsidRPr="004B2B7B">
              <w:rPr>
                <w:rFonts w:eastAsiaTheme="minorEastAsia"/>
                <w:noProof/>
                <w:lang w:eastAsia="en-AU"/>
              </w:rPr>
              <w:tab/>
            </w:r>
            <w:r w:rsidR="004B2B7B" w:rsidRPr="004B2B7B">
              <w:rPr>
                <w:rStyle w:val="Hyperlink"/>
                <w:rFonts w:cs="Arial"/>
                <w:noProof/>
              </w:rPr>
              <w:t>Short Term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_Toc40179140 \h </w:instrText>
            </w:r>
            <w:r w:rsidR="004B2B7B" w:rsidRPr="004B2B7B">
              <w:rPr>
                <w:noProof/>
                <w:webHidden/>
              </w:rPr>
            </w:r>
            <w:r w:rsidR="004B2B7B" w:rsidRPr="004B2B7B">
              <w:rPr>
                <w:noProof/>
                <w:webHidden/>
              </w:rPr>
              <w:fldChar w:fldCharType="separate"/>
            </w:r>
            <w:r w:rsidR="004B2B7B" w:rsidRPr="004B2B7B">
              <w:rPr>
                <w:noProof/>
                <w:webHidden/>
              </w:rPr>
              <w:t>15</w:t>
            </w:r>
            <w:r w:rsidR="004B2B7B" w:rsidRPr="004B2B7B">
              <w:rPr>
                <w:noProof/>
                <w:webHidden/>
              </w:rPr>
              <w:fldChar w:fldCharType="end"/>
            </w:r>
          </w:hyperlink>
        </w:p>
        <w:p w14:paraId="592B00A9" w14:textId="0796FFA6" w:rsidR="004B2B7B" w:rsidRPr="004B2B7B" w:rsidRDefault="006D017A">
          <w:pPr>
            <w:pStyle w:val="TOC3"/>
            <w:tabs>
              <w:tab w:val="left" w:pos="660"/>
            </w:tabs>
            <w:rPr>
              <w:rFonts w:eastAsiaTheme="minorEastAsia"/>
              <w:noProof/>
              <w:lang w:eastAsia="en-AU"/>
            </w:rPr>
          </w:pPr>
          <w:hyperlink w:anchor="_Toc40179141" w:history="1">
            <w:r w:rsidR="004B2B7B" w:rsidRPr="004B2B7B">
              <w:rPr>
                <w:rStyle w:val="Hyperlink"/>
                <w:rFonts w:cs="Arial"/>
                <w:noProof/>
              </w:rPr>
              <w:t>11c</w:t>
            </w:r>
            <w:r w:rsidR="004B2B7B" w:rsidRPr="004B2B7B">
              <w:rPr>
                <w:rStyle w:val="Hyperlink"/>
                <w:noProof/>
              </w:rPr>
              <w:t xml:space="preserve">. </w:t>
            </w:r>
            <w:r w:rsidR="004B2B7B" w:rsidRPr="004B2B7B">
              <w:rPr>
                <w:rFonts w:eastAsiaTheme="minorEastAsia"/>
                <w:noProof/>
                <w:lang w:eastAsia="en-AU"/>
              </w:rPr>
              <w:tab/>
            </w:r>
            <w:r w:rsidR="004B2B7B" w:rsidRPr="004B2B7B">
              <w:rPr>
                <w:rStyle w:val="Hyperlink"/>
                <w:rFonts w:cs="Arial"/>
                <w:noProof/>
              </w:rPr>
              <w:t>Total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_Toc40179141 \h </w:instrText>
            </w:r>
            <w:r w:rsidR="004B2B7B" w:rsidRPr="004B2B7B">
              <w:rPr>
                <w:noProof/>
                <w:webHidden/>
              </w:rPr>
            </w:r>
            <w:r w:rsidR="004B2B7B" w:rsidRPr="004B2B7B">
              <w:rPr>
                <w:noProof/>
                <w:webHidden/>
              </w:rPr>
              <w:fldChar w:fldCharType="separate"/>
            </w:r>
            <w:r w:rsidR="004B2B7B" w:rsidRPr="004B2B7B">
              <w:rPr>
                <w:noProof/>
                <w:webHidden/>
              </w:rPr>
              <w:t>15</w:t>
            </w:r>
            <w:r w:rsidR="004B2B7B" w:rsidRPr="004B2B7B">
              <w:rPr>
                <w:noProof/>
                <w:webHidden/>
              </w:rPr>
              <w:fldChar w:fldCharType="end"/>
            </w:r>
          </w:hyperlink>
        </w:p>
        <w:p w14:paraId="61C533E7" w14:textId="2707A716" w:rsidR="004B2B7B" w:rsidRPr="004B2B7B" w:rsidRDefault="006D017A">
          <w:pPr>
            <w:pStyle w:val="TOC3"/>
            <w:tabs>
              <w:tab w:val="left" w:pos="660"/>
            </w:tabs>
            <w:rPr>
              <w:rFonts w:eastAsiaTheme="minorEastAsia"/>
              <w:noProof/>
              <w:lang w:eastAsia="en-AU"/>
            </w:rPr>
          </w:pPr>
          <w:hyperlink w:anchor="_Toc40179142" w:history="1">
            <w:r w:rsidR="004B2B7B" w:rsidRPr="004B2B7B">
              <w:rPr>
                <w:rStyle w:val="Hyperlink"/>
                <w:rFonts w:cs="Arial"/>
                <w:noProof/>
              </w:rPr>
              <w:t xml:space="preserve">11d. </w:t>
            </w:r>
            <w:r w:rsidR="004B2B7B" w:rsidRPr="004B2B7B">
              <w:rPr>
                <w:rFonts w:eastAsiaTheme="minorEastAsia"/>
                <w:noProof/>
                <w:lang w:eastAsia="en-AU"/>
              </w:rPr>
              <w:tab/>
            </w:r>
            <w:r w:rsidR="004B2B7B" w:rsidRPr="004B2B7B">
              <w:rPr>
                <w:rStyle w:val="Hyperlink"/>
                <w:rFonts w:cs="Arial"/>
                <w:noProof/>
              </w:rPr>
              <w:t>Income Support Payment Suspensions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_Toc40179142 \h </w:instrText>
            </w:r>
            <w:r w:rsidR="004B2B7B" w:rsidRPr="004B2B7B">
              <w:rPr>
                <w:noProof/>
                <w:webHidden/>
              </w:rPr>
            </w:r>
            <w:r w:rsidR="004B2B7B" w:rsidRPr="004B2B7B">
              <w:rPr>
                <w:noProof/>
                <w:webHidden/>
              </w:rPr>
              <w:fldChar w:fldCharType="separate"/>
            </w:r>
            <w:r w:rsidR="004B2B7B" w:rsidRPr="004B2B7B">
              <w:rPr>
                <w:noProof/>
                <w:webHidden/>
              </w:rPr>
              <w:t>16</w:t>
            </w:r>
            <w:r w:rsidR="004B2B7B" w:rsidRPr="004B2B7B">
              <w:rPr>
                <w:noProof/>
                <w:webHidden/>
              </w:rPr>
              <w:fldChar w:fldCharType="end"/>
            </w:r>
          </w:hyperlink>
        </w:p>
        <w:p w14:paraId="6564FCF5" w14:textId="6B3496FC" w:rsidR="004B2B7B" w:rsidRPr="004B2B7B" w:rsidRDefault="006D017A">
          <w:pPr>
            <w:pStyle w:val="TOC2"/>
            <w:tabs>
              <w:tab w:val="left" w:pos="660"/>
            </w:tabs>
            <w:rPr>
              <w:rFonts w:eastAsiaTheme="minorEastAsia"/>
              <w:noProof/>
              <w:lang w:eastAsia="en-AU"/>
            </w:rPr>
          </w:pPr>
          <w:hyperlink w:anchor="_Toc40179143" w:history="1">
            <w:r w:rsidR="004B2B7B" w:rsidRPr="004B2B7B">
              <w:rPr>
                <w:rStyle w:val="Hyperlink"/>
                <w:noProof/>
              </w:rPr>
              <w:t>12.</w:t>
            </w:r>
            <w:r w:rsidR="004B2B7B" w:rsidRPr="004B2B7B">
              <w:rPr>
                <w:rFonts w:eastAsiaTheme="minorEastAsia"/>
                <w:noProof/>
                <w:lang w:eastAsia="en-AU"/>
              </w:rPr>
              <w:tab/>
            </w:r>
            <w:r w:rsidR="004B2B7B" w:rsidRPr="004B2B7B">
              <w:rPr>
                <w:rStyle w:val="Hyperlink"/>
                <w:noProof/>
              </w:rPr>
              <w:t>Financial Penalties and Income Support Payment Suspensions by Indigenous Status</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_Toc40179143 \h </w:instrText>
            </w:r>
            <w:r w:rsidR="004B2B7B" w:rsidRPr="004B2B7B">
              <w:rPr>
                <w:noProof/>
                <w:webHidden/>
              </w:rPr>
            </w:r>
            <w:r w:rsidR="004B2B7B" w:rsidRPr="004B2B7B">
              <w:rPr>
                <w:noProof/>
                <w:webHidden/>
              </w:rPr>
              <w:fldChar w:fldCharType="separate"/>
            </w:r>
            <w:r w:rsidR="004B2B7B" w:rsidRPr="004B2B7B">
              <w:rPr>
                <w:noProof/>
                <w:webHidden/>
              </w:rPr>
              <w:t>16</w:t>
            </w:r>
            <w:r w:rsidR="004B2B7B" w:rsidRPr="004B2B7B">
              <w:rPr>
                <w:noProof/>
                <w:webHidden/>
              </w:rPr>
              <w:fldChar w:fldCharType="end"/>
            </w:r>
          </w:hyperlink>
        </w:p>
        <w:p w14:paraId="6E492D40" w14:textId="534C581D" w:rsidR="004B2B7B" w:rsidRPr="004B2B7B" w:rsidRDefault="006D017A">
          <w:pPr>
            <w:pStyle w:val="TOC3"/>
            <w:tabs>
              <w:tab w:val="left" w:pos="660"/>
            </w:tabs>
            <w:rPr>
              <w:rFonts w:eastAsiaTheme="minorEastAsia"/>
              <w:noProof/>
              <w:lang w:eastAsia="en-AU"/>
            </w:rPr>
          </w:pPr>
          <w:hyperlink w:anchor="_Toc40179144" w:history="1">
            <w:r w:rsidR="004B2B7B" w:rsidRPr="004B2B7B">
              <w:rPr>
                <w:rStyle w:val="Hyperlink"/>
                <w:rFonts w:cs="Arial"/>
                <w:noProof/>
              </w:rPr>
              <w:t xml:space="preserve">12a. </w:t>
            </w:r>
            <w:r w:rsidR="004B2B7B" w:rsidRPr="004B2B7B">
              <w:rPr>
                <w:rFonts w:eastAsiaTheme="minorEastAsia"/>
                <w:noProof/>
                <w:lang w:eastAsia="en-AU"/>
              </w:rPr>
              <w:tab/>
            </w:r>
            <w:r w:rsidR="004B2B7B" w:rsidRPr="004B2B7B">
              <w:rPr>
                <w:rStyle w:val="Hyperlink"/>
                <w:rFonts w:cs="Arial"/>
                <w:noProof/>
              </w:rPr>
              <w:t>Non Payment Periods (Serious and UNPPs)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_Toc40179144 \h </w:instrText>
            </w:r>
            <w:r w:rsidR="004B2B7B" w:rsidRPr="004B2B7B">
              <w:rPr>
                <w:noProof/>
                <w:webHidden/>
              </w:rPr>
            </w:r>
            <w:r w:rsidR="004B2B7B" w:rsidRPr="004B2B7B">
              <w:rPr>
                <w:noProof/>
                <w:webHidden/>
              </w:rPr>
              <w:fldChar w:fldCharType="separate"/>
            </w:r>
            <w:r w:rsidR="004B2B7B" w:rsidRPr="004B2B7B">
              <w:rPr>
                <w:noProof/>
                <w:webHidden/>
              </w:rPr>
              <w:t>16</w:t>
            </w:r>
            <w:r w:rsidR="004B2B7B" w:rsidRPr="004B2B7B">
              <w:rPr>
                <w:noProof/>
                <w:webHidden/>
              </w:rPr>
              <w:fldChar w:fldCharType="end"/>
            </w:r>
          </w:hyperlink>
        </w:p>
        <w:p w14:paraId="0859DFD2" w14:textId="45D3FC7C" w:rsidR="004B2B7B" w:rsidRPr="004B2B7B" w:rsidRDefault="006D017A">
          <w:pPr>
            <w:pStyle w:val="TOC3"/>
            <w:tabs>
              <w:tab w:val="left" w:pos="660"/>
            </w:tabs>
            <w:rPr>
              <w:rFonts w:eastAsiaTheme="minorEastAsia"/>
              <w:noProof/>
              <w:lang w:eastAsia="en-AU"/>
            </w:rPr>
          </w:pPr>
          <w:hyperlink w:anchor="_Toc40179145" w:history="1">
            <w:r w:rsidR="004B2B7B" w:rsidRPr="004B2B7B">
              <w:rPr>
                <w:rStyle w:val="Hyperlink"/>
                <w:rFonts w:cs="Arial"/>
                <w:noProof/>
              </w:rPr>
              <w:t xml:space="preserve">12b. </w:t>
            </w:r>
            <w:r w:rsidR="004B2B7B" w:rsidRPr="004B2B7B">
              <w:rPr>
                <w:rFonts w:eastAsiaTheme="minorEastAsia"/>
                <w:noProof/>
                <w:lang w:eastAsia="en-AU"/>
              </w:rPr>
              <w:tab/>
            </w:r>
            <w:r w:rsidR="004B2B7B" w:rsidRPr="004B2B7B">
              <w:rPr>
                <w:rStyle w:val="Hyperlink"/>
                <w:rFonts w:cs="Arial"/>
                <w:noProof/>
              </w:rPr>
              <w:t>Short Term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_Toc40179145 \h </w:instrText>
            </w:r>
            <w:r w:rsidR="004B2B7B" w:rsidRPr="004B2B7B">
              <w:rPr>
                <w:noProof/>
                <w:webHidden/>
              </w:rPr>
            </w:r>
            <w:r w:rsidR="004B2B7B" w:rsidRPr="004B2B7B">
              <w:rPr>
                <w:noProof/>
                <w:webHidden/>
              </w:rPr>
              <w:fldChar w:fldCharType="separate"/>
            </w:r>
            <w:r w:rsidR="004B2B7B" w:rsidRPr="004B2B7B">
              <w:rPr>
                <w:noProof/>
                <w:webHidden/>
              </w:rPr>
              <w:t>16</w:t>
            </w:r>
            <w:r w:rsidR="004B2B7B" w:rsidRPr="004B2B7B">
              <w:rPr>
                <w:noProof/>
                <w:webHidden/>
              </w:rPr>
              <w:fldChar w:fldCharType="end"/>
            </w:r>
          </w:hyperlink>
        </w:p>
        <w:p w14:paraId="7AEC4098" w14:textId="553C7304" w:rsidR="004B2B7B" w:rsidRPr="004B2B7B" w:rsidRDefault="006D017A">
          <w:pPr>
            <w:pStyle w:val="TOC3"/>
            <w:tabs>
              <w:tab w:val="left" w:pos="660"/>
            </w:tabs>
            <w:rPr>
              <w:rFonts w:eastAsiaTheme="minorEastAsia"/>
              <w:noProof/>
              <w:lang w:eastAsia="en-AU"/>
            </w:rPr>
          </w:pPr>
          <w:hyperlink w:anchor="_Toc40179146" w:history="1">
            <w:r w:rsidR="004B2B7B" w:rsidRPr="004B2B7B">
              <w:rPr>
                <w:rStyle w:val="Hyperlink"/>
                <w:rFonts w:cs="Arial"/>
                <w:noProof/>
              </w:rPr>
              <w:t xml:space="preserve">12c. </w:t>
            </w:r>
            <w:r w:rsidR="004B2B7B" w:rsidRPr="004B2B7B">
              <w:rPr>
                <w:rFonts w:eastAsiaTheme="minorEastAsia"/>
                <w:noProof/>
                <w:lang w:eastAsia="en-AU"/>
              </w:rPr>
              <w:tab/>
            </w:r>
            <w:r w:rsidR="004B2B7B" w:rsidRPr="004B2B7B">
              <w:rPr>
                <w:rStyle w:val="Hyperlink"/>
                <w:rFonts w:cs="Arial"/>
                <w:noProof/>
              </w:rPr>
              <w:t>Total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_Toc40179146 \h </w:instrText>
            </w:r>
            <w:r w:rsidR="004B2B7B" w:rsidRPr="004B2B7B">
              <w:rPr>
                <w:noProof/>
                <w:webHidden/>
              </w:rPr>
            </w:r>
            <w:r w:rsidR="004B2B7B" w:rsidRPr="004B2B7B">
              <w:rPr>
                <w:noProof/>
                <w:webHidden/>
              </w:rPr>
              <w:fldChar w:fldCharType="separate"/>
            </w:r>
            <w:r w:rsidR="004B2B7B" w:rsidRPr="004B2B7B">
              <w:rPr>
                <w:noProof/>
                <w:webHidden/>
              </w:rPr>
              <w:t>17</w:t>
            </w:r>
            <w:r w:rsidR="004B2B7B" w:rsidRPr="004B2B7B">
              <w:rPr>
                <w:noProof/>
                <w:webHidden/>
              </w:rPr>
              <w:fldChar w:fldCharType="end"/>
            </w:r>
          </w:hyperlink>
        </w:p>
        <w:p w14:paraId="54770818" w14:textId="49D2D29C" w:rsidR="004B2B7B" w:rsidRPr="004B2B7B" w:rsidRDefault="006D017A">
          <w:pPr>
            <w:pStyle w:val="TOC3"/>
            <w:tabs>
              <w:tab w:val="left" w:pos="660"/>
            </w:tabs>
            <w:rPr>
              <w:rFonts w:eastAsiaTheme="minorEastAsia"/>
              <w:noProof/>
              <w:lang w:eastAsia="en-AU"/>
            </w:rPr>
          </w:pPr>
          <w:hyperlink w:anchor="_Toc40179147" w:history="1">
            <w:r w:rsidR="004B2B7B" w:rsidRPr="004B2B7B">
              <w:rPr>
                <w:rStyle w:val="Hyperlink"/>
                <w:rFonts w:cs="Arial"/>
                <w:noProof/>
              </w:rPr>
              <w:t xml:space="preserve">12d. </w:t>
            </w:r>
            <w:r w:rsidR="004B2B7B" w:rsidRPr="004B2B7B">
              <w:rPr>
                <w:rFonts w:eastAsiaTheme="minorEastAsia"/>
                <w:noProof/>
                <w:lang w:eastAsia="en-AU"/>
              </w:rPr>
              <w:tab/>
            </w:r>
            <w:r w:rsidR="004B2B7B" w:rsidRPr="004B2B7B">
              <w:rPr>
                <w:rStyle w:val="Hyperlink"/>
                <w:rFonts w:cs="Arial"/>
                <w:noProof/>
              </w:rPr>
              <w:t>Income Support Payment Suspensions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_Toc40179147 \h </w:instrText>
            </w:r>
            <w:r w:rsidR="004B2B7B" w:rsidRPr="004B2B7B">
              <w:rPr>
                <w:noProof/>
                <w:webHidden/>
              </w:rPr>
            </w:r>
            <w:r w:rsidR="004B2B7B" w:rsidRPr="004B2B7B">
              <w:rPr>
                <w:noProof/>
                <w:webHidden/>
              </w:rPr>
              <w:fldChar w:fldCharType="separate"/>
            </w:r>
            <w:r w:rsidR="004B2B7B" w:rsidRPr="004B2B7B">
              <w:rPr>
                <w:noProof/>
                <w:webHidden/>
              </w:rPr>
              <w:t>17</w:t>
            </w:r>
            <w:r w:rsidR="004B2B7B" w:rsidRPr="004B2B7B">
              <w:rPr>
                <w:noProof/>
                <w:webHidden/>
              </w:rPr>
              <w:fldChar w:fldCharType="end"/>
            </w:r>
          </w:hyperlink>
        </w:p>
        <w:p w14:paraId="757E6ABD" w14:textId="1406574B" w:rsidR="004B2B7B" w:rsidRPr="004B2B7B" w:rsidRDefault="006D017A">
          <w:pPr>
            <w:pStyle w:val="TOC2"/>
            <w:tabs>
              <w:tab w:val="left" w:pos="660"/>
            </w:tabs>
            <w:rPr>
              <w:rFonts w:eastAsiaTheme="minorEastAsia"/>
              <w:noProof/>
              <w:lang w:eastAsia="en-AU"/>
            </w:rPr>
          </w:pPr>
          <w:hyperlink w:anchor="_Toc40179148" w:history="1">
            <w:r w:rsidR="004B2B7B" w:rsidRPr="004B2B7B">
              <w:rPr>
                <w:rStyle w:val="Hyperlink"/>
                <w:noProof/>
              </w:rPr>
              <w:t>13.</w:t>
            </w:r>
            <w:r w:rsidR="004B2B7B" w:rsidRPr="004B2B7B">
              <w:rPr>
                <w:rFonts w:eastAsiaTheme="minorEastAsia"/>
                <w:noProof/>
                <w:lang w:eastAsia="en-AU"/>
              </w:rPr>
              <w:tab/>
            </w:r>
            <w:r w:rsidR="004B2B7B" w:rsidRPr="004B2B7B">
              <w:rPr>
                <w:rStyle w:val="Hyperlink"/>
                <w:noProof/>
              </w:rPr>
              <w:t>Financial Penalties and Income Support Payment Suspensions by Age Group</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_Toc40179148 \h </w:instrText>
            </w:r>
            <w:r w:rsidR="004B2B7B" w:rsidRPr="004B2B7B">
              <w:rPr>
                <w:noProof/>
                <w:webHidden/>
              </w:rPr>
            </w:r>
            <w:r w:rsidR="004B2B7B" w:rsidRPr="004B2B7B">
              <w:rPr>
                <w:noProof/>
                <w:webHidden/>
              </w:rPr>
              <w:fldChar w:fldCharType="separate"/>
            </w:r>
            <w:r w:rsidR="004B2B7B" w:rsidRPr="004B2B7B">
              <w:rPr>
                <w:noProof/>
                <w:webHidden/>
              </w:rPr>
              <w:t>18</w:t>
            </w:r>
            <w:r w:rsidR="004B2B7B" w:rsidRPr="004B2B7B">
              <w:rPr>
                <w:noProof/>
                <w:webHidden/>
              </w:rPr>
              <w:fldChar w:fldCharType="end"/>
            </w:r>
          </w:hyperlink>
        </w:p>
        <w:p w14:paraId="0DD1D5B1" w14:textId="1CB03133" w:rsidR="004B2B7B" w:rsidRPr="004B2B7B" w:rsidRDefault="006D017A">
          <w:pPr>
            <w:pStyle w:val="TOC3"/>
            <w:tabs>
              <w:tab w:val="left" w:pos="660"/>
            </w:tabs>
            <w:rPr>
              <w:rFonts w:eastAsiaTheme="minorEastAsia"/>
              <w:noProof/>
              <w:lang w:eastAsia="en-AU"/>
            </w:rPr>
          </w:pPr>
          <w:hyperlink w:anchor="_Toc40179149" w:history="1">
            <w:r w:rsidR="004B2B7B" w:rsidRPr="004B2B7B">
              <w:rPr>
                <w:rStyle w:val="Hyperlink"/>
                <w:rFonts w:cs="Arial"/>
                <w:noProof/>
              </w:rPr>
              <w:t xml:space="preserve">13a. </w:t>
            </w:r>
            <w:r w:rsidR="004B2B7B" w:rsidRPr="004B2B7B">
              <w:rPr>
                <w:rFonts w:eastAsiaTheme="minorEastAsia"/>
                <w:noProof/>
                <w:lang w:eastAsia="en-AU"/>
              </w:rPr>
              <w:tab/>
            </w:r>
            <w:r w:rsidR="004B2B7B" w:rsidRPr="004B2B7B">
              <w:rPr>
                <w:rStyle w:val="Hyperlink"/>
                <w:rFonts w:cs="Arial"/>
                <w:noProof/>
              </w:rPr>
              <w:t>Non Payment Periods (Serious and UNPPs)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_Toc40179149 \h </w:instrText>
            </w:r>
            <w:r w:rsidR="004B2B7B" w:rsidRPr="004B2B7B">
              <w:rPr>
                <w:noProof/>
                <w:webHidden/>
              </w:rPr>
            </w:r>
            <w:r w:rsidR="004B2B7B" w:rsidRPr="004B2B7B">
              <w:rPr>
                <w:noProof/>
                <w:webHidden/>
              </w:rPr>
              <w:fldChar w:fldCharType="separate"/>
            </w:r>
            <w:r w:rsidR="004B2B7B" w:rsidRPr="004B2B7B">
              <w:rPr>
                <w:noProof/>
                <w:webHidden/>
              </w:rPr>
              <w:t>18</w:t>
            </w:r>
            <w:r w:rsidR="004B2B7B" w:rsidRPr="004B2B7B">
              <w:rPr>
                <w:noProof/>
                <w:webHidden/>
              </w:rPr>
              <w:fldChar w:fldCharType="end"/>
            </w:r>
          </w:hyperlink>
        </w:p>
        <w:p w14:paraId="45FF92AF" w14:textId="7CBD6AE0" w:rsidR="004B2B7B" w:rsidRPr="004B2B7B" w:rsidRDefault="006D017A">
          <w:pPr>
            <w:pStyle w:val="TOC3"/>
            <w:tabs>
              <w:tab w:val="left" w:pos="660"/>
            </w:tabs>
            <w:rPr>
              <w:rFonts w:eastAsiaTheme="minorEastAsia"/>
              <w:noProof/>
              <w:lang w:eastAsia="en-AU"/>
            </w:rPr>
          </w:pPr>
          <w:hyperlink w:anchor="_Toc40179150" w:history="1">
            <w:r w:rsidR="004B2B7B" w:rsidRPr="004B2B7B">
              <w:rPr>
                <w:rStyle w:val="Hyperlink"/>
                <w:rFonts w:cs="Arial"/>
                <w:noProof/>
              </w:rPr>
              <w:t xml:space="preserve">13b. </w:t>
            </w:r>
            <w:r w:rsidR="004B2B7B" w:rsidRPr="004B2B7B">
              <w:rPr>
                <w:rFonts w:eastAsiaTheme="minorEastAsia"/>
                <w:noProof/>
                <w:lang w:eastAsia="en-AU"/>
              </w:rPr>
              <w:tab/>
            </w:r>
            <w:r w:rsidR="004B2B7B" w:rsidRPr="004B2B7B">
              <w:rPr>
                <w:rStyle w:val="Hyperlink"/>
                <w:rFonts w:cs="Arial"/>
                <w:noProof/>
              </w:rPr>
              <w:t>Short Term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_Toc40179150 \h </w:instrText>
            </w:r>
            <w:r w:rsidR="004B2B7B" w:rsidRPr="004B2B7B">
              <w:rPr>
                <w:noProof/>
                <w:webHidden/>
              </w:rPr>
            </w:r>
            <w:r w:rsidR="004B2B7B" w:rsidRPr="004B2B7B">
              <w:rPr>
                <w:noProof/>
                <w:webHidden/>
              </w:rPr>
              <w:fldChar w:fldCharType="separate"/>
            </w:r>
            <w:r w:rsidR="004B2B7B" w:rsidRPr="004B2B7B">
              <w:rPr>
                <w:noProof/>
                <w:webHidden/>
              </w:rPr>
              <w:t>18</w:t>
            </w:r>
            <w:r w:rsidR="004B2B7B" w:rsidRPr="004B2B7B">
              <w:rPr>
                <w:noProof/>
                <w:webHidden/>
              </w:rPr>
              <w:fldChar w:fldCharType="end"/>
            </w:r>
          </w:hyperlink>
        </w:p>
        <w:p w14:paraId="78AB23EE" w14:textId="7C20F7D0" w:rsidR="004B2B7B" w:rsidRPr="004B2B7B" w:rsidRDefault="006D017A">
          <w:pPr>
            <w:pStyle w:val="TOC3"/>
            <w:tabs>
              <w:tab w:val="left" w:pos="660"/>
            </w:tabs>
            <w:rPr>
              <w:rFonts w:eastAsiaTheme="minorEastAsia"/>
              <w:noProof/>
              <w:lang w:eastAsia="en-AU"/>
            </w:rPr>
          </w:pPr>
          <w:hyperlink w:anchor="_Toc40179151" w:history="1">
            <w:r w:rsidR="004B2B7B" w:rsidRPr="004B2B7B">
              <w:rPr>
                <w:rStyle w:val="Hyperlink"/>
                <w:rFonts w:cs="Arial"/>
                <w:noProof/>
              </w:rPr>
              <w:t xml:space="preserve">13c. </w:t>
            </w:r>
            <w:r w:rsidR="004B2B7B" w:rsidRPr="004B2B7B">
              <w:rPr>
                <w:rFonts w:eastAsiaTheme="minorEastAsia"/>
                <w:noProof/>
                <w:lang w:eastAsia="en-AU"/>
              </w:rPr>
              <w:tab/>
            </w:r>
            <w:r w:rsidR="004B2B7B" w:rsidRPr="004B2B7B">
              <w:rPr>
                <w:rStyle w:val="Hyperlink"/>
                <w:rFonts w:cs="Arial"/>
                <w:noProof/>
              </w:rPr>
              <w:t>Total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_Toc40179151 \h </w:instrText>
            </w:r>
            <w:r w:rsidR="004B2B7B" w:rsidRPr="004B2B7B">
              <w:rPr>
                <w:noProof/>
                <w:webHidden/>
              </w:rPr>
            </w:r>
            <w:r w:rsidR="004B2B7B" w:rsidRPr="004B2B7B">
              <w:rPr>
                <w:noProof/>
                <w:webHidden/>
              </w:rPr>
              <w:fldChar w:fldCharType="separate"/>
            </w:r>
            <w:r w:rsidR="004B2B7B" w:rsidRPr="004B2B7B">
              <w:rPr>
                <w:noProof/>
                <w:webHidden/>
              </w:rPr>
              <w:t>18</w:t>
            </w:r>
            <w:r w:rsidR="004B2B7B" w:rsidRPr="004B2B7B">
              <w:rPr>
                <w:noProof/>
                <w:webHidden/>
              </w:rPr>
              <w:fldChar w:fldCharType="end"/>
            </w:r>
          </w:hyperlink>
        </w:p>
        <w:p w14:paraId="588E51ED" w14:textId="0D6AD873" w:rsidR="004B2B7B" w:rsidRPr="004B2B7B" w:rsidRDefault="006D017A">
          <w:pPr>
            <w:pStyle w:val="TOC3"/>
            <w:tabs>
              <w:tab w:val="left" w:pos="660"/>
            </w:tabs>
            <w:rPr>
              <w:rFonts w:eastAsiaTheme="minorEastAsia"/>
              <w:noProof/>
              <w:lang w:eastAsia="en-AU"/>
            </w:rPr>
          </w:pPr>
          <w:hyperlink w:anchor="_Toc40179152" w:history="1">
            <w:r w:rsidR="004B2B7B" w:rsidRPr="004B2B7B">
              <w:rPr>
                <w:rStyle w:val="Hyperlink"/>
                <w:rFonts w:cs="Arial"/>
                <w:noProof/>
              </w:rPr>
              <w:t xml:space="preserve">13d. </w:t>
            </w:r>
            <w:r w:rsidR="004B2B7B" w:rsidRPr="004B2B7B">
              <w:rPr>
                <w:rFonts w:eastAsiaTheme="minorEastAsia"/>
                <w:noProof/>
                <w:lang w:eastAsia="en-AU"/>
              </w:rPr>
              <w:tab/>
            </w:r>
            <w:r w:rsidR="004B2B7B" w:rsidRPr="004B2B7B">
              <w:rPr>
                <w:rStyle w:val="Hyperlink"/>
                <w:rFonts w:cs="Arial"/>
                <w:noProof/>
              </w:rPr>
              <w:t>Income Support Payment Suspensions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_Toc40179152 \h </w:instrText>
            </w:r>
            <w:r w:rsidR="004B2B7B" w:rsidRPr="004B2B7B">
              <w:rPr>
                <w:noProof/>
                <w:webHidden/>
              </w:rPr>
            </w:r>
            <w:r w:rsidR="004B2B7B" w:rsidRPr="004B2B7B">
              <w:rPr>
                <w:noProof/>
                <w:webHidden/>
              </w:rPr>
              <w:fldChar w:fldCharType="separate"/>
            </w:r>
            <w:r w:rsidR="004B2B7B" w:rsidRPr="004B2B7B">
              <w:rPr>
                <w:noProof/>
                <w:webHidden/>
              </w:rPr>
              <w:t>19</w:t>
            </w:r>
            <w:r w:rsidR="004B2B7B" w:rsidRPr="004B2B7B">
              <w:rPr>
                <w:noProof/>
                <w:webHidden/>
              </w:rPr>
              <w:fldChar w:fldCharType="end"/>
            </w:r>
          </w:hyperlink>
        </w:p>
        <w:p w14:paraId="66E9E3A9" w14:textId="25E3DE37" w:rsidR="004B2B7B" w:rsidRPr="004B2B7B" w:rsidRDefault="006D017A">
          <w:pPr>
            <w:pStyle w:val="TOC2"/>
            <w:tabs>
              <w:tab w:val="left" w:pos="660"/>
            </w:tabs>
            <w:rPr>
              <w:rFonts w:eastAsiaTheme="minorEastAsia"/>
              <w:noProof/>
              <w:lang w:eastAsia="en-AU"/>
            </w:rPr>
          </w:pPr>
          <w:hyperlink w:anchor="_Toc40179153" w:history="1">
            <w:r w:rsidR="004B2B7B" w:rsidRPr="004B2B7B">
              <w:rPr>
                <w:rStyle w:val="Hyperlink"/>
                <w:noProof/>
              </w:rPr>
              <w:t>14.</w:t>
            </w:r>
            <w:r w:rsidR="004B2B7B" w:rsidRPr="004B2B7B">
              <w:rPr>
                <w:rFonts w:eastAsiaTheme="minorEastAsia"/>
                <w:noProof/>
                <w:lang w:eastAsia="en-AU"/>
              </w:rPr>
              <w:tab/>
            </w:r>
            <w:r w:rsidR="004B2B7B" w:rsidRPr="004B2B7B">
              <w:rPr>
                <w:rStyle w:val="Hyperlink"/>
                <w:noProof/>
              </w:rPr>
              <w:t>Financial Penalties and Income Support Payment Suspensions by Allowance Types</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_Toc40179153 \h </w:instrText>
            </w:r>
            <w:r w:rsidR="004B2B7B" w:rsidRPr="004B2B7B">
              <w:rPr>
                <w:noProof/>
                <w:webHidden/>
              </w:rPr>
            </w:r>
            <w:r w:rsidR="004B2B7B" w:rsidRPr="004B2B7B">
              <w:rPr>
                <w:noProof/>
                <w:webHidden/>
              </w:rPr>
              <w:fldChar w:fldCharType="separate"/>
            </w:r>
            <w:r w:rsidR="004B2B7B" w:rsidRPr="004B2B7B">
              <w:rPr>
                <w:noProof/>
                <w:webHidden/>
              </w:rPr>
              <w:t>19</w:t>
            </w:r>
            <w:r w:rsidR="004B2B7B" w:rsidRPr="004B2B7B">
              <w:rPr>
                <w:noProof/>
                <w:webHidden/>
              </w:rPr>
              <w:fldChar w:fldCharType="end"/>
            </w:r>
          </w:hyperlink>
        </w:p>
        <w:p w14:paraId="35CFC02F" w14:textId="17D869EF" w:rsidR="004B2B7B" w:rsidRPr="004B2B7B" w:rsidRDefault="006D017A">
          <w:pPr>
            <w:pStyle w:val="TOC3"/>
            <w:tabs>
              <w:tab w:val="left" w:pos="660"/>
            </w:tabs>
            <w:rPr>
              <w:rFonts w:eastAsiaTheme="minorEastAsia"/>
              <w:noProof/>
              <w:lang w:eastAsia="en-AU"/>
            </w:rPr>
          </w:pPr>
          <w:hyperlink w:anchor="_Toc40179154" w:history="1">
            <w:r w:rsidR="004B2B7B" w:rsidRPr="004B2B7B">
              <w:rPr>
                <w:rStyle w:val="Hyperlink"/>
                <w:rFonts w:cs="Arial"/>
                <w:noProof/>
              </w:rPr>
              <w:t xml:space="preserve">14a. </w:t>
            </w:r>
            <w:r w:rsidR="004B2B7B" w:rsidRPr="004B2B7B">
              <w:rPr>
                <w:rFonts w:eastAsiaTheme="minorEastAsia"/>
                <w:noProof/>
                <w:lang w:eastAsia="en-AU"/>
              </w:rPr>
              <w:tab/>
            </w:r>
            <w:r w:rsidR="004B2B7B" w:rsidRPr="004B2B7B">
              <w:rPr>
                <w:rStyle w:val="Hyperlink"/>
                <w:rFonts w:cs="Arial"/>
                <w:noProof/>
              </w:rPr>
              <w:t>Non Payment Periods (Serious and UNPPs)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_Toc40179154 \h </w:instrText>
            </w:r>
            <w:r w:rsidR="004B2B7B" w:rsidRPr="004B2B7B">
              <w:rPr>
                <w:noProof/>
                <w:webHidden/>
              </w:rPr>
            </w:r>
            <w:r w:rsidR="004B2B7B" w:rsidRPr="004B2B7B">
              <w:rPr>
                <w:noProof/>
                <w:webHidden/>
              </w:rPr>
              <w:fldChar w:fldCharType="separate"/>
            </w:r>
            <w:r w:rsidR="004B2B7B" w:rsidRPr="004B2B7B">
              <w:rPr>
                <w:noProof/>
                <w:webHidden/>
              </w:rPr>
              <w:t>19</w:t>
            </w:r>
            <w:r w:rsidR="004B2B7B" w:rsidRPr="004B2B7B">
              <w:rPr>
                <w:noProof/>
                <w:webHidden/>
              </w:rPr>
              <w:fldChar w:fldCharType="end"/>
            </w:r>
          </w:hyperlink>
        </w:p>
        <w:p w14:paraId="7E0C933A" w14:textId="3AE317A0" w:rsidR="004B2B7B" w:rsidRPr="004B2B7B" w:rsidRDefault="006D017A">
          <w:pPr>
            <w:pStyle w:val="TOC3"/>
            <w:tabs>
              <w:tab w:val="left" w:pos="660"/>
            </w:tabs>
            <w:rPr>
              <w:rFonts w:eastAsiaTheme="minorEastAsia"/>
              <w:noProof/>
              <w:lang w:eastAsia="en-AU"/>
            </w:rPr>
          </w:pPr>
          <w:hyperlink w:anchor="_Toc40179155" w:history="1">
            <w:r w:rsidR="004B2B7B" w:rsidRPr="004B2B7B">
              <w:rPr>
                <w:rStyle w:val="Hyperlink"/>
                <w:rFonts w:cs="Arial"/>
                <w:noProof/>
              </w:rPr>
              <w:t xml:space="preserve">14b. </w:t>
            </w:r>
            <w:r w:rsidR="004B2B7B" w:rsidRPr="004B2B7B">
              <w:rPr>
                <w:rFonts w:eastAsiaTheme="minorEastAsia"/>
                <w:noProof/>
                <w:lang w:eastAsia="en-AU"/>
              </w:rPr>
              <w:tab/>
            </w:r>
            <w:r w:rsidR="004B2B7B" w:rsidRPr="004B2B7B">
              <w:rPr>
                <w:rStyle w:val="Hyperlink"/>
                <w:rFonts w:cs="Arial"/>
                <w:noProof/>
              </w:rPr>
              <w:t>Short Term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_Toc40179155 \h </w:instrText>
            </w:r>
            <w:r w:rsidR="004B2B7B" w:rsidRPr="004B2B7B">
              <w:rPr>
                <w:noProof/>
                <w:webHidden/>
              </w:rPr>
            </w:r>
            <w:r w:rsidR="004B2B7B" w:rsidRPr="004B2B7B">
              <w:rPr>
                <w:noProof/>
                <w:webHidden/>
              </w:rPr>
              <w:fldChar w:fldCharType="separate"/>
            </w:r>
            <w:r w:rsidR="004B2B7B" w:rsidRPr="004B2B7B">
              <w:rPr>
                <w:noProof/>
                <w:webHidden/>
              </w:rPr>
              <w:t>19</w:t>
            </w:r>
            <w:r w:rsidR="004B2B7B" w:rsidRPr="004B2B7B">
              <w:rPr>
                <w:noProof/>
                <w:webHidden/>
              </w:rPr>
              <w:fldChar w:fldCharType="end"/>
            </w:r>
          </w:hyperlink>
        </w:p>
        <w:p w14:paraId="43791533" w14:textId="232F4871" w:rsidR="004B2B7B" w:rsidRPr="004B2B7B" w:rsidRDefault="006D017A">
          <w:pPr>
            <w:pStyle w:val="TOC3"/>
            <w:tabs>
              <w:tab w:val="left" w:pos="660"/>
            </w:tabs>
            <w:rPr>
              <w:rFonts w:eastAsiaTheme="minorEastAsia"/>
              <w:noProof/>
              <w:lang w:eastAsia="en-AU"/>
            </w:rPr>
          </w:pPr>
          <w:hyperlink w:anchor="_Toc40179156" w:history="1">
            <w:r w:rsidR="004B2B7B" w:rsidRPr="004B2B7B">
              <w:rPr>
                <w:rStyle w:val="Hyperlink"/>
                <w:rFonts w:cs="Arial"/>
                <w:noProof/>
              </w:rPr>
              <w:t xml:space="preserve">14c. </w:t>
            </w:r>
            <w:r w:rsidR="004B2B7B" w:rsidRPr="004B2B7B">
              <w:rPr>
                <w:rFonts w:eastAsiaTheme="minorEastAsia"/>
                <w:noProof/>
                <w:lang w:eastAsia="en-AU"/>
              </w:rPr>
              <w:tab/>
            </w:r>
            <w:r w:rsidR="004B2B7B" w:rsidRPr="004B2B7B">
              <w:rPr>
                <w:rStyle w:val="Hyperlink"/>
                <w:rFonts w:cs="Arial"/>
                <w:noProof/>
              </w:rPr>
              <w:t>Total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_Toc40179156 \h </w:instrText>
            </w:r>
            <w:r w:rsidR="004B2B7B" w:rsidRPr="004B2B7B">
              <w:rPr>
                <w:noProof/>
                <w:webHidden/>
              </w:rPr>
            </w:r>
            <w:r w:rsidR="004B2B7B" w:rsidRPr="004B2B7B">
              <w:rPr>
                <w:noProof/>
                <w:webHidden/>
              </w:rPr>
              <w:fldChar w:fldCharType="separate"/>
            </w:r>
            <w:r w:rsidR="004B2B7B" w:rsidRPr="004B2B7B">
              <w:rPr>
                <w:noProof/>
                <w:webHidden/>
              </w:rPr>
              <w:t>20</w:t>
            </w:r>
            <w:r w:rsidR="004B2B7B" w:rsidRPr="004B2B7B">
              <w:rPr>
                <w:noProof/>
                <w:webHidden/>
              </w:rPr>
              <w:fldChar w:fldCharType="end"/>
            </w:r>
          </w:hyperlink>
        </w:p>
        <w:p w14:paraId="172F2C8E" w14:textId="4CE75E5A" w:rsidR="004B2B7B" w:rsidRPr="004B2B7B" w:rsidRDefault="006D017A">
          <w:pPr>
            <w:pStyle w:val="TOC3"/>
            <w:tabs>
              <w:tab w:val="left" w:pos="660"/>
            </w:tabs>
            <w:rPr>
              <w:rFonts w:eastAsiaTheme="minorEastAsia"/>
              <w:noProof/>
              <w:lang w:eastAsia="en-AU"/>
            </w:rPr>
          </w:pPr>
          <w:hyperlink w:anchor="_Toc40179157" w:history="1">
            <w:r w:rsidR="004B2B7B" w:rsidRPr="004B2B7B">
              <w:rPr>
                <w:rStyle w:val="Hyperlink"/>
                <w:noProof/>
              </w:rPr>
              <w:t xml:space="preserve">14d. </w:t>
            </w:r>
            <w:r w:rsidR="004B2B7B" w:rsidRPr="004B2B7B">
              <w:rPr>
                <w:rFonts w:eastAsiaTheme="minorEastAsia"/>
                <w:noProof/>
                <w:lang w:eastAsia="en-AU"/>
              </w:rPr>
              <w:tab/>
            </w:r>
            <w:r w:rsidR="004B2B7B" w:rsidRPr="004B2B7B">
              <w:rPr>
                <w:rStyle w:val="Hyperlink"/>
                <w:noProof/>
              </w:rPr>
              <w:t>Income Support Payment Suspensions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_Toc40179157 \h </w:instrText>
            </w:r>
            <w:r w:rsidR="004B2B7B" w:rsidRPr="004B2B7B">
              <w:rPr>
                <w:noProof/>
                <w:webHidden/>
              </w:rPr>
            </w:r>
            <w:r w:rsidR="004B2B7B" w:rsidRPr="004B2B7B">
              <w:rPr>
                <w:noProof/>
                <w:webHidden/>
              </w:rPr>
              <w:fldChar w:fldCharType="separate"/>
            </w:r>
            <w:r w:rsidR="004B2B7B" w:rsidRPr="004B2B7B">
              <w:rPr>
                <w:noProof/>
                <w:webHidden/>
              </w:rPr>
              <w:t>20</w:t>
            </w:r>
            <w:r w:rsidR="004B2B7B" w:rsidRPr="004B2B7B">
              <w:rPr>
                <w:noProof/>
                <w:webHidden/>
              </w:rPr>
              <w:fldChar w:fldCharType="end"/>
            </w:r>
          </w:hyperlink>
        </w:p>
        <w:p w14:paraId="07CD1410" w14:textId="0D0C803D" w:rsidR="004B2B7B" w:rsidRPr="004B2B7B" w:rsidRDefault="006D017A">
          <w:pPr>
            <w:pStyle w:val="TOC2"/>
            <w:tabs>
              <w:tab w:val="left" w:pos="660"/>
            </w:tabs>
            <w:rPr>
              <w:rFonts w:eastAsiaTheme="minorEastAsia"/>
              <w:noProof/>
              <w:lang w:eastAsia="en-AU"/>
            </w:rPr>
          </w:pPr>
          <w:hyperlink w:anchor="_Toc40179158" w:history="1">
            <w:r w:rsidR="004B2B7B" w:rsidRPr="004B2B7B">
              <w:rPr>
                <w:rStyle w:val="Hyperlink"/>
                <w:noProof/>
              </w:rPr>
              <w:t>15.</w:t>
            </w:r>
            <w:r w:rsidR="004B2B7B" w:rsidRPr="004B2B7B">
              <w:rPr>
                <w:rFonts w:eastAsiaTheme="minorEastAsia"/>
                <w:noProof/>
                <w:lang w:eastAsia="en-AU"/>
              </w:rPr>
              <w:tab/>
            </w:r>
            <w:r w:rsidR="004B2B7B" w:rsidRPr="004B2B7B">
              <w:rPr>
                <w:rStyle w:val="Hyperlink"/>
                <w:noProof/>
              </w:rPr>
              <w:t>Financial Penalties and Income Support Payment Suspensions by Employment Services</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_Toc40179158 \h </w:instrText>
            </w:r>
            <w:r w:rsidR="004B2B7B" w:rsidRPr="004B2B7B">
              <w:rPr>
                <w:noProof/>
                <w:webHidden/>
              </w:rPr>
            </w:r>
            <w:r w:rsidR="004B2B7B" w:rsidRPr="004B2B7B">
              <w:rPr>
                <w:noProof/>
                <w:webHidden/>
              </w:rPr>
              <w:fldChar w:fldCharType="separate"/>
            </w:r>
            <w:r w:rsidR="004B2B7B" w:rsidRPr="004B2B7B">
              <w:rPr>
                <w:noProof/>
                <w:webHidden/>
              </w:rPr>
              <w:t>21</w:t>
            </w:r>
            <w:r w:rsidR="004B2B7B" w:rsidRPr="004B2B7B">
              <w:rPr>
                <w:noProof/>
                <w:webHidden/>
              </w:rPr>
              <w:fldChar w:fldCharType="end"/>
            </w:r>
          </w:hyperlink>
        </w:p>
        <w:p w14:paraId="6187606F" w14:textId="0261ED2A" w:rsidR="004B2B7B" w:rsidRPr="004B2B7B" w:rsidRDefault="006D017A">
          <w:pPr>
            <w:pStyle w:val="TOC3"/>
            <w:tabs>
              <w:tab w:val="left" w:pos="660"/>
            </w:tabs>
            <w:rPr>
              <w:rFonts w:eastAsiaTheme="minorEastAsia"/>
              <w:noProof/>
              <w:lang w:eastAsia="en-AU"/>
            </w:rPr>
          </w:pPr>
          <w:hyperlink w:anchor="_Toc40179159" w:history="1">
            <w:r w:rsidR="004B2B7B" w:rsidRPr="004B2B7B">
              <w:rPr>
                <w:rStyle w:val="Hyperlink"/>
                <w:rFonts w:cs="Arial"/>
                <w:noProof/>
              </w:rPr>
              <w:t xml:space="preserve">15a. </w:t>
            </w:r>
            <w:r w:rsidR="004B2B7B" w:rsidRPr="004B2B7B">
              <w:rPr>
                <w:rFonts w:eastAsiaTheme="minorEastAsia"/>
                <w:noProof/>
                <w:lang w:eastAsia="en-AU"/>
              </w:rPr>
              <w:tab/>
            </w:r>
            <w:r w:rsidR="004B2B7B" w:rsidRPr="004B2B7B">
              <w:rPr>
                <w:rStyle w:val="Hyperlink"/>
                <w:rFonts w:cs="Arial"/>
                <w:noProof/>
              </w:rPr>
              <w:t>Non Payment Periods (Serious and UNPPs)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_Toc40179159 \h </w:instrText>
            </w:r>
            <w:r w:rsidR="004B2B7B" w:rsidRPr="004B2B7B">
              <w:rPr>
                <w:noProof/>
                <w:webHidden/>
              </w:rPr>
            </w:r>
            <w:r w:rsidR="004B2B7B" w:rsidRPr="004B2B7B">
              <w:rPr>
                <w:noProof/>
                <w:webHidden/>
              </w:rPr>
              <w:fldChar w:fldCharType="separate"/>
            </w:r>
            <w:r w:rsidR="004B2B7B" w:rsidRPr="004B2B7B">
              <w:rPr>
                <w:noProof/>
                <w:webHidden/>
              </w:rPr>
              <w:t>21</w:t>
            </w:r>
            <w:r w:rsidR="004B2B7B" w:rsidRPr="004B2B7B">
              <w:rPr>
                <w:noProof/>
                <w:webHidden/>
              </w:rPr>
              <w:fldChar w:fldCharType="end"/>
            </w:r>
          </w:hyperlink>
        </w:p>
        <w:p w14:paraId="218B6C20" w14:textId="5D2CBCBE" w:rsidR="004B2B7B" w:rsidRPr="004B2B7B" w:rsidRDefault="006D017A">
          <w:pPr>
            <w:pStyle w:val="TOC3"/>
            <w:tabs>
              <w:tab w:val="left" w:pos="660"/>
            </w:tabs>
            <w:rPr>
              <w:rFonts w:eastAsiaTheme="minorEastAsia"/>
              <w:noProof/>
              <w:lang w:eastAsia="en-AU"/>
            </w:rPr>
          </w:pPr>
          <w:hyperlink w:anchor="_Toc40179160" w:history="1">
            <w:r w:rsidR="004B2B7B" w:rsidRPr="004B2B7B">
              <w:rPr>
                <w:rStyle w:val="Hyperlink"/>
                <w:rFonts w:cs="Arial"/>
                <w:noProof/>
              </w:rPr>
              <w:t xml:space="preserve">15b. </w:t>
            </w:r>
            <w:r w:rsidR="004B2B7B" w:rsidRPr="004B2B7B">
              <w:rPr>
                <w:rFonts w:eastAsiaTheme="minorEastAsia"/>
                <w:noProof/>
                <w:lang w:eastAsia="en-AU"/>
              </w:rPr>
              <w:tab/>
            </w:r>
            <w:r w:rsidR="004B2B7B" w:rsidRPr="004B2B7B">
              <w:rPr>
                <w:rStyle w:val="Hyperlink"/>
                <w:rFonts w:cs="Arial"/>
                <w:noProof/>
              </w:rPr>
              <w:t>Short Term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_Toc40179160 \h </w:instrText>
            </w:r>
            <w:r w:rsidR="004B2B7B" w:rsidRPr="004B2B7B">
              <w:rPr>
                <w:noProof/>
                <w:webHidden/>
              </w:rPr>
            </w:r>
            <w:r w:rsidR="004B2B7B" w:rsidRPr="004B2B7B">
              <w:rPr>
                <w:noProof/>
                <w:webHidden/>
              </w:rPr>
              <w:fldChar w:fldCharType="separate"/>
            </w:r>
            <w:r w:rsidR="004B2B7B" w:rsidRPr="004B2B7B">
              <w:rPr>
                <w:noProof/>
                <w:webHidden/>
              </w:rPr>
              <w:t>21</w:t>
            </w:r>
            <w:r w:rsidR="004B2B7B" w:rsidRPr="004B2B7B">
              <w:rPr>
                <w:noProof/>
                <w:webHidden/>
              </w:rPr>
              <w:fldChar w:fldCharType="end"/>
            </w:r>
          </w:hyperlink>
        </w:p>
        <w:p w14:paraId="7CBFCD61" w14:textId="61678FF4" w:rsidR="004B2B7B" w:rsidRPr="004B2B7B" w:rsidRDefault="006D017A">
          <w:pPr>
            <w:pStyle w:val="TOC3"/>
            <w:tabs>
              <w:tab w:val="left" w:pos="660"/>
            </w:tabs>
            <w:rPr>
              <w:rFonts w:eastAsiaTheme="minorEastAsia"/>
              <w:noProof/>
              <w:lang w:eastAsia="en-AU"/>
            </w:rPr>
          </w:pPr>
          <w:hyperlink w:anchor="_Toc40179161" w:history="1">
            <w:r w:rsidR="004B2B7B" w:rsidRPr="004B2B7B">
              <w:rPr>
                <w:rStyle w:val="Hyperlink"/>
                <w:rFonts w:cs="Arial"/>
                <w:noProof/>
              </w:rPr>
              <w:t xml:space="preserve">15c. </w:t>
            </w:r>
            <w:r w:rsidR="004B2B7B" w:rsidRPr="004B2B7B">
              <w:rPr>
                <w:rFonts w:eastAsiaTheme="minorEastAsia"/>
                <w:noProof/>
                <w:lang w:eastAsia="en-AU"/>
              </w:rPr>
              <w:tab/>
            </w:r>
            <w:r w:rsidR="004B2B7B" w:rsidRPr="004B2B7B">
              <w:rPr>
                <w:rStyle w:val="Hyperlink"/>
                <w:rFonts w:cs="Arial"/>
                <w:noProof/>
              </w:rPr>
              <w:t>Total Financial Penalties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_Toc40179161 \h </w:instrText>
            </w:r>
            <w:r w:rsidR="004B2B7B" w:rsidRPr="004B2B7B">
              <w:rPr>
                <w:noProof/>
                <w:webHidden/>
              </w:rPr>
            </w:r>
            <w:r w:rsidR="004B2B7B" w:rsidRPr="004B2B7B">
              <w:rPr>
                <w:noProof/>
                <w:webHidden/>
              </w:rPr>
              <w:fldChar w:fldCharType="separate"/>
            </w:r>
            <w:r w:rsidR="004B2B7B" w:rsidRPr="004B2B7B">
              <w:rPr>
                <w:noProof/>
                <w:webHidden/>
              </w:rPr>
              <w:t>21</w:t>
            </w:r>
            <w:r w:rsidR="004B2B7B" w:rsidRPr="004B2B7B">
              <w:rPr>
                <w:noProof/>
                <w:webHidden/>
              </w:rPr>
              <w:fldChar w:fldCharType="end"/>
            </w:r>
          </w:hyperlink>
        </w:p>
        <w:p w14:paraId="6537068F" w14:textId="0AF6C959" w:rsidR="004B2B7B" w:rsidRPr="004B2B7B" w:rsidRDefault="006D017A">
          <w:pPr>
            <w:pStyle w:val="TOC3"/>
            <w:tabs>
              <w:tab w:val="left" w:pos="660"/>
            </w:tabs>
            <w:rPr>
              <w:rFonts w:eastAsiaTheme="minorEastAsia"/>
              <w:noProof/>
              <w:lang w:eastAsia="en-AU"/>
            </w:rPr>
          </w:pPr>
          <w:hyperlink w:anchor="_Toc40179162" w:history="1">
            <w:r w:rsidR="004B2B7B" w:rsidRPr="004B2B7B">
              <w:rPr>
                <w:rStyle w:val="Hyperlink"/>
                <w:rFonts w:cs="Arial"/>
                <w:noProof/>
              </w:rPr>
              <w:t xml:space="preserve">15d. </w:t>
            </w:r>
            <w:r w:rsidR="004B2B7B" w:rsidRPr="004B2B7B">
              <w:rPr>
                <w:rFonts w:eastAsiaTheme="minorEastAsia"/>
                <w:noProof/>
                <w:lang w:eastAsia="en-AU"/>
              </w:rPr>
              <w:tab/>
            </w:r>
            <w:r w:rsidR="004B2B7B" w:rsidRPr="004B2B7B">
              <w:rPr>
                <w:rStyle w:val="Hyperlink"/>
                <w:rFonts w:cs="Arial"/>
                <w:noProof/>
              </w:rPr>
              <w:t>Income Support Payment Suspensions 1 October to 31 December 2019</w:t>
            </w:r>
            <w:r w:rsidR="004B2B7B" w:rsidRPr="004B2B7B">
              <w:rPr>
                <w:noProof/>
                <w:webHidden/>
              </w:rPr>
              <w:tab/>
            </w:r>
            <w:r w:rsidR="004B2B7B" w:rsidRPr="004B2B7B">
              <w:rPr>
                <w:noProof/>
                <w:webHidden/>
              </w:rPr>
              <w:fldChar w:fldCharType="begin"/>
            </w:r>
            <w:r w:rsidR="004B2B7B" w:rsidRPr="004B2B7B">
              <w:rPr>
                <w:noProof/>
                <w:webHidden/>
              </w:rPr>
              <w:instrText xml:space="preserve"> PAGEREF _Toc40179162 \h </w:instrText>
            </w:r>
            <w:r w:rsidR="004B2B7B" w:rsidRPr="004B2B7B">
              <w:rPr>
                <w:noProof/>
                <w:webHidden/>
              </w:rPr>
            </w:r>
            <w:r w:rsidR="004B2B7B" w:rsidRPr="004B2B7B">
              <w:rPr>
                <w:noProof/>
                <w:webHidden/>
              </w:rPr>
              <w:fldChar w:fldCharType="separate"/>
            </w:r>
            <w:r w:rsidR="004B2B7B" w:rsidRPr="004B2B7B">
              <w:rPr>
                <w:noProof/>
                <w:webHidden/>
              </w:rPr>
              <w:t>22</w:t>
            </w:r>
            <w:r w:rsidR="004B2B7B" w:rsidRPr="004B2B7B">
              <w:rPr>
                <w:noProof/>
                <w:webHidden/>
              </w:rPr>
              <w:fldChar w:fldCharType="end"/>
            </w:r>
          </w:hyperlink>
        </w:p>
        <w:p w14:paraId="0B0393C3" w14:textId="2ACBB36D" w:rsidR="004B2B7B" w:rsidRDefault="006D017A">
          <w:pPr>
            <w:pStyle w:val="TOC1"/>
            <w:rPr>
              <w:rFonts w:asciiTheme="minorHAnsi" w:eastAsiaTheme="minorEastAsia" w:hAnsiTheme="minorHAnsi"/>
              <w:b w:val="0"/>
              <w:noProof/>
              <w:lang w:eastAsia="en-AU"/>
            </w:rPr>
          </w:pPr>
          <w:hyperlink w:anchor="_Toc40179163" w:history="1">
            <w:r w:rsidR="004B2B7B" w:rsidRPr="00186683">
              <w:rPr>
                <w:rStyle w:val="Hyperlink"/>
                <w:noProof/>
              </w:rPr>
              <w:t>Glossary</w:t>
            </w:r>
            <w:r w:rsidR="004B2B7B">
              <w:rPr>
                <w:noProof/>
                <w:webHidden/>
              </w:rPr>
              <w:tab/>
            </w:r>
            <w:r w:rsidR="004B2B7B">
              <w:rPr>
                <w:noProof/>
                <w:webHidden/>
              </w:rPr>
              <w:fldChar w:fldCharType="begin"/>
            </w:r>
            <w:r w:rsidR="004B2B7B">
              <w:rPr>
                <w:noProof/>
                <w:webHidden/>
              </w:rPr>
              <w:instrText xml:space="preserve"> PAGEREF _Toc40179163 \h </w:instrText>
            </w:r>
            <w:r w:rsidR="004B2B7B">
              <w:rPr>
                <w:noProof/>
                <w:webHidden/>
              </w:rPr>
            </w:r>
            <w:r w:rsidR="004B2B7B">
              <w:rPr>
                <w:noProof/>
                <w:webHidden/>
              </w:rPr>
              <w:fldChar w:fldCharType="separate"/>
            </w:r>
            <w:r w:rsidR="004B2B7B">
              <w:rPr>
                <w:noProof/>
                <w:webHidden/>
              </w:rPr>
              <w:t>23</w:t>
            </w:r>
            <w:r w:rsidR="004B2B7B">
              <w:rPr>
                <w:noProof/>
                <w:webHidden/>
              </w:rPr>
              <w:fldChar w:fldCharType="end"/>
            </w:r>
          </w:hyperlink>
        </w:p>
        <w:p w14:paraId="63BFF3AD" w14:textId="7D390E26" w:rsidR="007A3CAF" w:rsidRDefault="001673A8" w:rsidP="001673A8">
          <w:pPr>
            <w:pStyle w:val="TOC1"/>
          </w:pPr>
          <w:r>
            <w:rPr>
              <w:rStyle w:val="Hyperlink"/>
            </w:rPr>
            <w:fldChar w:fldCharType="end"/>
          </w:r>
        </w:p>
      </w:sdtContent>
    </w:sdt>
    <w:p w14:paraId="2E4DB9B9" w14:textId="77777777" w:rsidR="001E2B75" w:rsidRDefault="001E2B75">
      <w:pPr>
        <w:spacing w:before="0"/>
        <w:ind w:left="0"/>
      </w:pPr>
      <w:r>
        <w:br w:type="page"/>
      </w:r>
    </w:p>
    <w:p w14:paraId="3A678095" w14:textId="173F408C"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FBCA534" w14:textId="088EE6A3"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14:paraId="731A83E5" w14:textId="24CFF511" w:rsidR="001E2B75" w:rsidRDefault="001E2B75" w:rsidP="001E2B75">
      <w:pPr>
        <w:rPr>
          <w:b/>
          <w:bCs/>
        </w:rPr>
      </w:pPr>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55F41C5F" w14:textId="14490C1B" w:rsidR="00C24E8B" w:rsidRPr="004439F4" w:rsidRDefault="00C24E8B" w:rsidP="00A75C1F">
      <w:pPr>
        <w:pStyle w:val="Heading1"/>
        <w:spacing w:before="240"/>
        <w:rPr>
          <w:sz w:val="20"/>
          <w:szCs w:val="20"/>
        </w:rPr>
      </w:pPr>
      <w:bookmarkStart w:id="2" w:name="_Toc40179117"/>
      <w:r w:rsidRPr="00325EF7">
        <w:t>Part A</w:t>
      </w:r>
      <w:bookmarkEnd w:id="2"/>
      <w:bookmarkEnd w:id="1"/>
    </w:p>
    <w:p w14:paraId="3334163B" w14:textId="092A1346" w:rsidR="00A24584" w:rsidRPr="00A24584" w:rsidRDefault="00456F16" w:rsidP="00A24584">
      <w:pPr>
        <w:pStyle w:val="Heading2"/>
        <w:spacing w:after="120"/>
        <w:ind w:left="-142" w:firstLine="142"/>
      </w:pPr>
      <w:bookmarkStart w:id="3" w:name="_Toc40179118"/>
      <w:r w:rsidRPr="00AC2859">
        <w:t xml:space="preserve">Number of </w:t>
      </w:r>
      <w:r w:rsidR="00C0731A">
        <w:t xml:space="preserve">active </w:t>
      </w:r>
      <w:r w:rsidRPr="00AC2859">
        <w:t>job seekers</w:t>
      </w:r>
      <w:r w:rsidR="00C0731A">
        <w:t xml:space="preserve"> and job seekers with a vulnerability indicator</w:t>
      </w:r>
      <w:r w:rsidR="00A24584" w:rsidRPr="00A24584">
        <w:rPr>
          <w:rFonts w:eastAsia="Times New Roman"/>
        </w:rPr>
        <w:t xml:space="preserve"> </w:t>
      </w:r>
      <w:r w:rsidR="00A24584" w:rsidRPr="00A24584">
        <w:t xml:space="preserve">as at </w:t>
      </w:r>
      <w:r w:rsidR="00A0477C">
        <w:t>31 December 2019</w:t>
      </w:r>
      <w:bookmarkEnd w:id="3"/>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Caption w:val="1. Number of active job seekers and job seekers with a vulnerability indicator as at 30 September 2019"/>
      </w:tblPr>
      <w:tblGrid>
        <w:gridCol w:w="4237"/>
        <w:gridCol w:w="5414"/>
        <w:gridCol w:w="4941"/>
      </w:tblGrid>
      <w:tr w:rsidR="00A24584" w14:paraId="6CD77407"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380D03" w14:textId="77777777" w:rsidR="00A24584" w:rsidRDefault="00A24584" w:rsidP="00A24584">
            <w:pPr>
              <w:ind w:left="-142" w:firstLine="142"/>
              <w:jc w:val="center"/>
            </w:pPr>
            <w:r>
              <w:rPr>
                <w:b/>
                <w:bCs/>
              </w:rPr>
              <w:t xml:space="preserve">Active CDP job seekers  </w:t>
            </w:r>
          </w:p>
          <w:p w14:paraId="0C57D4B4"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7C21A"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E2894" w14:textId="77777777" w:rsidR="00A24584" w:rsidRDefault="00A24584" w:rsidP="00A24584">
            <w:pPr>
              <w:ind w:left="-142" w:firstLine="142"/>
              <w:jc w:val="center"/>
              <w:rPr>
                <w:b/>
                <w:bCs/>
              </w:rPr>
            </w:pPr>
            <w:r>
              <w:rPr>
                <w:b/>
                <w:bCs/>
              </w:rPr>
              <w:t>% of all CDP job seekers with a vulnerability indicator</w:t>
            </w:r>
          </w:p>
        </w:tc>
      </w:tr>
      <w:tr w:rsidR="002B2493" w14:paraId="554F253B" w14:textId="77777777" w:rsidTr="002B2493">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8B2E93" w14:textId="50784C65" w:rsidR="002B2493" w:rsidRDefault="002B2493" w:rsidP="002B2493">
            <w:pPr>
              <w:ind w:left="-142" w:firstLine="142"/>
              <w:jc w:val="center"/>
            </w:pPr>
            <w:r w:rsidRPr="00571AFE">
              <w:t>28,299</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14:paraId="168684F6" w14:textId="32179D41" w:rsidR="002B2493" w:rsidRDefault="002B2493" w:rsidP="002B2493">
            <w:pPr>
              <w:ind w:left="-142" w:firstLine="142"/>
              <w:jc w:val="center"/>
            </w:pPr>
            <w:r w:rsidRPr="00571AFE">
              <w:t>3,030</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14:paraId="41A796C0" w14:textId="4EF882EE" w:rsidR="002B2493" w:rsidRDefault="002B2493" w:rsidP="002B2493">
            <w:pPr>
              <w:ind w:left="-142" w:firstLine="142"/>
              <w:jc w:val="center"/>
            </w:pPr>
            <w:r w:rsidRPr="00571AFE">
              <w:t>11%</w:t>
            </w:r>
          </w:p>
        </w:tc>
      </w:tr>
    </w:tbl>
    <w:p w14:paraId="46CBCC36" w14:textId="076A4F1B"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36617F3" w14:textId="77777777" w:rsidR="00C36BF8" w:rsidRDefault="00B51AA6" w:rsidP="009E0535">
      <w:pPr>
        <w:spacing w:before="60" w:after="0" w:line="240" w:lineRule="auto"/>
        <w:ind w:left="-142"/>
        <w:rPr>
          <w:noProof/>
        </w:rPr>
      </w:pPr>
      <w:r>
        <w:rPr>
          <w:noProof/>
        </w:rPr>
        <w:t xml:space="preserve"> </w:t>
      </w:r>
    </w:p>
    <w:p w14:paraId="4EB18112" w14:textId="0602BAC3"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31C37699" w14:textId="77777777" w:rsidR="002522E1" w:rsidRDefault="002522E1">
      <w:pPr>
        <w:spacing w:before="0"/>
        <w:ind w:left="0"/>
        <w:rPr>
          <w:noProof/>
        </w:rPr>
      </w:pPr>
      <w:r>
        <w:rPr>
          <w:noProof/>
        </w:rPr>
        <w:br w:type="page"/>
      </w:r>
    </w:p>
    <w:p w14:paraId="0AB1676F" w14:textId="552FE779" w:rsidR="00673181" w:rsidRDefault="00D70C90" w:rsidP="00A75C1F">
      <w:pPr>
        <w:pStyle w:val="Heading2"/>
        <w:spacing w:before="240"/>
        <w:ind w:left="-142" w:firstLine="142"/>
      </w:pPr>
      <w:bookmarkStart w:id="4" w:name="_Toc40179119"/>
      <w:r>
        <w:lastRenderedPageBreak/>
        <w:t>Attendance at Appointments</w:t>
      </w:r>
      <w:bookmarkEnd w:id="4"/>
    </w:p>
    <w:p w14:paraId="52D9C346" w14:textId="7909C984" w:rsidR="003F2404" w:rsidRPr="001053D0" w:rsidRDefault="00E10D7D" w:rsidP="001053D0">
      <w:pPr>
        <w:pStyle w:val="Heading3"/>
        <w:numPr>
          <w:ilvl w:val="0"/>
          <w:numId w:val="0"/>
        </w:numPr>
        <w:rPr>
          <w:rFonts w:ascii="Arial" w:hAnsi="Arial" w:cs="Arial"/>
          <w:i/>
        </w:rPr>
      </w:pPr>
      <w:bookmarkStart w:id="5" w:name="_Toc40179120"/>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r w:rsidR="0046777C" w:rsidRPr="001053D0">
        <w:rPr>
          <w:rFonts w:ascii="Arial" w:hAnsi="Arial" w:cs="Arial"/>
          <w:i/>
        </w:rPr>
        <w:t xml:space="preserve"> </w:t>
      </w:r>
      <w:r w:rsidR="00A0477C">
        <w:rPr>
          <w:rFonts w:ascii="Arial" w:hAnsi="Arial" w:cs="Arial"/>
          <w:i/>
        </w:rPr>
        <w:t>1 October to 31 December 2019</w:t>
      </w:r>
      <w:bookmarkEnd w:id="5"/>
    </w:p>
    <w:tbl>
      <w:tblPr>
        <w:tblW w:w="1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endance at Appointments with CDP employment services providers 1 July to 30 September 2019"/>
      </w:tblPr>
      <w:tblGrid>
        <w:gridCol w:w="5949"/>
        <w:gridCol w:w="3685"/>
        <w:gridCol w:w="4304"/>
      </w:tblGrid>
      <w:tr w:rsidR="00A24584" w14:paraId="3500E17A" w14:textId="77777777" w:rsidTr="00DC5FD3">
        <w:trPr>
          <w:trHeight w:val="567"/>
          <w:tblHeader/>
        </w:trPr>
        <w:tc>
          <w:tcPr>
            <w:tcW w:w="5949" w:type="dxa"/>
          </w:tcPr>
          <w:p w14:paraId="39CD4F65" w14:textId="77777777" w:rsidR="00A24584" w:rsidRPr="00DC5FD3" w:rsidRDefault="00A24584" w:rsidP="006E718B">
            <w:pPr>
              <w:rPr>
                <w:b/>
              </w:rPr>
            </w:pPr>
            <w:bookmarkStart w:id="6" w:name="_Toc39765541"/>
            <w:r w:rsidRPr="00DC5FD3">
              <w:rPr>
                <w:b/>
              </w:rPr>
              <w:t>Attendance</w:t>
            </w:r>
            <w:bookmarkEnd w:id="6"/>
          </w:p>
        </w:tc>
        <w:tc>
          <w:tcPr>
            <w:tcW w:w="3685" w:type="dxa"/>
          </w:tcPr>
          <w:p w14:paraId="146B9E86" w14:textId="77777777" w:rsidR="00A24584" w:rsidRPr="00DC5FD3" w:rsidRDefault="00A24584" w:rsidP="006E718B">
            <w:pPr>
              <w:rPr>
                <w:b/>
              </w:rPr>
            </w:pPr>
            <w:bookmarkStart w:id="7" w:name="_Toc39765542"/>
            <w:r w:rsidRPr="00DC5FD3">
              <w:rPr>
                <w:b/>
              </w:rPr>
              <w:t>Number</w:t>
            </w:r>
            <w:bookmarkEnd w:id="7"/>
          </w:p>
        </w:tc>
        <w:tc>
          <w:tcPr>
            <w:tcW w:w="4304" w:type="dxa"/>
          </w:tcPr>
          <w:p w14:paraId="7FAD436E" w14:textId="77777777" w:rsidR="00A24584" w:rsidRPr="00DC5FD3" w:rsidRDefault="00A24584" w:rsidP="006E718B">
            <w:pPr>
              <w:rPr>
                <w:b/>
              </w:rPr>
            </w:pPr>
            <w:bookmarkStart w:id="8" w:name="_Toc39765543"/>
            <w:r w:rsidRPr="00DC5FD3">
              <w:rPr>
                <w:b/>
              </w:rPr>
              <w:t>Percent</w:t>
            </w:r>
            <w:bookmarkEnd w:id="8"/>
          </w:p>
        </w:tc>
      </w:tr>
      <w:tr w:rsidR="002B2493" w14:paraId="1DD5A99D" w14:textId="77777777" w:rsidTr="00DC5FD3">
        <w:trPr>
          <w:trHeight w:val="567"/>
        </w:trPr>
        <w:tc>
          <w:tcPr>
            <w:tcW w:w="5949" w:type="dxa"/>
          </w:tcPr>
          <w:p w14:paraId="7DD6CB60" w14:textId="364C8128" w:rsidR="002B2493" w:rsidRPr="00116BAB" w:rsidRDefault="002B2493" w:rsidP="006E718B">
            <w:bookmarkStart w:id="9" w:name="_Toc39765544"/>
            <w:r w:rsidRPr="00116BAB">
              <w:t>Appointments attended</w:t>
            </w:r>
            <w:bookmarkEnd w:id="9"/>
          </w:p>
        </w:tc>
        <w:tc>
          <w:tcPr>
            <w:tcW w:w="3685" w:type="dxa"/>
            <w:vAlign w:val="center"/>
          </w:tcPr>
          <w:p w14:paraId="34451BB6" w14:textId="3E57323E" w:rsidR="002B2493" w:rsidRPr="00DC5FD3" w:rsidRDefault="002B2493" w:rsidP="006E718B">
            <w:bookmarkStart w:id="10" w:name="_Toc39765545"/>
            <w:r w:rsidRPr="00DC5FD3">
              <w:rPr>
                <w:rFonts w:cs="Gill Sans MT"/>
                <w:color w:val="000000"/>
              </w:rPr>
              <w:t>62,935</w:t>
            </w:r>
            <w:bookmarkEnd w:id="10"/>
          </w:p>
        </w:tc>
        <w:tc>
          <w:tcPr>
            <w:tcW w:w="4304" w:type="dxa"/>
            <w:vAlign w:val="center"/>
          </w:tcPr>
          <w:p w14:paraId="5A44D614" w14:textId="322F4F90" w:rsidR="002B2493" w:rsidRPr="00DC5FD3" w:rsidRDefault="002B2493" w:rsidP="006E718B">
            <w:bookmarkStart w:id="11" w:name="_Toc39765546"/>
            <w:r w:rsidRPr="00DC5FD3">
              <w:rPr>
                <w:rFonts w:cs="Gill Sans MT"/>
                <w:color w:val="000000"/>
              </w:rPr>
              <w:t>56%</w:t>
            </w:r>
            <w:bookmarkEnd w:id="11"/>
          </w:p>
        </w:tc>
      </w:tr>
      <w:tr w:rsidR="00A24584" w14:paraId="499054E2" w14:textId="77777777" w:rsidTr="00DC5FD3">
        <w:trPr>
          <w:trHeight w:val="567"/>
        </w:trPr>
        <w:tc>
          <w:tcPr>
            <w:tcW w:w="5949" w:type="dxa"/>
          </w:tcPr>
          <w:p w14:paraId="28D8B88A" w14:textId="10ADF58E" w:rsidR="00A24584" w:rsidRPr="00116BAB" w:rsidRDefault="00A24584" w:rsidP="006E718B">
            <w:bookmarkStart w:id="12" w:name="_Toc39765547"/>
            <w:r w:rsidRPr="00116BAB">
              <w:t>Appointments not attended –</w:t>
            </w:r>
            <w:r>
              <w:t xml:space="preserve"> with a </w:t>
            </w:r>
            <w:r w:rsidRPr="00116BAB">
              <w:t>valid reason</w:t>
            </w:r>
            <w:bookmarkEnd w:id="12"/>
          </w:p>
        </w:tc>
        <w:tc>
          <w:tcPr>
            <w:tcW w:w="3685" w:type="dxa"/>
            <w:shd w:val="clear" w:color="auto" w:fill="auto"/>
          </w:tcPr>
          <w:p w14:paraId="1D2C4B12" w14:textId="2A327843" w:rsidR="00A24584" w:rsidRPr="00DC5FD3" w:rsidRDefault="002B2493" w:rsidP="006E718B">
            <w:bookmarkStart w:id="13" w:name="_Toc39765548"/>
            <w:r w:rsidRPr="00DC5FD3">
              <w:t>24,069</w:t>
            </w:r>
            <w:bookmarkEnd w:id="13"/>
          </w:p>
        </w:tc>
        <w:tc>
          <w:tcPr>
            <w:tcW w:w="4304" w:type="dxa"/>
          </w:tcPr>
          <w:p w14:paraId="4748A936" w14:textId="69D3A059" w:rsidR="00A24584" w:rsidRPr="00DC5FD3" w:rsidRDefault="002B2493" w:rsidP="006E718B">
            <w:bookmarkStart w:id="14" w:name="_Toc39765549"/>
            <w:r w:rsidRPr="00DC5FD3">
              <w:t>21%</w:t>
            </w:r>
            <w:bookmarkEnd w:id="14"/>
          </w:p>
        </w:tc>
      </w:tr>
      <w:tr w:rsidR="00A24584" w14:paraId="37E24C78" w14:textId="77777777" w:rsidTr="00DC5FD3">
        <w:trPr>
          <w:trHeight w:val="567"/>
        </w:trPr>
        <w:tc>
          <w:tcPr>
            <w:tcW w:w="5949" w:type="dxa"/>
          </w:tcPr>
          <w:p w14:paraId="41153AE4" w14:textId="18DDE361" w:rsidR="00A24584" w:rsidRPr="00116BAB" w:rsidRDefault="00A24584" w:rsidP="006E718B">
            <w:bookmarkStart w:id="15" w:name="_Toc39765550"/>
            <w:r w:rsidRPr="00116BAB">
              <w:t>Appointments not attended</w:t>
            </w:r>
            <w:r>
              <w:t xml:space="preserve"> </w:t>
            </w:r>
            <w:r w:rsidRPr="00116BAB">
              <w:t>–</w:t>
            </w:r>
            <w:r>
              <w:t xml:space="preserve"> with an</w:t>
            </w:r>
            <w:r w:rsidRPr="00116BAB">
              <w:t xml:space="preserve"> invalid reason</w:t>
            </w:r>
            <w:bookmarkEnd w:id="15"/>
          </w:p>
        </w:tc>
        <w:tc>
          <w:tcPr>
            <w:tcW w:w="3685" w:type="dxa"/>
            <w:shd w:val="clear" w:color="auto" w:fill="auto"/>
          </w:tcPr>
          <w:p w14:paraId="66812008" w14:textId="1D2BDCCC" w:rsidR="00A24584" w:rsidRPr="00DC5FD3" w:rsidRDefault="002B2493" w:rsidP="006E718B">
            <w:bookmarkStart w:id="16" w:name="_Toc39765551"/>
            <w:r w:rsidRPr="00DC5FD3">
              <w:t>21,736</w:t>
            </w:r>
            <w:bookmarkEnd w:id="16"/>
          </w:p>
        </w:tc>
        <w:tc>
          <w:tcPr>
            <w:tcW w:w="4304" w:type="dxa"/>
          </w:tcPr>
          <w:p w14:paraId="02B6BFA2" w14:textId="782D7E34" w:rsidR="00A24584" w:rsidRPr="00DC5FD3" w:rsidRDefault="002B2493" w:rsidP="006E718B">
            <w:bookmarkStart w:id="17" w:name="_Toc39765552"/>
            <w:r w:rsidRPr="00DC5FD3">
              <w:t>19%</w:t>
            </w:r>
            <w:bookmarkEnd w:id="17"/>
          </w:p>
        </w:tc>
      </w:tr>
      <w:tr w:rsidR="00A24584" w14:paraId="7345DE8E" w14:textId="77777777" w:rsidTr="00DC5FD3">
        <w:trPr>
          <w:trHeight w:val="567"/>
        </w:trPr>
        <w:tc>
          <w:tcPr>
            <w:tcW w:w="5949" w:type="dxa"/>
          </w:tcPr>
          <w:p w14:paraId="7F9C6E49" w14:textId="6BE34817" w:rsidR="00A24584" w:rsidRPr="00116BAB" w:rsidRDefault="00A24584" w:rsidP="006E718B">
            <w:bookmarkStart w:id="18" w:name="_Toc39765553"/>
            <w:r w:rsidRPr="00116BAB">
              <w:t>Appointments not attended – discretion</w:t>
            </w:r>
            <w:bookmarkEnd w:id="18"/>
          </w:p>
        </w:tc>
        <w:tc>
          <w:tcPr>
            <w:tcW w:w="3685" w:type="dxa"/>
            <w:shd w:val="clear" w:color="auto" w:fill="auto"/>
          </w:tcPr>
          <w:p w14:paraId="2F3FDD6F" w14:textId="6017C795" w:rsidR="00A24584" w:rsidRPr="00DC5FD3" w:rsidRDefault="002B2493" w:rsidP="006E718B">
            <w:bookmarkStart w:id="19" w:name="_Toc39765554"/>
            <w:r w:rsidRPr="00DC5FD3">
              <w:t>4,602</w:t>
            </w:r>
            <w:bookmarkEnd w:id="19"/>
          </w:p>
        </w:tc>
        <w:tc>
          <w:tcPr>
            <w:tcW w:w="4304" w:type="dxa"/>
          </w:tcPr>
          <w:p w14:paraId="401EA8FE" w14:textId="73331A6E" w:rsidR="00A24584" w:rsidRPr="00DC5FD3" w:rsidRDefault="002B2493" w:rsidP="006E718B">
            <w:bookmarkStart w:id="20" w:name="_Toc39765555"/>
            <w:r w:rsidRPr="00DC5FD3">
              <w:t>4%</w:t>
            </w:r>
            <w:bookmarkEnd w:id="20"/>
          </w:p>
        </w:tc>
      </w:tr>
      <w:tr w:rsidR="002B2493" w:rsidRPr="00116BAB" w14:paraId="174379F6" w14:textId="77777777" w:rsidTr="00DC5FD3">
        <w:trPr>
          <w:trHeight w:val="567"/>
        </w:trPr>
        <w:tc>
          <w:tcPr>
            <w:tcW w:w="5949" w:type="dxa"/>
          </w:tcPr>
          <w:p w14:paraId="5A77D5F6" w14:textId="4E7FB33E" w:rsidR="002B2493" w:rsidRPr="00116BAB" w:rsidRDefault="002B2493" w:rsidP="006E718B">
            <w:bookmarkStart w:id="21" w:name="_Toc39765556"/>
            <w:r w:rsidRPr="00116BAB">
              <w:t>Appointments not attended</w:t>
            </w:r>
            <w:r>
              <w:t xml:space="preserve"> – total</w:t>
            </w:r>
            <w:bookmarkEnd w:id="21"/>
            <w:r>
              <w:t xml:space="preserve"> </w:t>
            </w:r>
          </w:p>
        </w:tc>
        <w:tc>
          <w:tcPr>
            <w:tcW w:w="3685" w:type="dxa"/>
            <w:vAlign w:val="center"/>
          </w:tcPr>
          <w:p w14:paraId="42581941" w14:textId="2BC19520" w:rsidR="002B2493" w:rsidRPr="00DC5FD3" w:rsidRDefault="002B2493" w:rsidP="006E718B">
            <w:bookmarkStart w:id="22" w:name="_Toc39765557"/>
            <w:r w:rsidRPr="00DC5FD3">
              <w:rPr>
                <w:rFonts w:cs="Gill Sans MT"/>
                <w:color w:val="000000"/>
              </w:rPr>
              <w:t>50,407</w:t>
            </w:r>
            <w:bookmarkEnd w:id="22"/>
          </w:p>
        </w:tc>
        <w:tc>
          <w:tcPr>
            <w:tcW w:w="4304" w:type="dxa"/>
            <w:vAlign w:val="center"/>
          </w:tcPr>
          <w:p w14:paraId="48CDB91D" w14:textId="3C82BF6C" w:rsidR="002B2493" w:rsidRPr="00DC5FD3" w:rsidRDefault="002B2493" w:rsidP="006E718B">
            <w:bookmarkStart w:id="23" w:name="_Toc39765558"/>
            <w:r w:rsidRPr="00DC5FD3">
              <w:rPr>
                <w:rFonts w:cs="Gill Sans MT"/>
                <w:color w:val="000000"/>
              </w:rPr>
              <w:t>44%</w:t>
            </w:r>
            <w:bookmarkEnd w:id="23"/>
          </w:p>
        </w:tc>
      </w:tr>
      <w:tr w:rsidR="00A24584" w:rsidRPr="00116BAB" w14:paraId="44C3F795" w14:textId="77777777" w:rsidTr="00DC5FD3">
        <w:trPr>
          <w:trHeight w:val="473"/>
        </w:trPr>
        <w:tc>
          <w:tcPr>
            <w:tcW w:w="5949" w:type="dxa"/>
          </w:tcPr>
          <w:p w14:paraId="12AA7F7A" w14:textId="6FB40621" w:rsidR="00A24584" w:rsidRPr="00DC5FD3" w:rsidRDefault="00A24584" w:rsidP="006E718B">
            <w:pPr>
              <w:rPr>
                <w:b/>
              </w:rPr>
            </w:pPr>
            <w:bookmarkStart w:id="24" w:name="_Toc39765559"/>
            <w:r w:rsidRPr="00DC5FD3">
              <w:rPr>
                <w:b/>
              </w:rPr>
              <w:t>Total Appointments</w:t>
            </w:r>
            <w:bookmarkEnd w:id="24"/>
          </w:p>
        </w:tc>
        <w:tc>
          <w:tcPr>
            <w:tcW w:w="3685" w:type="dxa"/>
          </w:tcPr>
          <w:p w14:paraId="31E92C22" w14:textId="7CF4BCAA" w:rsidR="00A24584" w:rsidRPr="00DC5FD3" w:rsidRDefault="002B2493" w:rsidP="006E718B">
            <w:pPr>
              <w:rPr>
                <w:b/>
              </w:rPr>
            </w:pPr>
            <w:bookmarkStart w:id="25" w:name="_Toc39765560"/>
            <w:r w:rsidRPr="00DC5FD3">
              <w:rPr>
                <w:b/>
              </w:rPr>
              <w:t>113,342</w:t>
            </w:r>
            <w:bookmarkEnd w:id="25"/>
          </w:p>
        </w:tc>
        <w:tc>
          <w:tcPr>
            <w:tcW w:w="4304" w:type="dxa"/>
          </w:tcPr>
          <w:p w14:paraId="594EF2C3" w14:textId="4221063B" w:rsidR="00A24584" w:rsidRPr="00DC5FD3" w:rsidRDefault="002B2493" w:rsidP="006E718B">
            <w:pPr>
              <w:rPr>
                <w:b/>
              </w:rPr>
            </w:pPr>
            <w:bookmarkStart w:id="26" w:name="_Toc39765561"/>
            <w:r w:rsidRPr="00DC5FD3">
              <w:rPr>
                <w:b/>
              </w:rPr>
              <w:t>100%</w:t>
            </w:r>
            <w:bookmarkEnd w:id="26"/>
          </w:p>
        </w:tc>
      </w:tr>
    </w:tbl>
    <w:p w14:paraId="28ACE319" w14:textId="011320C0" w:rsidR="00AC2859" w:rsidRPr="001053D0" w:rsidRDefault="00E10D7D" w:rsidP="001053D0">
      <w:pPr>
        <w:pStyle w:val="Heading3"/>
        <w:numPr>
          <w:ilvl w:val="0"/>
          <w:numId w:val="0"/>
        </w:numPr>
        <w:rPr>
          <w:rFonts w:ascii="Arial" w:hAnsi="Arial" w:cs="Arial"/>
          <w:i/>
        </w:rPr>
      </w:pPr>
      <w:bookmarkStart w:id="27" w:name="_Toc40179121"/>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r w:rsidR="00D556D7" w:rsidRPr="001053D0">
        <w:rPr>
          <w:rFonts w:ascii="Arial" w:hAnsi="Arial" w:cs="Arial"/>
          <w:i/>
        </w:rPr>
        <w:t xml:space="preserve"> </w:t>
      </w:r>
      <w:r w:rsidR="00A0477C">
        <w:rPr>
          <w:rFonts w:ascii="Arial" w:hAnsi="Arial" w:cs="Arial"/>
          <w:i/>
        </w:rPr>
        <w:t>1 October to 31 December 2019</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endance at Re-engagement Appointments with CDP employment services providers 1 July to 30 September 2019"/>
      </w:tblPr>
      <w:tblGrid>
        <w:gridCol w:w="5949"/>
        <w:gridCol w:w="3654"/>
        <w:gridCol w:w="4345"/>
      </w:tblGrid>
      <w:tr w:rsidR="0046777C" w14:paraId="4AB2A429" w14:textId="77777777" w:rsidTr="00AC1296">
        <w:trPr>
          <w:tblHeader/>
        </w:trPr>
        <w:tc>
          <w:tcPr>
            <w:tcW w:w="5949" w:type="dxa"/>
          </w:tcPr>
          <w:p w14:paraId="22D20784" w14:textId="77777777" w:rsidR="0046777C" w:rsidRPr="00DC5FD3" w:rsidRDefault="0046777C" w:rsidP="006E718B">
            <w:pPr>
              <w:rPr>
                <w:b/>
              </w:rPr>
            </w:pPr>
            <w:bookmarkStart w:id="28" w:name="_Toc39765563"/>
            <w:r w:rsidRPr="00DC5FD3">
              <w:rPr>
                <w:b/>
              </w:rPr>
              <w:t>Attendance</w:t>
            </w:r>
            <w:bookmarkEnd w:id="28"/>
          </w:p>
        </w:tc>
        <w:tc>
          <w:tcPr>
            <w:tcW w:w="3654" w:type="dxa"/>
          </w:tcPr>
          <w:p w14:paraId="6E77255F" w14:textId="77777777" w:rsidR="0046777C" w:rsidRPr="00DC5FD3" w:rsidRDefault="0046777C" w:rsidP="006E718B">
            <w:pPr>
              <w:rPr>
                <w:b/>
              </w:rPr>
            </w:pPr>
            <w:bookmarkStart w:id="29" w:name="_Toc39765564"/>
            <w:r w:rsidRPr="00DC5FD3">
              <w:rPr>
                <w:b/>
              </w:rPr>
              <w:t>Number</w:t>
            </w:r>
            <w:bookmarkEnd w:id="29"/>
          </w:p>
        </w:tc>
        <w:tc>
          <w:tcPr>
            <w:tcW w:w="4345" w:type="dxa"/>
          </w:tcPr>
          <w:p w14:paraId="6BE1A638" w14:textId="77777777" w:rsidR="0046777C" w:rsidRPr="00DC5FD3" w:rsidRDefault="0046777C" w:rsidP="006E718B">
            <w:pPr>
              <w:rPr>
                <w:b/>
              </w:rPr>
            </w:pPr>
            <w:bookmarkStart w:id="30" w:name="_Toc39765565"/>
            <w:r w:rsidRPr="00DC5FD3">
              <w:rPr>
                <w:b/>
              </w:rPr>
              <w:t>Percent</w:t>
            </w:r>
            <w:bookmarkEnd w:id="30"/>
          </w:p>
        </w:tc>
      </w:tr>
      <w:tr w:rsidR="002B2493" w14:paraId="4439305A" w14:textId="77777777" w:rsidTr="00AC1296">
        <w:tc>
          <w:tcPr>
            <w:tcW w:w="5949" w:type="dxa"/>
          </w:tcPr>
          <w:p w14:paraId="42508F70" w14:textId="77777777" w:rsidR="002B2493" w:rsidRPr="00116BAB" w:rsidRDefault="002B2493" w:rsidP="006E718B">
            <w:bookmarkStart w:id="31" w:name="_Toc39765566"/>
            <w:r w:rsidRPr="00116BAB">
              <w:t>Appointments attended</w:t>
            </w:r>
            <w:r>
              <w:t xml:space="preserve"> – total</w:t>
            </w:r>
            <w:bookmarkEnd w:id="31"/>
            <w:r>
              <w:t xml:space="preserve"> </w:t>
            </w:r>
          </w:p>
        </w:tc>
        <w:tc>
          <w:tcPr>
            <w:tcW w:w="3654" w:type="dxa"/>
            <w:shd w:val="clear" w:color="auto" w:fill="auto"/>
            <w:vAlign w:val="center"/>
          </w:tcPr>
          <w:p w14:paraId="279B8DA9" w14:textId="1A763D2F" w:rsidR="002B2493" w:rsidRPr="00DC5FD3" w:rsidRDefault="002B2493" w:rsidP="006E718B">
            <w:bookmarkStart w:id="32" w:name="_Toc39765567"/>
            <w:r w:rsidRPr="00DC5FD3">
              <w:rPr>
                <w:rFonts w:cs="Gill Sans MT"/>
                <w:color w:val="000000"/>
              </w:rPr>
              <w:t>12,515</w:t>
            </w:r>
            <w:bookmarkEnd w:id="32"/>
          </w:p>
        </w:tc>
        <w:tc>
          <w:tcPr>
            <w:tcW w:w="4345" w:type="dxa"/>
            <w:shd w:val="clear" w:color="auto" w:fill="auto"/>
            <w:vAlign w:val="center"/>
          </w:tcPr>
          <w:p w14:paraId="15965B4C" w14:textId="4516055F" w:rsidR="002B2493" w:rsidRPr="00DC5FD3" w:rsidRDefault="002B2493" w:rsidP="006E718B">
            <w:bookmarkStart w:id="33" w:name="_Toc39765568"/>
            <w:r w:rsidRPr="00DC5FD3">
              <w:rPr>
                <w:rFonts w:cs="Gill Sans MT"/>
                <w:color w:val="000000"/>
              </w:rPr>
              <w:t>92%</w:t>
            </w:r>
            <w:bookmarkEnd w:id="33"/>
          </w:p>
        </w:tc>
      </w:tr>
      <w:tr w:rsidR="0046777C" w14:paraId="432CED95" w14:textId="77777777" w:rsidTr="00AC1296">
        <w:tc>
          <w:tcPr>
            <w:tcW w:w="5949" w:type="dxa"/>
          </w:tcPr>
          <w:p w14:paraId="48AF4CDA" w14:textId="686204BC" w:rsidR="0046777C" w:rsidRPr="00116BAB" w:rsidRDefault="0046777C" w:rsidP="006E718B">
            <w:bookmarkStart w:id="34" w:name="_Toc39765569"/>
            <w:r>
              <w:t>Appointments not attended with a valid reason</w:t>
            </w:r>
            <w:bookmarkEnd w:id="34"/>
          </w:p>
        </w:tc>
        <w:tc>
          <w:tcPr>
            <w:tcW w:w="3654" w:type="dxa"/>
          </w:tcPr>
          <w:p w14:paraId="08241FEA" w14:textId="1D11F244" w:rsidR="0046777C" w:rsidRPr="00DC5FD3" w:rsidRDefault="002B2493" w:rsidP="006E718B">
            <w:bookmarkStart w:id="35" w:name="_Toc39765570"/>
            <w:r w:rsidRPr="00DC5FD3">
              <w:t>330</w:t>
            </w:r>
            <w:bookmarkEnd w:id="35"/>
          </w:p>
        </w:tc>
        <w:tc>
          <w:tcPr>
            <w:tcW w:w="4345" w:type="dxa"/>
          </w:tcPr>
          <w:p w14:paraId="6CE909E1" w14:textId="4ED7E880" w:rsidR="0046777C" w:rsidRPr="00DC5FD3" w:rsidRDefault="002B2493" w:rsidP="006E718B">
            <w:bookmarkStart w:id="36" w:name="_Toc39765571"/>
            <w:r w:rsidRPr="00DC5FD3">
              <w:t>2%</w:t>
            </w:r>
            <w:bookmarkEnd w:id="36"/>
          </w:p>
        </w:tc>
      </w:tr>
      <w:tr w:rsidR="0046777C" w14:paraId="61E5D380" w14:textId="77777777" w:rsidTr="00AC1296">
        <w:tc>
          <w:tcPr>
            <w:tcW w:w="5949" w:type="dxa"/>
          </w:tcPr>
          <w:p w14:paraId="7F8E0E65" w14:textId="19A085F1" w:rsidR="0046777C" w:rsidRPr="0046777C" w:rsidRDefault="0046777C" w:rsidP="006E718B">
            <w:bookmarkStart w:id="37" w:name="_Toc39765572"/>
            <w:r w:rsidRPr="00116BAB">
              <w:t>Appointments not attended</w:t>
            </w:r>
            <w:r>
              <w:t xml:space="preserve"> with an</w:t>
            </w:r>
            <w:r w:rsidRPr="00116BAB">
              <w:t xml:space="preserve"> invalid reason</w:t>
            </w:r>
            <w:bookmarkEnd w:id="37"/>
          </w:p>
        </w:tc>
        <w:tc>
          <w:tcPr>
            <w:tcW w:w="3654" w:type="dxa"/>
          </w:tcPr>
          <w:p w14:paraId="07CB245E" w14:textId="4F7939E0" w:rsidR="0046777C" w:rsidRPr="00DC5FD3" w:rsidRDefault="002B2493" w:rsidP="006E718B">
            <w:bookmarkStart w:id="38" w:name="_Toc39765573"/>
            <w:r w:rsidRPr="00DC5FD3">
              <w:t>757</w:t>
            </w:r>
            <w:bookmarkEnd w:id="38"/>
          </w:p>
        </w:tc>
        <w:tc>
          <w:tcPr>
            <w:tcW w:w="4345" w:type="dxa"/>
          </w:tcPr>
          <w:p w14:paraId="173EDE60" w14:textId="69F93784" w:rsidR="0046777C" w:rsidRPr="00DC5FD3" w:rsidRDefault="002B2493" w:rsidP="006E718B">
            <w:bookmarkStart w:id="39" w:name="_Toc39765574"/>
            <w:r w:rsidRPr="00DC5FD3">
              <w:t>6%</w:t>
            </w:r>
            <w:bookmarkEnd w:id="39"/>
          </w:p>
        </w:tc>
      </w:tr>
      <w:tr w:rsidR="002B2493" w:rsidRPr="00116BAB" w14:paraId="4CD2CA0B" w14:textId="77777777" w:rsidTr="00AC1296">
        <w:tc>
          <w:tcPr>
            <w:tcW w:w="5949" w:type="dxa"/>
          </w:tcPr>
          <w:p w14:paraId="77B79C7A" w14:textId="77777777" w:rsidR="002B2493" w:rsidRPr="00116BAB" w:rsidRDefault="002B2493" w:rsidP="006E718B">
            <w:bookmarkStart w:id="40" w:name="_Toc39765575"/>
            <w:r w:rsidRPr="00116BAB">
              <w:t>Appointments not attended</w:t>
            </w:r>
            <w:r>
              <w:t xml:space="preserve"> – total</w:t>
            </w:r>
            <w:bookmarkEnd w:id="40"/>
            <w:r>
              <w:t xml:space="preserve"> </w:t>
            </w:r>
          </w:p>
        </w:tc>
        <w:tc>
          <w:tcPr>
            <w:tcW w:w="3654" w:type="dxa"/>
          </w:tcPr>
          <w:p w14:paraId="59FAE563" w14:textId="1D860C5E" w:rsidR="002B2493" w:rsidRPr="00DC5FD3" w:rsidRDefault="002B2493" w:rsidP="006E718B">
            <w:bookmarkStart w:id="41" w:name="_Toc39765576"/>
            <w:r w:rsidRPr="00DC5FD3">
              <w:t>1,087</w:t>
            </w:r>
            <w:bookmarkEnd w:id="41"/>
          </w:p>
        </w:tc>
        <w:tc>
          <w:tcPr>
            <w:tcW w:w="4345" w:type="dxa"/>
          </w:tcPr>
          <w:p w14:paraId="093EE48E" w14:textId="3A952566" w:rsidR="002B2493" w:rsidRPr="00DC5FD3" w:rsidRDefault="002B2493" w:rsidP="006E718B">
            <w:bookmarkStart w:id="42" w:name="_Toc39765577"/>
            <w:r w:rsidRPr="00DC5FD3">
              <w:t>8%</w:t>
            </w:r>
            <w:bookmarkEnd w:id="42"/>
          </w:p>
        </w:tc>
      </w:tr>
      <w:tr w:rsidR="0046777C" w:rsidRPr="00116BAB" w14:paraId="57A66D09" w14:textId="77777777" w:rsidTr="00AC1296">
        <w:tc>
          <w:tcPr>
            <w:tcW w:w="5949" w:type="dxa"/>
          </w:tcPr>
          <w:p w14:paraId="4D9DD326" w14:textId="77777777" w:rsidR="0046777C" w:rsidRPr="00DC5FD3" w:rsidRDefault="0046777C" w:rsidP="006E718B">
            <w:pPr>
              <w:rPr>
                <w:b/>
              </w:rPr>
            </w:pPr>
            <w:bookmarkStart w:id="43" w:name="_Toc39765578"/>
            <w:r w:rsidRPr="00DC5FD3">
              <w:rPr>
                <w:b/>
              </w:rPr>
              <w:t>Total Appointments</w:t>
            </w:r>
            <w:bookmarkEnd w:id="43"/>
          </w:p>
        </w:tc>
        <w:tc>
          <w:tcPr>
            <w:tcW w:w="3654" w:type="dxa"/>
          </w:tcPr>
          <w:p w14:paraId="3ABA39C3" w14:textId="659BC57E" w:rsidR="0046777C" w:rsidRPr="00DC5FD3" w:rsidRDefault="002B2493" w:rsidP="006E718B">
            <w:pPr>
              <w:rPr>
                <w:b/>
              </w:rPr>
            </w:pPr>
            <w:bookmarkStart w:id="44" w:name="_Toc39765579"/>
            <w:r w:rsidRPr="00DC5FD3">
              <w:rPr>
                <w:b/>
              </w:rPr>
              <w:t>13,602</w:t>
            </w:r>
            <w:bookmarkEnd w:id="44"/>
          </w:p>
        </w:tc>
        <w:tc>
          <w:tcPr>
            <w:tcW w:w="4345" w:type="dxa"/>
          </w:tcPr>
          <w:p w14:paraId="1546C955" w14:textId="0A413ED6" w:rsidR="0046777C" w:rsidRPr="00DC5FD3" w:rsidRDefault="002B2493" w:rsidP="006E718B">
            <w:pPr>
              <w:rPr>
                <w:b/>
              </w:rPr>
            </w:pPr>
            <w:bookmarkStart w:id="45" w:name="_Toc39765580"/>
            <w:r w:rsidRPr="00DC5FD3">
              <w:rPr>
                <w:b/>
              </w:rPr>
              <w:t>100%</w:t>
            </w:r>
            <w:bookmarkEnd w:id="45"/>
          </w:p>
        </w:tc>
      </w:tr>
    </w:tbl>
    <w:p w14:paraId="765C9A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46E0157" w14:textId="3CD66DC5" w:rsidR="00CC1242" w:rsidRDefault="00C9361F" w:rsidP="00DC5FD3">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r w:rsidR="00CC1242">
        <w:rPr>
          <w:noProof/>
        </w:rPr>
        <w:br w:type="page"/>
      </w:r>
    </w:p>
    <w:p w14:paraId="5DF39603" w14:textId="372B304B" w:rsidR="00D1085F" w:rsidRDefault="00D1085F" w:rsidP="0070239B">
      <w:pPr>
        <w:pStyle w:val="Heading2"/>
        <w:spacing w:after="120"/>
        <w:ind w:left="-142" w:firstLine="142"/>
      </w:pPr>
      <w:bookmarkStart w:id="46" w:name="_Toc40179122"/>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r w:rsidR="0081459B">
        <w:t xml:space="preserve"> </w:t>
      </w:r>
      <w:r w:rsidR="00A0477C">
        <w:t>1 October to 31 December 2019</w:t>
      </w:r>
      <w:bookmarkEnd w:id="46"/>
    </w:p>
    <w:tbl>
      <w:tblPr>
        <w:tblStyle w:val="TableGrid"/>
        <w:tblW w:w="5000" w:type="pct"/>
        <w:tblLook w:val="04A0" w:firstRow="1" w:lastRow="0" w:firstColumn="1" w:lastColumn="0" w:noHBand="0" w:noVBand="1"/>
        <w:tblCaption w:val="3. Income Support payment suspensions for non-attendance at appointments/activities 1 July to 30 September 2019"/>
      </w:tblPr>
      <w:tblGrid>
        <w:gridCol w:w="4466"/>
        <w:gridCol w:w="6126"/>
        <w:gridCol w:w="4140"/>
      </w:tblGrid>
      <w:tr w:rsidR="0081459B" w:rsidRPr="00325EF7" w14:paraId="059423DB" w14:textId="77777777" w:rsidTr="002B2493">
        <w:trPr>
          <w:trHeight w:val="1190"/>
          <w:tblHeader/>
        </w:trPr>
        <w:tc>
          <w:tcPr>
            <w:tcW w:w="1516" w:type="pct"/>
          </w:tcPr>
          <w:p w14:paraId="412A447E" w14:textId="77777777" w:rsidR="0081459B" w:rsidRPr="00777286" w:rsidRDefault="0081459B" w:rsidP="00FB2293">
            <w:pPr>
              <w:ind w:left="0"/>
              <w:rPr>
                <w:b/>
              </w:rPr>
            </w:pPr>
            <w:r w:rsidRPr="00777286">
              <w:rPr>
                <w:b/>
              </w:rPr>
              <w:t>Number of income support payment suspensions for job seekers missing appointment with their provider or third party</w:t>
            </w:r>
          </w:p>
        </w:tc>
        <w:tc>
          <w:tcPr>
            <w:tcW w:w="2079" w:type="pct"/>
          </w:tcPr>
          <w:p w14:paraId="0D9259E3" w14:textId="77777777" w:rsidR="0081459B" w:rsidRPr="00777286" w:rsidRDefault="0081459B" w:rsidP="00FB2293">
            <w:pPr>
              <w:ind w:left="0"/>
              <w:rPr>
                <w:b/>
              </w:rPr>
            </w:pPr>
            <w:r w:rsidRPr="00777286">
              <w:rPr>
                <w:b/>
              </w:rPr>
              <w:t>Number of income support payment suspensions for job seekers following disengagement from an activity</w:t>
            </w:r>
          </w:p>
        </w:tc>
        <w:tc>
          <w:tcPr>
            <w:tcW w:w="1405" w:type="pct"/>
            <w:vAlign w:val="center"/>
          </w:tcPr>
          <w:p w14:paraId="428F1136" w14:textId="77777777" w:rsidR="0081459B" w:rsidRPr="00777286" w:rsidRDefault="0081459B" w:rsidP="00FB2293">
            <w:pPr>
              <w:ind w:left="-142" w:firstLine="142"/>
              <w:rPr>
                <w:b/>
              </w:rPr>
            </w:pPr>
            <w:r w:rsidRPr="00777286">
              <w:rPr>
                <w:b/>
              </w:rPr>
              <w:t>Total Income Support Payment Suspensions</w:t>
            </w:r>
          </w:p>
        </w:tc>
      </w:tr>
      <w:tr w:rsidR="002B2493" w:rsidRPr="00287925" w14:paraId="24DED1C9" w14:textId="77777777" w:rsidTr="002B2493">
        <w:trPr>
          <w:trHeight w:val="573"/>
        </w:trPr>
        <w:tc>
          <w:tcPr>
            <w:tcW w:w="1516" w:type="pct"/>
            <w:vAlign w:val="center"/>
          </w:tcPr>
          <w:p w14:paraId="1F3036DE" w14:textId="395C6E8F" w:rsidR="002B2493" w:rsidRPr="002B2493" w:rsidRDefault="002B2493" w:rsidP="002B2493">
            <w:pPr>
              <w:spacing w:before="0"/>
              <w:ind w:left="-142" w:firstLine="142"/>
              <w:rPr>
                <w:rFonts w:cs="Arial"/>
                <w:b/>
              </w:rPr>
            </w:pPr>
            <w:r w:rsidRPr="002B2493">
              <w:rPr>
                <w:rFonts w:cs="Arial"/>
                <w:b/>
              </w:rPr>
              <w:t>12,523</w:t>
            </w:r>
          </w:p>
        </w:tc>
        <w:tc>
          <w:tcPr>
            <w:tcW w:w="2079" w:type="pct"/>
            <w:vAlign w:val="center"/>
          </w:tcPr>
          <w:p w14:paraId="17B59FDE" w14:textId="2A0A3D6A" w:rsidR="002B2493" w:rsidRPr="002B2493" w:rsidRDefault="002B2493" w:rsidP="002B2493">
            <w:pPr>
              <w:spacing w:before="0"/>
              <w:ind w:left="-142" w:firstLine="142"/>
              <w:rPr>
                <w:rFonts w:cs="Arial"/>
              </w:rPr>
            </w:pPr>
            <w:r w:rsidRPr="002B2493">
              <w:rPr>
                <w:rFonts w:cs="Arial"/>
              </w:rPr>
              <w:t>6,100</w:t>
            </w:r>
          </w:p>
        </w:tc>
        <w:tc>
          <w:tcPr>
            <w:tcW w:w="1405" w:type="pct"/>
            <w:vAlign w:val="center"/>
          </w:tcPr>
          <w:p w14:paraId="2DC2CA7C" w14:textId="65E2E0B3" w:rsidR="002B2493" w:rsidRPr="002B2493" w:rsidRDefault="002B2493" w:rsidP="002B2493">
            <w:pPr>
              <w:spacing w:before="0"/>
              <w:ind w:left="-142" w:firstLine="142"/>
              <w:rPr>
                <w:rFonts w:cs="Arial"/>
              </w:rPr>
            </w:pPr>
            <w:r w:rsidRPr="002B2493">
              <w:rPr>
                <w:rFonts w:cs="Arial"/>
              </w:rPr>
              <w:t>18,623</w:t>
            </w:r>
          </w:p>
        </w:tc>
      </w:tr>
    </w:tbl>
    <w:p w14:paraId="13C9060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21F93487" w14:textId="6AD77E8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7060EDCA"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18F5AEA" w14:textId="3D156FF6"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p>
    <w:p w14:paraId="039F98A8" w14:textId="06B629A5" w:rsidR="00AC09BA" w:rsidRDefault="00456F16" w:rsidP="00DC5FD3">
      <w:pPr>
        <w:pStyle w:val="Heading2"/>
        <w:spacing w:before="100" w:beforeAutospacing="1"/>
        <w:ind w:left="-142" w:firstLine="142"/>
      </w:pPr>
      <w:bookmarkStart w:id="47" w:name="_Toc40179123"/>
      <w:r w:rsidRPr="00C41921">
        <w:t>Number of Non-Attendance Reports, Participation Reports and Provider Appointment Reports</w:t>
      </w:r>
      <w:r w:rsidR="00970C39">
        <w:t xml:space="preserve"> </w:t>
      </w:r>
      <w:r w:rsidR="00A0477C">
        <w:t>1 October to 31 December 2019</w:t>
      </w:r>
      <w:bookmarkEnd w:id="47"/>
    </w:p>
    <w:tbl>
      <w:tblPr>
        <w:tblStyle w:val="TableGrid"/>
        <w:tblW w:w="5000" w:type="pct"/>
        <w:tblLook w:val="04A0" w:firstRow="1" w:lastRow="0" w:firstColumn="1" w:lastColumn="0" w:noHBand="0" w:noVBand="1"/>
        <w:tblCaption w:val="4. Number of Non-Attendance Reports, Participation Reports and Provider Appointment Reports 1 July to 30 September 2019"/>
      </w:tblPr>
      <w:tblGrid>
        <w:gridCol w:w="4449"/>
        <w:gridCol w:w="6049"/>
        <w:gridCol w:w="4234"/>
      </w:tblGrid>
      <w:tr w:rsidR="0081459B" w:rsidRPr="001523BE" w14:paraId="62CC4531" w14:textId="77777777" w:rsidTr="002B2493">
        <w:trPr>
          <w:tblHeader/>
        </w:trPr>
        <w:tc>
          <w:tcPr>
            <w:tcW w:w="1510" w:type="pct"/>
            <w:vAlign w:val="center"/>
          </w:tcPr>
          <w:p w14:paraId="5BAA36AD" w14:textId="45256157" w:rsidR="0081459B" w:rsidRPr="00777286" w:rsidRDefault="0081459B" w:rsidP="00777286">
            <w:pPr>
              <w:ind w:left="0" w:firstLine="142"/>
              <w:rPr>
                <w:b/>
              </w:rPr>
            </w:pPr>
            <w:r w:rsidRPr="00777286">
              <w:rPr>
                <w:b/>
              </w:rPr>
              <w:t xml:space="preserve">Number of </w:t>
            </w:r>
            <w:r w:rsidRPr="00777286">
              <w:rPr>
                <w:b/>
              </w:rPr>
              <w:br/>
              <w:t xml:space="preserve">Non-Attendance Reports </w:t>
            </w:r>
          </w:p>
        </w:tc>
        <w:tc>
          <w:tcPr>
            <w:tcW w:w="2053" w:type="pct"/>
            <w:vAlign w:val="center"/>
          </w:tcPr>
          <w:p w14:paraId="2C0073AD" w14:textId="77777777" w:rsidR="0081459B" w:rsidRPr="00777286" w:rsidRDefault="0081459B" w:rsidP="00FB2293">
            <w:pPr>
              <w:ind w:left="0" w:firstLine="142"/>
              <w:rPr>
                <w:b/>
              </w:rPr>
            </w:pPr>
            <w:r w:rsidRPr="00777286">
              <w:rPr>
                <w:b/>
              </w:rPr>
              <w:t>Number of Non-Attendance Reports as a % of non-attended appointments without a valid reason</w:t>
            </w:r>
          </w:p>
        </w:tc>
        <w:tc>
          <w:tcPr>
            <w:tcW w:w="1437" w:type="pct"/>
            <w:vAlign w:val="center"/>
          </w:tcPr>
          <w:p w14:paraId="28626BBF" w14:textId="77777777" w:rsidR="0081459B" w:rsidRPr="00777286" w:rsidRDefault="0081459B" w:rsidP="00FB2293">
            <w:pPr>
              <w:ind w:left="0"/>
              <w:rPr>
                <w:b/>
              </w:rPr>
            </w:pPr>
            <w:r w:rsidRPr="00777286">
              <w:rPr>
                <w:rFonts w:cs="Arial"/>
                <w:b/>
                <w:color w:val="000000"/>
              </w:rPr>
              <w:t>Number of Participation Reports and Provider Appointment Reports</w:t>
            </w:r>
            <w:r w:rsidRPr="00777286">
              <w:rPr>
                <w:b/>
                <w:color w:val="FFFFFF" w:themeColor="background1"/>
              </w:rPr>
              <w:t xml:space="preserve"> </w:t>
            </w:r>
          </w:p>
        </w:tc>
      </w:tr>
      <w:tr w:rsidR="002B2493" w:rsidRPr="0079507A" w14:paraId="0151FC54" w14:textId="77777777" w:rsidTr="002B2493">
        <w:trPr>
          <w:trHeight w:val="539"/>
        </w:trPr>
        <w:tc>
          <w:tcPr>
            <w:tcW w:w="1510" w:type="pct"/>
            <w:vAlign w:val="center"/>
          </w:tcPr>
          <w:p w14:paraId="51875B97" w14:textId="3D6886F7" w:rsidR="002B2493" w:rsidRPr="0043502E" w:rsidRDefault="002B2493" w:rsidP="002B2493">
            <w:pPr>
              <w:autoSpaceDE w:val="0"/>
              <w:autoSpaceDN w:val="0"/>
              <w:adjustRightInd w:val="0"/>
              <w:spacing w:before="0"/>
              <w:ind w:left="0"/>
              <w:rPr>
                <w:rFonts w:cs="Gill Sans MT"/>
                <w:color w:val="000000"/>
              </w:rPr>
            </w:pPr>
            <w:r w:rsidRPr="0043502E">
              <w:rPr>
                <w:rFonts w:cs="Gill Sans MT"/>
                <w:color w:val="000000"/>
              </w:rPr>
              <w:t>18,470</w:t>
            </w:r>
          </w:p>
        </w:tc>
        <w:tc>
          <w:tcPr>
            <w:tcW w:w="2053" w:type="pct"/>
            <w:vAlign w:val="center"/>
          </w:tcPr>
          <w:p w14:paraId="50D1942F" w14:textId="6E0E88F2" w:rsidR="002B2493" w:rsidRPr="002B2493" w:rsidRDefault="002B2493" w:rsidP="002B2493">
            <w:pPr>
              <w:autoSpaceDE w:val="0"/>
              <w:autoSpaceDN w:val="0"/>
              <w:adjustRightInd w:val="0"/>
              <w:spacing w:before="0"/>
              <w:ind w:left="0"/>
              <w:rPr>
                <w:rFonts w:cs="Gill Sans MT"/>
                <w:color w:val="000000"/>
              </w:rPr>
            </w:pPr>
            <w:r w:rsidRPr="002B2493">
              <w:rPr>
                <w:rFonts w:cs="Gill Sans MT"/>
                <w:color w:val="000000"/>
              </w:rPr>
              <w:t>70.1%</w:t>
            </w:r>
          </w:p>
        </w:tc>
        <w:tc>
          <w:tcPr>
            <w:tcW w:w="1437" w:type="pct"/>
            <w:vAlign w:val="center"/>
          </w:tcPr>
          <w:p w14:paraId="132EB13C" w14:textId="3EA8963D" w:rsidR="002B2493" w:rsidRPr="002B2493" w:rsidRDefault="002B2493" w:rsidP="002B2493">
            <w:pPr>
              <w:autoSpaceDE w:val="0"/>
              <w:autoSpaceDN w:val="0"/>
              <w:adjustRightInd w:val="0"/>
              <w:spacing w:before="0"/>
              <w:ind w:left="0"/>
              <w:rPr>
                <w:rFonts w:cs="Gill Sans MT"/>
                <w:color w:val="000000"/>
              </w:rPr>
            </w:pPr>
            <w:r w:rsidRPr="002B2493">
              <w:rPr>
                <w:rFonts w:cs="Gill Sans MT"/>
                <w:color w:val="000000"/>
              </w:rPr>
              <w:t>49,550</w:t>
            </w:r>
          </w:p>
        </w:tc>
      </w:tr>
    </w:tbl>
    <w:p w14:paraId="18CD3FF3" w14:textId="1FFA5989"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011B96">
        <w:t>Services Australia</w:t>
      </w:r>
      <w:r w:rsidRPr="008C625E">
        <w:t xml:space="preserve"> where a job</w:t>
      </w:r>
      <w:r>
        <w:t xml:space="preserve"> seeker fails to attend a </w:t>
      </w:r>
      <w:r w:rsidRPr="008C625E">
        <w:t xml:space="preserve">provider appointment without giving prior notice of a valid reason. </w:t>
      </w:r>
    </w:p>
    <w:p w14:paraId="151B10A4" w14:textId="0F5349C8" w:rsidR="00B84812" w:rsidRPr="00C41921" w:rsidRDefault="00B84812" w:rsidP="00BB1E3F">
      <w:pPr>
        <w:spacing w:before="240" w:after="240" w:line="240" w:lineRule="auto"/>
        <w:ind w:left="-142"/>
      </w:pPr>
      <w:r w:rsidRPr="008C625E">
        <w:t xml:space="preserve">Once received by </w:t>
      </w:r>
      <w:r w:rsidR="00011B96">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8374F1">
        <w:t>Services Australia</w:t>
      </w:r>
      <w:r w:rsidRPr="008C625E">
        <w:t xml:space="preserve"> to investigate whether a participation failure has occurred.</w:t>
      </w:r>
      <w:r w:rsidRPr="00C41921">
        <w:t xml:space="preserve"> </w:t>
      </w:r>
    </w:p>
    <w:p w14:paraId="4A5A225E" w14:textId="6100210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7EE5523A" w14:textId="665D16DB" w:rsidR="00B84812" w:rsidRDefault="00B84812" w:rsidP="00BB1E3F">
      <w:pPr>
        <w:spacing w:before="240" w:after="240" w:line="240" w:lineRule="auto"/>
        <w:ind w:left="-142"/>
      </w:pPr>
      <w:r w:rsidRPr="008C625E">
        <w:t>Provider Appointment Reports were introduced on 1 July 2015. A provider submits a Provider Appointment Report when they w</w:t>
      </w:r>
      <w:r w:rsidR="008374F1">
        <w:t>ant 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8374F1">
        <w:t>Services Australia</w:t>
      </w:r>
      <w:r w:rsidRPr="008C625E">
        <w:t xml:space="preserve"> for investigation).</w:t>
      </w:r>
      <w:r w:rsidRPr="00325EF7">
        <w:t> </w:t>
      </w:r>
    </w:p>
    <w:p w14:paraId="3E90725B" w14:textId="5CFFF6B7" w:rsidR="00AB1A47" w:rsidRDefault="00B84812" w:rsidP="00E55094">
      <w:pPr>
        <w:spacing w:before="240" w:after="240" w:line="240" w:lineRule="auto"/>
        <w:ind w:left="-142"/>
      </w:pPr>
      <w:r>
        <w:lastRenderedPageBreak/>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467FED7E" w14:textId="29E4EE15" w:rsidR="00D1085F" w:rsidRDefault="00456F16" w:rsidP="00366AB0">
      <w:pPr>
        <w:pStyle w:val="Heading2"/>
        <w:spacing w:after="240"/>
        <w:ind w:left="-142" w:firstLine="142"/>
      </w:pPr>
      <w:bookmarkStart w:id="48" w:name="_Toc40179124"/>
      <w:r w:rsidRPr="00325EF7">
        <w:t xml:space="preserve">Reasons for providers reporting non-compliance to </w:t>
      </w:r>
      <w:r w:rsidR="008374F1">
        <w:t>Services Australia</w:t>
      </w:r>
      <w:r w:rsidR="0081459B">
        <w:t xml:space="preserve"> </w:t>
      </w:r>
      <w:r w:rsidR="00A0477C">
        <w:t>1 October to 31 December 2019</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Reasons for providers reporting non-compliance to the Department of Human Services 1 July to 30 September 2019"/>
      </w:tblPr>
      <w:tblGrid>
        <w:gridCol w:w="4879"/>
        <w:gridCol w:w="4702"/>
        <w:gridCol w:w="4367"/>
      </w:tblGrid>
      <w:tr w:rsidR="0081459B" w:rsidRPr="00116BAB" w14:paraId="14C40CB4" w14:textId="77777777" w:rsidTr="00777286">
        <w:trPr>
          <w:tblHeader/>
        </w:trPr>
        <w:tc>
          <w:tcPr>
            <w:tcW w:w="4879" w:type="dxa"/>
          </w:tcPr>
          <w:p w14:paraId="225BC9D5" w14:textId="77777777" w:rsidR="0081459B" w:rsidRPr="00DC5FD3" w:rsidRDefault="0081459B" w:rsidP="006E718B">
            <w:pPr>
              <w:rPr>
                <w:b/>
              </w:rPr>
            </w:pPr>
            <w:bookmarkStart w:id="49" w:name="_Toc39765584"/>
            <w:r w:rsidRPr="00DC5FD3">
              <w:rPr>
                <w:b/>
              </w:rPr>
              <w:t>Reasons</w:t>
            </w:r>
            <w:bookmarkEnd w:id="49"/>
          </w:p>
        </w:tc>
        <w:tc>
          <w:tcPr>
            <w:tcW w:w="4702" w:type="dxa"/>
          </w:tcPr>
          <w:p w14:paraId="365AA80D" w14:textId="77777777" w:rsidR="0081459B" w:rsidRPr="00DC5FD3" w:rsidRDefault="0081459B" w:rsidP="006E718B">
            <w:pPr>
              <w:rPr>
                <w:b/>
              </w:rPr>
            </w:pPr>
            <w:bookmarkStart w:id="50" w:name="_Toc39765585"/>
            <w:r w:rsidRPr="00DC5FD3">
              <w:rPr>
                <w:b/>
              </w:rPr>
              <w:t>Number</w:t>
            </w:r>
            <w:bookmarkEnd w:id="50"/>
          </w:p>
        </w:tc>
        <w:tc>
          <w:tcPr>
            <w:tcW w:w="4367" w:type="dxa"/>
          </w:tcPr>
          <w:p w14:paraId="4EEDD2FD" w14:textId="77777777" w:rsidR="0081459B" w:rsidRPr="00DC5FD3" w:rsidRDefault="0081459B" w:rsidP="006E718B">
            <w:pPr>
              <w:rPr>
                <w:b/>
              </w:rPr>
            </w:pPr>
            <w:bookmarkStart w:id="51" w:name="_Toc39765586"/>
            <w:r w:rsidRPr="00DC5FD3">
              <w:rPr>
                <w:b/>
              </w:rPr>
              <w:t>Percent</w:t>
            </w:r>
            <w:bookmarkEnd w:id="51"/>
          </w:p>
        </w:tc>
      </w:tr>
      <w:tr w:rsidR="0081459B" w:rsidRPr="00116BAB" w14:paraId="31200148" w14:textId="77777777" w:rsidTr="00777286">
        <w:tc>
          <w:tcPr>
            <w:tcW w:w="4879" w:type="dxa"/>
          </w:tcPr>
          <w:p w14:paraId="4028123C" w14:textId="77777777" w:rsidR="0081459B" w:rsidRPr="00116BAB" w:rsidRDefault="0081459B" w:rsidP="006E718B">
            <w:bookmarkStart w:id="52" w:name="_Toc39765587"/>
            <w:r w:rsidRPr="000C0C08">
              <w:t>Failure to attend provider appointment and other reasons</w:t>
            </w:r>
            <w:bookmarkEnd w:id="52"/>
          </w:p>
        </w:tc>
        <w:tc>
          <w:tcPr>
            <w:tcW w:w="4702" w:type="dxa"/>
          </w:tcPr>
          <w:p w14:paraId="5C504E27" w14:textId="3CF50B11" w:rsidR="0081459B" w:rsidRPr="00DC5FD3" w:rsidRDefault="00C02E78" w:rsidP="006E718B">
            <w:bookmarkStart w:id="53" w:name="_Toc39765588"/>
            <w:r w:rsidRPr="00DC5FD3">
              <w:t>18,491</w:t>
            </w:r>
            <w:bookmarkEnd w:id="53"/>
          </w:p>
        </w:tc>
        <w:tc>
          <w:tcPr>
            <w:tcW w:w="4367" w:type="dxa"/>
          </w:tcPr>
          <w:p w14:paraId="0FD31D84" w14:textId="07B87FB1" w:rsidR="0081459B" w:rsidRPr="00DC5FD3" w:rsidRDefault="00C02E78" w:rsidP="006E718B">
            <w:bookmarkStart w:id="54" w:name="_Toc39765589"/>
            <w:r w:rsidRPr="00DC5FD3">
              <w:t>27%</w:t>
            </w:r>
            <w:bookmarkEnd w:id="54"/>
          </w:p>
        </w:tc>
      </w:tr>
      <w:tr w:rsidR="00C02E78" w:rsidRPr="00116BAB" w14:paraId="1B9CD902" w14:textId="77777777" w:rsidTr="00777286">
        <w:tc>
          <w:tcPr>
            <w:tcW w:w="4879" w:type="dxa"/>
          </w:tcPr>
          <w:p w14:paraId="33DE0711" w14:textId="77777777" w:rsidR="00C02E78" w:rsidRPr="00116BAB" w:rsidRDefault="00C02E78" w:rsidP="006E718B">
            <w:bookmarkStart w:id="55" w:name="_Toc39765590"/>
            <w:r w:rsidRPr="000C0C08">
              <w:t>Failure to attend activity</w:t>
            </w:r>
            <w:bookmarkEnd w:id="55"/>
          </w:p>
        </w:tc>
        <w:tc>
          <w:tcPr>
            <w:tcW w:w="4702" w:type="dxa"/>
            <w:shd w:val="clear" w:color="auto" w:fill="auto"/>
            <w:vAlign w:val="center"/>
          </w:tcPr>
          <w:p w14:paraId="67C1DDD5" w14:textId="07557C0D" w:rsidR="00C02E78" w:rsidRPr="00DC5FD3" w:rsidRDefault="00C02E78" w:rsidP="006E718B">
            <w:bookmarkStart w:id="56" w:name="_Toc39765591"/>
            <w:r w:rsidRPr="00DC5FD3">
              <w:rPr>
                <w:rFonts w:eastAsia="Times New Roman" w:cs="Calibri"/>
                <w:color w:val="000000"/>
                <w:lang w:eastAsia="en-AU"/>
              </w:rPr>
              <w:t>49,529</w:t>
            </w:r>
            <w:bookmarkEnd w:id="56"/>
          </w:p>
        </w:tc>
        <w:tc>
          <w:tcPr>
            <w:tcW w:w="4367" w:type="dxa"/>
            <w:shd w:val="clear" w:color="auto" w:fill="auto"/>
            <w:vAlign w:val="center"/>
          </w:tcPr>
          <w:p w14:paraId="1368193C" w14:textId="7584C65A" w:rsidR="00C02E78" w:rsidRPr="00DC5FD3" w:rsidRDefault="00C02E78" w:rsidP="006E718B">
            <w:bookmarkStart w:id="57" w:name="_Toc39765592"/>
            <w:r w:rsidRPr="00DC5FD3">
              <w:rPr>
                <w:rFonts w:eastAsia="Times New Roman" w:cs="Calibri"/>
                <w:color w:val="000000"/>
                <w:lang w:eastAsia="en-AU"/>
              </w:rPr>
              <w:t>73%</w:t>
            </w:r>
            <w:bookmarkEnd w:id="57"/>
          </w:p>
        </w:tc>
      </w:tr>
      <w:tr w:rsidR="0081459B" w:rsidRPr="00116BAB" w14:paraId="33ED89F8" w14:textId="77777777" w:rsidTr="00777286">
        <w:tc>
          <w:tcPr>
            <w:tcW w:w="4879" w:type="dxa"/>
          </w:tcPr>
          <w:p w14:paraId="6B3DDCC5" w14:textId="77777777" w:rsidR="0081459B" w:rsidRPr="00DC5FD3" w:rsidRDefault="0081459B" w:rsidP="006E718B">
            <w:pPr>
              <w:rPr>
                <w:b/>
              </w:rPr>
            </w:pPr>
            <w:bookmarkStart w:id="58" w:name="_Toc39765593"/>
            <w:r w:rsidRPr="00DC5FD3">
              <w:rPr>
                <w:b/>
              </w:rPr>
              <w:t>Total for all reasons</w:t>
            </w:r>
            <w:bookmarkEnd w:id="58"/>
          </w:p>
        </w:tc>
        <w:tc>
          <w:tcPr>
            <w:tcW w:w="4702" w:type="dxa"/>
          </w:tcPr>
          <w:p w14:paraId="3F4B5080" w14:textId="05783C4F" w:rsidR="0081459B" w:rsidRPr="00DC5FD3" w:rsidRDefault="00C02E78" w:rsidP="006E718B">
            <w:pPr>
              <w:rPr>
                <w:b/>
              </w:rPr>
            </w:pPr>
            <w:bookmarkStart w:id="59" w:name="_Toc39765594"/>
            <w:r w:rsidRPr="00DC5FD3">
              <w:rPr>
                <w:b/>
              </w:rPr>
              <w:t>68,020</w:t>
            </w:r>
            <w:bookmarkEnd w:id="59"/>
          </w:p>
        </w:tc>
        <w:tc>
          <w:tcPr>
            <w:tcW w:w="4367" w:type="dxa"/>
          </w:tcPr>
          <w:p w14:paraId="475C1DBC" w14:textId="1070C59E" w:rsidR="0081459B" w:rsidRPr="00DC5FD3" w:rsidRDefault="00C02E78" w:rsidP="006E718B">
            <w:pPr>
              <w:rPr>
                <w:b/>
              </w:rPr>
            </w:pPr>
            <w:bookmarkStart w:id="60" w:name="_Toc39765595"/>
            <w:r w:rsidRPr="00DC5FD3">
              <w:rPr>
                <w:b/>
              </w:rPr>
              <w:t>100%</w:t>
            </w:r>
            <w:bookmarkEnd w:id="60"/>
          </w:p>
        </w:tc>
      </w:tr>
    </w:tbl>
    <w:p w14:paraId="3CC257C4" w14:textId="08ED7545"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18B888EC" w14:textId="7B70BA5E" w:rsidR="001E1607" w:rsidRDefault="001E1607" w:rsidP="0081459B">
      <w:pPr>
        <w:ind w:left="0"/>
      </w:pPr>
    </w:p>
    <w:p w14:paraId="2EAAAC53" w14:textId="79B29D64" w:rsidR="001E1607" w:rsidRDefault="001E1607" w:rsidP="0081459B">
      <w:pPr>
        <w:ind w:left="0"/>
      </w:pPr>
    </w:p>
    <w:p w14:paraId="544D0528" w14:textId="76116EB8" w:rsidR="001E1607" w:rsidRDefault="001E1607" w:rsidP="0081459B">
      <w:pPr>
        <w:ind w:left="0"/>
      </w:pPr>
    </w:p>
    <w:p w14:paraId="15D17DA9" w14:textId="45E06967" w:rsidR="001E1607" w:rsidRDefault="001E1607" w:rsidP="0081459B">
      <w:pPr>
        <w:ind w:left="0"/>
      </w:pPr>
    </w:p>
    <w:p w14:paraId="4D3866D7" w14:textId="1249F84A" w:rsidR="001E1607" w:rsidRDefault="001E1607" w:rsidP="0081459B">
      <w:pPr>
        <w:ind w:left="0"/>
      </w:pPr>
    </w:p>
    <w:p w14:paraId="3AC6DF5D" w14:textId="77777777" w:rsidR="001E1607" w:rsidRDefault="001E1607" w:rsidP="0081459B">
      <w:pPr>
        <w:ind w:left="0"/>
      </w:pPr>
    </w:p>
    <w:p w14:paraId="06ADC5F6" w14:textId="61AE3D79" w:rsidR="00E909FA" w:rsidRPr="00E55094" w:rsidRDefault="008374F1" w:rsidP="00456F16">
      <w:pPr>
        <w:pStyle w:val="Heading2"/>
        <w:ind w:left="-142" w:firstLine="142"/>
      </w:pPr>
      <w:bookmarkStart w:id="61" w:name="_Toc40179125"/>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61"/>
    </w:p>
    <w:p w14:paraId="539013FB" w14:textId="3F27E177" w:rsidR="000C1C5A" w:rsidRPr="001053D0" w:rsidRDefault="006D18C4" w:rsidP="001053D0">
      <w:pPr>
        <w:pStyle w:val="Heading3"/>
        <w:numPr>
          <w:ilvl w:val="0"/>
          <w:numId w:val="0"/>
        </w:numPr>
        <w:rPr>
          <w:rFonts w:ascii="Arial" w:hAnsi="Arial" w:cs="Arial"/>
          <w:i/>
        </w:rPr>
      </w:pPr>
      <w:bookmarkStart w:id="62" w:name="_Toc40179126"/>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8374F1">
        <w:rPr>
          <w:rFonts w:ascii="Arial" w:hAnsi="Arial" w:cs="Arial"/>
          <w:i/>
        </w:rPr>
        <w:t>Services Australia</w:t>
      </w:r>
      <w:r w:rsidR="000C1C5A" w:rsidRPr="001053D0">
        <w:rPr>
          <w:rFonts w:ascii="Arial" w:hAnsi="Arial" w:cs="Arial"/>
          <w:i/>
        </w:rPr>
        <w:t xml:space="preserve"> responses to Provider Appointment Reports and Participation Reports</w:t>
      </w:r>
      <w:r w:rsidR="0081459B" w:rsidRPr="001053D0">
        <w:rPr>
          <w:rFonts w:ascii="Arial" w:hAnsi="Arial" w:cs="Arial"/>
          <w:i/>
        </w:rPr>
        <w:t xml:space="preserve"> </w:t>
      </w:r>
      <w:r w:rsidR="00A0477C">
        <w:rPr>
          <w:rFonts w:ascii="Arial" w:hAnsi="Arial" w:cs="Arial"/>
          <w:i/>
        </w:rPr>
        <w:t>1 October to 31 December 2019</w:t>
      </w:r>
      <w:bookmarkEnd w:id="62"/>
      <w:r w:rsidR="001053D0" w:rsidRPr="001053D0">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artment of Human Services responses to Provider Appointment Reports and Participation Reports 1 July to 30 September 2019"/>
      </w:tblPr>
      <w:tblGrid>
        <w:gridCol w:w="4894"/>
        <w:gridCol w:w="4695"/>
        <w:gridCol w:w="4359"/>
      </w:tblGrid>
      <w:tr w:rsidR="0081459B" w:rsidRPr="00116BAB" w14:paraId="29DDE4A0" w14:textId="77777777" w:rsidTr="00777286">
        <w:trPr>
          <w:tblHeader/>
        </w:trPr>
        <w:tc>
          <w:tcPr>
            <w:tcW w:w="4894" w:type="dxa"/>
          </w:tcPr>
          <w:p w14:paraId="668F0271" w14:textId="77777777" w:rsidR="0081459B" w:rsidRPr="00BE0AA2" w:rsidRDefault="0081459B" w:rsidP="006E718B">
            <w:pPr>
              <w:rPr>
                <w:b/>
              </w:rPr>
            </w:pPr>
            <w:bookmarkStart w:id="63" w:name="_Toc39765598"/>
            <w:r w:rsidRPr="00BE0AA2">
              <w:rPr>
                <w:b/>
              </w:rPr>
              <w:t>Responses to Provider Appointment and Participation Reports</w:t>
            </w:r>
            <w:bookmarkEnd w:id="63"/>
          </w:p>
        </w:tc>
        <w:tc>
          <w:tcPr>
            <w:tcW w:w="4695" w:type="dxa"/>
          </w:tcPr>
          <w:p w14:paraId="175DA1EA" w14:textId="77777777" w:rsidR="0081459B" w:rsidRPr="00BE0AA2" w:rsidRDefault="0081459B" w:rsidP="006E718B">
            <w:pPr>
              <w:rPr>
                <w:b/>
              </w:rPr>
            </w:pPr>
            <w:bookmarkStart w:id="64" w:name="_Toc39765599"/>
            <w:r w:rsidRPr="00BE0AA2">
              <w:rPr>
                <w:b/>
              </w:rPr>
              <w:t>Number</w:t>
            </w:r>
            <w:bookmarkEnd w:id="64"/>
          </w:p>
        </w:tc>
        <w:tc>
          <w:tcPr>
            <w:tcW w:w="4359" w:type="dxa"/>
          </w:tcPr>
          <w:p w14:paraId="7E1940F5" w14:textId="77777777" w:rsidR="0081459B" w:rsidRPr="00BE0AA2" w:rsidRDefault="0081459B" w:rsidP="006E718B">
            <w:pPr>
              <w:rPr>
                <w:b/>
              </w:rPr>
            </w:pPr>
            <w:bookmarkStart w:id="65" w:name="_Toc39765600"/>
            <w:r w:rsidRPr="00BE0AA2">
              <w:rPr>
                <w:b/>
              </w:rPr>
              <w:t>Percent</w:t>
            </w:r>
            <w:bookmarkEnd w:id="65"/>
          </w:p>
        </w:tc>
      </w:tr>
      <w:tr w:rsidR="00C02E78" w:rsidRPr="000C0C08" w14:paraId="2D9D20A9" w14:textId="77777777" w:rsidTr="00777286">
        <w:tc>
          <w:tcPr>
            <w:tcW w:w="4894" w:type="dxa"/>
          </w:tcPr>
          <w:p w14:paraId="40989E13" w14:textId="77777777" w:rsidR="00C02E78" w:rsidRPr="00116BAB" w:rsidRDefault="00C02E78" w:rsidP="006E718B">
            <w:bookmarkStart w:id="66" w:name="_Toc39765601"/>
            <w:r w:rsidRPr="000C0C08">
              <w:t>Participation Failure imposed (Applied)</w:t>
            </w:r>
            <w:bookmarkEnd w:id="66"/>
          </w:p>
        </w:tc>
        <w:tc>
          <w:tcPr>
            <w:tcW w:w="4695" w:type="dxa"/>
            <w:vAlign w:val="center"/>
          </w:tcPr>
          <w:p w14:paraId="39F51179" w14:textId="6F451A92" w:rsidR="00C02E78" w:rsidRPr="00BE0AA2" w:rsidRDefault="00C02E78" w:rsidP="006E718B">
            <w:bookmarkStart w:id="67" w:name="_Toc39765602"/>
            <w:r w:rsidRPr="00BE0AA2">
              <w:rPr>
                <w:rFonts w:cs="Gill Sans MT"/>
                <w:color w:val="000000"/>
              </w:rPr>
              <w:t>22,394</w:t>
            </w:r>
            <w:bookmarkEnd w:id="67"/>
          </w:p>
        </w:tc>
        <w:tc>
          <w:tcPr>
            <w:tcW w:w="4359" w:type="dxa"/>
            <w:vAlign w:val="center"/>
          </w:tcPr>
          <w:p w14:paraId="09AC2F3E" w14:textId="491938DE" w:rsidR="00C02E78" w:rsidRPr="00BE0AA2" w:rsidRDefault="00C02E78" w:rsidP="006E718B">
            <w:bookmarkStart w:id="68" w:name="_Toc39765603"/>
            <w:r w:rsidRPr="00BE0AA2">
              <w:rPr>
                <w:rFonts w:cs="Gill Sans MT"/>
                <w:color w:val="000000"/>
              </w:rPr>
              <w:t>45%</w:t>
            </w:r>
            <w:bookmarkEnd w:id="68"/>
          </w:p>
        </w:tc>
      </w:tr>
      <w:tr w:rsidR="00C02E78" w:rsidRPr="000C0C08" w14:paraId="18BBC390" w14:textId="77777777" w:rsidTr="00777286">
        <w:tc>
          <w:tcPr>
            <w:tcW w:w="4894" w:type="dxa"/>
          </w:tcPr>
          <w:p w14:paraId="7FFAC3A4" w14:textId="77777777" w:rsidR="00C02E78" w:rsidRPr="00116BAB" w:rsidRDefault="00C02E78" w:rsidP="006E718B">
            <w:bookmarkStart w:id="69" w:name="_Toc39765604"/>
            <w:r w:rsidRPr="000C0C08">
              <w:t>Participation Failure not imposed (Rejected)</w:t>
            </w:r>
            <w:bookmarkEnd w:id="69"/>
          </w:p>
        </w:tc>
        <w:tc>
          <w:tcPr>
            <w:tcW w:w="4695" w:type="dxa"/>
            <w:vAlign w:val="center"/>
          </w:tcPr>
          <w:p w14:paraId="52305906" w14:textId="7AB728F8" w:rsidR="00C02E78" w:rsidRPr="00BE0AA2" w:rsidRDefault="00C02E78" w:rsidP="006E718B">
            <w:bookmarkStart w:id="70" w:name="_Toc39765605"/>
            <w:r w:rsidRPr="00BE0AA2">
              <w:rPr>
                <w:rFonts w:cs="Gill Sans MT"/>
                <w:color w:val="000000"/>
              </w:rPr>
              <w:t>27,156</w:t>
            </w:r>
            <w:bookmarkEnd w:id="70"/>
          </w:p>
        </w:tc>
        <w:tc>
          <w:tcPr>
            <w:tcW w:w="4359" w:type="dxa"/>
            <w:vAlign w:val="center"/>
          </w:tcPr>
          <w:p w14:paraId="23D40B21" w14:textId="5FABA854" w:rsidR="00C02E78" w:rsidRPr="00BE0AA2" w:rsidRDefault="00C02E78" w:rsidP="006E718B">
            <w:bookmarkStart w:id="71" w:name="_Toc39765606"/>
            <w:r w:rsidRPr="00BE0AA2">
              <w:rPr>
                <w:rFonts w:cs="Gill Sans MT"/>
                <w:color w:val="000000"/>
              </w:rPr>
              <w:t>55%</w:t>
            </w:r>
            <w:bookmarkEnd w:id="71"/>
          </w:p>
        </w:tc>
      </w:tr>
      <w:tr w:rsidR="0081459B" w:rsidRPr="000C0C08" w14:paraId="01CE96FD" w14:textId="77777777" w:rsidTr="00777286">
        <w:tc>
          <w:tcPr>
            <w:tcW w:w="4894" w:type="dxa"/>
          </w:tcPr>
          <w:p w14:paraId="764A253B" w14:textId="77777777" w:rsidR="0081459B" w:rsidRPr="00BE0AA2" w:rsidRDefault="0081459B" w:rsidP="006E718B">
            <w:pPr>
              <w:rPr>
                <w:b/>
              </w:rPr>
            </w:pPr>
            <w:bookmarkStart w:id="72" w:name="_Toc39765607"/>
            <w:r w:rsidRPr="00BE0AA2">
              <w:rPr>
                <w:b/>
              </w:rPr>
              <w:t>Total reports</w:t>
            </w:r>
            <w:bookmarkEnd w:id="72"/>
          </w:p>
        </w:tc>
        <w:tc>
          <w:tcPr>
            <w:tcW w:w="4695" w:type="dxa"/>
          </w:tcPr>
          <w:p w14:paraId="158331EF" w14:textId="5414C282" w:rsidR="0081459B" w:rsidRPr="00BE0AA2" w:rsidRDefault="00C02E78" w:rsidP="006E718B">
            <w:pPr>
              <w:rPr>
                <w:b/>
              </w:rPr>
            </w:pPr>
            <w:bookmarkStart w:id="73" w:name="_Toc39765608"/>
            <w:r w:rsidRPr="00BE0AA2">
              <w:rPr>
                <w:b/>
              </w:rPr>
              <w:t>49,550</w:t>
            </w:r>
            <w:bookmarkEnd w:id="73"/>
          </w:p>
        </w:tc>
        <w:tc>
          <w:tcPr>
            <w:tcW w:w="4359" w:type="dxa"/>
          </w:tcPr>
          <w:p w14:paraId="651F6E12" w14:textId="3BB77850" w:rsidR="0081459B" w:rsidRPr="00BE0AA2" w:rsidRDefault="00C02E78" w:rsidP="006E718B">
            <w:pPr>
              <w:rPr>
                <w:b/>
              </w:rPr>
            </w:pPr>
            <w:bookmarkStart w:id="74" w:name="_Toc39765609"/>
            <w:r w:rsidRPr="00BE0AA2">
              <w:rPr>
                <w:b/>
              </w:rPr>
              <w:t>100%</w:t>
            </w:r>
            <w:bookmarkEnd w:id="74"/>
          </w:p>
        </w:tc>
      </w:tr>
    </w:tbl>
    <w:p w14:paraId="2518F5FF" w14:textId="514D0FD2" w:rsidR="00B84812" w:rsidRPr="008C625E" w:rsidRDefault="00B84812" w:rsidP="00B84812">
      <w:pPr>
        <w:ind w:left="-142"/>
      </w:pPr>
      <w:r w:rsidRPr="00325EF7">
        <w:t xml:space="preserve">Participation Reports and Provider Appointment Reports are rejected if </w:t>
      </w:r>
      <w:r w:rsidR="008374F1">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8374F1">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9A1F3F4" w14:textId="140E00C6"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8374F1">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00A25EBF" w14:textId="5500D279" w:rsidR="00954B8A" w:rsidRPr="00DC5FD3" w:rsidRDefault="00E55094" w:rsidP="004B2B7B">
      <w:pPr>
        <w:pStyle w:val="Heading3"/>
        <w:numPr>
          <w:ilvl w:val="0"/>
          <w:numId w:val="0"/>
        </w:numPr>
      </w:pPr>
      <w:bookmarkStart w:id="75" w:name="_Toc490635921"/>
      <w:r>
        <w:br w:type="page"/>
      </w:r>
      <w:bookmarkStart w:id="76" w:name="_Toc40179127"/>
      <w:r w:rsidR="00954B8A" w:rsidRPr="00DC5FD3">
        <w:lastRenderedPageBreak/>
        <w:t>6b.</w:t>
      </w:r>
      <w:r w:rsidR="00954B8A" w:rsidRPr="00DC5FD3">
        <w:tab/>
        <w:t xml:space="preserve">Participation Failures applied by </w:t>
      </w:r>
      <w:r w:rsidR="008374F1" w:rsidRPr="00DC5FD3">
        <w:t>Services Australia</w:t>
      </w:r>
      <w:r w:rsidR="00954B8A" w:rsidRPr="00DC5FD3">
        <w:t xml:space="preserve"> due to unacceptable reasons given by job seekers for non-attendance</w:t>
      </w:r>
      <w:bookmarkEnd w:id="75"/>
      <w:r w:rsidR="00BF3037" w:rsidRPr="00DC5FD3">
        <w:t xml:space="preserve"> </w:t>
      </w:r>
      <w:r w:rsidR="00A0477C" w:rsidRPr="00DC5FD3">
        <w:t>1 October to 31 December 2019</w:t>
      </w:r>
      <w:bookmarkEnd w:id="76"/>
      <w:r w:rsidR="001053D0" w:rsidRPr="00DC5FD3">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3F7D91" w:rsidRPr="00023622" w14:paraId="6B09AC41"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0197317"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B6131EB" w14:textId="762371CE"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AC4CD6C"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72E8B41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D223BE9"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5561550D" w14:textId="599544A9"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08B3DC" w14:textId="6BF0DF76"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68EC15A"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452E1C0"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AB7085" w14:textId="76AC8868"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87C20" w14:textId="37D0E6E2"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718BC49"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9C588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1FE4F01" w14:textId="123713F1"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4297FCE" w14:textId="5CD5A492"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B65F094"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AFBFAB6"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FCDE8D1" w14:textId="17B8853C"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9696574" w14:textId="3E4A74DF"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63EC2653"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CB24A6"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C49C7B2" w14:textId="43D17484"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7EFE3C" w14:textId="3BEFAF53"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2C98C7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58738E2"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F9E242B" w14:textId="471D7F25"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0DE7F61" w14:textId="0B483178"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F266FAD"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091DD3F3"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858BF49" w14:textId="3883A1CD"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FAF3238" w14:textId="1B84DC1F"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ECE66F8"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9717D0"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F7969D8" w14:textId="58B31ECC"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FDE50CC" w14:textId="31B29128"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ABAB5C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F510F29"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3BF7448" w14:textId="41CC52A8"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2DCC692" w14:textId="4B5D5DC1"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8A7B91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7DBFB3F"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D42479A" w14:textId="2A8A2D31"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C19CC4" w14:textId="6C0797CD"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A9FE427"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5735495"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480B3B0" w14:textId="74452A9D" w:rsidR="008D1F89" w:rsidRPr="00023622" w:rsidRDefault="00C02E78"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29</w:t>
            </w:r>
          </w:p>
        </w:tc>
        <w:tc>
          <w:tcPr>
            <w:tcW w:w="4913" w:type="dxa"/>
            <w:tcBorders>
              <w:top w:val="single" w:sz="5" w:space="0" w:color="000000"/>
              <w:left w:val="single" w:sz="5" w:space="0" w:color="000000"/>
              <w:bottom w:val="single" w:sz="5" w:space="0" w:color="000000"/>
              <w:right w:val="single" w:sz="5" w:space="0" w:color="000000"/>
            </w:tcBorders>
          </w:tcPr>
          <w:p w14:paraId="087A65CB" w14:textId="2D309492"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&lt;1%</w:t>
            </w:r>
          </w:p>
        </w:tc>
      </w:tr>
      <w:tr w:rsidR="008D1F89" w:rsidRPr="00023622" w14:paraId="4854046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30089FA"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06BA258C" w14:textId="519B80CB" w:rsidR="008D1F89" w:rsidRPr="00023622" w:rsidRDefault="00C02E78" w:rsidP="008D1F89">
            <w:pPr>
              <w:pStyle w:val="TableParagraph"/>
              <w:spacing w:before="20"/>
              <w:ind w:left="4"/>
              <w:jc w:val="center"/>
              <w:rPr>
                <w:rFonts w:ascii="Gill Sans MT" w:eastAsia="Gill Sans MT" w:hAnsi="Gill Sans MT" w:cs="Gill Sans MT"/>
              </w:rPr>
            </w:pPr>
            <w:r>
              <w:rPr>
                <w:rFonts w:ascii="Gill Sans MT" w:eastAsia="Gill Sans MT" w:hAnsi="Gill Sans MT" w:cs="Gill Sans MT"/>
              </w:rPr>
              <w:t>22,365</w:t>
            </w:r>
          </w:p>
        </w:tc>
        <w:tc>
          <w:tcPr>
            <w:tcW w:w="4913" w:type="dxa"/>
            <w:tcBorders>
              <w:top w:val="single" w:sz="5" w:space="0" w:color="000000"/>
              <w:left w:val="single" w:sz="5" w:space="0" w:color="000000"/>
              <w:bottom w:val="single" w:sz="5" w:space="0" w:color="000000"/>
              <w:right w:val="single" w:sz="5" w:space="0" w:color="000000"/>
            </w:tcBorders>
          </w:tcPr>
          <w:p w14:paraId="2E3F2AA7" w14:textId="6E782CF6"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100%</w:t>
            </w:r>
          </w:p>
        </w:tc>
      </w:tr>
      <w:tr w:rsidR="008D1F89" w:rsidRPr="00023622" w14:paraId="5F94967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A391AE3" w14:textId="77777777" w:rsidR="008D1F89" w:rsidRPr="00BE0AA2" w:rsidRDefault="008D1F89" w:rsidP="008D1F89">
            <w:pPr>
              <w:pStyle w:val="TableParagraph"/>
              <w:spacing w:before="15"/>
              <w:ind w:left="102"/>
              <w:rPr>
                <w:rFonts w:ascii="Gill Sans MT" w:eastAsia="Gill Sans MT" w:hAnsi="Gill Sans MT" w:cs="Gill Sans MT"/>
                <w:b/>
              </w:rPr>
            </w:pPr>
            <w:r w:rsidRPr="00BE0AA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BC956E5" w14:textId="362419BF" w:rsidR="008D1F89" w:rsidRPr="00BE0AA2" w:rsidRDefault="00C02E78" w:rsidP="008D1F89">
            <w:pPr>
              <w:pStyle w:val="TableParagraph"/>
              <w:spacing w:before="15"/>
              <w:ind w:left="5"/>
              <w:jc w:val="center"/>
              <w:rPr>
                <w:rFonts w:ascii="Gill Sans MT" w:eastAsia="Gill Sans MT" w:hAnsi="Gill Sans MT" w:cs="Gill Sans MT"/>
                <w:b/>
              </w:rPr>
            </w:pPr>
            <w:r w:rsidRPr="00BE0AA2">
              <w:rPr>
                <w:rFonts w:ascii="Gill Sans MT" w:eastAsia="Gill Sans MT" w:hAnsi="Gill Sans MT" w:cs="Gill Sans MT"/>
                <w:b/>
              </w:rPr>
              <w:t>22,394</w:t>
            </w:r>
          </w:p>
        </w:tc>
        <w:tc>
          <w:tcPr>
            <w:tcW w:w="4913" w:type="dxa"/>
            <w:tcBorders>
              <w:top w:val="single" w:sz="5" w:space="0" w:color="000000"/>
              <w:left w:val="single" w:sz="5" w:space="0" w:color="000000"/>
              <w:bottom w:val="single" w:sz="5" w:space="0" w:color="000000"/>
              <w:right w:val="single" w:sz="5" w:space="0" w:color="000000"/>
            </w:tcBorders>
          </w:tcPr>
          <w:p w14:paraId="561786A0" w14:textId="6E83B136" w:rsidR="008D1F89" w:rsidRPr="00BE0AA2" w:rsidRDefault="008D1F89" w:rsidP="008D1F89">
            <w:pPr>
              <w:pStyle w:val="TableParagraph"/>
              <w:spacing w:before="15"/>
              <w:ind w:left="6"/>
              <w:jc w:val="center"/>
              <w:rPr>
                <w:rFonts w:ascii="Gill Sans MT" w:eastAsia="Gill Sans MT" w:hAnsi="Gill Sans MT" w:cs="Gill Sans MT"/>
                <w:b/>
              </w:rPr>
            </w:pPr>
            <w:r w:rsidRPr="00BE0AA2">
              <w:rPr>
                <w:rFonts w:ascii="Gill Sans MT" w:eastAsia="Gill Sans MT" w:hAnsi="Gill Sans MT" w:cs="Gill Sans MT"/>
                <w:b/>
              </w:rPr>
              <w:t>100%</w:t>
            </w:r>
          </w:p>
        </w:tc>
      </w:tr>
    </w:tbl>
    <w:p w14:paraId="625E4EF7" w14:textId="3794206A"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8374F1">
        <w:t>Services Australia</w:t>
      </w:r>
      <w:r w:rsidRPr="008C625E">
        <w:t>, third party appointments, with employers or for non-attendance at activities.</w:t>
      </w:r>
      <w:r w:rsidRPr="00325EF7">
        <w:t xml:space="preserve"> </w:t>
      </w:r>
    </w:p>
    <w:p w14:paraId="570848D9" w14:textId="684D783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8374F1">
        <w:t>Services Australia.</w:t>
      </w:r>
    </w:p>
    <w:p w14:paraId="4A215FE7" w14:textId="4CCEB88F" w:rsidR="005102B2" w:rsidRDefault="008374F1"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In t</w:t>
      </w:r>
      <w:r>
        <w:t>hese instances, Service</w:t>
      </w:r>
      <w:r w:rsidR="00744F51">
        <w:t>s</w:t>
      </w:r>
      <w:r>
        <w:t xml:space="preserve"> Australia’s</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2C5706" w14:textId="0C6CEF34"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077F38F" w14:textId="5BB05ECB" w:rsidR="00CF167F" w:rsidRPr="001053D0" w:rsidRDefault="00CF167F" w:rsidP="001053D0">
      <w:pPr>
        <w:pStyle w:val="Heading3"/>
        <w:numPr>
          <w:ilvl w:val="0"/>
          <w:numId w:val="0"/>
        </w:numPr>
        <w:rPr>
          <w:rFonts w:ascii="Arial" w:hAnsi="Arial" w:cs="Arial"/>
          <w:i/>
        </w:rPr>
      </w:pPr>
      <w:bookmarkStart w:id="77" w:name="_Toc490635922"/>
      <w:bookmarkStart w:id="78" w:name="_Toc40179128"/>
      <w:r w:rsidRPr="001053D0">
        <w:rPr>
          <w:rFonts w:ascii="Arial" w:hAnsi="Arial" w:cs="Arial"/>
          <w:i/>
        </w:rPr>
        <w:lastRenderedPageBreak/>
        <w:t>6</w:t>
      </w:r>
      <w:r w:rsidR="00954B8A" w:rsidRPr="001053D0">
        <w:rPr>
          <w:rFonts w:ascii="Arial" w:hAnsi="Arial" w:cs="Arial"/>
          <w:i/>
        </w:rPr>
        <w:t>c</w:t>
      </w:r>
      <w:r w:rsidR="008374F1">
        <w:rPr>
          <w:rFonts w:ascii="Arial" w:hAnsi="Arial" w:cs="Arial"/>
          <w:i/>
        </w:rPr>
        <w:t>.</w:t>
      </w:r>
      <w:r w:rsidR="008374F1">
        <w:rPr>
          <w:rFonts w:ascii="Arial" w:hAnsi="Arial" w:cs="Arial"/>
          <w:i/>
        </w:rPr>
        <w:tab/>
        <w:t>Service</w:t>
      </w:r>
      <w:r w:rsidR="00744F51">
        <w:rPr>
          <w:rFonts w:ascii="Arial" w:hAnsi="Arial" w:cs="Arial"/>
          <w:i/>
        </w:rPr>
        <w:t>s</w:t>
      </w:r>
      <w:r w:rsidR="008374F1">
        <w:rPr>
          <w:rFonts w:ascii="Arial" w:hAnsi="Arial" w:cs="Arial"/>
          <w:i/>
        </w:rPr>
        <w:t xml:space="preserve"> Australia’s</w:t>
      </w:r>
      <w:r w:rsidRPr="001053D0">
        <w:rPr>
          <w:rFonts w:ascii="Arial" w:hAnsi="Arial" w:cs="Arial"/>
          <w:i/>
        </w:rPr>
        <w:t xml:space="preserve"> reasons for applying Provider Appointment Reports or Participation Reports</w:t>
      </w:r>
      <w:bookmarkEnd w:id="77"/>
      <w:r w:rsidR="0081459B" w:rsidRPr="001053D0">
        <w:rPr>
          <w:rFonts w:ascii="Arial" w:hAnsi="Arial" w:cs="Arial"/>
          <w:i/>
        </w:rPr>
        <w:t xml:space="preserve"> 1 </w:t>
      </w:r>
      <w:r w:rsidR="00A67A6B">
        <w:rPr>
          <w:rFonts w:ascii="Arial" w:hAnsi="Arial" w:cs="Arial"/>
          <w:i/>
        </w:rPr>
        <w:t>October</w:t>
      </w:r>
      <w:r w:rsidR="0081459B" w:rsidRPr="001053D0">
        <w:rPr>
          <w:rFonts w:ascii="Arial" w:hAnsi="Arial" w:cs="Arial"/>
          <w:i/>
        </w:rPr>
        <w:t xml:space="preserve"> to </w:t>
      </w:r>
      <w:r w:rsidR="00BF3037" w:rsidRPr="001053D0">
        <w:rPr>
          <w:rFonts w:ascii="Arial" w:hAnsi="Arial" w:cs="Arial"/>
          <w:i/>
        </w:rPr>
        <w:br/>
      </w:r>
      <w:r w:rsidR="00A0477C">
        <w:rPr>
          <w:rFonts w:ascii="Arial" w:hAnsi="Arial" w:cs="Arial"/>
          <w:i/>
        </w:rPr>
        <w:t>31 December 2019</w:t>
      </w:r>
      <w:bookmarkEnd w:id="78"/>
      <w:r w:rsidR="001053D0">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artment of Human Services’ reasons for applying Provider Appointment Reports or Participation Reports 1 July to 30 September 2019"/>
      </w:tblPr>
      <w:tblGrid>
        <w:gridCol w:w="4830"/>
        <w:gridCol w:w="4725"/>
        <w:gridCol w:w="4393"/>
      </w:tblGrid>
      <w:tr w:rsidR="0081459B" w:rsidRPr="00116BAB" w14:paraId="08BF54D9" w14:textId="77777777" w:rsidTr="006E718B">
        <w:trPr>
          <w:tblHeader/>
        </w:trPr>
        <w:tc>
          <w:tcPr>
            <w:tcW w:w="4830" w:type="dxa"/>
          </w:tcPr>
          <w:p w14:paraId="04860823" w14:textId="77777777" w:rsidR="0081459B" w:rsidRPr="00DC5FD3" w:rsidRDefault="0081459B" w:rsidP="006E718B">
            <w:pPr>
              <w:rPr>
                <w:b/>
              </w:rPr>
            </w:pPr>
            <w:bookmarkStart w:id="79" w:name="_Toc39765612"/>
            <w:r w:rsidRPr="00DC5FD3">
              <w:rPr>
                <w:b/>
              </w:rPr>
              <w:t>Prior notice of reasonable excuse for non-attendance required</w:t>
            </w:r>
            <w:bookmarkEnd w:id="79"/>
          </w:p>
        </w:tc>
        <w:tc>
          <w:tcPr>
            <w:tcW w:w="4725" w:type="dxa"/>
          </w:tcPr>
          <w:p w14:paraId="24F2D300" w14:textId="54B73D19" w:rsidR="0081459B" w:rsidRPr="00DC5FD3" w:rsidRDefault="0081459B" w:rsidP="006E718B">
            <w:pPr>
              <w:rPr>
                <w:b/>
              </w:rPr>
            </w:pPr>
            <w:bookmarkStart w:id="80" w:name="_Toc39765613"/>
            <w:r w:rsidRPr="00DC5FD3">
              <w:rPr>
                <w:b/>
              </w:rPr>
              <w:t>Number</w:t>
            </w:r>
            <w:bookmarkEnd w:id="80"/>
          </w:p>
        </w:tc>
        <w:tc>
          <w:tcPr>
            <w:tcW w:w="4393" w:type="dxa"/>
          </w:tcPr>
          <w:p w14:paraId="129567E4" w14:textId="77777777" w:rsidR="0081459B" w:rsidRPr="00DC5FD3" w:rsidRDefault="0081459B" w:rsidP="006E718B">
            <w:pPr>
              <w:rPr>
                <w:b/>
              </w:rPr>
            </w:pPr>
            <w:bookmarkStart w:id="81" w:name="_Toc39765614"/>
            <w:r w:rsidRPr="00DC5FD3">
              <w:rPr>
                <w:b/>
              </w:rPr>
              <w:t>Percent</w:t>
            </w:r>
            <w:bookmarkEnd w:id="81"/>
          </w:p>
        </w:tc>
      </w:tr>
      <w:tr w:rsidR="00992FCC" w:rsidRPr="00116BAB" w14:paraId="587F185A" w14:textId="77777777" w:rsidTr="006E718B">
        <w:tc>
          <w:tcPr>
            <w:tcW w:w="4830" w:type="dxa"/>
          </w:tcPr>
          <w:p w14:paraId="2F26B318" w14:textId="77777777" w:rsidR="00992FCC" w:rsidRPr="00116BAB" w:rsidRDefault="00992FCC" w:rsidP="006E718B">
            <w:bookmarkStart w:id="82" w:name="_Toc39765615"/>
            <w:r w:rsidRPr="00346E3B">
              <w:t>Prior notice not given - reasonable excuse</w:t>
            </w:r>
            <w:bookmarkEnd w:id="82"/>
          </w:p>
        </w:tc>
        <w:tc>
          <w:tcPr>
            <w:tcW w:w="4725" w:type="dxa"/>
          </w:tcPr>
          <w:p w14:paraId="7AB16446" w14:textId="577CA59B" w:rsidR="00992FCC" w:rsidRPr="00DC5FD3" w:rsidRDefault="00992FCC" w:rsidP="006E718B">
            <w:bookmarkStart w:id="83" w:name="_Toc39765616"/>
            <w:r w:rsidRPr="00DC5FD3">
              <w:t>22,365</w:t>
            </w:r>
            <w:bookmarkEnd w:id="83"/>
          </w:p>
        </w:tc>
        <w:tc>
          <w:tcPr>
            <w:tcW w:w="4393" w:type="dxa"/>
          </w:tcPr>
          <w:p w14:paraId="0260D95B" w14:textId="11B1B7D5" w:rsidR="00992FCC" w:rsidRPr="00DC5FD3" w:rsidRDefault="00A335AD" w:rsidP="006E718B">
            <w:bookmarkStart w:id="84" w:name="_Toc39765617"/>
            <w:r w:rsidRPr="00DC5FD3">
              <w:t>(99.9</w:t>
            </w:r>
            <w:r w:rsidR="00992FCC" w:rsidRPr="00DC5FD3">
              <w:t>%</w:t>
            </w:r>
            <w:r w:rsidRPr="00DC5FD3">
              <w:t>)</w:t>
            </w:r>
            <w:bookmarkEnd w:id="84"/>
          </w:p>
        </w:tc>
      </w:tr>
      <w:tr w:rsidR="00992FCC" w:rsidRPr="00116BAB" w14:paraId="35E49684" w14:textId="77777777" w:rsidTr="006E718B">
        <w:tc>
          <w:tcPr>
            <w:tcW w:w="4830" w:type="dxa"/>
          </w:tcPr>
          <w:p w14:paraId="1ED6198E" w14:textId="77777777" w:rsidR="00992FCC" w:rsidRPr="00116BAB" w:rsidRDefault="00992FCC" w:rsidP="006E718B">
            <w:bookmarkStart w:id="85" w:name="_Toc39765618"/>
            <w:r w:rsidRPr="00346E3B">
              <w:t>Prior notice not given - no reasonable excuse</w:t>
            </w:r>
            <w:bookmarkEnd w:id="85"/>
          </w:p>
        </w:tc>
        <w:tc>
          <w:tcPr>
            <w:tcW w:w="4725" w:type="dxa"/>
            <w:shd w:val="clear" w:color="auto" w:fill="auto"/>
            <w:vAlign w:val="center"/>
          </w:tcPr>
          <w:p w14:paraId="169F1370" w14:textId="0582CA95" w:rsidR="00992FCC" w:rsidRPr="00DC5FD3" w:rsidRDefault="00992FCC" w:rsidP="006E718B">
            <w:bookmarkStart w:id="86" w:name="_Toc39765619"/>
            <w:r w:rsidRPr="00DC5FD3">
              <w:rPr>
                <w:rFonts w:cs="Gill Sans MT"/>
                <w:color w:val="000000"/>
              </w:rPr>
              <w:t>0</w:t>
            </w:r>
            <w:bookmarkEnd w:id="86"/>
          </w:p>
        </w:tc>
        <w:tc>
          <w:tcPr>
            <w:tcW w:w="4393" w:type="dxa"/>
            <w:shd w:val="clear" w:color="auto" w:fill="auto"/>
            <w:vAlign w:val="center"/>
          </w:tcPr>
          <w:p w14:paraId="6FB961A9" w14:textId="05A26B42" w:rsidR="00992FCC" w:rsidRPr="00DC5FD3" w:rsidRDefault="00992FCC" w:rsidP="006E718B">
            <w:bookmarkStart w:id="87" w:name="_Toc39765620"/>
            <w:r w:rsidRPr="00DC5FD3">
              <w:rPr>
                <w:rFonts w:cs="Gill Sans MT"/>
                <w:color w:val="000000"/>
              </w:rPr>
              <w:t>0%</w:t>
            </w:r>
            <w:bookmarkEnd w:id="87"/>
          </w:p>
        </w:tc>
      </w:tr>
      <w:tr w:rsidR="00992FCC" w:rsidRPr="00116BAB" w14:paraId="5FF7012A" w14:textId="77777777" w:rsidTr="006E718B">
        <w:tc>
          <w:tcPr>
            <w:tcW w:w="4830" w:type="dxa"/>
          </w:tcPr>
          <w:p w14:paraId="1D6F2530" w14:textId="77777777" w:rsidR="00992FCC" w:rsidRPr="00346E3B" w:rsidRDefault="00992FCC" w:rsidP="006E718B">
            <w:bookmarkStart w:id="88" w:name="_Toc39765621"/>
            <w:r w:rsidRPr="00346E3B">
              <w:t>Prior notice given or not relevant, but no reasonable excuse</w:t>
            </w:r>
            <w:bookmarkEnd w:id="88"/>
          </w:p>
        </w:tc>
        <w:tc>
          <w:tcPr>
            <w:tcW w:w="4725" w:type="dxa"/>
            <w:shd w:val="clear" w:color="auto" w:fill="auto"/>
            <w:vAlign w:val="center"/>
          </w:tcPr>
          <w:p w14:paraId="4BF2771B" w14:textId="1C8862C6" w:rsidR="00992FCC" w:rsidRPr="00DC5FD3" w:rsidRDefault="00992FCC" w:rsidP="006E718B">
            <w:bookmarkStart w:id="89" w:name="_Toc39765622"/>
            <w:r w:rsidRPr="00DC5FD3">
              <w:rPr>
                <w:rFonts w:cs="Gill Sans MT"/>
                <w:color w:val="000000"/>
              </w:rPr>
              <w:t>29</w:t>
            </w:r>
            <w:bookmarkEnd w:id="89"/>
          </w:p>
        </w:tc>
        <w:tc>
          <w:tcPr>
            <w:tcW w:w="4393" w:type="dxa"/>
            <w:shd w:val="clear" w:color="auto" w:fill="auto"/>
            <w:vAlign w:val="center"/>
          </w:tcPr>
          <w:p w14:paraId="2FD02A64" w14:textId="2923B342" w:rsidR="00992FCC" w:rsidRPr="00DC5FD3" w:rsidRDefault="0043502E" w:rsidP="006E718B">
            <w:bookmarkStart w:id="90" w:name="_Toc39765623"/>
            <w:r w:rsidRPr="00DC5FD3">
              <w:rPr>
                <w:rFonts w:cs="Gill Sans MT"/>
                <w:color w:val="000000"/>
              </w:rPr>
              <w:t>(</w:t>
            </w:r>
            <w:r w:rsidR="00992FCC" w:rsidRPr="00DC5FD3">
              <w:rPr>
                <w:rFonts w:cs="Gill Sans MT"/>
                <w:color w:val="000000"/>
              </w:rPr>
              <w:t>&lt;1%</w:t>
            </w:r>
            <w:r w:rsidRPr="00DC5FD3">
              <w:rPr>
                <w:rFonts w:cs="Gill Sans MT"/>
                <w:color w:val="000000"/>
              </w:rPr>
              <w:t>)</w:t>
            </w:r>
            <w:bookmarkEnd w:id="90"/>
          </w:p>
        </w:tc>
      </w:tr>
      <w:tr w:rsidR="0081459B" w:rsidRPr="00116BAB" w14:paraId="13C61086" w14:textId="77777777" w:rsidTr="006E718B">
        <w:tc>
          <w:tcPr>
            <w:tcW w:w="4830" w:type="dxa"/>
          </w:tcPr>
          <w:p w14:paraId="21F48300" w14:textId="77777777" w:rsidR="0081459B" w:rsidRPr="00DC5FD3" w:rsidRDefault="0081459B" w:rsidP="006E718B">
            <w:pPr>
              <w:rPr>
                <w:b/>
              </w:rPr>
            </w:pPr>
            <w:bookmarkStart w:id="91" w:name="_Toc39765624"/>
            <w:r w:rsidRPr="00DC5FD3">
              <w:rPr>
                <w:b/>
              </w:rPr>
              <w:t>Total Applied</w:t>
            </w:r>
            <w:bookmarkEnd w:id="91"/>
          </w:p>
        </w:tc>
        <w:tc>
          <w:tcPr>
            <w:tcW w:w="4725" w:type="dxa"/>
          </w:tcPr>
          <w:p w14:paraId="3C524934" w14:textId="59ED17D5" w:rsidR="0081459B" w:rsidRPr="00DC5FD3" w:rsidRDefault="00992FCC" w:rsidP="006E718B">
            <w:pPr>
              <w:rPr>
                <w:b/>
              </w:rPr>
            </w:pPr>
            <w:bookmarkStart w:id="92" w:name="_Toc39765625"/>
            <w:r w:rsidRPr="00DC5FD3">
              <w:rPr>
                <w:b/>
              </w:rPr>
              <w:t>22,394</w:t>
            </w:r>
            <w:bookmarkEnd w:id="92"/>
          </w:p>
        </w:tc>
        <w:tc>
          <w:tcPr>
            <w:tcW w:w="4393" w:type="dxa"/>
          </w:tcPr>
          <w:p w14:paraId="3BCF1E31" w14:textId="452FD2DF" w:rsidR="0081459B" w:rsidRPr="00DC5FD3" w:rsidRDefault="00992FCC" w:rsidP="006E718B">
            <w:pPr>
              <w:rPr>
                <w:b/>
              </w:rPr>
            </w:pPr>
            <w:bookmarkStart w:id="93" w:name="_Toc39765626"/>
            <w:r w:rsidRPr="00DC5FD3">
              <w:rPr>
                <w:b/>
              </w:rPr>
              <w:t>100%</w:t>
            </w:r>
            <w:bookmarkEnd w:id="93"/>
          </w:p>
        </w:tc>
      </w:tr>
    </w:tbl>
    <w:p w14:paraId="6A4EB22C" w14:textId="1699588E"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8162975"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354167CA" w14:textId="2D6BA105"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8374F1">
        <w:t>Services Australia</w:t>
      </w:r>
      <w:r w:rsidRPr="00325EF7">
        <w:t xml:space="preserve"> as reasonable; or </w:t>
      </w:r>
    </w:p>
    <w:p w14:paraId="293774A5"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F82A3A0" w14:textId="634D9DC6"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8374F1">
        <w:t>Services Australia</w:t>
      </w:r>
      <w:r w:rsidRPr="00A64073">
        <w:t>.</w:t>
      </w:r>
    </w:p>
    <w:p w14:paraId="61CC081D" w14:textId="76FF0255"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w:t>
      </w:r>
      <w:r w:rsidR="008374F1">
        <w:t>Services Australia</w:t>
      </w:r>
      <w:r w:rsidRPr="00A64073">
        <w:t xml:space="preserve"> that a penalty be applied for the job seeker’s non-attendance. </w:t>
      </w:r>
      <w:r w:rsidR="008374F1">
        <w:t>Services Australia</w:t>
      </w:r>
      <w:r w:rsidRPr="00A64073">
        <w:t xml:space="preserve"> will investigate the job seeker’s non-compliance and determine if a Non-Attendance Failure should be applied.</w:t>
      </w:r>
    </w:p>
    <w:p w14:paraId="6B603C50"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65F6CBF6" w14:textId="77777777" w:rsidR="00CF167F" w:rsidRPr="00325EF7" w:rsidRDefault="00CF167F" w:rsidP="00B84812">
      <w:pPr>
        <w:ind w:left="-142"/>
      </w:pPr>
    </w:p>
    <w:p w14:paraId="47FB82CB" w14:textId="77777777" w:rsidR="00B51AA6" w:rsidRDefault="00F41E83" w:rsidP="006D18C4">
      <w:pPr>
        <w:pStyle w:val="Heading2"/>
        <w:numPr>
          <w:ilvl w:val="0"/>
          <w:numId w:val="0"/>
        </w:numPr>
        <w:spacing w:after="240"/>
        <w:ind w:left="709" w:hanging="709"/>
      </w:pPr>
      <w:r>
        <w:br w:type="page"/>
      </w:r>
    </w:p>
    <w:p w14:paraId="1949FB1F" w14:textId="7B70598F" w:rsidR="00366AB0" w:rsidRPr="001053D0" w:rsidRDefault="006D18C4" w:rsidP="001053D0">
      <w:pPr>
        <w:pStyle w:val="Heading3"/>
        <w:numPr>
          <w:ilvl w:val="0"/>
          <w:numId w:val="0"/>
        </w:numPr>
        <w:rPr>
          <w:rFonts w:ascii="Arial" w:hAnsi="Arial" w:cs="Arial"/>
          <w:i/>
        </w:rPr>
      </w:pPr>
      <w:bookmarkStart w:id="94" w:name="_Toc40179129"/>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8374F1">
        <w:rPr>
          <w:rFonts w:ascii="Arial" w:hAnsi="Arial" w:cs="Arial"/>
          <w:i/>
        </w:rPr>
        <w:t>Service</w:t>
      </w:r>
      <w:r w:rsidR="00744F51">
        <w:rPr>
          <w:rFonts w:ascii="Arial" w:hAnsi="Arial" w:cs="Arial"/>
          <w:i/>
        </w:rPr>
        <w:t>s</w:t>
      </w:r>
      <w:r w:rsidR="008374F1">
        <w:rPr>
          <w:rFonts w:ascii="Arial" w:hAnsi="Arial" w:cs="Arial"/>
          <w:i/>
        </w:rPr>
        <w:t xml:space="preserve"> Australia’s</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r w:rsidR="0081459B" w:rsidRPr="001053D0">
        <w:rPr>
          <w:rFonts w:ascii="Arial" w:hAnsi="Arial" w:cs="Arial"/>
          <w:i/>
        </w:rPr>
        <w:t xml:space="preserve"> 1 </w:t>
      </w:r>
      <w:r w:rsidR="00A67A6B">
        <w:rPr>
          <w:rFonts w:ascii="Arial" w:hAnsi="Arial" w:cs="Arial"/>
          <w:i/>
        </w:rPr>
        <w:t>October</w:t>
      </w:r>
      <w:r w:rsidR="0081459B" w:rsidRPr="001053D0">
        <w:rPr>
          <w:rFonts w:ascii="Arial" w:hAnsi="Arial" w:cs="Arial"/>
          <w:i/>
        </w:rPr>
        <w:t xml:space="preserve"> to</w:t>
      </w:r>
      <w:r w:rsidR="0035417E" w:rsidRPr="001053D0">
        <w:rPr>
          <w:rFonts w:ascii="Arial" w:hAnsi="Arial" w:cs="Arial"/>
          <w:i/>
        </w:rPr>
        <w:br/>
      </w:r>
      <w:r w:rsidR="00A0477C">
        <w:rPr>
          <w:rFonts w:ascii="Arial" w:hAnsi="Arial" w:cs="Arial"/>
          <w:i/>
        </w:rPr>
        <w:t>31 December 2019</w:t>
      </w:r>
      <w:bookmarkEnd w:id="94"/>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4897"/>
        <w:gridCol w:w="4694"/>
        <w:gridCol w:w="4357"/>
      </w:tblGrid>
      <w:tr w:rsidR="0081459B" w:rsidRPr="00116BAB" w14:paraId="0033451D" w14:textId="77777777" w:rsidTr="00FB2293">
        <w:trPr>
          <w:tblHeader/>
        </w:trPr>
        <w:tc>
          <w:tcPr>
            <w:tcW w:w="4897" w:type="dxa"/>
          </w:tcPr>
          <w:p w14:paraId="3BABBC2B" w14:textId="77777777" w:rsidR="0081459B" w:rsidRPr="00DC5FD3" w:rsidRDefault="0081459B" w:rsidP="006E718B">
            <w:pPr>
              <w:rPr>
                <w:b/>
              </w:rPr>
            </w:pPr>
            <w:bookmarkStart w:id="95" w:name="_Toc39765628"/>
            <w:r w:rsidRPr="00DC5FD3">
              <w:rPr>
                <w:b/>
              </w:rPr>
              <w:t>Reasons for rejecting Provider Appointment and Participation Reports</w:t>
            </w:r>
            <w:bookmarkEnd w:id="95"/>
            <w:r w:rsidRPr="00DC5FD3">
              <w:rPr>
                <w:b/>
              </w:rPr>
              <w:t xml:space="preserve"> </w:t>
            </w:r>
          </w:p>
        </w:tc>
        <w:tc>
          <w:tcPr>
            <w:tcW w:w="4694" w:type="dxa"/>
          </w:tcPr>
          <w:p w14:paraId="465E8AB9" w14:textId="77777777" w:rsidR="0081459B" w:rsidRPr="00DC5FD3" w:rsidRDefault="0081459B" w:rsidP="006E718B">
            <w:pPr>
              <w:rPr>
                <w:b/>
              </w:rPr>
            </w:pPr>
            <w:bookmarkStart w:id="96" w:name="_Toc39765629"/>
            <w:r w:rsidRPr="00DC5FD3">
              <w:rPr>
                <w:b/>
              </w:rPr>
              <w:t>Number</w:t>
            </w:r>
            <w:bookmarkEnd w:id="96"/>
          </w:p>
        </w:tc>
        <w:tc>
          <w:tcPr>
            <w:tcW w:w="4357" w:type="dxa"/>
          </w:tcPr>
          <w:p w14:paraId="33FCB187" w14:textId="77777777" w:rsidR="0081459B" w:rsidRPr="00DC5FD3" w:rsidRDefault="0081459B" w:rsidP="006E718B">
            <w:pPr>
              <w:rPr>
                <w:b/>
              </w:rPr>
            </w:pPr>
            <w:bookmarkStart w:id="97" w:name="_Toc39765630"/>
            <w:r w:rsidRPr="00DC5FD3">
              <w:rPr>
                <w:b/>
              </w:rPr>
              <w:t>Percent</w:t>
            </w:r>
            <w:bookmarkEnd w:id="97"/>
            <w:r w:rsidRPr="00DC5FD3">
              <w:rPr>
                <w:b/>
              </w:rPr>
              <w:t xml:space="preserve"> </w:t>
            </w:r>
          </w:p>
        </w:tc>
      </w:tr>
      <w:tr w:rsidR="00992FCC" w:rsidRPr="00116BAB" w14:paraId="64CDFFAE" w14:textId="77777777" w:rsidTr="002619C1">
        <w:tc>
          <w:tcPr>
            <w:tcW w:w="4897" w:type="dxa"/>
          </w:tcPr>
          <w:p w14:paraId="49EF1E6F" w14:textId="77777777" w:rsidR="00992FCC" w:rsidRPr="00116BAB" w:rsidRDefault="00992FCC" w:rsidP="006E718B">
            <w:bookmarkStart w:id="98" w:name="_Toc39765631"/>
            <w:r w:rsidRPr="00346E3B">
              <w:t>Job seeker had reasonable excuse</w:t>
            </w:r>
            <w:bookmarkEnd w:id="98"/>
          </w:p>
        </w:tc>
        <w:tc>
          <w:tcPr>
            <w:tcW w:w="4694" w:type="dxa"/>
            <w:vAlign w:val="center"/>
          </w:tcPr>
          <w:p w14:paraId="756F6B4E" w14:textId="40C7B99E" w:rsidR="00992FCC" w:rsidRPr="00DC5FD3" w:rsidRDefault="00992FCC" w:rsidP="006E718B">
            <w:bookmarkStart w:id="99" w:name="_Toc39765632"/>
            <w:r w:rsidRPr="00DC5FD3">
              <w:rPr>
                <w:rFonts w:cs="Gill Sans MT"/>
                <w:color w:val="000000"/>
              </w:rPr>
              <w:t>13,598</w:t>
            </w:r>
            <w:bookmarkEnd w:id="99"/>
          </w:p>
        </w:tc>
        <w:tc>
          <w:tcPr>
            <w:tcW w:w="4357" w:type="dxa"/>
            <w:vAlign w:val="center"/>
          </w:tcPr>
          <w:p w14:paraId="4E74758A" w14:textId="4928BF4F" w:rsidR="00992FCC" w:rsidRPr="00DC5FD3" w:rsidRDefault="00992FCC" w:rsidP="006E718B">
            <w:bookmarkStart w:id="100" w:name="_Toc39765633"/>
            <w:r w:rsidRPr="00DC5FD3">
              <w:rPr>
                <w:rFonts w:cs="Gill Sans MT"/>
                <w:color w:val="000000"/>
              </w:rPr>
              <w:t>50%</w:t>
            </w:r>
            <w:bookmarkEnd w:id="100"/>
          </w:p>
        </w:tc>
      </w:tr>
      <w:tr w:rsidR="00992FCC" w:rsidRPr="00116BAB" w14:paraId="19FF1F0A" w14:textId="77777777" w:rsidTr="002619C1">
        <w:tc>
          <w:tcPr>
            <w:tcW w:w="4897" w:type="dxa"/>
          </w:tcPr>
          <w:p w14:paraId="216EC95F" w14:textId="0EECA950" w:rsidR="00992FCC" w:rsidRPr="00FB0ECB" w:rsidRDefault="00992FCC" w:rsidP="006E718B">
            <w:bookmarkStart w:id="101" w:name="_Toc39765634"/>
            <w:r>
              <w:t>P</w:t>
            </w:r>
            <w:r w:rsidRPr="00346E3B">
              <w:t>rocedural errors</w:t>
            </w:r>
            <w:r>
              <w:t>: All types</w:t>
            </w:r>
            <w:bookmarkEnd w:id="101"/>
          </w:p>
        </w:tc>
        <w:tc>
          <w:tcPr>
            <w:tcW w:w="4694" w:type="dxa"/>
            <w:vAlign w:val="center"/>
          </w:tcPr>
          <w:p w14:paraId="322FFCDB" w14:textId="7EF1AE4C" w:rsidR="00992FCC" w:rsidRPr="00DC5FD3" w:rsidRDefault="00992FCC" w:rsidP="006E718B">
            <w:bookmarkStart w:id="102" w:name="_Toc39765635"/>
            <w:r w:rsidRPr="00DC5FD3">
              <w:rPr>
                <w:rFonts w:cs="Gill Sans MT"/>
                <w:color w:val="000000"/>
              </w:rPr>
              <w:t>13,558</w:t>
            </w:r>
            <w:bookmarkEnd w:id="102"/>
          </w:p>
        </w:tc>
        <w:tc>
          <w:tcPr>
            <w:tcW w:w="4357" w:type="dxa"/>
            <w:vAlign w:val="center"/>
          </w:tcPr>
          <w:p w14:paraId="76043200" w14:textId="18B891DF" w:rsidR="00992FCC" w:rsidRPr="00DC5FD3" w:rsidRDefault="00992FCC" w:rsidP="006E718B">
            <w:bookmarkStart w:id="103" w:name="_Toc39765636"/>
            <w:r w:rsidRPr="00DC5FD3">
              <w:rPr>
                <w:rFonts w:cs="Gill Sans MT"/>
                <w:color w:val="000000"/>
              </w:rPr>
              <w:t>50%</w:t>
            </w:r>
            <w:bookmarkEnd w:id="103"/>
          </w:p>
        </w:tc>
      </w:tr>
      <w:tr w:rsidR="0081459B" w:rsidRPr="00116BAB" w14:paraId="0FDD7F3B" w14:textId="77777777" w:rsidTr="002619C1">
        <w:tc>
          <w:tcPr>
            <w:tcW w:w="4897" w:type="dxa"/>
          </w:tcPr>
          <w:p w14:paraId="4DD69A2A" w14:textId="610DFFED" w:rsidR="0081459B" w:rsidRPr="00116BAB" w:rsidRDefault="0081459B" w:rsidP="006E718B">
            <w:bookmarkStart w:id="104" w:name="_Toc39765637"/>
            <w:r w:rsidRPr="00346E3B">
              <w:t>Procedural errors relating to</w:t>
            </w:r>
            <w:r w:rsidR="008C7E5E">
              <w:t xml:space="preserve"> sub-category “</w:t>
            </w:r>
            <w:r w:rsidRPr="00346E3B">
              <w:t>Nature of requirements</w:t>
            </w:r>
            <w:r w:rsidR="008C7E5E">
              <w:t>’</w:t>
            </w:r>
            <w:bookmarkEnd w:id="104"/>
          </w:p>
        </w:tc>
        <w:tc>
          <w:tcPr>
            <w:tcW w:w="4694" w:type="dxa"/>
            <w:shd w:val="clear" w:color="auto" w:fill="auto"/>
            <w:vAlign w:val="center"/>
          </w:tcPr>
          <w:p w14:paraId="3CE522F0" w14:textId="11C3B81A" w:rsidR="0081459B" w:rsidRPr="00DC5FD3" w:rsidRDefault="00992FCC" w:rsidP="006E718B">
            <w:bookmarkStart w:id="105" w:name="_Toc39765638"/>
            <w:r w:rsidRPr="00DC5FD3">
              <w:t>3,271</w:t>
            </w:r>
            <w:bookmarkEnd w:id="105"/>
          </w:p>
        </w:tc>
        <w:tc>
          <w:tcPr>
            <w:tcW w:w="4357" w:type="dxa"/>
            <w:vAlign w:val="center"/>
          </w:tcPr>
          <w:p w14:paraId="3D7A1752" w14:textId="0FE7A222" w:rsidR="0081459B" w:rsidRPr="00DC5FD3" w:rsidRDefault="00992FCC" w:rsidP="006E718B">
            <w:bookmarkStart w:id="106" w:name="_Toc39765639"/>
            <w:r w:rsidRPr="00DC5FD3">
              <w:t>12%</w:t>
            </w:r>
            <w:bookmarkEnd w:id="106"/>
          </w:p>
        </w:tc>
      </w:tr>
      <w:tr w:rsidR="0081459B" w:rsidRPr="00116BAB" w14:paraId="23C23218" w14:textId="77777777" w:rsidTr="002619C1">
        <w:tc>
          <w:tcPr>
            <w:tcW w:w="4897" w:type="dxa"/>
          </w:tcPr>
          <w:p w14:paraId="3F66B720" w14:textId="34774DA1" w:rsidR="0081459B" w:rsidRPr="00346E3B" w:rsidRDefault="0081459B" w:rsidP="006E718B">
            <w:bookmarkStart w:id="107" w:name="_Toc39765640"/>
            <w:r w:rsidRPr="00346E3B">
              <w:t xml:space="preserve">Procedural errors </w:t>
            </w:r>
            <w:r w:rsidR="008C7E5E" w:rsidRPr="00346E3B">
              <w:t>relating to</w:t>
            </w:r>
            <w:r w:rsidR="008C7E5E">
              <w:t xml:space="preserve"> sub-category “</w:t>
            </w:r>
            <w:r w:rsidRPr="00346E3B">
              <w:t>Notifying requirements</w:t>
            </w:r>
            <w:r w:rsidR="008C7E5E">
              <w:t>”</w:t>
            </w:r>
            <w:bookmarkEnd w:id="107"/>
          </w:p>
        </w:tc>
        <w:tc>
          <w:tcPr>
            <w:tcW w:w="4694" w:type="dxa"/>
            <w:shd w:val="clear" w:color="auto" w:fill="auto"/>
            <w:vAlign w:val="center"/>
          </w:tcPr>
          <w:p w14:paraId="628C2568" w14:textId="687FC852" w:rsidR="0081459B" w:rsidRPr="00DC5FD3" w:rsidRDefault="00992FCC" w:rsidP="006E718B">
            <w:bookmarkStart w:id="108" w:name="_Toc39765641"/>
            <w:r w:rsidRPr="00DC5FD3">
              <w:t>1,117</w:t>
            </w:r>
            <w:bookmarkEnd w:id="108"/>
          </w:p>
        </w:tc>
        <w:tc>
          <w:tcPr>
            <w:tcW w:w="4357" w:type="dxa"/>
            <w:vAlign w:val="center"/>
          </w:tcPr>
          <w:p w14:paraId="3583FE5E" w14:textId="6F504D48" w:rsidR="0081459B" w:rsidRPr="00DC5FD3" w:rsidRDefault="00992FCC" w:rsidP="006E718B">
            <w:bookmarkStart w:id="109" w:name="_Toc39765642"/>
            <w:r w:rsidRPr="00DC5FD3">
              <w:t>4%</w:t>
            </w:r>
            <w:bookmarkEnd w:id="109"/>
          </w:p>
        </w:tc>
      </w:tr>
      <w:tr w:rsidR="0081459B" w:rsidRPr="00116BAB" w14:paraId="13124DEF" w14:textId="77777777" w:rsidTr="002619C1">
        <w:tc>
          <w:tcPr>
            <w:tcW w:w="4897" w:type="dxa"/>
          </w:tcPr>
          <w:p w14:paraId="6C08834E" w14:textId="5C61A258" w:rsidR="0081459B" w:rsidRPr="00346E3B" w:rsidRDefault="0081459B" w:rsidP="006E718B">
            <w:bookmarkStart w:id="110" w:name="_Toc39765643"/>
            <w:r w:rsidRPr="00346E3B">
              <w:t>Procedural errors relating to</w:t>
            </w:r>
            <w:r w:rsidR="008C7E5E">
              <w:t xml:space="preserve"> sub-category “</w:t>
            </w:r>
            <w:r w:rsidRPr="00346E3B">
              <w:t>Submitting Provider Appointment Reports and Participation Reports</w:t>
            </w:r>
            <w:r w:rsidR="008C7E5E">
              <w:t>”</w:t>
            </w:r>
            <w:bookmarkEnd w:id="110"/>
          </w:p>
        </w:tc>
        <w:tc>
          <w:tcPr>
            <w:tcW w:w="4694" w:type="dxa"/>
            <w:shd w:val="clear" w:color="auto" w:fill="auto"/>
            <w:vAlign w:val="center"/>
          </w:tcPr>
          <w:p w14:paraId="1DA23735" w14:textId="409FD1DC" w:rsidR="0081459B" w:rsidRPr="00DC5FD3" w:rsidRDefault="00992FCC" w:rsidP="006E718B">
            <w:bookmarkStart w:id="111" w:name="_Toc39765644"/>
            <w:r w:rsidRPr="00DC5FD3">
              <w:t>9,170</w:t>
            </w:r>
            <w:bookmarkEnd w:id="111"/>
          </w:p>
        </w:tc>
        <w:tc>
          <w:tcPr>
            <w:tcW w:w="4357" w:type="dxa"/>
            <w:vAlign w:val="center"/>
          </w:tcPr>
          <w:p w14:paraId="732CA712" w14:textId="43BFF522" w:rsidR="0081459B" w:rsidRPr="00DC5FD3" w:rsidRDefault="00992FCC" w:rsidP="006E718B">
            <w:bookmarkStart w:id="112" w:name="_Toc39765645"/>
            <w:r w:rsidRPr="00DC5FD3">
              <w:t>34%</w:t>
            </w:r>
            <w:bookmarkEnd w:id="112"/>
          </w:p>
        </w:tc>
      </w:tr>
      <w:tr w:rsidR="0081459B" w:rsidRPr="00116BAB" w14:paraId="20D3BCD3" w14:textId="77777777" w:rsidTr="002619C1">
        <w:tc>
          <w:tcPr>
            <w:tcW w:w="4897" w:type="dxa"/>
          </w:tcPr>
          <w:p w14:paraId="4B0F20A5" w14:textId="77777777" w:rsidR="0081459B" w:rsidRPr="00DC5FD3" w:rsidRDefault="0081459B" w:rsidP="006E718B">
            <w:pPr>
              <w:rPr>
                <w:b/>
              </w:rPr>
            </w:pPr>
            <w:bookmarkStart w:id="113" w:name="_Toc39765646"/>
            <w:r w:rsidRPr="00DC5FD3">
              <w:rPr>
                <w:b/>
              </w:rPr>
              <w:t>Total Rejections</w:t>
            </w:r>
            <w:bookmarkEnd w:id="113"/>
          </w:p>
        </w:tc>
        <w:tc>
          <w:tcPr>
            <w:tcW w:w="4694" w:type="dxa"/>
            <w:vAlign w:val="center"/>
          </w:tcPr>
          <w:p w14:paraId="1E644635" w14:textId="55CB902B" w:rsidR="0081459B" w:rsidRPr="00DC5FD3" w:rsidRDefault="00992FCC" w:rsidP="006E718B">
            <w:pPr>
              <w:rPr>
                <w:b/>
              </w:rPr>
            </w:pPr>
            <w:bookmarkStart w:id="114" w:name="_Toc39765647"/>
            <w:r w:rsidRPr="00DC5FD3">
              <w:rPr>
                <w:b/>
              </w:rPr>
              <w:t>27,156</w:t>
            </w:r>
            <w:bookmarkEnd w:id="114"/>
          </w:p>
        </w:tc>
        <w:tc>
          <w:tcPr>
            <w:tcW w:w="4357" w:type="dxa"/>
            <w:vAlign w:val="center"/>
          </w:tcPr>
          <w:p w14:paraId="07E61581" w14:textId="77777777" w:rsidR="0081459B" w:rsidRPr="00DC5FD3" w:rsidRDefault="0081459B" w:rsidP="006E718B">
            <w:pPr>
              <w:rPr>
                <w:b/>
              </w:rPr>
            </w:pPr>
            <w:bookmarkStart w:id="115" w:name="_Toc39765648"/>
            <w:r w:rsidRPr="00DC5FD3">
              <w:rPr>
                <w:b/>
              </w:rPr>
              <w:t>100%</w:t>
            </w:r>
            <w:bookmarkEnd w:id="115"/>
          </w:p>
        </w:tc>
      </w:tr>
    </w:tbl>
    <w:p w14:paraId="1DFD26AA" w14:textId="6479E71A"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w:t>
      </w:r>
      <w:r w:rsidR="008374F1">
        <w:t>ot investigated or recorded by Services Australia.</w:t>
      </w:r>
    </w:p>
    <w:p w14:paraId="6CD0AC7B" w14:textId="77777777" w:rsidR="002522E1" w:rsidRDefault="002522E1">
      <w:pPr>
        <w:spacing w:before="0"/>
        <w:ind w:left="0"/>
      </w:pPr>
      <w:r>
        <w:br w:type="page"/>
      </w:r>
    </w:p>
    <w:p w14:paraId="0D00D4E3" w14:textId="3BFF7F4B" w:rsidR="0032395B" w:rsidRPr="001053D0" w:rsidRDefault="006D18C4" w:rsidP="001053D0">
      <w:pPr>
        <w:pStyle w:val="Heading3"/>
        <w:numPr>
          <w:ilvl w:val="0"/>
          <w:numId w:val="0"/>
        </w:numPr>
        <w:rPr>
          <w:rFonts w:ascii="Arial" w:hAnsi="Arial" w:cs="Arial"/>
          <w:i/>
        </w:rPr>
      </w:pPr>
      <w:bookmarkStart w:id="116" w:name="_Toc40179130"/>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8374F1">
        <w:rPr>
          <w:rFonts w:ascii="Arial" w:hAnsi="Arial" w:cs="Arial"/>
          <w:i/>
        </w:rPr>
        <w:t>Service</w:t>
      </w:r>
      <w:r w:rsidR="00744F51">
        <w:rPr>
          <w:rFonts w:ascii="Arial" w:hAnsi="Arial" w:cs="Arial"/>
          <w:i/>
        </w:rPr>
        <w:t>s</w:t>
      </w:r>
      <w:r w:rsidR="008374F1">
        <w:rPr>
          <w:rFonts w:ascii="Arial" w:hAnsi="Arial" w:cs="Arial"/>
          <w:i/>
        </w:rPr>
        <w:t xml:space="preserve"> Australia’s</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r w:rsidR="0035417E" w:rsidRPr="001053D0">
        <w:rPr>
          <w:rFonts w:ascii="Arial" w:hAnsi="Arial" w:cs="Arial"/>
          <w:i/>
        </w:rPr>
        <w:t xml:space="preserve"> </w:t>
      </w:r>
      <w:r w:rsidR="0035417E" w:rsidRPr="001053D0">
        <w:rPr>
          <w:rFonts w:ascii="Arial" w:hAnsi="Arial" w:cs="Arial"/>
          <w:i/>
        </w:rPr>
        <w:br/>
      </w:r>
      <w:r w:rsidR="00A0477C">
        <w:rPr>
          <w:rFonts w:ascii="Arial" w:hAnsi="Arial" w:cs="Arial"/>
          <w:i/>
        </w:rPr>
        <w:t>1 October to 31 December 2019</w:t>
      </w:r>
      <w:bookmarkEnd w:id="116"/>
      <w:r w:rsidR="001053D0" w:rsidRPr="001053D0">
        <w:rPr>
          <w:rFonts w:ascii="Arial" w:hAnsi="Arial" w:cs="Arial"/>
          <w:i/>
        </w:rPr>
        <w:br/>
      </w:r>
    </w:p>
    <w:tbl>
      <w:tblPr>
        <w:tblStyle w:val="TableGrid1"/>
        <w:tblW w:w="12811" w:type="dxa"/>
        <w:tblLook w:val="04A0" w:firstRow="1" w:lastRow="0" w:firstColumn="1" w:lastColumn="0" w:noHBand="0" w:noVBand="1"/>
        <w:tblCaption w:val="Department of Human Services’ reasons for rejecting Provider Appointment Reports and Participation Reports: Reasonable Excuse "/>
      </w:tblPr>
      <w:tblGrid>
        <w:gridCol w:w="6541"/>
        <w:gridCol w:w="6270"/>
      </w:tblGrid>
      <w:tr w:rsidR="00476675" w14:paraId="7C6E8C00" w14:textId="77777777" w:rsidTr="002522E1">
        <w:trPr>
          <w:trHeight w:val="303"/>
          <w:tblHeader/>
        </w:trPr>
        <w:tc>
          <w:tcPr>
            <w:tcW w:w="6541" w:type="dxa"/>
            <w:vAlign w:val="center"/>
          </w:tcPr>
          <w:p w14:paraId="6BD132F4" w14:textId="70FC5713" w:rsidR="00476675" w:rsidRPr="00DC5FD3" w:rsidRDefault="00476675" w:rsidP="006E718B">
            <w:pPr>
              <w:rPr>
                <w:b/>
              </w:rPr>
            </w:pPr>
            <w:bookmarkStart w:id="117" w:name="_Toc39765650"/>
            <w:r w:rsidRPr="00DC5FD3">
              <w:rPr>
                <w:b/>
                <w:lang w:eastAsia="en-AU"/>
              </w:rPr>
              <w:t>Reasonable excuse</w:t>
            </w:r>
            <w:bookmarkEnd w:id="117"/>
          </w:p>
        </w:tc>
        <w:tc>
          <w:tcPr>
            <w:tcW w:w="6270" w:type="dxa"/>
            <w:vAlign w:val="center"/>
          </w:tcPr>
          <w:p w14:paraId="5672727E" w14:textId="344BA7FE" w:rsidR="00476675" w:rsidRPr="00DC5FD3" w:rsidRDefault="00476675" w:rsidP="006E718B">
            <w:pPr>
              <w:rPr>
                <w:b/>
              </w:rPr>
            </w:pPr>
            <w:bookmarkStart w:id="118" w:name="_Toc39765651"/>
            <w:r w:rsidRPr="00DC5FD3">
              <w:rPr>
                <w:b/>
                <w:lang w:eastAsia="en-AU"/>
              </w:rPr>
              <w:t>Percent</w:t>
            </w:r>
            <w:bookmarkEnd w:id="118"/>
          </w:p>
        </w:tc>
      </w:tr>
      <w:tr w:rsidR="00476675" w14:paraId="63EFEEDB" w14:textId="77777777" w:rsidTr="00476675">
        <w:trPr>
          <w:trHeight w:val="293"/>
        </w:trPr>
        <w:tc>
          <w:tcPr>
            <w:tcW w:w="6541" w:type="dxa"/>
            <w:vAlign w:val="center"/>
          </w:tcPr>
          <w:p w14:paraId="37FDDADB" w14:textId="32E5DE44" w:rsidR="00476675" w:rsidRPr="00AF49AF" w:rsidRDefault="00476675" w:rsidP="006E718B">
            <w:bookmarkStart w:id="119" w:name="_Toc39765652"/>
            <w:r w:rsidRPr="00AF49AF">
              <w:rPr>
                <w:lang w:eastAsia="en-AU"/>
              </w:rPr>
              <w:t>Medical reason – A</w:t>
            </w:r>
            <w:bookmarkEnd w:id="119"/>
          </w:p>
        </w:tc>
        <w:tc>
          <w:tcPr>
            <w:tcW w:w="6270" w:type="dxa"/>
            <w:vAlign w:val="center"/>
          </w:tcPr>
          <w:p w14:paraId="1AC2C38F" w14:textId="09FA6B81" w:rsidR="00476675" w:rsidRPr="00DC5FD3" w:rsidRDefault="00992FCC" w:rsidP="006E718B">
            <w:bookmarkStart w:id="120" w:name="_Toc39765653"/>
            <w:r w:rsidRPr="00DC5FD3">
              <w:t>3.2%</w:t>
            </w:r>
            <w:bookmarkEnd w:id="120"/>
          </w:p>
        </w:tc>
      </w:tr>
      <w:tr w:rsidR="00476675" w14:paraId="1E8533AB" w14:textId="77777777" w:rsidTr="00476675">
        <w:trPr>
          <w:trHeight w:val="293"/>
        </w:trPr>
        <w:tc>
          <w:tcPr>
            <w:tcW w:w="6541" w:type="dxa"/>
            <w:vAlign w:val="center"/>
          </w:tcPr>
          <w:p w14:paraId="661915C5" w14:textId="2B777501" w:rsidR="00476675" w:rsidRPr="00AF49AF" w:rsidRDefault="00476675" w:rsidP="006E718B">
            <w:bookmarkStart w:id="121" w:name="_Toc39765654"/>
            <w:r w:rsidRPr="00AF49AF">
              <w:rPr>
                <w:lang w:eastAsia="en-AU"/>
              </w:rPr>
              <w:t>Medical reason – B</w:t>
            </w:r>
            <w:bookmarkEnd w:id="121"/>
          </w:p>
        </w:tc>
        <w:tc>
          <w:tcPr>
            <w:tcW w:w="6270" w:type="dxa"/>
            <w:vAlign w:val="center"/>
          </w:tcPr>
          <w:p w14:paraId="5305EB5A" w14:textId="76D78BE0" w:rsidR="00476675" w:rsidRPr="00DC5FD3" w:rsidRDefault="00992FCC" w:rsidP="006E718B">
            <w:bookmarkStart w:id="122" w:name="_Toc39765655"/>
            <w:r w:rsidRPr="00DC5FD3">
              <w:t>2.1%</w:t>
            </w:r>
            <w:bookmarkEnd w:id="122"/>
          </w:p>
        </w:tc>
      </w:tr>
      <w:tr w:rsidR="00476675" w14:paraId="5B26429D" w14:textId="77777777" w:rsidTr="00476675">
        <w:trPr>
          <w:trHeight w:val="293"/>
        </w:trPr>
        <w:tc>
          <w:tcPr>
            <w:tcW w:w="6541" w:type="dxa"/>
            <w:vAlign w:val="center"/>
          </w:tcPr>
          <w:p w14:paraId="71DB05A4" w14:textId="2FBFEF80" w:rsidR="00476675" w:rsidRPr="00AF49AF" w:rsidRDefault="00476675" w:rsidP="006E718B">
            <w:bookmarkStart w:id="123" w:name="_Toc39765656"/>
            <w:r w:rsidRPr="00AF49AF">
              <w:rPr>
                <w:lang w:eastAsia="en-AU"/>
              </w:rPr>
              <w:t>Other acceptable activity</w:t>
            </w:r>
            <w:bookmarkEnd w:id="123"/>
          </w:p>
        </w:tc>
        <w:tc>
          <w:tcPr>
            <w:tcW w:w="6270" w:type="dxa"/>
            <w:vAlign w:val="center"/>
          </w:tcPr>
          <w:p w14:paraId="422A7CF5" w14:textId="6755D0FA" w:rsidR="00476675" w:rsidRPr="00DC5FD3" w:rsidRDefault="00992FCC" w:rsidP="006E718B">
            <w:bookmarkStart w:id="124" w:name="_Toc39765657"/>
            <w:r w:rsidRPr="00DC5FD3">
              <w:t>14.6%</w:t>
            </w:r>
            <w:bookmarkEnd w:id="124"/>
          </w:p>
        </w:tc>
      </w:tr>
      <w:tr w:rsidR="00476675" w14:paraId="1CB31075" w14:textId="77777777" w:rsidTr="00476675">
        <w:trPr>
          <w:trHeight w:val="293"/>
        </w:trPr>
        <w:tc>
          <w:tcPr>
            <w:tcW w:w="6541" w:type="dxa"/>
            <w:vAlign w:val="center"/>
          </w:tcPr>
          <w:p w14:paraId="138D5E6C" w14:textId="7153D3D8" w:rsidR="00476675" w:rsidRPr="00AF49AF" w:rsidRDefault="00476675" w:rsidP="006E718B">
            <w:bookmarkStart w:id="125" w:name="_Toc39765658"/>
            <w:r w:rsidRPr="00AF49AF">
              <w:rPr>
                <w:lang w:eastAsia="en-AU"/>
              </w:rPr>
              <w:t>Personal crisis</w:t>
            </w:r>
            <w:bookmarkEnd w:id="125"/>
          </w:p>
        </w:tc>
        <w:tc>
          <w:tcPr>
            <w:tcW w:w="6270" w:type="dxa"/>
            <w:vAlign w:val="center"/>
          </w:tcPr>
          <w:p w14:paraId="29903D82" w14:textId="55534E57" w:rsidR="00476675" w:rsidRPr="00DC5FD3" w:rsidRDefault="00992FCC" w:rsidP="006E718B">
            <w:bookmarkStart w:id="126" w:name="_Toc39765659"/>
            <w:r w:rsidRPr="00DC5FD3">
              <w:t>4.7%</w:t>
            </w:r>
            <w:bookmarkEnd w:id="126"/>
          </w:p>
        </w:tc>
      </w:tr>
      <w:tr w:rsidR="00476675" w14:paraId="573505EE" w14:textId="77777777" w:rsidTr="00476675">
        <w:trPr>
          <w:trHeight w:val="293"/>
        </w:trPr>
        <w:tc>
          <w:tcPr>
            <w:tcW w:w="6541" w:type="dxa"/>
            <w:vAlign w:val="center"/>
          </w:tcPr>
          <w:p w14:paraId="6B9F57C6" w14:textId="66D1B64D" w:rsidR="00476675" w:rsidRPr="00AF49AF" w:rsidRDefault="00476675" w:rsidP="006E718B">
            <w:pPr>
              <w:rPr>
                <w:lang w:eastAsia="en-AU"/>
              </w:rPr>
            </w:pPr>
            <w:bookmarkStart w:id="127" w:name="_Toc39765660"/>
            <w:r w:rsidRPr="00AF49AF">
              <w:rPr>
                <w:lang w:eastAsia="en-AU"/>
              </w:rPr>
              <w:t>Caring responsibilities</w:t>
            </w:r>
            <w:bookmarkEnd w:id="127"/>
          </w:p>
        </w:tc>
        <w:tc>
          <w:tcPr>
            <w:tcW w:w="6270" w:type="dxa"/>
            <w:vAlign w:val="center"/>
          </w:tcPr>
          <w:p w14:paraId="63003781" w14:textId="65CC15E1" w:rsidR="00476675" w:rsidRPr="00DC5FD3" w:rsidRDefault="00992FCC" w:rsidP="006E718B">
            <w:bookmarkStart w:id="128" w:name="_Toc39765661"/>
            <w:r w:rsidRPr="00DC5FD3">
              <w:t>3.1%</w:t>
            </w:r>
            <w:bookmarkEnd w:id="128"/>
          </w:p>
        </w:tc>
      </w:tr>
      <w:tr w:rsidR="00476675" w14:paraId="788882FB" w14:textId="77777777" w:rsidTr="00476675">
        <w:trPr>
          <w:trHeight w:val="293"/>
        </w:trPr>
        <w:tc>
          <w:tcPr>
            <w:tcW w:w="6541" w:type="dxa"/>
            <w:vAlign w:val="center"/>
          </w:tcPr>
          <w:p w14:paraId="131D9906" w14:textId="164BA688" w:rsidR="00476675" w:rsidRPr="00AF49AF" w:rsidRDefault="00476675" w:rsidP="006E718B">
            <w:pPr>
              <w:rPr>
                <w:lang w:eastAsia="en-AU"/>
              </w:rPr>
            </w:pPr>
            <w:bookmarkStart w:id="129" w:name="_Toc39765662"/>
            <w:r w:rsidRPr="00AF49AF">
              <w:rPr>
                <w:lang w:eastAsia="en-AU"/>
              </w:rPr>
              <w:t>Homelessness</w:t>
            </w:r>
            <w:bookmarkEnd w:id="129"/>
          </w:p>
        </w:tc>
        <w:tc>
          <w:tcPr>
            <w:tcW w:w="6270" w:type="dxa"/>
            <w:vAlign w:val="center"/>
          </w:tcPr>
          <w:p w14:paraId="2B445B1D" w14:textId="57DF0CE0" w:rsidR="00476675" w:rsidRPr="00DC5FD3" w:rsidRDefault="0043502E" w:rsidP="006E718B">
            <w:bookmarkStart w:id="130" w:name="_Toc39765663"/>
            <w:r w:rsidRPr="00DC5FD3">
              <w:t>&lt;1%</w:t>
            </w:r>
            <w:bookmarkEnd w:id="130"/>
          </w:p>
        </w:tc>
      </w:tr>
      <w:tr w:rsidR="00476675" w14:paraId="415D691E" w14:textId="77777777" w:rsidTr="00476675">
        <w:trPr>
          <w:trHeight w:val="293"/>
        </w:trPr>
        <w:tc>
          <w:tcPr>
            <w:tcW w:w="6541" w:type="dxa"/>
            <w:vAlign w:val="center"/>
          </w:tcPr>
          <w:p w14:paraId="23846D2A" w14:textId="6F405ADD" w:rsidR="00476675" w:rsidRPr="00AF49AF" w:rsidRDefault="00476675" w:rsidP="006E718B">
            <w:pPr>
              <w:rPr>
                <w:lang w:eastAsia="en-AU"/>
              </w:rPr>
            </w:pPr>
            <w:bookmarkStart w:id="131" w:name="_Toc39765664"/>
            <w:r w:rsidRPr="00AF49AF">
              <w:rPr>
                <w:lang w:eastAsia="en-AU"/>
              </w:rPr>
              <w:t>Transport difficulties</w:t>
            </w:r>
            <w:bookmarkEnd w:id="131"/>
          </w:p>
        </w:tc>
        <w:tc>
          <w:tcPr>
            <w:tcW w:w="6270" w:type="dxa"/>
            <w:vAlign w:val="center"/>
          </w:tcPr>
          <w:p w14:paraId="503F6CF7" w14:textId="50286D57" w:rsidR="00476675" w:rsidRPr="00DC5FD3" w:rsidRDefault="00992FCC" w:rsidP="006E718B">
            <w:bookmarkStart w:id="132" w:name="_Toc39765665"/>
            <w:r w:rsidRPr="00DC5FD3">
              <w:t>1.5%</w:t>
            </w:r>
            <w:bookmarkEnd w:id="132"/>
          </w:p>
        </w:tc>
      </w:tr>
      <w:tr w:rsidR="00476675" w14:paraId="7CBFD171" w14:textId="77777777" w:rsidTr="00476675">
        <w:trPr>
          <w:trHeight w:val="293"/>
        </w:trPr>
        <w:tc>
          <w:tcPr>
            <w:tcW w:w="6541" w:type="dxa"/>
            <w:vAlign w:val="center"/>
          </w:tcPr>
          <w:p w14:paraId="07131431" w14:textId="65D2D729" w:rsidR="00476675" w:rsidRPr="00AF49AF" w:rsidRDefault="00476675" w:rsidP="006E718B">
            <w:pPr>
              <w:rPr>
                <w:lang w:eastAsia="en-AU"/>
              </w:rPr>
            </w:pPr>
            <w:bookmarkStart w:id="133" w:name="_Toc39765666"/>
            <w:r w:rsidRPr="00AF49AF">
              <w:rPr>
                <w:lang w:eastAsia="en-AU"/>
              </w:rPr>
              <w:t>Cultural/language issues</w:t>
            </w:r>
            <w:bookmarkEnd w:id="133"/>
          </w:p>
        </w:tc>
        <w:tc>
          <w:tcPr>
            <w:tcW w:w="6270" w:type="dxa"/>
            <w:vAlign w:val="center"/>
          </w:tcPr>
          <w:p w14:paraId="4A3CD73B" w14:textId="0C498549" w:rsidR="00476675" w:rsidRPr="00DC5FD3" w:rsidRDefault="00992FCC" w:rsidP="006E718B">
            <w:bookmarkStart w:id="134" w:name="_Toc39765667"/>
            <w:r w:rsidRPr="00DC5FD3">
              <w:t>5.2%</w:t>
            </w:r>
            <w:bookmarkEnd w:id="134"/>
          </w:p>
        </w:tc>
      </w:tr>
      <w:tr w:rsidR="00476675" w14:paraId="683819D3" w14:textId="77777777" w:rsidTr="00476675">
        <w:trPr>
          <w:trHeight w:val="293"/>
        </w:trPr>
        <w:tc>
          <w:tcPr>
            <w:tcW w:w="6541" w:type="dxa"/>
            <w:vAlign w:val="center"/>
          </w:tcPr>
          <w:p w14:paraId="031CFF85" w14:textId="4B43A35C" w:rsidR="00476675" w:rsidRPr="001E1607" w:rsidRDefault="00476675" w:rsidP="006E718B">
            <w:pPr>
              <w:rPr>
                <w:b/>
                <w:lang w:eastAsia="en-AU"/>
              </w:rPr>
            </w:pPr>
            <w:bookmarkStart w:id="135" w:name="_Toc39765668"/>
            <w:r w:rsidRPr="001E1607">
              <w:rPr>
                <w:b/>
                <w:lang w:eastAsia="en-AU"/>
              </w:rPr>
              <w:t>Other</w:t>
            </w:r>
            <w:bookmarkEnd w:id="135"/>
          </w:p>
        </w:tc>
        <w:tc>
          <w:tcPr>
            <w:tcW w:w="6270" w:type="dxa"/>
            <w:vAlign w:val="center"/>
          </w:tcPr>
          <w:p w14:paraId="470C331F" w14:textId="72F99C3B" w:rsidR="00476675" w:rsidRPr="001E1607" w:rsidRDefault="00992FCC" w:rsidP="006E718B">
            <w:pPr>
              <w:rPr>
                <w:b/>
              </w:rPr>
            </w:pPr>
            <w:bookmarkStart w:id="136" w:name="_Toc39765669"/>
            <w:r w:rsidRPr="001E1607">
              <w:rPr>
                <w:b/>
              </w:rPr>
              <w:t>15.6%</w:t>
            </w:r>
            <w:bookmarkEnd w:id="136"/>
          </w:p>
        </w:tc>
      </w:tr>
    </w:tbl>
    <w:p w14:paraId="34F9921C"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50CEC8A" w14:textId="5721C7D2"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784E921B" w14:textId="495607B5"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79481479" w14:textId="683545C7" w:rsidR="00366AB0" w:rsidRPr="00366AB0" w:rsidRDefault="00456F16" w:rsidP="00366AB0">
      <w:pPr>
        <w:pStyle w:val="Heading2"/>
        <w:spacing w:before="0" w:after="240" w:line="240" w:lineRule="auto"/>
        <w:ind w:left="-142" w:firstLine="142"/>
      </w:pPr>
      <w:bookmarkStart w:id="137" w:name="_Toc40179131"/>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A0477C">
        <w:t>31 December 2019</w:t>
      </w:r>
      <w:r w:rsidR="00C93A2C">
        <w:t>)</w:t>
      </w:r>
      <w:bookmarkEnd w:id="137"/>
    </w:p>
    <w:tbl>
      <w:tblPr>
        <w:tblStyle w:val="TableGrid"/>
        <w:tblW w:w="5000" w:type="pct"/>
        <w:tblLook w:val="04E0" w:firstRow="1" w:lastRow="1" w:firstColumn="1" w:lastColumn="0" w:noHBand="0" w:noVBand="1"/>
        <w:tblCaption w:val="Number of Compliance Reports Submitted per job seeker over past 12 months (as at 30 September 2019)"/>
        <w:tblDescription w:val=" Number of Participation Reports per job seeker (at 31 March 2014)"/>
      </w:tblPr>
      <w:tblGrid>
        <w:gridCol w:w="4210"/>
        <w:gridCol w:w="4446"/>
        <w:gridCol w:w="3091"/>
        <w:gridCol w:w="2985"/>
      </w:tblGrid>
      <w:tr w:rsidR="00C93A2C" w:rsidRPr="00325EF7" w14:paraId="0F59C189" w14:textId="77777777" w:rsidTr="00C93A2C">
        <w:trPr>
          <w:tblHeader/>
        </w:trPr>
        <w:tc>
          <w:tcPr>
            <w:tcW w:w="1429" w:type="pct"/>
          </w:tcPr>
          <w:p w14:paraId="32602012" w14:textId="77777777" w:rsidR="001E1607" w:rsidRDefault="001E1607" w:rsidP="001E1607">
            <w:pPr>
              <w:ind w:left="-142" w:firstLine="142"/>
              <w:rPr>
                <w:b/>
                <w:noProof/>
              </w:rPr>
            </w:pPr>
            <w:r>
              <w:rPr>
                <w:b/>
                <w:noProof/>
              </w:rPr>
              <w:t>Number of PRs, NARs or PARs per</w:t>
            </w:r>
          </w:p>
          <w:p w14:paraId="5D465586" w14:textId="01A4365B" w:rsidR="00C93A2C" w:rsidRPr="001E1607" w:rsidRDefault="00C93A2C" w:rsidP="001E1607">
            <w:pPr>
              <w:ind w:left="0"/>
              <w:rPr>
                <w:b/>
                <w:noProof/>
              </w:rPr>
            </w:pPr>
            <w:r w:rsidRPr="001E1607">
              <w:rPr>
                <w:b/>
                <w:noProof/>
              </w:rPr>
              <w:t xml:space="preserve">job </w:t>
            </w:r>
            <w:r w:rsidR="001E1607" w:rsidRPr="001E1607">
              <w:rPr>
                <w:b/>
                <w:noProof/>
              </w:rPr>
              <w:t xml:space="preserve"> </w:t>
            </w:r>
            <w:r w:rsidRPr="001E1607">
              <w:rPr>
                <w:b/>
                <w:noProof/>
              </w:rPr>
              <w:t>seeker</w:t>
            </w:r>
          </w:p>
        </w:tc>
        <w:tc>
          <w:tcPr>
            <w:tcW w:w="1509" w:type="pct"/>
          </w:tcPr>
          <w:p w14:paraId="6E4BE159" w14:textId="77777777" w:rsidR="00C93A2C" w:rsidRPr="001E1607" w:rsidRDefault="00C93A2C" w:rsidP="00917D0E">
            <w:pPr>
              <w:ind w:left="-142" w:firstLine="142"/>
              <w:rPr>
                <w:b/>
                <w:noProof/>
              </w:rPr>
            </w:pPr>
            <w:r w:rsidRPr="001E1607">
              <w:rPr>
                <w:b/>
                <w:noProof/>
              </w:rPr>
              <w:t>Number of all job seekers</w:t>
            </w:r>
          </w:p>
        </w:tc>
        <w:tc>
          <w:tcPr>
            <w:tcW w:w="1049" w:type="pct"/>
          </w:tcPr>
          <w:p w14:paraId="70111435" w14:textId="77777777" w:rsidR="00C93A2C" w:rsidRPr="001E1607" w:rsidRDefault="00C93A2C" w:rsidP="00887E4E">
            <w:pPr>
              <w:ind w:left="-142" w:firstLine="142"/>
              <w:rPr>
                <w:b/>
                <w:noProof/>
              </w:rPr>
            </w:pPr>
            <w:r w:rsidRPr="001E1607">
              <w:rPr>
                <w:b/>
                <w:noProof/>
              </w:rPr>
              <w:t>% of all job seekers</w:t>
            </w:r>
          </w:p>
        </w:tc>
        <w:tc>
          <w:tcPr>
            <w:tcW w:w="1013" w:type="pct"/>
          </w:tcPr>
          <w:p w14:paraId="5A411F47" w14:textId="77777777" w:rsidR="00C93A2C" w:rsidRPr="001E1607" w:rsidRDefault="00C93A2C" w:rsidP="00887E4E">
            <w:pPr>
              <w:ind w:left="-142" w:firstLine="142"/>
              <w:rPr>
                <w:b/>
                <w:noProof/>
              </w:rPr>
            </w:pPr>
            <w:r w:rsidRPr="001E1607">
              <w:rPr>
                <w:b/>
                <w:noProof/>
              </w:rPr>
              <w:t xml:space="preserve">% of PRs, NARs or PARs </w:t>
            </w:r>
          </w:p>
        </w:tc>
      </w:tr>
      <w:tr w:rsidR="00992FCC" w:rsidRPr="00325EF7" w14:paraId="738AA20B" w14:textId="77777777" w:rsidTr="00AA54C0">
        <w:tc>
          <w:tcPr>
            <w:tcW w:w="1429" w:type="pct"/>
            <w:vAlign w:val="center"/>
          </w:tcPr>
          <w:p w14:paraId="016256FA" w14:textId="77777777" w:rsidR="00992FCC" w:rsidRPr="004741B6" w:rsidRDefault="00992FCC" w:rsidP="00992FCC">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4AF5CC2" w14:textId="6A128385" w:rsidR="00992FCC" w:rsidRPr="002619C1" w:rsidRDefault="00992FCC" w:rsidP="00992FCC">
            <w:pPr>
              <w:ind w:left="-142" w:firstLine="142"/>
              <w:rPr>
                <w:noProof/>
              </w:rPr>
            </w:pPr>
            <w:r w:rsidRPr="002619C1">
              <w:rPr>
                <w:rFonts w:cs="Gill Sans MT"/>
                <w:color w:val="000000"/>
              </w:rPr>
              <w:t>6,578</w:t>
            </w:r>
          </w:p>
        </w:tc>
        <w:tc>
          <w:tcPr>
            <w:tcW w:w="1049" w:type="pct"/>
            <w:tcBorders>
              <w:top w:val="single" w:sz="4" w:space="0" w:color="auto"/>
              <w:left w:val="nil"/>
              <w:bottom w:val="single" w:sz="4" w:space="0" w:color="auto"/>
              <w:right w:val="single" w:sz="4" w:space="0" w:color="auto"/>
            </w:tcBorders>
            <w:shd w:val="clear" w:color="auto" w:fill="auto"/>
            <w:vAlign w:val="center"/>
          </w:tcPr>
          <w:p w14:paraId="46865133" w14:textId="634C82D2" w:rsidR="00992FCC" w:rsidRPr="002619C1" w:rsidRDefault="00992FCC" w:rsidP="00992FCC">
            <w:pPr>
              <w:ind w:left="-142" w:firstLine="142"/>
              <w:rPr>
                <w:noProof/>
              </w:rPr>
            </w:pPr>
            <w:r w:rsidRPr="002619C1">
              <w:rPr>
                <w:rFonts w:cs="Gill Sans MT"/>
                <w:color w:val="000000"/>
              </w:rPr>
              <w:t>23.2%</w:t>
            </w:r>
          </w:p>
        </w:tc>
        <w:tc>
          <w:tcPr>
            <w:tcW w:w="1013" w:type="pct"/>
            <w:tcBorders>
              <w:top w:val="single" w:sz="4" w:space="0" w:color="auto"/>
              <w:left w:val="nil"/>
              <w:bottom w:val="single" w:sz="4" w:space="0" w:color="auto"/>
              <w:right w:val="single" w:sz="4" w:space="0" w:color="auto"/>
            </w:tcBorders>
            <w:shd w:val="clear" w:color="auto" w:fill="auto"/>
          </w:tcPr>
          <w:p w14:paraId="29E5E4E3" w14:textId="2CCCE4F5" w:rsidR="00992FCC" w:rsidRPr="002619C1" w:rsidRDefault="00992FCC" w:rsidP="00992FCC">
            <w:pPr>
              <w:ind w:left="-142" w:firstLine="142"/>
              <w:rPr>
                <w:noProof/>
              </w:rPr>
            </w:pPr>
            <w:r w:rsidRPr="002619C1">
              <w:rPr>
                <w:rFonts w:cs="Gill Sans MT"/>
                <w:color w:val="000000"/>
              </w:rPr>
              <w:t>N/A</w:t>
            </w:r>
          </w:p>
        </w:tc>
      </w:tr>
      <w:tr w:rsidR="00992FCC" w:rsidRPr="00325EF7" w14:paraId="5355E8B8" w14:textId="77777777" w:rsidTr="00AA54C0">
        <w:tc>
          <w:tcPr>
            <w:tcW w:w="1429" w:type="pct"/>
            <w:vAlign w:val="center"/>
          </w:tcPr>
          <w:p w14:paraId="28776813" w14:textId="77777777" w:rsidR="00992FCC" w:rsidRPr="004741B6" w:rsidRDefault="00992FCC" w:rsidP="00992FCC">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07E05FEC" w14:textId="094395A6" w:rsidR="00992FCC" w:rsidRPr="002619C1" w:rsidRDefault="00992FCC" w:rsidP="00992FCC">
            <w:pPr>
              <w:ind w:left="-142" w:firstLine="142"/>
              <w:rPr>
                <w:noProof/>
              </w:rPr>
            </w:pPr>
            <w:r w:rsidRPr="002619C1">
              <w:rPr>
                <w:rFonts w:cs="Gill Sans MT"/>
                <w:color w:val="000000"/>
              </w:rPr>
              <w:t>2,901</w:t>
            </w:r>
          </w:p>
        </w:tc>
        <w:tc>
          <w:tcPr>
            <w:tcW w:w="1049" w:type="pct"/>
            <w:tcBorders>
              <w:top w:val="nil"/>
              <w:left w:val="nil"/>
              <w:bottom w:val="single" w:sz="4" w:space="0" w:color="auto"/>
              <w:right w:val="single" w:sz="4" w:space="0" w:color="auto"/>
            </w:tcBorders>
            <w:shd w:val="clear" w:color="auto" w:fill="auto"/>
            <w:vAlign w:val="center"/>
          </w:tcPr>
          <w:p w14:paraId="45CC8AFE" w14:textId="00D0AF3D" w:rsidR="00992FCC" w:rsidRPr="002619C1" w:rsidRDefault="00992FCC" w:rsidP="00992FCC">
            <w:pPr>
              <w:ind w:left="-142" w:firstLine="142"/>
              <w:rPr>
                <w:noProof/>
              </w:rPr>
            </w:pPr>
            <w:r w:rsidRPr="002619C1">
              <w:rPr>
                <w:rFonts w:cs="Gill Sans MT"/>
                <w:color w:val="000000"/>
              </w:rPr>
              <w:t>10.3%</w:t>
            </w:r>
          </w:p>
        </w:tc>
        <w:tc>
          <w:tcPr>
            <w:tcW w:w="1013" w:type="pct"/>
            <w:tcBorders>
              <w:top w:val="nil"/>
              <w:left w:val="nil"/>
              <w:bottom w:val="single" w:sz="4" w:space="0" w:color="auto"/>
              <w:right w:val="single" w:sz="4" w:space="0" w:color="auto"/>
            </w:tcBorders>
            <w:shd w:val="clear" w:color="auto" w:fill="auto"/>
            <w:vAlign w:val="center"/>
          </w:tcPr>
          <w:p w14:paraId="52FD1D32" w14:textId="13E43A14" w:rsidR="00992FCC" w:rsidRPr="002619C1" w:rsidRDefault="00992FCC" w:rsidP="00992FCC">
            <w:pPr>
              <w:ind w:left="-142" w:firstLine="142"/>
              <w:rPr>
                <w:noProof/>
              </w:rPr>
            </w:pPr>
            <w:r w:rsidRPr="002619C1">
              <w:rPr>
                <w:rFonts w:cs="Gill Sans MT"/>
                <w:color w:val="000000"/>
              </w:rPr>
              <w:t>1.2%</w:t>
            </w:r>
          </w:p>
        </w:tc>
      </w:tr>
      <w:tr w:rsidR="00992FCC" w:rsidRPr="00325EF7" w14:paraId="65EFCA2A" w14:textId="77777777" w:rsidTr="00AA54C0">
        <w:tc>
          <w:tcPr>
            <w:tcW w:w="1429" w:type="pct"/>
            <w:vAlign w:val="center"/>
          </w:tcPr>
          <w:p w14:paraId="21CDC7B7" w14:textId="77777777" w:rsidR="00992FCC" w:rsidRPr="004741B6" w:rsidRDefault="00992FCC" w:rsidP="00992FCC">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6E738E65" w14:textId="60DF77E6" w:rsidR="00992FCC" w:rsidRPr="002619C1" w:rsidRDefault="00992FCC" w:rsidP="00992FCC">
            <w:pPr>
              <w:ind w:left="-142" w:firstLine="142"/>
              <w:rPr>
                <w:noProof/>
              </w:rPr>
            </w:pPr>
            <w:r w:rsidRPr="002619C1">
              <w:rPr>
                <w:rFonts w:cs="Gill Sans MT"/>
                <w:color w:val="000000"/>
              </w:rPr>
              <w:t>2,008</w:t>
            </w:r>
          </w:p>
        </w:tc>
        <w:tc>
          <w:tcPr>
            <w:tcW w:w="1049" w:type="pct"/>
            <w:tcBorders>
              <w:top w:val="nil"/>
              <w:left w:val="nil"/>
              <w:bottom w:val="single" w:sz="4" w:space="0" w:color="auto"/>
              <w:right w:val="single" w:sz="4" w:space="0" w:color="auto"/>
            </w:tcBorders>
            <w:shd w:val="clear" w:color="auto" w:fill="auto"/>
            <w:vAlign w:val="center"/>
          </w:tcPr>
          <w:p w14:paraId="622AAD81" w14:textId="780789FE" w:rsidR="00992FCC" w:rsidRPr="002619C1" w:rsidRDefault="00992FCC" w:rsidP="00992FCC">
            <w:pPr>
              <w:ind w:left="-142" w:firstLine="142"/>
              <w:rPr>
                <w:noProof/>
              </w:rPr>
            </w:pPr>
            <w:r w:rsidRPr="002619C1">
              <w:rPr>
                <w:rFonts w:cs="Gill Sans MT"/>
                <w:color w:val="000000"/>
              </w:rPr>
              <w:t>7.1%</w:t>
            </w:r>
          </w:p>
        </w:tc>
        <w:tc>
          <w:tcPr>
            <w:tcW w:w="1013" w:type="pct"/>
            <w:tcBorders>
              <w:top w:val="nil"/>
              <w:left w:val="nil"/>
              <w:bottom w:val="single" w:sz="4" w:space="0" w:color="auto"/>
              <w:right w:val="single" w:sz="4" w:space="0" w:color="auto"/>
            </w:tcBorders>
            <w:shd w:val="clear" w:color="auto" w:fill="auto"/>
            <w:vAlign w:val="center"/>
          </w:tcPr>
          <w:p w14:paraId="1A4F0E99" w14:textId="3594DBAC" w:rsidR="00992FCC" w:rsidRPr="002619C1" w:rsidRDefault="00992FCC" w:rsidP="00992FCC">
            <w:pPr>
              <w:ind w:left="-142" w:firstLine="142"/>
              <w:rPr>
                <w:noProof/>
              </w:rPr>
            </w:pPr>
            <w:r w:rsidRPr="002619C1">
              <w:rPr>
                <w:rFonts w:cs="Gill Sans MT"/>
                <w:color w:val="000000"/>
              </w:rPr>
              <w:t>1.7%</w:t>
            </w:r>
          </w:p>
        </w:tc>
      </w:tr>
      <w:tr w:rsidR="00992FCC" w:rsidRPr="00325EF7" w14:paraId="1FC61730" w14:textId="77777777" w:rsidTr="00AA54C0">
        <w:tc>
          <w:tcPr>
            <w:tcW w:w="1429" w:type="pct"/>
            <w:vAlign w:val="center"/>
          </w:tcPr>
          <w:p w14:paraId="3B2B8B25" w14:textId="77777777" w:rsidR="00992FCC" w:rsidRPr="004741B6" w:rsidRDefault="00992FCC" w:rsidP="00992FCC">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085D4C6" w14:textId="5445DFF7" w:rsidR="00992FCC" w:rsidRPr="002619C1" w:rsidRDefault="00992FCC" w:rsidP="00992FCC">
            <w:pPr>
              <w:ind w:left="-142" w:firstLine="142"/>
              <w:rPr>
                <w:noProof/>
              </w:rPr>
            </w:pPr>
            <w:r w:rsidRPr="002619C1">
              <w:rPr>
                <w:rFonts w:cs="Gill Sans MT"/>
                <w:color w:val="000000"/>
              </w:rPr>
              <w:t>1,666</w:t>
            </w:r>
          </w:p>
        </w:tc>
        <w:tc>
          <w:tcPr>
            <w:tcW w:w="1049" w:type="pct"/>
            <w:tcBorders>
              <w:top w:val="nil"/>
              <w:left w:val="nil"/>
              <w:bottom w:val="single" w:sz="4" w:space="0" w:color="auto"/>
              <w:right w:val="single" w:sz="4" w:space="0" w:color="auto"/>
            </w:tcBorders>
            <w:shd w:val="clear" w:color="auto" w:fill="auto"/>
            <w:vAlign w:val="center"/>
          </w:tcPr>
          <w:p w14:paraId="79406A98" w14:textId="17ADE8F7" w:rsidR="00992FCC" w:rsidRPr="002619C1" w:rsidRDefault="00992FCC" w:rsidP="00992FCC">
            <w:pPr>
              <w:ind w:left="-142" w:firstLine="142"/>
              <w:rPr>
                <w:noProof/>
              </w:rPr>
            </w:pPr>
            <w:r w:rsidRPr="002619C1">
              <w:rPr>
                <w:rFonts w:cs="Gill Sans MT"/>
                <w:color w:val="000000"/>
              </w:rPr>
              <w:t>5.9%</w:t>
            </w:r>
          </w:p>
        </w:tc>
        <w:tc>
          <w:tcPr>
            <w:tcW w:w="1013" w:type="pct"/>
            <w:tcBorders>
              <w:top w:val="nil"/>
              <w:left w:val="nil"/>
              <w:bottom w:val="single" w:sz="4" w:space="0" w:color="auto"/>
              <w:right w:val="single" w:sz="4" w:space="0" w:color="auto"/>
            </w:tcBorders>
            <w:shd w:val="clear" w:color="auto" w:fill="auto"/>
            <w:vAlign w:val="center"/>
          </w:tcPr>
          <w:p w14:paraId="3746520A" w14:textId="2ABC1720" w:rsidR="00992FCC" w:rsidRPr="002619C1" w:rsidRDefault="00992FCC" w:rsidP="00992FCC">
            <w:pPr>
              <w:ind w:left="-142" w:firstLine="142"/>
              <w:rPr>
                <w:noProof/>
              </w:rPr>
            </w:pPr>
            <w:r w:rsidRPr="002619C1">
              <w:rPr>
                <w:rFonts w:cs="Gill Sans MT"/>
                <w:color w:val="000000"/>
              </w:rPr>
              <w:t>2.1%</w:t>
            </w:r>
          </w:p>
        </w:tc>
      </w:tr>
      <w:tr w:rsidR="00992FCC" w:rsidRPr="00325EF7" w14:paraId="3D92CB5E" w14:textId="77777777" w:rsidTr="00AA54C0">
        <w:tc>
          <w:tcPr>
            <w:tcW w:w="1429" w:type="pct"/>
            <w:vAlign w:val="center"/>
          </w:tcPr>
          <w:p w14:paraId="0D743FD7" w14:textId="77777777" w:rsidR="00992FCC" w:rsidRPr="004741B6" w:rsidRDefault="00992FCC" w:rsidP="00992FCC">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3FC1E5CF" w14:textId="05CF043B" w:rsidR="00992FCC" w:rsidRPr="002619C1" w:rsidRDefault="00992FCC" w:rsidP="00992FCC">
            <w:pPr>
              <w:ind w:left="-142" w:firstLine="142"/>
              <w:rPr>
                <w:noProof/>
              </w:rPr>
            </w:pPr>
            <w:r w:rsidRPr="002619C1">
              <w:rPr>
                <w:rFonts w:cs="Gill Sans MT"/>
                <w:color w:val="000000"/>
              </w:rPr>
              <w:t>1,407</w:t>
            </w:r>
          </w:p>
        </w:tc>
        <w:tc>
          <w:tcPr>
            <w:tcW w:w="1049" w:type="pct"/>
            <w:tcBorders>
              <w:top w:val="nil"/>
              <w:left w:val="nil"/>
              <w:bottom w:val="single" w:sz="4" w:space="0" w:color="auto"/>
              <w:right w:val="single" w:sz="4" w:space="0" w:color="auto"/>
            </w:tcBorders>
            <w:shd w:val="clear" w:color="auto" w:fill="auto"/>
            <w:vAlign w:val="center"/>
          </w:tcPr>
          <w:p w14:paraId="0C9A13B7" w14:textId="71E1FD42" w:rsidR="00992FCC" w:rsidRPr="002619C1" w:rsidRDefault="00992FCC" w:rsidP="00992FCC">
            <w:pPr>
              <w:ind w:left="-142" w:firstLine="142"/>
              <w:rPr>
                <w:noProof/>
              </w:rPr>
            </w:pPr>
            <w:r w:rsidRPr="002619C1">
              <w:rPr>
                <w:rFonts w:cs="Gill Sans MT"/>
                <w:color w:val="000000"/>
              </w:rPr>
              <w:t>5.0%</w:t>
            </w:r>
          </w:p>
        </w:tc>
        <w:tc>
          <w:tcPr>
            <w:tcW w:w="1013" w:type="pct"/>
            <w:tcBorders>
              <w:top w:val="nil"/>
              <w:left w:val="nil"/>
              <w:bottom w:val="single" w:sz="4" w:space="0" w:color="auto"/>
              <w:right w:val="single" w:sz="4" w:space="0" w:color="auto"/>
            </w:tcBorders>
            <w:shd w:val="clear" w:color="auto" w:fill="auto"/>
            <w:vAlign w:val="center"/>
          </w:tcPr>
          <w:p w14:paraId="0DF2FAF9" w14:textId="0CCFDE9A" w:rsidR="00992FCC" w:rsidRPr="002619C1" w:rsidRDefault="00992FCC" w:rsidP="00992FCC">
            <w:pPr>
              <w:ind w:left="-142" w:firstLine="142"/>
              <w:rPr>
                <w:noProof/>
              </w:rPr>
            </w:pPr>
            <w:r w:rsidRPr="002619C1">
              <w:rPr>
                <w:rFonts w:cs="Gill Sans MT"/>
                <w:color w:val="000000"/>
              </w:rPr>
              <w:t>2.3%</w:t>
            </w:r>
          </w:p>
        </w:tc>
      </w:tr>
      <w:tr w:rsidR="00992FCC" w:rsidRPr="00325EF7" w14:paraId="6A86AD9B" w14:textId="77777777" w:rsidTr="00AA54C0">
        <w:tc>
          <w:tcPr>
            <w:tcW w:w="1429" w:type="pct"/>
            <w:vAlign w:val="center"/>
          </w:tcPr>
          <w:p w14:paraId="4390B5BB" w14:textId="77777777" w:rsidR="00992FCC" w:rsidRPr="004741B6" w:rsidRDefault="00992FCC" w:rsidP="00992FCC">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198A5F2" w14:textId="05BDC52A" w:rsidR="00992FCC" w:rsidRPr="002619C1" w:rsidRDefault="00992FCC" w:rsidP="00992FCC">
            <w:pPr>
              <w:ind w:left="-142" w:firstLine="142"/>
              <w:rPr>
                <w:noProof/>
              </w:rPr>
            </w:pPr>
            <w:r w:rsidRPr="002619C1">
              <w:rPr>
                <w:rFonts w:cs="Gill Sans MT"/>
                <w:color w:val="000000"/>
              </w:rPr>
              <w:t>13,739</w:t>
            </w:r>
          </w:p>
        </w:tc>
        <w:tc>
          <w:tcPr>
            <w:tcW w:w="1049" w:type="pct"/>
            <w:tcBorders>
              <w:top w:val="nil"/>
              <w:left w:val="nil"/>
              <w:bottom w:val="single" w:sz="4" w:space="0" w:color="auto"/>
              <w:right w:val="single" w:sz="4" w:space="0" w:color="auto"/>
            </w:tcBorders>
            <w:shd w:val="clear" w:color="auto" w:fill="auto"/>
            <w:vAlign w:val="center"/>
          </w:tcPr>
          <w:p w14:paraId="7822F4AD" w14:textId="5C419D38" w:rsidR="00992FCC" w:rsidRPr="002619C1" w:rsidRDefault="00992FCC" w:rsidP="00992FCC">
            <w:pPr>
              <w:ind w:left="-142" w:firstLine="142"/>
              <w:rPr>
                <w:noProof/>
              </w:rPr>
            </w:pPr>
            <w:r w:rsidRPr="002619C1">
              <w:rPr>
                <w:rFonts w:cs="Gill Sans MT"/>
                <w:color w:val="000000"/>
              </w:rPr>
              <w:t>48.5%</w:t>
            </w:r>
          </w:p>
        </w:tc>
        <w:tc>
          <w:tcPr>
            <w:tcW w:w="1013" w:type="pct"/>
            <w:tcBorders>
              <w:top w:val="nil"/>
              <w:left w:val="nil"/>
              <w:bottom w:val="single" w:sz="4" w:space="0" w:color="auto"/>
              <w:right w:val="single" w:sz="4" w:space="0" w:color="auto"/>
            </w:tcBorders>
            <w:shd w:val="clear" w:color="auto" w:fill="auto"/>
            <w:vAlign w:val="center"/>
          </w:tcPr>
          <w:p w14:paraId="701180CA" w14:textId="1D9B615C" w:rsidR="00992FCC" w:rsidRPr="002619C1" w:rsidRDefault="00992FCC" w:rsidP="00992FCC">
            <w:pPr>
              <w:ind w:left="-142" w:firstLine="142"/>
              <w:rPr>
                <w:noProof/>
              </w:rPr>
            </w:pPr>
            <w:r w:rsidRPr="002619C1">
              <w:rPr>
                <w:rFonts w:cs="Gill Sans MT"/>
                <w:color w:val="000000"/>
              </w:rPr>
              <w:t>92.8%</w:t>
            </w:r>
          </w:p>
        </w:tc>
      </w:tr>
      <w:tr w:rsidR="00992FCC" w:rsidRPr="00325EF7" w14:paraId="5DFF1E0D" w14:textId="77777777" w:rsidTr="00AA54C0">
        <w:tc>
          <w:tcPr>
            <w:tcW w:w="1429" w:type="pct"/>
            <w:vAlign w:val="center"/>
          </w:tcPr>
          <w:p w14:paraId="4BBF069F" w14:textId="77777777" w:rsidR="00992FCC" w:rsidRPr="001E1607" w:rsidRDefault="00992FCC" w:rsidP="00992FCC">
            <w:pPr>
              <w:ind w:left="-142" w:firstLine="142"/>
              <w:rPr>
                <w:b/>
                <w:noProof/>
              </w:rPr>
            </w:pPr>
            <w:r w:rsidRPr="001E1607">
              <w:rPr>
                <w:b/>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7A6DF081" w14:textId="5C3959B0" w:rsidR="00992FCC" w:rsidRPr="001E1607" w:rsidRDefault="00992FCC" w:rsidP="00992FCC">
            <w:pPr>
              <w:ind w:left="-142" w:firstLine="142"/>
              <w:rPr>
                <w:b/>
                <w:noProof/>
              </w:rPr>
            </w:pPr>
            <w:r w:rsidRPr="001E1607">
              <w:rPr>
                <w:rFonts w:cs="Gill Sans MT"/>
                <w:b/>
                <w:bCs/>
                <w:color w:val="000000"/>
              </w:rPr>
              <w:t>28,299</w:t>
            </w:r>
          </w:p>
        </w:tc>
        <w:tc>
          <w:tcPr>
            <w:tcW w:w="1049" w:type="pct"/>
            <w:tcBorders>
              <w:top w:val="nil"/>
              <w:left w:val="nil"/>
              <w:bottom w:val="single" w:sz="4" w:space="0" w:color="auto"/>
              <w:right w:val="single" w:sz="4" w:space="0" w:color="auto"/>
            </w:tcBorders>
            <w:shd w:val="clear" w:color="auto" w:fill="auto"/>
            <w:vAlign w:val="center"/>
          </w:tcPr>
          <w:p w14:paraId="66B07089" w14:textId="1F32A7CE" w:rsidR="00992FCC" w:rsidRPr="001E1607" w:rsidRDefault="00992FCC" w:rsidP="00992FCC">
            <w:pPr>
              <w:ind w:left="-142" w:firstLine="142"/>
              <w:rPr>
                <w:b/>
                <w:noProof/>
              </w:rPr>
            </w:pPr>
            <w:r w:rsidRPr="001E1607">
              <w:rPr>
                <w:rFonts w:cs="Gill Sans MT"/>
                <w:b/>
                <w:bCs/>
                <w:color w:val="000000"/>
              </w:rPr>
              <w:t>100%</w:t>
            </w:r>
          </w:p>
        </w:tc>
        <w:tc>
          <w:tcPr>
            <w:tcW w:w="1013" w:type="pct"/>
            <w:tcBorders>
              <w:top w:val="nil"/>
              <w:left w:val="nil"/>
              <w:bottom w:val="single" w:sz="4" w:space="0" w:color="auto"/>
              <w:right w:val="single" w:sz="4" w:space="0" w:color="auto"/>
            </w:tcBorders>
            <w:shd w:val="clear" w:color="auto" w:fill="auto"/>
          </w:tcPr>
          <w:p w14:paraId="19DA125C" w14:textId="618B29AE" w:rsidR="00992FCC" w:rsidRPr="001E1607" w:rsidRDefault="00992FCC" w:rsidP="00992FCC">
            <w:pPr>
              <w:ind w:left="-142" w:firstLine="142"/>
              <w:rPr>
                <w:b/>
                <w:noProof/>
              </w:rPr>
            </w:pPr>
            <w:r w:rsidRPr="001E1607">
              <w:rPr>
                <w:rFonts w:cs="Gill Sans MT"/>
                <w:b/>
                <w:bCs/>
                <w:color w:val="000000"/>
              </w:rPr>
              <w:t>100%</w:t>
            </w:r>
          </w:p>
        </w:tc>
      </w:tr>
    </w:tbl>
    <w:p w14:paraId="1F30AF44"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9C095AD"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5C3ADCBF" w14:textId="42A158ED"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A0477C">
        <w:t>31 December 2019</w:t>
      </w:r>
      <w:r w:rsidR="008D1F89" w:rsidRPr="00325EF7">
        <w:t xml:space="preserve"> </w:t>
      </w:r>
      <w:r w:rsidRPr="00325EF7">
        <w:t>who received the specified number of Participation Reports, Provider Appointment Reports and/or Non-Attendance Reports over the preceding twelve months.</w:t>
      </w:r>
    </w:p>
    <w:p w14:paraId="537028F0" w14:textId="3894E0F5"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A0477C">
        <w:t>31 December 2019</w:t>
      </w:r>
      <w:r w:rsidR="008D1F89" w:rsidRPr="00325EF7">
        <w:t xml:space="preserve"> </w:t>
      </w:r>
      <w:r w:rsidRPr="00325EF7">
        <w:t xml:space="preserve">during the preceding twelve </w:t>
      </w:r>
      <w:r w:rsidRPr="00287925">
        <w:t>month period (e.g.</w:t>
      </w:r>
      <w:r w:rsidR="00135D0E" w:rsidRPr="00287925">
        <w:t xml:space="preserve"> </w:t>
      </w:r>
      <w:r w:rsidR="002619C1">
        <w:t>92.8</w:t>
      </w:r>
      <w:r w:rsidR="008D1F89" w:rsidRPr="00D8728B">
        <w:t xml:space="preserve"> </w:t>
      </w:r>
      <w:r w:rsidRPr="00287925">
        <w:t xml:space="preserve">per cent of all compliance reports submitted between </w:t>
      </w:r>
      <w:r w:rsidRPr="00287925">
        <w:br/>
      </w:r>
      <w:r w:rsidR="008D1F89" w:rsidRPr="00D8728B">
        <w:t xml:space="preserve">1 </w:t>
      </w:r>
      <w:r w:rsidR="00A0477C">
        <w:t>January 2019</w:t>
      </w:r>
      <w:r w:rsidR="008D1F89" w:rsidRPr="00D8728B">
        <w:t xml:space="preserve"> and </w:t>
      </w:r>
      <w:r w:rsidR="00A0477C">
        <w:t>31 December 2019</w:t>
      </w:r>
      <w:r w:rsidR="008D1F89" w:rsidRPr="00D8728B">
        <w:t xml:space="preserve"> </w:t>
      </w:r>
      <w:r w:rsidRPr="00287925">
        <w:t xml:space="preserve">were submitted in relation to those job seekers who, as at </w:t>
      </w:r>
      <w:r w:rsidR="00A0477C">
        <w:t>31 December 2019</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3E757334" w14:textId="7F394745"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5490207" w14:textId="77777777" w:rsidR="00ED1D1C" w:rsidRDefault="00ED1D1C" w:rsidP="008F1667">
      <w:pPr>
        <w:spacing w:before="0" w:after="120" w:line="240" w:lineRule="auto"/>
        <w:ind w:left="-142"/>
      </w:pPr>
    </w:p>
    <w:p w14:paraId="7CDF846E" w14:textId="77777777" w:rsidR="00E909FA" w:rsidRDefault="00E909FA" w:rsidP="00887E4E">
      <w:pPr>
        <w:ind w:left="-142" w:firstLine="142"/>
      </w:pPr>
      <w:r>
        <w:br w:type="page"/>
      </w:r>
    </w:p>
    <w:p w14:paraId="25E87184" w14:textId="77777777" w:rsidR="00366AB0" w:rsidRPr="00366AB0" w:rsidRDefault="00456F16" w:rsidP="00366AB0">
      <w:pPr>
        <w:pStyle w:val="Heading2"/>
        <w:spacing w:after="240"/>
        <w:ind w:left="-142" w:firstLine="142"/>
      </w:pPr>
      <w:bookmarkStart w:id="138" w:name="_Toc40179132"/>
      <w:r w:rsidRPr="004F3043">
        <w:lastRenderedPageBreak/>
        <w:t>Number of Participation Failures</w:t>
      </w:r>
      <w:r>
        <w:t xml:space="preserve"> </w:t>
      </w:r>
      <w:r w:rsidR="00C031E4">
        <w:t>Applied</w:t>
      </w:r>
      <w:bookmarkEnd w:id="138"/>
      <w:r w:rsidR="009F5454">
        <w:t xml:space="preserve"> </w:t>
      </w:r>
    </w:p>
    <w:tbl>
      <w:tblPr>
        <w:tblStyle w:val="TableGrid"/>
        <w:tblW w:w="5059" w:type="pct"/>
        <w:tblInd w:w="-176" w:type="dxa"/>
        <w:tblLook w:val="04A0" w:firstRow="1" w:lastRow="0" w:firstColumn="1" w:lastColumn="0" w:noHBand="0" w:noVBand="1"/>
        <w:tblCaption w:val="Number of Participation Failures Applied "/>
        <w:tblDescription w:val=" Number of Participation Failures"/>
      </w:tblPr>
      <w:tblGrid>
        <w:gridCol w:w="4191"/>
        <w:gridCol w:w="5444"/>
        <w:gridCol w:w="5271"/>
      </w:tblGrid>
      <w:tr w:rsidR="00687E2D" w:rsidRPr="00325EF7" w14:paraId="2C4B0F72" w14:textId="77777777" w:rsidTr="001E1607">
        <w:trPr>
          <w:trHeight w:val="937"/>
          <w:tblHeader/>
        </w:trPr>
        <w:tc>
          <w:tcPr>
            <w:tcW w:w="1406" w:type="pct"/>
            <w:vAlign w:val="center"/>
          </w:tcPr>
          <w:p w14:paraId="4ED570DD" w14:textId="77777777" w:rsidR="00687E2D" w:rsidRPr="001E1607" w:rsidRDefault="00687E2D" w:rsidP="00687E2D">
            <w:pPr>
              <w:spacing w:before="0"/>
              <w:ind w:left="-142" w:firstLine="142"/>
              <w:rPr>
                <w:b/>
                <w:noProof/>
              </w:rPr>
            </w:pPr>
            <w:r w:rsidRPr="001E1607">
              <w:rPr>
                <w:b/>
                <w:noProof/>
              </w:rPr>
              <w:t>Number of Participation Failures</w:t>
            </w:r>
          </w:p>
          <w:p w14:paraId="766FF1C0" w14:textId="1143DBA1" w:rsidR="00687E2D" w:rsidRPr="001E1607" w:rsidRDefault="00A0477C" w:rsidP="00687E2D">
            <w:pPr>
              <w:spacing w:before="0"/>
              <w:ind w:left="-142" w:firstLine="142"/>
              <w:rPr>
                <w:b/>
                <w:noProof/>
              </w:rPr>
            </w:pPr>
            <w:r w:rsidRPr="001E1607">
              <w:rPr>
                <w:b/>
              </w:rPr>
              <w:t>1 October to 31 December 2019</w:t>
            </w:r>
          </w:p>
        </w:tc>
        <w:tc>
          <w:tcPr>
            <w:tcW w:w="1826" w:type="pct"/>
            <w:vAlign w:val="center"/>
          </w:tcPr>
          <w:p w14:paraId="3F9A49F6" w14:textId="43AAD81F" w:rsidR="00687E2D" w:rsidRPr="001E1607" w:rsidRDefault="00687E2D" w:rsidP="00687E2D">
            <w:pPr>
              <w:spacing w:before="0"/>
              <w:ind w:left="-142" w:firstLine="142"/>
              <w:rPr>
                <w:b/>
                <w:noProof/>
              </w:rPr>
            </w:pPr>
            <w:r w:rsidRPr="001E1607">
              <w:rPr>
                <w:b/>
                <w:noProof/>
              </w:rPr>
              <w:t xml:space="preserve">Number of job seekers with a Participation Failure applied in past 12 months, as at </w:t>
            </w:r>
            <w:r w:rsidR="00A0477C" w:rsidRPr="001E1607">
              <w:rPr>
                <w:b/>
                <w:noProof/>
              </w:rPr>
              <w:t>31 December 2019</w:t>
            </w:r>
          </w:p>
        </w:tc>
        <w:tc>
          <w:tcPr>
            <w:tcW w:w="1768" w:type="pct"/>
            <w:vAlign w:val="center"/>
          </w:tcPr>
          <w:p w14:paraId="3F5C312E" w14:textId="77777777" w:rsidR="001E1607" w:rsidRDefault="00687E2D" w:rsidP="00687E2D">
            <w:pPr>
              <w:spacing w:before="0"/>
              <w:ind w:left="-142" w:firstLine="142"/>
              <w:rPr>
                <w:b/>
                <w:noProof/>
              </w:rPr>
            </w:pPr>
            <w:r w:rsidRPr="001E1607">
              <w:rPr>
                <w:b/>
                <w:noProof/>
              </w:rPr>
              <w:t xml:space="preserve">% of activity tested job seekers at </w:t>
            </w:r>
            <w:r w:rsidR="001E1607">
              <w:rPr>
                <w:b/>
                <w:noProof/>
              </w:rPr>
              <w:t>31 December</w:t>
            </w:r>
          </w:p>
          <w:p w14:paraId="5832063C" w14:textId="77777777" w:rsidR="001E1607" w:rsidRDefault="00A0477C" w:rsidP="001E1607">
            <w:pPr>
              <w:spacing w:before="0"/>
              <w:ind w:left="0"/>
              <w:rPr>
                <w:b/>
                <w:noProof/>
              </w:rPr>
            </w:pPr>
            <w:r w:rsidRPr="001E1607">
              <w:rPr>
                <w:b/>
                <w:noProof/>
              </w:rPr>
              <w:t>2019</w:t>
            </w:r>
            <w:r w:rsidR="00687E2D" w:rsidRPr="001E1607">
              <w:rPr>
                <w:b/>
                <w:noProof/>
              </w:rPr>
              <w:t xml:space="preserve"> with a Participation Failure in past </w:t>
            </w:r>
          </w:p>
          <w:p w14:paraId="1D143BE9" w14:textId="6A9B0595" w:rsidR="00687E2D" w:rsidRPr="001E1607" w:rsidRDefault="00687E2D" w:rsidP="001E1607">
            <w:pPr>
              <w:spacing w:before="0"/>
              <w:ind w:left="0"/>
              <w:rPr>
                <w:b/>
                <w:noProof/>
              </w:rPr>
            </w:pPr>
            <w:r w:rsidRPr="001E1607">
              <w:rPr>
                <w:b/>
                <w:noProof/>
              </w:rPr>
              <w:t>12 months</w:t>
            </w:r>
          </w:p>
        </w:tc>
      </w:tr>
      <w:tr w:rsidR="00992FCC" w:rsidRPr="00325EF7" w14:paraId="64BB9272" w14:textId="77777777" w:rsidTr="00AA54C0">
        <w:trPr>
          <w:trHeight w:val="445"/>
        </w:trPr>
        <w:tc>
          <w:tcPr>
            <w:tcW w:w="1406" w:type="pct"/>
            <w:vAlign w:val="center"/>
          </w:tcPr>
          <w:p w14:paraId="569C4BEC" w14:textId="0B46C839" w:rsidR="00992FCC" w:rsidRPr="00BE0AA2" w:rsidRDefault="00992FCC" w:rsidP="00992FCC">
            <w:pPr>
              <w:autoSpaceDE w:val="0"/>
              <w:autoSpaceDN w:val="0"/>
              <w:adjustRightInd w:val="0"/>
              <w:spacing w:line="360" w:lineRule="auto"/>
              <w:ind w:left="0"/>
              <w:rPr>
                <w:rFonts w:cs="Gill Sans MT"/>
                <w:color w:val="000000"/>
              </w:rPr>
            </w:pPr>
            <w:r w:rsidRPr="00BE0AA2">
              <w:rPr>
                <w:rFonts w:cs="Gill Sans MT"/>
                <w:color w:val="000000"/>
                <w:sz w:val="24"/>
                <w:szCs w:val="24"/>
              </w:rPr>
              <w:t>27,157</w:t>
            </w:r>
          </w:p>
        </w:tc>
        <w:tc>
          <w:tcPr>
            <w:tcW w:w="1826" w:type="pct"/>
            <w:vAlign w:val="center"/>
          </w:tcPr>
          <w:p w14:paraId="45198FD3" w14:textId="357BF518" w:rsidR="00992FCC" w:rsidRPr="00495540" w:rsidRDefault="00992FCC" w:rsidP="00992FCC">
            <w:pPr>
              <w:autoSpaceDE w:val="0"/>
              <w:autoSpaceDN w:val="0"/>
              <w:adjustRightInd w:val="0"/>
              <w:spacing w:line="360" w:lineRule="auto"/>
              <w:ind w:left="0"/>
              <w:rPr>
                <w:rFonts w:cs="Gill Sans MT"/>
                <w:color w:val="000000"/>
              </w:rPr>
            </w:pPr>
            <w:r w:rsidRPr="00D61235">
              <w:rPr>
                <w:rFonts w:cs="Gill Sans MT"/>
                <w:color w:val="000000"/>
                <w:sz w:val="24"/>
                <w:szCs w:val="24"/>
              </w:rPr>
              <w:t>12,490</w:t>
            </w:r>
          </w:p>
        </w:tc>
        <w:tc>
          <w:tcPr>
            <w:tcW w:w="1768" w:type="pct"/>
            <w:vAlign w:val="center"/>
          </w:tcPr>
          <w:p w14:paraId="00AF6B7F" w14:textId="6F767102" w:rsidR="00992FCC" w:rsidRPr="00495540" w:rsidRDefault="00992FCC" w:rsidP="00992FCC">
            <w:pPr>
              <w:autoSpaceDE w:val="0"/>
              <w:autoSpaceDN w:val="0"/>
              <w:adjustRightInd w:val="0"/>
              <w:spacing w:line="360" w:lineRule="auto"/>
              <w:ind w:left="0"/>
              <w:rPr>
                <w:rFonts w:cs="Gill Sans MT"/>
                <w:color w:val="000000"/>
              </w:rPr>
            </w:pPr>
            <w:r w:rsidRPr="00D61235">
              <w:rPr>
                <w:rFonts w:cs="Gill Sans MT"/>
                <w:color w:val="000000"/>
                <w:sz w:val="24"/>
                <w:szCs w:val="24"/>
              </w:rPr>
              <w:t>44.1%</w:t>
            </w:r>
          </w:p>
        </w:tc>
      </w:tr>
    </w:tbl>
    <w:p w14:paraId="0AEDF8CF"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6ED086" w14:textId="3D7CB1A6" w:rsidR="00131442" w:rsidRPr="00A64073" w:rsidRDefault="00131442" w:rsidP="00BB1E3F">
      <w:pPr>
        <w:spacing w:before="240" w:after="240" w:line="240" w:lineRule="auto"/>
        <w:ind w:left="-142"/>
      </w:pPr>
      <w:r w:rsidRPr="00A64073">
        <w:t xml:space="preserve">Participation Failures are applied where </w:t>
      </w:r>
      <w:r w:rsidR="008374F1">
        <w:t>Services Australia</w:t>
      </w:r>
      <w:r w:rsidRPr="00A64073">
        <w:t xml:space="preserve"> has assessed a Participation Report or a Provider Appointment Report and has determined under social security law that the job seeker did not have a reasonable excuse. </w:t>
      </w:r>
      <w:r w:rsidR="008374F1">
        <w:t>Services Australia</w:t>
      </w:r>
      <w:r w:rsidRPr="00A64073">
        <w:t xml:space="preserve"> then records the Participation Failure on the job seeker’s record and this may or may not result in the application of a financial penalty, depending on the failure type. </w:t>
      </w:r>
    </w:p>
    <w:p w14:paraId="44428EC7" w14:textId="19062E63"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8374F1">
        <w:t>Services Australia</w:t>
      </w:r>
      <w:r w:rsidRPr="00A64073">
        <w:t xml:space="preserve">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w:t>
      </w:r>
      <w:r w:rsidR="008374F1">
        <w:t>ority of UNPPs are initiated by Services Australia</w:t>
      </w:r>
      <w:r w:rsidRPr="00A64073">
        <w:t xml:space="preserve"> prior</w:t>
      </w:r>
      <w:r w:rsidRPr="00325EF7">
        <w:t xml:space="preserve"> to a job seeker commencing in employment services.</w:t>
      </w:r>
    </w:p>
    <w:p w14:paraId="486C49ED" w14:textId="72CFED08"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7D5CD692" w14:textId="22489982"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A0477C">
        <w:t>31 December 2019</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DA09832" w14:textId="69D7E895"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A0477C">
        <w:t>31 December 2019</w:t>
      </w:r>
      <w:r w:rsidR="00A9033B">
        <w:t>)</w:t>
      </w:r>
      <w:r>
        <w:t>.</w:t>
      </w:r>
    </w:p>
    <w:p w14:paraId="2839BF72" w14:textId="77777777" w:rsidR="00CC1242" w:rsidRDefault="00CC1242">
      <w:pPr>
        <w:spacing w:before="0"/>
        <w:ind w:left="0"/>
      </w:pPr>
      <w:r>
        <w:br w:type="page"/>
      </w:r>
    </w:p>
    <w:p w14:paraId="05EC58C8" w14:textId="77777777" w:rsidR="00456F16" w:rsidRDefault="00456F16" w:rsidP="00456F16">
      <w:pPr>
        <w:pStyle w:val="Heading2"/>
        <w:ind w:left="-142" w:firstLine="142"/>
      </w:pPr>
      <w:bookmarkStart w:id="139" w:name="_Toc40179133"/>
      <w:r w:rsidRPr="00325EF7">
        <w:lastRenderedPageBreak/>
        <w:t>Types of Participation Failures</w:t>
      </w:r>
      <w:bookmarkEnd w:id="139"/>
    </w:p>
    <w:p w14:paraId="5EF43BDA" w14:textId="7DB1AEAE" w:rsidR="001053D0" w:rsidRPr="001053D0" w:rsidRDefault="00E55094" w:rsidP="001053D0">
      <w:pPr>
        <w:pStyle w:val="Heading2"/>
        <w:numPr>
          <w:ilvl w:val="0"/>
          <w:numId w:val="0"/>
        </w:numPr>
        <w:spacing w:after="240"/>
        <w:ind w:left="709" w:hanging="709"/>
      </w:pPr>
      <w:bookmarkStart w:id="140" w:name="_Toc40179134"/>
      <w:r w:rsidRPr="001053D0">
        <w:rPr>
          <w:i/>
        </w:rPr>
        <w:t>9</w:t>
      </w:r>
      <w:r w:rsidR="006E21A3" w:rsidRPr="001053D0">
        <w:rPr>
          <w:i/>
        </w:rPr>
        <w:t>a</w:t>
      </w:r>
      <w:r>
        <w:t>.</w:t>
      </w:r>
      <w:r w:rsidR="00970C39">
        <w:tab/>
      </w:r>
      <w:r w:rsidR="00BF5515" w:rsidRPr="001053D0">
        <w:rPr>
          <w:rFonts w:cs="Arial"/>
          <w:bCs w:val="0"/>
          <w:i/>
          <w:szCs w:val="22"/>
        </w:rPr>
        <w:t>Types of Participation Failures</w:t>
      </w:r>
      <w:r w:rsidR="0035417E" w:rsidRPr="001053D0">
        <w:rPr>
          <w:rFonts w:cs="Arial"/>
          <w:bCs w:val="0"/>
          <w:i/>
          <w:szCs w:val="22"/>
        </w:rPr>
        <w:t xml:space="preserve"> </w:t>
      </w:r>
      <w:r w:rsidR="00A0477C">
        <w:rPr>
          <w:rFonts w:cs="Arial"/>
          <w:bCs w:val="0"/>
          <w:i/>
          <w:szCs w:val="22"/>
        </w:rPr>
        <w:t>1 October to 31 December 2019</w:t>
      </w:r>
      <w:bookmarkEnd w:id="140"/>
      <w:r w:rsidR="0035417E" w:rsidRPr="001053D0">
        <w:rPr>
          <w:rFonts w:cs="Arial"/>
          <w:i/>
          <w:szCs w:val="22"/>
        </w:rPr>
        <w:br/>
      </w:r>
    </w:p>
    <w:tbl>
      <w:tblPr>
        <w:tblStyle w:val="TableGrid"/>
        <w:tblW w:w="5000" w:type="pct"/>
        <w:tblLook w:val="07E0" w:firstRow="1" w:lastRow="1" w:firstColumn="1" w:lastColumn="1" w:noHBand="1" w:noVBand="1"/>
        <w:tblCaption w:val="9a. Types of Participation Failures 1 July to 30 September 2019"/>
      </w:tblPr>
      <w:tblGrid>
        <w:gridCol w:w="1164"/>
        <w:gridCol w:w="2127"/>
        <w:gridCol w:w="2169"/>
        <w:gridCol w:w="3044"/>
        <w:gridCol w:w="2566"/>
        <w:gridCol w:w="1968"/>
        <w:gridCol w:w="1694"/>
      </w:tblGrid>
      <w:tr w:rsidR="0035417E" w:rsidRPr="004741B6" w14:paraId="284F663B" w14:textId="77777777" w:rsidTr="00FB2293">
        <w:trPr>
          <w:tblHeader/>
        </w:trPr>
        <w:tc>
          <w:tcPr>
            <w:tcW w:w="395" w:type="pct"/>
          </w:tcPr>
          <w:p w14:paraId="3A3DC42E" w14:textId="77777777" w:rsidR="0035417E" w:rsidRPr="001E1607" w:rsidRDefault="0035417E" w:rsidP="00FB2293">
            <w:pPr>
              <w:ind w:left="-142" w:firstLine="142"/>
              <w:rPr>
                <w:b/>
              </w:rPr>
            </w:pPr>
            <w:r w:rsidRPr="001E1607">
              <w:rPr>
                <w:b/>
              </w:rPr>
              <w:t xml:space="preserve">Reason </w:t>
            </w:r>
          </w:p>
        </w:tc>
        <w:tc>
          <w:tcPr>
            <w:tcW w:w="722" w:type="pct"/>
          </w:tcPr>
          <w:p w14:paraId="2EA4156E" w14:textId="77777777" w:rsidR="001E1607" w:rsidRDefault="0035417E" w:rsidP="00FB2293">
            <w:pPr>
              <w:ind w:left="-142" w:firstLine="142"/>
              <w:rPr>
                <w:b/>
              </w:rPr>
            </w:pPr>
            <w:r w:rsidRPr="001E1607">
              <w:rPr>
                <w:b/>
              </w:rPr>
              <w:t xml:space="preserve">Connection </w:t>
            </w:r>
          </w:p>
          <w:p w14:paraId="6E9BFC23" w14:textId="121444E7" w:rsidR="0035417E" w:rsidRPr="001E1607" w:rsidRDefault="0035417E" w:rsidP="00FB2293">
            <w:pPr>
              <w:ind w:left="-142" w:firstLine="142"/>
              <w:rPr>
                <w:b/>
              </w:rPr>
            </w:pPr>
            <w:r w:rsidRPr="001E1607">
              <w:rPr>
                <w:b/>
              </w:rPr>
              <w:t>Failures</w:t>
            </w:r>
          </w:p>
        </w:tc>
        <w:tc>
          <w:tcPr>
            <w:tcW w:w="736" w:type="pct"/>
          </w:tcPr>
          <w:p w14:paraId="3CF5647A" w14:textId="77777777" w:rsidR="001E1607" w:rsidRDefault="0035417E" w:rsidP="00FB2293">
            <w:pPr>
              <w:ind w:left="-142" w:firstLine="142"/>
              <w:rPr>
                <w:b/>
              </w:rPr>
            </w:pPr>
            <w:r w:rsidRPr="001E1607">
              <w:rPr>
                <w:b/>
              </w:rPr>
              <w:t xml:space="preserve">Reconnection </w:t>
            </w:r>
          </w:p>
          <w:p w14:paraId="7124CC57" w14:textId="357DFA3A" w:rsidR="0035417E" w:rsidRPr="001E1607" w:rsidRDefault="0035417E" w:rsidP="00FB2293">
            <w:pPr>
              <w:ind w:left="-142" w:firstLine="142"/>
              <w:rPr>
                <w:b/>
              </w:rPr>
            </w:pPr>
            <w:r w:rsidRPr="001E1607">
              <w:rPr>
                <w:b/>
              </w:rPr>
              <w:t>Failures</w:t>
            </w:r>
          </w:p>
        </w:tc>
        <w:tc>
          <w:tcPr>
            <w:tcW w:w="1033" w:type="pct"/>
          </w:tcPr>
          <w:p w14:paraId="2BC008BD" w14:textId="77777777" w:rsidR="0035417E" w:rsidRPr="001E1607" w:rsidRDefault="0035417E" w:rsidP="00FB2293">
            <w:pPr>
              <w:ind w:left="-142" w:firstLine="142"/>
              <w:rPr>
                <w:b/>
              </w:rPr>
            </w:pPr>
            <w:r w:rsidRPr="001E1607">
              <w:rPr>
                <w:b/>
              </w:rPr>
              <w:t>Non-Attendance Failures</w:t>
            </w:r>
          </w:p>
        </w:tc>
        <w:tc>
          <w:tcPr>
            <w:tcW w:w="871" w:type="pct"/>
          </w:tcPr>
          <w:p w14:paraId="77FFEF0C" w14:textId="77777777" w:rsidR="001E1607" w:rsidRDefault="001E1607" w:rsidP="001E1607">
            <w:pPr>
              <w:ind w:left="-142" w:firstLine="142"/>
              <w:rPr>
                <w:b/>
              </w:rPr>
            </w:pPr>
            <w:r>
              <w:rPr>
                <w:b/>
              </w:rPr>
              <w:t>No Show No Pay</w:t>
            </w:r>
          </w:p>
          <w:p w14:paraId="011BFA21" w14:textId="1A8EEBFC" w:rsidR="0035417E" w:rsidRPr="001E1607" w:rsidRDefault="0035417E" w:rsidP="001E1607">
            <w:pPr>
              <w:ind w:left="-142" w:firstLine="142"/>
              <w:rPr>
                <w:b/>
              </w:rPr>
            </w:pPr>
            <w:r w:rsidRPr="001E1607">
              <w:rPr>
                <w:b/>
              </w:rPr>
              <w:t>Failures</w:t>
            </w:r>
          </w:p>
        </w:tc>
        <w:tc>
          <w:tcPr>
            <w:tcW w:w="668" w:type="pct"/>
          </w:tcPr>
          <w:p w14:paraId="295771B2" w14:textId="77777777" w:rsidR="0035417E" w:rsidRPr="001E1607" w:rsidRDefault="0035417E" w:rsidP="00FB2293">
            <w:pPr>
              <w:ind w:left="-142" w:firstLine="142"/>
              <w:rPr>
                <w:b/>
              </w:rPr>
            </w:pPr>
            <w:r w:rsidRPr="001E1607">
              <w:rPr>
                <w:b/>
              </w:rPr>
              <w:t>Serious Failures</w:t>
            </w:r>
          </w:p>
        </w:tc>
        <w:tc>
          <w:tcPr>
            <w:tcW w:w="575" w:type="pct"/>
          </w:tcPr>
          <w:p w14:paraId="1AB18BDD" w14:textId="77777777" w:rsidR="0035417E" w:rsidRPr="001E1607" w:rsidRDefault="0035417E" w:rsidP="00FB2293">
            <w:pPr>
              <w:ind w:left="-142" w:firstLine="142"/>
              <w:rPr>
                <w:b/>
              </w:rPr>
            </w:pPr>
            <w:r w:rsidRPr="001E1607">
              <w:rPr>
                <w:b/>
              </w:rPr>
              <w:t>Total Failures</w:t>
            </w:r>
          </w:p>
        </w:tc>
      </w:tr>
      <w:tr w:rsidR="0035417E" w:rsidRPr="004741B6" w14:paraId="672D1C09" w14:textId="77777777" w:rsidTr="002619C1">
        <w:trPr>
          <w:tblHeader/>
        </w:trPr>
        <w:tc>
          <w:tcPr>
            <w:tcW w:w="395" w:type="pct"/>
            <w:vAlign w:val="center"/>
          </w:tcPr>
          <w:p w14:paraId="0911A577" w14:textId="60267E02" w:rsidR="0035417E" w:rsidRPr="001E1607" w:rsidRDefault="0035417E" w:rsidP="002619C1">
            <w:pPr>
              <w:ind w:left="-142" w:firstLine="142"/>
            </w:pPr>
            <w:r w:rsidRPr="001E1607">
              <w:t>Number</w:t>
            </w:r>
          </w:p>
        </w:tc>
        <w:tc>
          <w:tcPr>
            <w:tcW w:w="722" w:type="pct"/>
            <w:vAlign w:val="center"/>
          </w:tcPr>
          <w:p w14:paraId="05056EA9" w14:textId="34130DF8" w:rsidR="0035417E" w:rsidRPr="001E1607" w:rsidRDefault="00ED156C" w:rsidP="002619C1">
            <w:pPr>
              <w:ind w:left="-142" w:firstLine="142"/>
            </w:pPr>
            <w:r w:rsidRPr="001E1607">
              <w:t>N</w:t>
            </w:r>
            <w:r w:rsidR="00B72F73" w:rsidRPr="001E1607">
              <w:t>p</w:t>
            </w:r>
          </w:p>
        </w:tc>
        <w:tc>
          <w:tcPr>
            <w:tcW w:w="736" w:type="pct"/>
            <w:vAlign w:val="center"/>
          </w:tcPr>
          <w:p w14:paraId="3C72E980" w14:textId="214FF071" w:rsidR="0035417E" w:rsidRPr="001E1607" w:rsidRDefault="00B72F73" w:rsidP="002619C1">
            <w:pPr>
              <w:ind w:left="-142" w:firstLine="142"/>
            </w:pPr>
            <w:r w:rsidRPr="001E1607">
              <w:t>np</w:t>
            </w:r>
          </w:p>
        </w:tc>
        <w:tc>
          <w:tcPr>
            <w:tcW w:w="1033" w:type="pct"/>
            <w:vAlign w:val="center"/>
          </w:tcPr>
          <w:p w14:paraId="1F74BA1E" w14:textId="29BE7F39" w:rsidR="0035417E" w:rsidRPr="001E1607" w:rsidRDefault="007C5D60" w:rsidP="002619C1">
            <w:pPr>
              <w:ind w:left="-142" w:firstLine="142"/>
            </w:pPr>
            <w:r w:rsidRPr="001E1607">
              <w:t>N</w:t>
            </w:r>
            <w:r w:rsidR="00B72F73" w:rsidRPr="001E1607">
              <w:t>p</w:t>
            </w:r>
          </w:p>
        </w:tc>
        <w:tc>
          <w:tcPr>
            <w:tcW w:w="871" w:type="pct"/>
            <w:vAlign w:val="center"/>
          </w:tcPr>
          <w:p w14:paraId="5C14CE30" w14:textId="71D91C0B" w:rsidR="0035417E" w:rsidRPr="001E1607" w:rsidRDefault="00B72F73" w:rsidP="002619C1">
            <w:pPr>
              <w:ind w:left="-142" w:firstLine="142"/>
            </w:pPr>
            <w:r w:rsidRPr="001E1607">
              <w:t>np</w:t>
            </w:r>
          </w:p>
        </w:tc>
        <w:tc>
          <w:tcPr>
            <w:tcW w:w="668" w:type="pct"/>
            <w:vAlign w:val="center"/>
          </w:tcPr>
          <w:p w14:paraId="2536F79B" w14:textId="3A53E27C" w:rsidR="0035417E" w:rsidRPr="001E1607" w:rsidRDefault="00043EC9" w:rsidP="002619C1">
            <w:pPr>
              <w:ind w:left="-142" w:firstLine="142"/>
            </w:pPr>
            <w:r w:rsidRPr="001E1607">
              <w:t>n</w:t>
            </w:r>
            <w:r w:rsidR="00B72F73" w:rsidRPr="001E1607">
              <w:t>p</w:t>
            </w:r>
          </w:p>
        </w:tc>
        <w:tc>
          <w:tcPr>
            <w:tcW w:w="575" w:type="pct"/>
            <w:vAlign w:val="center"/>
          </w:tcPr>
          <w:p w14:paraId="48C5CBED" w14:textId="7489DAB8" w:rsidR="0035417E" w:rsidRPr="001E1607" w:rsidRDefault="00992FCC" w:rsidP="002619C1">
            <w:pPr>
              <w:ind w:left="-142" w:firstLine="142"/>
            </w:pPr>
            <w:r w:rsidRPr="001E1607">
              <w:t>27,157</w:t>
            </w:r>
          </w:p>
        </w:tc>
      </w:tr>
    </w:tbl>
    <w:p w14:paraId="3BC5C56A" w14:textId="7396C090" w:rsidR="00131442" w:rsidRDefault="00023D5D" w:rsidP="00BB1E3F">
      <w:pPr>
        <w:spacing w:before="240" w:after="240" w:line="240" w:lineRule="auto"/>
        <w:ind w:left="-142"/>
      </w:pPr>
      <w:bookmarkStart w:id="141" w:name="_Toc434851495"/>
      <w:bookmarkEnd w:id="14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8374F1">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2D333752" w14:textId="740445AB" w:rsidR="00EA1F85" w:rsidRPr="001053D0" w:rsidRDefault="006D18C4" w:rsidP="00BF3037">
      <w:pPr>
        <w:pStyle w:val="Heading2"/>
        <w:numPr>
          <w:ilvl w:val="0"/>
          <w:numId w:val="0"/>
        </w:numPr>
        <w:spacing w:after="240"/>
        <w:ind w:left="709" w:hanging="709"/>
        <w:rPr>
          <w:rFonts w:cs="Arial"/>
          <w:i/>
          <w:szCs w:val="22"/>
        </w:rPr>
      </w:pPr>
      <w:bookmarkStart w:id="142" w:name="_Toc40179135"/>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143" w:name="_Toc437613346"/>
      <w:bookmarkEnd w:id="143"/>
      <w:r w:rsidR="00E27EE4" w:rsidRPr="001053D0">
        <w:rPr>
          <w:rFonts w:cs="Arial"/>
          <w:i/>
          <w:szCs w:val="22"/>
        </w:rPr>
        <w:t>^</w:t>
      </w:r>
      <w:r w:rsidR="0035417E" w:rsidRPr="001053D0">
        <w:rPr>
          <w:rFonts w:cs="Arial"/>
          <w:i/>
          <w:szCs w:val="22"/>
        </w:rPr>
        <w:t xml:space="preserve"> </w:t>
      </w:r>
      <w:r w:rsidR="00A0477C">
        <w:rPr>
          <w:rFonts w:cs="Arial"/>
          <w:i/>
          <w:szCs w:val="22"/>
        </w:rPr>
        <w:t>1 October to 31 December 2019</w:t>
      </w:r>
      <w:bookmarkEnd w:id="142"/>
    </w:p>
    <w:tbl>
      <w:tblPr>
        <w:tblStyle w:val="TableGrid"/>
        <w:tblW w:w="0" w:type="auto"/>
        <w:tblInd w:w="-34" w:type="dxa"/>
        <w:tblLook w:val="04A0" w:firstRow="1" w:lastRow="0" w:firstColumn="1" w:lastColumn="0" w:noHBand="0" w:noVBand="1"/>
        <w:tblCaption w:val="Types of Participation Failures: Serious Failures^"/>
      </w:tblPr>
      <w:tblGrid>
        <w:gridCol w:w="1869"/>
      </w:tblGrid>
      <w:tr w:rsidR="0035417E" w:rsidRPr="00325EF7" w14:paraId="07D3C47C" w14:textId="77777777" w:rsidTr="00681CAF">
        <w:trPr>
          <w:trHeight w:val="668"/>
          <w:tblHeader/>
        </w:trPr>
        <w:tc>
          <w:tcPr>
            <w:tcW w:w="1869" w:type="dxa"/>
          </w:tcPr>
          <w:p w14:paraId="036DBE32" w14:textId="77777777" w:rsidR="001E1607" w:rsidRDefault="0035417E" w:rsidP="00887E4E">
            <w:pPr>
              <w:ind w:left="-142" w:firstLine="142"/>
              <w:rPr>
                <w:b/>
              </w:rPr>
            </w:pPr>
            <w:r w:rsidRPr="001E1607">
              <w:rPr>
                <w:b/>
              </w:rPr>
              <w:t xml:space="preserve">Total Serious </w:t>
            </w:r>
          </w:p>
          <w:p w14:paraId="68B52184" w14:textId="201C9430" w:rsidR="0035417E" w:rsidRPr="001E1607" w:rsidRDefault="0035417E" w:rsidP="00887E4E">
            <w:pPr>
              <w:ind w:left="-142" w:firstLine="142"/>
              <w:rPr>
                <w:b/>
              </w:rPr>
            </w:pPr>
            <w:r w:rsidRPr="001E1607">
              <w:rPr>
                <w:b/>
              </w:rPr>
              <w:t>Failures^^</w:t>
            </w:r>
          </w:p>
        </w:tc>
      </w:tr>
      <w:tr w:rsidR="0035417E" w:rsidRPr="00325EF7" w14:paraId="3CDF7922" w14:textId="77777777" w:rsidTr="00681CAF">
        <w:trPr>
          <w:trHeight w:val="398"/>
          <w:tblHeader/>
        </w:trPr>
        <w:tc>
          <w:tcPr>
            <w:tcW w:w="1869" w:type="dxa"/>
          </w:tcPr>
          <w:p w14:paraId="7E7DD84A" w14:textId="77777777" w:rsidR="0035417E" w:rsidRPr="004741B6" w:rsidRDefault="0035417E" w:rsidP="00887E4E">
            <w:pPr>
              <w:ind w:left="-142" w:firstLine="142"/>
            </w:pPr>
            <w:r w:rsidRPr="004741B6">
              <w:t>No.</w:t>
            </w:r>
          </w:p>
        </w:tc>
      </w:tr>
      <w:tr w:rsidR="0035417E" w:rsidRPr="00325EF7" w14:paraId="0363DAA7" w14:textId="77777777" w:rsidTr="00681CAF">
        <w:trPr>
          <w:trHeight w:val="444"/>
        </w:trPr>
        <w:tc>
          <w:tcPr>
            <w:tcW w:w="1869" w:type="dxa"/>
            <w:vAlign w:val="center"/>
          </w:tcPr>
          <w:p w14:paraId="73D66815" w14:textId="1FA54E92" w:rsidR="0035417E" w:rsidRPr="00B622A4" w:rsidRDefault="00B72F73" w:rsidP="00797B17">
            <w:pPr>
              <w:spacing w:before="0"/>
              <w:ind w:left="-142" w:firstLine="142"/>
              <w:rPr>
                <w:rFonts w:cs="Arial"/>
                <w:b/>
                <w:color w:val="000000"/>
              </w:rPr>
            </w:pPr>
            <w:r>
              <w:rPr>
                <w:rFonts w:cs="Arial"/>
                <w:b/>
                <w:color w:val="000000"/>
              </w:rPr>
              <w:t>np</w:t>
            </w:r>
          </w:p>
        </w:tc>
      </w:tr>
    </w:tbl>
    <w:p w14:paraId="28C7F73C" w14:textId="1A2486E9" w:rsidR="00045A2C" w:rsidRDefault="00131442" w:rsidP="00656FF9">
      <w:pPr>
        <w:spacing w:after="0" w:line="240" w:lineRule="auto"/>
        <w:ind w:left="0"/>
      </w:pPr>
      <w:r>
        <w:rPr>
          <w:sz w:val="32"/>
          <w:szCs w:val="32"/>
          <w:vertAlign w:val="superscript"/>
        </w:rPr>
        <w:t>^</w:t>
      </w:r>
      <w:r w:rsidR="008374F1">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D747EBF" w14:textId="70D365B3"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78F17ADC" w14:textId="77777777" w:rsidR="00CC1242" w:rsidRDefault="00CC1242">
      <w:pPr>
        <w:spacing w:before="0"/>
        <w:ind w:left="0"/>
      </w:pPr>
      <w:r>
        <w:br w:type="page"/>
      </w:r>
    </w:p>
    <w:p w14:paraId="0DF19FAC" w14:textId="6A32D13E" w:rsidR="00FA1DE7" w:rsidRDefault="00A00239" w:rsidP="00BC0C49">
      <w:pPr>
        <w:pStyle w:val="Heading2"/>
        <w:spacing w:after="120"/>
        <w:ind w:left="-142" w:firstLine="142"/>
      </w:pPr>
      <w:bookmarkStart w:id="144" w:name="_Toc40179136"/>
      <w:r w:rsidRPr="00325EF7">
        <w:lastRenderedPageBreak/>
        <w:t>Sanctions for Serious Failures</w:t>
      </w:r>
      <w:r w:rsidR="00D92B5E">
        <w:t xml:space="preserve"> and Unemployment Non-Payment Periods</w:t>
      </w:r>
      <w:r w:rsidR="0035417E">
        <w:t xml:space="preserve"> </w:t>
      </w:r>
      <w:r w:rsidR="00A0477C">
        <w:t>1 October to 31 December 2019</w:t>
      </w:r>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0. Sanctions for Serious Failures and Unemployment Non-Payment Periods 1 July to 30 September 2019"/>
      </w:tblPr>
      <w:tblGrid>
        <w:gridCol w:w="4853"/>
        <w:gridCol w:w="4714"/>
        <w:gridCol w:w="4381"/>
      </w:tblGrid>
      <w:tr w:rsidR="0035417E" w:rsidRPr="00116BAB" w14:paraId="7B4790CB" w14:textId="77777777" w:rsidTr="006E718B">
        <w:trPr>
          <w:tblHeader/>
        </w:trPr>
        <w:tc>
          <w:tcPr>
            <w:tcW w:w="4853" w:type="dxa"/>
          </w:tcPr>
          <w:p w14:paraId="5A641F93" w14:textId="77777777" w:rsidR="0035417E" w:rsidRPr="001E1607" w:rsidRDefault="0035417E" w:rsidP="006E718B">
            <w:pPr>
              <w:rPr>
                <w:b/>
              </w:rPr>
            </w:pPr>
            <w:bookmarkStart w:id="145" w:name="_Toc39765676"/>
            <w:r w:rsidRPr="001E1607">
              <w:rPr>
                <w:b/>
              </w:rPr>
              <w:t>Serious Failures</w:t>
            </w:r>
            <w:bookmarkEnd w:id="145"/>
          </w:p>
        </w:tc>
        <w:tc>
          <w:tcPr>
            <w:tcW w:w="4714" w:type="dxa"/>
          </w:tcPr>
          <w:p w14:paraId="4E1C37F2" w14:textId="77777777" w:rsidR="0035417E" w:rsidRPr="001E1607" w:rsidRDefault="0035417E" w:rsidP="006E718B">
            <w:pPr>
              <w:rPr>
                <w:b/>
              </w:rPr>
            </w:pPr>
            <w:bookmarkStart w:id="146" w:name="_Toc39765677"/>
            <w:r w:rsidRPr="001E1607">
              <w:rPr>
                <w:b/>
              </w:rPr>
              <w:t>Number</w:t>
            </w:r>
            <w:bookmarkEnd w:id="146"/>
            <w:r w:rsidRPr="001E1607">
              <w:rPr>
                <w:b/>
              </w:rPr>
              <w:t xml:space="preserve"> </w:t>
            </w:r>
          </w:p>
        </w:tc>
        <w:tc>
          <w:tcPr>
            <w:tcW w:w="4381" w:type="dxa"/>
          </w:tcPr>
          <w:p w14:paraId="2B9B2E2F" w14:textId="77777777" w:rsidR="0035417E" w:rsidRPr="001E1607" w:rsidRDefault="0035417E" w:rsidP="006E718B">
            <w:pPr>
              <w:rPr>
                <w:b/>
              </w:rPr>
            </w:pPr>
            <w:bookmarkStart w:id="147" w:name="_Toc39765678"/>
            <w:r w:rsidRPr="001E1607">
              <w:rPr>
                <w:b/>
              </w:rPr>
              <w:t>Percent</w:t>
            </w:r>
            <w:bookmarkEnd w:id="147"/>
          </w:p>
        </w:tc>
      </w:tr>
      <w:tr w:rsidR="0035417E" w:rsidRPr="000C0C08" w14:paraId="46D2C4F7" w14:textId="77777777" w:rsidTr="006E718B">
        <w:tc>
          <w:tcPr>
            <w:tcW w:w="4853" w:type="dxa"/>
          </w:tcPr>
          <w:p w14:paraId="038AC625" w14:textId="77777777" w:rsidR="0035417E" w:rsidRPr="00116BAB" w:rsidRDefault="0035417E" w:rsidP="006E718B">
            <w:bookmarkStart w:id="148" w:name="_Toc39765679"/>
            <w:r w:rsidRPr="002F57E4">
              <w:t>Non-payment Period</w:t>
            </w:r>
            <w:bookmarkEnd w:id="148"/>
          </w:p>
        </w:tc>
        <w:tc>
          <w:tcPr>
            <w:tcW w:w="4714" w:type="dxa"/>
          </w:tcPr>
          <w:p w14:paraId="7DE0196F" w14:textId="418BB14F" w:rsidR="0035417E" w:rsidRPr="000C0C08" w:rsidRDefault="00DF5806" w:rsidP="006E718B">
            <w:pPr>
              <w:rPr>
                <w:b/>
              </w:rPr>
            </w:pPr>
            <w:bookmarkStart w:id="149" w:name="_Toc39765680"/>
            <w:r>
              <w:rPr>
                <w:b/>
              </w:rPr>
              <w:t>211</w:t>
            </w:r>
            <w:bookmarkEnd w:id="149"/>
          </w:p>
        </w:tc>
        <w:tc>
          <w:tcPr>
            <w:tcW w:w="4381" w:type="dxa"/>
          </w:tcPr>
          <w:p w14:paraId="193CA6AC" w14:textId="586BD4DA" w:rsidR="0035417E" w:rsidRDefault="00DF5806" w:rsidP="006E718B">
            <w:pPr>
              <w:rPr>
                <w:b/>
              </w:rPr>
            </w:pPr>
            <w:bookmarkStart w:id="150" w:name="_Toc39765681"/>
            <w:r>
              <w:rPr>
                <w:b/>
              </w:rPr>
              <w:t>4%</w:t>
            </w:r>
            <w:bookmarkEnd w:id="150"/>
          </w:p>
        </w:tc>
      </w:tr>
      <w:tr w:rsidR="0035417E" w:rsidRPr="000C0C08" w14:paraId="417BE1C6" w14:textId="77777777" w:rsidTr="006E718B">
        <w:tc>
          <w:tcPr>
            <w:tcW w:w="4853" w:type="dxa"/>
          </w:tcPr>
          <w:p w14:paraId="1EDAFF37" w14:textId="77777777" w:rsidR="0035417E" w:rsidRPr="00116BAB" w:rsidRDefault="0035417E" w:rsidP="006E718B">
            <w:bookmarkStart w:id="151" w:name="_Toc39765682"/>
            <w:r w:rsidRPr="002F57E4">
              <w:t>Financial Penalty waived - Compliance Activity</w:t>
            </w:r>
            <w:bookmarkEnd w:id="151"/>
          </w:p>
        </w:tc>
        <w:tc>
          <w:tcPr>
            <w:tcW w:w="4714" w:type="dxa"/>
          </w:tcPr>
          <w:p w14:paraId="527D9F65" w14:textId="1A12807B" w:rsidR="0035417E" w:rsidRPr="000C0C08" w:rsidRDefault="00DF5806" w:rsidP="006E718B">
            <w:pPr>
              <w:rPr>
                <w:b/>
              </w:rPr>
            </w:pPr>
            <w:bookmarkStart w:id="152" w:name="_Toc39765683"/>
            <w:r>
              <w:rPr>
                <w:b/>
              </w:rPr>
              <w:t>4,552</w:t>
            </w:r>
            <w:bookmarkEnd w:id="152"/>
          </w:p>
        </w:tc>
        <w:tc>
          <w:tcPr>
            <w:tcW w:w="4381" w:type="dxa"/>
          </w:tcPr>
          <w:p w14:paraId="3858CB4C" w14:textId="616EFA39" w:rsidR="0035417E" w:rsidRDefault="00DF5806" w:rsidP="006E718B">
            <w:pPr>
              <w:rPr>
                <w:b/>
              </w:rPr>
            </w:pPr>
            <w:bookmarkStart w:id="153" w:name="_Toc39765684"/>
            <w:r>
              <w:rPr>
                <w:b/>
              </w:rPr>
              <w:t>95%</w:t>
            </w:r>
            <w:bookmarkEnd w:id="153"/>
          </w:p>
        </w:tc>
      </w:tr>
      <w:tr w:rsidR="0035417E" w14:paraId="51542E39" w14:textId="77777777" w:rsidTr="006E718B">
        <w:tc>
          <w:tcPr>
            <w:tcW w:w="4853" w:type="dxa"/>
          </w:tcPr>
          <w:p w14:paraId="4891477D" w14:textId="77777777" w:rsidR="0035417E" w:rsidRPr="00346E3B" w:rsidRDefault="0035417E" w:rsidP="006E718B">
            <w:bookmarkStart w:id="154" w:name="_Toc39765685"/>
            <w:r w:rsidRPr="002F57E4">
              <w:t>Financial Penalty waived - Financial Hardship</w:t>
            </w:r>
            <w:bookmarkEnd w:id="154"/>
          </w:p>
        </w:tc>
        <w:tc>
          <w:tcPr>
            <w:tcW w:w="4714" w:type="dxa"/>
          </w:tcPr>
          <w:p w14:paraId="08706918" w14:textId="0675D4FE" w:rsidR="0035417E" w:rsidRDefault="00DF5806" w:rsidP="006E718B">
            <w:pPr>
              <w:rPr>
                <w:b/>
              </w:rPr>
            </w:pPr>
            <w:bookmarkStart w:id="155" w:name="_Toc39765686"/>
            <w:r>
              <w:rPr>
                <w:b/>
              </w:rPr>
              <w:t>27</w:t>
            </w:r>
            <w:bookmarkEnd w:id="155"/>
          </w:p>
        </w:tc>
        <w:tc>
          <w:tcPr>
            <w:tcW w:w="4381" w:type="dxa"/>
          </w:tcPr>
          <w:p w14:paraId="5B7C79A9" w14:textId="41EABBA4" w:rsidR="0035417E" w:rsidRDefault="00DF5806" w:rsidP="006E718B">
            <w:pPr>
              <w:rPr>
                <w:b/>
              </w:rPr>
            </w:pPr>
            <w:bookmarkStart w:id="156" w:name="_Toc39765687"/>
            <w:r>
              <w:rPr>
                <w:b/>
              </w:rPr>
              <w:t>1%</w:t>
            </w:r>
            <w:bookmarkEnd w:id="156"/>
          </w:p>
        </w:tc>
      </w:tr>
      <w:tr w:rsidR="0035417E" w:rsidRPr="000C0C08" w14:paraId="09D100BA" w14:textId="77777777" w:rsidTr="006E718B">
        <w:tc>
          <w:tcPr>
            <w:tcW w:w="4853" w:type="dxa"/>
          </w:tcPr>
          <w:p w14:paraId="257E14C7" w14:textId="77777777" w:rsidR="0035417E" w:rsidRPr="001E1607" w:rsidRDefault="0035417E" w:rsidP="006E718B">
            <w:pPr>
              <w:rPr>
                <w:b/>
              </w:rPr>
            </w:pPr>
            <w:bookmarkStart w:id="157" w:name="_Toc39765688"/>
            <w:r w:rsidRPr="001E1607">
              <w:rPr>
                <w:b/>
              </w:rPr>
              <w:t>Total</w:t>
            </w:r>
            <w:bookmarkEnd w:id="157"/>
            <w:r w:rsidRPr="001E1607">
              <w:rPr>
                <w:b/>
              </w:rPr>
              <w:t xml:space="preserve"> </w:t>
            </w:r>
          </w:p>
        </w:tc>
        <w:tc>
          <w:tcPr>
            <w:tcW w:w="4714" w:type="dxa"/>
          </w:tcPr>
          <w:p w14:paraId="70EFE87D" w14:textId="1DF32C96" w:rsidR="0035417E" w:rsidRPr="001E1607" w:rsidRDefault="00DF5806" w:rsidP="006E718B">
            <w:pPr>
              <w:rPr>
                <w:b/>
              </w:rPr>
            </w:pPr>
            <w:bookmarkStart w:id="158" w:name="_Toc39765689"/>
            <w:r w:rsidRPr="001E1607">
              <w:rPr>
                <w:b/>
              </w:rPr>
              <w:t>4,790</w:t>
            </w:r>
            <w:bookmarkEnd w:id="158"/>
          </w:p>
        </w:tc>
        <w:tc>
          <w:tcPr>
            <w:tcW w:w="4381" w:type="dxa"/>
          </w:tcPr>
          <w:p w14:paraId="3EB6E737" w14:textId="47CDC8DC" w:rsidR="0035417E" w:rsidRPr="001E1607" w:rsidRDefault="00DF5806" w:rsidP="006E718B">
            <w:pPr>
              <w:rPr>
                <w:b/>
              </w:rPr>
            </w:pPr>
            <w:bookmarkStart w:id="159" w:name="_Toc39765690"/>
            <w:r w:rsidRPr="001E1607">
              <w:rPr>
                <w:b/>
              </w:rPr>
              <w:t>100%</w:t>
            </w:r>
            <w:bookmarkEnd w:id="159"/>
          </w:p>
        </w:tc>
      </w:tr>
    </w:tbl>
    <w:p w14:paraId="78D7C324" w14:textId="2601C161"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2D88F466" w14:textId="77777777" w:rsidR="00C24E8B" w:rsidRPr="00325EF7" w:rsidRDefault="00E837BA" w:rsidP="0070239B">
      <w:pPr>
        <w:pStyle w:val="Heading1"/>
        <w:spacing w:before="240"/>
      </w:pPr>
      <w:r>
        <w:br w:type="page"/>
      </w:r>
      <w:bookmarkStart w:id="160" w:name="_Toc40179137"/>
      <w:r w:rsidR="00C24E8B" w:rsidRPr="00325EF7">
        <w:lastRenderedPageBreak/>
        <w:t>Part B</w:t>
      </w:r>
      <w:bookmarkEnd w:id="160"/>
    </w:p>
    <w:p w14:paraId="7A14B1B0" w14:textId="698C8823" w:rsidR="002F0647" w:rsidRPr="00325EF7" w:rsidRDefault="002F0647" w:rsidP="00BC0C49">
      <w:pPr>
        <w:pStyle w:val="Heading2"/>
        <w:spacing w:after="240"/>
        <w:ind w:left="0" w:firstLine="0"/>
      </w:pPr>
      <w:bookmarkStart w:id="161" w:name="_Toc40179138"/>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161"/>
    </w:p>
    <w:p w14:paraId="06F19577" w14:textId="15655846" w:rsidR="00126999" w:rsidRPr="001053D0" w:rsidRDefault="00BA3BE5" w:rsidP="00463ED1">
      <w:pPr>
        <w:pStyle w:val="Heading3"/>
        <w:numPr>
          <w:ilvl w:val="0"/>
          <w:numId w:val="0"/>
        </w:numPr>
        <w:ind w:left="360" w:hanging="360"/>
        <w:rPr>
          <w:rFonts w:ascii="Arial" w:hAnsi="Arial" w:cs="Arial"/>
          <w:i/>
        </w:rPr>
      </w:pPr>
      <w:bookmarkStart w:id="162" w:name="_Toc40179139"/>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A0477C">
        <w:rPr>
          <w:rFonts w:ascii="Arial" w:hAnsi="Arial" w:cs="Arial"/>
          <w:i/>
        </w:rPr>
        <w:t>1 October to 31 December 2019</w:t>
      </w:r>
      <w:bookmarkEnd w:id="162"/>
      <w:r w:rsidR="001053D0">
        <w:rPr>
          <w:rFonts w:ascii="Arial" w:hAnsi="Arial" w:cs="Arial"/>
          <w:i/>
        </w:rPr>
        <w:br/>
      </w:r>
    </w:p>
    <w:tbl>
      <w:tblPr>
        <w:tblStyle w:val="CenterAlignTable"/>
        <w:tblW w:w="14898" w:type="dxa"/>
        <w:tblLook w:val="04E0" w:firstRow="1" w:lastRow="1" w:firstColumn="1" w:lastColumn="0" w:noHBand="0" w:noVBand="1"/>
        <w:tblCaption w:val="Non Payment Periods (Serious and UNPPs) 1 July to 30 September 2019"/>
      </w:tblPr>
      <w:tblGrid>
        <w:gridCol w:w="4489"/>
        <w:gridCol w:w="1090"/>
        <w:gridCol w:w="1227"/>
        <w:gridCol w:w="1506"/>
        <w:gridCol w:w="1377"/>
        <w:gridCol w:w="1354"/>
        <w:gridCol w:w="1281"/>
        <w:gridCol w:w="1287"/>
        <w:gridCol w:w="1287"/>
      </w:tblGrid>
      <w:tr w:rsidR="00E758D1" w:rsidRPr="00325EF7" w14:paraId="056C31E1"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CFFB8B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95D3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08E927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3945C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1DADA3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9764D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A8088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70013DD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AE22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992FCC" w:rsidRPr="00325EF7" w14:paraId="5E4A9442"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F2EBE59" w14:textId="77777777" w:rsidR="00992FCC" w:rsidRPr="00325EF7" w:rsidRDefault="00992FCC" w:rsidP="00992FCC">
            <w:pPr>
              <w:ind w:left="-142" w:firstLine="142"/>
            </w:pPr>
            <w:r w:rsidRPr="00325EF7">
              <w:t xml:space="preserve">Sub Total NPPs </w:t>
            </w:r>
          </w:p>
        </w:tc>
        <w:tc>
          <w:tcPr>
            <w:tcW w:w="1090" w:type="dxa"/>
            <w:vAlign w:val="center"/>
          </w:tcPr>
          <w:p w14:paraId="3F49569E" w14:textId="3EF27EEF"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2,936</w:t>
            </w:r>
          </w:p>
        </w:tc>
        <w:tc>
          <w:tcPr>
            <w:tcW w:w="1227" w:type="dxa"/>
            <w:vAlign w:val="center"/>
          </w:tcPr>
          <w:p w14:paraId="7B8CAFA8" w14:textId="77FC6E43"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61.29%</w:t>
            </w:r>
          </w:p>
        </w:tc>
        <w:tc>
          <w:tcPr>
            <w:tcW w:w="1506" w:type="dxa"/>
            <w:vAlign w:val="center"/>
          </w:tcPr>
          <w:p w14:paraId="5F3BAC14" w14:textId="2A1EFF92"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1,854</w:t>
            </w:r>
          </w:p>
        </w:tc>
        <w:tc>
          <w:tcPr>
            <w:tcW w:w="1377" w:type="dxa"/>
            <w:vAlign w:val="center"/>
          </w:tcPr>
          <w:p w14:paraId="0F455269" w14:textId="023F4801"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38.71%</w:t>
            </w:r>
          </w:p>
        </w:tc>
        <w:tc>
          <w:tcPr>
            <w:tcW w:w="1354" w:type="dxa"/>
            <w:vAlign w:val="center"/>
          </w:tcPr>
          <w:p w14:paraId="71774322" w14:textId="50B9F82C"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4,790</w:t>
            </w:r>
          </w:p>
        </w:tc>
        <w:tc>
          <w:tcPr>
            <w:tcW w:w="1281" w:type="dxa"/>
            <w:vAlign w:val="center"/>
          </w:tcPr>
          <w:p w14:paraId="07576A03" w14:textId="7EA9EFA8"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w:t>
            </w:r>
            <w:r w:rsidR="0043502E">
              <w:rPr>
                <w:rFonts w:cs="Gill Sans MT"/>
                <w:b w:val="0"/>
                <w:bCs/>
                <w:color w:val="000000"/>
              </w:rPr>
              <w:t>.00</w:t>
            </w:r>
            <w:r>
              <w:rPr>
                <w:rFonts w:cs="Gill Sans MT"/>
                <w:b w:val="0"/>
                <w:bCs/>
                <w:color w:val="000000"/>
              </w:rPr>
              <w:t>%</w:t>
            </w:r>
          </w:p>
        </w:tc>
        <w:tc>
          <w:tcPr>
            <w:tcW w:w="1287" w:type="dxa"/>
            <w:vAlign w:val="center"/>
          </w:tcPr>
          <w:p w14:paraId="3F8AB5E7" w14:textId="0C2974CB"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10,151</w:t>
            </w:r>
          </w:p>
        </w:tc>
        <w:tc>
          <w:tcPr>
            <w:tcW w:w="1287" w:type="dxa"/>
            <w:vAlign w:val="center"/>
          </w:tcPr>
          <w:p w14:paraId="47713D54" w14:textId="4CD7D7E9"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w:t>
            </w:r>
            <w:r w:rsidR="0043502E">
              <w:rPr>
                <w:rFonts w:cs="Gill Sans MT"/>
                <w:b w:val="0"/>
                <w:bCs/>
                <w:color w:val="000000"/>
              </w:rPr>
              <w:t>.00</w:t>
            </w:r>
            <w:r>
              <w:rPr>
                <w:rFonts w:cs="Gill Sans MT"/>
                <w:b w:val="0"/>
                <w:bCs/>
                <w:color w:val="000000"/>
              </w:rPr>
              <w:t>%</w:t>
            </w:r>
          </w:p>
        </w:tc>
      </w:tr>
    </w:tbl>
    <w:p w14:paraId="6E269286" w14:textId="2CBBA405" w:rsidR="00126999" w:rsidRPr="001053D0" w:rsidRDefault="00BA3BE5" w:rsidP="00463ED1">
      <w:pPr>
        <w:pStyle w:val="Heading3"/>
        <w:numPr>
          <w:ilvl w:val="0"/>
          <w:numId w:val="0"/>
        </w:numPr>
        <w:ind w:left="360" w:hanging="360"/>
        <w:rPr>
          <w:rFonts w:ascii="Arial" w:hAnsi="Arial" w:cs="Arial"/>
          <w:i/>
        </w:rPr>
      </w:pPr>
      <w:bookmarkStart w:id="163" w:name="_Toc40179140"/>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A0477C">
        <w:rPr>
          <w:rFonts w:ascii="Arial" w:hAnsi="Arial" w:cs="Arial"/>
          <w:i/>
        </w:rPr>
        <w:t>1 October to 31 December 2019</w:t>
      </w:r>
      <w:bookmarkEnd w:id="163"/>
      <w:r w:rsidR="001053D0">
        <w:rPr>
          <w:rFonts w:ascii="Arial" w:hAnsi="Arial" w:cs="Arial"/>
          <w:i/>
        </w:rPr>
        <w:br/>
      </w:r>
    </w:p>
    <w:tbl>
      <w:tblPr>
        <w:tblStyle w:val="CenterAlignTable"/>
        <w:tblW w:w="14879" w:type="dxa"/>
        <w:tblLook w:val="04E0" w:firstRow="1" w:lastRow="1" w:firstColumn="1" w:lastColumn="0" w:noHBand="0" w:noVBand="1"/>
        <w:tblCaption w:val="Short Term Financial Penalties 1 July to 30 September 2019"/>
      </w:tblPr>
      <w:tblGrid>
        <w:gridCol w:w="4535"/>
        <w:gridCol w:w="988"/>
        <w:gridCol w:w="1276"/>
        <w:gridCol w:w="1559"/>
        <w:gridCol w:w="1276"/>
        <w:gridCol w:w="1417"/>
        <w:gridCol w:w="1276"/>
        <w:gridCol w:w="1276"/>
        <w:gridCol w:w="1276"/>
      </w:tblGrid>
      <w:tr w:rsidR="00877281" w:rsidRPr="00325EF7" w14:paraId="4FABC38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58D003C2"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F2D04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D18C9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B016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FC637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7258BF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1BBF72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330461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A2384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92FCC" w:rsidRPr="00325EF7" w14:paraId="736A132D"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F3EA7F3" w14:textId="77777777" w:rsidR="00992FCC" w:rsidRPr="00E84EAF" w:rsidRDefault="00992FCC" w:rsidP="00992FCC">
            <w:pPr>
              <w:spacing w:before="60" w:after="60"/>
              <w:ind w:left="0"/>
              <w:rPr>
                <w:b w:val="0"/>
                <w:noProof/>
              </w:rPr>
            </w:pPr>
            <w:r w:rsidRPr="00E84EAF">
              <w:rPr>
                <w:noProof/>
              </w:rPr>
              <w:t>Sub Total Short Term Financial Penalties</w:t>
            </w:r>
          </w:p>
        </w:tc>
        <w:tc>
          <w:tcPr>
            <w:tcW w:w="988" w:type="dxa"/>
            <w:vAlign w:val="center"/>
          </w:tcPr>
          <w:p w14:paraId="11BDE527" w14:textId="62C5D751"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13,516</w:t>
            </w:r>
          </w:p>
        </w:tc>
        <w:tc>
          <w:tcPr>
            <w:tcW w:w="1276" w:type="dxa"/>
            <w:vAlign w:val="center"/>
          </w:tcPr>
          <w:p w14:paraId="3D0CD4C5" w14:textId="5AE21E68"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60.36%</w:t>
            </w:r>
          </w:p>
        </w:tc>
        <w:tc>
          <w:tcPr>
            <w:tcW w:w="1559" w:type="dxa"/>
            <w:vAlign w:val="center"/>
          </w:tcPr>
          <w:p w14:paraId="304B6DF9" w14:textId="2FB56FC6"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8,875</w:t>
            </w:r>
          </w:p>
        </w:tc>
        <w:tc>
          <w:tcPr>
            <w:tcW w:w="1276" w:type="dxa"/>
            <w:vAlign w:val="center"/>
          </w:tcPr>
          <w:p w14:paraId="58C6AC38" w14:textId="5E8DB94C"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39.64%</w:t>
            </w:r>
          </w:p>
        </w:tc>
        <w:tc>
          <w:tcPr>
            <w:tcW w:w="1417" w:type="dxa"/>
            <w:vAlign w:val="center"/>
          </w:tcPr>
          <w:p w14:paraId="58C9B41D" w14:textId="7E0A858D"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22,391</w:t>
            </w:r>
          </w:p>
        </w:tc>
        <w:tc>
          <w:tcPr>
            <w:tcW w:w="1276" w:type="dxa"/>
            <w:vAlign w:val="center"/>
          </w:tcPr>
          <w:p w14:paraId="4D0F9939" w14:textId="3F5AA2E0"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w:t>
            </w:r>
            <w:r w:rsidR="0043502E">
              <w:rPr>
                <w:rFonts w:cs="Gill Sans MT"/>
                <w:b w:val="0"/>
                <w:bCs/>
                <w:color w:val="000000"/>
              </w:rPr>
              <w:t>.00</w:t>
            </w:r>
            <w:r>
              <w:rPr>
                <w:rFonts w:cs="Gill Sans MT"/>
                <w:b w:val="0"/>
                <w:bCs/>
                <w:color w:val="000000"/>
              </w:rPr>
              <w:t>%</w:t>
            </w:r>
          </w:p>
        </w:tc>
        <w:tc>
          <w:tcPr>
            <w:tcW w:w="1276" w:type="dxa"/>
            <w:vAlign w:val="center"/>
          </w:tcPr>
          <w:p w14:paraId="6A75EDA1" w14:textId="7D77CA5B"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47,574</w:t>
            </w:r>
          </w:p>
        </w:tc>
        <w:tc>
          <w:tcPr>
            <w:tcW w:w="1276" w:type="dxa"/>
            <w:vAlign w:val="center"/>
          </w:tcPr>
          <w:p w14:paraId="492A3618" w14:textId="7AA3D47C" w:rsidR="00992FCC" w:rsidRPr="00B622A4" w:rsidRDefault="00992FCC"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w:t>
            </w:r>
            <w:r w:rsidR="0043502E">
              <w:rPr>
                <w:rFonts w:cs="Gill Sans MT"/>
                <w:b w:val="0"/>
                <w:bCs/>
                <w:color w:val="000000"/>
              </w:rPr>
              <w:t>.00</w:t>
            </w:r>
            <w:r>
              <w:rPr>
                <w:rFonts w:cs="Gill Sans MT"/>
                <w:b w:val="0"/>
                <w:bCs/>
                <w:color w:val="000000"/>
              </w:rPr>
              <w:t>%</w:t>
            </w:r>
          </w:p>
        </w:tc>
      </w:tr>
    </w:tbl>
    <w:p w14:paraId="768277F4" w14:textId="78C34CA0" w:rsidR="00E24CAC" w:rsidRPr="001053D0" w:rsidRDefault="00BA3BE5" w:rsidP="00463ED1">
      <w:pPr>
        <w:pStyle w:val="Heading3"/>
        <w:numPr>
          <w:ilvl w:val="0"/>
          <w:numId w:val="0"/>
        </w:numPr>
        <w:ind w:left="360" w:hanging="360"/>
        <w:rPr>
          <w:rFonts w:ascii="Arial" w:hAnsi="Arial" w:cs="Arial"/>
          <w:i/>
        </w:rPr>
      </w:pPr>
      <w:bookmarkStart w:id="164" w:name="_Toc40179141"/>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A0477C">
        <w:rPr>
          <w:rFonts w:ascii="Arial" w:hAnsi="Arial" w:cs="Arial"/>
          <w:i/>
        </w:rPr>
        <w:t>1 October to 31 December 2019</w:t>
      </w:r>
      <w:bookmarkEnd w:id="164"/>
      <w:r w:rsidR="001053D0">
        <w:rPr>
          <w:rFonts w:ascii="Arial" w:hAnsi="Arial" w:cs="Arial"/>
          <w:i/>
        </w:rPr>
        <w:br/>
      </w:r>
    </w:p>
    <w:tbl>
      <w:tblPr>
        <w:tblStyle w:val="CenterAlignTable"/>
        <w:tblW w:w="10418" w:type="dxa"/>
        <w:tblLook w:val="04E0" w:firstRow="1" w:lastRow="1" w:firstColumn="1" w:lastColumn="0" w:noHBand="0" w:noVBand="1"/>
        <w:tblCaption w:val="Total Financial Penalties 1 July to 30 September 2019"/>
      </w:tblPr>
      <w:tblGrid>
        <w:gridCol w:w="1129"/>
        <w:gridCol w:w="1231"/>
        <w:gridCol w:w="1512"/>
        <w:gridCol w:w="1301"/>
        <w:gridCol w:w="1443"/>
        <w:gridCol w:w="1286"/>
        <w:gridCol w:w="1290"/>
        <w:gridCol w:w="1226"/>
      </w:tblGrid>
      <w:tr w:rsidR="002522E1" w:rsidRPr="00325EF7" w14:paraId="67B2C236"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1E393840" w14:textId="77777777" w:rsidR="002522E1" w:rsidRPr="00325EF7" w:rsidRDefault="002522E1" w:rsidP="00887E4E">
            <w:pPr>
              <w:ind w:left="-142" w:firstLine="142"/>
              <w:rPr>
                <w:noProof/>
              </w:rPr>
            </w:pPr>
            <w:r w:rsidRPr="00325EF7">
              <w:rPr>
                <w:noProof/>
              </w:rPr>
              <w:t>Male</w:t>
            </w:r>
          </w:p>
        </w:tc>
        <w:tc>
          <w:tcPr>
            <w:tcW w:w="1231" w:type="dxa"/>
          </w:tcPr>
          <w:p w14:paraId="142FC353"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764F2FD"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6CA915A"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437016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D3EF41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325E38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3F958F9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DA2C05" w:rsidRPr="00325EF7" w14:paraId="5CE26DC5" w14:textId="77777777" w:rsidTr="0043502E">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3F9AC4D" w14:textId="7D7F74E2" w:rsidR="00DA2C05" w:rsidRPr="0043502E" w:rsidRDefault="00DA2C05" w:rsidP="0043502E">
            <w:pPr>
              <w:autoSpaceDE w:val="0"/>
              <w:autoSpaceDN w:val="0"/>
              <w:adjustRightInd w:val="0"/>
              <w:spacing w:before="0"/>
              <w:ind w:left="0"/>
              <w:rPr>
                <w:rFonts w:cs="Gill Sans MT"/>
                <w:b w:val="0"/>
                <w:bCs/>
                <w:color w:val="000000"/>
              </w:rPr>
            </w:pPr>
            <w:r w:rsidRPr="0043502E">
              <w:rPr>
                <w:b w:val="0"/>
              </w:rPr>
              <w:t>16,452</w:t>
            </w:r>
          </w:p>
        </w:tc>
        <w:tc>
          <w:tcPr>
            <w:tcW w:w="1231" w:type="dxa"/>
            <w:vAlign w:val="center"/>
          </w:tcPr>
          <w:p w14:paraId="0C53D4CD" w14:textId="1DB400F5"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60.53%</w:t>
            </w:r>
          </w:p>
        </w:tc>
        <w:tc>
          <w:tcPr>
            <w:tcW w:w="1512" w:type="dxa"/>
            <w:vAlign w:val="center"/>
          </w:tcPr>
          <w:p w14:paraId="07177340" w14:textId="1D957E6A"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10,729</w:t>
            </w:r>
          </w:p>
        </w:tc>
        <w:tc>
          <w:tcPr>
            <w:tcW w:w="1301" w:type="dxa"/>
            <w:vAlign w:val="center"/>
          </w:tcPr>
          <w:p w14:paraId="29AD0943" w14:textId="0B1F5FF5"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39.47%</w:t>
            </w:r>
          </w:p>
        </w:tc>
        <w:tc>
          <w:tcPr>
            <w:tcW w:w="1443" w:type="dxa"/>
            <w:vAlign w:val="center"/>
          </w:tcPr>
          <w:p w14:paraId="6E490CDA" w14:textId="4DB0FD5D"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27,181</w:t>
            </w:r>
          </w:p>
        </w:tc>
        <w:tc>
          <w:tcPr>
            <w:tcW w:w="1286" w:type="dxa"/>
            <w:vAlign w:val="center"/>
          </w:tcPr>
          <w:p w14:paraId="037F0C46" w14:textId="46CEEFA8"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100</w:t>
            </w:r>
            <w:r w:rsidR="0043502E" w:rsidRPr="0043502E">
              <w:rPr>
                <w:b w:val="0"/>
              </w:rPr>
              <w:t>.00</w:t>
            </w:r>
            <w:r w:rsidRPr="0043502E">
              <w:rPr>
                <w:b w:val="0"/>
              </w:rPr>
              <w:t>%</w:t>
            </w:r>
          </w:p>
        </w:tc>
        <w:tc>
          <w:tcPr>
            <w:tcW w:w="1290" w:type="dxa"/>
            <w:vAlign w:val="center"/>
          </w:tcPr>
          <w:p w14:paraId="3C067D52" w14:textId="5D278244"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57,725</w:t>
            </w:r>
          </w:p>
        </w:tc>
        <w:tc>
          <w:tcPr>
            <w:tcW w:w="1226" w:type="dxa"/>
            <w:vAlign w:val="center"/>
          </w:tcPr>
          <w:p w14:paraId="60028CDA" w14:textId="2AFB9A2A" w:rsidR="00DA2C05" w:rsidRPr="0043502E"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3502E">
              <w:rPr>
                <w:b w:val="0"/>
              </w:rPr>
              <w:t>100</w:t>
            </w:r>
            <w:r w:rsidR="0043502E" w:rsidRPr="0043502E">
              <w:rPr>
                <w:b w:val="0"/>
              </w:rPr>
              <w:t>.00</w:t>
            </w:r>
            <w:r w:rsidRPr="0043502E">
              <w:rPr>
                <w:b w:val="0"/>
              </w:rPr>
              <w:t>%</w:t>
            </w:r>
          </w:p>
        </w:tc>
      </w:tr>
    </w:tbl>
    <w:p w14:paraId="759A11F4" w14:textId="77777777" w:rsidR="00E84EAF" w:rsidRDefault="00E84EAF" w:rsidP="00E84EAF">
      <w:pPr>
        <w:spacing w:before="0" w:after="0" w:line="240" w:lineRule="auto"/>
        <w:ind w:left="142"/>
        <w:rPr>
          <w:noProof/>
        </w:rPr>
      </w:pPr>
    </w:p>
    <w:p w14:paraId="32AFB35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806B53" w14:textId="2A5AA219"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8374F1">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52B708A2" w14:textId="54AEB296" w:rsidR="00126999" w:rsidRPr="00D446CC" w:rsidRDefault="00BA3BE5" w:rsidP="00463ED1">
      <w:pPr>
        <w:pStyle w:val="Heading3"/>
        <w:numPr>
          <w:ilvl w:val="0"/>
          <w:numId w:val="0"/>
        </w:numPr>
        <w:ind w:left="502" w:hanging="360"/>
      </w:pPr>
      <w:bookmarkStart w:id="165" w:name="_Toc40179142"/>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A0477C">
        <w:rPr>
          <w:rFonts w:ascii="Arial" w:hAnsi="Arial" w:cs="Arial"/>
          <w:i/>
        </w:rPr>
        <w:t>1 October to 31 December 2019</w:t>
      </w:r>
      <w:bookmarkEnd w:id="165"/>
      <w:r w:rsidR="001053D0">
        <w:br/>
      </w:r>
    </w:p>
    <w:tbl>
      <w:tblPr>
        <w:tblStyle w:val="CenterAlignTable"/>
        <w:tblW w:w="14879" w:type="dxa"/>
        <w:tblLook w:val="06A0" w:firstRow="1" w:lastRow="0" w:firstColumn="1" w:lastColumn="0" w:noHBand="1" w:noVBand="1"/>
        <w:tblCaption w:val="Income Support Payment Suspensions 1 July to 30 September 2019"/>
      </w:tblPr>
      <w:tblGrid>
        <w:gridCol w:w="4355"/>
        <w:gridCol w:w="1310"/>
        <w:gridCol w:w="1134"/>
        <w:gridCol w:w="1559"/>
        <w:gridCol w:w="1276"/>
        <w:gridCol w:w="1417"/>
        <w:gridCol w:w="1276"/>
        <w:gridCol w:w="1276"/>
        <w:gridCol w:w="1276"/>
      </w:tblGrid>
      <w:tr w:rsidR="00877281" w:rsidRPr="00FB63AD" w14:paraId="44B5AA4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2D32084" w14:textId="77777777" w:rsidR="001F7420" w:rsidRPr="00FB63AD" w:rsidRDefault="008164F9" w:rsidP="00F74E10">
            <w:pPr>
              <w:ind w:left="-142" w:firstLine="142"/>
            </w:pPr>
            <w:r w:rsidRPr="00FB63AD">
              <w:t>Income Support payment suspensions</w:t>
            </w:r>
          </w:p>
        </w:tc>
        <w:tc>
          <w:tcPr>
            <w:tcW w:w="1310" w:type="dxa"/>
            <w:vAlign w:val="center"/>
          </w:tcPr>
          <w:p w14:paraId="089356D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77961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1C54F8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989258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D72191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D3A62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3E7507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07077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0347FF70"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08526E64" w14:textId="77777777" w:rsidR="00DA2C05" w:rsidRPr="00FB63AD" w:rsidRDefault="00DA2C05" w:rsidP="00DA2C05">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5D61AAD3" w14:textId="76EAC57B"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6,931</w:t>
            </w:r>
          </w:p>
        </w:tc>
        <w:tc>
          <w:tcPr>
            <w:tcW w:w="1134" w:type="dxa"/>
            <w:vAlign w:val="center"/>
          </w:tcPr>
          <w:p w14:paraId="06E338D9" w14:textId="27A6EB35"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37.22%</w:t>
            </w:r>
          </w:p>
        </w:tc>
        <w:tc>
          <w:tcPr>
            <w:tcW w:w="1559" w:type="dxa"/>
            <w:vAlign w:val="center"/>
          </w:tcPr>
          <w:p w14:paraId="5608884A" w14:textId="499A1CE8"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5,592</w:t>
            </w:r>
          </w:p>
        </w:tc>
        <w:tc>
          <w:tcPr>
            <w:tcW w:w="1276" w:type="dxa"/>
            <w:vAlign w:val="center"/>
          </w:tcPr>
          <w:p w14:paraId="20616636" w14:textId="3853C327"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30.03%</w:t>
            </w:r>
          </w:p>
        </w:tc>
        <w:tc>
          <w:tcPr>
            <w:tcW w:w="1417" w:type="dxa"/>
            <w:vAlign w:val="center"/>
          </w:tcPr>
          <w:p w14:paraId="539AEB99" w14:textId="007284F7"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12,523</w:t>
            </w:r>
          </w:p>
        </w:tc>
        <w:tc>
          <w:tcPr>
            <w:tcW w:w="1276" w:type="dxa"/>
            <w:vAlign w:val="center"/>
          </w:tcPr>
          <w:p w14:paraId="794D3F72" w14:textId="4463AA62"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67.24%</w:t>
            </w:r>
          </w:p>
        </w:tc>
        <w:tc>
          <w:tcPr>
            <w:tcW w:w="1276" w:type="dxa"/>
            <w:vAlign w:val="center"/>
          </w:tcPr>
          <w:p w14:paraId="2387E3B7" w14:textId="3E8C435A"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28,129</w:t>
            </w:r>
          </w:p>
        </w:tc>
        <w:tc>
          <w:tcPr>
            <w:tcW w:w="1276" w:type="dxa"/>
            <w:vAlign w:val="center"/>
          </w:tcPr>
          <w:p w14:paraId="2F379B27" w14:textId="26009928"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68.01%</w:t>
            </w:r>
          </w:p>
        </w:tc>
      </w:tr>
      <w:tr w:rsidR="00DA2C05" w:rsidRPr="00FB63AD" w14:paraId="1B3FA3AF"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C1F1E1C" w14:textId="77777777" w:rsidR="00DA2C05" w:rsidRPr="00FB63AD" w:rsidRDefault="00DA2C05" w:rsidP="00DA2C05">
            <w:pPr>
              <w:ind w:left="0"/>
            </w:pPr>
            <w:r w:rsidRPr="00FB63AD">
              <w:rPr>
                <w:bCs/>
              </w:rPr>
              <w:t>Income support payment suspension – disengagement from activity</w:t>
            </w:r>
          </w:p>
        </w:tc>
        <w:tc>
          <w:tcPr>
            <w:tcW w:w="1310" w:type="dxa"/>
            <w:vAlign w:val="center"/>
          </w:tcPr>
          <w:p w14:paraId="50D321BE" w14:textId="0000559F"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3,430</w:t>
            </w:r>
          </w:p>
        </w:tc>
        <w:tc>
          <w:tcPr>
            <w:tcW w:w="1134" w:type="dxa"/>
            <w:vAlign w:val="center"/>
          </w:tcPr>
          <w:p w14:paraId="4EC25375" w14:textId="27E1702F"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18.42%</w:t>
            </w:r>
          </w:p>
        </w:tc>
        <w:tc>
          <w:tcPr>
            <w:tcW w:w="1559" w:type="dxa"/>
            <w:vAlign w:val="center"/>
          </w:tcPr>
          <w:p w14:paraId="10089CC1" w14:textId="0E997021"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2,670</w:t>
            </w:r>
          </w:p>
        </w:tc>
        <w:tc>
          <w:tcPr>
            <w:tcW w:w="1276" w:type="dxa"/>
            <w:vAlign w:val="center"/>
          </w:tcPr>
          <w:p w14:paraId="35724525" w14:textId="2F6F53F7"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14.34%</w:t>
            </w:r>
          </w:p>
        </w:tc>
        <w:tc>
          <w:tcPr>
            <w:tcW w:w="1417" w:type="dxa"/>
            <w:vAlign w:val="center"/>
          </w:tcPr>
          <w:p w14:paraId="7BD37CA5" w14:textId="5CF50A7D"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6,100</w:t>
            </w:r>
          </w:p>
        </w:tc>
        <w:tc>
          <w:tcPr>
            <w:tcW w:w="1276" w:type="dxa"/>
            <w:vAlign w:val="center"/>
          </w:tcPr>
          <w:p w14:paraId="7B61CED5" w14:textId="3FA03C7F"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32.76%</w:t>
            </w:r>
          </w:p>
        </w:tc>
        <w:tc>
          <w:tcPr>
            <w:tcW w:w="1276" w:type="dxa"/>
            <w:vAlign w:val="center"/>
          </w:tcPr>
          <w:p w14:paraId="7248BC2F" w14:textId="013D9AE0"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13,233</w:t>
            </w:r>
          </w:p>
        </w:tc>
        <w:tc>
          <w:tcPr>
            <w:tcW w:w="1276" w:type="dxa"/>
            <w:vAlign w:val="center"/>
          </w:tcPr>
          <w:p w14:paraId="6B684C2F" w14:textId="336B2279" w:rsidR="00DA2C05" w:rsidRPr="00495540"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31.99%</w:t>
            </w:r>
          </w:p>
        </w:tc>
      </w:tr>
      <w:tr w:rsidR="00DA2C05" w:rsidRPr="00FB63AD" w14:paraId="6FAA995A"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37726BF" w14:textId="77777777" w:rsidR="00DA2C05" w:rsidRPr="001E1607" w:rsidRDefault="00DA2C05" w:rsidP="00DA2C05">
            <w:pPr>
              <w:ind w:left="0"/>
              <w:rPr>
                <w:bCs/>
              </w:rPr>
            </w:pPr>
            <w:r w:rsidRPr="001E1607">
              <w:rPr>
                <w:bCs/>
              </w:rPr>
              <w:t>Total Income Support payment suspensions</w:t>
            </w:r>
          </w:p>
        </w:tc>
        <w:tc>
          <w:tcPr>
            <w:tcW w:w="1310" w:type="dxa"/>
            <w:vAlign w:val="center"/>
          </w:tcPr>
          <w:p w14:paraId="3D1653BD" w14:textId="30163E0C"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10,361</w:t>
            </w:r>
          </w:p>
        </w:tc>
        <w:tc>
          <w:tcPr>
            <w:tcW w:w="1134" w:type="dxa"/>
            <w:vAlign w:val="center"/>
          </w:tcPr>
          <w:p w14:paraId="1C97584C" w14:textId="60571947"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55.64%</w:t>
            </w:r>
          </w:p>
        </w:tc>
        <w:tc>
          <w:tcPr>
            <w:tcW w:w="1559" w:type="dxa"/>
            <w:vAlign w:val="center"/>
          </w:tcPr>
          <w:p w14:paraId="75231EE4" w14:textId="0871A2DC"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8,262</w:t>
            </w:r>
          </w:p>
        </w:tc>
        <w:tc>
          <w:tcPr>
            <w:tcW w:w="1276" w:type="dxa"/>
            <w:vAlign w:val="center"/>
          </w:tcPr>
          <w:p w14:paraId="5F651560" w14:textId="0A81767E"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44.36%</w:t>
            </w:r>
          </w:p>
        </w:tc>
        <w:tc>
          <w:tcPr>
            <w:tcW w:w="1417" w:type="dxa"/>
            <w:vAlign w:val="center"/>
          </w:tcPr>
          <w:p w14:paraId="43F1EA27" w14:textId="23AB6577"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18,623</w:t>
            </w:r>
          </w:p>
        </w:tc>
        <w:tc>
          <w:tcPr>
            <w:tcW w:w="1276" w:type="dxa"/>
            <w:vAlign w:val="center"/>
          </w:tcPr>
          <w:p w14:paraId="32B0B1AF" w14:textId="016047B9"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100.00%</w:t>
            </w:r>
          </w:p>
        </w:tc>
        <w:tc>
          <w:tcPr>
            <w:tcW w:w="1276" w:type="dxa"/>
            <w:vAlign w:val="center"/>
          </w:tcPr>
          <w:p w14:paraId="3F9D6668" w14:textId="65AC2E3D"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41,362</w:t>
            </w:r>
          </w:p>
        </w:tc>
        <w:tc>
          <w:tcPr>
            <w:tcW w:w="1276" w:type="dxa"/>
            <w:vAlign w:val="center"/>
          </w:tcPr>
          <w:p w14:paraId="146E89D6" w14:textId="1976D68C"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100.00%</w:t>
            </w:r>
          </w:p>
        </w:tc>
      </w:tr>
    </w:tbl>
    <w:p w14:paraId="7EC9FDE3" w14:textId="0BDD31C8"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5B916BD0" w14:textId="7F635464" w:rsidR="005B5D91" w:rsidRPr="001E1607" w:rsidRDefault="005B5D91" w:rsidP="0055461F">
      <w:pPr>
        <w:pStyle w:val="Heading2"/>
        <w:spacing w:after="240"/>
        <w:ind w:left="0" w:firstLine="0"/>
      </w:pPr>
      <w:bookmarkStart w:id="166" w:name="_Toc40179143"/>
      <w:r w:rsidRPr="001E1607">
        <w:t xml:space="preserve">Financial </w:t>
      </w:r>
      <w:r w:rsidR="00ED4EF2" w:rsidRPr="001E1607">
        <w:t>P</w:t>
      </w:r>
      <w:r w:rsidRPr="001E1607">
        <w:t>enalties</w:t>
      </w:r>
      <w:r w:rsidR="00AC29A0" w:rsidRPr="001E1607">
        <w:t xml:space="preserve"> and</w:t>
      </w:r>
      <w:r w:rsidRPr="001E1607">
        <w:t xml:space="preserve"> </w:t>
      </w:r>
      <w:r w:rsidR="00EE4D0A" w:rsidRPr="001E1607">
        <w:t xml:space="preserve">Income Support </w:t>
      </w:r>
      <w:r w:rsidRPr="001E1607">
        <w:t>Payment Suspe</w:t>
      </w:r>
      <w:r w:rsidR="00AC29A0" w:rsidRPr="001E1607">
        <w:t xml:space="preserve">nsions </w:t>
      </w:r>
      <w:r w:rsidRPr="001E1607">
        <w:t>by Indigenous Status</w:t>
      </w:r>
      <w:bookmarkEnd w:id="166"/>
    </w:p>
    <w:p w14:paraId="41046E5F" w14:textId="6206793F" w:rsidR="001053D0" w:rsidRPr="001053D0" w:rsidRDefault="00BA3BE5" w:rsidP="00463ED1">
      <w:pPr>
        <w:pStyle w:val="Heading3"/>
        <w:numPr>
          <w:ilvl w:val="0"/>
          <w:numId w:val="0"/>
        </w:numPr>
        <w:ind w:left="360" w:hanging="360"/>
        <w:rPr>
          <w:rFonts w:ascii="Arial" w:hAnsi="Arial" w:cs="Arial"/>
          <w:i/>
        </w:rPr>
      </w:pPr>
      <w:bookmarkStart w:id="167" w:name="_Toc40179144"/>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A0477C">
        <w:rPr>
          <w:rFonts w:ascii="Arial" w:hAnsi="Arial" w:cs="Arial"/>
          <w:i/>
        </w:rPr>
        <w:t>1 October to 31 December 2019</w:t>
      </w:r>
      <w:bookmarkEnd w:id="167"/>
      <w:r w:rsidR="001053D0">
        <w:rPr>
          <w:rFonts w:ascii="Arial" w:hAnsi="Arial" w:cs="Arial"/>
          <w:i/>
        </w:rPr>
        <w:br/>
      </w:r>
    </w:p>
    <w:tbl>
      <w:tblPr>
        <w:tblStyle w:val="CenterAlignTable"/>
        <w:tblW w:w="14850" w:type="dxa"/>
        <w:tblLayout w:type="fixed"/>
        <w:tblLook w:val="04E0" w:firstRow="1" w:lastRow="1" w:firstColumn="1" w:lastColumn="0" w:noHBand="0" w:noVBand="1"/>
        <w:tblCaption w:val="Non Payment Periods (Serious and UNPPs) 1 July to 30 September 2019"/>
      </w:tblPr>
      <w:tblGrid>
        <w:gridCol w:w="4247"/>
        <w:gridCol w:w="1418"/>
        <w:gridCol w:w="1417"/>
        <w:gridCol w:w="1276"/>
        <w:gridCol w:w="1276"/>
        <w:gridCol w:w="1417"/>
        <w:gridCol w:w="1276"/>
        <w:gridCol w:w="1276"/>
        <w:gridCol w:w="1247"/>
      </w:tblGrid>
      <w:tr w:rsidR="00D9585E" w:rsidRPr="00FB63AD" w14:paraId="086F3320"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974300C" w14:textId="3290381E" w:rsidR="00D9585E" w:rsidRPr="00FB63AD" w:rsidRDefault="00D9585E" w:rsidP="00AC29A0">
            <w:pPr>
              <w:ind w:left="-142" w:firstLine="142"/>
            </w:pPr>
            <w:r w:rsidRPr="00FB63AD">
              <w:t>N</w:t>
            </w:r>
            <w:r w:rsidR="00AC29A0">
              <w:t xml:space="preserve">on Payment Periods (Serious and </w:t>
            </w:r>
            <w:r w:rsidR="00AC29A0" w:rsidRPr="00FB63AD">
              <w:t>UNPPs)</w:t>
            </w:r>
          </w:p>
        </w:tc>
        <w:tc>
          <w:tcPr>
            <w:tcW w:w="1418" w:type="dxa"/>
            <w:vAlign w:val="center"/>
          </w:tcPr>
          <w:p w14:paraId="19640E8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2E8F41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48CC7112" w14:textId="216A386C"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661A8DE9" w14:textId="28556FF4"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23C323B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03D4DC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ADD137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E40D6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749564A6" w14:textId="77777777" w:rsidTr="00AA54C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AD9C47" w14:textId="77777777" w:rsidR="00DA2C05" w:rsidRPr="00FB63AD" w:rsidRDefault="00DA2C05" w:rsidP="00DA2C05">
            <w:pPr>
              <w:ind w:left="-142" w:firstLine="142"/>
            </w:pPr>
            <w:r w:rsidRPr="00FB63AD">
              <w:t xml:space="preserve">Sub Total NPPs </w:t>
            </w:r>
          </w:p>
        </w:tc>
        <w:tc>
          <w:tcPr>
            <w:tcW w:w="1418" w:type="dxa"/>
            <w:vAlign w:val="center"/>
          </w:tcPr>
          <w:p w14:paraId="695124AF" w14:textId="505DD15B"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4,717</w:t>
            </w:r>
          </w:p>
        </w:tc>
        <w:tc>
          <w:tcPr>
            <w:tcW w:w="1417" w:type="dxa"/>
            <w:vAlign w:val="center"/>
          </w:tcPr>
          <w:p w14:paraId="68F9460F" w14:textId="30B61100"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98.48%</w:t>
            </w:r>
          </w:p>
        </w:tc>
        <w:tc>
          <w:tcPr>
            <w:tcW w:w="1276" w:type="dxa"/>
            <w:vAlign w:val="center"/>
          </w:tcPr>
          <w:p w14:paraId="3E018A49" w14:textId="2DE4CAEB"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73</w:t>
            </w:r>
          </w:p>
        </w:tc>
        <w:tc>
          <w:tcPr>
            <w:tcW w:w="1276" w:type="dxa"/>
            <w:vAlign w:val="center"/>
          </w:tcPr>
          <w:p w14:paraId="5C22EE61" w14:textId="452EF7CA"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1.52%</w:t>
            </w:r>
          </w:p>
        </w:tc>
        <w:tc>
          <w:tcPr>
            <w:tcW w:w="1417" w:type="dxa"/>
            <w:vAlign w:val="center"/>
          </w:tcPr>
          <w:p w14:paraId="431FF39A" w14:textId="28D67FE5"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4,790</w:t>
            </w:r>
          </w:p>
        </w:tc>
        <w:tc>
          <w:tcPr>
            <w:tcW w:w="1276" w:type="dxa"/>
            <w:vAlign w:val="center"/>
          </w:tcPr>
          <w:p w14:paraId="3BD13828" w14:textId="28801D6D"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4642EDF" w14:textId="4AF71D4C"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10,151</w:t>
            </w:r>
          </w:p>
        </w:tc>
        <w:tc>
          <w:tcPr>
            <w:tcW w:w="1247" w:type="dxa"/>
            <w:vAlign w:val="center"/>
          </w:tcPr>
          <w:p w14:paraId="726700C4" w14:textId="79695277"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B8DC7F2" w14:textId="62D41687" w:rsidR="00C647F6" w:rsidRPr="001053D0" w:rsidRDefault="00BA3BE5" w:rsidP="00463ED1">
      <w:pPr>
        <w:pStyle w:val="Heading3"/>
        <w:numPr>
          <w:ilvl w:val="0"/>
          <w:numId w:val="0"/>
        </w:numPr>
        <w:ind w:left="360" w:hanging="360"/>
        <w:rPr>
          <w:rFonts w:ascii="Arial" w:hAnsi="Arial" w:cs="Arial"/>
          <w:i/>
        </w:rPr>
      </w:pPr>
      <w:bookmarkStart w:id="168" w:name="_Toc40179145"/>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A0477C">
        <w:rPr>
          <w:rFonts w:ascii="Arial" w:hAnsi="Arial" w:cs="Arial"/>
          <w:i/>
        </w:rPr>
        <w:t>1 October to 31 December 2019</w:t>
      </w:r>
      <w:bookmarkEnd w:id="168"/>
      <w:r w:rsidR="001053D0">
        <w:rPr>
          <w:rFonts w:ascii="Arial" w:hAnsi="Arial" w:cs="Arial"/>
          <w:i/>
        </w:rPr>
        <w:br/>
      </w:r>
    </w:p>
    <w:tbl>
      <w:tblPr>
        <w:tblStyle w:val="CenterAlignTable"/>
        <w:tblW w:w="14850" w:type="dxa"/>
        <w:tblLayout w:type="fixed"/>
        <w:tblLook w:val="04E0" w:firstRow="1" w:lastRow="1" w:firstColumn="1" w:lastColumn="0" w:noHBand="0" w:noVBand="1"/>
        <w:tblCaption w:val="Short Term Financial Penalties 1 July to 30 September 2019"/>
      </w:tblPr>
      <w:tblGrid>
        <w:gridCol w:w="4247"/>
        <w:gridCol w:w="1418"/>
        <w:gridCol w:w="1417"/>
        <w:gridCol w:w="1276"/>
        <w:gridCol w:w="1418"/>
        <w:gridCol w:w="1275"/>
        <w:gridCol w:w="1276"/>
        <w:gridCol w:w="1276"/>
        <w:gridCol w:w="1247"/>
      </w:tblGrid>
      <w:tr w:rsidR="00D9585E" w:rsidRPr="00FB63AD" w14:paraId="0F2A76D1"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46811D3"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2780909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37A8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14491B50" w14:textId="7BB88DC0"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53A97E7D" w14:textId="0AD52D3E"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2866649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B2EC7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4CB2267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97A2D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2A0EA1CF"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E2DF590" w14:textId="77777777" w:rsidR="00DA2C05" w:rsidRPr="00FB63AD" w:rsidRDefault="00DA2C05" w:rsidP="00DA2C05">
            <w:pPr>
              <w:ind w:left="0"/>
            </w:pPr>
            <w:r w:rsidRPr="00FB63AD">
              <w:t>Sub Total Short Term Financial Penalties</w:t>
            </w:r>
          </w:p>
        </w:tc>
        <w:tc>
          <w:tcPr>
            <w:tcW w:w="1418" w:type="dxa"/>
            <w:vAlign w:val="center"/>
          </w:tcPr>
          <w:p w14:paraId="64325C45" w14:textId="15CA59B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21,803</w:t>
            </w:r>
          </w:p>
        </w:tc>
        <w:tc>
          <w:tcPr>
            <w:tcW w:w="1417" w:type="dxa"/>
            <w:vAlign w:val="center"/>
          </w:tcPr>
          <w:p w14:paraId="7B0A9D6D" w14:textId="0EE1BBA6"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97.37%</w:t>
            </w:r>
          </w:p>
        </w:tc>
        <w:tc>
          <w:tcPr>
            <w:tcW w:w="1276" w:type="dxa"/>
            <w:vAlign w:val="center"/>
          </w:tcPr>
          <w:p w14:paraId="6146610C" w14:textId="04E878D2"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588</w:t>
            </w:r>
          </w:p>
        </w:tc>
        <w:tc>
          <w:tcPr>
            <w:tcW w:w="1418" w:type="dxa"/>
            <w:vAlign w:val="center"/>
          </w:tcPr>
          <w:p w14:paraId="6405EC56" w14:textId="656FB587"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2.63%</w:t>
            </w:r>
          </w:p>
        </w:tc>
        <w:tc>
          <w:tcPr>
            <w:tcW w:w="1275" w:type="dxa"/>
            <w:vAlign w:val="center"/>
          </w:tcPr>
          <w:p w14:paraId="52489D6C" w14:textId="0993E073"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22,391</w:t>
            </w:r>
          </w:p>
        </w:tc>
        <w:tc>
          <w:tcPr>
            <w:tcW w:w="1276" w:type="dxa"/>
            <w:vAlign w:val="center"/>
          </w:tcPr>
          <w:p w14:paraId="46CC0D94" w14:textId="09165E8B"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1D31BC56" w14:textId="3A35A7E7"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47,574</w:t>
            </w:r>
          </w:p>
        </w:tc>
        <w:tc>
          <w:tcPr>
            <w:tcW w:w="1247" w:type="dxa"/>
            <w:vAlign w:val="center"/>
          </w:tcPr>
          <w:p w14:paraId="1812F35B" w14:textId="3777259B"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E623B13" w14:textId="67F68DC7" w:rsidR="00EF4695" w:rsidRDefault="00EF4695" w:rsidP="008671DA">
      <w:pPr>
        <w:spacing w:after="240" w:line="240" w:lineRule="auto"/>
        <w:ind w:left="142"/>
        <w:rPr>
          <w:noProof/>
        </w:rPr>
      </w:pPr>
    </w:p>
    <w:p w14:paraId="179A34B1" w14:textId="6C10E51D" w:rsidR="001053D0" w:rsidRPr="001053D0" w:rsidRDefault="00BA3BE5" w:rsidP="00463ED1">
      <w:pPr>
        <w:pStyle w:val="Heading3"/>
        <w:numPr>
          <w:ilvl w:val="0"/>
          <w:numId w:val="0"/>
        </w:numPr>
        <w:ind w:left="360" w:hanging="360"/>
        <w:rPr>
          <w:rFonts w:ascii="Arial" w:hAnsi="Arial" w:cs="Arial"/>
          <w:i/>
        </w:rPr>
      </w:pPr>
      <w:bookmarkStart w:id="169" w:name="_Toc40179146"/>
      <w:r w:rsidRPr="001053D0">
        <w:rPr>
          <w:rFonts w:ascii="Arial" w:hAnsi="Arial" w:cs="Arial"/>
          <w:i/>
        </w:rPr>
        <w:lastRenderedPageBreak/>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A0477C">
        <w:rPr>
          <w:rFonts w:ascii="Arial" w:hAnsi="Arial" w:cs="Arial"/>
          <w:i/>
        </w:rPr>
        <w:t>1 October to 31 December 2019</w:t>
      </w:r>
      <w:bookmarkEnd w:id="169"/>
      <w:r w:rsidR="001053D0">
        <w:rPr>
          <w:rFonts w:ascii="Arial" w:hAnsi="Arial" w:cs="Arial"/>
          <w:i/>
        </w:rPr>
        <w:br/>
      </w:r>
    </w:p>
    <w:tbl>
      <w:tblPr>
        <w:tblStyle w:val="CenterAlignTable"/>
        <w:tblW w:w="10529" w:type="dxa"/>
        <w:tblLook w:val="04E0" w:firstRow="1" w:lastRow="1" w:firstColumn="1" w:lastColumn="0" w:noHBand="0" w:noVBand="1"/>
        <w:tblCaption w:val="Total Financial Penalties 1 July to 30 September 2019"/>
      </w:tblPr>
      <w:tblGrid>
        <w:gridCol w:w="1328"/>
        <w:gridCol w:w="1328"/>
        <w:gridCol w:w="1508"/>
        <w:gridCol w:w="1186"/>
        <w:gridCol w:w="1525"/>
        <w:gridCol w:w="1252"/>
        <w:gridCol w:w="1268"/>
        <w:gridCol w:w="1134"/>
      </w:tblGrid>
      <w:tr w:rsidR="002522E1" w:rsidRPr="00FB63AD" w14:paraId="072EE518"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1F14FE95" w14:textId="77777777" w:rsidR="002522E1" w:rsidRPr="00FB63AD" w:rsidRDefault="002522E1" w:rsidP="00887E4E">
            <w:pPr>
              <w:ind w:left="-142" w:firstLine="142"/>
            </w:pPr>
            <w:r w:rsidRPr="00FB63AD">
              <w:t>Indigenous</w:t>
            </w:r>
          </w:p>
        </w:tc>
        <w:tc>
          <w:tcPr>
            <w:tcW w:w="1328" w:type="dxa"/>
          </w:tcPr>
          <w:p w14:paraId="03774E82"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130B836E" w14:textId="6E35A2E2"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3BBDE143" w14:textId="381B4602"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7E779A0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4D5E1FA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2EF1C47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C0A6E1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616A5CC0" w14:textId="77777777" w:rsidTr="0043502E">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74AAE6E" w14:textId="44F12959" w:rsidR="00DA2C05" w:rsidRPr="00B622A4" w:rsidRDefault="00DA2C05" w:rsidP="0043502E">
            <w:pPr>
              <w:autoSpaceDE w:val="0"/>
              <w:autoSpaceDN w:val="0"/>
              <w:adjustRightInd w:val="0"/>
              <w:spacing w:before="0"/>
              <w:ind w:left="0"/>
              <w:rPr>
                <w:rFonts w:cs="Gill Sans MT"/>
                <w:b w:val="0"/>
                <w:bCs/>
                <w:color w:val="000000"/>
              </w:rPr>
            </w:pPr>
            <w:r>
              <w:rPr>
                <w:rFonts w:cs="Gill Sans MT"/>
                <w:b w:val="0"/>
                <w:bCs/>
                <w:color w:val="000000"/>
              </w:rPr>
              <w:t>26,520</w:t>
            </w:r>
          </w:p>
        </w:tc>
        <w:tc>
          <w:tcPr>
            <w:tcW w:w="1328" w:type="dxa"/>
            <w:vAlign w:val="center"/>
          </w:tcPr>
          <w:p w14:paraId="0712AF65" w14:textId="72CC03EF"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97.57%</w:t>
            </w:r>
          </w:p>
        </w:tc>
        <w:tc>
          <w:tcPr>
            <w:tcW w:w="1508" w:type="dxa"/>
            <w:vAlign w:val="center"/>
          </w:tcPr>
          <w:p w14:paraId="72DF6BDD" w14:textId="17BFE867"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661</w:t>
            </w:r>
          </w:p>
        </w:tc>
        <w:tc>
          <w:tcPr>
            <w:tcW w:w="1186" w:type="dxa"/>
            <w:vAlign w:val="center"/>
          </w:tcPr>
          <w:p w14:paraId="0039E3A4" w14:textId="38438592"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2.43%</w:t>
            </w:r>
          </w:p>
        </w:tc>
        <w:tc>
          <w:tcPr>
            <w:tcW w:w="1525" w:type="dxa"/>
            <w:vAlign w:val="center"/>
          </w:tcPr>
          <w:p w14:paraId="47DEC2D9" w14:textId="1167F6D4"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27,181</w:t>
            </w:r>
          </w:p>
        </w:tc>
        <w:tc>
          <w:tcPr>
            <w:tcW w:w="1252" w:type="dxa"/>
            <w:vAlign w:val="center"/>
          </w:tcPr>
          <w:p w14:paraId="47E5E87B" w14:textId="5C74CCC0"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14A341" w14:textId="07DFC243"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57,725</w:t>
            </w:r>
          </w:p>
        </w:tc>
        <w:tc>
          <w:tcPr>
            <w:tcW w:w="1134" w:type="dxa"/>
            <w:vAlign w:val="center"/>
          </w:tcPr>
          <w:p w14:paraId="64C7D605" w14:textId="2E2C3605" w:rsidR="00DA2C05" w:rsidRPr="00B622A4" w:rsidRDefault="00DA2C05"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87510E9"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E168858" w14:textId="1143D13E"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8374F1">
        <w:t>Services Australia</w:t>
      </w:r>
      <w:r w:rsidRPr="00FB63AD">
        <w:t xml:space="preserve"> (including </w:t>
      </w:r>
      <w:r w:rsidR="00F341B9">
        <w:t>CCA</w:t>
      </w:r>
      <w:r>
        <w:t>) appointment</w:t>
      </w:r>
      <w:r w:rsidRPr="00481EB2">
        <w:t>.</w:t>
      </w:r>
    </w:p>
    <w:p w14:paraId="1C88412D" w14:textId="3B71990A"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1C6E6FB7" w14:textId="305A7191" w:rsidR="00126999" w:rsidRPr="001053D0" w:rsidRDefault="00BA3BE5" w:rsidP="00463ED1">
      <w:pPr>
        <w:pStyle w:val="Heading3"/>
        <w:numPr>
          <w:ilvl w:val="0"/>
          <w:numId w:val="0"/>
        </w:numPr>
        <w:ind w:left="502" w:hanging="360"/>
        <w:rPr>
          <w:rFonts w:ascii="Arial" w:hAnsi="Arial" w:cs="Arial"/>
          <w:i/>
        </w:rPr>
      </w:pPr>
      <w:bookmarkStart w:id="170" w:name="_Toc40179147"/>
      <w:r w:rsidRPr="001053D0">
        <w:rPr>
          <w:rFonts w:ascii="Arial" w:hAnsi="Arial" w:cs="Arial"/>
          <w:i/>
        </w:rPr>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A0477C">
        <w:rPr>
          <w:rFonts w:ascii="Arial" w:hAnsi="Arial" w:cs="Arial"/>
          <w:i/>
        </w:rPr>
        <w:t>1 October to 31 December 2019</w:t>
      </w:r>
      <w:bookmarkEnd w:id="170"/>
      <w:r w:rsidR="003A427E">
        <w:rPr>
          <w:rFonts w:ascii="Arial" w:hAnsi="Arial" w:cs="Arial"/>
          <w:i/>
        </w:rPr>
        <w:br/>
      </w:r>
    </w:p>
    <w:tbl>
      <w:tblPr>
        <w:tblStyle w:val="TableGrid"/>
        <w:tblW w:w="14737" w:type="dxa"/>
        <w:tblLayout w:type="fixed"/>
        <w:tblLook w:val="04A0" w:firstRow="1" w:lastRow="0" w:firstColumn="1" w:lastColumn="0" w:noHBand="0" w:noVBand="1"/>
        <w:tblCaption w:val="Income Support Payment Suspensions 1 July to 30 September 2019"/>
      </w:tblPr>
      <w:tblGrid>
        <w:gridCol w:w="4106"/>
        <w:gridCol w:w="1417"/>
        <w:gridCol w:w="1418"/>
        <w:gridCol w:w="1417"/>
        <w:gridCol w:w="1303"/>
        <w:gridCol w:w="1390"/>
        <w:gridCol w:w="1311"/>
        <w:gridCol w:w="1241"/>
        <w:gridCol w:w="1134"/>
      </w:tblGrid>
      <w:tr w:rsidR="00D9585E" w:rsidRPr="00FB63AD" w14:paraId="36661339" w14:textId="77777777" w:rsidTr="00062354">
        <w:trPr>
          <w:tblHeader/>
        </w:trPr>
        <w:tc>
          <w:tcPr>
            <w:tcW w:w="4106" w:type="dxa"/>
            <w:vAlign w:val="center"/>
          </w:tcPr>
          <w:p w14:paraId="53C07641" w14:textId="77777777" w:rsidR="00D9585E" w:rsidRPr="001E1607" w:rsidRDefault="00D9585E" w:rsidP="00F74E10">
            <w:pPr>
              <w:ind w:left="-142" w:firstLine="142"/>
              <w:rPr>
                <w:b/>
                <w:noProof/>
              </w:rPr>
            </w:pPr>
            <w:r w:rsidRPr="001E1607">
              <w:rPr>
                <w:b/>
                <w:noProof/>
              </w:rPr>
              <w:t>Income support payment suspensions</w:t>
            </w:r>
          </w:p>
        </w:tc>
        <w:tc>
          <w:tcPr>
            <w:tcW w:w="1417" w:type="dxa"/>
          </w:tcPr>
          <w:p w14:paraId="19856CFD" w14:textId="77777777" w:rsidR="00D9585E" w:rsidRPr="001E1607" w:rsidRDefault="00D9585E" w:rsidP="00887E4E">
            <w:pPr>
              <w:ind w:left="-142" w:firstLine="142"/>
              <w:rPr>
                <w:b/>
                <w:noProof/>
              </w:rPr>
            </w:pPr>
            <w:r w:rsidRPr="001E1607">
              <w:rPr>
                <w:b/>
                <w:noProof/>
              </w:rPr>
              <w:t>Indigenous</w:t>
            </w:r>
          </w:p>
        </w:tc>
        <w:tc>
          <w:tcPr>
            <w:tcW w:w="1418" w:type="dxa"/>
          </w:tcPr>
          <w:p w14:paraId="10661639" w14:textId="77777777" w:rsidR="001E1607" w:rsidRDefault="00D9585E" w:rsidP="00887E4E">
            <w:pPr>
              <w:ind w:left="-142" w:firstLine="142"/>
              <w:rPr>
                <w:b/>
                <w:noProof/>
              </w:rPr>
            </w:pPr>
            <w:r w:rsidRPr="001E1607">
              <w:rPr>
                <w:b/>
                <w:noProof/>
              </w:rPr>
              <w:t xml:space="preserve">Indigenous </w:t>
            </w:r>
          </w:p>
          <w:p w14:paraId="2EB2E36D" w14:textId="628E83E0" w:rsidR="00D9585E" w:rsidRPr="001E1607" w:rsidRDefault="00D9585E" w:rsidP="00887E4E">
            <w:pPr>
              <w:ind w:left="-142" w:firstLine="142"/>
              <w:rPr>
                <w:b/>
                <w:noProof/>
              </w:rPr>
            </w:pPr>
            <w:r w:rsidRPr="001E1607">
              <w:rPr>
                <w:b/>
                <w:noProof/>
              </w:rPr>
              <w:t>%</w:t>
            </w:r>
          </w:p>
        </w:tc>
        <w:tc>
          <w:tcPr>
            <w:tcW w:w="1417" w:type="dxa"/>
          </w:tcPr>
          <w:p w14:paraId="1FCBAB4F" w14:textId="26ADC60F" w:rsidR="00D9585E" w:rsidRPr="001E1607" w:rsidRDefault="00D9585E" w:rsidP="001E1607">
            <w:pPr>
              <w:ind w:left="-142"/>
              <w:rPr>
                <w:b/>
                <w:noProof/>
              </w:rPr>
            </w:pPr>
            <w:r w:rsidRPr="001E1607">
              <w:rPr>
                <w:b/>
                <w:noProof/>
              </w:rPr>
              <w:t>Non</w:t>
            </w:r>
            <w:r w:rsidR="00E27EE4" w:rsidRPr="001E1607">
              <w:rPr>
                <w:b/>
                <w:noProof/>
              </w:rPr>
              <w:t>-</w:t>
            </w:r>
            <w:r w:rsidRPr="001E1607">
              <w:rPr>
                <w:b/>
                <w:noProof/>
              </w:rPr>
              <w:t xml:space="preserve"> Indigenous</w:t>
            </w:r>
          </w:p>
        </w:tc>
        <w:tc>
          <w:tcPr>
            <w:tcW w:w="1303" w:type="dxa"/>
          </w:tcPr>
          <w:p w14:paraId="6377BFF4" w14:textId="32339DC5" w:rsidR="00D9585E" w:rsidRPr="001E1607" w:rsidRDefault="00D9585E" w:rsidP="001E1607">
            <w:pPr>
              <w:ind w:left="-142"/>
              <w:rPr>
                <w:b/>
                <w:noProof/>
              </w:rPr>
            </w:pPr>
            <w:r w:rsidRPr="001E1607">
              <w:rPr>
                <w:b/>
                <w:noProof/>
              </w:rPr>
              <w:t>Non</w:t>
            </w:r>
            <w:r w:rsidR="00E27EE4" w:rsidRPr="001E1607">
              <w:rPr>
                <w:b/>
                <w:noProof/>
              </w:rPr>
              <w:t>-</w:t>
            </w:r>
            <w:r w:rsidRPr="001E1607">
              <w:rPr>
                <w:b/>
                <w:noProof/>
              </w:rPr>
              <w:t xml:space="preserve"> </w:t>
            </w:r>
            <w:r w:rsidR="001E1607">
              <w:rPr>
                <w:b/>
                <w:noProof/>
              </w:rPr>
              <w:t>Indigenou</w:t>
            </w:r>
            <w:r w:rsidR="00E21EA3">
              <w:rPr>
                <w:b/>
                <w:noProof/>
              </w:rPr>
              <w:t>s</w:t>
            </w:r>
            <w:r w:rsidR="001E1607">
              <w:rPr>
                <w:b/>
                <w:noProof/>
              </w:rPr>
              <w:t xml:space="preserve"> </w:t>
            </w:r>
            <w:r w:rsidRPr="001E1607">
              <w:rPr>
                <w:b/>
                <w:noProof/>
              </w:rPr>
              <w:t>%</w:t>
            </w:r>
          </w:p>
        </w:tc>
        <w:tc>
          <w:tcPr>
            <w:tcW w:w="1390" w:type="dxa"/>
          </w:tcPr>
          <w:p w14:paraId="040BCDB5" w14:textId="77777777" w:rsidR="00D9585E" w:rsidRPr="001E1607" w:rsidRDefault="00D9585E" w:rsidP="00887E4E">
            <w:pPr>
              <w:ind w:left="-142" w:firstLine="142"/>
              <w:rPr>
                <w:b/>
                <w:noProof/>
              </w:rPr>
            </w:pPr>
            <w:r w:rsidRPr="001E1607">
              <w:rPr>
                <w:b/>
                <w:noProof/>
              </w:rPr>
              <w:t>Total</w:t>
            </w:r>
          </w:p>
        </w:tc>
        <w:tc>
          <w:tcPr>
            <w:tcW w:w="1311" w:type="dxa"/>
          </w:tcPr>
          <w:p w14:paraId="53DF58F7" w14:textId="77777777" w:rsidR="00D9585E" w:rsidRPr="001E1607" w:rsidRDefault="00D9585E" w:rsidP="00887E4E">
            <w:pPr>
              <w:ind w:left="-142" w:firstLine="142"/>
              <w:rPr>
                <w:b/>
                <w:noProof/>
              </w:rPr>
            </w:pPr>
            <w:r w:rsidRPr="001E1607">
              <w:rPr>
                <w:b/>
                <w:noProof/>
              </w:rPr>
              <w:t>Total %</w:t>
            </w:r>
          </w:p>
        </w:tc>
        <w:tc>
          <w:tcPr>
            <w:tcW w:w="1241" w:type="dxa"/>
          </w:tcPr>
          <w:p w14:paraId="41BE906A" w14:textId="77777777" w:rsidR="001E1607" w:rsidRDefault="00D9585E" w:rsidP="00887E4E">
            <w:pPr>
              <w:ind w:left="-142" w:firstLine="142"/>
              <w:rPr>
                <w:b/>
                <w:noProof/>
              </w:rPr>
            </w:pPr>
            <w:r w:rsidRPr="001E1607">
              <w:rPr>
                <w:b/>
                <w:noProof/>
              </w:rPr>
              <w:t>Financial</w:t>
            </w:r>
          </w:p>
          <w:p w14:paraId="3A64EF1F" w14:textId="1C6577EA" w:rsidR="00D9585E" w:rsidRPr="001E1607" w:rsidRDefault="00D9585E" w:rsidP="00887E4E">
            <w:pPr>
              <w:ind w:left="-142" w:firstLine="142"/>
              <w:rPr>
                <w:b/>
                <w:noProof/>
              </w:rPr>
            </w:pPr>
            <w:r w:rsidRPr="001E1607">
              <w:rPr>
                <w:b/>
                <w:noProof/>
              </w:rPr>
              <w:t>YTD</w:t>
            </w:r>
          </w:p>
        </w:tc>
        <w:tc>
          <w:tcPr>
            <w:tcW w:w="1134" w:type="dxa"/>
          </w:tcPr>
          <w:p w14:paraId="7E079F3D" w14:textId="77777777" w:rsidR="001E1607" w:rsidRDefault="00D9585E" w:rsidP="00887E4E">
            <w:pPr>
              <w:ind w:left="-142" w:firstLine="142"/>
              <w:rPr>
                <w:b/>
                <w:noProof/>
              </w:rPr>
            </w:pPr>
            <w:r w:rsidRPr="001E1607">
              <w:rPr>
                <w:b/>
                <w:noProof/>
              </w:rPr>
              <w:t xml:space="preserve">Financial </w:t>
            </w:r>
          </w:p>
          <w:p w14:paraId="4D36479C" w14:textId="0B635D86" w:rsidR="00D9585E" w:rsidRPr="001E1607" w:rsidRDefault="00D9585E" w:rsidP="00887E4E">
            <w:pPr>
              <w:ind w:left="-142" w:firstLine="142"/>
              <w:rPr>
                <w:b/>
                <w:noProof/>
              </w:rPr>
            </w:pPr>
            <w:r w:rsidRPr="001E1607">
              <w:rPr>
                <w:b/>
                <w:noProof/>
              </w:rPr>
              <w:t>YTD%</w:t>
            </w:r>
          </w:p>
        </w:tc>
      </w:tr>
      <w:tr w:rsidR="00DA2C05" w:rsidRPr="00FB63AD" w14:paraId="743386C3" w14:textId="77777777" w:rsidTr="00062354">
        <w:tc>
          <w:tcPr>
            <w:tcW w:w="4106" w:type="dxa"/>
            <w:vAlign w:val="center"/>
          </w:tcPr>
          <w:p w14:paraId="04ED0770" w14:textId="77777777" w:rsidR="001E1607" w:rsidRDefault="00DA2C05" w:rsidP="001E1607">
            <w:pPr>
              <w:ind w:left="-142" w:firstLine="142"/>
              <w:rPr>
                <w:bCs/>
              </w:rPr>
            </w:pPr>
            <w:r w:rsidRPr="00FB63AD">
              <w:rPr>
                <w:bCs/>
              </w:rPr>
              <w:t xml:space="preserve">Income support payment suspension </w:t>
            </w:r>
            <w:r>
              <w:rPr>
                <w:bCs/>
              </w:rPr>
              <w:t>–</w:t>
            </w:r>
            <w:r w:rsidRPr="00FB63AD">
              <w:rPr>
                <w:bCs/>
              </w:rPr>
              <w:t xml:space="preserve"> </w:t>
            </w:r>
          </w:p>
          <w:p w14:paraId="04FC4C99" w14:textId="530F16DD" w:rsidR="00DA2C05" w:rsidRPr="001E1607" w:rsidRDefault="00DA2C05" w:rsidP="001E1607">
            <w:pPr>
              <w:ind w:left="-142" w:firstLine="142"/>
              <w:rPr>
                <w:bCs/>
              </w:rPr>
            </w:pPr>
            <w:r w:rsidRPr="00FB63AD">
              <w:rPr>
                <w:bCs/>
              </w:rPr>
              <w:t>non-attendance at appointment</w:t>
            </w:r>
          </w:p>
        </w:tc>
        <w:tc>
          <w:tcPr>
            <w:tcW w:w="1417" w:type="dxa"/>
            <w:vAlign w:val="center"/>
          </w:tcPr>
          <w:p w14:paraId="5E1349B8" w14:textId="6F86C039" w:rsidR="00DA2C05" w:rsidRPr="00885055" w:rsidRDefault="00DA2C05" w:rsidP="00DA2C05">
            <w:pPr>
              <w:autoSpaceDE w:val="0"/>
              <w:autoSpaceDN w:val="0"/>
              <w:adjustRightInd w:val="0"/>
              <w:spacing w:before="0"/>
              <w:ind w:left="0"/>
              <w:rPr>
                <w:rFonts w:cs="Gill Sans MT"/>
                <w:color w:val="000000"/>
              </w:rPr>
            </w:pPr>
            <w:r>
              <w:rPr>
                <w:rFonts w:cs="Gill Sans MT"/>
                <w:color w:val="000000"/>
              </w:rPr>
              <w:t>11,760</w:t>
            </w:r>
          </w:p>
        </w:tc>
        <w:tc>
          <w:tcPr>
            <w:tcW w:w="1418" w:type="dxa"/>
            <w:vAlign w:val="center"/>
          </w:tcPr>
          <w:p w14:paraId="25000444" w14:textId="1F89484A" w:rsidR="00DA2C05" w:rsidRPr="00885055" w:rsidRDefault="00DA2C05" w:rsidP="00DA2C05">
            <w:pPr>
              <w:autoSpaceDE w:val="0"/>
              <w:autoSpaceDN w:val="0"/>
              <w:adjustRightInd w:val="0"/>
              <w:spacing w:before="0"/>
              <w:ind w:left="0"/>
              <w:rPr>
                <w:rFonts w:cs="Gill Sans MT"/>
                <w:color w:val="000000"/>
              </w:rPr>
            </w:pPr>
            <w:r>
              <w:rPr>
                <w:rFonts w:cs="Gill Sans MT"/>
                <w:color w:val="000000"/>
              </w:rPr>
              <w:t>63.15%</w:t>
            </w:r>
          </w:p>
        </w:tc>
        <w:tc>
          <w:tcPr>
            <w:tcW w:w="1417" w:type="dxa"/>
            <w:vAlign w:val="center"/>
          </w:tcPr>
          <w:p w14:paraId="0CB0782D" w14:textId="70A702D7" w:rsidR="00DA2C05" w:rsidRPr="00885055" w:rsidRDefault="00DA2C05" w:rsidP="00DA2C05">
            <w:pPr>
              <w:autoSpaceDE w:val="0"/>
              <w:autoSpaceDN w:val="0"/>
              <w:adjustRightInd w:val="0"/>
              <w:spacing w:before="0"/>
              <w:ind w:left="0"/>
              <w:rPr>
                <w:rFonts w:cs="Gill Sans MT"/>
                <w:color w:val="000000"/>
              </w:rPr>
            </w:pPr>
            <w:r>
              <w:rPr>
                <w:rFonts w:cs="Gill Sans MT"/>
                <w:color w:val="000000"/>
              </w:rPr>
              <w:t>763</w:t>
            </w:r>
          </w:p>
        </w:tc>
        <w:tc>
          <w:tcPr>
            <w:tcW w:w="1303" w:type="dxa"/>
            <w:vAlign w:val="center"/>
          </w:tcPr>
          <w:p w14:paraId="68FF1729" w14:textId="5224E8A4" w:rsidR="00DA2C05" w:rsidRPr="00885055" w:rsidRDefault="00DA2C05" w:rsidP="00DA2C05">
            <w:pPr>
              <w:autoSpaceDE w:val="0"/>
              <w:autoSpaceDN w:val="0"/>
              <w:adjustRightInd w:val="0"/>
              <w:spacing w:before="0"/>
              <w:ind w:left="0"/>
              <w:rPr>
                <w:rFonts w:cs="Gill Sans MT"/>
                <w:color w:val="000000"/>
              </w:rPr>
            </w:pPr>
            <w:r>
              <w:rPr>
                <w:rFonts w:cs="Gill Sans MT"/>
                <w:color w:val="000000"/>
              </w:rPr>
              <w:t>4.10%</w:t>
            </w:r>
          </w:p>
        </w:tc>
        <w:tc>
          <w:tcPr>
            <w:tcW w:w="1390" w:type="dxa"/>
            <w:vAlign w:val="center"/>
          </w:tcPr>
          <w:p w14:paraId="1D285E4E" w14:textId="6CFDC334" w:rsidR="00DA2C05" w:rsidRPr="00885055" w:rsidRDefault="00DA2C05" w:rsidP="00DA2C05">
            <w:pPr>
              <w:autoSpaceDE w:val="0"/>
              <w:autoSpaceDN w:val="0"/>
              <w:adjustRightInd w:val="0"/>
              <w:spacing w:before="0"/>
              <w:ind w:left="0"/>
              <w:rPr>
                <w:rFonts w:cs="Gill Sans MT"/>
                <w:color w:val="000000"/>
              </w:rPr>
            </w:pPr>
            <w:r>
              <w:rPr>
                <w:rFonts w:cs="Gill Sans MT"/>
                <w:color w:val="000000"/>
              </w:rPr>
              <w:t>12,523</w:t>
            </w:r>
          </w:p>
        </w:tc>
        <w:tc>
          <w:tcPr>
            <w:tcW w:w="1311" w:type="dxa"/>
            <w:vAlign w:val="center"/>
          </w:tcPr>
          <w:p w14:paraId="30B6AB15" w14:textId="5E3683BF" w:rsidR="00DA2C05" w:rsidRPr="00885055" w:rsidRDefault="00DA2C05" w:rsidP="00DA2C05">
            <w:pPr>
              <w:autoSpaceDE w:val="0"/>
              <w:autoSpaceDN w:val="0"/>
              <w:adjustRightInd w:val="0"/>
              <w:spacing w:before="0"/>
              <w:ind w:left="0"/>
              <w:rPr>
                <w:rFonts w:cs="Gill Sans MT"/>
                <w:color w:val="000000"/>
              </w:rPr>
            </w:pPr>
            <w:r>
              <w:rPr>
                <w:rFonts w:cs="Gill Sans MT"/>
                <w:color w:val="000000"/>
              </w:rPr>
              <w:t>67.24%</w:t>
            </w:r>
          </w:p>
        </w:tc>
        <w:tc>
          <w:tcPr>
            <w:tcW w:w="1241" w:type="dxa"/>
            <w:vAlign w:val="center"/>
          </w:tcPr>
          <w:p w14:paraId="6ACE08D0" w14:textId="6C6918EA" w:rsidR="00DA2C05" w:rsidRPr="00885055" w:rsidRDefault="00DA2C05" w:rsidP="00DA2C05">
            <w:pPr>
              <w:autoSpaceDE w:val="0"/>
              <w:autoSpaceDN w:val="0"/>
              <w:adjustRightInd w:val="0"/>
              <w:spacing w:before="0"/>
              <w:ind w:left="0"/>
              <w:rPr>
                <w:rFonts w:cs="Gill Sans MT"/>
                <w:color w:val="000000"/>
              </w:rPr>
            </w:pPr>
            <w:r>
              <w:rPr>
                <w:rFonts w:cs="Gill Sans MT"/>
                <w:color w:val="000000"/>
              </w:rPr>
              <w:t>28,129</w:t>
            </w:r>
          </w:p>
        </w:tc>
        <w:tc>
          <w:tcPr>
            <w:tcW w:w="1134" w:type="dxa"/>
            <w:vAlign w:val="center"/>
          </w:tcPr>
          <w:p w14:paraId="7D34F8A3" w14:textId="16EDC3BE" w:rsidR="00DA2C05" w:rsidRPr="00885055" w:rsidRDefault="00DA2C05" w:rsidP="00DA2C05">
            <w:pPr>
              <w:autoSpaceDE w:val="0"/>
              <w:autoSpaceDN w:val="0"/>
              <w:adjustRightInd w:val="0"/>
              <w:spacing w:before="0"/>
              <w:ind w:left="0"/>
              <w:rPr>
                <w:rFonts w:cs="Gill Sans MT"/>
                <w:color w:val="000000"/>
              </w:rPr>
            </w:pPr>
            <w:r>
              <w:rPr>
                <w:rFonts w:cs="Gill Sans MT"/>
                <w:color w:val="000000"/>
              </w:rPr>
              <w:t>68.01%</w:t>
            </w:r>
          </w:p>
        </w:tc>
      </w:tr>
      <w:tr w:rsidR="00DA2C05" w:rsidRPr="00FB63AD" w14:paraId="05452116" w14:textId="77777777" w:rsidTr="00062354">
        <w:tc>
          <w:tcPr>
            <w:tcW w:w="4106" w:type="dxa"/>
            <w:vAlign w:val="center"/>
          </w:tcPr>
          <w:p w14:paraId="4B48B658" w14:textId="77777777" w:rsidR="001E1607" w:rsidRDefault="00DA2C05" w:rsidP="00DA2C05">
            <w:pPr>
              <w:ind w:left="-142" w:firstLine="142"/>
              <w:rPr>
                <w:bCs/>
              </w:rPr>
            </w:pPr>
            <w:r w:rsidRPr="00FB63AD">
              <w:rPr>
                <w:bCs/>
              </w:rPr>
              <w:t xml:space="preserve">Income support payment suspension – </w:t>
            </w:r>
          </w:p>
          <w:p w14:paraId="77C5E949" w14:textId="674B354D" w:rsidR="00DA2C05" w:rsidRPr="00FB63AD" w:rsidRDefault="00DA2C05" w:rsidP="001E1607">
            <w:pPr>
              <w:ind w:left="0"/>
              <w:rPr>
                <w:b/>
                <w:noProof/>
              </w:rPr>
            </w:pPr>
            <w:r w:rsidRPr="00FB63AD">
              <w:rPr>
                <w:bCs/>
              </w:rPr>
              <w:t>disengagement from activity</w:t>
            </w:r>
          </w:p>
        </w:tc>
        <w:tc>
          <w:tcPr>
            <w:tcW w:w="1417" w:type="dxa"/>
            <w:vAlign w:val="center"/>
          </w:tcPr>
          <w:p w14:paraId="7E939EDC" w14:textId="3A7B17E1" w:rsidR="00DA2C05" w:rsidRPr="00885055" w:rsidRDefault="00DA2C05" w:rsidP="00DA2C05">
            <w:pPr>
              <w:autoSpaceDE w:val="0"/>
              <w:autoSpaceDN w:val="0"/>
              <w:adjustRightInd w:val="0"/>
              <w:spacing w:before="0"/>
              <w:ind w:left="0"/>
              <w:rPr>
                <w:rFonts w:cs="Gill Sans MT"/>
                <w:color w:val="000000"/>
              </w:rPr>
            </w:pPr>
            <w:r>
              <w:rPr>
                <w:rFonts w:cs="Gill Sans MT"/>
                <w:color w:val="000000"/>
              </w:rPr>
              <w:t>5,875</w:t>
            </w:r>
          </w:p>
        </w:tc>
        <w:tc>
          <w:tcPr>
            <w:tcW w:w="1418" w:type="dxa"/>
            <w:vAlign w:val="center"/>
          </w:tcPr>
          <w:p w14:paraId="00425C2E" w14:textId="1F4FF3FF" w:rsidR="00DA2C05" w:rsidRPr="00885055" w:rsidRDefault="00DA2C05" w:rsidP="00DA2C05">
            <w:pPr>
              <w:autoSpaceDE w:val="0"/>
              <w:autoSpaceDN w:val="0"/>
              <w:adjustRightInd w:val="0"/>
              <w:spacing w:before="0"/>
              <w:ind w:left="0"/>
              <w:rPr>
                <w:rFonts w:cs="Gill Sans MT"/>
                <w:color w:val="000000"/>
              </w:rPr>
            </w:pPr>
            <w:r>
              <w:rPr>
                <w:rFonts w:cs="Gill Sans MT"/>
                <w:color w:val="000000"/>
              </w:rPr>
              <w:t>31.55%</w:t>
            </w:r>
          </w:p>
        </w:tc>
        <w:tc>
          <w:tcPr>
            <w:tcW w:w="1417" w:type="dxa"/>
            <w:vAlign w:val="center"/>
          </w:tcPr>
          <w:p w14:paraId="0CD706BD" w14:textId="59504EA2" w:rsidR="00DA2C05" w:rsidRPr="00885055" w:rsidRDefault="00DA2C05" w:rsidP="00DA2C05">
            <w:pPr>
              <w:autoSpaceDE w:val="0"/>
              <w:autoSpaceDN w:val="0"/>
              <w:adjustRightInd w:val="0"/>
              <w:spacing w:before="0"/>
              <w:ind w:left="0"/>
              <w:rPr>
                <w:rFonts w:cs="Gill Sans MT"/>
                <w:color w:val="000000"/>
              </w:rPr>
            </w:pPr>
            <w:r>
              <w:rPr>
                <w:rFonts w:cs="Gill Sans MT"/>
                <w:color w:val="000000"/>
              </w:rPr>
              <w:t>225</w:t>
            </w:r>
          </w:p>
        </w:tc>
        <w:tc>
          <w:tcPr>
            <w:tcW w:w="1303" w:type="dxa"/>
            <w:vAlign w:val="center"/>
          </w:tcPr>
          <w:p w14:paraId="302A32B7" w14:textId="78E58440" w:rsidR="00DA2C05" w:rsidRPr="00885055" w:rsidRDefault="00DA2C05" w:rsidP="00DA2C05">
            <w:pPr>
              <w:autoSpaceDE w:val="0"/>
              <w:autoSpaceDN w:val="0"/>
              <w:adjustRightInd w:val="0"/>
              <w:spacing w:before="0"/>
              <w:ind w:left="0"/>
              <w:rPr>
                <w:rFonts w:cs="Gill Sans MT"/>
                <w:color w:val="000000"/>
              </w:rPr>
            </w:pPr>
            <w:r>
              <w:rPr>
                <w:rFonts w:cs="Gill Sans MT"/>
                <w:color w:val="000000"/>
              </w:rPr>
              <w:t>1.21%</w:t>
            </w:r>
          </w:p>
        </w:tc>
        <w:tc>
          <w:tcPr>
            <w:tcW w:w="1390" w:type="dxa"/>
            <w:vAlign w:val="center"/>
          </w:tcPr>
          <w:p w14:paraId="5DE86538" w14:textId="180F7E91" w:rsidR="00DA2C05" w:rsidRPr="00885055" w:rsidRDefault="00DA2C05" w:rsidP="00DA2C05">
            <w:pPr>
              <w:autoSpaceDE w:val="0"/>
              <w:autoSpaceDN w:val="0"/>
              <w:adjustRightInd w:val="0"/>
              <w:spacing w:before="0"/>
              <w:ind w:left="0"/>
              <w:rPr>
                <w:rFonts w:cs="Gill Sans MT"/>
                <w:color w:val="000000"/>
              </w:rPr>
            </w:pPr>
            <w:r>
              <w:rPr>
                <w:rFonts w:cs="Gill Sans MT"/>
                <w:color w:val="000000"/>
              </w:rPr>
              <w:t>6,100</w:t>
            </w:r>
          </w:p>
        </w:tc>
        <w:tc>
          <w:tcPr>
            <w:tcW w:w="1311" w:type="dxa"/>
            <w:vAlign w:val="center"/>
          </w:tcPr>
          <w:p w14:paraId="378002A1" w14:textId="25774922" w:rsidR="00DA2C05" w:rsidRPr="00885055" w:rsidRDefault="00DA2C05" w:rsidP="00DA2C05">
            <w:pPr>
              <w:autoSpaceDE w:val="0"/>
              <w:autoSpaceDN w:val="0"/>
              <w:adjustRightInd w:val="0"/>
              <w:spacing w:before="0"/>
              <w:ind w:left="0"/>
              <w:rPr>
                <w:rFonts w:cs="Gill Sans MT"/>
                <w:color w:val="000000"/>
              </w:rPr>
            </w:pPr>
            <w:r>
              <w:rPr>
                <w:rFonts w:cs="Gill Sans MT"/>
                <w:color w:val="000000"/>
              </w:rPr>
              <w:t>32.76%</w:t>
            </w:r>
          </w:p>
        </w:tc>
        <w:tc>
          <w:tcPr>
            <w:tcW w:w="1241" w:type="dxa"/>
            <w:vAlign w:val="center"/>
          </w:tcPr>
          <w:p w14:paraId="44F19E39" w14:textId="6C3D69A0" w:rsidR="00DA2C05" w:rsidRPr="00885055" w:rsidRDefault="00DA2C05" w:rsidP="00DA2C05">
            <w:pPr>
              <w:autoSpaceDE w:val="0"/>
              <w:autoSpaceDN w:val="0"/>
              <w:adjustRightInd w:val="0"/>
              <w:spacing w:before="0"/>
              <w:ind w:left="0"/>
              <w:rPr>
                <w:rFonts w:cs="Gill Sans MT"/>
                <w:color w:val="000000"/>
              </w:rPr>
            </w:pPr>
            <w:r>
              <w:rPr>
                <w:rFonts w:cs="Gill Sans MT"/>
                <w:color w:val="000000"/>
              </w:rPr>
              <w:t>13,233</w:t>
            </w:r>
          </w:p>
        </w:tc>
        <w:tc>
          <w:tcPr>
            <w:tcW w:w="1134" w:type="dxa"/>
            <w:vAlign w:val="center"/>
          </w:tcPr>
          <w:p w14:paraId="044FD258" w14:textId="0B0A1BE2" w:rsidR="00DA2C05" w:rsidRPr="00885055" w:rsidRDefault="00DA2C05" w:rsidP="00DA2C05">
            <w:pPr>
              <w:autoSpaceDE w:val="0"/>
              <w:autoSpaceDN w:val="0"/>
              <w:adjustRightInd w:val="0"/>
              <w:spacing w:before="0"/>
              <w:ind w:left="0"/>
              <w:rPr>
                <w:rFonts w:cs="Gill Sans MT"/>
                <w:color w:val="000000"/>
              </w:rPr>
            </w:pPr>
            <w:r>
              <w:rPr>
                <w:rFonts w:cs="Gill Sans MT"/>
                <w:color w:val="000000"/>
              </w:rPr>
              <w:t>31.99%</w:t>
            </w:r>
          </w:p>
        </w:tc>
      </w:tr>
      <w:tr w:rsidR="00DA2C05" w:rsidRPr="00FB63AD" w14:paraId="65BDC694" w14:textId="77777777" w:rsidTr="00062354">
        <w:tc>
          <w:tcPr>
            <w:tcW w:w="4106" w:type="dxa"/>
            <w:vAlign w:val="center"/>
          </w:tcPr>
          <w:p w14:paraId="4812F56D" w14:textId="77777777" w:rsidR="00DA2C05" w:rsidRPr="001E1607" w:rsidRDefault="00DA2C05" w:rsidP="00DA2C05">
            <w:pPr>
              <w:ind w:left="0"/>
              <w:rPr>
                <w:b/>
                <w:bCs/>
              </w:rPr>
            </w:pPr>
            <w:r w:rsidRPr="001E1607">
              <w:rPr>
                <w:b/>
                <w:bCs/>
              </w:rPr>
              <w:t>Total Income Support payment suspensions</w:t>
            </w:r>
          </w:p>
        </w:tc>
        <w:tc>
          <w:tcPr>
            <w:tcW w:w="1417" w:type="dxa"/>
            <w:vAlign w:val="center"/>
          </w:tcPr>
          <w:p w14:paraId="1A5E256D" w14:textId="1DDC7137"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17,635</w:t>
            </w:r>
          </w:p>
        </w:tc>
        <w:tc>
          <w:tcPr>
            <w:tcW w:w="1418" w:type="dxa"/>
            <w:vAlign w:val="center"/>
          </w:tcPr>
          <w:p w14:paraId="28CE7D5F" w14:textId="2CF002BB"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94.69%</w:t>
            </w:r>
          </w:p>
        </w:tc>
        <w:tc>
          <w:tcPr>
            <w:tcW w:w="1417" w:type="dxa"/>
            <w:vAlign w:val="center"/>
          </w:tcPr>
          <w:p w14:paraId="14AC76E3" w14:textId="0EA578CF"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988</w:t>
            </w:r>
          </w:p>
        </w:tc>
        <w:tc>
          <w:tcPr>
            <w:tcW w:w="1303" w:type="dxa"/>
            <w:vAlign w:val="center"/>
          </w:tcPr>
          <w:p w14:paraId="37599FFB" w14:textId="7D184B80"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5.31%</w:t>
            </w:r>
          </w:p>
        </w:tc>
        <w:tc>
          <w:tcPr>
            <w:tcW w:w="1390" w:type="dxa"/>
            <w:vAlign w:val="center"/>
          </w:tcPr>
          <w:p w14:paraId="045B3EE6" w14:textId="28157772"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18,623</w:t>
            </w:r>
          </w:p>
        </w:tc>
        <w:tc>
          <w:tcPr>
            <w:tcW w:w="1311" w:type="dxa"/>
            <w:vAlign w:val="center"/>
          </w:tcPr>
          <w:p w14:paraId="3B88A172" w14:textId="5A941353"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100.00%</w:t>
            </w:r>
          </w:p>
        </w:tc>
        <w:tc>
          <w:tcPr>
            <w:tcW w:w="1241" w:type="dxa"/>
            <w:vAlign w:val="center"/>
          </w:tcPr>
          <w:p w14:paraId="03A66C7B" w14:textId="7DB638DB"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41,362</w:t>
            </w:r>
          </w:p>
        </w:tc>
        <w:tc>
          <w:tcPr>
            <w:tcW w:w="1134" w:type="dxa"/>
            <w:vAlign w:val="center"/>
          </w:tcPr>
          <w:p w14:paraId="229C6AE6" w14:textId="52B0245E" w:rsidR="00DA2C05" w:rsidRPr="001E1607" w:rsidRDefault="00DA2C05" w:rsidP="00DA2C05">
            <w:pPr>
              <w:autoSpaceDE w:val="0"/>
              <w:autoSpaceDN w:val="0"/>
              <w:adjustRightInd w:val="0"/>
              <w:spacing w:before="0"/>
              <w:ind w:left="0"/>
              <w:rPr>
                <w:rFonts w:cs="Gill Sans MT"/>
                <w:b/>
                <w:color w:val="000000"/>
              </w:rPr>
            </w:pPr>
            <w:r w:rsidRPr="001E1607">
              <w:rPr>
                <w:rFonts w:cs="Gill Sans MT"/>
                <w:b/>
                <w:color w:val="000000"/>
              </w:rPr>
              <w:t>100.00%</w:t>
            </w:r>
          </w:p>
        </w:tc>
      </w:tr>
    </w:tbl>
    <w:p w14:paraId="3C78117A" w14:textId="3745DBD9"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1C0C1C4B" w14:textId="71D45ECA" w:rsidR="005B5D91" w:rsidRPr="00FB63AD" w:rsidRDefault="00ED4EF2" w:rsidP="009A4DB3">
      <w:pPr>
        <w:pStyle w:val="Heading2"/>
        <w:ind w:left="-142" w:firstLine="142"/>
        <w:rPr>
          <w:noProof/>
        </w:rPr>
      </w:pPr>
      <w:bookmarkStart w:id="171" w:name="_Toc40179148"/>
      <w:r>
        <w:rPr>
          <w:noProof/>
        </w:rPr>
        <w:lastRenderedPageBreak/>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171"/>
    </w:p>
    <w:p w14:paraId="17A6293D" w14:textId="321929C5" w:rsidR="00126999" w:rsidRPr="001053D0" w:rsidRDefault="00BA3BE5" w:rsidP="00463ED1">
      <w:pPr>
        <w:pStyle w:val="Heading3"/>
        <w:numPr>
          <w:ilvl w:val="0"/>
          <w:numId w:val="0"/>
        </w:numPr>
        <w:ind w:left="360" w:hanging="360"/>
        <w:rPr>
          <w:rFonts w:ascii="Arial" w:hAnsi="Arial" w:cs="Arial"/>
          <w:i/>
        </w:rPr>
      </w:pPr>
      <w:bookmarkStart w:id="172" w:name="_Toc40179149"/>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A0477C">
        <w:rPr>
          <w:rFonts w:ascii="Arial" w:hAnsi="Arial" w:cs="Arial"/>
          <w:i/>
        </w:rPr>
        <w:t>1 October to 31 December 2019</w:t>
      </w:r>
      <w:bookmarkEnd w:id="172"/>
      <w:r w:rsidR="001053D0">
        <w:rPr>
          <w:rFonts w:ascii="Arial" w:hAnsi="Arial" w:cs="Arial"/>
          <w:i/>
        </w:rPr>
        <w:br/>
      </w:r>
    </w:p>
    <w:tbl>
      <w:tblPr>
        <w:tblStyle w:val="CenterAlignTable"/>
        <w:tblW w:w="0" w:type="auto"/>
        <w:tblLook w:val="04E0" w:firstRow="1" w:lastRow="1" w:firstColumn="1" w:lastColumn="0" w:noHBand="0" w:noVBand="1"/>
        <w:tblCaption w:val="Non Payment Periods (Serious and UNPPs) 1 July to 30 September 2019"/>
      </w:tblPr>
      <w:tblGrid>
        <w:gridCol w:w="4413"/>
        <w:gridCol w:w="934"/>
        <w:gridCol w:w="1148"/>
        <w:gridCol w:w="1388"/>
        <w:gridCol w:w="1148"/>
        <w:gridCol w:w="1139"/>
        <w:gridCol w:w="1422"/>
        <w:gridCol w:w="1428"/>
        <w:gridCol w:w="1428"/>
      </w:tblGrid>
      <w:tr w:rsidR="00BB1E9F" w:rsidRPr="00FB63AD" w14:paraId="1C5FD4B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C88C148" w14:textId="77777777" w:rsidR="00BB1E9F" w:rsidRPr="00FB63AD" w:rsidRDefault="00BB1E9F" w:rsidP="00F74E10">
            <w:pPr>
              <w:keepNext/>
              <w:keepLines/>
              <w:ind w:left="0"/>
            </w:pPr>
            <w:r w:rsidRPr="00FB63AD">
              <w:t>Non Payment Periods (Serious and UNPPs)</w:t>
            </w:r>
          </w:p>
        </w:tc>
        <w:tc>
          <w:tcPr>
            <w:tcW w:w="934" w:type="dxa"/>
          </w:tcPr>
          <w:p w14:paraId="056BC2D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21FA5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30CAF5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8B00DA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508801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2276DB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DA9D5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375D96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66F304F9"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07475BE" w14:textId="77777777" w:rsidR="00DA2C05" w:rsidRPr="00FB63AD" w:rsidRDefault="00DA2C05" w:rsidP="00DA2C05">
            <w:pPr>
              <w:keepNext/>
              <w:keepLines/>
              <w:ind w:left="-142" w:firstLine="142"/>
            </w:pPr>
            <w:r w:rsidRPr="00FB63AD">
              <w:t>Sub Total NPPs</w:t>
            </w:r>
          </w:p>
        </w:tc>
        <w:tc>
          <w:tcPr>
            <w:tcW w:w="934" w:type="dxa"/>
            <w:vAlign w:val="center"/>
          </w:tcPr>
          <w:p w14:paraId="6ED5D8F4" w14:textId="540F8C9B"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569</w:t>
            </w:r>
          </w:p>
        </w:tc>
        <w:tc>
          <w:tcPr>
            <w:tcW w:w="1148" w:type="dxa"/>
            <w:vAlign w:val="center"/>
          </w:tcPr>
          <w:p w14:paraId="1CF10E2A" w14:textId="7392081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2,075</w:t>
            </w:r>
          </w:p>
        </w:tc>
        <w:tc>
          <w:tcPr>
            <w:tcW w:w="1388" w:type="dxa"/>
            <w:vAlign w:val="center"/>
          </w:tcPr>
          <w:p w14:paraId="66B92F1B" w14:textId="444E8A18"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1,332</w:t>
            </w:r>
          </w:p>
        </w:tc>
        <w:tc>
          <w:tcPr>
            <w:tcW w:w="1148" w:type="dxa"/>
            <w:vAlign w:val="center"/>
          </w:tcPr>
          <w:p w14:paraId="69511472" w14:textId="141485E0"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776</w:t>
            </w:r>
          </w:p>
        </w:tc>
        <w:tc>
          <w:tcPr>
            <w:tcW w:w="1139" w:type="dxa"/>
            <w:vAlign w:val="center"/>
          </w:tcPr>
          <w:p w14:paraId="668A39FF" w14:textId="72609CF7"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w:t>
            </w:r>
          </w:p>
        </w:tc>
        <w:tc>
          <w:tcPr>
            <w:tcW w:w="1422" w:type="dxa"/>
            <w:vAlign w:val="center"/>
          </w:tcPr>
          <w:p w14:paraId="5FDFCAA5" w14:textId="7F72B194"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4,790</w:t>
            </w:r>
          </w:p>
        </w:tc>
        <w:tc>
          <w:tcPr>
            <w:tcW w:w="1428" w:type="dxa"/>
            <w:vAlign w:val="center"/>
          </w:tcPr>
          <w:p w14:paraId="276E0212" w14:textId="6E1372B9"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10,151</w:t>
            </w:r>
          </w:p>
        </w:tc>
        <w:tc>
          <w:tcPr>
            <w:tcW w:w="1428" w:type="dxa"/>
            <w:vAlign w:val="center"/>
          </w:tcPr>
          <w:p w14:paraId="4252361E" w14:textId="7B251C10"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412A9C3" w14:textId="77777777" w:rsidR="00126999" w:rsidRDefault="00126999" w:rsidP="00126999">
      <w:pPr>
        <w:spacing w:before="0" w:after="60" w:line="240" w:lineRule="auto"/>
        <w:ind w:left="0"/>
        <w:rPr>
          <w:rFonts w:ascii="Arial" w:eastAsiaTheme="majorEastAsia" w:hAnsi="Arial" w:cstheme="majorBidi"/>
          <w:b/>
          <w:bCs/>
          <w:szCs w:val="26"/>
        </w:rPr>
      </w:pPr>
    </w:p>
    <w:p w14:paraId="21AD6CB9" w14:textId="0F3C3E47" w:rsidR="001053D0" w:rsidRPr="001053D0" w:rsidRDefault="00BA3BE5" w:rsidP="00463ED1">
      <w:pPr>
        <w:pStyle w:val="Heading3"/>
        <w:numPr>
          <w:ilvl w:val="0"/>
          <w:numId w:val="0"/>
        </w:numPr>
        <w:ind w:left="360" w:hanging="360"/>
        <w:rPr>
          <w:rFonts w:ascii="Arial" w:hAnsi="Arial" w:cs="Arial"/>
          <w:i/>
        </w:rPr>
      </w:pPr>
      <w:bookmarkStart w:id="173" w:name="_Toc40179150"/>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A0477C">
        <w:rPr>
          <w:rFonts w:ascii="Arial" w:hAnsi="Arial" w:cs="Arial"/>
          <w:i/>
        </w:rPr>
        <w:t>1 October to 31 December 2019</w:t>
      </w:r>
      <w:bookmarkEnd w:id="173"/>
      <w:r w:rsidR="001053D0">
        <w:rPr>
          <w:rFonts w:ascii="Arial" w:hAnsi="Arial" w:cs="Arial"/>
          <w:i/>
        </w:rPr>
        <w:br/>
      </w:r>
    </w:p>
    <w:tbl>
      <w:tblPr>
        <w:tblStyle w:val="CenterAlignTable"/>
        <w:tblW w:w="0" w:type="auto"/>
        <w:tblLook w:val="04E0" w:firstRow="1" w:lastRow="1" w:firstColumn="1" w:lastColumn="0" w:noHBand="0" w:noVBand="1"/>
        <w:tblCaption w:val="Short Term Financial Penalties 1 July to 30 September 2019"/>
      </w:tblPr>
      <w:tblGrid>
        <w:gridCol w:w="4389"/>
        <w:gridCol w:w="1037"/>
        <w:gridCol w:w="1089"/>
        <w:gridCol w:w="1276"/>
        <w:gridCol w:w="1134"/>
        <w:gridCol w:w="1276"/>
        <w:gridCol w:w="1417"/>
        <w:gridCol w:w="1418"/>
        <w:gridCol w:w="1412"/>
      </w:tblGrid>
      <w:tr w:rsidR="00EF4695" w:rsidRPr="00FB63AD" w14:paraId="774A71E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61A3BD1" w14:textId="77777777" w:rsidR="00BB1E9F" w:rsidRPr="00FB63AD" w:rsidRDefault="00DE65F3" w:rsidP="00F74E10">
            <w:pPr>
              <w:ind w:left="0"/>
            </w:pPr>
            <w:r w:rsidRPr="00FB63AD">
              <w:t>Short Term Financial Penalties (Non-Attendance, Reconnection and NSNP)</w:t>
            </w:r>
          </w:p>
        </w:tc>
        <w:tc>
          <w:tcPr>
            <w:tcW w:w="1037" w:type="dxa"/>
          </w:tcPr>
          <w:p w14:paraId="4775A21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06D8D6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79E4E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25154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CAEF6D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F41C9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9D3F48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03588D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4A1369F1"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738CE35D" w14:textId="77777777" w:rsidR="00DA2C05" w:rsidRPr="00FB63AD" w:rsidRDefault="00DA2C05" w:rsidP="00DA2C05">
            <w:pPr>
              <w:ind w:left="0"/>
            </w:pPr>
            <w:r w:rsidRPr="00FB63AD">
              <w:t>Sub Total Short Term Financial Penalties</w:t>
            </w:r>
          </w:p>
        </w:tc>
        <w:tc>
          <w:tcPr>
            <w:tcW w:w="1037" w:type="dxa"/>
            <w:vAlign w:val="center"/>
          </w:tcPr>
          <w:p w14:paraId="7EFB5E71" w14:textId="4EB25A16"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2,769</w:t>
            </w:r>
          </w:p>
        </w:tc>
        <w:tc>
          <w:tcPr>
            <w:tcW w:w="1089" w:type="dxa"/>
            <w:vAlign w:val="center"/>
          </w:tcPr>
          <w:p w14:paraId="0C631867" w14:textId="2B36E2F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8,946</w:t>
            </w:r>
          </w:p>
        </w:tc>
        <w:tc>
          <w:tcPr>
            <w:tcW w:w="1276" w:type="dxa"/>
            <w:vAlign w:val="center"/>
          </w:tcPr>
          <w:p w14:paraId="50ABEAED" w14:textId="73AF24C7"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6,234</w:t>
            </w:r>
          </w:p>
        </w:tc>
        <w:tc>
          <w:tcPr>
            <w:tcW w:w="1134" w:type="dxa"/>
            <w:vAlign w:val="center"/>
          </w:tcPr>
          <w:p w14:paraId="6E60792F" w14:textId="2122E5D3"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4,142</w:t>
            </w:r>
          </w:p>
        </w:tc>
        <w:tc>
          <w:tcPr>
            <w:tcW w:w="1276" w:type="dxa"/>
            <w:vAlign w:val="center"/>
          </w:tcPr>
          <w:p w14:paraId="06160048" w14:textId="52D7891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300</w:t>
            </w:r>
          </w:p>
        </w:tc>
        <w:tc>
          <w:tcPr>
            <w:tcW w:w="1417" w:type="dxa"/>
            <w:vAlign w:val="center"/>
          </w:tcPr>
          <w:p w14:paraId="1515758B" w14:textId="31B45051"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22,391</w:t>
            </w:r>
          </w:p>
        </w:tc>
        <w:tc>
          <w:tcPr>
            <w:tcW w:w="1418" w:type="dxa"/>
            <w:vAlign w:val="center"/>
          </w:tcPr>
          <w:p w14:paraId="734B0F7D" w14:textId="6D79F609"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47,574</w:t>
            </w:r>
          </w:p>
        </w:tc>
        <w:tc>
          <w:tcPr>
            <w:tcW w:w="1412" w:type="dxa"/>
            <w:vAlign w:val="center"/>
          </w:tcPr>
          <w:p w14:paraId="219E1EE1" w14:textId="7AE0A376"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6B34A59" w14:textId="73A8D4DF" w:rsidR="001053D0" w:rsidRPr="001053D0" w:rsidRDefault="001053D0" w:rsidP="001053D0">
      <w:r>
        <w:rPr>
          <w:rFonts w:ascii="Arial" w:eastAsiaTheme="majorEastAsia" w:hAnsi="Arial" w:cs="Arial"/>
          <w:b/>
          <w:bCs/>
          <w:i/>
        </w:rPr>
        <w:br/>
      </w:r>
    </w:p>
    <w:p w14:paraId="64C65701" w14:textId="6DB188D2" w:rsidR="001053D0" w:rsidRPr="001053D0" w:rsidRDefault="00BA3BE5" w:rsidP="00463ED1">
      <w:pPr>
        <w:pStyle w:val="Heading3"/>
        <w:numPr>
          <w:ilvl w:val="0"/>
          <w:numId w:val="0"/>
        </w:numPr>
        <w:ind w:left="360" w:hanging="360"/>
        <w:rPr>
          <w:rFonts w:ascii="Arial" w:hAnsi="Arial" w:cs="Arial"/>
          <w:i/>
        </w:rPr>
      </w:pPr>
      <w:bookmarkStart w:id="174" w:name="_Toc40179151"/>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A0477C">
        <w:rPr>
          <w:rFonts w:ascii="Arial" w:hAnsi="Arial" w:cs="Arial"/>
          <w:i/>
        </w:rPr>
        <w:t>1 October to 31 December 2019</w:t>
      </w:r>
      <w:bookmarkEnd w:id="174"/>
      <w:r w:rsidR="001053D0">
        <w:rPr>
          <w:rFonts w:ascii="Arial" w:hAnsi="Arial" w:cs="Arial"/>
          <w:i/>
        </w:rPr>
        <w:br/>
      </w:r>
    </w:p>
    <w:tbl>
      <w:tblPr>
        <w:tblStyle w:val="CenterAlignTable"/>
        <w:tblW w:w="0" w:type="auto"/>
        <w:tblLook w:val="04E0" w:firstRow="1" w:lastRow="1" w:firstColumn="1" w:lastColumn="0" w:noHBand="0" w:noVBand="1"/>
        <w:tblCaption w:val="Total Financial Penalties 1 July to 30 September 2019"/>
      </w:tblPr>
      <w:tblGrid>
        <w:gridCol w:w="1271"/>
        <w:gridCol w:w="1134"/>
        <w:gridCol w:w="1083"/>
        <w:gridCol w:w="1134"/>
        <w:gridCol w:w="1227"/>
        <w:gridCol w:w="1428"/>
        <w:gridCol w:w="1434"/>
        <w:gridCol w:w="1434"/>
      </w:tblGrid>
      <w:tr w:rsidR="002522E1" w:rsidRPr="00FB63AD" w14:paraId="5CB232B4"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557C5D5E" w14:textId="77777777" w:rsidR="002522E1" w:rsidRPr="00FB63AD" w:rsidRDefault="002522E1" w:rsidP="00BF3037">
            <w:pPr>
              <w:ind w:left="0"/>
            </w:pPr>
            <w:r w:rsidRPr="00FB63AD">
              <w:t>Under 21</w:t>
            </w:r>
          </w:p>
        </w:tc>
        <w:tc>
          <w:tcPr>
            <w:tcW w:w="1134" w:type="dxa"/>
          </w:tcPr>
          <w:p w14:paraId="1F16C80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4805599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04AB88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D9679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0B8396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267F8B6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614880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4CEFF98F" w14:textId="77777777" w:rsidTr="00BF3037">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3F6BC6" w14:textId="01766DF5" w:rsidR="00DA2C05" w:rsidRPr="00B622A4" w:rsidRDefault="00DA2C05" w:rsidP="00DA2C05">
            <w:pPr>
              <w:autoSpaceDE w:val="0"/>
              <w:autoSpaceDN w:val="0"/>
              <w:adjustRightInd w:val="0"/>
              <w:spacing w:before="0"/>
              <w:ind w:left="0"/>
              <w:rPr>
                <w:rFonts w:cs="Gill Sans MT"/>
                <w:b w:val="0"/>
                <w:bCs/>
                <w:color w:val="000000"/>
              </w:rPr>
            </w:pPr>
            <w:r>
              <w:rPr>
                <w:rFonts w:cs="Gill Sans MT"/>
                <w:b w:val="0"/>
                <w:bCs/>
                <w:color w:val="000000"/>
              </w:rPr>
              <w:t>3,338</w:t>
            </w:r>
          </w:p>
        </w:tc>
        <w:tc>
          <w:tcPr>
            <w:tcW w:w="1134" w:type="dxa"/>
            <w:vAlign w:val="center"/>
          </w:tcPr>
          <w:p w14:paraId="271633D8" w14:textId="3764FBC3"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11,021</w:t>
            </w:r>
          </w:p>
        </w:tc>
        <w:tc>
          <w:tcPr>
            <w:tcW w:w="1083" w:type="dxa"/>
            <w:vAlign w:val="center"/>
          </w:tcPr>
          <w:p w14:paraId="19CF9FB1" w14:textId="381B44AE"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7,566</w:t>
            </w:r>
          </w:p>
        </w:tc>
        <w:tc>
          <w:tcPr>
            <w:tcW w:w="1134" w:type="dxa"/>
            <w:vAlign w:val="center"/>
          </w:tcPr>
          <w:p w14:paraId="4D2E01F2" w14:textId="0926882D"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4,918</w:t>
            </w:r>
          </w:p>
        </w:tc>
        <w:tc>
          <w:tcPr>
            <w:tcW w:w="1227" w:type="dxa"/>
            <w:vAlign w:val="center"/>
          </w:tcPr>
          <w:p w14:paraId="790D870A" w14:textId="2642EC55"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338</w:t>
            </w:r>
          </w:p>
        </w:tc>
        <w:tc>
          <w:tcPr>
            <w:tcW w:w="1428" w:type="dxa"/>
            <w:vAlign w:val="center"/>
          </w:tcPr>
          <w:p w14:paraId="17027A94" w14:textId="70714561"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27,181</w:t>
            </w:r>
          </w:p>
        </w:tc>
        <w:tc>
          <w:tcPr>
            <w:tcW w:w="1434" w:type="dxa"/>
            <w:vAlign w:val="center"/>
          </w:tcPr>
          <w:p w14:paraId="552541A0" w14:textId="447F8589"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57,725</w:t>
            </w:r>
          </w:p>
        </w:tc>
        <w:tc>
          <w:tcPr>
            <w:tcW w:w="1434" w:type="dxa"/>
            <w:vAlign w:val="center"/>
          </w:tcPr>
          <w:p w14:paraId="11538A5E" w14:textId="6B32B6CD"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D45D2BE"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AB29D29" w14:textId="62B8033F"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8374F1">
        <w:t>Services Australia</w:t>
      </w:r>
      <w:r w:rsidRPr="00FB63AD">
        <w:t xml:space="preserve"> (including </w:t>
      </w:r>
      <w:r w:rsidR="00F341B9">
        <w:t>CCA</w:t>
      </w:r>
      <w:r>
        <w:t>) appointment</w:t>
      </w:r>
      <w:r w:rsidRPr="00481EB2">
        <w:t>.</w:t>
      </w:r>
    </w:p>
    <w:p w14:paraId="61441B70" w14:textId="309AA11C"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B4BB7F6" w14:textId="63B8090C" w:rsidR="00126999" w:rsidRPr="003A427E" w:rsidRDefault="00BA3BE5" w:rsidP="00463ED1">
      <w:pPr>
        <w:pStyle w:val="Heading3"/>
        <w:numPr>
          <w:ilvl w:val="0"/>
          <w:numId w:val="0"/>
        </w:numPr>
        <w:ind w:left="502" w:hanging="360"/>
        <w:rPr>
          <w:rFonts w:ascii="Arial" w:hAnsi="Arial" w:cs="Arial"/>
          <w:i/>
        </w:rPr>
      </w:pPr>
      <w:bookmarkStart w:id="175" w:name="_Toc40179152"/>
      <w:r w:rsidRPr="003A427E">
        <w:rPr>
          <w:rFonts w:ascii="Arial" w:hAnsi="Arial" w:cs="Arial"/>
          <w:i/>
        </w:rPr>
        <w:lastRenderedPageBreak/>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A0477C">
        <w:rPr>
          <w:rFonts w:ascii="Arial" w:hAnsi="Arial" w:cs="Arial"/>
          <w:i/>
        </w:rPr>
        <w:t>1 October to 31 December 2019</w:t>
      </w:r>
      <w:bookmarkEnd w:id="175"/>
      <w:r w:rsidR="003A427E" w:rsidRPr="003A427E">
        <w:rPr>
          <w:rFonts w:ascii="Arial" w:hAnsi="Arial" w:cs="Arial"/>
          <w:i/>
        </w:rPr>
        <w:br/>
      </w:r>
    </w:p>
    <w:tbl>
      <w:tblPr>
        <w:tblStyle w:val="CenterAlignTable"/>
        <w:tblW w:w="0" w:type="auto"/>
        <w:tblLook w:val="04A0" w:firstRow="1" w:lastRow="0" w:firstColumn="1" w:lastColumn="0" w:noHBand="0" w:noVBand="1"/>
        <w:tblCaption w:val="Income Support Payment Suspensions 1 July to 30 September 2019"/>
      </w:tblPr>
      <w:tblGrid>
        <w:gridCol w:w="4340"/>
        <w:gridCol w:w="1041"/>
        <w:gridCol w:w="1079"/>
        <w:gridCol w:w="1331"/>
        <w:gridCol w:w="1160"/>
        <w:gridCol w:w="1246"/>
        <w:gridCol w:w="1280"/>
        <w:gridCol w:w="1559"/>
        <w:gridCol w:w="1412"/>
      </w:tblGrid>
      <w:tr w:rsidR="00BB1E9F" w:rsidRPr="00FB63AD" w14:paraId="2993FDE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2DD349C"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B37E8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2AEA55F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7AF1BC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26CB03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541B5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4E2F2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785E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21C8A5F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DA2C05" w:rsidRPr="00FB63AD" w14:paraId="02CB56C1"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D8136FA" w14:textId="77777777" w:rsidR="00DA2C05" w:rsidRPr="00FB63AD" w:rsidRDefault="00DA2C05" w:rsidP="00DA2C05">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126F268" w14:textId="28830991"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1,524</w:t>
            </w:r>
          </w:p>
        </w:tc>
        <w:tc>
          <w:tcPr>
            <w:tcW w:w="1079" w:type="dxa"/>
            <w:vAlign w:val="center"/>
          </w:tcPr>
          <w:p w14:paraId="5E2E5499" w14:textId="4612D817"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3,770</w:t>
            </w:r>
          </w:p>
        </w:tc>
        <w:tc>
          <w:tcPr>
            <w:tcW w:w="1331" w:type="dxa"/>
            <w:vAlign w:val="center"/>
          </w:tcPr>
          <w:p w14:paraId="32706319" w14:textId="5BF8D115"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3,409</w:t>
            </w:r>
          </w:p>
        </w:tc>
        <w:tc>
          <w:tcPr>
            <w:tcW w:w="1160" w:type="dxa"/>
            <w:vAlign w:val="center"/>
          </w:tcPr>
          <w:p w14:paraId="1C96970B" w14:textId="7379ED97"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2,997</w:t>
            </w:r>
          </w:p>
        </w:tc>
        <w:tc>
          <w:tcPr>
            <w:tcW w:w="1246" w:type="dxa"/>
            <w:vAlign w:val="center"/>
          </w:tcPr>
          <w:p w14:paraId="582D361E" w14:textId="279CA754"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823</w:t>
            </w:r>
          </w:p>
        </w:tc>
        <w:tc>
          <w:tcPr>
            <w:tcW w:w="1280" w:type="dxa"/>
            <w:vAlign w:val="center"/>
          </w:tcPr>
          <w:p w14:paraId="598214C8" w14:textId="3FCC0387"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12,523</w:t>
            </w:r>
          </w:p>
        </w:tc>
        <w:tc>
          <w:tcPr>
            <w:tcW w:w="1559" w:type="dxa"/>
            <w:vAlign w:val="center"/>
          </w:tcPr>
          <w:p w14:paraId="6E642E78" w14:textId="10B02CDC"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28,129</w:t>
            </w:r>
          </w:p>
        </w:tc>
        <w:tc>
          <w:tcPr>
            <w:tcW w:w="1412" w:type="dxa"/>
            <w:vAlign w:val="center"/>
          </w:tcPr>
          <w:p w14:paraId="1457AE6D" w14:textId="51B5AD17"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68.01%</w:t>
            </w:r>
          </w:p>
        </w:tc>
      </w:tr>
      <w:tr w:rsidR="00DA2C05" w:rsidRPr="00FB63AD" w14:paraId="5E5B2FB4"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DCBE4B5" w14:textId="77777777" w:rsidR="00DA2C05" w:rsidRPr="00FB63AD" w:rsidRDefault="00DA2C05" w:rsidP="00DA2C05">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211CF3F" w14:textId="41BE3BE6"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697</w:t>
            </w:r>
          </w:p>
        </w:tc>
        <w:tc>
          <w:tcPr>
            <w:tcW w:w="1079" w:type="dxa"/>
            <w:vAlign w:val="center"/>
          </w:tcPr>
          <w:p w14:paraId="2048660D" w14:textId="3A0CB9A7"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2,114</w:t>
            </w:r>
          </w:p>
        </w:tc>
        <w:tc>
          <w:tcPr>
            <w:tcW w:w="1331" w:type="dxa"/>
            <w:vAlign w:val="center"/>
          </w:tcPr>
          <w:p w14:paraId="147FC31D" w14:textId="153B0001"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1,902</w:t>
            </w:r>
          </w:p>
        </w:tc>
        <w:tc>
          <w:tcPr>
            <w:tcW w:w="1160" w:type="dxa"/>
            <w:vAlign w:val="center"/>
          </w:tcPr>
          <w:p w14:paraId="046CE078" w14:textId="137BF305"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1,289</w:t>
            </w:r>
          </w:p>
        </w:tc>
        <w:tc>
          <w:tcPr>
            <w:tcW w:w="1246" w:type="dxa"/>
            <w:vAlign w:val="center"/>
          </w:tcPr>
          <w:p w14:paraId="5FEC0028" w14:textId="1526B354"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98</w:t>
            </w:r>
          </w:p>
        </w:tc>
        <w:tc>
          <w:tcPr>
            <w:tcW w:w="1280" w:type="dxa"/>
            <w:vAlign w:val="center"/>
          </w:tcPr>
          <w:p w14:paraId="7BCEF0F2" w14:textId="08BA4CF3"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6,100</w:t>
            </w:r>
          </w:p>
        </w:tc>
        <w:tc>
          <w:tcPr>
            <w:tcW w:w="1559" w:type="dxa"/>
            <w:vAlign w:val="center"/>
          </w:tcPr>
          <w:p w14:paraId="4CFE5BC4" w14:textId="6E26B8ED"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13,233</w:t>
            </w:r>
          </w:p>
        </w:tc>
        <w:tc>
          <w:tcPr>
            <w:tcW w:w="1412" w:type="dxa"/>
            <w:vAlign w:val="center"/>
          </w:tcPr>
          <w:p w14:paraId="55133EC0" w14:textId="5E915435" w:rsidR="00DA2C05" w:rsidRPr="00885055"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31.99%</w:t>
            </w:r>
          </w:p>
        </w:tc>
      </w:tr>
      <w:tr w:rsidR="00DA2C05" w:rsidRPr="00FB63AD" w14:paraId="0A10D1F9"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6B41F211" w14:textId="77777777" w:rsidR="00DA2C05" w:rsidRPr="001E1607" w:rsidRDefault="00DA2C05" w:rsidP="00DA2C05">
            <w:pPr>
              <w:ind w:left="0"/>
              <w:rPr>
                <w:bCs/>
              </w:rPr>
            </w:pPr>
            <w:r w:rsidRPr="001E1607">
              <w:rPr>
                <w:bCs/>
              </w:rPr>
              <w:t>Total Income Support Payment Suspensions</w:t>
            </w:r>
          </w:p>
        </w:tc>
        <w:tc>
          <w:tcPr>
            <w:tcW w:w="1041" w:type="dxa"/>
            <w:vAlign w:val="center"/>
          </w:tcPr>
          <w:p w14:paraId="5BF062AC" w14:textId="085855B1"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2,221</w:t>
            </w:r>
          </w:p>
        </w:tc>
        <w:tc>
          <w:tcPr>
            <w:tcW w:w="1079" w:type="dxa"/>
            <w:vAlign w:val="center"/>
          </w:tcPr>
          <w:p w14:paraId="30063AED" w14:textId="3FDC1203"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5,884</w:t>
            </w:r>
          </w:p>
        </w:tc>
        <w:tc>
          <w:tcPr>
            <w:tcW w:w="1331" w:type="dxa"/>
            <w:vAlign w:val="center"/>
          </w:tcPr>
          <w:p w14:paraId="7A0F52C9" w14:textId="78ABC518"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5,311</w:t>
            </w:r>
          </w:p>
        </w:tc>
        <w:tc>
          <w:tcPr>
            <w:tcW w:w="1160" w:type="dxa"/>
            <w:vAlign w:val="center"/>
          </w:tcPr>
          <w:p w14:paraId="38E7EE2B" w14:textId="70B518E9"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4,286</w:t>
            </w:r>
          </w:p>
        </w:tc>
        <w:tc>
          <w:tcPr>
            <w:tcW w:w="1246" w:type="dxa"/>
            <w:vAlign w:val="center"/>
          </w:tcPr>
          <w:p w14:paraId="34A8B8EB" w14:textId="6E8991C3"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921</w:t>
            </w:r>
          </w:p>
        </w:tc>
        <w:tc>
          <w:tcPr>
            <w:tcW w:w="1280" w:type="dxa"/>
            <w:vAlign w:val="center"/>
          </w:tcPr>
          <w:p w14:paraId="47CAEC48" w14:textId="2EA9CE11"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18,623</w:t>
            </w:r>
          </w:p>
        </w:tc>
        <w:tc>
          <w:tcPr>
            <w:tcW w:w="1559" w:type="dxa"/>
            <w:vAlign w:val="center"/>
          </w:tcPr>
          <w:p w14:paraId="4ED768FC" w14:textId="43532F21"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41,362</w:t>
            </w:r>
          </w:p>
        </w:tc>
        <w:tc>
          <w:tcPr>
            <w:tcW w:w="1412" w:type="dxa"/>
            <w:vAlign w:val="center"/>
          </w:tcPr>
          <w:p w14:paraId="38E37BCA" w14:textId="6943CD5E" w:rsidR="00DA2C05" w:rsidRPr="0043502E"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3502E">
              <w:rPr>
                <w:rFonts w:cs="Gill Sans MT"/>
                <w:b/>
                <w:color w:val="000000"/>
              </w:rPr>
              <w:t>100.00%</w:t>
            </w:r>
          </w:p>
        </w:tc>
      </w:tr>
    </w:tbl>
    <w:p w14:paraId="4253EBEA"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6887EF87" w14:textId="7C2B1C4E" w:rsidR="00AF5603" w:rsidRDefault="00AF5603" w:rsidP="00F7644E">
      <w:pPr>
        <w:pStyle w:val="Heading2"/>
        <w:ind w:left="-142" w:firstLine="142"/>
      </w:pPr>
      <w:bookmarkStart w:id="176" w:name="_Toc490635936"/>
      <w:bookmarkStart w:id="177" w:name="_Toc40179153"/>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176"/>
      <w:bookmarkEnd w:id="177"/>
      <w:r>
        <w:t xml:space="preserve"> </w:t>
      </w:r>
    </w:p>
    <w:p w14:paraId="41FD0016" w14:textId="0088ACBA" w:rsidR="003F7D91" w:rsidRPr="003A427E" w:rsidRDefault="00BA3BE5" w:rsidP="00463ED1">
      <w:pPr>
        <w:pStyle w:val="Heading3"/>
        <w:numPr>
          <w:ilvl w:val="0"/>
          <w:numId w:val="0"/>
        </w:numPr>
        <w:ind w:left="360" w:hanging="360"/>
        <w:rPr>
          <w:rFonts w:ascii="Arial" w:hAnsi="Arial" w:cs="Arial"/>
          <w:i/>
        </w:rPr>
      </w:pPr>
      <w:bookmarkStart w:id="178" w:name="_Toc40179154"/>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A0477C">
        <w:rPr>
          <w:rFonts w:ascii="Arial" w:hAnsi="Arial" w:cs="Arial"/>
          <w:i/>
        </w:rPr>
        <w:t>1 October to 31 December 2019</w:t>
      </w:r>
      <w:bookmarkEnd w:id="178"/>
      <w:r w:rsidR="003A427E" w:rsidRPr="003A427E">
        <w:rPr>
          <w:rFonts w:ascii="Arial" w:hAnsi="Arial" w:cs="Arial"/>
          <w:i/>
        </w:rPr>
        <w:br/>
      </w:r>
    </w:p>
    <w:tbl>
      <w:tblPr>
        <w:tblStyle w:val="CenterAlignTable"/>
        <w:tblW w:w="14312" w:type="dxa"/>
        <w:tblLook w:val="04E0" w:firstRow="1" w:lastRow="1" w:firstColumn="1" w:lastColumn="0" w:noHBand="0" w:noVBand="1"/>
        <w:tblCaption w:val="Non Payment Periods (Serious and UNPPs) 1 July to 30 September 2019"/>
      </w:tblPr>
      <w:tblGrid>
        <w:gridCol w:w="4389"/>
        <w:gridCol w:w="1531"/>
        <w:gridCol w:w="1275"/>
        <w:gridCol w:w="1560"/>
        <w:gridCol w:w="1276"/>
        <w:gridCol w:w="1276"/>
        <w:gridCol w:w="1276"/>
        <w:gridCol w:w="1729"/>
      </w:tblGrid>
      <w:tr w:rsidR="00B40871" w:rsidRPr="00FB63AD" w14:paraId="4938FE7E"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1F91101" w14:textId="77777777" w:rsidR="00B40871" w:rsidRPr="00FB63AD" w:rsidRDefault="00B40871" w:rsidP="00AF5603">
            <w:pPr>
              <w:ind w:left="0"/>
            </w:pPr>
            <w:r w:rsidRPr="00FB63AD">
              <w:t>Non Payment Periods (Serious Failure and UNPP)</w:t>
            </w:r>
          </w:p>
        </w:tc>
        <w:tc>
          <w:tcPr>
            <w:tcW w:w="1531" w:type="dxa"/>
          </w:tcPr>
          <w:p w14:paraId="6B0E120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15D58483"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B494877"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8538152" w14:textId="05DA2E1E"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3CC2918" w14:textId="126DC60C"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A516F5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12811A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511F8520" w14:textId="77777777" w:rsidTr="002619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3A56394" w14:textId="77777777" w:rsidR="00DA2C05" w:rsidRPr="00FB63AD" w:rsidRDefault="00DA2C05" w:rsidP="00DA2C05">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AEA1217" w14:textId="738C9CCB" w:rsidR="00DA2C05" w:rsidRPr="00B622A4" w:rsidRDefault="007C5D60"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w:t>
            </w:r>
            <w:r w:rsidR="00AA54C0">
              <w:rPr>
                <w:rFonts w:cs="Gill Sans MT"/>
                <w:b w:val="0"/>
                <w:bCs/>
                <w:color w:val="000000"/>
              </w:rPr>
              <w:t>p</w:t>
            </w:r>
          </w:p>
        </w:tc>
        <w:tc>
          <w:tcPr>
            <w:tcW w:w="1275" w:type="dxa"/>
            <w:tcBorders>
              <w:top w:val="nil"/>
              <w:left w:val="nil"/>
              <w:bottom w:val="single" w:sz="4" w:space="0" w:color="auto"/>
              <w:right w:val="single" w:sz="4" w:space="0" w:color="auto"/>
            </w:tcBorders>
            <w:shd w:val="clear" w:color="auto" w:fill="auto"/>
            <w:vAlign w:val="center"/>
          </w:tcPr>
          <w:p w14:paraId="50C4B05B" w14:textId="77A8DD75" w:rsidR="00DA2C05" w:rsidRPr="00B622A4" w:rsidRDefault="00AA54C0"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24AE6F26" w14:textId="2979F4BB" w:rsidR="00DA2C05" w:rsidRPr="00B622A4" w:rsidRDefault="00AA54C0"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14:paraId="279A5379" w14:textId="1DB761B1" w:rsidR="00DA2C05" w:rsidRPr="00B622A4" w:rsidRDefault="00AA54C0" w:rsidP="0063599C">
            <w:pPr>
              <w:autoSpaceDE w:val="0"/>
              <w:autoSpaceDN w:val="0"/>
              <w:adjustRightInd w:val="0"/>
              <w:spacing w:before="60" w:line="276" w:lineRule="auto"/>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08442F" w14:textId="6CC20C03" w:rsidR="00DA2C05" w:rsidRPr="00B622A4" w:rsidRDefault="00DA2C05"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4,790</w:t>
            </w:r>
          </w:p>
        </w:tc>
        <w:tc>
          <w:tcPr>
            <w:tcW w:w="1276" w:type="dxa"/>
            <w:tcBorders>
              <w:top w:val="nil"/>
              <w:left w:val="nil"/>
              <w:bottom w:val="single" w:sz="4" w:space="0" w:color="auto"/>
              <w:right w:val="single" w:sz="4" w:space="0" w:color="auto"/>
            </w:tcBorders>
            <w:shd w:val="clear" w:color="auto" w:fill="auto"/>
            <w:vAlign w:val="center"/>
          </w:tcPr>
          <w:p w14:paraId="3F2C722D" w14:textId="6B53AE2C" w:rsidR="00DA2C05" w:rsidRPr="00B622A4" w:rsidRDefault="00DA2C05"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10,151</w:t>
            </w:r>
          </w:p>
        </w:tc>
        <w:tc>
          <w:tcPr>
            <w:tcW w:w="1729" w:type="dxa"/>
            <w:tcBorders>
              <w:top w:val="nil"/>
              <w:left w:val="nil"/>
              <w:bottom w:val="single" w:sz="4" w:space="0" w:color="auto"/>
              <w:right w:val="single" w:sz="4" w:space="0" w:color="auto"/>
            </w:tcBorders>
            <w:shd w:val="clear" w:color="auto" w:fill="auto"/>
            <w:vAlign w:val="center"/>
          </w:tcPr>
          <w:p w14:paraId="2724FD8B" w14:textId="044DBB29" w:rsidR="00DA2C05" w:rsidRPr="00B622A4" w:rsidRDefault="00DA2C05"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1430F57" w14:textId="0924A414" w:rsidR="00AF5603" w:rsidRDefault="00AF5603" w:rsidP="006E718B">
      <w:bookmarkStart w:id="179" w:name="_Toc16519519"/>
      <w:bookmarkStart w:id="180" w:name="_Toc16688940"/>
      <w:bookmarkStart w:id="181" w:name="_Toc19281104"/>
      <w:bookmarkStart w:id="182" w:name="_Toc30005473"/>
      <w:bookmarkStart w:id="183" w:name="_Toc39765709"/>
      <w:r w:rsidRPr="00CC1242">
        <w:t>^</w:t>
      </w:r>
      <w:r>
        <w:t xml:space="preserve"> </w:t>
      </w:r>
      <w:r w:rsidRPr="00CC1242">
        <w:t>Due to the small number of Activity Tested recipients of Special Benefit (SpB), these job seekers are included under the Newstart Al</w:t>
      </w:r>
      <w:r w:rsidR="00AC29A0" w:rsidRPr="00CC1242">
        <w:t>lowance (NSA) column</w:t>
      </w:r>
      <w:r>
        <w:t>.</w:t>
      </w:r>
      <w:bookmarkEnd w:id="179"/>
      <w:bookmarkEnd w:id="180"/>
      <w:bookmarkEnd w:id="181"/>
      <w:bookmarkEnd w:id="182"/>
      <w:bookmarkEnd w:id="183"/>
    </w:p>
    <w:p w14:paraId="44B059F7" w14:textId="15B6F6E7" w:rsidR="003F7D91" w:rsidRPr="003A427E" w:rsidRDefault="00BA3BE5" w:rsidP="00463ED1">
      <w:pPr>
        <w:pStyle w:val="Heading3"/>
        <w:numPr>
          <w:ilvl w:val="0"/>
          <w:numId w:val="0"/>
        </w:numPr>
        <w:rPr>
          <w:rFonts w:ascii="Arial" w:hAnsi="Arial" w:cs="Arial"/>
          <w:i/>
        </w:rPr>
      </w:pPr>
      <w:bookmarkStart w:id="184" w:name="_Toc40179155"/>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A0477C">
        <w:rPr>
          <w:rFonts w:ascii="Arial" w:hAnsi="Arial" w:cs="Arial"/>
          <w:i/>
        </w:rPr>
        <w:t>1 October to 31 December 2019</w:t>
      </w:r>
      <w:bookmarkEnd w:id="184"/>
      <w:r w:rsidR="003A427E" w:rsidRPr="003A427E">
        <w:rPr>
          <w:rFonts w:ascii="Arial" w:hAnsi="Arial" w:cs="Arial"/>
          <w:i/>
        </w:rPr>
        <w:br/>
      </w:r>
    </w:p>
    <w:tbl>
      <w:tblPr>
        <w:tblStyle w:val="CenterAlignTable"/>
        <w:tblW w:w="0" w:type="auto"/>
        <w:tblLook w:val="04E0" w:firstRow="1" w:lastRow="1" w:firstColumn="1" w:lastColumn="0" w:noHBand="0" w:noVBand="1"/>
        <w:tblCaption w:val="Short Term Financial Penalties 1 July to 30 September 2019"/>
      </w:tblPr>
      <w:tblGrid>
        <w:gridCol w:w="4389"/>
        <w:gridCol w:w="1559"/>
        <w:gridCol w:w="1276"/>
        <w:gridCol w:w="1559"/>
        <w:gridCol w:w="1258"/>
        <w:gridCol w:w="1258"/>
        <w:gridCol w:w="1276"/>
        <w:gridCol w:w="1588"/>
      </w:tblGrid>
      <w:tr w:rsidR="00B40871" w:rsidRPr="00FB63AD" w14:paraId="25FC515B"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783F02" w14:textId="77777777" w:rsidR="00B40871" w:rsidRPr="00FB63AD" w:rsidRDefault="00B40871" w:rsidP="00AF5603">
            <w:pPr>
              <w:ind w:left="0"/>
            </w:pPr>
            <w:r w:rsidRPr="00FB63AD">
              <w:t>Short Term Financial Penalties (Non-Attendance, Reconnection and NSNP)</w:t>
            </w:r>
          </w:p>
        </w:tc>
        <w:tc>
          <w:tcPr>
            <w:tcW w:w="1559" w:type="dxa"/>
          </w:tcPr>
          <w:p w14:paraId="6C16073E" w14:textId="0B939FD1"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2420B55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5DA4A3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6F011B96" w14:textId="12B7ED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F97CA87" w14:textId="03124581"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D41826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53539EF"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7310C71A" w14:textId="77777777" w:rsidTr="002619C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F977B7C" w14:textId="77777777" w:rsidR="00DA2C05" w:rsidRPr="00FB63AD" w:rsidRDefault="00DA2C05" w:rsidP="00DA2C05">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692396" w14:textId="0B6E24D4" w:rsidR="00DA2C05" w:rsidRPr="00B622A4" w:rsidRDefault="007C5D60"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w:t>
            </w:r>
            <w:r w:rsidR="00AA54C0">
              <w:rPr>
                <w:rFonts w:cs="Gill Sans MT"/>
                <w:b w:val="0"/>
                <w:bCs/>
                <w:color w:val="000000"/>
              </w:rPr>
              <w:t>p</w:t>
            </w:r>
          </w:p>
        </w:tc>
        <w:tc>
          <w:tcPr>
            <w:tcW w:w="1276" w:type="dxa"/>
            <w:tcBorders>
              <w:top w:val="nil"/>
              <w:left w:val="nil"/>
              <w:bottom w:val="single" w:sz="4" w:space="0" w:color="auto"/>
              <w:right w:val="single" w:sz="4" w:space="0" w:color="auto"/>
            </w:tcBorders>
            <w:shd w:val="clear" w:color="auto" w:fill="auto"/>
            <w:vAlign w:val="center"/>
          </w:tcPr>
          <w:p w14:paraId="3986D54F" w14:textId="2E9F4A6D" w:rsidR="00DA2C05" w:rsidRPr="00B622A4" w:rsidRDefault="00AA54C0"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59" w:type="dxa"/>
            <w:tcBorders>
              <w:top w:val="nil"/>
              <w:left w:val="nil"/>
              <w:bottom w:val="single" w:sz="4" w:space="0" w:color="auto"/>
              <w:right w:val="single" w:sz="4" w:space="0" w:color="auto"/>
            </w:tcBorders>
            <w:shd w:val="clear" w:color="auto" w:fill="auto"/>
            <w:vAlign w:val="center"/>
          </w:tcPr>
          <w:p w14:paraId="04B20ACD" w14:textId="7EA59581" w:rsidR="00DA2C05" w:rsidRPr="00B622A4" w:rsidRDefault="00AA54C0"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nil"/>
              <w:bottom w:val="single" w:sz="4" w:space="0" w:color="auto"/>
              <w:right w:val="single" w:sz="4" w:space="0" w:color="auto"/>
            </w:tcBorders>
            <w:vAlign w:val="center"/>
          </w:tcPr>
          <w:p w14:paraId="54902CFB" w14:textId="7F8802B9" w:rsidR="00DA2C05" w:rsidRPr="00B622A4" w:rsidRDefault="00AA54C0" w:rsidP="0063599C">
            <w:pPr>
              <w:autoSpaceDE w:val="0"/>
              <w:autoSpaceDN w:val="0"/>
              <w:adjustRightInd w:val="0"/>
              <w:spacing w:before="200" w:line="360" w:lineRule="auto"/>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183C648" w14:textId="3410A4C3" w:rsidR="00DA2C05" w:rsidRPr="00B622A4" w:rsidRDefault="00DA2C05"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22,391</w:t>
            </w:r>
          </w:p>
        </w:tc>
        <w:tc>
          <w:tcPr>
            <w:tcW w:w="1276" w:type="dxa"/>
            <w:tcBorders>
              <w:top w:val="nil"/>
              <w:left w:val="nil"/>
              <w:bottom w:val="single" w:sz="4" w:space="0" w:color="auto"/>
              <w:right w:val="single" w:sz="4" w:space="0" w:color="auto"/>
            </w:tcBorders>
            <w:shd w:val="clear" w:color="auto" w:fill="auto"/>
            <w:vAlign w:val="center"/>
          </w:tcPr>
          <w:p w14:paraId="375A7A52" w14:textId="7D8DA7E0" w:rsidR="00DA2C05" w:rsidRPr="00B622A4" w:rsidRDefault="00DA2C05"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47,574</w:t>
            </w:r>
          </w:p>
        </w:tc>
        <w:tc>
          <w:tcPr>
            <w:tcW w:w="1588" w:type="dxa"/>
            <w:tcBorders>
              <w:top w:val="nil"/>
              <w:left w:val="nil"/>
              <w:bottom w:val="single" w:sz="4" w:space="0" w:color="auto"/>
              <w:right w:val="single" w:sz="4" w:space="0" w:color="auto"/>
            </w:tcBorders>
            <w:shd w:val="clear" w:color="auto" w:fill="auto"/>
            <w:vAlign w:val="center"/>
          </w:tcPr>
          <w:p w14:paraId="25135E2E" w14:textId="3E6E30D0" w:rsidR="00DA2C05" w:rsidRPr="00B622A4" w:rsidRDefault="00DA2C05"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EE4F6FE" w14:textId="77777777" w:rsidR="00CB735B" w:rsidRPr="00CC1242" w:rsidRDefault="00CB735B" w:rsidP="003C7AE5">
      <w:bookmarkStart w:id="185" w:name="_Toc19281106"/>
      <w:bookmarkStart w:id="186" w:name="_Toc30005475"/>
      <w:bookmarkStart w:id="187" w:name="_Toc39765711"/>
      <w:r w:rsidRPr="00CC1242">
        <w:t>^ Due to the small number of Activity Tested recipients of Special Benefit (SpB), these job seekers are included under the Newstart Allowance (NSA) column.</w:t>
      </w:r>
      <w:bookmarkEnd w:id="185"/>
      <w:bookmarkEnd w:id="186"/>
      <w:bookmarkEnd w:id="187"/>
    </w:p>
    <w:p w14:paraId="22EE89A1" w14:textId="5153FD9C" w:rsidR="003F7D91" w:rsidRPr="003A427E" w:rsidRDefault="00BA3BE5" w:rsidP="00463ED1">
      <w:pPr>
        <w:pStyle w:val="Heading3"/>
        <w:numPr>
          <w:ilvl w:val="0"/>
          <w:numId w:val="0"/>
        </w:numPr>
        <w:rPr>
          <w:rFonts w:ascii="Arial" w:hAnsi="Arial" w:cs="Arial"/>
          <w:i/>
        </w:rPr>
      </w:pPr>
      <w:bookmarkStart w:id="188" w:name="_Toc40179156"/>
      <w:r w:rsidRPr="003A427E">
        <w:rPr>
          <w:rFonts w:ascii="Arial" w:hAnsi="Arial" w:cs="Arial"/>
          <w:i/>
        </w:rPr>
        <w:lastRenderedPageBreak/>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A0477C">
        <w:rPr>
          <w:rFonts w:ascii="Arial" w:hAnsi="Arial" w:cs="Arial"/>
          <w:i/>
        </w:rPr>
        <w:t>1 October to 31 December 2019</w:t>
      </w:r>
      <w:bookmarkEnd w:id="188"/>
      <w:r w:rsidR="003A427E" w:rsidRPr="003A427E">
        <w:rPr>
          <w:rFonts w:ascii="Arial" w:hAnsi="Arial" w:cs="Arial"/>
          <w:i/>
        </w:rPr>
        <w:br/>
      </w:r>
    </w:p>
    <w:tbl>
      <w:tblPr>
        <w:tblStyle w:val="CenterAlignTable"/>
        <w:tblW w:w="0" w:type="auto"/>
        <w:tblLook w:val="04E0" w:firstRow="1" w:lastRow="1" w:firstColumn="1" w:lastColumn="0" w:noHBand="0" w:noVBand="1"/>
        <w:tblCaption w:val="Total Financial Penalties 1 July to 30 September 2019"/>
      </w:tblPr>
      <w:tblGrid>
        <w:gridCol w:w="1531"/>
        <w:gridCol w:w="1275"/>
        <w:gridCol w:w="1560"/>
        <w:gridCol w:w="1276"/>
        <w:gridCol w:w="1276"/>
        <w:gridCol w:w="1276"/>
        <w:gridCol w:w="1588"/>
      </w:tblGrid>
      <w:tr w:rsidR="002522E1" w:rsidRPr="00FB63AD" w14:paraId="7F5B3984"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2E8F6AB0" w14:textId="34E5F011" w:rsidR="002522E1" w:rsidRPr="00FB63AD" w:rsidRDefault="002522E1" w:rsidP="00AF5603">
            <w:pPr>
              <w:keepNext/>
              <w:keepLines/>
              <w:ind w:left="-142" w:firstLine="142"/>
            </w:pPr>
            <w:r w:rsidRPr="00FB63AD">
              <w:t>NSA</w:t>
            </w:r>
            <w:r>
              <w:t>^</w:t>
            </w:r>
          </w:p>
        </w:tc>
        <w:tc>
          <w:tcPr>
            <w:tcW w:w="1275" w:type="dxa"/>
          </w:tcPr>
          <w:p w14:paraId="4EFCB183"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F32C4A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934BAC" w14:textId="56EF75B3"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28FE72B6" w14:textId="5ED54A61"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836B9C"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0C4220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036C705A" w14:textId="77777777" w:rsidTr="00AA54C0">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0E4D5E4" w14:textId="6474B93A" w:rsidR="00DA2C05" w:rsidRPr="00B622A4" w:rsidRDefault="005F07EC" w:rsidP="00DA2C05">
            <w:pPr>
              <w:autoSpaceDE w:val="0"/>
              <w:autoSpaceDN w:val="0"/>
              <w:adjustRightInd w:val="0"/>
              <w:spacing w:before="0"/>
              <w:ind w:left="0"/>
              <w:rPr>
                <w:rFonts w:cs="Gill Sans MT"/>
                <w:b w:val="0"/>
                <w:bCs/>
                <w:color w:val="000000"/>
              </w:rPr>
            </w:pPr>
            <w:r>
              <w:rPr>
                <w:rFonts w:cs="Gill Sans MT"/>
                <w:b w:val="0"/>
                <w:bCs/>
                <w:color w:val="000000"/>
              </w:rPr>
              <w:t>np</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EE4BAB" w14:textId="759D825A" w:rsidR="00DA2C05" w:rsidRPr="00B622A4" w:rsidRDefault="00ED156C"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w:t>
            </w:r>
            <w:r w:rsidR="00AA54C0">
              <w:rPr>
                <w:rFonts w:cs="Gill Sans MT"/>
                <w:b w:val="0"/>
                <w:bCs/>
                <w:color w:val="000000"/>
              </w:rPr>
              <w:t>p</w:t>
            </w:r>
          </w:p>
        </w:tc>
        <w:tc>
          <w:tcPr>
            <w:tcW w:w="1560" w:type="dxa"/>
            <w:tcBorders>
              <w:top w:val="single" w:sz="4" w:space="0" w:color="auto"/>
              <w:left w:val="nil"/>
              <w:bottom w:val="single" w:sz="4" w:space="0" w:color="auto"/>
              <w:right w:val="single" w:sz="4" w:space="0" w:color="auto"/>
            </w:tcBorders>
            <w:shd w:val="clear" w:color="auto" w:fill="auto"/>
            <w:vAlign w:val="center"/>
          </w:tcPr>
          <w:p w14:paraId="31D9AFAC" w14:textId="505EE7DF" w:rsidR="00DA2C05" w:rsidRPr="00B622A4" w:rsidRDefault="00AA54C0"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14:paraId="0895F3F6" w14:textId="09CC0F6E" w:rsidR="00DA2C05" w:rsidRPr="00B622A4" w:rsidRDefault="007C5D60" w:rsidP="0063599C">
            <w:pPr>
              <w:autoSpaceDE w:val="0"/>
              <w:autoSpaceDN w:val="0"/>
              <w:adjustRightInd w:val="0"/>
              <w:spacing w:before="140" w:line="360" w:lineRule="auto"/>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w:t>
            </w:r>
            <w:r w:rsidR="00AA54C0">
              <w:rPr>
                <w:rFonts w:cs="Gill Sans MT"/>
                <w:b w:val="0"/>
                <w:bCs/>
                <w:color w:val="000000"/>
              </w:rPr>
              <w:t>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31995" w14:textId="134E4C5B"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27,181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B92F43" w14:textId="3DD40232"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57,725</w:t>
            </w:r>
          </w:p>
        </w:tc>
        <w:tc>
          <w:tcPr>
            <w:tcW w:w="1588" w:type="dxa"/>
            <w:tcBorders>
              <w:top w:val="single" w:sz="4" w:space="0" w:color="auto"/>
              <w:left w:val="nil"/>
              <w:bottom w:val="single" w:sz="4" w:space="0" w:color="auto"/>
              <w:right w:val="single" w:sz="4" w:space="0" w:color="auto"/>
            </w:tcBorders>
            <w:shd w:val="clear" w:color="auto" w:fill="auto"/>
            <w:vAlign w:val="center"/>
          </w:tcPr>
          <w:p w14:paraId="6056F7C7" w14:textId="0965086A"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E017A1F" w14:textId="77777777" w:rsidR="00CB735B" w:rsidRPr="00A75C1F" w:rsidRDefault="00CB735B" w:rsidP="003C7AE5">
      <w:bookmarkStart w:id="189" w:name="_Toc19281108"/>
      <w:bookmarkStart w:id="190" w:name="_Toc30005477"/>
      <w:bookmarkStart w:id="191" w:name="_Toc39765713"/>
      <w:r w:rsidRPr="00CC1242">
        <w:t>^ Due to the small number of Activity Tested recipients of Special Benefit (SpB), these job seekers are included under the Newstart Allowance (NSA) column</w:t>
      </w:r>
      <w:r>
        <w:t>.</w:t>
      </w:r>
      <w:bookmarkEnd w:id="189"/>
      <w:bookmarkEnd w:id="190"/>
      <w:bookmarkEnd w:id="191"/>
    </w:p>
    <w:p w14:paraId="721EE51D" w14:textId="3EFB10A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648811F" w14:textId="613B2C4D"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8374F1">
        <w:t>Services Australia</w:t>
      </w:r>
      <w:r w:rsidRPr="00FB63AD">
        <w:t xml:space="preserve"> (including </w:t>
      </w:r>
      <w:r w:rsidR="001275A1">
        <w:t>CCA</w:t>
      </w:r>
      <w:r>
        <w:t>) appointment</w:t>
      </w:r>
      <w:r w:rsidRPr="00481EB2">
        <w:t>.</w:t>
      </w:r>
    </w:p>
    <w:p w14:paraId="468E5834" w14:textId="0F3A2528"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D81534E" w14:textId="29C31771" w:rsidR="00661109" w:rsidRPr="003A427E" w:rsidRDefault="00BA3BE5" w:rsidP="00463ED1">
      <w:pPr>
        <w:pStyle w:val="Heading3"/>
        <w:numPr>
          <w:ilvl w:val="0"/>
          <w:numId w:val="0"/>
        </w:numPr>
        <w:ind w:left="502" w:hanging="360"/>
        <w:rPr>
          <w:i/>
        </w:rPr>
      </w:pPr>
      <w:bookmarkStart w:id="192" w:name="_Toc40179157"/>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A0477C">
        <w:rPr>
          <w:i/>
        </w:rPr>
        <w:t>1 October to 31 December 2019</w:t>
      </w:r>
      <w:bookmarkEnd w:id="192"/>
      <w:r w:rsidR="003A427E" w:rsidRPr="003A427E">
        <w:rPr>
          <w:i/>
        </w:rPr>
        <w:br/>
      </w:r>
    </w:p>
    <w:tbl>
      <w:tblPr>
        <w:tblStyle w:val="CenterAlignTable"/>
        <w:tblW w:w="0" w:type="auto"/>
        <w:tblLook w:val="06A0" w:firstRow="1" w:lastRow="0" w:firstColumn="1" w:lastColumn="0" w:noHBand="1" w:noVBand="1"/>
        <w:tblCaption w:val="Income Support Payment Suspensions 1 July to 30 September 2019"/>
      </w:tblPr>
      <w:tblGrid>
        <w:gridCol w:w="4389"/>
        <w:gridCol w:w="1559"/>
        <w:gridCol w:w="1276"/>
        <w:gridCol w:w="1701"/>
        <w:gridCol w:w="1843"/>
        <w:gridCol w:w="2003"/>
        <w:gridCol w:w="1541"/>
      </w:tblGrid>
      <w:tr w:rsidR="00AF5603" w:rsidRPr="00FB63AD" w14:paraId="4BC90A7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FDAD67C" w14:textId="77777777" w:rsidR="00AF5603" w:rsidRPr="00FB63AD" w:rsidRDefault="00AF5603" w:rsidP="00AF5603">
            <w:pPr>
              <w:ind w:left="-142" w:firstLine="142"/>
            </w:pPr>
            <w:r w:rsidRPr="00FB63AD">
              <w:t>Income Support payment suspensions</w:t>
            </w:r>
          </w:p>
        </w:tc>
        <w:tc>
          <w:tcPr>
            <w:tcW w:w="1559" w:type="dxa"/>
          </w:tcPr>
          <w:p w14:paraId="79632E62" w14:textId="1EFA8D5D"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6CF75DE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68DB8F3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A12E2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197F6F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DEB026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DA2C05" w:rsidRPr="00FB63AD" w14:paraId="63C14DE2"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A3E653" w14:textId="77777777" w:rsidR="00DA2C05" w:rsidRPr="00FB63AD" w:rsidRDefault="00DA2C05" w:rsidP="00DA2C05">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C7EF97" w14:textId="3A35D652"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10,604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45C" w14:textId="3E6BDFC1"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B4AE" w14:textId="4B73D265"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716" w14:textId="355B3A05"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12,523</w:t>
            </w:r>
          </w:p>
        </w:tc>
        <w:tc>
          <w:tcPr>
            <w:tcW w:w="2003" w:type="dxa"/>
            <w:tcBorders>
              <w:top w:val="single" w:sz="4" w:space="0" w:color="auto"/>
              <w:left w:val="nil"/>
              <w:bottom w:val="single" w:sz="4" w:space="0" w:color="auto"/>
              <w:right w:val="single" w:sz="4" w:space="0" w:color="auto"/>
            </w:tcBorders>
            <w:shd w:val="clear" w:color="auto" w:fill="auto"/>
            <w:vAlign w:val="center"/>
          </w:tcPr>
          <w:p w14:paraId="52EAE298" w14:textId="07CD96AE"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28,129</w:t>
            </w:r>
          </w:p>
        </w:tc>
        <w:tc>
          <w:tcPr>
            <w:tcW w:w="1541" w:type="dxa"/>
            <w:tcBorders>
              <w:top w:val="single" w:sz="4" w:space="0" w:color="auto"/>
              <w:left w:val="nil"/>
              <w:bottom w:val="single" w:sz="4" w:space="0" w:color="auto"/>
              <w:right w:val="single" w:sz="4" w:space="0" w:color="auto"/>
            </w:tcBorders>
            <w:shd w:val="clear" w:color="auto" w:fill="auto"/>
            <w:vAlign w:val="center"/>
          </w:tcPr>
          <w:p w14:paraId="1803C5A0" w14:textId="751A41E9"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68.01%</w:t>
            </w:r>
          </w:p>
        </w:tc>
      </w:tr>
      <w:tr w:rsidR="00DA2C05" w:rsidRPr="00FB63AD" w14:paraId="0AF911E8"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D5D13D" w14:textId="77777777" w:rsidR="00DA2C05" w:rsidRPr="00FB63AD" w:rsidRDefault="00DA2C05" w:rsidP="00DA2C05">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8C77B" w14:textId="0B5F8A66"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5,159</w:t>
            </w:r>
          </w:p>
        </w:tc>
        <w:tc>
          <w:tcPr>
            <w:tcW w:w="1276" w:type="dxa"/>
            <w:tcBorders>
              <w:top w:val="nil"/>
              <w:left w:val="nil"/>
              <w:bottom w:val="single" w:sz="4" w:space="0" w:color="auto"/>
              <w:right w:val="single" w:sz="4" w:space="0" w:color="auto"/>
            </w:tcBorders>
            <w:shd w:val="clear" w:color="auto" w:fill="auto"/>
            <w:vAlign w:val="center"/>
          </w:tcPr>
          <w:p w14:paraId="3399ADF9" w14:textId="6B4D1D2E"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893</w:t>
            </w:r>
          </w:p>
        </w:tc>
        <w:tc>
          <w:tcPr>
            <w:tcW w:w="1701" w:type="dxa"/>
            <w:tcBorders>
              <w:top w:val="nil"/>
              <w:left w:val="nil"/>
              <w:bottom w:val="single" w:sz="4" w:space="0" w:color="auto"/>
              <w:right w:val="single" w:sz="4" w:space="0" w:color="auto"/>
            </w:tcBorders>
            <w:shd w:val="clear" w:color="auto" w:fill="auto"/>
            <w:vAlign w:val="center"/>
          </w:tcPr>
          <w:p w14:paraId="29B3FFB4" w14:textId="08655B69"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w:t>
            </w:r>
          </w:p>
        </w:tc>
        <w:tc>
          <w:tcPr>
            <w:tcW w:w="1843" w:type="dxa"/>
            <w:tcBorders>
              <w:top w:val="nil"/>
              <w:left w:val="nil"/>
              <w:bottom w:val="single" w:sz="4" w:space="0" w:color="auto"/>
              <w:right w:val="single" w:sz="4" w:space="0" w:color="auto"/>
            </w:tcBorders>
            <w:shd w:val="clear" w:color="auto" w:fill="auto"/>
            <w:vAlign w:val="center"/>
          </w:tcPr>
          <w:p w14:paraId="7965527C" w14:textId="33707BA0"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6,100</w:t>
            </w:r>
          </w:p>
        </w:tc>
        <w:tc>
          <w:tcPr>
            <w:tcW w:w="2003" w:type="dxa"/>
            <w:tcBorders>
              <w:top w:val="nil"/>
              <w:left w:val="nil"/>
              <w:bottom w:val="single" w:sz="4" w:space="0" w:color="auto"/>
              <w:right w:val="single" w:sz="4" w:space="0" w:color="auto"/>
            </w:tcBorders>
            <w:shd w:val="clear" w:color="auto" w:fill="auto"/>
            <w:vAlign w:val="center"/>
          </w:tcPr>
          <w:p w14:paraId="3F1A64CB" w14:textId="7D43709A"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13,233</w:t>
            </w:r>
          </w:p>
        </w:tc>
        <w:tc>
          <w:tcPr>
            <w:tcW w:w="1541" w:type="dxa"/>
            <w:tcBorders>
              <w:top w:val="nil"/>
              <w:left w:val="nil"/>
              <w:bottom w:val="single" w:sz="4" w:space="0" w:color="auto"/>
              <w:right w:val="single" w:sz="4" w:space="0" w:color="auto"/>
            </w:tcBorders>
            <w:shd w:val="clear" w:color="auto" w:fill="auto"/>
            <w:vAlign w:val="center"/>
          </w:tcPr>
          <w:p w14:paraId="7299A26D" w14:textId="1F43CF17" w:rsidR="00DA2C05" w:rsidRPr="007A076A"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31.99%</w:t>
            </w:r>
          </w:p>
        </w:tc>
      </w:tr>
      <w:tr w:rsidR="00DA2C05" w:rsidRPr="00FB63AD" w14:paraId="0D91A305"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030B0C0" w14:textId="77777777" w:rsidR="00DA2C05" w:rsidRPr="001E1607" w:rsidRDefault="00DA2C05" w:rsidP="00DA2C05">
            <w:pPr>
              <w:spacing w:before="0"/>
              <w:ind w:left="0"/>
              <w:rPr>
                <w:bCs/>
              </w:rPr>
            </w:pPr>
            <w:r w:rsidRPr="001E1607">
              <w:rPr>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96375" w14:textId="076C64AC" w:rsidR="00DA2C05" w:rsidRPr="00A335AD"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335AD">
              <w:rPr>
                <w:rFonts w:cs="Gill Sans MT"/>
                <w:b/>
                <w:color w:val="000000"/>
              </w:rPr>
              <w:t>15,763</w:t>
            </w:r>
          </w:p>
        </w:tc>
        <w:tc>
          <w:tcPr>
            <w:tcW w:w="1276" w:type="dxa"/>
            <w:tcBorders>
              <w:top w:val="nil"/>
              <w:left w:val="nil"/>
              <w:bottom w:val="single" w:sz="4" w:space="0" w:color="auto"/>
              <w:right w:val="single" w:sz="4" w:space="0" w:color="auto"/>
            </w:tcBorders>
            <w:shd w:val="clear" w:color="auto" w:fill="auto"/>
            <w:vAlign w:val="center"/>
          </w:tcPr>
          <w:p w14:paraId="186951B4" w14:textId="645EE09E" w:rsidR="00DA2C05" w:rsidRPr="00A335AD"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335AD">
              <w:rPr>
                <w:rFonts w:cs="Gill Sans MT"/>
                <w:b/>
                <w:color w:val="000000"/>
              </w:rPr>
              <w:t>2,732</w:t>
            </w:r>
          </w:p>
        </w:tc>
        <w:tc>
          <w:tcPr>
            <w:tcW w:w="1701" w:type="dxa"/>
            <w:tcBorders>
              <w:top w:val="nil"/>
              <w:left w:val="nil"/>
              <w:bottom w:val="single" w:sz="4" w:space="0" w:color="auto"/>
              <w:right w:val="single" w:sz="4" w:space="0" w:color="auto"/>
            </w:tcBorders>
            <w:shd w:val="clear" w:color="auto" w:fill="auto"/>
            <w:vAlign w:val="center"/>
          </w:tcPr>
          <w:p w14:paraId="1B7023D6" w14:textId="26DBE7D7" w:rsidR="00DA2C05" w:rsidRPr="00A335AD"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335AD">
              <w:rPr>
                <w:rFonts w:cs="Gill Sans MT"/>
                <w:b/>
                <w:color w:val="000000"/>
              </w:rPr>
              <w:t>128</w:t>
            </w:r>
          </w:p>
        </w:tc>
        <w:tc>
          <w:tcPr>
            <w:tcW w:w="1843" w:type="dxa"/>
            <w:tcBorders>
              <w:top w:val="nil"/>
              <w:left w:val="nil"/>
              <w:bottom w:val="single" w:sz="4" w:space="0" w:color="auto"/>
              <w:right w:val="single" w:sz="4" w:space="0" w:color="auto"/>
            </w:tcBorders>
            <w:shd w:val="clear" w:color="auto" w:fill="auto"/>
            <w:vAlign w:val="center"/>
          </w:tcPr>
          <w:p w14:paraId="381B7A1F" w14:textId="5D59DFCC" w:rsidR="00DA2C05" w:rsidRPr="00A335AD"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335AD">
              <w:rPr>
                <w:rFonts w:cs="Gill Sans MT"/>
                <w:b/>
                <w:color w:val="000000"/>
              </w:rPr>
              <w:t>18,623</w:t>
            </w:r>
          </w:p>
        </w:tc>
        <w:tc>
          <w:tcPr>
            <w:tcW w:w="2003" w:type="dxa"/>
            <w:tcBorders>
              <w:top w:val="nil"/>
              <w:left w:val="nil"/>
              <w:bottom w:val="single" w:sz="4" w:space="0" w:color="auto"/>
              <w:right w:val="single" w:sz="4" w:space="0" w:color="auto"/>
            </w:tcBorders>
            <w:shd w:val="clear" w:color="auto" w:fill="auto"/>
            <w:vAlign w:val="center"/>
          </w:tcPr>
          <w:p w14:paraId="1128C5A4" w14:textId="5BEB73E4" w:rsidR="00DA2C05" w:rsidRPr="00A335AD"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335AD">
              <w:rPr>
                <w:rFonts w:cs="Gill Sans MT"/>
                <w:b/>
                <w:color w:val="000000"/>
              </w:rPr>
              <w:t>41,362</w:t>
            </w:r>
          </w:p>
        </w:tc>
        <w:tc>
          <w:tcPr>
            <w:tcW w:w="1541" w:type="dxa"/>
            <w:tcBorders>
              <w:top w:val="nil"/>
              <w:left w:val="nil"/>
              <w:bottom w:val="single" w:sz="4" w:space="0" w:color="auto"/>
              <w:right w:val="single" w:sz="4" w:space="0" w:color="auto"/>
            </w:tcBorders>
            <w:shd w:val="clear" w:color="auto" w:fill="auto"/>
            <w:vAlign w:val="center"/>
          </w:tcPr>
          <w:p w14:paraId="6432D7E7" w14:textId="72C9E969" w:rsidR="00DA2C05" w:rsidRPr="00A335AD"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335AD">
              <w:rPr>
                <w:rFonts w:cs="Gill Sans MT"/>
                <w:b/>
                <w:color w:val="000000"/>
              </w:rPr>
              <w:t>100.00%</w:t>
            </w:r>
          </w:p>
        </w:tc>
      </w:tr>
    </w:tbl>
    <w:p w14:paraId="4438F7BE" w14:textId="77777777" w:rsidR="00CB735B" w:rsidRPr="00A75C1F" w:rsidRDefault="00CB735B" w:rsidP="003C7AE5">
      <w:bookmarkStart w:id="193" w:name="_Toc19281110"/>
      <w:bookmarkStart w:id="194" w:name="_Toc30005479"/>
      <w:bookmarkStart w:id="195" w:name="_Toc39765715"/>
      <w:r w:rsidRPr="00CC1242">
        <w:t>^ Due to the small number of Activity Tested recipients of Special Benefit (SpB), these job seekers are included under the Newstart Allowance (NSA) column</w:t>
      </w:r>
      <w:r>
        <w:t>.</w:t>
      </w:r>
      <w:bookmarkEnd w:id="193"/>
      <w:bookmarkEnd w:id="194"/>
      <w:bookmarkEnd w:id="195"/>
    </w:p>
    <w:p w14:paraId="2727B216" w14:textId="5648F1CF"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4771678B" w14:textId="77777777" w:rsidR="00CC1242" w:rsidRDefault="00CC1242">
      <w:pPr>
        <w:spacing w:before="0"/>
        <w:ind w:left="0"/>
        <w:rPr>
          <w:noProof/>
        </w:rPr>
      </w:pPr>
      <w:r>
        <w:rPr>
          <w:noProof/>
        </w:rPr>
        <w:br w:type="page"/>
      </w:r>
    </w:p>
    <w:p w14:paraId="006347C6" w14:textId="737F0804" w:rsidR="00AF5603" w:rsidRPr="00F4190C" w:rsidRDefault="00AF5603" w:rsidP="00F7644E">
      <w:pPr>
        <w:pStyle w:val="Heading2"/>
        <w:spacing w:before="0" w:after="120" w:line="240" w:lineRule="auto"/>
        <w:ind w:left="-142" w:firstLine="142"/>
      </w:pPr>
      <w:bookmarkStart w:id="196" w:name="_Toc490635937"/>
      <w:bookmarkStart w:id="197" w:name="_Toc40179158"/>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196"/>
      <w:bookmarkEnd w:id="197"/>
      <w:r w:rsidRPr="00F4190C">
        <w:t xml:space="preserve">  </w:t>
      </w:r>
    </w:p>
    <w:p w14:paraId="7BC52FCC" w14:textId="798539FF" w:rsidR="003F7D91" w:rsidRPr="003A427E" w:rsidRDefault="00BA3BE5" w:rsidP="00463ED1">
      <w:pPr>
        <w:pStyle w:val="Heading3"/>
        <w:numPr>
          <w:ilvl w:val="0"/>
          <w:numId w:val="0"/>
        </w:numPr>
        <w:ind w:left="360" w:hanging="360"/>
        <w:rPr>
          <w:rFonts w:ascii="Arial" w:hAnsi="Arial" w:cs="Arial"/>
          <w:i/>
        </w:rPr>
      </w:pPr>
      <w:bookmarkStart w:id="198" w:name="_Toc40179159"/>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A0477C">
        <w:rPr>
          <w:rFonts w:ascii="Arial" w:hAnsi="Arial" w:cs="Arial"/>
          <w:i/>
        </w:rPr>
        <w:t>1 October to 31 December 2019</w:t>
      </w:r>
      <w:bookmarkEnd w:id="198"/>
      <w:r w:rsidR="003A427E">
        <w:rPr>
          <w:rFonts w:ascii="Arial" w:hAnsi="Arial" w:cs="Arial"/>
          <w:i/>
        </w:rPr>
        <w:br/>
      </w:r>
    </w:p>
    <w:tbl>
      <w:tblPr>
        <w:tblStyle w:val="CenterAlignTable"/>
        <w:tblW w:w="7995" w:type="dxa"/>
        <w:tblLayout w:type="fixed"/>
        <w:tblLook w:val="06E0" w:firstRow="1" w:lastRow="1" w:firstColumn="1" w:lastColumn="0" w:noHBand="1" w:noVBand="1"/>
        <w:tblCaption w:val="Non Payment Periods (Serious and UNPPs) 1 July to 30 September 2019"/>
      </w:tblPr>
      <w:tblGrid>
        <w:gridCol w:w="4519"/>
        <w:gridCol w:w="1004"/>
        <w:gridCol w:w="1149"/>
        <w:gridCol w:w="1323"/>
      </w:tblGrid>
      <w:tr w:rsidR="00DE0653" w:rsidRPr="00FB63AD" w14:paraId="4EB78F7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6C7A024" w14:textId="77777777" w:rsidR="00DE0653" w:rsidRPr="00FB63AD" w:rsidRDefault="00DE0653" w:rsidP="00AF5603">
            <w:pPr>
              <w:ind w:left="142"/>
            </w:pPr>
            <w:r w:rsidRPr="00FB63AD">
              <w:t>Non Payment Periods (Serious and UNPPs)</w:t>
            </w:r>
          </w:p>
        </w:tc>
        <w:tc>
          <w:tcPr>
            <w:tcW w:w="1004" w:type="dxa"/>
            <w:vAlign w:val="center"/>
          </w:tcPr>
          <w:p w14:paraId="4357770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D7EC567"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367C32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45EE881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7ADA4F02" w14:textId="77777777" w:rsidR="00DA2C05" w:rsidRPr="00FB63AD" w:rsidRDefault="00DA2C05" w:rsidP="00DA2C05">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4160926" w14:textId="002224E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C6095">
              <w:rPr>
                <w:rFonts w:cs="Gill Sans MT"/>
                <w:b w:val="0"/>
                <w:color w:val="000000"/>
              </w:rPr>
              <w:t>4,790</w:t>
            </w:r>
          </w:p>
        </w:tc>
        <w:tc>
          <w:tcPr>
            <w:tcW w:w="1149" w:type="dxa"/>
            <w:tcBorders>
              <w:top w:val="nil"/>
              <w:left w:val="nil"/>
              <w:bottom w:val="single" w:sz="4" w:space="0" w:color="auto"/>
              <w:right w:val="single" w:sz="4" w:space="0" w:color="auto"/>
            </w:tcBorders>
            <w:shd w:val="clear" w:color="auto" w:fill="auto"/>
            <w:vAlign w:val="center"/>
          </w:tcPr>
          <w:p w14:paraId="7C69AF5F" w14:textId="38EF97A0"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C6095">
              <w:rPr>
                <w:rFonts w:cs="Gill Sans MT"/>
                <w:b w:val="0"/>
                <w:bCs/>
                <w:color w:val="000000"/>
              </w:rPr>
              <w:t>10,151</w:t>
            </w:r>
          </w:p>
        </w:tc>
        <w:tc>
          <w:tcPr>
            <w:tcW w:w="1323" w:type="dxa"/>
            <w:tcBorders>
              <w:top w:val="nil"/>
              <w:left w:val="nil"/>
              <w:bottom w:val="single" w:sz="4" w:space="0" w:color="auto"/>
              <w:right w:val="single" w:sz="4" w:space="0" w:color="auto"/>
            </w:tcBorders>
            <w:shd w:val="clear" w:color="auto" w:fill="auto"/>
            <w:vAlign w:val="center"/>
          </w:tcPr>
          <w:p w14:paraId="7D79D508" w14:textId="5A98B4C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C6095">
              <w:rPr>
                <w:rFonts w:cs="Gill Sans MT"/>
                <w:b w:val="0"/>
                <w:bCs/>
                <w:color w:val="000000"/>
              </w:rPr>
              <w:t>100.00%</w:t>
            </w:r>
          </w:p>
        </w:tc>
      </w:tr>
    </w:tbl>
    <w:p w14:paraId="6AE8DC9C" w14:textId="77777777" w:rsidR="00AF5603" w:rsidRDefault="00AF5603" w:rsidP="00AF5603">
      <w:pPr>
        <w:spacing w:before="0"/>
        <w:ind w:left="0"/>
        <w:rPr>
          <w:b/>
        </w:rPr>
      </w:pPr>
    </w:p>
    <w:p w14:paraId="0264343A" w14:textId="4098726C" w:rsidR="003F7D91" w:rsidRPr="003A427E" w:rsidRDefault="00BA3BE5" w:rsidP="00463ED1">
      <w:pPr>
        <w:pStyle w:val="Heading3"/>
        <w:numPr>
          <w:ilvl w:val="0"/>
          <w:numId w:val="0"/>
        </w:numPr>
        <w:ind w:left="360" w:hanging="360"/>
        <w:rPr>
          <w:rFonts w:ascii="Arial" w:hAnsi="Arial" w:cs="Arial"/>
          <w:i/>
        </w:rPr>
      </w:pPr>
      <w:bookmarkStart w:id="199" w:name="_Toc40179160"/>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A0477C">
        <w:rPr>
          <w:rFonts w:ascii="Arial" w:hAnsi="Arial" w:cs="Arial"/>
          <w:i/>
        </w:rPr>
        <w:t>1 October to 31 December 2019</w:t>
      </w:r>
      <w:bookmarkEnd w:id="199"/>
      <w:r w:rsidR="003A427E">
        <w:rPr>
          <w:rFonts w:ascii="Arial" w:hAnsi="Arial" w:cs="Arial"/>
          <w:i/>
        </w:rPr>
        <w:br/>
      </w:r>
    </w:p>
    <w:tbl>
      <w:tblPr>
        <w:tblStyle w:val="CenterAlignTable"/>
        <w:tblW w:w="8046" w:type="dxa"/>
        <w:tblLayout w:type="fixed"/>
        <w:tblLook w:val="06E0" w:firstRow="1" w:lastRow="1" w:firstColumn="1" w:lastColumn="0" w:noHBand="1" w:noVBand="1"/>
        <w:tblCaption w:val="Short Term Financial Penalties 1 July to 30 September 2019"/>
      </w:tblPr>
      <w:tblGrid>
        <w:gridCol w:w="4531"/>
        <w:gridCol w:w="992"/>
        <w:gridCol w:w="1134"/>
        <w:gridCol w:w="1389"/>
      </w:tblGrid>
      <w:tr w:rsidR="00DE0653" w:rsidRPr="00FB63AD" w14:paraId="1D324F5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93449BE"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5FDF277"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A4B940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007B81E1"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4DD2C280"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D4CE8F" w14:textId="77777777" w:rsidR="00DA2C05" w:rsidRPr="00FB63AD" w:rsidRDefault="00DA2C05" w:rsidP="00DA2C05">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140506DD" w14:textId="11985887"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22,391</w:t>
            </w:r>
          </w:p>
        </w:tc>
        <w:tc>
          <w:tcPr>
            <w:tcW w:w="1134" w:type="dxa"/>
            <w:tcBorders>
              <w:top w:val="nil"/>
              <w:left w:val="nil"/>
              <w:bottom w:val="single" w:sz="4" w:space="0" w:color="auto"/>
              <w:right w:val="single" w:sz="4" w:space="0" w:color="auto"/>
            </w:tcBorders>
            <w:shd w:val="clear" w:color="auto" w:fill="auto"/>
            <w:vAlign w:val="center"/>
          </w:tcPr>
          <w:p w14:paraId="1FE507A1" w14:textId="1C88F50F"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47,574</w:t>
            </w:r>
          </w:p>
        </w:tc>
        <w:tc>
          <w:tcPr>
            <w:tcW w:w="1389" w:type="dxa"/>
            <w:tcBorders>
              <w:top w:val="nil"/>
              <w:left w:val="nil"/>
              <w:bottom w:val="single" w:sz="4" w:space="0" w:color="auto"/>
              <w:right w:val="single" w:sz="4" w:space="0" w:color="auto"/>
            </w:tcBorders>
            <w:shd w:val="clear" w:color="auto" w:fill="auto"/>
            <w:vAlign w:val="center"/>
          </w:tcPr>
          <w:p w14:paraId="30627FEF" w14:textId="4D2DF4E6"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708E7A5" w14:textId="23D45AD0" w:rsidR="003F7D91" w:rsidRPr="003A427E" w:rsidRDefault="00BA3BE5" w:rsidP="00463ED1">
      <w:pPr>
        <w:pStyle w:val="Heading3"/>
        <w:numPr>
          <w:ilvl w:val="0"/>
          <w:numId w:val="0"/>
        </w:numPr>
        <w:ind w:left="360" w:hanging="360"/>
        <w:rPr>
          <w:rFonts w:ascii="Arial" w:hAnsi="Arial" w:cs="Arial"/>
          <w:i/>
        </w:rPr>
      </w:pPr>
      <w:bookmarkStart w:id="200" w:name="_Toc40179161"/>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A0477C">
        <w:rPr>
          <w:rFonts w:ascii="Arial" w:hAnsi="Arial" w:cs="Arial"/>
          <w:i/>
        </w:rPr>
        <w:t>1 October to 31 December 2019</w:t>
      </w:r>
      <w:bookmarkEnd w:id="200"/>
      <w:r w:rsidR="003A427E">
        <w:rPr>
          <w:rFonts w:ascii="Arial" w:hAnsi="Arial" w:cs="Arial"/>
          <w:i/>
        </w:rPr>
        <w:br/>
      </w:r>
    </w:p>
    <w:tbl>
      <w:tblPr>
        <w:tblStyle w:val="CenterAlignTable"/>
        <w:tblW w:w="0" w:type="auto"/>
        <w:tblLayout w:type="fixed"/>
        <w:tblLook w:val="04E0" w:firstRow="1" w:lastRow="1" w:firstColumn="1" w:lastColumn="0" w:noHBand="0" w:noVBand="1"/>
        <w:tblCaption w:val="Total Financial Penalties 1 July to 30 September 2019"/>
      </w:tblPr>
      <w:tblGrid>
        <w:gridCol w:w="989"/>
        <w:gridCol w:w="1130"/>
        <w:gridCol w:w="1413"/>
      </w:tblGrid>
      <w:tr w:rsidR="002522E1" w:rsidRPr="00FB63AD" w14:paraId="2892DCCF" w14:textId="77777777" w:rsidTr="00BE1128">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vAlign w:val="center"/>
          </w:tcPr>
          <w:p w14:paraId="18D04282" w14:textId="77777777" w:rsidR="002522E1" w:rsidRPr="00FB63AD" w:rsidRDefault="002522E1" w:rsidP="00BF3037">
            <w:pPr>
              <w:ind w:left="142"/>
            </w:pPr>
            <w:r>
              <w:t xml:space="preserve">CDP </w:t>
            </w:r>
            <w:r w:rsidRPr="00FB63AD">
              <w:t>Total</w:t>
            </w:r>
          </w:p>
        </w:tc>
        <w:tc>
          <w:tcPr>
            <w:tcW w:w="1130" w:type="dxa"/>
            <w:vAlign w:val="center"/>
          </w:tcPr>
          <w:p w14:paraId="0894425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3AC166D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3B9813E0" w14:textId="77777777" w:rsidTr="00BE1128">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shd w:val="clear" w:color="auto" w:fill="auto"/>
            <w:vAlign w:val="center"/>
          </w:tcPr>
          <w:p w14:paraId="6909ADD8" w14:textId="23EB4654" w:rsidR="00DA2C05" w:rsidRPr="00B622A4" w:rsidRDefault="00DA2C05" w:rsidP="00DA2C05">
            <w:pPr>
              <w:autoSpaceDE w:val="0"/>
              <w:autoSpaceDN w:val="0"/>
              <w:adjustRightInd w:val="0"/>
              <w:spacing w:before="0"/>
              <w:ind w:left="0"/>
              <w:rPr>
                <w:rFonts w:cs="Gill Sans MT"/>
                <w:b w:val="0"/>
                <w:bCs/>
                <w:color w:val="000000"/>
              </w:rPr>
            </w:pPr>
            <w:r>
              <w:rPr>
                <w:rFonts w:cs="Gill Sans MT"/>
                <w:b w:val="0"/>
                <w:bCs/>
                <w:color w:val="000000"/>
              </w:rPr>
              <w:t>27,181</w:t>
            </w:r>
          </w:p>
        </w:tc>
        <w:tc>
          <w:tcPr>
            <w:tcW w:w="1130" w:type="dxa"/>
            <w:shd w:val="clear" w:color="auto" w:fill="auto"/>
            <w:vAlign w:val="center"/>
          </w:tcPr>
          <w:p w14:paraId="335F35A6" w14:textId="13F5BFA3"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57,725</w:t>
            </w:r>
          </w:p>
        </w:tc>
        <w:tc>
          <w:tcPr>
            <w:tcW w:w="1413" w:type="dxa"/>
            <w:shd w:val="clear" w:color="auto" w:fill="auto"/>
            <w:vAlign w:val="center"/>
          </w:tcPr>
          <w:p w14:paraId="6699F6A5" w14:textId="55C58FC1"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43F3C7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003F29" w14:textId="0A51C964"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8374F1">
        <w:t>Services Australia</w:t>
      </w:r>
      <w:r w:rsidRPr="00FB63AD">
        <w:t xml:space="preserve"> (including </w:t>
      </w:r>
      <w:r w:rsidR="001275A1">
        <w:t>CCA</w:t>
      </w:r>
      <w:r>
        <w:t>) appointment</w:t>
      </w:r>
      <w:r w:rsidRPr="00481EB2">
        <w:t>.</w:t>
      </w:r>
    </w:p>
    <w:p w14:paraId="3983C0C4" w14:textId="77701D88"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C78597B" w14:textId="100DACE3" w:rsidR="00CF1E6C" w:rsidRDefault="00CF1E6C" w:rsidP="00AF5603">
      <w:pPr>
        <w:spacing w:before="0" w:after="240" w:line="240" w:lineRule="auto"/>
        <w:ind w:left="142"/>
        <w:rPr>
          <w:bCs/>
        </w:rPr>
      </w:pPr>
    </w:p>
    <w:p w14:paraId="0B1038F0" w14:textId="33233D13" w:rsidR="00CF1E6C" w:rsidRDefault="00CF1E6C" w:rsidP="00AF5603">
      <w:pPr>
        <w:spacing w:before="0" w:after="240" w:line="240" w:lineRule="auto"/>
        <w:ind w:left="142"/>
        <w:rPr>
          <w:bCs/>
        </w:rPr>
      </w:pPr>
    </w:p>
    <w:p w14:paraId="1184148B" w14:textId="032C3BB9" w:rsidR="003F7D91" w:rsidRPr="003A427E" w:rsidRDefault="00BA3BE5" w:rsidP="00463ED1">
      <w:pPr>
        <w:pStyle w:val="Heading3"/>
        <w:numPr>
          <w:ilvl w:val="0"/>
          <w:numId w:val="0"/>
        </w:numPr>
        <w:ind w:left="502" w:hanging="360"/>
        <w:rPr>
          <w:rFonts w:ascii="Arial" w:hAnsi="Arial" w:cs="Arial"/>
          <w:i/>
        </w:rPr>
      </w:pPr>
      <w:bookmarkStart w:id="201" w:name="_Toc40179162"/>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A0477C">
        <w:rPr>
          <w:rFonts w:ascii="Arial" w:hAnsi="Arial" w:cs="Arial"/>
          <w:i/>
        </w:rPr>
        <w:t>1 October to 31 December 2019</w:t>
      </w:r>
      <w:bookmarkEnd w:id="201"/>
      <w:r w:rsidR="003A427E" w:rsidRPr="003A427E">
        <w:rPr>
          <w:rFonts w:ascii="Arial" w:hAnsi="Arial" w:cs="Arial"/>
          <w:i/>
        </w:rPr>
        <w:br/>
      </w:r>
    </w:p>
    <w:tbl>
      <w:tblPr>
        <w:tblStyle w:val="Center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271A00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314D6D7" w14:textId="77777777" w:rsidR="00DE0653" w:rsidRPr="00AB1A47" w:rsidRDefault="00DE0653" w:rsidP="00AF5603">
            <w:pPr>
              <w:ind w:left="0"/>
            </w:pPr>
            <w:r w:rsidRPr="00AB1A47">
              <w:t>Income Support payment suspensions</w:t>
            </w:r>
          </w:p>
        </w:tc>
        <w:tc>
          <w:tcPr>
            <w:tcW w:w="992" w:type="dxa"/>
            <w:vAlign w:val="center"/>
          </w:tcPr>
          <w:p w14:paraId="2182AE6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2D68828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D642CD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DA2C05" w:rsidRPr="0092180C" w14:paraId="57539631"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2B918BF6" w14:textId="77777777" w:rsidR="00DA2C05" w:rsidRPr="00AB1A47" w:rsidRDefault="00DA2C05" w:rsidP="00DA2C05">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319F6" w14:textId="750BD44C" w:rsidR="00DA2C05" w:rsidRPr="009A742F"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12,523</w:t>
            </w:r>
          </w:p>
        </w:tc>
        <w:tc>
          <w:tcPr>
            <w:tcW w:w="1128" w:type="dxa"/>
            <w:tcBorders>
              <w:top w:val="single" w:sz="4" w:space="0" w:color="auto"/>
              <w:left w:val="nil"/>
              <w:bottom w:val="single" w:sz="4" w:space="0" w:color="auto"/>
              <w:right w:val="single" w:sz="4" w:space="0" w:color="auto"/>
            </w:tcBorders>
            <w:shd w:val="clear" w:color="auto" w:fill="auto"/>
            <w:vAlign w:val="center"/>
          </w:tcPr>
          <w:p w14:paraId="36F7B1AF" w14:textId="61DC5AD9" w:rsidR="00DA2C05" w:rsidRPr="009A742F"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28,129</w:t>
            </w:r>
          </w:p>
        </w:tc>
        <w:tc>
          <w:tcPr>
            <w:tcW w:w="1424" w:type="dxa"/>
            <w:tcBorders>
              <w:top w:val="single" w:sz="4" w:space="0" w:color="auto"/>
              <w:left w:val="nil"/>
              <w:bottom w:val="single" w:sz="4" w:space="0" w:color="auto"/>
              <w:right w:val="single" w:sz="4" w:space="0" w:color="auto"/>
            </w:tcBorders>
            <w:shd w:val="clear" w:color="auto" w:fill="auto"/>
            <w:vAlign w:val="center"/>
          </w:tcPr>
          <w:p w14:paraId="57684CB5" w14:textId="5D961EC2" w:rsidR="00DA2C05" w:rsidRPr="009A742F"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68.01%</w:t>
            </w:r>
          </w:p>
        </w:tc>
      </w:tr>
      <w:tr w:rsidR="00DA2C05" w:rsidRPr="0092180C" w14:paraId="201B29FA"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3CB5B8DB" w14:textId="77777777" w:rsidR="00DA2C05" w:rsidRPr="00AB1A47" w:rsidDel="00D725A7" w:rsidRDefault="00DA2C05" w:rsidP="00DA2C05">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2818858" w14:textId="6326CFD7" w:rsidR="00DA2C05" w:rsidRPr="009A742F"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6,100</w:t>
            </w:r>
          </w:p>
        </w:tc>
        <w:tc>
          <w:tcPr>
            <w:tcW w:w="1128" w:type="dxa"/>
            <w:tcBorders>
              <w:top w:val="nil"/>
              <w:left w:val="nil"/>
              <w:bottom w:val="single" w:sz="4" w:space="0" w:color="auto"/>
              <w:right w:val="single" w:sz="4" w:space="0" w:color="auto"/>
            </w:tcBorders>
            <w:shd w:val="clear" w:color="auto" w:fill="auto"/>
            <w:vAlign w:val="center"/>
          </w:tcPr>
          <w:p w14:paraId="5E586931" w14:textId="6300635D" w:rsidR="00DA2C05" w:rsidRPr="009A742F"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13,233</w:t>
            </w:r>
          </w:p>
        </w:tc>
        <w:tc>
          <w:tcPr>
            <w:tcW w:w="1424" w:type="dxa"/>
            <w:tcBorders>
              <w:top w:val="nil"/>
              <w:left w:val="nil"/>
              <w:bottom w:val="single" w:sz="4" w:space="0" w:color="auto"/>
              <w:right w:val="single" w:sz="4" w:space="0" w:color="auto"/>
            </w:tcBorders>
            <w:shd w:val="clear" w:color="auto" w:fill="auto"/>
            <w:vAlign w:val="center"/>
          </w:tcPr>
          <w:p w14:paraId="00C852BF" w14:textId="20F0D515" w:rsidR="00DA2C05" w:rsidRPr="009A742F" w:rsidRDefault="00DA2C05"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31.99%</w:t>
            </w:r>
          </w:p>
        </w:tc>
      </w:tr>
      <w:tr w:rsidR="00DA2C05" w:rsidRPr="00FB63AD" w14:paraId="3BE49869"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4D262553" w14:textId="77777777" w:rsidR="00DA2C05" w:rsidRPr="00AB1A47" w:rsidRDefault="00DA2C05" w:rsidP="00DA2C05">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B72CDC3" w14:textId="522B487D" w:rsidR="00DA2C05" w:rsidRPr="009A742F"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18,623</w:t>
            </w:r>
          </w:p>
        </w:tc>
        <w:tc>
          <w:tcPr>
            <w:tcW w:w="1128" w:type="dxa"/>
            <w:tcBorders>
              <w:top w:val="nil"/>
              <w:left w:val="nil"/>
              <w:bottom w:val="single" w:sz="4" w:space="0" w:color="auto"/>
              <w:right w:val="single" w:sz="4" w:space="0" w:color="auto"/>
            </w:tcBorders>
            <w:shd w:val="clear" w:color="auto" w:fill="auto"/>
            <w:vAlign w:val="center"/>
          </w:tcPr>
          <w:p w14:paraId="0E4C8384" w14:textId="6188D6A6" w:rsidR="00DA2C05" w:rsidRPr="009A742F"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41,362</w:t>
            </w:r>
          </w:p>
        </w:tc>
        <w:tc>
          <w:tcPr>
            <w:tcW w:w="1424" w:type="dxa"/>
            <w:tcBorders>
              <w:top w:val="nil"/>
              <w:left w:val="nil"/>
              <w:bottom w:val="single" w:sz="4" w:space="0" w:color="auto"/>
              <w:right w:val="single" w:sz="4" w:space="0" w:color="auto"/>
            </w:tcBorders>
            <w:shd w:val="clear" w:color="auto" w:fill="auto"/>
            <w:vAlign w:val="center"/>
          </w:tcPr>
          <w:p w14:paraId="285E11FB" w14:textId="599F8614" w:rsidR="00DA2C05" w:rsidRPr="009A742F"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6349A688" w14:textId="28EAA008"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9EDA47F" w14:textId="34531484" w:rsidR="00432C29" w:rsidRDefault="00432C29">
      <w:pPr>
        <w:spacing w:before="0"/>
        <w:ind w:left="0"/>
        <w:rPr>
          <w:noProof/>
        </w:rPr>
      </w:pPr>
      <w:r>
        <w:rPr>
          <w:noProof/>
        </w:rPr>
        <w:br w:type="page"/>
      </w:r>
    </w:p>
    <w:p w14:paraId="54A80ADA" w14:textId="77777777" w:rsidR="00DE0653" w:rsidRDefault="00DE0653" w:rsidP="00DE0653">
      <w:pPr>
        <w:pStyle w:val="Heading1"/>
        <w:spacing w:before="0"/>
      </w:pPr>
      <w:bookmarkStart w:id="202" w:name="_Toc1131928"/>
      <w:bookmarkStart w:id="203" w:name="_Toc40179163"/>
      <w:r w:rsidRPr="00FB63AD">
        <w:lastRenderedPageBreak/>
        <w:t>Glossary</w:t>
      </w:r>
      <w:bookmarkEnd w:id="202"/>
      <w:bookmarkEnd w:id="203"/>
      <w:r w:rsidRPr="00FB63AD">
        <w:t xml:space="preserve"> </w:t>
      </w:r>
    </w:p>
    <w:p w14:paraId="39FAB231" w14:textId="613857C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192D6C5" w14:textId="29ED0E6E"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9461CA8" w14:textId="2A554E52" w:rsidR="00DE0653" w:rsidRDefault="00DE0653" w:rsidP="00DE0653">
      <w:pPr>
        <w:ind w:left="0"/>
      </w:pPr>
      <w:r w:rsidRPr="00F4796B">
        <w:rPr>
          <w:b/>
        </w:rPr>
        <w:t xml:space="preserve">Caring responsibilities </w:t>
      </w:r>
      <w:r w:rsidR="008E21A0">
        <w:t>–</w:t>
      </w:r>
      <w:r>
        <w:t xml:space="preserve"> means that </w:t>
      </w:r>
      <w:r w:rsidR="008374F1">
        <w:t>Services Australia</w:t>
      </w:r>
      <w:r>
        <w:t xml:space="preserve"> determined the job seeker had caring responsibilities preventing them from complying with the requirement (for example, caring for a sick dependant or relative).</w:t>
      </w:r>
    </w:p>
    <w:p w14:paraId="71C631BE" w14:textId="13002CB8"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B6F489F"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5741ECAD"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17219ECA" w14:textId="5DECBED4" w:rsidR="00DE0653" w:rsidRDefault="00DE0653" w:rsidP="00DE0653">
      <w:pPr>
        <w:ind w:left="0"/>
      </w:pPr>
      <w:r>
        <w:t xml:space="preserve">A </w:t>
      </w:r>
      <w:r w:rsidRPr="00FB63AD">
        <w:t xml:space="preserve">CCA can also be requested at any time by either an employment services provider or </w:t>
      </w:r>
      <w:r w:rsidR="008374F1">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7FD55B1C" w14:textId="47AA660E"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3715361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3C7C513"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1E04BC2"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74C733DB"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191D455B" w14:textId="77777777" w:rsidR="00DE0653" w:rsidRPr="00FB63AD" w:rsidRDefault="00DE0653" w:rsidP="00DE0653">
      <w:pPr>
        <w:ind w:left="0"/>
      </w:pPr>
      <w:r w:rsidRPr="00FB63AD">
        <w:t>Job seekers do not incur financial penalties if they have a Connection Failure applied.</w:t>
      </w:r>
    </w:p>
    <w:p w14:paraId="12FA8403" w14:textId="50152ADF" w:rsidR="00DE0653" w:rsidRDefault="00DE0653" w:rsidP="00DE0653">
      <w:pPr>
        <w:ind w:left="0"/>
      </w:pPr>
      <w:r w:rsidRPr="00F4796B">
        <w:rPr>
          <w:b/>
        </w:rPr>
        <w:t>Cultural / language issues</w:t>
      </w:r>
      <w:r>
        <w:t xml:space="preserve"> </w:t>
      </w:r>
      <w:r w:rsidR="001275A1">
        <w:t>–</w:t>
      </w:r>
      <w:r>
        <w:t xml:space="preserve"> means that </w:t>
      </w:r>
      <w:r w:rsidR="008374F1">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FA7134D" w14:textId="45FEB108"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8374F1">
        <w:t>Services Australia</w:t>
      </w:r>
      <w:r>
        <w:t xml:space="preserve"> and are instead using another method to re-engage the job seeker </w:t>
      </w:r>
      <w:r w:rsidR="001275A1">
        <w:br/>
      </w:r>
      <w:r>
        <w:t>(e.g. booking a new appointment for the job seeker).</w:t>
      </w:r>
    </w:p>
    <w:p w14:paraId="379C2AE5" w14:textId="1794649B"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7D265653" w14:textId="2D46E78C"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2CAA4C4" w14:textId="142DC180"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31FBB5B" w14:textId="3A650499"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3638F31" w14:textId="506E24CB"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D790B77" w14:textId="459C6CC2" w:rsidR="00DE0653" w:rsidRDefault="00DE0653" w:rsidP="00DE0653">
      <w:pPr>
        <w:ind w:left="0"/>
      </w:pPr>
      <w:r w:rsidRPr="00F4796B">
        <w:rPr>
          <w:b/>
        </w:rPr>
        <w:t xml:space="preserve">Homelessness </w:t>
      </w:r>
      <w:r w:rsidR="001275A1">
        <w:t>–</w:t>
      </w:r>
      <w:r>
        <w:t xml:space="preserve"> means that </w:t>
      </w:r>
      <w:r w:rsidR="008374F1">
        <w:t>Services Australia</w:t>
      </w:r>
      <w:r>
        <w:t xml:space="preserve"> determined a job seeker’s homelessness prevented the job seeker from being able to comply with the requirement.</w:t>
      </w:r>
    </w:p>
    <w:p w14:paraId="67B9A4B4" w14:textId="0BF7D664"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8374F1">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8374F1">
        <w:t>Services Australia</w:t>
      </w:r>
      <w:r>
        <w:t xml:space="preserve"> determines that the job seeker had no reasonable excuse for their non-attendance or failed to give prior notice of a reasonable excuse when it was reasonable to expect them to do so.</w:t>
      </w:r>
    </w:p>
    <w:p w14:paraId="57F06A60" w14:textId="51174A60"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76628E">
        <w:t>Services Australia</w:t>
      </w:r>
      <w:r>
        <w:t xml:space="preserve">. Where the Non-Attendance Report is not successfully submitted to </w:t>
      </w:r>
      <w:r w:rsidR="0076628E">
        <w:t>Services Australia</w:t>
      </w:r>
      <w:r>
        <w:t>, the ‘invalid’ reason result will be automatically updated to a ‘discretion’ result.</w:t>
      </w:r>
    </w:p>
    <w:p w14:paraId="3D2DCEAD" w14:textId="2DD15A3F"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15E889C" w14:textId="60B74A4B"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76628E">
        <w:t>Services Australia</w:t>
      </w:r>
      <w:r>
        <w:t xml:space="preserve"> decision-makers are required under social security law to ensure, among other things, that the prospective job met the applicable statutory conditions relating to </w:t>
      </w:r>
      <w:r>
        <w:lastRenderedPageBreak/>
        <w:t>wages and conditions and that the job seeker had the skills to do the work or would have been given appropriate training by the employer to enable them to do the work.</w:t>
      </w:r>
    </w:p>
    <w:p w14:paraId="42AB8045" w14:textId="440ACBD6"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76628E">
        <w:t>Services Australia</w:t>
      </w:r>
      <w:r>
        <w:t xml:space="preserve"> must be satisfied that the job seeker was properly notified of their requirement before a failure can be applied. In these cases, </w:t>
      </w:r>
      <w:r w:rsidR="0076628E">
        <w:t>Services Australia</w:t>
      </w:r>
      <w:r>
        <w:t xml:space="preserve"> was satisfied that this had occurred and found no reason to accept the job seeker’s explanation.</w:t>
      </w:r>
    </w:p>
    <w:p w14:paraId="4864A85D" w14:textId="04762C68"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89BD4B2" w14:textId="3CF5BB5A" w:rsidR="00DE0653" w:rsidRDefault="00DE0653" w:rsidP="00DE0653">
      <w:pPr>
        <w:ind w:left="0"/>
      </w:pPr>
      <w:r w:rsidRPr="00F4796B">
        <w:rPr>
          <w:b/>
        </w:rPr>
        <w:t xml:space="preserve">Job seeker had reasonable excuse </w:t>
      </w:r>
      <w:r w:rsidR="001275A1">
        <w:t>–</w:t>
      </w:r>
      <w:r>
        <w:t xml:space="preserve"> means that </w:t>
      </w:r>
      <w:r w:rsidR="0076628E">
        <w:t>Services Australia</w:t>
      </w:r>
      <w:r>
        <w:t xml:space="preserve"> determined the job seeker had a reasonable excuse for failing to comply with the requirement and therefore a Participation Failure should not be applied.</w:t>
      </w:r>
    </w:p>
    <w:p w14:paraId="6D3B937E" w14:textId="39D10E26"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21963905" w14:textId="2418AA0A"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1B162C31" w14:textId="613FFA21"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CAA1032" w14:textId="24C4EA69" w:rsidR="00DE0653" w:rsidRDefault="00DE0653" w:rsidP="00DE0653">
      <w:pPr>
        <w:ind w:left="0"/>
      </w:pPr>
      <w:r w:rsidRPr="00F4796B">
        <w:rPr>
          <w:b/>
        </w:rPr>
        <w:t xml:space="preserve">Medical reason A </w:t>
      </w:r>
      <w:r w:rsidR="00B10106">
        <w:t>–</w:t>
      </w:r>
      <w:r>
        <w:t xml:space="preserve"> means that </w:t>
      </w:r>
      <w:r w:rsidR="0076628E">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633C1113" w14:textId="07EF1049" w:rsidR="00DE0653" w:rsidRDefault="00DE0653" w:rsidP="00DE0653">
      <w:pPr>
        <w:ind w:left="0"/>
      </w:pPr>
      <w:r w:rsidRPr="00F4796B">
        <w:rPr>
          <w:b/>
        </w:rPr>
        <w:t>Medical reason B</w:t>
      </w:r>
      <w:r>
        <w:t xml:space="preserve"> </w:t>
      </w:r>
      <w:r w:rsidR="00B10106">
        <w:t>–</w:t>
      </w:r>
      <w:r>
        <w:t xml:space="preserve"> means that </w:t>
      </w:r>
      <w:r w:rsidR="0076628E">
        <w:t>Services Australia</w:t>
      </w:r>
      <w:r>
        <w:t xml:space="preserve"> determined a medical reason prevented the job seeker from complying with the requirement and the job seeker provided specific evidence relating to the particular incident.</w:t>
      </w:r>
    </w:p>
    <w:p w14:paraId="1267E79D" w14:textId="4E7BB42B" w:rsidR="00DE0653" w:rsidRDefault="00DE0653" w:rsidP="00DE0653">
      <w:pPr>
        <w:ind w:left="0"/>
      </w:pPr>
      <w:r w:rsidRPr="00F4796B">
        <w:rPr>
          <w:b/>
        </w:rPr>
        <w:t>Nature of requirements</w:t>
      </w:r>
      <w:r>
        <w:t xml:space="preserve"> </w:t>
      </w:r>
      <w:r w:rsidR="00B10106">
        <w:t>–</w:t>
      </w:r>
      <w:r>
        <w:t xml:space="preserve"> means that </w:t>
      </w:r>
      <w:r w:rsidR="0076628E">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72D201E" w14:textId="4EC20C48"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5935ED92" w14:textId="055DF2A9" w:rsidR="00DE0653" w:rsidRDefault="00DE0653" w:rsidP="00DE0653">
      <w:pPr>
        <w:ind w:left="0"/>
      </w:pPr>
      <w:r w:rsidRPr="00F4796B">
        <w:rPr>
          <w:b/>
        </w:rPr>
        <w:lastRenderedPageBreak/>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04E7EF9B" w14:textId="00330255"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0DFC08F" w14:textId="046BC23B" w:rsidR="00DE0653" w:rsidRDefault="00DE0653" w:rsidP="00DE0653">
      <w:pPr>
        <w:ind w:left="0"/>
      </w:pPr>
      <w:r w:rsidRPr="00F4796B">
        <w:rPr>
          <w:b/>
        </w:rPr>
        <w:t xml:space="preserve">No Outcomes </w:t>
      </w:r>
      <w:r w:rsidR="00B10106">
        <w:t>–</w:t>
      </w:r>
      <w:r>
        <w:t xml:space="preserve"> there were no outcomes or other action recommended by </w:t>
      </w:r>
      <w:r w:rsidR="0076628E">
        <w:t>Services Australia</w:t>
      </w:r>
      <w:r>
        <w:t xml:space="preserve"> as part of the CCA. This means that </w:t>
      </w:r>
      <w:r w:rsidR="0076628E">
        <w:t>the 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2EB1115" w14:textId="091FAF7E"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EFB1204" w14:textId="4DBC58B8"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w:t>
      </w:r>
      <w:r w:rsidR="00156208">
        <w:t>y Services Australia</w:t>
      </w:r>
      <w:r w:rsidRPr="00F30D86">
        <w:t xml:space="preserve">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00EF16EC" w14:textId="028AC36E" w:rsidR="00DE0653" w:rsidRDefault="00DE0653" w:rsidP="00DE0653">
      <w:pPr>
        <w:ind w:left="0"/>
      </w:pPr>
      <w:r w:rsidRPr="00F4796B">
        <w:rPr>
          <w:b/>
        </w:rPr>
        <w:t xml:space="preserve">Notifying requirements </w:t>
      </w:r>
      <w:r w:rsidR="00B10106">
        <w:t>–</w:t>
      </w:r>
      <w:r>
        <w:t xml:space="preserve"> means that </w:t>
      </w:r>
      <w:r w:rsidR="0076628E">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F4F0BC3" w14:textId="65DD07A9"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4683223D" w14:textId="6B7BC8F1"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FC560D8" w14:textId="7BE8F62E" w:rsidR="00DE0653" w:rsidRDefault="00DE0653" w:rsidP="00DE0653">
      <w:pPr>
        <w:ind w:left="0"/>
      </w:pPr>
      <w:r w:rsidRPr="00F4796B">
        <w:rPr>
          <w:b/>
        </w:rPr>
        <w:t xml:space="preserve">Other acceptable activity </w:t>
      </w:r>
      <w:r w:rsidR="00B10106">
        <w:t>–</w:t>
      </w:r>
      <w:r>
        <w:t xml:space="preserve"> means that </w:t>
      </w:r>
      <w:r w:rsidR="0076628E">
        <w:t>Services Australia</w:t>
      </w:r>
      <w:r>
        <w:t xml:space="preserve"> determined the job seeker was participating in an activity that made it acceptable not to meet the requirement (for example, undertaking paid work, attending an interview, etc.).</w:t>
      </w:r>
    </w:p>
    <w:p w14:paraId="4220FA69"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63373FA" w14:textId="4116BDAD"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7EF4EB86" w14:textId="34E308E0" w:rsidR="00DE0653" w:rsidRDefault="00DE0653" w:rsidP="00DE0653">
      <w:pPr>
        <w:ind w:left="0"/>
      </w:pPr>
      <w:r w:rsidRPr="00F4796B">
        <w:rPr>
          <w:b/>
        </w:rPr>
        <w:lastRenderedPageBreak/>
        <w:t xml:space="preserve">Personal crisis </w:t>
      </w:r>
      <w:r w:rsidR="00B10106">
        <w:t>–</w:t>
      </w:r>
      <w:r>
        <w:t xml:space="preserve"> means that </w:t>
      </w:r>
      <w:r w:rsidR="0076628E">
        <w:t>Services Australia</w:t>
      </w:r>
      <w:r>
        <w:t xml:space="preserve"> determined a personal crisis prevented the job seeker from complying with the requirement (for example, a bereavement of a family member).</w:t>
      </w:r>
    </w:p>
    <w:p w14:paraId="14FC6C3E" w14:textId="4ABAD9B5"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76628E">
        <w:t>the Services Australia</w:t>
      </w:r>
      <w:r>
        <w:t xml:space="preserve"> decision-maker found that they did not do so in these instances.</w:t>
      </w:r>
    </w:p>
    <w:p w14:paraId="32D1440A" w14:textId="24A3D664"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w:t>
      </w:r>
      <w:r w:rsidR="0076628E">
        <w:t>n to remain and to recommend to Services Australia</w:t>
      </w:r>
      <w:r>
        <w:t xml:space="preserve"> that a financial penalty be applied.  </w:t>
      </w:r>
    </w:p>
    <w:p w14:paraId="212C1258" w14:textId="75EDC2C9"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2C88439" w14:textId="7578FFEA"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518558C5" w14:textId="09D2478C"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e-engagement appointment o</w:t>
      </w:r>
      <w:r w:rsidR="005174BB">
        <w:t>r if the provider reports to 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3AB6426" w14:textId="3952AE78"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76628E">
        <w:t>Services Australia</w:t>
      </w:r>
      <w:r>
        <w:t xml:space="preserve">. </w:t>
      </w:r>
    </w:p>
    <w:p w14:paraId="612DAC77" w14:textId="67FA3DC3"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03E46F2" w14:textId="5A0C44F6" w:rsidR="00DE0653" w:rsidRDefault="00DE0653" w:rsidP="00DE0653">
      <w:pPr>
        <w:ind w:left="0"/>
      </w:pPr>
      <w:r w:rsidRPr="00F4796B">
        <w:rPr>
          <w:b/>
        </w:rPr>
        <w:t xml:space="preserve">Submitting PRs/PARs </w:t>
      </w:r>
      <w:r w:rsidR="0076628E">
        <w:t>- means that 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034731A" w14:textId="46CFC238"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76628E">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57308755" w14:textId="7A427054" w:rsidR="00DE0653" w:rsidRDefault="0076628E" w:rsidP="00DE0653">
      <w:pPr>
        <w:ind w:left="0"/>
      </w:pPr>
      <w:r>
        <w:rPr>
          <w:b/>
        </w:rPr>
        <w:t>Services Australia</w:t>
      </w:r>
      <w:r w:rsidR="00DE0653" w:rsidRPr="00F4796B">
        <w:rPr>
          <w:b/>
        </w:rPr>
        <w:t xml:space="preserve"> </w:t>
      </w:r>
      <w:r w:rsidR="00DE0653">
        <w:t xml:space="preserve">– </w:t>
      </w:r>
      <w:r>
        <w:t>The establishment of Services Australia was announced on 26 May 2019. Data releases dated prior to this may refer to Department of Human Services or Centrelink instead of Services Australia.</w:t>
      </w:r>
    </w:p>
    <w:p w14:paraId="7BC4AE61" w14:textId="248DDF9C" w:rsidR="00DE0653" w:rsidRPr="006C321A" w:rsidRDefault="00DE0653" w:rsidP="00DE0653">
      <w:pPr>
        <w:ind w:left="0"/>
      </w:pPr>
      <w:r w:rsidRPr="006C321A">
        <w:rPr>
          <w:b/>
        </w:rPr>
        <w:lastRenderedPageBreak/>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4362ABA9" w14:textId="1B24363F" w:rsidR="00DE0653" w:rsidRDefault="00DE0653" w:rsidP="00DE0653">
      <w:pPr>
        <w:ind w:left="0"/>
      </w:pPr>
      <w:r w:rsidRPr="00F4796B">
        <w:rPr>
          <w:b/>
        </w:rPr>
        <w:t>Transport difficulties -</w:t>
      </w:r>
      <w:r>
        <w:t xml:space="preserve"> means that </w:t>
      </w:r>
      <w:r w:rsidR="0076628E">
        <w:t>Services Australia</w:t>
      </w:r>
      <w:r>
        <w:t xml:space="preserve"> determined unforeseeable transport difficulties prevented the job seeker from complying with the requirement (for example, a car breaking down or public transport services being cancelled or disrupted).</w:t>
      </w:r>
    </w:p>
    <w:p w14:paraId="3B6045F1" w14:textId="2768B93C"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767F654" w14:textId="7796E85E"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A61F52A" w14:textId="77777777" w:rsidR="00DE0653" w:rsidRPr="00FB63AD" w:rsidRDefault="00DE0653" w:rsidP="00DE0653">
      <w:pPr>
        <w:spacing w:before="360" w:after="120"/>
        <w:ind w:left="-142" w:firstLine="142"/>
        <w:rPr>
          <w:b/>
        </w:rPr>
      </w:pPr>
      <w:r w:rsidRPr="00FB63AD">
        <w:rPr>
          <w:b/>
        </w:rPr>
        <w:t xml:space="preserve">Notes: </w:t>
      </w:r>
    </w:p>
    <w:p w14:paraId="4B0747D0" w14:textId="70EF2B4A"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A0477C">
        <w:t>second</w:t>
      </w:r>
      <w:r w:rsidR="00661109" w:rsidRPr="00FB63AD">
        <w:t xml:space="preserve"> quarter of the 201</w:t>
      </w:r>
      <w:r w:rsidR="00661109">
        <w:t>9 - 20</w:t>
      </w:r>
      <w:r w:rsidR="00661109" w:rsidRPr="00FB63AD">
        <w:t xml:space="preserve"> </w:t>
      </w:r>
      <w:r w:rsidRPr="00FB63AD">
        <w:t xml:space="preserve">financial year (i.e. applied/finalised in the period </w:t>
      </w:r>
      <w:r w:rsidR="00661109" w:rsidRPr="00FB63AD">
        <w:t>1/</w:t>
      </w:r>
      <w:r w:rsidR="00A0477C">
        <w:t>10</w:t>
      </w:r>
      <w:r w:rsidR="00661109" w:rsidRPr="00FB63AD">
        <w:t>/201</w:t>
      </w:r>
      <w:r w:rsidR="00661109">
        <w:t>9</w:t>
      </w:r>
      <w:r w:rsidR="00661109" w:rsidRPr="00FB63AD">
        <w:t xml:space="preserve"> – </w:t>
      </w:r>
      <w:r w:rsidR="00A0477C">
        <w:t>31/12</w:t>
      </w:r>
      <w:r w:rsidR="00661109">
        <w:t>/2019</w:t>
      </w:r>
      <w:r w:rsidR="00661109" w:rsidRPr="00FB63AD">
        <w:t xml:space="preserve"> </w:t>
      </w:r>
      <w:r w:rsidRPr="00FB63AD">
        <w:t xml:space="preserve">inclusive) and not under review, revoked or otherwise overturned as at </w:t>
      </w:r>
      <w:r w:rsidR="00661109" w:rsidRPr="00FB63AD">
        <w:t>1</w:t>
      </w:r>
      <w:r w:rsidR="00661109">
        <w:t xml:space="preserve">4 </w:t>
      </w:r>
      <w:r w:rsidR="00A0477C">
        <w:t>February 2020</w:t>
      </w:r>
      <w:r w:rsidRPr="00FB63AD">
        <w:t xml:space="preserve">. This lag is to allow for reviews and appeals to be finalised. </w:t>
      </w:r>
    </w:p>
    <w:p w14:paraId="715AE48E" w14:textId="735D597A"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46FF0E4D" w14:textId="602CDE8F"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41D47D69"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FDBEC08"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1"/>
      <w:footerReference w:type="default" r:id="rId12"/>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D578" w14:textId="77777777" w:rsidR="00187EB6" w:rsidRDefault="00187EB6" w:rsidP="00C7637E">
      <w:pPr>
        <w:spacing w:before="0" w:after="0" w:line="240" w:lineRule="auto"/>
      </w:pPr>
      <w:r>
        <w:separator/>
      </w:r>
    </w:p>
  </w:endnote>
  <w:endnote w:type="continuationSeparator" w:id="0">
    <w:p w14:paraId="3125208A" w14:textId="77777777" w:rsidR="00187EB6" w:rsidRDefault="00187EB6"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6DEC8A4C" w14:textId="7E728916" w:rsidR="00187EB6" w:rsidRDefault="00187EB6">
        <w:pPr>
          <w:pStyle w:val="Footer"/>
        </w:pPr>
        <w:r>
          <w:fldChar w:fldCharType="begin"/>
        </w:r>
        <w:r>
          <w:instrText xml:space="preserve"> PAGE   \* MERGEFORMAT </w:instrText>
        </w:r>
        <w:r>
          <w:fldChar w:fldCharType="separate"/>
        </w:r>
        <w:r w:rsidR="006D017A">
          <w:rPr>
            <w:noProof/>
          </w:rPr>
          <w:t>1</w:t>
        </w:r>
        <w:r>
          <w:rPr>
            <w:noProof/>
          </w:rPr>
          <w:fldChar w:fldCharType="end"/>
        </w:r>
      </w:p>
    </w:sdtContent>
  </w:sdt>
  <w:p w14:paraId="6555066E" w14:textId="77777777" w:rsidR="00187EB6" w:rsidRDefault="0018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4284" w14:textId="77777777" w:rsidR="00187EB6" w:rsidRDefault="00187EB6" w:rsidP="00C7637E">
      <w:pPr>
        <w:spacing w:before="0" w:after="0" w:line="240" w:lineRule="auto"/>
      </w:pPr>
      <w:r>
        <w:separator/>
      </w:r>
    </w:p>
  </w:footnote>
  <w:footnote w:type="continuationSeparator" w:id="0">
    <w:p w14:paraId="07BAAFC9" w14:textId="77777777" w:rsidR="00187EB6" w:rsidRDefault="00187EB6"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8DBA" w14:textId="382A4B46" w:rsidR="00187EB6" w:rsidRDefault="00187EB6" w:rsidP="00CC1242">
    <w:pPr>
      <w:pStyle w:val="Header"/>
      <w:jc w:val="center"/>
    </w:pPr>
    <w:r>
      <w:t>Community Development Program (CDP) December 2019 Quarterly Compliance Data</w:t>
    </w:r>
  </w:p>
  <w:p w14:paraId="66E8B42E" w14:textId="77777777" w:rsidR="00187EB6" w:rsidRPr="00B10E31" w:rsidRDefault="00187EB6"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5"/>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6E94"/>
    <w:rsid w:val="00007277"/>
    <w:rsid w:val="00010AB5"/>
    <w:rsid w:val="00011B96"/>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0D79"/>
    <w:rsid w:val="00041A58"/>
    <w:rsid w:val="00041C6E"/>
    <w:rsid w:val="00043B1A"/>
    <w:rsid w:val="00043EC9"/>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561"/>
    <w:rsid w:val="000C5CB6"/>
    <w:rsid w:val="000D0FBC"/>
    <w:rsid w:val="000D1CD8"/>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4930"/>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56208"/>
    <w:rsid w:val="00160B1A"/>
    <w:rsid w:val="00163A63"/>
    <w:rsid w:val="00165278"/>
    <w:rsid w:val="00165363"/>
    <w:rsid w:val="001655D5"/>
    <w:rsid w:val="00166CCE"/>
    <w:rsid w:val="001673A8"/>
    <w:rsid w:val="00174B14"/>
    <w:rsid w:val="001752BB"/>
    <w:rsid w:val="00175324"/>
    <w:rsid w:val="00176227"/>
    <w:rsid w:val="0017743D"/>
    <w:rsid w:val="001774BF"/>
    <w:rsid w:val="00182485"/>
    <w:rsid w:val="001833F0"/>
    <w:rsid w:val="001840B1"/>
    <w:rsid w:val="001873B0"/>
    <w:rsid w:val="00187AE6"/>
    <w:rsid w:val="00187EB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07"/>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22E1"/>
    <w:rsid w:val="00253794"/>
    <w:rsid w:val="00254271"/>
    <w:rsid w:val="00254CE7"/>
    <w:rsid w:val="0025563A"/>
    <w:rsid w:val="002567EB"/>
    <w:rsid w:val="0026117D"/>
    <w:rsid w:val="0026140B"/>
    <w:rsid w:val="002619C1"/>
    <w:rsid w:val="00263D6A"/>
    <w:rsid w:val="0026402F"/>
    <w:rsid w:val="00266AE0"/>
    <w:rsid w:val="00266FAE"/>
    <w:rsid w:val="00270749"/>
    <w:rsid w:val="00271E69"/>
    <w:rsid w:val="00272E0B"/>
    <w:rsid w:val="0027383C"/>
    <w:rsid w:val="002744EA"/>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AE5"/>
    <w:rsid w:val="003C7CB4"/>
    <w:rsid w:val="003C7D21"/>
    <w:rsid w:val="003C7EE2"/>
    <w:rsid w:val="003D167A"/>
    <w:rsid w:val="003D1ED2"/>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17F65"/>
    <w:rsid w:val="00422B7B"/>
    <w:rsid w:val="004242C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551"/>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A1E08"/>
    <w:rsid w:val="004A24DC"/>
    <w:rsid w:val="004A318C"/>
    <w:rsid w:val="004A4AED"/>
    <w:rsid w:val="004A5444"/>
    <w:rsid w:val="004B01E9"/>
    <w:rsid w:val="004B0A32"/>
    <w:rsid w:val="004B0B70"/>
    <w:rsid w:val="004B1201"/>
    <w:rsid w:val="004B2B7B"/>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6CA"/>
    <w:rsid w:val="0051372F"/>
    <w:rsid w:val="00513ECC"/>
    <w:rsid w:val="005153DC"/>
    <w:rsid w:val="00516E85"/>
    <w:rsid w:val="0051740C"/>
    <w:rsid w:val="005174BB"/>
    <w:rsid w:val="005213DD"/>
    <w:rsid w:val="0052148B"/>
    <w:rsid w:val="005216B3"/>
    <w:rsid w:val="00525FAF"/>
    <w:rsid w:val="0052616D"/>
    <w:rsid w:val="0052683C"/>
    <w:rsid w:val="00530268"/>
    <w:rsid w:val="00530897"/>
    <w:rsid w:val="00530DEC"/>
    <w:rsid w:val="00532644"/>
    <w:rsid w:val="0053381D"/>
    <w:rsid w:val="005339AE"/>
    <w:rsid w:val="00534A5F"/>
    <w:rsid w:val="00535A4C"/>
    <w:rsid w:val="00535D22"/>
    <w:rsid w:val="00536253"/>
    <w:rsid w:val="00536F6B"/>
    <w:rsid w:val="005370E3"/>
    <w:rsid w:val="00537BA0"/>
    <w:rsid w:val="005407FF"/>
    <w:rsid w:val="00540F11"/>
    <w:rsid w:val="00541CF6"/>
    <w:rsid w:val="0054297A"/>
    <w:rsid w:val="005447E5"/>
    <w:rsid w:val="00545757"/>
    <w:rsid w:val="00545868"/>
    <w:rsid w:val="00545DCE"/>
    <w:rsid w:val="00547020"/>
    <w:rsid w:val="00551670"/>
    <w:rsid w:val="0055177A"/>
    <w:rsid w:val="005518FC"/>
    <w:rsid w:val="00552FF3"/>
    <w:rsid w:val="005532F7"/>
    <w:rsid w:val="00553D5D"/>
    <w:rsid w:val="0055461F"/>
    <w:rsid w:val="00555935"/>
    <w:rsid w:val="00560EE2"/>
    <w:rsid w:val="005611A6"/>
    <w:rsid w:val="00561646"/>
    <w:rsid w:val="00561868"/>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6B39"/>
    <w:rsid w:val="005C78F2"/>
    <w:rsid w:val="005D201C"/>
    <w:rsid w:val="005D28FD"/>
    <w:rsid w:val="005D2B50"/>
    <w:rsid w:val="005D34B6"/>
    <w:rsid w:val="005D6DCF"/>
    <w:rsid w:val="005D768E"/>
    <w:rsid w:val="005D78B2"/>
    <w:rsid w:val="005D7D8A"/>
    <w:rsid w:val="005E166C"/>
    <w:rsid w:val="005E21D1"/>
    <w:rsid w:val="005E3E87"/>
    <w:rsid w:val="005E6BA6"/>
    <w:rsid w:val="005E6C16"/>
    <w:rsid w:val="005F07EC"/>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599C"/>
    <w:rsid w:val="006361C5"/>
    <w:rsid w:val="006366A0"/>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9718D"/>
    <w:rsid w:val="006A0375"/>
    <w:rsid w:val="006A1A97"/>
    <w:rsid w:val="006A3567"/>
    <w:rsid w:val="006A5727"/>
    <w:rsid w:val="006B08FD"/>
    <w:rsid w:val="006B0DD7"/>
    <w:rsid w:val="006B140A"/>
    <w:rsid w:val="006B40A9"/>
    <w:rsid w:val="006B5D27"/>
    <w:rsid w:val="006C11D0"/>
    <w:rsid w:val="006C1C76"/>
    <w:rsid w:val="006C2A9E"/>
    <w:rsid w:val="006C321A"/>
    <w:rsid w:val="006C72D6"/>
    <w:rsid w:val="006D017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18B"/>
    <w:rsid w:val="006E7294"/>
    <w:rsid w:val="006F17C2"/>
    <w:rsid w:val="006F1C51"/>
    <w:rsid w:val="006F4639"/>
    <w:rsid w:val="006F495A"/>
    <w:rsid w:val="006F5FD2"/>
    <w:rsid w:val="006F639A"/>
    <w:rsid w:val="006F7CD0"/>
    <w:rsid w:val="00701E19"/>
    <w:rsid w:val="0070239B"/>
    <w:rsid w:val="0070381D"/>
    <w:rsid w:val="00703FB9"/>
    <w:rsid w:val="00704537"/>
    <w:rsid w:val="007053BA"/>
    <w:rsid w:val="00710C54"/>
    <w:rsid w:val="00710EC0"/>
    <w:rsid w:val="007118A9"/>
    <w:rsid w:val="0071706D"/>
    <w:rsid w:val="00722947"/>
    <w:rsid w:val="00722FEB"/>
    <w:rsid w:val="00723F71"/>
    <w:rsid w:val="00725B7E"/>
    <w:rsid w:val="00727A5A"/>
    <w:rsid w:val="007304D5"/>
    <w:rsid w:val="00732052"/>
    <w:rsid w:val="0073241E"/>
    <w:rsid w:val="00733692"/>
    <w:rsid w:val="00733E11"/>
    <w:rsid w:val="00734B18"/>
    <w:rsid w:val="00734F71"/>
    <w:rsid w:val="00736722"/>
    <w:rsid w:val="00737E6B"/>
    <w:rsid w:val="007418F1"/>
    <w:rsid w:val="007448C7"/>
    <w:rsid w:val="00744F51"/>
    <w:rsid w:val="007501F1"/>
    <w:rsid w:val="00751810"/>
    <w:rsid w:val="00754216"/>
    <w:rsid w:val="00755C9B"/>
    <w:rsid w:val="007578AE"/>
    <w:rsid w:val="00760643"/>
    <w:rsid w:val="0076184B"/>
    <w:rsid w:val="00761DFE"/>
    <w:rsid w:val="0076290C"/>
    <w:rsid w:val="00762D31"/>
    <w:rsid w:val="0076628E"/>
    <w:rsid w:val="00767880"/>
    <w:rsid w:val="007678D3"/>
    <w:rsid w:val="00770A15"/>
    <w:rsid w:val="007724EE"/>
    <w:rsid w:val="00772852"/>
    <w:rsid w:val="00773871"/>
    <w:rsid w:val="00773C00"/>
    <w:rsid w:val="00773D41"/>
    <w:rsid w:val="007749C2"/>
    <w:rsid w:val="00775A25"/>
    <w:rsid w:val="00777286"/>
    <w:rsid w:val="0077749D"/>
    <w:rsid w:val="007804E2"/>
    <w:rsid w:val="007816ED"/>
    <w:rsid w:val="00785131"/>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5D60"/>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9FB"/>
    <w:rsid w:val="008215BF"/>
    <w:rsid w:val="00824B79"/>
    <w:rsid w:val="00825046"/>
    <w:rsid w:val="00826D39"/>
    <w:rsid w:val="008271AD"/>
    <w:rsid w:val="00832547"/>
    <w:rsid w:val="00834022"/>
    <w:rsid w:val="0083597C"/>
    <w:rsid w:val="00835C55"/>
    <w:rsid w:val="00836144"/>
    <w:rsid w:val="008374F1"/>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604D"/>
    <w:rsid w:val="0088722A"/>
    <w:rsid w:val="008879D9"/>
    <w:rsid w:val="00887E4E"/>
    <w:rsid w:val="00891CB6"/>
    <w:rsid w:val="008958DB"/>
    <w:rsid w:val="008971E5"/>
    <w:rsid w:val="00897682"/>
    <w:rsid w:val="008A236F"/>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5F5"/>
    <w:rsid w:val="0092180C"/>
    <w:rsid w:val="00921A3D"/>
    <w:rsid w:val="00921EC8"/>
    <w:rsid w:val="00922FB4"/>
    <w:rsid w:val="009235C4"/>
    <w:rsid w:val="00923758"/>
    <w:rsid w:val="00925F0D"/>
    <w:rsid w:val="00931535"/>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3E6E"/>
    <w:rsid w:val="009A4B7D"/>
    <w:rsid w:val="009A4DB3"/>
    <w:rsid w:val="009A69DA"/>
    <w:rsid w:val="009B57A1"/>
    <w:rsid w:val="009B7A75"/>
    <w:rsid w:val="009B7E06"/>
    <w:rsid w:val="009C0637"/>
    <w:rsid w:val="009C2A40"/>
    <w:rsid w:val="009C4772"/>
    <w:rsid w:val="009C4CF0"/>
    <w:rsid w:val="009C5A40"/>
    <w:rsid w:val="009C5A53"/>
    <w:rsid w:val="009D0A1B"/>
    <w:rsid w:val="009D3E40"/>
    <w:rsid w:val="009D509B"/>
    <w:rsid w:val="009D5107"/>
    <w:rsid w:val="009D52B3"/>
    <w:rsid w:val="009D70B3"/>
    <w:rsid w:val="009D718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477C"/>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2299D"/>
    <w:rsid w:val="00A24584"/>
    <w:rsid w:val="00A2691F"/>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67A6B"/>
    <w:rsid w:val="00A717C5"/>
    <w:rsid w:val="00A71B17"/>
    <w:rsid w:val="00A72AC3"/>
    <w:rsid w:val="00A73CA0"/>
    <w:rsid w:val="00A75AD8"/>
    <w:rsid w:val="00A75C1F"/>
    <w:rsid w:val="00A81619"/>
    <w:rsid w:val="00A8161C"/>
    <w:rsid w:val="00A835FD"/>
    <w:rsid w:val="00A9033B"/>
    <w:rsid w:val="00A95E85"/>
    <w:rsid w:val="00A96A0F"/>
    <w:rsid w:val="00AA2846"/>
    <w:rsid w:val="00AA35D3"/>
    <w:rsid w:val="00AA54C0"/>
    <w:rsid w:val="00AA7BFD"/>
    <w:rsid w:val="00AB1A47"/>
    <w:rsid w:val="00AB2B8C"/>
    <w:rsid w:val="00AB5A1E"/>
    <w:rsid w:val="00AB7339"/>
    <w:rsid w:val="00AB7504"/>
    <w:rsid w:val="00AB7AAD"/>
    <w:rsid w:val="00AC09BA"/>
    <w:rsid w:val="00AC1296"/>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183C"/>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2F73"/>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77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C7BF2"/>
    <w:rsid w:val="00BD1FA2"/>
    <w:rsid w:val="00BD3AE5"/>
    <w:rsid w:val="00BD4398"/>
    <w:rsid w:val="00BE0AA2"/>
    <w:rsid w:val="00BE1128"/>
    <w:rsid w:val="00BE3379"/>
    <w:rsid w:val="00BE3FE7"/>
    <w:rsid w:val="00BE4DE1"/>
    <w:rsid w:val="00BE5596"/>
    <w:rsid w:val="00BE709E"/>
    <w:rsid w:val="00BE70FB"/>
    <w:rsid w:val="00BF0D18"/>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2F72"/>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7AB5"/>
    <w:rsid w:val="00D21B26"/>
    <w:rsid w:val="00D22C5D"/>
    <w:rsid w:val="00D25292"/>
    <w:rsid w:val="00D258E8"/>
    <w:rsid w:val="00D25F71"/>
    <w:rsid w:val="00D307AF"/>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815BB"/>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5FD3"/>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5806"/>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1EA3"/>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4A20"/>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672"/>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5685"/>
    <w:rsid w:val="00EC6C40"/>
    <w:rsid w:val="00ED156C"/>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78"/>
    <w:rsid w:val="00F579D8"/>
    <w:rsid w:val="00F61D34"/>
    <w:rsid w:val="00F63515"/>
    <w:rsid w:val="00F65A2D"/>
    <w:rsid w:val="00F664ED"/>
    <w:rsid w:val="00F6745B"/>
    <w:rsid w:val="00F67EF7"/>
    <w:rsid w:val="00F723D7"/>
    <w:rsid w:val="00F73D01"/>
    <w:rsid w:val="00F74E10"/>
    <w:rsid w:val="00F74FB1"/>
    <w:rsid w:val="00F757B0"/>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266D"/>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5B2ACE"/>
  <w15:docId w15:val="{6D097DA0-3A0B-423A-8B91-567790F7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character" w:customStyle="1" w:styleId="NoSpacingChar">
    <w:name w:val="No Spacing Char"/>
    <w:basedOn w:val="DefaultParagraphFont"/>
    <w:link w:val="NoSpacing"/>
    <w:uiPriority w:val="1"/>
    <w:rsid w:val="00733692"/>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1673A8"/>
    <w:pPr>
      <w:tabs>
        <w:tab w:val="right" w:leader="dot" w:pos="14884"/>
      </w:tabs>
      <w:spacing w:before="0" w:after="0"/>
      <w:ind w:left="-142"/>
    </w:pPr>
    <w:rPr>
      <w:b/>
    </w:rPr>
  </w:style>
  <w:style w:type="paragraph" w:styleId="TOC2">
    <w:name w:val="toc 2"/>
    <w:basedOn w:val="Normal"/>
    <w:next w:val="Normal"/>
    <w:autoRedefine/>
    <w:uiPriority w:val="39"/>
    <w:unhideWhenUsed/>
    <w:qFormat/>
    <w:rsid w:val="001673A8"/>
    <w:pPr>
      <w:tabs>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1673A8"/>
    <w:pPr>
      <w:tabs>
        <w:tab w:val="right" w:leader="dot" w:pos="14884"/>
      </w:tabs>
      <w:spacing w:before="0" w:after="0"/>
      <w:ind w:left="-1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DOC20-160224</ShareHubID>
    <PMCNotes xmlns="166541c0-0594-4e6a-9105-c24d4b6de6f7" xsi:nil="true"/>
    <TaxCatchAll xmlns="166541c0-0594-4e6a-9105-c24d4b6de6f7">
      <Value>29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C636-8A46-4B86-81FA-F387F8F1F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3.xml><?xml version="1.0" encoding="utf-8"?>
<ds:datastoreItem xmlns:ds="http://schemas.openxmlformats.org/officeDocument/2006/customXml" ds:itemID="{710C8B85-4078-4BF8-9542-46C0867C73B1}">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37C7B50C-7D8A-45DB-9BE5-E9548387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9062</Words>
  <Characters>51657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March Community Development Program Quarterly Compliance Data</vt:lpstr>
    </vt:vector>
  </TitlesOfParts>
  <Company>Australian Government</Company>
  <LinksUpToDate>false</LinksUpToDate>
  <CharactersWithSpaces>60598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December 2019 Quarterly Compliance Data</dc:title>
  <dc:subject/>
  <dc:creator>Natinal Indigenous Australians Agency</dc:creator>
  <cp:keywords/>
  <dc:description/>
  <cp:lastModifiedBy>Cameron, Suzana</cp:lastModifiedBy>
  <cp:revision>3</cp:revision>
  <cp:lastPrinted>2019-08-02T07:30:00Z</cp:lastPrinted>
  <dcterms:created xsi:type="dcterms:W3CDTF">2020-05-19T06:37:00Z</dcterms:created>
  <dcterms:modified xsi:type="dcterms:W3CDTF">2020-06-16T04:13:00Z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PMC.ESearch.TagGeneratedTime">
    <vt:lpwstr>2020-06-16T20:39:18</vt:lpwstr>
  </property>
</Properties>
</file>