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78ADDFAA" w14:textId="7E5898BF" w:rsidR="00733692" w:rsidRPr="00733692" w:rsidRDefault="00733692" w:rsidP="00733692">
          <w:pPr>
            <w:pStyle w:val="Title"/>
          </w:pPr>
          <w:r w:rsidRPr="00733692">
            <w:t>Community Development Program (CDP) September 2019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59B9A6BC" w14:textId="61761AC9" w:rsidR="00733692" w:rsidRDefault="007A3CAF">
          <w:pPr>
            <w:pStyle w:val="TOCHeading"/>
          </w:pPr>
          <w:r>
            <w:t>Table of Contents</w:t>
          </w:r>
        </w:p>
        <w:p w14:paraId="468A2245" w14:textId="079FF3F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3C517B65" w14:textId="4AAB9188" w:rsidR="00A835FD" w:rsidRDefault="007A5E7C">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1CF7B2BA" w14:textId="19E910DA" w:rsidR="00A835FD" w:rsidRDefault="007A5E7C">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659045A9" w14:textId="057FC660" w:rsidR="00A835FD" w:rsidRPr="00A835FD" w:rsidRDefault="007A5E7C">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6ACD5828" w14:textId="61FC0EC2" w:rsidR="00A835FD" w:rsidRPr="00A835FD" w:rsidRDefault="007A5E7C">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62BBE8B8" w14:textId="26244887" w:rsidR="00A835FD" w:rsidRDefault="007A5E7C">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5DDBD427" w14:textId="75AD187D" w:rsidR="00A835FD" w:rsidRDefault="007A5E7C">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5566B8EE" w14:textId="3497B408" w:rsidR="00A835FD" w:rsidRDefault="007A5E7C">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Reasons for providers reporting non-compliance to the Department of Human Services</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60D1575A" w14:textId="57E6183C" w:rsidR="00A835FD" w:rsidRDefault="007A5E7C">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A835FD" w:rsidRPr="001A4DB0">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5A11102E" w14:textId="2D8FF1D7" w:rsidR="00A835FD" w:rsidRDefault="007A5E7C">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A835FD" w:rsidRPr="00A835FD">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5BA6918C" w14:textId="641A48BF" w:rsidR="00A835FD" w:rsidRPr="00A835FD" w:rsidRDefault="007A5E7C">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Participation Failures applied by the Department of Human Services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202A83B9" w14:textId="532C060D" w:rsidR="00A835FD" w:rsidRPr="00A835FD" w:rsidRDefault="007A5E7C">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1A0C1E36" w14:textId="5358A956" w:rsidR="00A835FD" w:rsidRPr="00A835FD" w:rsidRDefault="007A5E7C">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5DEFB477" w14:textId="62C34E0C" w:rsidR="00A835FD" w:rsidRPr="00A835FD" w:rsidRDefault="007A5E7C">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4FEB1192" w14:textId="79845762" w:rsidR="00A835FD" w:rsidRDefault="007A5E7C">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r past 12 months (as at 30 September</w:t>
            </w:r>
            <w:r w:rsidR="00A835FD" w:rsidRPr="001A4DB0">
              <w:rPr>
                <w:rStyle w:val="Hyperlink"/>
                <w:noProof/>
              </w:rPr>
              <w:t xml:space="preserve"> 2019)</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080DEDCD" w14:textId="62274E16" w:rsidR="00A835FD" w:rsidRDefault="007A5E7C">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19688A32" w14:textId="106DE9C9" w:rsidR="00A835FD" w:rsidRDefault="007A5E7C">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5A8A66E5" w14:textId="6B8215D1" w:rsidR="00A835FD" w:rsidRPr="00A835FD" w:rsidRDefault="007A5E7C">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0A9A4B04" w14:textId="04A119D9" w:rsidR="00A835FD" w:rsidRPr="00A835FD" w:rsidRDefault="007A5E7C">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5C3C9A8A" w14:textId="45C29D54" w:rsidR="00A835FD" w:rsidRDefault="007A5E7C">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1C0181EB" w14:textId="04D15366" w:rsidR="00A835FD" w:rsidRDefault="007A5E7C">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00E1C96D" w14:textId="16EAB8FF" w:rsidR="00A835FD" w:rsidRDefault="007A5E7C">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70F8FEC9" w14:textId="56C1D8C3" w:rsidR="00A835FD" w:rsidRPr="00A835FD" w:rsidRDefault="007A5E7C">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Non Payment Periods (Serious and UNPPs)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1B535AF6" w14:textId="146A9AFF" w:rsidR="00A835FD" w:rsidRPr="00A835FD" w:rsidRDefault="007A5E7C">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Short Term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67D54AA2" w14:textId="2012371C" w:rsidR="00A835FD" w:rsidRPr="00A835FD" w:rsidRDefault="007A5E7C">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Total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7C9D1CB0" w14:textId="737DF871" w:rsidR="00A835FD" w:rsidRPr="00A835FD" w:rsidRDefault="007A5E7C">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Income Support Payment Suspensions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32628519" w14:textId="352026B3" w:rsidR="00A835FD" w:rsidRDefault="007A5E7C">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0898DEFC" w14:textId="3BCC2565" w:rsidR="00A835FD" w:rsidRPr="00A835FD" w:rsidRDefault="007A5E7C">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Non Payment Periods (Serious and UNPPs)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BAF2749" w14:textId="4A03C2B1" w:rsidR="00A835FD" w:rsidRPr="00A835FD" w:rsidRDefault="007A5E7C">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Short Term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39830F22" w14:textId="411DA853" w:rsidR="00A835FD" w:rsidRPr="00A835FD" w:rsidRDefault="007A5E7C">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Total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73E86FAD" w14:textId="2698CE16" w:rsidR="00A835FD" w:rsidRPr="00A835FD" w:rsidRDefault="007A5E7C">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Income Support Payment Suspensions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3711485E" w14:textId="026130F5" w:rsidR="00A835FD" w:rsidRDefault="007A5E7C">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2D121631" w14:textId="036A14B5" w:rsidR="00A835FD" w:rsidRPr="00A835FD" w:rsidRDefault="007A5E7C">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Non Payment Periods (Serious and UNPPs)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29EA19B0" w14:textId="25DEA3A4" w:rsidR="00A835FD" w:rsidRPr="00A835FD" w:rsidRDefault="007A5E7C">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Short Term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14E83E25" w14:textId="48983306" w:rsidR="00A835FD" w:rsidRPr="00A835FD" w:rsidRDefault="007A5E7C">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Total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2CA4D6AD" w14:textId="007E7777" w:rsidR="00A835FD" w:rsidRPr="00A835FD" w:rsidRDefault="007A5E7C">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Income Support Payment Suspensions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4ACC7E64" w14:textId="0A894EB9" w:rsidR="00A835FD" w:rsidRPr="00A835FD" w:rsidRDefault="007A5E7C">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E93EC3F" w14:textId="009240FF" w:rsidR="00A835FD" w:rsidRDefault="007A5E7C"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Non Payment Periods (Serious and UNPPs)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3BE8C764" w14:textId="018881E4" w:rsidR="00A835FD" w:rsidRPr="00A835FD" w:rsidRDefault="007A5E7C"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Short Term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723BF075" w14:textId="4967FA24" w:rsidR="00A835FD" w:rsidRPr="00A835FD" w:rsidRDefault="007A5E7C"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Total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7B563009" w14:textId="59E9E5D0" w:rsidR="00A835FD" w:rsidRPr="00A835FD" w:rsidRDefault="007A5E7C"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Income Support Payment Suspensions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347DD071" w14:textId="506640F4" w:rsidR="00A835FD" w:rsidRDefault="007A5E7C">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59B25824" w14:textId="78D68B72" w:rsidR="00A835FD" w:rsidRPr="00A835FD" w:rsidRDefault="007A5E7C">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Non Payment Periods (Serious and UNPPs)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29EC35CB" w14:textId="19581E51" w:rsidR="00A835FD" w:rsidRPr="00A835FD" w:rsidRDefault="007A5E7C">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Short Term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5D888FB" w14:textId="3CDA0528" w:rsidR="00A835FD" w:rsidRPr="00A835FD" w:rsidRDefault="007A5E7C">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Total Financial Penalties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3F0BF607" w14:textId="6CFF3BD3" w:rsidR="00A835FD" w:rsidRPr="00A835FD" w:rsidRDefault="007A5E7C">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Income Support Payment Suspensions 1 July to 30 September 2019</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48EA3326" w14:textId="6C6329A5" w:rsidR="00A835FD" w:rsidRDefault="007A5E7C">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63BFF3AD" w14:textId="230D0BCB" w:rsidR="007A3CAF" w:rsidRDefault="007A3CAF">
          <w:r>
            <w:rPr>
              <w:b/>
              <w:bCs/>
              <w:noProof/>
            </w:rPr>
            <w:fldChar w:fldCharType="end"/>
          </w:r>
        </w:p>
      </w:sdtContent>
    </w:sdt>
    <w:p w14:paraId="2E4DB9B9" w14:textId="77777777" w:rsidR="001E2B75" w:rsidRDefault="001E2B75">
      <w:pPr>
        <w:spacing w:before="0"/>
        <w:ind w:left="0"/>
      </w:pPr>
      <w:r>
        <w:br w:type="page"/>
      </w:r>
    </w:p>
    <w:p w14:paraId="3A678095" w14:textId="173F408C"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published 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2FBCA534" w14:textId="088EE6A3"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Pr="00023622">
        <w:t>.</w:t>
      </w:r>
    </w:p>
    <w:p w14:paraId="731A83E5" w14:textId="24CFF511" w:rsidR="001E2B75" w:rsidRDefault="001E2B75" w:rsidP="001E2B75">
      <w:pPr>
        <w:rPr>
          <w:b/>
          <w:bCs/>
        </w:rPr>
      </w:pPr>
      <w:r w:rsidRPr="00023622">
        <w:t xml:space="preserve">TCF reporting is published separately by the </w:t>
      </w:r>
      <w:bookmarkStart w:id="1" w:name="_GoBack"/>
      <w:r w:rsidRPr="00023622">
        <w:t xml:space="preserve">Department of </w:t>
      </w:r>
      <w:r w:rsidR="007A5E7C">
        <w:t>E</w:t>
      </w:r>
      <w:bookmarkEnd w:id="1"/>
      <w:r w:rsidR="007A5E7C">
        <w:t>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55F41C5F" w14:textId="14490C1B" w:rsidR="00C24E8B" w:rsidRPr="004439F4" w:rsidRDefault="00C24E8B" w:rsidP="00A75C1F">
      <w:pPr>
        <w:pStyle w:val="Heading1"/>
        <w:spacing w:before="240"/>
        <w:rPr>
          <w:sz w:val="20"/>
          <w:szCs w:val="20"/>
        </w:rPr>
      </w:pPr>
      <w:bookmarkStart w:id="2" w:name="_Toc30005435"/>
      <w:r w:rsidRPr="00325EF7">
        <w:t>Part A</w:t>
      </w:r>
      <w:bookmarkEnd w:id="2"/>
      <w:bookmarkEnd w:id="0"/>
    </w:p>
    <w:p w14:paraId="3334163B" w14:textId="70459F9C"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as at 30 September 2019</w:t>
      </w:r>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Caption w:val="1. Number of active job seekers and job seekers with a vulnerability indicator as at 30 September 2019"/>
      </w:tblPr>
      <w:tblGrid>
        <w:gridCol w:w="4237"/>
        <w:gridCol w:w="5414"/>
        <w:gridCol w:w="4941"/>
      </w:tblGrid>
      <w:tr w:rsidR="00A24584" w14:paraId="6CD77407" w14:textId="77777777" w:rsidTr="00A24584">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380D03" w14:textId="77777777" w:rsidR="00A24584" w:rsidRDefault="00A24584" w:rsidP="00A24584">
            <w:pPr>
              <w:ind w:left="-142" w:firstLine="142"/>
              <w:jc w:val="center"/>
            </w:pPr>
            <w:r>
              <w:rPr>
                <w:b/>
                <w:bCs/>
              </w:rPr>
              <w:t xml:space="preserve">Active CDP job seekers  </w:t>
            </w:r>
          </w:p>
          <w:p w14:paraId="0C57D4B4" w14:textId="77777777" w:rsidR="00A24584" w:rsidRDefault="00A24584" w:rsidP="00A24584">
            <w:pPr>
              <w:ind w:left="-142" w:firstLine="142"/>
              <w:jc w:val="center"/>
            </w:pP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7C21A" w14:textId="77777777"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E2894" w14:textId="77777777" w:rsidR="00A24584" w:rsidRDefault="00A24584" w:rsidP="00A24584">
            <w:pPr>
              <w:ind w:left="-142" w:firstLine="142"/>
              <w:jc w:val="center"/>
              <w:rPr>
                <w:b/>
                <w:bCs/>
              </w:rPr>
            </w:pPr>
            <w:r>
              <w:rPr>
                <w:b/>
                <w:bCs/>
              </w:rPr>
              <w:t>% of all CDP job seekers with a vulnerability indicator</w:t>
            </w:r>
          </w:p>
        </w:tc>
      </w:tr>
      <w:tr w:rsidR="00A24584" w14:paraId="554F253B" w14:textId="77777777" w:rsidTr="00A24584">
        <w:trPr>
          <w:trHeight w:val="515"/>
          <w:tblHeader/>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B2E93" w14:textId="77777777" w:rsidR="00A24584" w:rsidRDefault="00A24584" w:rsidP="00A24584">
            <w:pPr>
              <w:ind w:left="-142" w:firstLine="142"/>
              <w:jc w:val="center"/>
            </w:pPr>
            <w:r>
              <w:t>25,431</w:t>
            </w:r>
          </w:p>
        </w:tc>
        <w:tc>
          <w:tcPr>
            <w:tcW w:w="1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684F6" w14:textId="77777777" w:rsidR="00A24584" w:rsidRDefault="00A24584" w:rsidP="00A24584">
            <w:pPr>
              <w:ind w:left="-142" w:firstLine="142"/>
              <w:jc w:val="center"/>
            </w:pPr>
            <w:r>
              <w:t>2,539</w:t>
            </w:r>
          </w:p>
        </w:tc>
        <w:tc>
          <w:tcPr>
            <w:tcW w:w="1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796C0" w14:textId="77777777" w:rsidR="00A24584" w:rsidRDefault="00A24584" w:rsidP="00A24584">
            <w:pPr>
              <w:ind w:left="-142" w:firstLine="142"/>
              <w:jc w:val="center"/>
            </w:pPr>
            <w:r>
              <w:t>10%</w:t>
            </w:r>
          </w:p>
        </w:tc>
      </w:tr>
    </w:tbl>
    <w:p w14:paraId="46CBCC36" w14:textId="076A4F1B"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36617F3" w14:textId="77777777" w:rsidR="00C36BF8" w:rsidRDefault="00B51AA6" w:rsidP="009E0535">
      <w:pPr>
        <w:spacing w:before="60" w:after="0" w:line="240" w:lineRule="auto"/>
        <w:ind w:left="-142"/>
        <w:rPr>
          <w:noProof/>
        </w:rPr>
      </w:pPr>
      <w:r>
        <w:rPr>
          <w:noProof/>
        </w:rPr>
        <w:t xml:space="preserve"> </w:t>
      </w:r>
    </w:p>
    <w:p w14:paraId="4EB18112" w14:textId="0602BAC3"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31C37699" w14:textId="77777777" w:rsidR="002522E1" w:rsidRDefault="002522E1">
      <w:pPr>
        <w:spacing w:before="0"/>
        <w:ind w:left="0"/>
        <w:rPr>
          <w:noProof/>
        </w:rPr>
      </w:pPr>
      <w:r>
        <w:rPr>
          <w:noProof/>
        </w:rPr>
        <w:br w:type="page"/>
      </w:r>
    </w:p>
    <w:p w14:paraId="0AB1676F" w14:textId="552FE779" w:rsidR="00673181" w:rsidRDefault="00D70C90" w:rsidP="00A75C1F">
      <w:pPr>
        <w:pStyle w:val="Heading2"/>
        <w:spacing w:before="240"/>
        <w:ind w:left="-142" w:firstLine="142"/>
      </w:pPr>
      <w:bookmarkStart w:id="4" w:name="_Toc30005437"/>
      <w:r>
        <w:lastRenderedPageBreak/>
        <w:t>Attendance at Appointments</w:t>
      </w:r>
      <w:bookmarkEnd w:id="4"/>
    </w:p>
    <w:p w14:paraId="52D9C346" w14:textId="7F72506E"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1 July to 30 September 2019</w:t>
      </w:r>
      <w:r w:rsidR="001053D0" w:rsidRPr="001053D0">
        <w:rPr>
          <w:rFonts w:ascii="Arial" w:hAnsi="Arial" w:cs="Arial"/>
          <w:i/>
        </w:rPr>
        <w:br/>
      </w:r>
    </w:p>
    <w:tbl>
      <w:tblPr>
        <w:tblStyle w:val="TableGrid"/>
        <w:tblW w:w="13938" w:type="dxa"/>
        <w:tblLook w:val="04A0" w:firstRow="1" w:lastRow="0" w:firstColumn="1" w:lastColumn="0" w:noHBand="0" w:noVBand="1"/>
        <w:tblCaption w:val="Attendance at Appointments with CDP employment services providers 1 July to 30 September 2019"/>
      </w:tblPr>
      <w:tblGrid>
        <w:gridCol w:w="7908"/>
        <w:gridCol w:w="3015"/>
        <w:gridCol w:w="3015"/>
      </w:tblGrid>
      <w:tr w:rsidR="00A24584" w14:paraId="3500E17A" w14:textId="77777777" w:rsidTr="0046777C">
        <w:trPr>
          <w:trHeight w:val="464"/>
          <w:tblHeader/>
        </w:trPr>
        <w:tc>
          <w:tcPr>
            <w:tcW w:w="7908" w:type="dxa"/>
          </w:tcPr>
          <w:p w14:paraId="39CD4F65"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14:paraId="146B9E86"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14:paraId="7FAD436E" w14:textId="77777777"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A24584" w14:paraId="1DD5A99D" w14:textId="77777777" w:rsidTr="0046777C">
        <w:trPr>
          <w:trHeight w:val="450"/>
        </w:trPr>
        <w:tc>
          <w:tcPr>
            <w:tcW w:w="7908" w:type="dxa"/>
          </w:tcPr>
          <w:p w14:paraId="7DD6CB60"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tcPr>
          <w:p w14:paraId="34451BB6"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 xml:space="preserve">63,448 </w:t>
            </w:r>
          </w:p>
        </w:tc>
        <w:tc>
          <w:tcPr>
            <w:tcW w:w="3015" w:type="dxa"/>
          </w:tcPr>
          <w:p w14:paraId="5A44D614"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55%</w:t>
            </w:r>
          </w:p>
        </w:tc>
      </w:tr>
      <w:tr w:rsidR="00A24584" w14:paraId="499054E2" w14:textId="77777777" w:rsidTr="0046777C">
        <w:trPr>
          <w:trHeight w:val="464"/>
        </w:trPr>
        <w:tc>
          <w:tcPr>
            <w:tcW w:w="7908" w:type="dxa"/>
          </w:tcPr>
          <w:p w14:paraId="28D8B88A"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tcPr>
          <w:p w14:paraId="1D2C4B12" w14:textId="77777777" w:rsidR="00A24584" w:rsidRPr="00116BAB" w:rsidRDefault="00A24584" w:rsidP="00A24584">
            <w:pPr>
              <w:pStyle w:val="Heading2"/>
              <w:numPr>
                <w:ilvl w:val="0"/>
                <w:numId w:val="0"/>
              </w:numPr>
              <w:spacing w:before="120" w:after="120"/>
              <w:outlineLvl w:val="1"/>
              <w:rPr>
                <w:rFonts w:ascii="Gill Sans MT" w:hAnsi="Gill Sans MT"/>
                <w:b w:val="0"/>
              </w:rPr>
            </w:pPr>
            <w:r>
              <w:rPr>
                <w:rFonts w:ascii="Gill Sans MT" w:eastAsia="Times New Roman" w:hAnsi="Gill Sans MT"/>
                <w:b w:val="0"/>
                <w:bCs w:val="0"/>
              </w:rPr>
              <w:t>21,517</w:t>
            </w:r>
          </w:p>
        </w:tc>
        <w:tc>
          <w:tcPr>
            <w:tcW w:w="3015" w:type="dxa"/>
          </w:tcPr>
          <w:p w14:paraId="4748A936"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19%</w:t>
            </w:r>
          </w:p>
        </w:tc>
      </w:tr>
      <w:tr w:rsidR="00A24584" w14:paraId="37E24C78" w14:textId="77777777" w:rsidTr="0046777C">
        <w:trPr>
          <w:trHeight w:val="464"/>
        </w:trPr>
        <w:tc>
          <w:tcPr>
            <w:tcW w:w="7908" w:type="dxa"/>
          </w:tcPr>
          <w:p w14:paraId="41153AE4"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tcPr>
          <w:p w14:paraId="66812008" w14:textId="77777777" w:rsidR="00A24584" w:rsidRPr="00116BAB" w:rsidRDefault="00A24584" w:rsidP="00A24584">
            <w:pPr>
              <w:pStyle w:val="Heading2"/>
              <w:numPr>
                <w:ilvl w:val="0"/>
                <w:numId w:val="0"/>
              </w:numPr>
              <w:spacing w:before="120" w:after="120"/>
              <w:outlineLvl w:val="1"/>
              <w:rPr>
                <w:rFonts w:ascii="Gill Sans MT" w:hAnsi="Gill Sans MT"/>
                <w:b w:val="0"/>
              </w:rPr>
            </w:pPr>
            <w:r>
              <w:rPr>
                <w:rFonts w:ascii="Gill Sans MT" w:eastAsia="Times New Roman" w:hAnsi="Gill Sans MT"/>
                <w:b w:val="0"/>
                <w:bCs w:val="0"/>
              </w:rPr>
              <w:t>25,316</w:t>
            </w:r>
          </w:p>
        </w:tc>
        <w:tc>
          <w:tcPr>
            <w:tcW w:w="3015" w:type="dxa"/>
          </w:tcPr>
          <w:p w14:paraId="02B6BFA2"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22%</w:t>
            </w:r>
          </w:p>
        </w:tc>
      </w:tr>
      <w:tr w:rsidR="00A24584" w14:paraId="7345DE8E" w14:textId="77777777" w:rsidTr="0046777C">
        <w:trPr>
          <w:trHeight w:val="450"/>
        </w:trPr>
        <w:tc>
          <w:tcPr>
            <w:tcW w:w="7908" w:type="dxa"/>
          </w:tcPr>
          <w:p w14:paraId="7F9C6E49"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tcPr>
          <w:p w14:paraId="2F3FDD6F"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9D2ECA">
              <w:rPr>
                <w:rFonts w:ascii="Gill Sans MT" w:eastAsia="Times New Roman" w:hAnsi="Gill Sans MT"/>
                <w:b w:val="0"/>
                <w:bCs w:val="0"/>
              </w:rPr>
              <w:t>4,308</w:t>
            </w:r>
          </w:p>
        </w:tc>
        <w:tc>
          <w:tcPr>
            <w:tcW w:w="3015" w:type="dxa"/>
          </w:tcPr>
          <w:p w14:paraId="401EA8FE"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4%</w:t>
            </w:r>
          </w:p>
        </w:tc>
      </w:tr>
      <w:tr w:rsidR="00A24584" w:rsidRPr="00116BAB" w14:paraId="174379F6" w14:textId="77777777" w:rsidTr="0046777C">
        <w:trPr>
          <w:trHeight w:val="464"/>
        </w:trPr>
        <w:tc>
          <w:tcPr>
            <w:tcW w:w="7908" w:type="dxa"/>
          </w:tcPr>
          <w:p w14:paraId="5A77D5F6"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tcPr>
          <w:p w14:paraId="42581941"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 xml:space="preserve">51,141 </w:t>
            </w:r>
          </w:p>
        </w:tc>
        <w:tc>
          <w:tcPr>
            <w:tcW w:w="3015" w:type="dxa"/>
          </w:tcPr>
          <w:p w14:paraId="48CDB91D"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45%</w:t>
            </w:r>
          </w:p>
        </w:tc>
      </w:tr>
      <w:tr w:rsidR="00A24584" w:rsidRPr="00116BAB" w14:paraId="44C3F795" w14:textId="77777777" w:rsidTr="0046777C">
        <w:trPr>
          <w:trHeight w:val="450"/>
        </w:trPr>
        <w:tc>
          <w:tcPr>
            <w:tcW w:w="7908" w:type="dxa"/>
          </w:tcPr>
          <w:p w14:paraId="12AA7F7A"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tcPr>
          <w:p w14:paraId="31E92C22" w14:textId="77777777" w:rsidR="00A24584" w:rsidRPr="00116BAB" w:rsidRDefault="00A24584" w:rsidP="00A24584">
            <w:pPr>
              <w:pStyle w:val="Heading2"/>
              <w:numPr>
                <w:ilvl w:val="0"/>
                <w:numId w:val="0"/>
              </w:numPr>
              <w:spacing w:before="120" w:after="120"/>
              <w:outlineLvl w:val="1"/>
              <w:rPr>
                <w:rFonts w:ascii="Gill Sans MT" w:hAnsi="Gill Sans MT"/>
                <w:b w:val="0"/>
              </w:rPr>
            </w:pPr>
            <w:r w:rsidRPr="00116BAB">
              <w:rPr>
                <w:rFonts w:ascii="Gill Sans MT" w:hAnsi="Gill Sans MT"/>
                <w:b w:val="0"/>
              </w:rPr>
              <w:t>114,589</w:t>
            </w:r>
          </w:p>
        </w:tc>
        <w:tc>
          <w:tcPr>
            <w:tcW w:w="3015" w:type="dxa"/>
          </w:tcPr>
          <w:p w14:paraId="594EF2C3" w14:textId="77777777" w:rsidR="00A24584" w:rsidRPr="00116BAB" w:rsidRDefault="00A24584" w:rsidP="00A24584">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28ACE319" w14:textId="6832ED00"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46777C" w:rsidRPr="001053D0">
        <w:rPr>
          <w:rFonts w:ascii="Arial" w:hAnsi="Arial" w:cs="Arial"/>
          <w:i/>
        </w:rPr>
        <w:t>1 July to 30 September 2019</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5949"/>
        <w:gridCol w:w="3654"/>
        <w:gridCol w:w="4345"/>
      </w:tblGrid>
      <w:tr w:rsidR="0046777C" w14:paraId="4AB2A429" w14:textId="77777777" w:rsidTr="0046777C">
        <w:trPr>
          <w:tblHeader/>
        </w:trPr>
        <w:tc>
          <w:tcPr>
            <w:tcW w:w="5949" w:type="dxa"/>
          </w:tcPr>
          <w:p w14:paraId="22D20784"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14:paraId="6E77255F"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14:paraId="6BE1A638"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46777C" w14:paraId="4439305A" w14:textId="77777777" w:rsidTr="0046777C">
        <w:tc>
          <w:tcPr>
            <w:tcW w:w="5949" w:type="dxa"/>
          </w:tcPr>
          <w:p w14:paraId="42508F70"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Pr>
          <w:p w14:paraId="279B8DA9" w14:textId="77777777" w:rsidR="0046777C" w:rsidRPr="00116BAB"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13,250</w:t>
            </w:r>
            <w:r w:rsidRPr="00116BAB">
              <w:rPr>
                <w:rFonts w:ascii="Gill Sans MT" w:hAnsi="Gill Sans MT"/>
                <w:b w:val="0"/>
              </w:rPr>
              <w:t xml:space="preserve"> </w:t>
            </w:r>
          </w:p>
        </w:tc>
        <w:tc>
          <w:tcPr>
            <w:tcW w:w="4345" w:type="dxa"/>
          </w:tcPr>
          <w:p w14:paraId="15965B4C" w14:textId="77777777" w:rsidR="0046777C"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91%</w:t>
            </w:r>
          </w:p>
        </w:tc>
      </w:tr>
      <w:tr w:rsidR="0046777C" w14:paraId="432CED95" w14:textId="77777777" w:rsidTr="0046777C">
        <w:tc>
          <w:tcPr>
            <w:tcW w:w="5949" w:type="dxa"/>
          </w:tcPr>
          <w:p w14:paraId="48AF4CDA" w14:textId="686204BC"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tcPr>
          <w:p w14:paraId="08241FEA" w14:textId="5B09453B" w:rsidR="0046777C"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324</w:t>
            </w:r>
          </w:p>
        </w:tc>
        <w:tc>
          <w:tcPr>
            <w:tcW w:w="4345" w:type="dxa"/>
          </w:tcPr>
          <w:p w14:paraId="6CE909E1" w14:textId="4004D838" w:rsidR="0046777C"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2%</w:t>
            </w:r>
          </w:p>
        </w:tc>
      </w:tr>
      <w:tr w:rsidR="0046777C" w14:paraId="61E5D380" w14:textId="77777777" w:rsidTr="0046777C">
        <w:tc>
          <w:tcPr>
            <w:tcW w:w="5949" w:type="dxa"/>
          </w:tcPr>
          <w:p w14:paraId="7F8E0E65" w14:textId="19A085F1" w:rsidR="0046777C" w:rsidRPr="0046777C"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tcPr>
          <w:p w14:paraId="07CB245E" w14:textId="5ED4BCD8" w:rsidR="0046777C"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977</w:t>
            </w:r>
          </w:p>
        </w:tc>
        <w:tc>
          <w:tcPr>
            <w:tcW w:w="4345" w:type="dxa"/>
          </w:tcPr>
          <w:p w14:paraId="173EDE60" w14:textId="3AB47A40" w:rsidR="0046777C"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7%</w:t>
            </w:r>
          </w:p>
        </w:tc>
      </w:tr>
      <w:tr w:rsidR="0046777C" w:rsidRPr="00116BAB" w14:paraId="4CD2CA0B" w14:textId="77777777" w:rsidTr="0046777C">
        <w:tc>
          <w:tcPr>
            <w:tcW w:w="5949" w:type="dxa"/>
          </w:tcPr>
          <w:p w14:paraId="77B79C7A"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tcPr>
          <w:p w14:paraId="59FAE563" w14:textId="77777777" w:rsidR="0046777C" w:rsidRPr="00116BAB"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1,301</w:t>
            </w:r>
            <w:r w:rsidRPr="00116BAB">
              <w:rPr>
                <w:rFonts w:ascii="Gill Sans MT" w:hAnsi="Gill Sans MT"/>
                <w:b w:val="0"/>
              </w:rPr>
              <w:t xml:space="preserve"> </w:t>
            </w:r>
          </w:p>
        </w:tc>
        <w:tc>
          <w:tcPr>
            <w:tcW w:w="4345" w:type="dxa"/>
          </w:tcPr>
          <w:p w14:paraId="093EE48E" w14:textId="77777777" w:rsidR="0046777C"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9%</w:t>
            </w:r>
          </w:p>
        </w:tc>
      </w:tr>
      <w:tr w:rsidR="0046777C" w:rsidRPr="00116BAB" w14:paraId="57A66D09" w14:textId="77777777" w:rsidTr="0046777C">
        <w:tc>
          <w:tcPr>
            <w:tcW w:w="5949" w:type="dxa"/>
          </w:tcPr>
          <w:p w14:paraId="4D9DD326"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tcPr>
          <w:p w14:paraId="3ABA39C3" w14:textId="77777777" w:rsidR="0046777C" w:rsidRPr="00116BAB" w:rsidRDefault="0046777C"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14,551</w:t>
            </w:r>
          </w:p>
        </w:tc>
        <w:tc>
          <w:tcPr>
            <w:tcW w:w="4345" w:type="dxa"/>
          </w:tcPr>
          <w:p w14:paraId="1546C955" w14:textId="77777777" w:rsidR="0046777C" w:rsidRPr="000C0C08" w:rsidRDefault="0046777C"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765C9A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599706BB" w14:textId="3135B503"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746E0157" w14:textId="77777777" w:rsidR="00CC1242" w:rsidRDefault="00CC1242">
      <w:pPr>
        <w:spacing w:before="0"/>
        <w:ind w:left="0"/>
        <w:rPr>
          <w:noProof/>
        </w:rPr>
      </w:pPr>
      <w:r>
        <w:rPr>
          <w:noProof/>
        </w:rPr>
        <w:br w:type="page"/>
      </w:r>
    </w:p>
    <w:p w14:paraId="5DF39603" w14:textId="572EFE52"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1 July to 30 September 2019</w:t>
      </w:r>
    </w:p>
    <w:tbl>
      <w:tblPr>
        <w:tblStyle w:val="CenterAlignTable"/>
        <w:tblW w:w="5000" w:type="pct"/>
        <w:tblInd w:w="0" w:type="dxa"/>
        <w:tblLook w:val="04A0" w:firstRow="1" w:lastRow="0" w:firstColumn="1" w:lastColumn="0" w:noHBand="0" w:noVBand="1"/>
        <w:tblCaption w:val="3. Income Support payment suspensions for non-attendance at appointments/activities 1 July to 30 September 2019"/>
      </w:tblPr>
      <w:tblGrid>
        <w:gridCol w:w="4466"/>
        <w:gridCol w:w="6126"/>
        <w:gridCol w:w="4140"/>
      </w:tblGrid>
      <w:tr w:rsidR="0081459B" w:rsidRPr="00325EF7" w14:paraId="059423DB" w14:textId="77777777" w:rsidTr="00FB22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92" w:type="pct"/>
          </w:tcPr>
          <w:p w14:paraId="412A447E" w14:textId="77777777"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1635" w:type="pct"/>
          </w:tcPr>
          <w:p w14:paraId="0D9259E3" w14:textId="77777777"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105" w:type="pct"/>
            <w:vAlign w:val="center"/>
          </w:tcPr>
          <w:p w14:paraId="428F1136" w14:textId="77777777"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1459B" w:rsidRPr="00287925" w14:paraId="24DED1C9" w14:textId="77777777" w:rsidTr="00FB2293">
        <w:trPr>
          <w:trHeight w:val="573"/>
        </w:trPr>
        <w:tc>
          <w:tcPr>
            <w:cnfStyle w:val="001000000000" w:firstRow="0" w:lastRow="0" w:firstColumn="1" w:lastColumn="0" w:oddVBand="0" w:evenVBand="0" w:oddHBand="0" w:evenHBand="0" w:firstRowFirstColumn="0" w:firstRowLastColumn="0" w:lastRowFirstColumn="0" w:lastRowLastColumn="0"/>
            <w:tcW w:w="1192" w:type="pct"/>
            <w:vAlign w:val="center"/>
          </w:tcPr>
          <w:p w14:paraId="1F3036DE" w14:textId="77777777" w:rsidR="0081459B" w:rsidRPr="0081459B" w:rsidRDefault="0081459B" w:rsidP="00FB2293">
            <w:pPr>
              <w:spacing w:before="0"/>
              <w:ind w:left="-142" w:firstLine="142"/>
              <w:rPr>
                <w:rFonts w:cs="Arial"/>
                <w:b w:val="0"/>
              </w:rPr>
            </w:pPr>
            <w:r w:rsidRPr="0081459B">
              <w:rPr>
                <w:rFonts w:cs="Arial"/>
                <w:b w:val="0"/>
              </w:rPr>
              <w:t>15,606</w:t>
            </w:r>
          </w:p>
        </w:tc>
        <w:tc>
          <w:tcPr>
            <w:tcW w:w="1635" w:type="pct"/>
            <w:vAlign w:val="center"/>
          </w:tcPr>
          <w:p w14:paraId="17B59FDE" w14:textId="77777777" w:rsidR="0081459B" w:rsidRPr="00287925" w:rsidRDefault="0081459B" w:rsidP="00FB22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7,133</w:t>
            </w:r>
          </w:p>
        </w:tc>
        <w:tc>
          <w:tcPr>
            <w:tcW w:w="1105" w:type="pct"/>
            <w:vAlign w:val="center"/>
          </w:tcPr>
          <w:p w14:paraId="2DC2CA7C" w14:textId="77777777" w:rsidR="0081459B" w:rsidRPr="00287925" w:rsidRDefault="0081459B" w:rsidP="00FB22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22,739</w:t>
            </w:r>
          </w:p>
        </w:tc>
      </w:tr>
    </w:tbl>
    <w:p w14:paraId="13C90609"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21F93487" w14:textId="6AD77E8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7060EDCA"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18F5AEA"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39F98A8" w14:textId="07555A91"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r w:rsidR="0081459B">
        <w:t>1 July to 30 September 2019</w:t>
      </w:r>
    </w:p>
    <w:tbl>
      <w:tblPr>
        <w:tblStyle w:val="CenterAlignTable"/>
        <w:tblW w:w="5000" w:type="pct"/>
        <w:tblInd w:w="0" w:type="dxa"/>
        <w:tblLook w:val="04A0" w:firstRow="1" w:lastRow="0" w:firstColumn="1" w:lastColumn="0" w:noHBand="0" w:noVBand="1"/>
        <w:tblCaption w:val="4. Number of Non-Attendance Reports, Participation Reports and Provider Appointment Reports 1 July to 30 September 2019"/>
      </w:tblPr>
      <w:tblGrid>
        <w:gridCol w:w="4449"/>
        <w:gridCol w:w="6049"/>
        <w:gridCol w:w="4234"/>
      </w:tblGrid>
      <w:tr w:rsidR="0081459B" w:rsidRPr="001523BE" w14:paraId="62CC4531"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4" w:type="pct"/>
            <w:vAlign w:val="center"/>
          </w:tcPr>
          <w:p w14:paraId="5BAA36AD" w14:textId="77777777"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1610" w:type="pct"/>
            <w:vAlign w:val="center"/>
          </w:tcPr>
          <w:p w14:paraId="2C0073AD" w14:textId="77777777"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27" w:type="pct"/>
            <w:vAlign w:val="center"/>
          </w:tcPr>
          <w:p w14:paraId="28626BBF" w14:textId="77777777"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81459B" w:rsidRPr="0079507A" w14:paraId="0151FC54" w14:textId="77777777" w:rsidTr="00FB2293">
        <w:trPr>
          <w:trHeight w:val="539"/>
        </w:trPr>
        <w:tc>
          <w:tcPr>
            <w:cnfStyle w:val="001000000000" w:firstRow="0" w:lastRow="0" w:firstColumn="1" w:lastColumn="0" w:oddVBand="0" w:evenVBand="0" w:oddHBand="0" w:evenHBand="0" w:firstRowFirstColumn="0" w:firstRowLastColumn="0" w:lastRowFirstColumn="0" w:lastRowLastColumn="0"/>
            <w:tcW w:w="1184" w:type="pct"/>
            <w:vAlign w:val="center"/>
          </w:tcPr>
          <w:p w14:paraId="51875B97" w14:textId="77777777" w:rsidR="0081459B" w:rsidRPr="00F071B6" w:rsidRDefault="0081459B" w:rsidP="00FB2293">
            <w:pPr>
              <w:autoSpaceDE w:val="0"/>
              <w:autoSpaceDN w:val="0"/>
              <w:adjustRightInd w:val="0"/>
              <w:spacing w:before="0"/>
              <w:ind w:left="0"/>
              <w:rPr>
                <w:rFonts w:cs="Gill Sans MT"/>
                <w:b w:val="0"/>
                <w:color w:val="000000"/>
              </w:rPr>
            </w:pPr>
            <w:r w:rsidRPr="0050572C">
              <w:rPr>
                <w:rFonts w:cs="Gill Sans MT"/>
                <w:color w:val="000000"/>
              </w:rPr>
              <w:t>21,793</w:t>
            </w:r>
          </w:p>
        </w:tc>
        <w:tc>
          <w:tcPr>
            <w:tcW w:w="1610" w:type="pct"/>
            <w:vAlign w:val="center"/>
          </w:tcPr>
          <w:p w14:paraId="50D1942F" w14:textId="77777777" w:rsidR="0081459B" w:rsidRPr="0079507A" w:rsidRDefault="0081459B" w:rsidP="00FB22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73.6%</w:t>
            </w:r>
          </w:p>
        </w:tc>
        <w:tc>
          <w:tcPr>
            <w:tcW w:w="1127" w:type="pct"/>
            <w:vAlign w:val="center"/>
          </w:tcPr>
          <w:p w14:paraId="132EB13C" w14:textId="77777777" w:rsidR="0081459B" w:rsidRPr="0079507A" w:rsidRDefault="0081459B" w:rsidP="00FB22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55,648</w:t>
            </w:r>
          </w:p>
        </w:tc>
      </w:tr>
    </w:tbl>
    <w:p w14:paraId="18CD3FF3"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151B10A4"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4A5A225E" w14:textId="6100210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7EE5523A" w14:textId="6CC342D8"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3E90725B" w14:textId="5CFFF6B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467FED7E" w14:textId="1397FBC1" w:rsidR="00D1085F" w:rsidRDefault="00456F16" w:rsidP="00366AB0">
      <w:pPr>
        <w:pStyle w:val="Heading2"/>
        <w:spacing w:after="240"/>
        <w:ind w:left="-142" w:firstLine="142"/>
      </w:pPr>
      <w:bookmarkStart w:id="9" w:name="_Toc30005442"/>
      <w:r w:rsidRPr="00325EF7">
        <w:t>Reasons for providers reporting non-compliance to the Department of Human Services</w:t>
      </w:r>
      <w:bookmarkEnd w:id="9"/>
      <w:r w:rsidR="0081459B">
        <w:t xml:space="preserve"> 1 July to 30 September 2019</w:t>
      </w:r>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4879"/>
        <w:gridCol w:w="4702"/>
        <w:gridCol w:w="4367"/>
      </w:tblGrid>
      <w:tr w:rsidR="0081459B" w:rsidRPr="00116BAB" w14:paraId="14C40CB4" w14:textId="77777777" w:rsidTr="00FB2293">
        <w:trPr>
          <w:tblHeader/>
        </w:trPr>
        <w:tc>
          <w:tcPr>
            <w:tcW w:w="4879" w:type="dxa"/>
          </w:tcPr>
          <w:p w14:paraId="225BC9D5"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14:paraId="365AA80D"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14:paraId="4EEDD2FD"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1459B" w:rsidRPr="00116BAB" w14:paraId="31200148" w14:textId="77777777" w:rsidTr="00FB2293">
        <w:tc>
          <w:tcPr>
            <w:tcW w:w="4879" w:type="dxa"/>
          </w:tcPr>
          <w:p w14:paraId="4028123C"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tcPr>
          <w:p w14:paraId="5C504E27" w14:textId="77777777" w:rsidR="0081459B" w:rsidRPr="000C0C08" w:rsidRDefault="0081459B"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 xml:space="preserve">21,816 </w:t>
            </w:r>
          </w:p>
        </w:tc>
        <w:tc>
          <w:tcPr>
            <w:tcW w:w="4367" w:type="dxa"/>
          </w:tcPr>
          <w:p w14:paraId="0FD31D84"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28%</w:t>
            </w:r>
          </w:p>
        </w:tc>
      </w:tr>
      <w:tr w:rsidR="0081459B" w:rsidRPr="00116BAB" w14:paraId="1B9CD902" w14:textId="77777777" w:rsidTr="00FB2293">
        <w:tc>
          <w:tcPr>
            <w:tcW w:w="4879" w:type="dxa"/>
          </w:tcPr>
          <w:p w14:paraId="33DE0711"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Pr>
          <w:p w14:paraId="67C1DDD5" w14:textId="77777777" w:rsidR="0081459B" w:rsidRPr="000C0C08" w:rsidRDefault="0081459B"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 xml:space="preserve">55,625 </w:t>
            </w:r>
          </w:p>
        </w:tc>
        <w:tc>
          <w:tcPr>
            <w:tcW w:w="4367" w:type="dxa"/>
          </w:tcPr>
          <w:p w14:paraId="1368193C" w14:textId="77777777" w:rsidR="0081459B" w:rsidRPr="000C0C08" w:rsidRDefault="0081459B"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72%</w:t>
            </w:r>
          </w:p>
        </w:tc>
      </w:tr>
      <w:tr w:rsidR="0081459B" w:rsidRPr="00116BAB" w14:paraId="33ED89F8" w14:textId="77777777" w:rsidTr="00FB2293">
        <w:tc>
          <w:tcPr>
            <w:tcW w:w="4879" w:type="dxa"/>
          </w:tcPr>
          <w:p w14:paraId="6B3DDCC5"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tcPr>
          <w:p w14:paraId="3F4B5080" w14:textId="77777777" w:rsidR="0081459B" w:rsidRPr="000C0C08" w:rsidRDefault="0081459B"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 xml:space="preserve">77,441 </w:t>
            </w:r>
          </w:p>
        </w:tc>
        <w:tc>
          <w:tcPr>
            <w:tcW w:w="4367" w:type="dxa"/>
          </w:tcPr>
          <w:p w14:paraId="475C1DBC"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3CC257C4" w14:textId="5D96FE11"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06ADC5F6" w14:textId="77777777" w:rsidR="00E909FA" w:rsidRPr="00E55094" w:rsidRDefault="005D34B6" w:rsidP="00456F16">
      <w:pPr>
        <w:pStyle w:val="Heading2"/>
        <w:ind w:left="-142" w:firstLine="142"/>
      </w:pPr>
      <w:bookmarkStart w:id="10" w:name="_Toc30005443"/>
      <w:r w:rsidRPr="00E55094">
        <w:lastRenderedPageBreak/>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539013FB" w14:textId="59EF67D1"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0C1C5A" w:rsidRPr="001053D0">
        <w:rPr>
          <w:rFonts w:ascii="Arial" w:hAnsi="Arial" w:cs="Arial"/>
          <w:i/>
        </w:rPr>
        <w:t>Department of Human Services responses to Provider Appointment Reports and Participation Reports</w:t>
      </w:r>
      <w:bookmarkEnd w:id="11"/>
      <w:r w:rsidR="0081459B" w:rsidRPr="001053D0">
        <w:rPr>
          <w:rFonts w:ascii="Arial" w:hAnsi="Arial" w:cs="Arial"/>
          <w:i/>
        </w:rPr>
        <w:t xml:space="preserve"> 1 July</w:t>
      </w:r>
      <w:r w:rsidR="00734B18" w:rsidRPr="001053D0">
        <w:rPr>
          <w:rFonts w:ascii="Arial" w:hAnsi="Arial" w:cs="Arial"/>
          <w:i/>
        </w:rPr>
        <w:t xml:space="preserve"> </w:t>
      </w:r>
      <w:r w:rsidR="0081459B" w:rsidRPr="001053D0">
        <w:rPr>
          <w:rFonts w:ascii="Arial" w:hAnsi="Arial" w:cs="Arial"/>
          <w:i/>
        </w:rPr>
        <w:t>to 30 September 2019</w:t>
      </w:r>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4894"/>
        <w:gridCol w:w="4695"/>
        <w:gridCol w:w="4359"/>
      </w:tblGrid>
      <w:tr w:rsidR="0081459B" w:rsidRPr="00116BAB" w14:paraId="29DDE4A0" w14:textId="77777777" w:rsidTr="00FB2293">
        <w:trPr>
          <w:tblHeader/>
        </w:trPr>
        <w:tc>
          <w:tcPr>
            <w:tcW w:w="4894" w:type="dxa"/>
          </w:tcPr>
          <w:p w14:paraId="668F0271"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14:paraId="175DA1EA"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14:paraId="7E1940F5"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1459B" w:rsidRPr="000C0C08" w14:paraId="2D9D20A9" w14:textId="77777777" w:rsidTr="00FB2293">
        <w:tc>
          <w:tcPr>
            <w:tcW w:w="4894" w:type="dxa"/>
          </w:tcPr>
          <w:p w14:paraId="40989E13"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tcPr>
          <w:p w14:paraId="39F51179"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25,189</w:t>
            </w:r>
            <w:r w:rsidRPr="000C0C08">
              <w:rPr>
                <w:rFonts w:ascii="Gill Sans MT" w:hAnsi="Gill Sans MT"/>
                <w:b w:val="0"/>
              </w:rPr>
              <w:t xml:space="preserve"> </w:t>
            </w:r>
          </w:p>
        </w:tc>
        <w:tc>
          <w:tcPr>
            <w:tcW w:w="4359" w:type="dxa"/>
          </w:tcPr>
          <w:p w14:paraId="09AC2F3E" w14:textId="77777777" w:rsidR="0081459B"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45%</w:t>
            </w:r>
          </w:p>
        </w:tc>
      </w:tr>
      <w:tr w:rsidR="0081459B" w:rsidRPr="000C0C08" w14:paraId="18BBC390" w14:textId="77777777" w:rsidTr="00FB2293">
        <w:tc>
          <w:tcPr>
            <w:tcW w:w="4894" w:type="dxa"/>
          </w:tcPr>
          <w:p w14:paraId="7FFAC3A4"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tcPr>
          <w:p w14:paraId="52305906"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30,459</w:t>
            </w:r>
          </w:p>
        </w:tc>
        <w:tc>
          <w:tcPr>
            <w:tcW w:w="4359" w:type="dxa"/>
          </w:tcPr>
          <w:p w14:paraId="23D40B21" w14:textId="77777777" w:rsidR="0081459B"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55%</w:t>
            </w:r>
          </w:p>
        </w:tc>
      </w:tr>
      <w:tr w:rsidR="0081459B" w:rsidRPr="000C0C08" w14:paraId="01CE96FD" w14:textId="77777777" w:rsidTr="00FB2293">
        <w:tc>
          <w:tcPr>
            <w:tcW w:w="4894" w:type="dxa"/>
          </w:tcPr>
          <w:p w14:paraId="764A253B"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tcPr>
          <w:p w14:paraId="158331EF"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55,648</w:t>
            </w:r>
            <w:r w:rsidRPr="000C0C08">
              <w:rPr>
                <w:rFonts w:ascii="Gill Sans MT" w:hAnsi="Gill Sans MT"/>
                <w:b w:val="0"/>
              </w:rPr>
              <w:t xml:space="preserve"> </w:t>
            </w:r>
          </w:p>
        </w:tc>
        <w:tc>
          <w:tcPr>
            <w:tcW w:w="4359" w:type="dxa"/>
          </w:tcPr>
          <w:p w14:paraId="651F6E12" w14:textId="77777777" w:rsidR="0081459B"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2518F5FF"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49A1F3F4" w14:textId="35A15742"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the Department of Human Services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6518B9F2"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00A25EBF" w14:textId="5AA6C4BA"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the Department of Human Services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1 July to 30 September 2019</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3F7D91" w:rsidRPr="00023622" w14:paraId="6B09AC41"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0197317"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1B6131EB" w14:textId="762371CE"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7AC4CD6C"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72E8B41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6D223BE9" w14:textId="77777777"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5561550D" w14:textId="599544A9"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08B3DC" w14:textId="6BF0DF76"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68EC15A"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452E1C0"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AAB7085" w14:textId="76AC8868"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087C20" w14:textId="37D0E6E2"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718BC49"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D9C588F"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01FE4F01" w14:textId="123713F1"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4297FCE" w14:textId="5CD5A492"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B65F094"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AFBFAB6"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FCDE8D1" w14:textId="17B8853C"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9696574" w14:textId="3E4A74DF"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63EC2653"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0CB24A6"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C49C7B2" w14:textId="43D17484"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7EFE3C" w14:textId="3BEFAF53"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02C98C7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58738E2"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5F9E242B" w14:textId="471D7F25"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0DE7F61" w14:textId="0B483178"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F266FAD"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091DD3F3" w14:textId="77777777"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858BF49" w14:textId="3883A1CD"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FAF3238" w14:textId="1B84DC1F"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ECE66F8"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9717D0"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1F7969D8" w14:textId="58B31ECC"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FDE50CC" w14:textId="31B29128"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ABAB5C5"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F510F29"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53BF7448" w14:textId="41CC52A8"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2DCC692" w14:textId="4B5D5DC1"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8A7B910"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07DBFB3F"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D42479A" w14:textId="2A8A2D31"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C19CC4" w14:textId="6C0797CD"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A9FE427"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5735495"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480B3B0" w14:textId="0B47F6ED" w:rsidR="008D1F89" w:rsidRPr="00023622" w:rsidRDefault="008D1F89" w:rsidP="008D1F89">
            <w:pPr>
              <w:pStyle w:val="TableParagraph"/>
              <w:spacing w:before="22"/>
              <w:ind w:left="4"/>
              <w:jc w:val="center"/>
              <w:rPr>
                <w:rFonts w:ascii="Gill Sans MT" w:eastAsia="Gill Sans MT" w:hAnsi="Gill Sans MT" w:cs="Gill Sans MT"/>
              </w:rPr>
            </w:pPr>
            <w:r>
              <w:rPr>
                <w:rFonts w:ascii="Gill Sans MT" w:eastAsia="Gill Sans MT" w:hAnsi="Gill Sans MT" w:cs="Gill Sans MT"/>
              </w:rPr>
              <w:t>31</w:t>
            </w:r>
          </w:p>
        </w:tc>
        <w:tc>
          <w:tcPr>
            <w:tcW w:w="4913" w:type="dxa"/>
            <w:tcBorders>
              <w:top w:val="single" w:sz="5" w:space="0" w:color="000000"/>
              <w:left w:val="single" w:sz="5" w:space="0" w:color="000000"/>
              <w:bottom w:val="single" w:sz="5" w:space="0" w:color="000000"/>
              <w:right w:val="single" w:sz="5" w:space="0" w:color="000000"/>
            </w:tcBorders>
          </w:tcPr>
          <w:p w14:paraId="087A65CB" w14:textId="2D309492"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&lt;1%</w:t>
            </w:r>
          </w:p>
        </w:tc>
      </w:tr>
      <w:tr w:rsidR="008D1F89" w:rsidRPr="00023622" w14:paraId="4854046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30089FA"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06BA258C" w14:textId="61DEDA46" w:rsidR="008D1F89" w:rsidRPr="00023622" w:rsidRDefault="008D1F89" w:rsidP="008D1F89">
            <w:pPr>
              <w:pStyle w:val="TableParagraph"/>
              <w:spacing w:before="20"/>
              <w:ind w:left="4"/>
              <w:jc w:val="center"/>
              <w:rPr>
                <w:rFonts w:ascii="Gill Sans MT" w:eastAsia="Gill Sans MT" w:hAnsi="Gill Sans MT" w:cs="Gill Sans MT"/>
              </w:rPr>
            </w:pPr>
            <w:r>
              <w:rPr>
                <w:rFonts w:ascii="Gill Sans MT" w:eastAsia="Gill Sans MT" w:hAnsi="Gill Sans MT" w:cs="Gill Sans MT"/>
              </w:rPr>
              <w:t>25,158</w:t>
            </w:r>
          </w:p>
        </w:tc>
        <w:tc>
          <w:tcPr>
            <w:tcW w:w="4913" w:type="dxa"/>
            <w:tcBorders>
              <w:top w:val="single" w:sz="5" w:space="0" w:color="000000"/>
              <w:left w:val="single" w:sz="5" w:space="0" w:color="000000"/>
              <w:bottom w:val="single" w:sz="5" w:space="0" w:color="000000"/>
              <w:right w:val="single" w:sz="5" w:space="0" w:color="000000"/>
            </w:tcBorders>
          </w:tcPr>
          <w:p w14:paraId="2E3F2AA7" w14:textId="6E782CF6"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100%</w:t>
            </w:r>
          </w:p>
        </w:tc>
      </w:tr>
      <w:tr w:rsidR="008D1F89" w:rsidRPr="00023622" w14:paraId="5F94967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A391AE3"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BC956E5" w14:textId="281EB33E" w:rsidR="008D1F89" w:rsidRPr="00023622" w:rsidRDefault="008D1F89" w:rsidP="008D1F89">
            <w:pPr>
              <w:pStyle w:val="TableParagraph"/>
              <w:spacing w:before="15"/>
              <w:ind w:left="5"/>
              <w:jc w:val="center"/>
              <w:rPr>
                <w:rFonts w:ascii="Gill Sans MT" w:eastAsia="Gill Sans MT" w:hAnsi="Gill Sans MT" w:cs="Gill Sans MT"/>
              </w:rPr>
            </w:pPr>
            <w:r>
              <w:rPr>
                <w:rFonts w:ascii="Gill Sans MT" w:eastAsia="Gill Sans MT" w:hAnsi="Gill Sans MT" w:cs="Gill Sans MT"/>
              </w:rPr>
              <w:t>25,189</w:t>
            </w:r>
          </w:p>
        </w:tc>
        <w:tc>
          <w:tcPr>
            <w:tcW w:w="4913" w:type="dxa"/>
            <w:tcBorders>
              <w:top w:val="single" w:sz="5" w:space="0" w:color="000000"/>
              <w:left w:val="single" w:sz="5" w:space="0" w:color="000000"/>
              <w:bottom w:val="single" w:sz="5" w:space="0" w:color="000000"/>
              <w:right w:val="single" w:sz="5" w:space="0" w:color="000000"/>
            </w:tcBorders>
          </w:tcPr>
          <w:p w14:paraId="561786A0" w14:textId="6E83B136" w:rsidR="008D1F89" w:rsidRPr="00023622" w:rsidRDefault="008D1F89" w:rsidP="008D1F89">
            <w:pPr>
              <w:pStyle w:val="TableParagraph"/>
              <w:spacing w:before="15"/>
              <w:ind w:left="6"/>
              <w:jc w:val="center"/>
              <w:rPr>
                <w:rFonts w:ascii="Gill Sans MT" w:eastAsia="Gill Sans MT" w:hAnsi="Gill Sans MT" w:cs="Gill Sans MT"/>
              </w:rPr>
            </w:pPr>
            <w:r w:rsidRPr="00B34C0B">
              <w:rPr>
                <w:rFonts w:ascii="Gill Sans MT" w:eastAsia="Gill Sans MT" w:hAnsi="Gill Sans MT" w:cs="Gill Sans MT"/>
              </w:rPr>
              <w:t>100%</w:t>
            </w:r>
          </w:p>
        </w:tc>
      </w:tr>
    </w:tbl>
    <w:p w14:paraId="625E4EF7"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570848D9"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4A215FE7"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12C5706" w14:textId="0C6CEF34"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077F38F" w14:textId="27852494"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t>Department of Human Services’ reasons for applying Provider Appointment Reports or Participation Reports</w:t>
      </w:r>
      <w:bookmarkEnd w:id="14"/>
      <w:bookmarkEnd w:id="15"/>
      <w:r w:rsidR="0081459B" w:rsidRPr="001053D0">
        <w:rPr>
          <w:rFonts w:ascii="Arial" w:hAnsi="Arial" w:cs="Arial"/>
          <w:i/>
        </w:rPr>
        <w:t xml:space="preserve"> 1 July to </w:t>
      </w:r>
      <w:r w:rsidR="00BF3037" w:rsidRPr="001053D0">
        <w:rPr>
          <w:rFonts w:ascii="Arial" w:hAnsi="Arial" w:cs="Arial"/>
          <w:i/>
        </w:rPr>
        <w:br/>
      </w:r>
      <w:r w:rsidR="0081459B" w:rsidRPr="001053D0">
        <w:rPr>
          <w:rFonts w:ascii="Arial" w:hAnsi="Arial" w:cs="Arial"/>
          <w:i/>
        </w:rPr>
        <w:t>30 September 2019</w:t>
      </w:r>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4830"/>
        <w:gridCol w:w="4725"/>
        <w:gridCol w:w="4393"/>
      </w:tblGrid>
      <w:tr w:rsidR="0081459B" w:rsidRPr="00116BAB" w14:paraId="08BF54D9" w14:textId="77777777" w:rsidTr="00FB2293">
        <w:trPr>
          <w:tblHeader/>
        </w:trPr>
        <w:tc>
          <w:tcPr>
            <w:tcW w:w="4830" w:type="dxa"/>
          </w:tcPr>
          <w:p w14:paraId="04860823"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14:paraId="24F2D300" w14:textId="54B73D19"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14:paraId="129567E4"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1459B" w:rsidRPr="00116BAB" w14:paraId="587F185A" w14:textId="77777777" w:rsidTr="00FB2293">
        <w:tc>
          <w:tcPr>
            <w:tcW w:w="4830" w:type="dxa"/>
          </w:tcPr>
          <w:p w14:paraId="2F26B318"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tcPr>
          <w:p w14:paraId="7AB16446" w14:textId="77777777" w:rsidR="0081459B" w:rsidRPr="000C0C08" w:rsidRDefault="0081459B" w:rsidP="00FB2293">
            <w:pPr>
              <w:pStyle w:val="Heading2"/>
              <w:numPr>
                <w:ilvl w:val="0"/>
                <w:numId w:val="0"/>
              </w:numPr>
              <w:spacing w:before="120" w:after="120"/>
              <w:outlineLvl w:val="1"/>
              <w:rPr>
                <w:rFonts w:ascii="Gill Sans MT" w:hAnsi="Gill Sans MT"/>
                <w:b w:val="0"/>
              </w:rPr>
            </w:pPr>
            <w:r w:rsidRPr="00346E3B">
              <w:rPr>
                <w:rFonts w:ascii="Gill Sans MT" w:hAnsi="Gill Sans MT"/>
                <w:b w:val="0"/>
              </w:rPr>
              <w:t>25,158</w:t>
            </w:r>
            <w:r w:rsidRPr="00346E3B">
              <w:rPr>
                <w:rFonts w:ascii="Gill Sans MT" w:hAnsi="Gill Sans MT"/>
              </w:rPr>
              <w:t xml:space="preserve"> </w:t>
            </w:r>
          </w:p>
        </w:tc>
        <w:tc>
          <w:tcPr>
            <w:tcW w:w="4393" w:type="dxa"/>
          </w:tcPr>
          <w:p w14:paraId="0260D95B" w14:textId="77777777" w:rsidR="0081459B" w:rsidRPr="00346E3B" w:rsidRDefault="0081459B"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w:t>
            </w:r>
            <w:r>
              <w:rPr>
                <w:rFonts w:ascii="Gill Sans MT" w:hAnsi="Gill Sans MT"/>
                <w:b w:val="0"/>
              </w:rPr>
              <w:t>99.9%)</w:t>
            </w:r>
          </w:p>
        </w:tc>
      </w:tr>
      <w:tr w:rsidR="0081459B" w:rsidRPr="00116BAB" w14:paraId="35E49684" w14:textId="77777777" w:rsidTr="00FB2293">
        <w:tc>
          <w:tcPr>
            <w:tcW w:w="4830" w:type="dxa"/>
          </w:tcPr>
          <w:p w14:paraId="1ED6198E"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tcPr>
          <w:p w14:paraId="169F1370"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0</w:t>
            </w:r>
            <w:r w:rsidRPr="000C0C08">
              <w:rPr>
                <w:rFonts w:ascii="Gill Sans MT" w:hAnsi="Gill Sans MT"/>
                <w:b w:val="0"/>
              </w:rPr>
              <w:t xml:space="preserve"> </w:t>
            </w:r>
          </w:p>
        </w:tc>
        <w:tc>
          <w:tcPr>
            <w:tcW w:w="4393" w:type="dxa"/>
          </w:tcPr>
          <w:p w14:paraId="6FB961A9" w14:textId="77777777" w:rsidR="0081459B" w:rsidRDefault="0081459B"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w:t>
            </w:r>
            <w:r>
              <w:rPr>
                <w:rFonts w:ascii="Gill Sans MT" w:hAnsi="Gill Sans MT"/>
                <w:b w:val="0"/>
              </w:rPr>
              <w:t>0</w:t>
            </w:r>
            <w:r w:rsidRPr="000C0C08">
              <w:rPr>
                <w:rFonts w:ascii="Gill Sans MT" w:hAnsi="Gill Sans MT"/>
                <w:b w:val="0"/>
              </w:rPr>
              <w:t>%)</w:t>
            </w:r>
          </w:p>
        </w:tc>
      </w:tr>
      <w:tr w:rsidR="0081459B" w:rsidRPr="00116BAB" w14:paraId="5FF7012A" w14:textId="77777777" w:rsidTr="00FB2293">
        <w:tc>
          <w:tcPr>
            <w:tcW w:w="4830" w:type="dxa"/>
          </w:tcPr>
          <w:p w14:paraId="1D6F2530" w14:textId="77777777" w:rsidR="0081459B" w:rsidRPr="00346E3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tcPr>
          <w:p w14:paraId="4BF2771B"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 xml:space="preserve">31 </w:t>
            </w:r>
          </w:p>
        </w:tc>
        <w:tc>
          <w:tcPr>
            <w:tcW w:w="4393" w:type="dxa"/>
          </w:tcPr>
          <w:p w14:paraId="2FD02A64" w14:textId="77777777" w:rsidR="0081459B"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(&lt;1%)</w:t>
            </w:r>
          </w:p>
        </w:tc>
      </w:tr>
      <w:tr w:rsidR="0081459B" w:rsidRPr="00116BAB" w14:paraId="13C61086" w14:textId="77777777" w:rsidTr="00FB2293">
        <w:tc>
          <w:tcPr>
            <w:tcW w:w="4830" w:type="dxa"/>
          </w:tcPr>
          <w:p w14:paraId="21F48300"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tcPr>
          <w:p w14:paraId="3C524934" w14:textId="77777777" w:rsidR="0081459B" w:rsidRPr="000C0C08"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25,189</w:t>
            </w:r>
            <w:r w:rsidRPr="000C0C08">
              <w:rPr>
                <w:rFonts w:ascii="Gill Sans MT" w:hAnsi="Gill Sans MT"/>
                <w:b w:val="0"/>
              </w:rPr>
              <w:t xml:space="preserve"> </w:t>
            </w:r>
          </w:p>
        </w:tc>
        <w:tc>
          <w:tcPr>
            <w:tcW w:w="4393" w:type="dxa"/>
          </w:tcPr>
          <w:p w14:paraId="3BCF1E31" w14:textId="77777777" w:rsidR="0081459B" w:rsidRDefault="0081459B" w:rsidP="00FB2293">
            <w:pPr>
              <w:pStyle w:val="Heading2"/>
              <w:numPr>
                <w:ilvl w:val="0"/>
                <w:numId w:val="0"/>
              </w:numPr>
              <w:spacing w:before="120" w:after="120"/>
              <w:outlineLvl w:val="1"/>
              <w:rPr>
                <w:rFonts w:ascii="Gill Sans MT" w:hAnsi="Gill Sans MT"/>
                <w:b w:val="0"/>
              </w:rPr>
            </w:pPr>
            <w:r w:rsidRPr="000C0C08">
              <w:rPr>
                <w:rFonts w:ascii="Gill Sans MT" w:hAnsi="Gill Sans MT"/>
                <w:b w:val="0"/>
              </w:rPr>
              <w:t>(100%)</w:t>
            </w:r>
          </w:p>
        </w:tc>
      </w:tr>
    </w:tbl>
    <w:p w14:paraId="6A4EB22C" w14:textId="1699588E"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68162975"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354167CA"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the Department of Human Services as reasonable; or </w:t>
      </w:r>
    </w:p>
    <w:p w14:paraId="293774A5"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4F82A3A0" w14:textId="4F4A1F28"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61CC081D"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6B603C50"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65F6CBF6" w14:textId="77777777" w:rsidR="00CF167F" w:rsidRPr="00325EF7" w:rsidRDefault="00CF167F" w:rsidP="00B84812">
      <w:pPr>
        <w:ind w:left="-142"/>
      </w:pPr>
    </w:p>
    <w:p w14:paraId="47FB82CB" w14:textId="77777777" w:rsidR="00B51AA6" w:rsidRDefault="00F41E83" w:rsidP="006D18C4">
      <w:pPr>
        <w:pStyle w:val="Heading2"/>
        <w:numPr>
          <w:ilvl w:val="0"/>
          <w:numId w:val="0"/>
        </w:numPr>
        <w:spacing w:after="240"/>
        <w:ind w:left="709" w:hanging="709"/>
      </w:pPr>
      <w:r>
        <w:br w:type="page"/>
      </w:r>
    </w:p>
    <w:p w14:paraId="1949FB1F" w14:textId="14E40D89"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Department of Human Services</w:t>
      </w:r>
      <w:r w:rsidR="0057581F" w:rsidRPr="001053D0">
        <w:rPr>
          <w:rFonts w:ascii="Arial" w:hAnsi="Arial" w:cs="Arial"/>
          <w:i/>
        </w:rPr>
        <w:t>’</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1 July to</w:t>
      </w:r>
      <w:r w:rsidR="0035417E" w:rsidRPr="001053D0">
        <w:rPr>
          <w:rFonts w:ascii="Arial" w:hAnsi="Arial" w:cs="Arial"/>
          <w:i/>
        </w:rPr>
        <w:br/>
      </w:r>
      <w:r w:rsidR="0081459B" w:rsidRPr="001053D0">
        <w:rPr>
          <w:rFonts w:ascii="Arial" w:hAnsi="Arial" w:cs="Arial"/>
          <w:i/>
        </w:rPr>
        <w:t>30 September 2019</w:t>
      </w:r>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4897"/>
        <w:gridCol w:w="4694"/>
        <w:gridCol w:w="4357"/>
      </w:tblGrid>
      <w:tr w:rsidR="0081459B" w:rsidRPr="00116BAB" w14:paraId="0033451D" w14:textId="77777777" w:rsidTr="00FB2293">
        <w:trPr>
          <w:tblHeader/>
        </w:trPr>
        <w:tc>
          <w:tcPr>
            <w:tcW w:w="4897" w:type="dxa"/>
          </w:tcPr>
          <w:p w14:paraId="3BABBC2B"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14:paraId="465E8AB9"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14:paraId="33FCB187"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81459B" w:rsidRPr="00116BAB" w14:paraId="64CDFFAE" w14:textId="77777777" w:rsidTr="00FB2293">
        <w:tc>
          <w:tcPr>
            <w:tcW w:w="4897" w:type="dxa"/>
          </w:tcPr>
          <w:p w14:paraId="49EF1E6F"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tcPr>
          <w:p w14:paraId="756F6B4E" w14:textId="1706BFE2" w:rsidR="0081459B" w:rsidRPr="000C0C08" w:rsidRDefault="0081459B" w:rsidP="00FB2293">
            <w:pPr>
              <w:pStyle w:val="Heading2"/>
              <w:numPr>
                <w:ilvl w:val="0"/>
                <w:numId w:val="0"/>
              </w:numPr>
              <w:spacing w:before="120" w:after="120"/>
              <w:outlineLvl w:val="1"/>
              <w:rPr>
                <w:rFonts w:ascii="Gill Sans MT" w:hAnsi="Gill Sans MT"/>
                <w:b w:val="0"/>
              </w:rPr>
            </w:pPr>
            <w:r w:rsidRPr="00346E3B">
              <w:rPr>
                <w:rFonts w:ascii="Gill Sans MT" w:hAnsi="Gill Sans MT"/>
                <w:b w:val="0"/>
              </w:rPr>
              <w:t>13,861</w:t>
            </w:r>
            <w:r>
              <w:rPr>
                <w:rFonts w:ascii="Gill Sans MT" w:hAnsi="Gill Sans MT"/>
                <w:b w:val="0"/>
              </w:rPr>
              <w:t xml:space="preserve"> </w:t>
            </w:r>
          </w:p>
        </w:tc>
        <w:tc>
          <w:tcPr>
            <w:tcW w:w="4357" w:type="dxa"/>
          </w:tcPr>
          <w:p w14:paraId="4E74758A" w14:textId="77777777" w:rsidR="0081459B" w:rsidRPr="00346E3B" w:rsidRDefault="0081459B" w:rsidP="00FB2293">
            <w:pPr>
              <w:pStyle w:val="Heading2"/>
              <w:numPr>
                <w:ilvl w:val="0"/>
                <w:numId w:val="0"/>
              </w:numPr>
              <w:spacing w:before="120" w:after="120"/>
              <w:outlineLvl w:val="1"/>
              <w:rPr>
                <w:rFonts w:ascii="Gill Sans MT" w:hAnsi="Gill Sans MT"/>
              </w:rPr>
            </w:pPr>
            <w:r>
              <w:rPr>
                <w:rFonts w:ascii="Gill Sans MT" w:hAnsi="Gill Sans MT"/>
                <w:b w:val="0"/>
              </w:rPr>
              <w:t>46%</w:t>
            </w:r>
          </w:p>
        </w:tc>
      </w:tr>
      <w:tr w:rsidR="00B622A4" w:rsidRPr="00116BAB" w14:paraId="19FF1F0A" w14:textId="77777777" w:rsidTr="00B622A4">
        <w:tc>
          <w:tcPr>
            <w:tcW w:w="4897" w:type="dxa"/>
          </w:tcPr>
          <w:p w14:paraId="216EC95F" w14:textId="0EECA950" w:rsidR="00B622A4" w:rsidRPr="00FB0ECB" w:rsidRDefault="00B622A4" w:rsidP="00B622A4">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w:t>
            </w:r>
            <w:r w:rsidR="008C7E5E">
              <w:rPr>
                <w:rFonts w:ascii="Gill Sans MT" w:hAnsi="Gill Sans MT"/>
              </w:rPr>
              <w:t xml:space="preserve"> types</w:t>
            </w:r>
          </w:p>
        </w:tc>
        <w:tc>
          <w:tcPr>
            <w:tcW w:w="4694" w:type="dxa"/>
          </w:tcPr>
          <w:p w14:paraId="322FFCDB" w14:textId="77777777" w:rsidR="00B622A4" w:rsidRPr="000C0C08" w:rsidRDefault="00B622A4" w:rsidP="00B622A4">
            <w:pPr>
              <w:pStyle w:val="Heading2"/>
              <w:numPr>
                <w:ilvl w:val="0"/>
                <w:numId w:val="0"/>
              </w:numPr>
              <w:spacing w:before="120" w:after="120"/>
              <w:outlineLvl w:val="1"/>
              <w:rPr>
                <w:rFonts w:ascii="Gill Sans MT" w:hAnsi="Gill Sans MT"/>
                <w:b w:val="0"/>
              </w:rPr>
            </w:pPr>
            <w:r>
              <w:rPr>
                <w:rFonts w:ascii="Gill Sans MT" w:hAnsi="Gill Sans MT"/>
                <w:b w:val="0"/>
              </w:rPr>
              <w:t xml:space="preserve">16,598 </w:t>
            </w:r>
          </w:p>
        </w:tc>
        <w:tc>
          <w:tcPr>
            <w:tcW w:w="4357" w:type="dxa"/>
          </w:tcPr>
          <w:p w14:paraId="76043200" w14:textId="77777777" w:rsidR="00B622A4" w:rsidRDefault="00B622A4" w:rsidP="00B622A4">
            <w:pPr>
              <w:pStyle w:val="Heading2"/>
              <w:numPr>
                <w:ilvl w:val="0"/>
                <w:numId w:val="0"/>
              </w:numPr>
              <w:spacing w:before="120" w:after="120"/>
              <w:outlineLvl w:val="1"/>
              <w:rPr>
                <w:rFonts w:ascii="Gill Sans MT" w:hAnsi="Gill Sans MT"/>
                <w:b w:val="0"/>
              </w:rPr>
            </w:pPr>
            <w:r>
              <w:rPr>
                <w:rFonts w:ascii="Gill Sans MT" w:hAnsi="Gill Sans MT"/>
                <w:b w:val="0"/>
              </w:rPr>
              <w:t>54%</w:t>
            </w:r>
          </w:p>
        </w:tc>
      </w:tr>
      <w:tr w:rsidR="0081459B" w:rsidRPr="00116BAB" w14:paraId="0FDD7F3B" w14:textId="77777777" w:rsidTr="0081459B">
        <w:tc>
          <w:tcPr>
            <w:tcW w:w="4897" w:type="dxa"/>
          </w:tcPr>
          <w:p w14:paraId="4DD69A2A" w14:textId="610DFFED" w:rsidR="0081459B" w:rsidRPr="00116BA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Nature of requirements</w:t>
            </w:r>
            <w:r w:rsidR="008C7E5E">
              <w:rPr>
                <w:rFonts w:ascii="Gill Sans MT" w:hAnsi="Gill Sans MT"/>
              </w:rPr>
              <w:t>’</w:t>
            </w:r>
          </w:p>
        </w:tc>
        <w:tc>
          <w:tcPr>
            <w:tcW w:w="4694" w:type="dxa"/>
            <w:shd w:val="clear" w:color="auto" w:fill="auto"/>
          </w:tcPr>
          <w:p w14:paraId="3CE522F0" w14:textId="77777777" w:rsidR="0081459B" w:rsidRPr="000C0C08" w:rsidRDefault="0081459B" w:rsidP="00FB2293">
            <w:pPr>
              <w:pStyle w:val="Heading2"/>
              <w:numPr>
                <w:ilvl w:val="0"/>
                <w:numId w:val="0"/>
              </w:numPr>
              <w:outlineLvl w:val="1"/>
              <w:rPr>
                <w:rFonts w:ascii="Gill Sans MT" w:hAnsi="Gill Sans MT"/>
                <w:b w:val="0"/>
              </w:rPr>
            </w:pPr>
            <w:r>
              <w:rPr>
                <w:rFonts w:ascii="Gill Sans MT" w:eastAsia="Times New Roman" w:hAnsi="Gill Sans MT"/>
                <w:b w:val="0"/>
                <w:bCs w:val="0"/>
              </w:rPr>
              <w:t>5,409</w:t>
            </w:r>
          </w:p>
        </w:tc>
        <w:tc>
          <w:tcPr>
            <w:tcW w:w="4357" w:type="dxa"/>
          </w:tcPr>
          <w:p w14:paraId="3D7A1752" w14:textId="77777777" w:rsidR="0081459B"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18%</w:t>
            </w:r>
          </w:p>
        </w:tc>
      </w:tr>
      <w:tr w:rsidR="0081459B" w:rsidRPr="00116BAB" w14:paraId="23C23218" w14:textId="77777777" w:rsidTr="0081459B">
        <w:tc>
          <w:tcPr>
            <w:tcW w:w="4897" w:type="dxa"/>
          </w:tcPr>
          <w:p w14:paraId="3F66B720" w14:textId="34774DA1" w:rsidR="0081459B" w:rsidRPr="00346E3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Procedural errors </w:t>
            </w:r>
            <w:r w:rsidR="008C7E5E" w:rsidRPr="00346E3B">
              <w:rPr>
                <w:rFonts w:ascii="Gill Sans MT" w:hAnsi="Gill Sans MT"/>
              </w:rPr>
              <w:t>relating to</w:t>
            </w:r>
            <w:r w:rsidR="008C7E5E">
              <w:rPr>
                <w:rFonts w:ascii="Gill Sans MT" w:hAnsi="Gill Sans MT"/>
              </w:rPr>
              <w:t xml:space="preserve"> sub-category “</w:t>
            </w:r>
            <w:r w:rsidRPr="00346E3B">
              <w:rPr>
                <w:rFonts w:ascii="Gill Sans MT" w:hAnsi="Gill Sans MT"/>
              </w:rPr>
              <w:t>Notifying requirements</w:t>
            </w:r>
            <w:r w:rsidR="008C7E5E">
              <w:rPr>
                <w:rFonts w:ascii="Gill Sans MT" w:hAnsi="Gill Sans MT"/>
              </w:rPr>
              <w:t>”</w:t>
            </w:r>
          </w:p>
        </w:tc>
        <w:tc>
          <w:tcPr>
            <w:tcW w:w="4694" w:type="dxa"/>
            <w:shd w:val="clear" w:color="auto" w:fill="auto"/>
          </w:tcPr>
          <w:p w14:paraId="628C2568" w14:textId="77777777" w:rsidR="0081459B" w:rsidRDefault="0081459B" w:rsidP="00FB2293">
            <w:pPr>
              <w:pStyle w:val="Heading2"/>
              <w:numPr>
                <w:ilvl w:val="0"/>
                <w:numId w:val="0"/>
              </w:numPr>
              <w:outlineLvl w:val="1"/>
              <w:rPr>
                <w:rFonts w:ascii="Gill Sans MT" w:hAnsi="Gill Sans MT"/>
                <w:b w:val="0"/>
              </w:rPr>
            </w:pPr>
            <w:r>
              <w:rPr>
                <w:rFonts w:ascii="Gill Sans MT" w:eastAsia="Times New Roman" w:hAnsi="Gill Sans MT"/>
                <w:b w:val="0"/>
                <w:bCs w:val="0"/>
              </w:rPr>
              <w:t>1,137</w:t>
            </w:r>
          </w:p>
        </w:tc>
        <w:tc>
          <w:tcPr>
            <w:tcW w:w="4357" w:type="dxa"/>
          </w:tcPr>
          <w:p w14:paraId="3583FE5E" w14:textId="77777777" w:rsidR="0081459B"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3%</w:t>
            </w:r>
          </w:p>
        </w:tc>
      </w:tr>
      <w:tr w:rsidR="0081459B" w:rsidRPr="00116BAB" w14:paraId="13124DEF" w14:textId="77777777" w:rsidTr="0081459B">
        <w:tc>
          <w:tcPr>
            <w:tcW w:w="4897" w:type="dxa"/>
          </w:tcPr>
          <w:p w14:paraId="6C08834E" w14:textId="5C61A258" w:rsidR="0081459B" w:rsidRPr="00346E3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Submitting Provider Appointment Reports and Participation Reports</w:t>
            </w:r>
            <w:r w:rsidR="008C7E5E">
              <w:rPr>
                <w:rFonts w:ascii="Gill Sans MT" w:hAnsi="Gill Sans MT"/>
              </w:rPr>
              <w:t>”</w:t>
            </w:r>
          </w:p>
        </w:tc>
        <w:tc>
          <w:tcPr>
            <w:tcW w:w="4694" w:type="dxa"/>
            <w:shd w:val="clear" w:color="auto" w:fill="auto"/>
          </w:tcPr>
          <w:p w14:paraId="1DA23735" w14:textId="77777777" w:rsidR="0081459B" w:rsidRDefault="0081459B" w:rsidP="00FB2293">
            <w:pPr>
              <w:pStyle w:val="Heading2"/>
              <w:numPr>
                <w:ilvl w:val="0"/>
                <w:numId w:val="0"/>
              </w:numPr>
              <w:outlineLvl w:val="1"/>
              <w:rPr>
                <w:rFonts w:ascii="Gill Sans MT" w:hAnsi="Gill Sans MT"/>
                <w:b w:val="0"/>
              </w:rPr>
            </w:pPr>
            <w:r w:rsidRPr="009D2ECA">
              <w:rPr>
                <w:rFonts w:ascii="Gill Sans MT" w:eastAsia="Times New Roman" w:hAnsi="Gill Sans MT"/>
                <w:b w:val="0"/>
                <w:bCs w:val="0"/>
              </w:rPr>
              <w:t>10,052</w:t>
            </w:r>
          </w:p>
        </w:tc>
        <w:tc>
          <w:tcPr>
            <w:tcW w:w="4357" w:type="dxa"/>
          </w:tcPr>
          <w:p w14:paraId="732CA712" w14:textId="77777777" w:rsidR="0081459B" w:rsidRDefault="0081459B" w:rsidP="00FB2293">
            <w:pPr>
              <w:pStyle w:val="Heading2"/>
              <w:numPr>
                <w:ilvl w:val="0"/>
                <w:numId w:val="0"/>
              </w:numPr>
              <w:spacing w:before="120" w:after="120"/>
              <w:outlineLvl w:val="1"/>
              <w:rPr>
                <w:rFonts w:ascii="Gill Sans MT" w:hAnsi="Gill Sans MT"/>
                <w:b w:val="0"/>
              </w:rPr>
            </w:pPr>
            <w:r>
              <w:rPr>
                <w:rFonts w:ascii="Gill Sans MT" w:hAnsi="Gill Sans MT"/>
                <w:b w:val="0"/>
              </w:rPr>
              <w:t>33%</w:t>
            </w:r>
          </w:p>
        </w:tc>
      </w:tr>
      <w:tr w:rsidR="0081459B" w:rsidRPr="00116BAB" w14:paraId="20D3BCD3" w14:textId="77777777" w:rsidTr="00FB2293">
        <w:tc>
          <w:tcPr>
            <w:tcW w:w="4897" w:type="dxa"/>
          </w:tcPr>
          <w:p w14:paraId="4B0F20A5" w14:textId="77777777" w:rsidR="0081459B" w:rsidRPr="00B622A4" w:rsidRDefault="0081459B" w:rsidP="00FB2293">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tcPr>
          <w:p w14:paraId="1E644635" w14:textId="77777777" w:rsidR="0081459B" w:rsidRPr="00B622A4" w:rsidRDefault="0081459B" w:rsidP="00FB2293">
            <w:pPr>
              <w:pStyle w:val="Heading2"/>
              <w:numPr>
                <w:ilvl w:val="0"/>
                <w:numId w:val="0"/>
              </w:numPr>
              <w:spacing w:before="120" w:after="120"/>
              <w:outlineLvl w:val="1"/>
              <w:rPr>
                <w:rFonts w:ascii="Gill Sans MT" w:hAnsi="Gill Sans MT"/>
              </w:rPr>
            </w:pPr>
            <w:r w:rsidRPr="00B622A4">
              <w:rPr>
                <w:rFonts w:ascii="Gill Sans MT" w:hAnsi="Gill Sans MT"/>
              </w:rPr>
              <w:t>30,459</w:t>
            </w:r>
          </w:p>
        </w:tc>
        <w:tc>
          <w:tcPr>
            <w:tcW w:w="4357" w:type="dxa"/>
          </w:tcPr>
          <w:p w14:paraId="07E61581" w14:textId="77777777" w:rsidR="0081459B" w:rsidRPr="00B622A4" w:rsidRDefault="0081459B" w:rsidP="00FB2293">
            <w:pPr>
              <w:pStyle w:val="Heading2"/>
              <w:numPr>
                <w:ilvl w:val="0"/>
                <w:numId w:val="0"/>
              </w:numPr>
              <w:spacing w:before="120" w:after="120"/>
              <w:outlineLvl w:val="1"/>
              <w:rPr>
                <w:rFonts w:ascii="Gill Sans MT" w:hAnsi="Gill Sans MT"/>
              </w:rPr>
            </w:pPr>
            <w:r w:rsidRPr="00B622A4">
              <w:rPr>
                <w:rFonts w:ascii="Gill Sans MT" w:hAnsi="Gill Sans MT"/>
              </w:rPr>
              <w:t>100%</w:t>
            </w:r>
          </w:p>
        </w:tc>
      </w:tr>
    </w:tbl>
    <w:p w14:paraId="1DFD26AA" w14:textId="6B657739"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w:t>
      </w:r>
      <w:r w:rsidR="008C7E5E">
        <w:t>he Department of Human Services</w:t>
      </w:r>
    </w:p>
    <w:p w14:paraId="6CD0AC7B" w14:textId="77777777" w:rsidR="002522E1" w:rsidRDefault="002522E1">
      <w:pPr>
        <w:spacing w:before="0"/>
        <w:ind w:left="0"/>
      </w:pPr>
      <w:r>
        <w:br w:type="page"/>
      </w:r>
    </w:p>
    <w:p w14:paraId="0D00D4E3" w14:textId="26E24A2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Department of Human Services</w:t>
      </w:r>
      <w:r w:rsidR="007D480B" w:rsidRPr="001053D0">
        <w:rPr>
          <w:rFonts w:ascii="Arial" w:hAnsi="Arial" w:cs="Arial"/>
          <w:i/>
        </w:rPr>
        <w:t>’</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t>1 July to 30 September 2019</w:t>
      </w:r>
      <w:r w:rsidR="001053D0" w:rsidRPr="001053D0">
        <w:rPr>
          <w:rFonts w:ascii="Arial" w:hAnsi="Arial" w:cs="Arial"/>
          <w:i/>
        </w:rPr>
        <w:br/>
      </w:r>
    </w:p>
    <w:tbl>
      <w:tblPr>
        <w:tblStyle w:val="TableGrid1"/>
        <w:tblW w:w="12811" w:type="dxa"/>
        <w:tblLook w:val="04A0" w:firstRow="1" w:lastRow="0" w:firstColumn="1" w:lastColumn="0" w:noHBand="0" w:noVBand="1"/>
        <w:tblCaption w:val="Department of Human Services’ reasons for rejecting Provider Appointment Reports and Participation Reports: Reasonable Excuse "/>
      </w:tblPr>
      <w:tblGrid>
        <w:gridCol w:w="6541"/>
        <w:gridCol w:w="6270"/>
      </w:tblGrid>
      <w:tr w:rsidR="00476675" w14:paraId="7C6E8C00" w14:textId="77777777" w:rsidTr="002522E1">
        <w:trPr>
          <w:trHeight w:val="303"/>
          <w:tblHeader/>
        </w:trPr>
        <w:tc>
          <w:tcPr>
            <w:tcW w:w="6541" w:type="dxa"/>
            <w:vAlign w:val="center"/>
          </w:tcPr>
          <w:p w14:paraId="6BD132F4" w14:textId="70FC5713"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14:paraId="5672727E" w14:textId="344BA7FE"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476675" w14:paraId="63EFEEDB" w14:textId="77777777" w:rsidTr="00476675">
        <w:trPr>
          <w:trHeight w:val="293"/>
        </w:trPr>
        <w:tc>
          <w:tcPr>
            <w:tcW w:w="6541" w:type="dxa"/>
            <w:vAlign w:val="center"/>
          </w:tcPr>
          <w:p w14:paraId="37FDDADB" w14:textId="32E5DE44"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14:paraId="1AC2C38F" w14:textId="557884DA"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2.70%</w:t>
            </w:r>
          </w:p>
        </w:tc>
      </w:tr>
      <w:tr w:rsidR="00476675" w14:paraId="1E8533AB" w14:textId="77777777" w:rsidTr="00476675">
        <w:trPr>
          <w:trHeight w:val="293"/>
        </w:trPr>
        <w:tc>
          <w:tcPr>
            <w:tcW w:w="6541" w:type="dxa"/>
            <w:vAlign w:val="center"/>
          </w:tcPr>
          <w:p w14:paraId="661915C5" w14:textId="2B777501"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14:paraId="5305EB5A" w14:textId="0B8D8746"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2.10%</w:t>
            </w:r>
          </w:p>
        </w:tc>
      </w:tr>
      <w:tr w:rsidR="00476675" w14:paraId="5B26429D" w14:textId="77777777" w:rsidTr="00476675">
        <w:trPr>
          <w:trHeight w:val="293"/>
        </w:trPr>
        <w:tc>
          <w:tcPr>
            <w:tcW w:w="6541" w:type="dxa"/>
            <w:vAlign w:val="center"/>
          </w:tcPr>
          <w:p w14:paraId="71DB05A4" w14:textId="2FBFEF80"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14:paraId="422A7CF5" w14:textId="4F8B475E"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13.60%</w:t>
            </w:r>
          </w:p>
        </w:tc>
      </w:tr>
      <w:tr w:rsidR="00476675" w14:paraId="1CB31075" w14:textId="77777777" w:rsidTr="00476675">
        <w:trPr>
          <w:trHeight w:val="293"/>
        </w:trPr>
        <w:tc>
          <w:tcPr>
            <w:tcW w:w="6541" w:type="dxa"/>
            <w:vAlign w:val="center"/>
          </w:tcPr>
          <w:p w14:paraId="138D5E6C" w14:textId="7153D3D8"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14:paraId="29903D82" w14:textId="2D3DD12B"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4.80%</w:t>
            </w:r>
          </w:p>
        </w:tc>
      </w:tr>
      <w:tr w:rsidR="00476675" w14:paraId="573505EE" w14:textId="77777777" w:rsidTr="00476675">
        <w:trPr>
          <w:trHeight w:val="293"/>
        </w:trPr>
        <w:tc>
          <w:tcPr>
            <w:tcW w:w="6541" w:type="dxa"/>
            <w:vAlign w:val="center"/>
          </w:tcPr>
          <w:p w14:paraId="6B9F57C6" w14:textId="66D1B64D"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14:paraId="63003781" w14:textId="378E274D"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2.70%</w:t>
            </w:r>
          </w:p>
        </w:tc>
      </w:tr>
      <w:tr w:rsidR="00476675" w14:paraId="788882FB" w14:textId="77777777" w:rsidTr="00476675">
        <w:trPr>
          <w:trHeight w:val="293"/>
        </w:trPr>
        <w:tc>
          <w:tcPr>
            <w:tcW w:w="6541" w:type="dxa"/>
            <w:vAlign w:val="center"/>
          </w:tcPr>
          <w:p w14:paraId="131D9906" w14:textId="164BA688"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14:paraId="2B445B1D" w14:textId="63869627"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&lt;1%</w:t>
            </w:r>
          </w:p>
        </w:tc>
      </w:tr>
      <w:tr w:rsidR="00476675" w14:paraId="415D691E" w14:textId="77777777" w:rsidTr="00476675">
        <w:trPr>
          <w:trHeight w:val="293"/>
        </w:trPr>
        <w:tc>
          <w:tcPr>
            <w:tcW w:w="6541" w:type="dxa"/>
            <w:vAlign w:val="center"/>
          </w:tcPr>
          <w:p w14:paraId="23846D2A" w14:textId="6F405ADD"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14:paraId="503F6CF7" w14:textId="3D3B4690"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1.90%</w:t>
            </w:r>
          </w:p>
        </w:tc>
      </w:tr>
      <w:tr w:rsidR="00476675" w14:paraId="7CBFD171" w14:textId="77777777" w:rsidTr="00476675">
        <w:trPr>
          <w:trHeight w:val="293"/>
        </w:trPr>
        <w:tc>
          <w:tcPr>
            <w:tcW w:w="6541" w:type="dxa"/>
            <w:vAlign w:val="center"/>
          </w:tcPr>
          <w:p w14:paraId="07131431" w14:textId="65D2D729"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14:paraId="4A3CD73B" w14:textId="260EC779"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4.70%</w:t>
            </w:r>
          </w:p>
        </w:tc>
      </w:tr>
      <w:tr w:rsidR="00476675" w14:paraId="683819D3" w14:textId="77777777" w:rsidTr="00476675">
        <w:trPr>
          <w:trHeight w:val="293"/>
        </w:trPr>
        <w:tc>
          <w:tcPr>
            <w:tcW w:w="6541" w:type="dxa"/>
            <w:vAlign w:val="center"/>
          </w:tcPr>
          <w:p w14:paraId="031CFF85" w14:textId="4B43A35C"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14:paraId="470C331F" w14:textId="20073989"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b w:val="0"/>
                <w:color w:val="000000"/>
                <w:szCs w:val="22"/>
                <w:lang w:eastAsia="en-AU"/>
              </w:rPr>
              <w:t>12.80%</w:t>
            </w:r>
          </w:p>
        </w:tc>
      </w:tr>
    </w:tbl>
    <w:p w14:paraId="34F9921C"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50CEC8A" w14:textId="5721C7D2" w:rsidR="00476675" w:rsidRDefault="00476675" w:rsidP="00476675">
      <w:pPr>
        <w:ind w:left="-142"/>
      </w:pPr>
      <w:r>
        <w:t xml:space="preserve">Medical reason </w:t>
      </w:r>
      <w:proofErr w:type="gramStart"/>
      <w:r>
        <w:t>A</w:t>
      </w:r>
      <w:proofErr w:type="gramEnd"/>
      <w:r>
        <w:t xml:space="preserve"> – means that a medical reason prevented the job seeker from complying with the requirement but the job seeker did not provide specific evidence relating to the particular incident. </w:t>
      </w:r>
    </w:p>
    <w:p w14:paraId="784E921B" w14:textId="495607B5"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79481479" w14:textId="7C728016"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A835FD">
        <w:t>30 September 2019</w:t>
      </w:r>
      <w:r w:rsidR="00C93A2C">
        <w:t>)</w:t>
      </w:r>
      <w:bookmarkEnd w:id="18"/>
    </w:p>
    <w:tbl>
      <w:tblPr>
        <w:tblStyle w:val="CenterAlignTable"/>
        <w:tblW w:w="5000" w:type="pct"/>
        <w:tblInd w:w="0" w:type="dxa"/>
        <w:tblLook w:val="04E0" w:firstRow="1" w:lastRow="1" w:firstColumn="1" w:lastColumn="0" w:noHBand="0" w:noVBand="1"/>
        <w:tblCaption w:val="Number of Compliance Reports Submitted per job seeker over past 12 months (as at 30 September 2019)"/>
        <w:tblDescription w:val=" Number of Participation Reports per job seeker (at 31 March 2014)"/>
      </w:tblPr>
      <w:tblGrid>
        <w:gridCol w:w="4210"/>
        <w:gridCol w:w="4446"/>
        <w:gridCol w:w="3091"/>
        <w:gridCol w:w="2985"/>
      </w:tblGrid>
      <w:tr w:rsidR="00C93A2C" w:rsidRPr="00325EF7" w14:paraId="0F59C189"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5D465586"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6E4BE159"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7011143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5A411F47"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8D1F89" w:rsidRPr="00325EF7" w14:paraId="738AA20B" w14:textId="77777777" w:rsidTr="00733692">
        <w:tc>
          <w:tcPr>
            <w:cnfStyle w:val="001000000000" w:firstRow="0" w:lastRow="0" w:firstColumn="1" w:lastColumn="0" w:oddVBand="0" w:evenVBand="0" w:oddHBand="0" w:evenHBand="0" w:firstRowFirstColumn="0" w:firstRowLastColumn="0" w:lastRowFirstColumn="0" w:lastRowLastColumn="0"/>
            <w:tcW w:w="1429" w:type="pct"/>
            <w:vAlign w:val="center"/>
          </w:tcPr>
          <w:p w14:paraId="016256FA" w14:textId="77777777" w:rsidR="008D1F89" w:rsidRPr="004741B6" w:rsidRDefault="008D1F89" w:rsidP="008D1F89">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4AF5CC2" w14:textId="6EF5CED0"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6,210</w:t>
            </w:r>
          </w:p>
        </w:tc>
        <w:tc>
          <w:tcPr>
            <w:tcW w:w="1049" w:type="pct"/>
            <w:tcBorders>
              <w:top w:val="single" w:sz="4" w:space="0" w:color="auto"/>
              <w:left w:val="nil"/>
              <w:bottom w:val="single" w:sz="4" w:space="0" w:color="auto"/>
              <w:right w:val="single" w:sz="4" w:space="0" w:color="auto"/>
            </w:tcBorders>
            <w:shd w:val="clear" w:color="auto" w:fill="auto"/>
          </w:tcPr>
          <w:p w14:paraId="46865133" w14:textId="50622855"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24.4%</w:t>
            </w:r>
          </w:p>
        </w:tc>
        <w:tc>
          <w:tcPr>
            <w:tcW w:w="1013" w:type="pct"/>
            <w:tcBorders>
              <w:top w:val="single" w:sz="4" w:space="0" w:color="auto"/>
              <w:left w:val="nil"/>
              <w:bottom w:val="single" w:sz="4" w:space="0" w:color="auto"/>
              <w:right w:val="single" w:sz="4" w:space="0" w:color="auto"/>
            </w:tcBorders>
            <w:shd w:val="clear" w:color="auto" w:fill="auto"/>
          </w:tcPr>
          <w:p w14:paraId="29E5E4E3" w14:textId="2CCCE4F5"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N/A</w:t>
            </w:r>
          </w:p>
        </w:tc>
      </w:tr>
      <w:tr w:rsidR="008D1F89" w:rsidRPr="00325EF7" w14:paraId="5355E8B8" w14:textId="77777777" w:rsidTr="00733692">
        <w:tc>
          <w:tcPr>
            <w:cnfStyle w:val="001000000000" w:firstRow="0" w:lastRow="0" w:firstColumn="1" w:lastColumn="0" w:oddVBand="0" w:evenVBand="0" w:oddHBand="0" w:evenHBand="0" w:firstRowFirstColumn="0" w:firstRowLastColumn="0" w:lastRowFirstColumn="0" w:lastRowLastColumn="0"/>
            <w:tcW w:w="1429" w:type="pct"/>
            <w:vAlign w:val="center"/>
          </w:tcPr>
          <w:p w14:paraId="28776813" w14:textId="77777777" w:rsidR="008D1F89" w:rsidRPr="004741B6" w:rsidRDefault="008D1F89" w:rsidP="008D1F89">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07E05FEC" w14:textId="61210DE9"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2,590</w:t>
            </w:r>
          </w:p>
        </w:tc>
        <w:tc>
          <w:tcPr>
            <w:tcW w:w="1049" w:type="pct"/>
            <w:tcBorders>
              <w:top w:val="nil"/>
              <w:left w:val="nil"/>
              <w:bottom w:val="single" w:sz="4" w:space="0" w:color="auto"/>
              <w:right w:val="single" w:sz="4" w:space="0" w:color="auto"/>
            </w:tcBorders>
            <w:shd w:val="clear" w:color="auto" w:fill="auto"/>
          </w:tcPr>
          <w:p w14:paraId="45CC8AFE" w14:textId="730EC253"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10.2%</w:t>
            </w:r>
          </w:p>
        </w:tc>
        <w:tc>
          <w:tcPr>
            <w:tcW w:w="1013" w:type="pct"/>
            <w:tcBorders>
              <w:top w:val="nil"/>
              <w:left w:val="nil"/>
              <w:bottom w:val="single" w:sz="4" w:space="0" w:color="auto"/>
              <w:right w:val="single" w:sz="4" w:space="0" w:color="auto"/>
            </w:tcBorders>
            <w:shd w:val="clear" w:color="auto" w:fill="auto"/>
          </w:tcPr>
          <w:p w14:paraId="52FD1D32" w14:textId="2FA98632"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1.1%</w:t>
            </w:r>
          </w:p>
        </w:tc>
      </w:tr>
      <w:tr w:rsidR="008D1F89" w:rsidRPr="00325EF7" w14:paraId="65EFCA2A" w14:textId="77777777" w:rsidTr="00733692">
        <w:tc>
          <w:tcPr>
            <w:cnfStyle w:val="001000000000" w:firstRow="0" w:lastRow="0" w:firstColumn="1" w:lastColumn="0" w:oddVBand="0" w:evenVBand="0" w:oddHBand="0" w:evenHBand="0" w:firstRowFirstColumn="0" w:firstRowLastColumn="0" w:lastRowFirstColumn="0" w:lastRowLastColumn="0"/>
            <w:tcW w:w="1429" w:type="pct"/>
            <w:vAlign w:val="center"/>
          </w:tcPr>
          <w:p w14:paraId="21CDC7B7" w14:textId="77777777" w:rsidR="008D1F89" w:rsidRPr="004741B6" w:rsidRDefault="008D1F89" w:rsidP="008D1F89">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6E738E65" w14:textId="0127ECF7"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1,687</w:t>
            </w:r>
          </w:p>
        </w:tc>
        <w:tc>
          <w:tcPr>
            <w:tcW w:w="1049" w:type="pct"/>
            <w:tcBorders>
              <w:top w:val="nil"/>
              <w:left w:val="nil"/>
              <w:bottom w:val="single" w:sz="4" w:space="0" w:color="auto"/>
              <w:right w:val="single" w:sz="4" w:space="0" w:color="auto"/>
            </w:tcBorders>
            <w:shd w:val="clear" w:color="auto" w:fill="auto"/>
          </w:tcPr>
          <w:p w14:paraId="622AAD81" w14:textId="54BCD496"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6.6%</w:t>
            </w:r>
          </w:p>
        </w:tc>
        <w:tc>
          <w:tcPr>
            <w:tcW w:w="1013" w:type="pct"/>
            <w:tcBorders>
              <w:top w:val="nil"/>
              <w:left w:val="nil"/>
              <w:bottom w:val="single" w:sz="4" w:space="0" w:color="auto"/>
              <w:right w:val="single" w:sz="4" w:space="0" w:color="auto"/>
            </w:tcBorders>
            <w:shd w:val="clear" w:color="auto" w:fill="auto"/>
          </w:tcPr>
          <w:p w14:paraId="1A4F0E99" w14:textId="556F210C"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1.5%</w:t>
            </w:r>
          </w:p>
        </w:tc>
      </w:tr>
      <w:tr w:rsidR="008D1F89" w:rsidRPr="00325EF7" w14:paraId="1FC61730" w14:textId="77777777" w:rsidTr="00733692">
        <w:tc>
          <w:tcPr>
            <w:cnfStyle w:val="001000000000" w:firstRow="0" w:lastRow="0" w:firstColumn="1" w:lastColumn="0" w:oddVBand="0" w:evenVBand="0" w:oddHBand="0" w:evenHBand="0" w:firstRowFirstColumn="0" w:firstRowLastColumn="0" w:lastRowFirstColumn="0" w:lastRowLastColumn="0"/>
            <w:tcW w:w="1429" w:type="pct"/>
            <w:vAlign w:val="center"/>
          </w:tcPr>
          <w:p w14:paraId="3B2B8B25" w14:textId="77777777" w:rsidR="008D1F89" w:rsidRPr="004741B6" w:rsidRDefault="008D1F89" w:rsidP="008D1F89">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1085D4C6" w14:textId="59B73810"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1,457</w:t>
            </w:r>
          </w:p>
        </w:tc>
        <w:tc>
          <w:tcPr>
            <w:tcW w:w="1049" w:type="pct"/>
            <w:tcBorders>
              <w:top w:val="nil"/>
              <w:left w:val="nil"/>
              <w:bottom w:val="single" w:sz="4" w:space="0" w:color="auto"/>
              <w:right w:val="single" w:sz="4" w:space="0" w:color="auto"/>
            </w:tcBorders>
            <w:shd w:val="clear" w:color="auto" w:fill="auto"/>
          </w:tcPr>
          <w:p w14:paraId="79406A98" w14:textId="304DF291"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5.7%</w:t>
            </w:r>
          </w:p>
        </w:tc>
        <w:tc>
          <w:tcPr>
            <w:tcW w:w="1013" w:type="pct"/>
            <w:tcBorders>
              <w:top w:val="nil"/>
              <w:left w:val="nil"/>
              <w:bottom w:val="single" w:sz="4" w:space="0" w:color="auto"/>
              <w:right w:val="single" w:sz="4" w:space="0" w:color="auto"/>
            </w:tcBorders>
            <w:shd w:val="clear" w:color="auto" w:fill="auto"/>
          </w:tcPr>
          <w:p w14:paraId="3746520A" w14:textId="1BBF8B15"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1.9%</w:t>
            </w:r>
          </w:p>
        </w:tc>
      </w:tr>
      <w:tr w:rsidR="008D1F89" w:rsidRPr="00325EF7" w14:paraId="3D92CB5E" w14:textId="77777777" w:rsidTr="00733692">
        <w:tc>
          <w:tcPr>
            <w:cnfStyle w:val="001000000000" w:firstRow="0" w:lastRow="0" w:firstColumn="1" w:lastColumn="0" w:oddVBand="0" w:evenVBand="0" w:oddHBand="0" w:evenHBand="0" w:firstRowFirstColumn="0" w:firstRowLastColumn="0" w:lastRowFirstColumn="0" w:lastRowLastColumn="0"/>
            <w:tcW w:w="1429" w:type="pct"/>
            <w:vAlign w:val="center"/>
          </w:tcPr>
          <w:p w14:paraId="0D743FD7" w14:textId="77777777" w:rsidR="008D1F89" w:rsidRPr="004741B6" w:rsidRDefault="008D1F89" w:rsidP="008D1F89">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3FC1E5CF" w14:textId="3284900D"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1,209</w:t>
            </w:r>
          </w:p>
        </w:tc>
        <w:tc>
          <w:tcPr>
            <w:tcW w:w="1049" w:type="pct"/>
            <w:tcBorders>
              <w:top w:val="nil"/>
              <w:left w:val="nil"/>
              <w:bottom w:val="single" w:sz="4" w:space="0" w:color="auto"/>
              <w:right w:val="single" w:sz="4" w:space="0" w:color="auto"/>
            </w:tcBorders>
            <w:shd w:val="clear" w:color="auto" w:fill="auto"/>
          </w:tcPr>
          <w:p w14:paraId="0C9A13B7" w14:textId="172D34A6"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4.8%</w:t>
            </w:r>
          </w:p>
        </w:tc>
        <w:tc>
          <w:tcPr>
            <w:tcW w:w="1013" w:type="pct"/>
            <w:tcBorders>
              <w:top w:val="nil"/>
              <w:left w:val="nil"/>
              <w:bottom w:val="single" w:sz="4" w:space="0" w:color="auto"/>
              <w:right w:val="single" w:sz="4" w:space="0" w:color="auto"/>
            </w:tcBorders>
            <w:shd w:val="clear" w:color="auto" w:fill="auto"/>
          </w:tcPr>
          <w:p w14:paraId="0DF2FAF9" w14:textId="683D5412"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2.1%</w:t>
            </w:r>
          </w:p>
        </w:tc>
      </w:tr>
      <w:tr w:rsidR="008D1F89" w:rsidRPr="00325EF7" w14:paraId="6A86AD9B" w14:textId="77777777" w:rsidTr="00733692">
        <w:tc>
          <w:tcPr>
            <w:cnfStyle w:val="001000000000" w:firstRow="0" w:lastRow="0" w:firstColumn="1" w:lastColumn="0" w:oddVBand="0" w:evenVBand="0" w:oddHBand="0" w:evenHBand="0" w:firstRowFirstColumn="0" w:firstRowLastColumn="0" w:lastRowFirstColumn="0" w:lastRowLastColumn="0"/>
            <w:tcW w:w="1429" w:type="pct"/>
            <w:vAlign w:val="center"/>
          </w:tcPr>
          <w:p w14:paraId="4390B5BB" w14:textId="77777777" w:rsidR="008D1F89" w:rsidRPr="004741B6" w:rsidRDefault="008D1F89" w:rsidP="008D1F89">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2198A5F2" w14:textId="0B0D1B65"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12,278</w:t>
            </w:r>
          </w:p>
        </w:tc>
        <w:tc>
          <w:tcPr>
            <w:tcW w:w="1049" w:type="pct"/>
            <w:tcBorders>
              <w:top w:val="nil"/>
              <w:left w:val="nil"/>
              <w:bottom w:val="single" w:sz="4" w:space="0" w:color="auto"/>
              <w:right w:val="single" w:sz="4" w:space="0" w:color="auto"/>
            </w:tcBorders>
            <w:shd w:val="clear" w:color="auto" w:fill="auto"/>
          </w:tcPr>
          <w:p w14:paraId="7822F4AD" w14:textId="15BCEDD4"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48.3%</w:t>
            </w:r>
          </w:p>
        </w:tc>
        <w:tc>
          <w:tcPr>
            <w:tcW w:w="1013" w:type="pct"/>
            <w:tcBorders>
              <w:top w:val="nil"/>
              <w:left w:val="nil"/>
              <w:bottom w:val="single" w:sz="4" w:space="0" w:color="auto"/>
              <w:right w:val="single" w:sz="4" w:space="0" w:color="auto"/>
            </w:tcBorders>
            <w:shd w:val="clear" w:color="auto" w:fill="auto"/>
          </w:tcPr>
          <w:p w14:paraId="701180CA" w14:textId="76F2B793" w:rsidR="008D1F89" w:rsidRPr="00797B17" w:rsidRDefault="008D1F89" w:rsidP="008D1F89">
            <w:pPr>
              <w:ind w:left="-142" w:firstLine="142"/>
              <w:cnfStyle w:val="000000000000" w:firstRow="0" w:lastRow="0" w:firstColumn="0" w:lastColumn="0" w:oddVBand="0" w:evenVBand="0" w:oddHBand="0" w:evenHBand="0" w:firstRowFirstColumn="0" w:firstRowLastColumn="0" w:lastRowFirstColumn="0" w:lastRowLastColumn="0"/>
              <w:rPr>
                <w:noProof/>
              </w:rPr>
            </w:pPr>
            <w:r w:rsidRPr="003D3A42">
              <w:rPr>
                <w:rFonts w:cs="Gill Sans MT"/>
                <w:color w:val="000000"/>
                <w:szCs w:val="20"/>
              </w:rPr>
              <w:t>93.4%</w:t>
            </w:r>
          </w:p>
        </w:tc>
      </w:tr>
      <w:tr w:rsidR="008D1F89" w:rsidRPr="00325EF7" w14:paraId="5DFF1E0D" w14:textId="77777777" w:rsidTr="0073369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BBF069F" w14:textId="77777777" w:rsidR="008D1F89" w:rsidRPr="004741B6" w:rsidRDefault="008D1F89" w:rsidP="008D1F89">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7A6DF081" w14:textId="48D38336" w:rsidR="008D1F89" w:rsidRPr="00797B17" w:rsidRDefault="008D1F89" w:rsidP="008D1F89">
            <w:pPr>
              <w:ind w:left="-142" w:firstLine="142"/>
              <w:cnfStyle w:val="010000000000" w:firstRow="0" w:lastRow="1" w:firstColumn="0" w:lastColumn="0" w:oddVBand="0" w:evenVBand="0" w:oddHBand="0" w:evenHBand="0" w:firstRowFirstColumn="0" w:firstRowLastColumn="0" w:lastRowFirstColumn="0" w:lastRowLastColumn="0"/>
              <w:rPr>
                <w:noProof/>
              </w:rPr>
            </w:pPr>
            <w:r w:rsidRPr="003D3A42">
              <w:rPr>
                <w:rFonts w:cs="Gill Sans MT"/>
                <w:bCs/>
                <w:color w:val="000000"/>
                <w:szCs w:val="20"/>
              </w:rPr>
              <w:t>25,431</w:t>
            </w:r>
          </w:p>
        </w:tc>
        <w:tc>
          <w:tcPr>
            <w:tcW w:w="1049" w:type="pct"/>
            <w:tcBorders>
              <w:top w:val="nil"/>
              <w:left w:val="nil"/>
              <w:bottom w:val="single" w:sz="4" w:space="0" w:color="auto"/>
              <w:right w:val="single" w:sz="4" w:space="0" w:color="auto"/>
            </w:tcBorders>
            <w:shd w:val="clear" w:color="auto" w:fill="auto"/>
          </w:tcPr>
          <w:p w14:paraId="66B07089" w14:textId="1F2C2EFB" w:rsidR="008D1F89" w:rsidRPr="00797B17" w:rsidRDefault="008D1F89" w:rsidP="008D1F89">
            <w:pPr>
              <w:ind w:left="-142" w:firstLine="142"/>
              <w:cnfStyle w:val="010000000000" w:firstRow="0" w:lastRow="1" w:firstColumn="0" w:lastColumn="0" w:oddVBand="0" w:evenVBand="0" w:oddHBand="0" w:evenHBand="0" w:firstRowFirstColumn="0" w:firstRowLastColumn="0" w:lastRowFirstColumn="0" w:lastRowLastColumn="0"/>
              <w:rPr>
                <w:noProof/>
              </w:rPr>
            </w:pPr>
            <w:r w:rsidRPr="003D3A42">
              <w:rPr>
                <w:rFonts w:cs="Gill Sans MT"/>
                <w:bCs/>
                <w:color w:val="000000"/>
                <w:szCs w:val="20"/>
              </w:rPr>
              <w:t>100%</w:t>
            </w:r>
          </w:p>
        </w:tc>
        <w:tc>
          <w:tcPr>
            <w:tcW w:w="1013" w:type="pct"/>
            <w:tcBorders>
              <w:top w:val="nil"/>
              <w:left w:val="nil"/>
              <w:bottom w:val="single" w:sz="4" w:space="0" w:color="auto"/>
              <w:right w:val="single" w:sz="4" w:space="0" w:color="auto"/>
            </w:tcBorders>
            <w:shd w:val="clear" w:color="auto" w:fill="auto"/>
          </w:tcPr>
          <w:p w14:paraId="19DA125C" w14:textId="618B29AE" w:rsidR="008D1F89" w:rsidRPr="00797B17" w:rsidRDefault="008D1F89" w:rsidP="008D1F89">
            <w:pPr>
              <w:ind w:left="-142" w:firstLine="142"/>
              <w:cnfStyle w:val="010000000000" w:firstRow="0" w:lastRow="1" w:firstColumn="0" w:lastColumn="0" w:oddVBand="0" w:evenVBand="0" w:oddHBand="0" w:evenHBand="0" w:firstRowFirstColumn="0" w:firstRowLastColumn="0" w:lastRowFirstColumn="0" w:lastRowLastColumn="0"/>
              <w:rPr>
                <w:noProof/>
              </w:rPr>
            </w:pPr>
            <w:r w:rsidRPr="003D3A42">
              <w:rPr>
                <w:rFonts w:cs="Gill Sans MT"/>
                <w:bCs/>
                <w:color w:val="000000"/>
                <w:szCs w:val="20"/>
              </w:rPr>
              <w:t>100%</w:t>
            </w:r>
          </w:p>
        </w:tc>
      </w:tr>
    </w:tbl>
    <w:p w14:paraId="1F30AF44"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29C095AD"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5C3ADCBF" w14:textId="39FCA099"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8D1F89">
        <w:t>30 September 2019</w:t>
      </w:r>
      <w:r w:rsidR="008D1F89" w:rsidRPr="00325EF7">
        <w:t xml:space="preserve"> </w:t>
      </w:r>
      <w:r w:rsidRPr="00325EF7">
        <w:t>who received the specified number of Participation Reports, Provider Appointment Reports and/or Non-Attendance Reports over the preceding twelve months.</w:t>
      </w:r>
    </w:p>
    <w:p w14:paraId="537028F0" w14:textId="26F5AC4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8D1F89">
        <w:t>30 September 2019</w:t>
      </w:r>
      <w:r w:rsidR="008D1F89" w:rsidRPr="00325EF7">
        <w:t xml:space="preserve"> </w:t>
      </w:r>
      <w:r w:rsidRPr="00325EF7">
        <w:t xml:space="preserve">during the preceding twelve </w:t>
      </w:r>
      <w:r w:rsidRPr="00287925">
        <w:t>month period (e.g.</w:t>
      </w:r>
      <w:r w:rsidR="00135D0E" w:rsidRPr="00287925">
        <w:t xml:space="preserve"> </w:t>
      </w:r>
      <w:r w:rsidR="008D1F89">
        <w:t>93.4</w:t>
      </w:r>
      <w:r w:rsidR="008D1F89" w:rsidRPr="00D8728B">
        <w:t xml:space="preserve"> </w:t>
      </w:r>
      <w:r w:rsidRPr="00287925">
        <w:t xml:space="preserve">per cent of all compliance reports submitted between </w:t>
      </w:r>
      <w:r w:rsidRPr="00287925">
        <w:br/>
      </w:r>
      <w:r w:rsidR="008D1F89" w:rsidRPr="00D8728B">
        <w:t xml:space="preserve">1 </w:t>
      </w:r>
      <w:r w:rsidR="008D1F89">
        <w:t>October</w:t>
      </w:r>
      <w:r w:rsidR="008D1F89" w:rsidRPr="00D8728B">
        <w:t xml:space="preserve"> 2018 and </w:t>
      </w:r>
      <w:r w:rsidR="008D1F89">
        <w:t>30 September 2019</w:t>
      </w:r>
      <w:r w:rsidR="008D1F89" w:rsidRPr="00D8728B">
        <w:t xml:space="preserve"> </w:t>
      </w:r>
      <w:r w:rsidRPr="00287925">
        <w:t xml:space="preserve">were submitted in relation to those job seekers who, as at </w:t>
      </w:r>
      <w:r w:rsidR="008D1F89">
        <w:t>30 September 2019</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3E757334" w14:textId="7F394745"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25490207" w14:textId="77777777" w:rsidR="00ED1D1C" w:rsidRDefault="00ED1D1C" w:rsidP="008F1667">
      <w:pPr>
        <w:spacing w:before="0" w:after="120" w:line="240" w:lineRule="auto"/>
        <w:ind w:left="-142"/>
      </w:pPr>
    </w:p>
    <w:p w14:paraId="7CDF846E" w14:textId="77777777" w:rsidR="00E909FA" w:rsidRDefault="00E909FA" w:rsidP="00887E4E">
      <w:pPr>
        <w:ind w:left="-142" w:firstLine="142"/>
      </w:pPr>
      <w:r>
        <w:br w:type="page"/>
      </w:r>
    </w:p>
    <w:p w14:paraId="25E87184"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Caption w:val="Number of Participation Failures Applied "/>
        <w:tblDescription w:val=" Number of Participation Failures"/>
      </w:tblPr>
      <w:tblGrid>
        <w:gridCol w:w="4191"/>
        <w:gridCol w:w="5444"/>
        <w:gridCol w:w="5271"/>
      </w:tblGrid>
      <w:tr w:rsidR="00687E2D" w:rsidRPr="00325EF7" w14:paraId="2C4B0F72"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4ED570DD"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766FF1C0" w14:textId="6D57B4A2" w:rsidR="00687E2D" w:rsidRPr="004741B6" w:rsidRDefault="00687E2D" w:rsidP="00687E2D">
            <w:pPr>
              <w:spacing w:before="0"/>
              <w:ind w:left="-142" w:firstLine="142"/>
              <w:rPr>
                <w:noProof/>
              </w:rPr>
            </w:pPr>
            <w:r>
              <w:t>1 July to 30 September 2019</w:t>
            </w:r>
          </w:p>
        </w:tc>
        <w:tc>
          <w:tcPr>
            <w:tcW w:w="1826" w:type="pct"/>
            <w:vAlign w:val="center"/>
          </w:tcPr>
          <w:p w14:paraId="3F9A49F6" w14:textId="669641D0"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30 September 2019</w:t>
            </w:r>
          </w:p>
        </w:tc>
        <w:tc>
          <w:tcPr>
            <w:tcW w:w="1768" w:type="pct"/>
            <w:vAlign w:val="center"/>
          </w:tcPr>
          <w:p w14:paraId="1D143BE9" w14:textId="7EBC5955"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30 September 2019 </w:t>
            </w:r>
            <w:r w:rsidRPr="004741B6">
              <w:rPr>
                <w:noProof/>
              </w:rPr>
              <w:t xml:space="preserve">with a Participation Failure </w:t>
            </w:r>
            <w:r>
              <w:rPr>
                <w:noProof/>
              </w:rPr>
              <w:t>in past 12 months</w:t>
            </w:r>
          </w:p>
        </w:tc>
      </w:tr>
      <w:tr w:rsidR="00687E2D" w:rsidRPr="00325EF7" w14:paraId="64BB9272" w14:textId="77777777" w:rsidTr="00687E2D">
        <w:trPr>
          <w:trHeight w:val="445"/>
        </w:trPr>
        <w:tc>
          <w:tcPr>
            <w:cnfStyle w:val="001000000000" w:firstRow="0" w:lastRow="0" w:firstColumn="1" w:lastColumn="0" w:oddVBand="0" w:evenVBand="0" w:oddHBand="0" w:evenHBand="0" w:firstRowFirstColumn="0" w:firstRowLastColumn="0" w:lastRowFirstColumn="0" w:lastRowLastColumn="0"/>
            <w:tcW w:w="1406" w:type="pct"/>
          </w:tcPr>
          <w:p w14:paraId="569C4BEC" w14:textId="77777777" w:rsidR="00687E2D" w:rsidRPr="001265B5" w:rsidRDefault="00687E2D" w:rsidP="00E904AF">
            <w:pPr>
              <w:autoSpaceDE w:val="0"/>
              <w:autoSpaceDN w:val="0"/>
              <w:adjustRightInd w:val="0"/>
              <w:spacing w:line="360" w:lineRule="auto"/>
              <w:ind w:left="0"/>
              <w:rPr>
                <w:rFonts w:cs="Gill Sans MT"/>
                <w:b w:val="0"/>
                <w:color w:val="000000"/>
              </w:rPr>
            </w:pPr>
            <w:r w:rsidRPr="001265B5">
              <w:rPr>
                <w:rFonts w:cs="Gill Sans MT"/>
                <w:b w:val="0"/>
                <w:color w:val="000000"/>
              </w:rPr>
              <w:t>30,535</w:t>
            </w:r>
          </w:p>
        </w:tc>
        <w:tc>
          <w:tcPr>
            <w:tcW w:w="1826" w:type="pct"/>
          </w:tcPr>
          <w:p w14:paraId="45198FD3" w14:textId="60B5A6DF" w:rsidR="00687E2D" w:rsidRPr="00495540" w:rsidRDefault="00687E2D" w:rsidP="00E904AF">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11,345</w:t>
            </w:r>
          </w:p>
        </w:tc>
        <w:tc>
          <w:tcPr>
            <w:tcW w:w="1768" w:type="pct"/>
          </w:tcPr>
          <w:p w14:paraId="00AF6B7F" w14:textId="10BF3F0C" w:rsidR="00687E2D" w:rsidRPr="00495540" w:rsidRDefault="00687E2D" w:rsidP="00E904AF">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87E2D">
              <w:t>44.6%</w:t>
            </w:r>
          </w:p>
        </w:tc>
      </w:tr>
    </w:tbl>
    <w:p w14:paraId="0AEDF8CF"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666ED086"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44428EC7"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486C49ED" w14:textId="72CFED08"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7D5CD692" w14:textId="616BC6CF"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687E2D">
        <w:t>30 September 2019</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DA09832" w14:textId="6FDFB9C4"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687E2D">
        <w:t>30 September 2019</w:t>
      </w:r>
      <w:r w:rsidR="00A9033B">
        <w:t>)</w:t>
      </w:r>
      <w:r>
        <w:t>.</w:t>
      </w:r>
    </w:p>
    <w:p w14:paraId="2839BF72" w14:textId="77777777" w:rsidR="00CC1242" w:rsidRDefault="00CC1242">
      <w:pPr>
        <w:spacing w:before="0"/>
        <w:ind w:left="0"/>
      </w:pPr>
      <w:r>
        <w:br w:type="page"/>
      </w:r>
    </w:p>
    <w:p w14:paraId="05EC58C8"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5EF43BDA" w14:textId="339A7610"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1 July to 30 September 2019</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1164"/>
        <w:gridCol w:w="2127"/>
        <w:gridCol w:w="2169"/>
        <w:gridCol w:w="3044"/>
        <w:gridCol w:w="2566"/>
        <w:gridCol w:w="1968"/>
        <w:gridCol w:w="1694"/>
      </w:tblGrid>
      <w:tr w:rsidR="0035417E" w:rsidRPr="004741B6" w14:paraId="284F663B"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3A3DC42E" w14:textId="77777777" w:rsidR="0035417E" w:rsidRPr="004741B6" w:rsidRDefault="0035417E" w:rsidP="00FB2293">
            <w:pPr>
              <w:ind w:left="-142" w:firstLine="142"/>
            </w:pPr>
            <w:r>
              <w:t xml:space="preserve">Reason </w:t>
            </w:r>
          </w:p>
        </w:tc>
        <w:tc>
          <w:tcPr>
            <w:tcW w:w="722" w:type="pct"/>
          </w:tcPr>
          <w:p w14:paraId="6E9BFC23"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14:paraId="7124CC57"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14:paraId="2BC008BD"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14:paraId="011BFA21"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14:paraId="295771B2"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14:paraId="1AB18BDD"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35417E" w:rsidRPr="004741B6" w14:paraId="672D1C09"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0911A577" w14:textId="77777777" w:rsidR="0035417E" w:rsidRPr="00463ED1" w:rsidRDefault="0035417E" w:rsidP="00FB2293">
            <w:pPr>
              <w:ind w:left="-142" w:firstLine="142"/>
              <w:rPr>
                <w:b w:val="0"/>
              </w:rPr>
            </w:pPr>
            <w:r w:rsidRPr="00463ED1">
              <w:rPr>
                <w:b w:val="0"/>
              </w:rPr>
              <w:t xml:space="preserve">Number </w:t>
            </w:r>
          </w:p>
        </w:tc>
        <w:tc>
          <w:tcPr>
            <w:tcW w:w="722" w:type="pct"/>
          </w:tcPr>
          <w:p w14:paraId="05056EA9" w14:textId="77777777" w:rsidR="0035417E" w:rsidRPr="00463ED1" w:rsidRDefault="0035417E" w:rsidP="00FB2293">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np</w:t>
            </w:r>
          </w:p>
        </w:tc>
        <w:tc>
          <w:tcPr>
            <w:tcW w:w="736" w:type="pct"/>
          </w:tcPr>
          <w:p w14:paraId="3C72E980" w14:textId="77777777" w:rsidR="0035417E" w:rsidRPr="00463ED1" w:rsidRDefault="0035417E" w:rsidP="00FB2293">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np</w:t>
            </w:r>
          </w:p>
        </w:tc>
        <w:tc>
          <w:tcPr>
            <w:tcW w:w="1033" w:type="pct"/>
          </w:tcPr>
          <w:p w14:paraId="1F74BA1E" w14:textId="77777777" w:rsidR="0035417E" w:rsidRPr="00463ED1" w:rsidRDefault="0035417E" w:rsidP="00FB2293">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np</w:t>
            </w:r>
          </w:p>
        </w:tc>
        <w:tc>
          <w:tcPr>
            <w:tcW w:w="871" w:type="pct"/>
          </w:tcPr>
          <w:p w14:paraId="5C14CE30" w14:textId="77777777" w:rsidR="0035417E" w:rsidRPr="00463ED1" w:rsidRDefault="0035417E" w:rsidP="00FB2293">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np</w:t>
            </w:r>
          </w:p>
        </w:tc>
        <w:tc>
          <w:tcPr>
            <w:tcW w:w="668" w:type="pct"/>
          </w:tcPr>
          <w:p w14:paraId="2536F79B" w14:textId="77777777" w:rsidR="0035417E" w:rsidRPr="00463ED1" w:rsidRDefault="0035417E" w:rsidP="00FB2293">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np</w:t>
            </w:r>
          </w:p>
        </w:tc>
        <w:tc>
          <w:tcPr>
            <w:tcW w:w="575" w:type="pct"/>
          </w:tcPr>
          <w:p w14:paraId="48C5CBED" w14:textId="77777777" w:rsidR="0035417E" w:rsidRPr="00463ED1"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63ED1">
              <w:rPr>
                <w:b w:val="0"/>
              </w:rPr>
              <w:t>30,535</w:t>
            </w:r>
          </w:p>
        </w:tc>
      </w:tr>
    </w:tbl>
    <w:p w14:paraId="3BC5C56A" w14:textId="62A8A25F"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2D333752" w14:textId="626F42BB"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1 July to 30 September 2019</w:t>
      </w:r>
    </w:p>
    <w:tbl>
      <w:tblPr>
        <w:tblStyle w:val="CenterAlignTable"/>
        <w:tblW w:w="0" w:type="auto"/>
        <w:tblInd w:w="-34" w:type="dxa"/>
        <w:tblLook w:val="04A0" w:firstRow="1" w:lastRow="0" w:firstColumn="1" w:lastColumn="0" w:noHBand="0" w:noVBand="1"/>
        <w:tblCaption w:val="Types of Participation Failures: Serious Failures^"/>
      </w:tblPr>
      <w:tblGrid>
        <w:gridCol w:w="1869"/>
      </w:tblGrid>
      <w:tr w:rsidR="0035417E" w:rsidRPr="00325EF7" w14:paraId="07D3C47C"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14:paraId="68B52184" w14:textId="77777777" w:rsidR="0035417E" w:rsidRPr="004741B6" w:rsidRDefault="0035417E" w:rsidP="00887E4E">
            <w:pPr>
              <w:ind w:left="-142" w:firstLine="142"/>
            </w:pPr>
            <w:r w:rsidRPr="004741B6">
              <w:t>Total Serious Failures</w:t>
            </w:r>
            <w:r>
              <w:t>^^</w:t>
            </w:r>
          </w:p>
        </w:tc>
      </w:tr>
      <w:tr w:rsidR="0035417E" w:rsidRPr="00325EF7" w14:paraId="3CDF7922"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14:paraId="7E7DD84A" w14:textId="77777777" w:rsidR="0035417E" w:rsidRPr="004741B6" w:rsidRDefault="0035417E" w:rsidP="00887E4E">
            <w:pPr>
              <w:ind w:left="-142" w:firstLine="142"/>
            </w:pPr>
            <w:r w:rsidRPr="004741B6">
              <w:t>No.</w:t>
            </w:r>
          </w:p>
        </w:tc>
      </w:tr>
      <w:tr w:rsidR="0035417E" w:rsidRPr="00325EF7" w14:paraId="0363DAA7"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14:paraId="73D66815" w14:textId="2DEA5D04" w:rsidR="0035417E" w:rsidRPr="00B622A4" w:rsidRDefault="0035417E" w:rsidP="00797B17">
            <w:pPr>
              <w:spacing w:before="0"/>
              <w:ind w:left="-142" w:firstLine="142"/>
              <w:rPr>
                <w:rFonts w:cs="Arial"/>
                <w:b w:val="0"/>
                <w:color w:val="000000"/>
              </w:rPr>
            </w:pPr>
            <w:r w:rsidRPr="00B622A4">
              <w:rPr>
                <w:rFonts w:cs="Arial"/>
                <w:b w:val="0"/>
                <w:color w:val="000000"/>
              </w:rPr>
              <w:t>np</w:t>
            </w:r>
          </w:p>
        </w:tc>
      </w:tr>
    </w:tbl>
    <w:p w14:paraId="28C7F73C" w14:textId="0B111149"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D747EBF" w14:textId="70D365B3"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78F17ADC" w14:textId="77777777" w:rsidR="00CC1242" w:rsidRDefault="00CC1242">
      <w:pPr>
        <w:spacing w:before="0"/>
        <w:ind w:left="0"/>
      </w:pPr>
      <w:r>
        <w:br w:type="page"/>
      </w:r>
    </w:p>
    <w:p w14:paraId="0DF19FAC" w14:textId="49C8B41B"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1 July to 30 September 2019</w:t>
      </w:r>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4853"/>
        <w:gridCol w:w="4714"/>
        <w:gridCol w:w="4381"/>
      </w:tblGrid>
      <w:tr w:rsidR="0035417E" w:rsidRPr="00116BAB" w14:paraId="7B4790CB" w14:textId="77777777" w:rsidTr="00FB2293">
        <w:trPr>
          <w:tblHeader/>
        </w:trPr>
        <w:tc>
          <w:tcPr>
            <w:tcW w:w="4853" w:type="dxa"/>
          </w:tcPr>
          <w:p w14:paraId="5A641F93"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14:paraId="4E1C37F2" w14:textId="77777777"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14:paraId="2B9B2E2F" w14:textId="77777777"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35417E" w:rsidRPr="000C0C08" w14:paraId="46D2C4F7" w14:textId="77777777" w:rsidTr="00FB2293">
        <w:tc>
          <w:tcPr>
            <w:tcW w:w="4853" w:type="dxa"/>
          </w:tcPr>
          <w:p w14:paraId="038AC625"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tcPr>
          <w:p w14:paraId="7DE0196F" w14:textId="77777777" w:rsidR="0035417E" w:rsidRPr="000C0C08" w:rsidRDefault="0035417E" w:rsidP="00FB2293">
            <w:pPr>
              <w:pStyle w:val="Heading2"/>
              <w:numPr>
                <w:ilvl w:val="0"/>
                <w:numId w:val="0"/>
              </w:numPr>
              <w:spacing w:before="120" w:after="120"/>
              <w:outlineLvl w:val="1"/>
              <w:rPr>
                <w:rFonts w:ascii="Gill Sans MT" w:hAnsi="Gill Sans MT"/>
                <w:b w:val="0"/>
              </w:rPr>
            </w:pPr>
            <w:proofErr w:type="gramStart"/>
            <w:r>
              <w:rPr>
                <w:rFonts w:ascii="Gill Sans MT" w:hAnsi="Gill Sans MT"/>
                <w:b w:val="0"/>
              </w:rPr>
              <w:t>np</w:t>
            </w:r>
            <w:proofErr w:type="gramEnd"/>
          </w:p>
        </w:tc>
        <w:tc>
          <w:tcPr>
            <w:tcW w:w="4381" w:type="dxa"/>
          </w:tcPr>
          <w:p w14:paraId="193CA6AC" w14:textId="77777777" w:rsidR="0035417E" w:rsidRDefault="0035417E" w:rsidP="00FB2293">
            <w:pPr>
              <w:pStyle w:val="Heading2"/>
              <w:numPr>
                <w:ilvl w:val="0"/>
                <w:numId w:val="0"/>
              </w:numPr>
              <w:spacing w:before="120" w:after="120"/>
              <w:outlineLvl w:val="1"/>
              <w:rPr>
                <w:rFonts w:ascii="Gill Sans MT" w:hAnsi="Gill Sans MT"/>
                <w:b w:val="0"/>
              </w:rPr>
            </w:pPr>
            <w:proofErr w:type="gramStart"/>
            <w:r>
              <w:rPr>
                <w:rFonts w:ascii="Gill Sans MT" w:hAnsi="Gill Sans MT"/>
                <w:b w:val="0"/>
              </w:rPr>
              <w:t>np</w:t>
            </w:r>
            <w:proofErr w:type="gramEnd"/>
          </w:p>
        </w:tc>
      </w:tr>
      <w:tr w:rsidR="0035417E" w:rsidRPr="000C0C08" w14:paraId="417BE1C6" w14:textId="77777777" w:rsidTr="00FB2293">
        <w:tc>
          <w:tcPr>
            <w:tcW w:w="4853" w:type="dxa"/>
          </w:tcPr>
          <w:p w14:paraId="1EDAFF37"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tcPr>
          <w:p w14:paraId="527D9F65" w14:textId="77777777" w:rsidR="0035417E" w:rsidRPr="000C0C08" w:rsidRDefault="0035417E" w:rsidP="00FB2293">
            <w:pPr>
              <w:pStyle w:val="Heading2"/>
              <w:numPr>
                <w:ilvl w:val="0"/>
                <w:numId w:val="0"/>
              </w:numPr>
              <w:spacing w:before="120" w:after="120"/>
              <w:outlineLvl w:val="1"/>
              <w:rPr>
                <w:rFonts w:ascii="Gill Sans MT" w:hAnsi="Gill Sans MT"/>
                <w:b w:val="0"/>
              </w:rPr>
            </w:pPr>
            <w:r>
              <w:rPr>
                <w:rFonts w:ascii="Gill Sans MT" w:hAnsi="Gill Sans MT"/>
                <w:b w:val="0"/>
              </w:rPr>
              <w:t xml:space="preserve">4,955 </w:t>
            </w:r>
          </w:p>
        </w:tc>
        <w:tc>
          <w:tcPr>
            <w:tcW w:w="4381" w:type="dxa"/>
          </w:tcPr>
          <w:p w14:paraId="3858CB4C" w14:textId="77777777" w:rsidR="0035417E" w:rsidRDefault="0035417E" w:rsidP="00FB2293">
            <w:pPr>
              <w:pStyle w:val="Heading2"/>
              <w:numPr>
                <w:ilvl w:val="0"/>
                <w:numId w:val="0"/>
              </w:numPr>
              <w:spacing w:before="120" w:after="120"/>
              <w:outlineLvl w:val="1"/>
              <w:rPr>
                <w:rFonts w:ascii="Gill Sans MT" w:hAnsi="Gill Sans MT"/>
                <w:b w:val="0"/>
              </w:rPr>
            </w:pPr>
            <w:r>
              <w:rPr>
                <w:rFonts w:ascii="Gill Sans MT" w:hAnsi="Gill Sans MT"/>
                <w:b w:val="0"/>
              </w:rPr>
              <w:t>92%</w:t>
            </w:r>
          </w:p>
        </w:tc>
      </w:tr>
      <w:tr w:rsidR="0035417E" w14:paraId="51542E39" w14:textId="77777777" w:rsidTr="00FB2293">
        <w:tc>
          <w:tcPr>
            <w:tcW w:w="4853" w:type="dxa"/>
          </w:tcPr>
          <w:p w14:paraId="4891477D" w14:textId="77777777" w:rsidR="0035417E" w:rsidRPr="00346E3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tcPr>
          <w:p w14:paraId="08706918" w14:textId="77777777" w:rsidR="0035417E" w:rsidRDefault="0035417E" w:rsidP="00FB2293">
            <w:pPr>
              <w:pStyle w:val="Heading2"/>
              <w:numPr>
                <w:ilvl w:val="0"/>
                <w:numId w:val="0"/>
              </w:numPr>
              <w:spacing w:before="120" w:after="120"/>
              <w:outlineLvl w:val="1"/>
              <w:rPr>
                <w:rFonts w:ascii="Gill Sans MT" w:hAnsi="Gill Sans MT"/>
                <w:b w:val="0"/>
              </w:rPr>
            </w:pPr>
            <w:r>
              <w:rPr>
                <w:rFonts w:ascii="Gill Sans MT" w:hAnsi="Gill Sans MT"/>
                <w:b w:val="0"/>
              </w:rPr>
              <w:t xml:space="preserve">&lt;20 </w:t>
            </w:r>
          </w:p>
        </w:tc>
        <w:tc>
          <w:tcPr>
            <w:tcW w:w="4381" w:type="dxa"/>
          </w:tcPr>
          <w:p w14:paraId="5B7C79A9" w14:textId="77777777" w:rsidR="0035417E" w:rsidRDefault="0035417E" w:rsidP="00FB2293">
            <w:pPr>
              <w:pStyle w:val="Heading2"/>
              <w:numPr>
                <w:ilvl w:val="0"/>
                <w:numId w:val="0"/>
              </w:numPr>
              <w:spacing w:before="120" w:after="120"/>
              <w:outlineLvl w:val="1"/>
              <w:rPr>
                <w:rFonts w:ascii="Gill Sans MT" w:hAnsi="Gill Sans MT"/>
                <w:b w:val="0"/>
              </w:rPr>
            </w:pPr>
            <w:proofErr w:type="gramStart"/>
            <w:r>
              <w:rPr>
                <w:rFonts w:ascii="Gill Sans MT" w:hAnsi="Gill Sans MT"/>
                <w:b w:val="0"/>
              </w:rPr>
              <w:t>np</w:t>
            </w:r>
            <w:proofErr w:type="gramEnd"/>
          </w:p>
        </w:tc>
      </w:tr>
      <w:tr w:rsidR="0035417E" w:rsidRPr="000C0C08" w14:paraId="09D100BA" w14:textId="77777777" w:rsidTr="00FB2293">
        <w:tc>
          <w:tcPr>
            <w:tcW w:w="4853" w:type="dxa"/>
          </w:tcPr>
          <w:p w14:paraId="257E14C7" w14:textId="77777777" w:rsidR="0035417E" w:rsidRPr="00116BAB" w:rsidRDefault="0035417E"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tcPr>
          <w:p w14:paraId="70EFE87D" w14:textId="77777777" w:rsidR="0035417E" w:rsidRPr="00B622A4" w:rsidRDefault="0035417E" w:rsidP="00FB2293">
            <w:pPr>
              <w:pStyle w:val="Heading2"/>
              <w:numPr>
                <w:ilvl w:val="0"/>
                <w:numId w:val="0"/>
              </w:numPr>
              <w:spacing w:before="120" w:after="120"/>
              <w:outlineLvl w:val="1"/>
              <w:rPr>
                <w:rFonts w:ascii="Gill Sans MT" w:hAnsi="Gill Sans MT"/>
              </w:rPr>
            </w:pPr>
            <w:r w:rsidRPr="00B622A4">
              <w:rPr>
                <w:rFonts w:ascii="Gill Sans MT" w:hAnsi="Gill Sans MT"/>
              </w:rPr>
              <w:t>5,361</w:t>
            </w:r>
          </w:p>
        </w:tc>
        <w:tc>
          <w:tcPr>
            <w:tcW w:w="4381" w:type="dxa"/>
          </w:tcPr>
          <w:p w14:paraId="3EB6E737" w14:textId="77777777" w:rsidR="0035417E" w:rsidRPr="00B622A4" w:rsidRDefault="0035417E" w:rsidP="00FB2293">
            <w:pPr>
              <w:pStyle w:val="Heading2"/>
              <w:numPr>
                <w:ilvl w:val="0"/>
                <w:numId w:val="0"/>
              </w:numPr>
              <w:spacing w:before="120" w:after="120"/>
              <w:outlineLvl w:val="1"/>
              <w:rPr>
                <w:rFonts w:ascii="Gill Sans MT" w:hAnsi="Gill Sans MT"/>
              </w:rPr>
            </w:pPr>
            <w:r w:rsidRPr="00B622A4">
              <w:rPr>
                <w:rFonts w:ascii="Gill Sans MT" w:hAnsi="Gill Sans MT"/>
              </w:rPr>
              <w:t>100%</w:t>
            </w:r>
          </w:p>
        </w:tc>
      </w:tr>
    </w:tbl>
    <w:p w14:paraId="78D7C324" w14:textId="2601C161"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2D88F466"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7A14B1B0" w14:textId="698C8823"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06F19577" w14:textId="49486731"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9C5A40" w:rsidRPr="001053D0">
        <w:rPr>
          <w:rFonts w:ascii="Arial" w:hAnsi="Arial" w:cs="Arial"/>
          <w:i/>
        </w:rPr>
        <w:t>1 July to 30 September 2019</w:t>
      </w:r>
      <w:bookmarkEnd w:id="28"/>
      <w:r w:rsidR="001053D0">
        <w:rPr>
          <w:rFonts w:ascii="Arial" w:hAnsi="Arial" w:cs="Arial"/>
          <w:i/>
        </w:rPr>
        <w:br/>
      </w:r>
    </w:p>
    <w:tbl>
      <w:tblPr>
        <w:tblStyle w:val="LeftAlignTable"/>
        <w:tblW w:w="14898" w:type="dxa"/>
        <w:tblLook w:val="04E0" w:firstRow="1" w:lastRow="1" w:firstColumn="1" w:lastColumn="0" w:noHBand="0" w:noVBand="1"/>
        <w:tblCaption w:val="Non Payment Periods (Serious and UNPPs) 1 July to 30 September 2019"/>
      </w:tblPr>
      <w:tblGrid>
        <w:gridCol w:w="4489"/>
        <w:gridCol w:w="1090"/>
        <w:gridCol w:w="1227"/>
        <w:gridCol w:w="1506"/>
        <w:gridCol w:w="1377"/>
        <w:gridCol w:w="1354"/>
        <w:gridCol w:w="1281"/>
        <w:gridCol w:w="1287"/>
        <w:gridCol w:w="1287"/>
      </w:tblGrid>
      <w:tr w:rsidR="00E758D1" w:rsidRPr="00325EF7" w14:paraId="056C31E1"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CFFB8B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795D3C8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08E927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3945C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1DADA3E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29764D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A80887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70013DD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7AAE227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9C5A40" w:rsidRPr="00325EF7" w14:paraId="5E4A9442" w14:textId="77777777" w:rsidTr="00CA4BEA">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F2EBE59" w14:textId="77777777" w:rsidR="009C5A40" w:rsidRPr="00325EF7" w:rsidRDefault="009C5A40" w:rsidP="009C5A40">
            <w:pPr>
              <w:ind w:left="-142" w:firstLine="142"/>
            </w:pPr>
            <w:r w:rsidRPr="00325EF7">
              <w:t xml:space="preserve">Sub Total NPPs </w:t>
            </w:r>
          </w:p>
        </w:tc>
        <w:tc>
          <w:tcPr>
            <w:tcW w:w="1090" w:type="dxa"/>
            <w:vAlign w:val="center"/>
          </w:tcPr>
          <w:p w14:paraId="3F49569E" w14:textId="7ECE318B"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3,259</w:t>
            </w:r>
          </w:p>
        </w:tc>
        <w:tc>
          <w:tcPr>
            <w:tcW w:w="1227" w:type="dxa"/>
            <w:vAlign w:val="center"/>
          </w:tcPr>
          <w:p w14:paraId="7B8CAFA8" w14:textId="474F94E3"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60.79%</w:t>
            </w:r>
          </w:p>
        </w:tc>
        <w:tc>
          <w:tcPr>
            <w:tcW w:w="1506" w:type="dxa"/>
            <w:vAlign w:val="center"/>
          </w:tcPr>
          <w:p w14:paraId="5F3BAC14" w14:textId="530F97D0"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2,102</w:t>
            </w:r>
          </w:p>
        </w:tc>
        <w:tc>
          <w:tcPr>
            <w:tcW w:w="1377" w:type="dxa"/>
            <w:vAlign w:val="center"/>
          </w:tcPr>
          <w:p w14:paraId="0F455269" w14:textId="183FEE1E"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39.21%</w:t>
            </w:r>
          </w:p>
        </w:tc>
        <w:tc>
          <w:tcPr>
            <w:tcW w:w="1354" w:type="dxa"/>
            <w:vAlign w:val="center"/>
          </w:tcPr>
          <w:p w14:paraId="71774322" w14:textId="679EA96C"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5,361</w:t>
            </w:r>
          </w:p>
        </w:tc>
        <w:tc>
          <w:tcPr>
            <w:tcW w:w="1281" w:type="dxa"/>
            <w:vAlign w:val="center"/>
          </w:tcPr>
          <w:p w14:paraId="07576A03" w14:textId="4CD67ABC"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100.00%</w:t>
            </w:r>
          </w:p>
        </w:tc>
        <w:tc>
          <w:tcPr>
            <w:tcW w:w="1287" w:type="dxa"/>
            <w:vAlign w:val="center"/>
          </w:tcPr>
          <w:p w14:paraId="3F8AB5E7" w14:textId="5B2F6AB7"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5,361</w:t>
            </w:r>
          </w:p>
        </w:tc>
        <w:tc>
          <w:tcPr>
            <w:tcW w:w="1287" w:type="dxa"/>
            <w:vAlign w:val="center"/>
          </w:tcPr>
          <w:p w14:paraId="47713D54" w14:textId="451DE850"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B622A4">
              <w:rPr>
                <w:rFonts w:cs="Gill Sans MT"/>
                <w:b w:val="0"/>
                <w:bCs/>
                <w:color w:val="000000"/>
              </w:rPr>
              <w:t>100.00%</w:t>
            </w:r>
          </w:p>
        </w:tc>
      </w:tr>
    </w:tbl>
    <w:p w14:paraId="6E269286" w14:textId="4E7E8C49"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9C5A40" w:rsidRPr="001053D0">
        <w:rPr>
          <w:rFonts w:ascii="Arial" w:hAnsi="Arial" w:cs="Arial"/>
          <w:i/>
        </w:rPr>
        <w:t>1 July to 30 September 2019</w:t>
      </w:r>
      <w:bookmarkEnd w:id="29"/>
      <w:r w:rsidR="001053D0">
        <w:rPr>
          <w:rFonts w:ascii="Arial" w:hAnsi="Arial" w:cs="Arial"/>
          <w:i/>
        </w:rPr>
        <w:br/>
      </w:r>
    </w:p>
    <w:tbl>
      <w:tblPr>
        <w:tblStyle w:val="LeftAlignTable"/>
        <w:tblW w:w="14879" w:type="dxa"/>
        <w:tblLook w:val="04E0" w:firstRow="1" w:lastRow="1" w:firstColumn="1" w:lastColumn="0" w:noHBand="0" w:noVBand="1"/>
        <w:tblCaption w:val="Short Term Financial Penalties 1 July to 30 September 2019"/>
      </w:tblPr>
      <w:tblGrid>
        <w:gridCol w:w="4535"/>
        <w:gridCol w:w="988"/>
        <w:gridCol w:w="1276"/>
        <w:gridCol w:w="1559"/>
        <w:gridCol w:w="1276"/>
        <w:gridCol w:w="1417"/>
        <w:gridCol w:w="1276"/>
        <w:gridCol w:w="1276"/>
        <w:gridCol w:w="1276"/>
      </w:tblGrid>
      <w:tr w:rsidR="00877281" w:rsidRPr="00325EF7" w14:paraId="4FABC38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58D003C2"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F2D04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3D18C9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7B0166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7FC637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7258BF9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1BBF72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330461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A2384D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C5A40" w:rsidRPr="00325EF7" w14:paraId="736A132D" w14:textId="77777777" w:rsidTr="002D6D5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2F3EA7F3" w14:textId="77777777" w:rsidR="009C5A40" w:rsidRPr="00E84EAF" w:rsidRDefault="009C5A40" w:rsidP="009C5A40">
            <w:pPr>
              <w:spacing w:before="60" w:after="60"/>
              <w:ind w:left="0"/>
              <w:rPr>
                <w:b w:val="0"/>
                <w:noProof/>
              </w:rPr>
            </w:pPr>
            <w:r w:rsidRPr="00E84EAF">
              <w:rPr>
                <w:noProof/>
              </w:rPr>
              <w:t>Sub Total Short Term Financial Penalties</w:t>
            </w:r>
          </w:p>
        </w:tc>
        <w:tc>
          <w:tcPr>
            <w:tcW w:w="988" w:type="dxa"/>
            <w:vAlign w:val="center"/>
          </w:tcPr>
          <w:p w14:paraId="11BDE527" w14:textId="2974FD73"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15,199</w:t>
            </w:r>
          </w:p>
        </w:tc>
        <w:tc>
          <w:tcPr>
            <w:tcW w:w="1276" w:type="dxa"/>
            <w:vAlign w:val="center"/>
          </w:tcPr>
          <w:p w14:paraId="3D0CD4C5" w14:textId="082BED89"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60.35%</w:t>
            </w:r>
          </w:p>
        </w:tc>
        <w:tc>
          <w:tcPr>
            <w:tcW w:w="1559" w:type="dxa"/>
            <w:vAlign w:val="center"/>
          </w:tcPr>
          <w:p w14:paraId="304B6DF9" w14:textId="1844628F"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9,984</w:t>
            </w:r>
          </w:p>
        </w:tc>
        <w:tc>
          <w:tcPr>
            <w:tcW w:w="1276" w:type="dxa"/>
            <w:vAlign w:val="center"/>
          </w:tcPr>
          <w:p w14:paraId="58C6AC38" w14:textId="1285CDDC"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39.65%</w:t>
            </w:r>
          </w:p>
        </w:tc>
        <w:tc>
          <w:tcPr>
            <w:tcW w:w="1417" w:type="dxa"/>
            <w:vAlign w:val="center"/>
          </w:tcPr>
          <w:p w14:paraId="58C9B41D" w14:textId="32373675"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276" w:type="dxa"/>
            <w:vAlign w:val="center"/>
          </w:tcPr>
          <w:p w14:paraId="4D0F9939" w14:textId="0B30EF90"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c>
          <w:tcPr>
            <w:tcW w:w="1276" w:type="dxa"/>
            <w:vAlign w:val="center"/>
          </w:tcPr>
          <w:p w14:paraId="6A75EDA1" w14:textId="6F631E9B"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276" w:type="dxa"/>
            <w:vAlign w:val="center"/>
          </w:tcPr>
          <w:p w14:paraId="492A3618" w14:textId="489A2275" w:rsidR="009C5A40" w:rsidRPr="00B622A4" w:rsidRDefault="009C5A40" w:rsidP="009C5A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768277F4" w14:textId="6747DD36"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E24CAC" w:rsidRPr="001053D0">
        <w:rPr>
          <w:rFonts w:ascii="Arial" w:hAnsi="Arial" w:cs="Arial"/>
          <w:i/>
        </w:rPr>
        <w:t>1 July to 30 September 2019</w:t>
      </w:r>
      <w:bookmarkEnd w:id="30"/>
      <w:r w:rsidR="001053D0">
        <w:rPr>
          <w:rFonts w:ascii="Arial" w:hAnsi="Arial" w:cs="Arial"/>
          <w:i/>
        </w:rPr>
        <w:br/>
      </w:r>
    </w:p>
    <w:tbl>
      <w:tblPr>
        <w:tblStyle w:val="LeftAlignTable"/>
        <w:tblW w:w="10418" w:type="dxa"/>
        <w:tblLook w:val="04E0" w:firstRow="1" w:lastRow="1" w:firstColumn="1" w:lastColumn="0" w:noHBand="0" w:noVBand="1"/>
        <w:tblCaption w:val="Total Financial Penalties 1 July to 30 September 2019"/>
      </w:tblPr>
      <w:tblGrid>
        <w:gridCol w:w="1129"/>
        <w:gridCol w:w="1231"/>
        <w:gridCol w:w="1512"/>
        <w:gridCol w:w="1301"/>
        <w:gridCol w:w="1443"/>
        <w:gridCol w:w="1286"/>
        <w:gridCol w:w="1290"/>
        <w:gridCol w:w="1226"/>
      </w:tblGrid>
      <w:tr w:rsidR="002522E1" w:rsidRPr="00325EF7" w14:paraId="67B2C236"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1E393840" w14:textId="77777777" w:rsidR="002522E1" w:rsidRPr="00325EF7" w:rsidRDefault="002522E1" w:rsidP="00887E4E">
            <w:pPr>
              <w:ind w:left="-142" w:firstLine="142"/>
              <w:rPr>
                <w:noProof/>
              </w:rPr>
            </w:pPr>
            <w:r w:rsidRPr="00325EF7">
              <w:rPr>
                <w:noProof/>
              </w:rPr>
              <w:t>Male</w:t>
            </w:r>
          </w:p>
        </w:tc>
        <w:tc>
          <w:tcPr>
            <w:tcW w:w="1231" w:type="dxa"/>
          </w:tcPr>
          <w:p w14:paraId="142FC353"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764F2FD"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6CA915A"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437016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D3EF41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6325E38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3F958F9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2522E1" w:rsidRPr="00325EF7" w14:paraId="5CE26DC5" w14:textId="77777777" w:rsidTr="002522E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3F9AC4D" w14:textId="754A03FC" w:rsidR="002522E1" w:rsidRPr="00B622A4" w:rsidRDefault="002522E1" w:rsidP="00E24CAC">
            <w:pPr>
              <w:autoSpaceDE w:val="0"/>
              <w:autoSpaceDN w:val="0"/>
              <w:adjustRightInd w:val="0"/>
              <w:spacing w:before="0"/>
              <w:ind w:left="0"/>
              <w:rPr>
                <w:rFonts w:cs="Gill Sans MT"/>
                <w:b w:val="0"/>
                <w:bCs/>
                <w:color w:val="000000"/>
              </w:rPr>
            </w:pPr>
            <w:r w:rsidRPr="00B622A4">
              <w:rPr>
                <w:rFonts w:cs="Gill Sans MT"/>
                <w:b w:val="0"/>
                <w:bCs/>
                <w:color w:val="000000"/>
              </w:rPr>
              <w:t>18,458</w:t>
            </w:r>
          </w:p>
        </w:tc>
        <w:tc>
          <w:tcPr>
            <w:tcW w:w="1231" w:type="dxa"/>
            <w:vAlign w:val="center"/>
          </w:tcPr>
          <w:p w14:paraId="0C53D4CD" w14:textId="3387CFF6" w:rsidR="002522E1" w:rsidRPr="00B622A4" w:rsidRDefault="002522E1" w:rsidP="00E24C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60.43%</w:t>
            </w:r>
          </w:p>
        </w:tc>
        <w:tc>
          <w:tcPr>
            <w:tcW w:w="1512" w:type="dxa"/>
            <w:vAlign w:val="center"/>
          </w:tcPr>
          <w:p w14:paraId="07177340" w14:textId="7C41DC1E" w:rsidR="002522E1" w:rsidRPr="00B622A4" w:rsidRDefault="002522E1" w:rsidP="00E24C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12,086</w:t>
            </w:r>
          </w:p>
        </w:tc>
        <w:tc>
          <w:tcPr>
            <w:tcW w:w="1301" w:type="dxa"/>
            <w:vAlign w:val="center"/>
          </w:tcPr>
          <w:p w14:paraId="29AD0943" w14:textId="05A65D3E" w:rsidR="002522E1" w:rsidRPr="00B622A4" w:rsidRDefault="002522E1" w:rsidP="00E24C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39.57%</w:t>
            </w:r>
          </w:p>
        </w:tc>
        <w:tc>
          <w:tcPr>
            <w:tcW w:w="1443" w:type="dxa"/>
            <w:vAlign w:val="center"/>
          </w:tcPr>
          <w:p w14:paraId="6E490CDA" w14:textId="5A53CE31" w:rsidR="002522E1" w:rsidRPr="00B622A4" w:rsidRDefault="002522E1" w:rsidP="00E24C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286" w:type="dxa"/>
            <w:vAlign w:val="center"/>
          </w:tcPr>
          <w:p w14:paraId="037F0C46" w14:textId="5C1A1041" w:rsidR="002522E1" w:rsidRPr="00B622A4" w:rsidRDefault="002522E1" w:rsidP="00E24C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c>
          <w:tcPr>
            <w:tcW w:w="1290" w:type="dxa"/>
            <w:vAlign w:val="center"/>
          </w:tcPr>
          <w:p w14:paraId="3C067D52" w14:textId="6EEE8160" w:rsidR="002522E1" w:rsidRPr="00B622A4" w:rsidRDefault="002522E1" w:rsidP="00E24C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226" w:type="dxa"/>
            <w:vAlign w:val="center"/>
          </w:tcPr>
          <w:p w14:paraId="60028CDA" w14:textId="4EE63211" w:rsidR="002522E1" w:rsidRPr="00B622A4" w:rsidRDefault="002522E1" w:rsidP="00E24C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759A11F4" w14:textId="77777777" w:rsidR="00E84EAF" w:rsidRDefault="00E84EAF" w:rsidP="00E84EAF">
      <w:pPr>
        <w:spacing w:before="0" w:after="0" w:line="240" w:lineRule="auto"/>
        <w:ind w:left="142"/>
        <w:rPr>
          <w:noProof/>
        </w:rPr>
      </w:pPr>
    </w:p>
    <w:p w14:paraId="32AFB35B"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806B53" w14:textId="1933B109"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52B708A2" w14:textId="51EC3CC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E24CAC" w:rsidRPr="001053D0">
        <w:rPr>
          <w:rFonts w:ascii="Arial" w:hAnsi="Arial" w:cs="Arial"/>
          <w:i/>
        </w:rPr>
        <w:t>1 July to 30 September 2019</w:t>
      </w:r>
      <w:bookmarkEnd w:id="31"/>
      <w:r w:rsidR="001053D0">
        <w:br/>
      </w:r>
    </w:p>
    <w:tbl>
      <w:tblPr>
        <w:tblStyle w:val="LeftAlignTable"/>
        <w:tblW w:w="14879" w:type="dxa"/>
        <w:tblLook w:val="06A0" w:firstRow="1" w:lastRow="0" w:firstColumn="1" w:lastColumn="0" w:noHBand="1" w:noVBand="1"/>
        <w:tblCaption w:val="Income Support Payment Suspensions 1 July to 30 September 2019"/>
      </w:tblPr>
      <w:tblGrid>
        <w:gridCol w:w="4355"/>
        <w:gridCol w:w="1310"/>
        <w:gridCol w:w="1134"/>
        <w:gridCol w:w="1559"/>
        <w:gridCol w:w="1276"/>
        <w:gridCol w:w="1417"/>
        <w:gridCol w:w="1276"/>
        <w:gridCol w:w="1276"/>
        <w:gridCol w:w="1276"/>
      </w:tblGrid>
      <w:tr w:rsidR="00877281" w:rsidRPr="00FB63AD" w14:paraId="44B5AA4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52D32084" w14:textId="77777777" w:rsidR="001F7420" w:rsidRPr="00FB63AD" w:rsidRDefault="008164F9" w:rsidP="00F74E10">
            <w:pPr>
              <w:ind w:left="-142" w:firstLine="142"/>
            </w:pPr>
            <w:r w:rsidRPr="00FB63AD">
              <w:t>Income Support payment suspensions</w:t>
            </w:r>
          </w:p>
        </w:tc>
        <w:tc>
          <w:tcPr>
            <w:tcW w:w="1310" w:type="dxa"/>
            <w:vAlign w:val="center"/>
          </w:tcPr>
          <w:p w14:paraId="089356D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777961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61C54F8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6989258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4D72191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2D3A62A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33E7507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C07077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24CAC" w:rsidRPr="00FB63AD" w14:paraId="0347FF70"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08526E64" w14:textId="77777777" w:rsidR="00E24CAC" w:rsidRPr="00FB63AD" w:rsidRDefault="00E24CAC" w:rsidP="00E24CAC">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5D61AAD3" w14:textId="3AF16D59"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8,563</w:t>
            </w:r>
          </w:p>
        </w:tc>
        <w:tc>
          <w:tcPr>
            <w:tcW w:w="1134" w:type="dxa"/>
            <w:vAlign w:val="center"/>
          </w:tcPr>
          <w:p w14:paraId="06E338D9" w14:textId="5AFCD263"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37.66%</w:t>
            </w:r>
          </w:p>
        </w:tc>
        <w:tc>
          <w:tcPr>
            <w:tcW w:w="1559" w:type="dxa"/>
            <w:vAlign w:val="center"/>
          </w:tcPr>
          <w:p w14:paraId="5608884A" w14:textId="302015C1"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7,043</w:t>
            </w:r>
          </w:p>
        </w:tc>
        <w:tc>
          <w:tcPr>
            <w:tcW w:w="1276" w:type="dxa"/>
            <w:vAlign w:val="center"/>
          </w:tcPr>
          <w:p w14:paraId="20616636" w14:textId="59EF5545"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30.97%</w:t>
            </w:r>
          </w:p>
        </w:tc>
        <w:tc>
          <w:tcPr>
            <w:tcW w:w="1417" w:type="dxa"/>
            <w:vAlign w:val="center"/>
          </w:tcPr>
          <w:p w14:paraId="539AEB99" w14:textId="4DA70ED5"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276" w:type="dxa"/>
            <w:vAlign w:val="center"/>
          </w:tcPr>
          <w:p w14:paraId="794D3F72" w14:textId="1CF0E842"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68.63%</w:t>
            </w:r>
          </w:p>
        </w:tc>
        <w:tc>
          <w:tcPr>
            <w:tcW w:w="1276" w:type="dxa"/>
            <w:vAlign w:val="center"/>
          </w:tcPr>
          <w:p w14:paraId="2387E3B7" w14:textId="610AEE83"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276" w:type="dxa"/>
            <w:vAlign w:val="center"/>
          </w:tcPr>
          <w:p w14:paraId="2F379B27" w14:textId="7B6CFCD1"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68.63%</w:t>
            </w:r>
          </w:p>
        </w:tc>
      </w:tr>
      <w:tr w:rsidR="00E24CAC" w:rsidRPr="00FB63AD" w14:paraId="1B3FA3AF"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C1F1E1C" w14:textId="77777777" w:rsidR="00E24CAC" w:rsidRPr="00FB63AD" w:rsidRDefault="00E24CAC" w:rsidP="00E24CAC">
            <w:pPr>
              <w:ind w:left="0"/>
            </w:pPr>
            <w:r w:rsidRPr="00FB63AD">
              <w:rPr>
                <w:bCs/>
              </w:rPr>
              <w:t>Income support payment suspension – disengagement from activity</w:t>
            </w:r>
          </w:p>
        </w:tc>
        <w:tc>
          <w:tcPr>
            <w:tcW w:w="1310" w:type="dxa"/>
            <w:vAlign w:val="center"/>
          </w:tcPr>
          <w:p w14:paraId="50D321BE" w14:textId="1F2BC6FA"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3,941</w:t>
            </w:r>
          </w:p>
        </w:tc>
        <w:tc>
          <w:tcPr>
            <w:tcW w:w="1134" w:type="dxa"/>
            <w:vAlign w:val="center"/>
          </w:tcPr>
          <w:p w14:paraId="4EC25375" w14:textId="6D7D31C5"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17.33%</w:t>
            </w:r>
          </w:p>
        </w:tc>
        <w:tc>
          <w:tcPr>
            <w:tcW w:w="1559" w:type="dxa"/>
            <w:vAlign w:val="center"/>
          </w:tcPr>
          <w:p w14:paraId="10089CC1" w14:textId="76EB414F"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3,192</w:t>
            </w:r>
          </w:p>
        </w:tc>
        <w:tc>
          <w:tcPr>
            <w:tcW w:w="1276" w:type="dxa"/>
            <w:vAlign w:val="center"/>
          </w:tcPr>
          <w:p w14:paraId="35724525" w14:textId="3A355F86"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14.04%</w:t>
            </w:r>
          </w:p>
        </w:tc>
        <w:tc>
          <w:tcPr>
            <w:tcW w:w="1417" w:type="dxa"/>
            <w:vAlign w:val="center"/>
          </w:tcPr>
          <w:p w14:paraId="7BD37CA5" w14:textId="2C9E59D8"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276" w:type="dxa"/>
            <w:vAlign w:val="center"/>
          </w:tcPr>
          <w:p w14:paraId="7B61CED5" w14:textId="51E975DB"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c>
          <w:tcPr>
            <w:tcW w:w="1276" w:type="dxa"/>
            <w:vAlign w:val="center"/>
          </w:tcPr>
          <w:p w14:paraId="7248BC2F" w14:textId="045B29DB"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276" w:type="dxa"/>
            <w:vAlign w:val="center"/>
          </w:tcPr>
          <w:p w14:paraId="6B684C2F" w14:textId="38615B20" w:rsidR="00E24CAC" w:rsidRPr="00495540"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r>
      <w:tr w:rsidR="00E24CAC" w:rsidRPr="00FB63AD" w14:paraId="6FAA995A"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37726BF" w14:textId="77777777" w:rsidR="00E24CAC" w:rsidRPr="00FB63AD" w:rsidRDefault="00E24CAC" w:rsidP="00E24CAC">
            <w:pPr>
              <w:ind w:left="0"/>
              <w:jc w:val="center"/>
              <w:rPr>
                <w:b/>
                <w:bCs/>
              </w:rPr>
            </w:pPr>
            <w:r w:rsidRPr="00FB63AD">
              <w:rPr>
                <w:b/>
                <w:bCs/>
              </w:rPr>
              <w:t>Total Income Support payment suspensions</w:t>
            </w:r>
          </w:p>
        </w:tc>
        <w:tc>
          <w:tcPr>
            <w:tcW w:w="1310" w:type="dxa"/>
            <w:vAlign w:val="center"/>
          </w:tcPr>
          <w:p w14:paraId="3D1653BD" w14:textId="09F1A6AE"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12,504</w:t>
            </w:r>
          </w:p>
        </w:tc>
        <w:tc>
          <w:tcPr>
            <w:tcW w:w="1134" w:type="dxa"/>
            <w:vAlign w:val="center"/>
          </w:tcPr>
          <w:p w14:paraId="1C97584C" w14:textId="169422B3"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54.99%</w:t>
            </w:r>
          </w:p>
        </w:tc>
        <w:tc>
          <w:tcPr>
            <w:tcW w:w="1559" w:type="dxa"/>
            <w:vAlign w:val="center"/>
          </w:tcPr>
          <w:p w14:paraId="75231EE4" w14:textId="4C03FD6D"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10,235</w:t>
            </w:r>
          </w:p>
        </w:tc>
        <w:tc>
          <w:tcPr>
            <w:tcW w:w="1276" w:type="dxa"/>
            <w:vAlign w:val="center"/>
          </w:tcPr>
          <w:p w14:paraId="5F651560" w14:textId="501E149D"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45.01%</w:t>
            </w:r>
          </w:p>
        </w:tc>
        <w:tc>
          <w:tcPr>
            <w:tcW w:w="1417" w:type="dxa"/>
            <w:vAlign w:val="center"/>
          </w:tcPr>
          <w:p w14:paraId="43F1EA27" w14:textId="2D09B8F5"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1276" w:type="dxa"/>
            <w:vAlign w:val="center"/>
          </w:tcPr>
          <w:p w14:paraId="32B0B1AF" w14:textId="69095463"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100.00%</w:t>
            </w:r>
          </w:p>
        </w:tc>
        <w:tc>
          <w:tcPr>
            <w:tcW w:w="1276" w:type="dxa"/>
            <w:vAlign w:val="center"/>
          </w:tcPr>
          <w:p w14:paraId="3F9D6668" w14:textId="25F73B73"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1276" w:type="dxa"/>
            <w:vAlign w:val="center"/>
          </w:tcPr>
          <w:p w14:paraId="146E89D6" w14:textId="18B06A52" w:rsidR="00E24CAC" w:rsidRPr="00B622A4" w:rsidRDefault="00E24CAC" w:rsidP="00E24C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100.00%</w:t>
            </w:r>
          </w:p>
        </w:tc>
      </w:tr>
    </w:tbl>
    <w:p w14:paraId="7EC9FDE3" w14:textId="0BDD31C8"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3FCB7BD4" w14:textId="77777777" w:rsidR="00CC1242" w:rsidRDefault="00CC1242">
      <w:pPr>
        <w:spacing w:before="0"/>
        <w:ind w:left="0"/>
        <w:rPr>
          <w:noProof/>
        </w:rPr>
      </w:pPr>
      <w:r>
        <w:rPr>
          <w:noProof/>
        </w:rPr>
        <w:br w:type="page"/>
      </w:r>
    </w:p>
    <w:p w14:paraId="5B916BD0" w14:textId="0E2357F4"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41046E5F" w14:textId="650D36D8"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C647F6" w:rsidRPr="001053D0">
        <w:rPr>
          <w:rFonts w:ascii="Arial" w:hAnsi="Arial" w:cs="Arial"/>
          <w:i/>
        </w:rPr>
        <w:t>1 July to 30 September 2019</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Caption w:val="Non Payment Periods (Serious and UNPPs) 1 July to 30 September 2019"/>
      </w:tblPr>
      <w:tblGrid>
        <w:gridCol w:w="4247"/>
        <w:gridCol w:w="1418"/>
        <w:gridCol w:w="1417"/>
        <w:gridCol w:w="1276"/>
        <w:gridCol w:w="1276"/>
        <w:gridCol w:w="1417"/>
        <w:gridCol w:w="1276"/>
        <w:gridCol w:w="1276"/>
        <w:gridCol w:w="1247"/>
      </w:tblGrid>
      <w:tr w:rsidR="00D9585E" w:rsidRPr="00FB63AD" w14:paraId="086F3320"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974300C" w14:textId="3290381E"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19640E8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2E8F416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48CC7112" w14:textId="216A386C"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661A8DE9" w14:textId="28556FF4"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23C323B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103D4DC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ADD137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2E40D66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647F6" w:rsidRPr="00FB63AD" w14:paraId="749564A6" w14:textId="77777777" w:rsidTr="008B6CA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52AD9C47" w14:textId="77777777" w:rsidR="00C647F6" w:rsidRPr="00FB63AD" w:rsidRDefault="00C647F6" w:rsidP="00C647F6">
            <w:pPr>
              <w:ind w:left="-142" w:firstLine="142"/>
            </w:pPr>
            <w:r w:rsidRPr="00FB63AD">
              <w:t xml:space="preserve">Sub Total NPPs </w:t>
            </w:r>
          </w:p>
        </w:tc>
        <w:tc>
          <w:tcPr>
            <w:tcW w:w="1418" w:type="dxa"/>
            <w:vAlign w:val="center"/>
          </w:tcPr>
          <w:p w14:paraId="695124AF" w14:textId="2944EA30"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5,297</w:t>
            </w:r>
          </w:p>
        </w:tc>
        <w:tc>
          <w:tcPr>
            <w:tcW w:w="1417" w:type="dxa"/>
            <w:vAlign w:val="center"/>
          </w:tcPr>
          <w:p w14:paraId="68F9460F" w14:textId="53D90B2D"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98.81%</w:t>
            </w:r>
          </w:p>
        </w:tc>
        <w:tc>
          <w:tcPr>
            <w:tcW w:w="1276" w:type="dxa"/>
            <w:vAlign w:val="center"/>
          </w:tcPr>
          <w:p w14:paraId="3E018A49" w14:textId="488EB216"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64</w:t>
            </w:r>
          </w:p>
        </w:tc>
        <w:tc>
          <w:tcPr>
            <w:tcW w:w="1276" w:type="dxa"/>
            <w:vAlign w:val="center"/>
          </w:tcPr>
          <w:p w14:paraId="5C22EE61" w14:textId="2552CFAF"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1.19%</w:t>
            </w:r>
          </w:p>
        </w:tc>
        <w:tc>
          <w:tcPr>
            <w:tcW w:w="1417" w:type="dxa"/>
            <w:vAlign w:val="center"/>
          </w:tcPr>
          <w:p w14:paraId="431FF39A" w14:textId="74F6304E"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276" w:type="dxa"/>
            <w:vAlign w:val="center"/>
          </w:tcPr>
          <w:p w14:paraId="3BD13828" w14:textId="23A82855"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c>
          <w:tcPr>
            <w:tcW w:w="1276" w:type="dxa"/>
            <w:vAlign w:val="center"/>
          </w:tcPr>
          <w:p w14:paraId="64642EDF" w14:textId="0520126F"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247" w:type="dxa"/>
            <w:vAlign w:val="center"/>
          </w:tcPr>
          <w:p w14:paraId="726700C4" w14:textId="3A6FDFBA"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3B8DC7F2" w14:textId="740A5128"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647F6" w:rsidRPr="001053D0">
        <w:rPr>
          <w:rFonts w:ascii="Arial" w:hAnsi="Arial" w:cs="Arial"/>
          <w:i/>
        </w:rPr>
        <w:t>1 July to 30 September 2019</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Caption w:val="Short Term Financial Penalties 1 July to 30 September 2019"/>
      </w:tblPr>
      <w:tblGrid>
        <w:gridCol w:w="4247"/>
        <w:gridCol w:w="1418"/>
        <w:gridCol w:w="1417"/>
        <w:gridCol w:w="1276"/>
        <w:gridCol w:w="1418"/>
        <w:gridCol w:w="1275"/>
        <w:gridCol w:w="1276"/>
        <w:gridCol w:w="1276"/>
        <w:gridCol w:w="1247"/>
      </w:tblGrid>
      <w:tr w:rsidR="00D9585E" w:rsidRPr="00FB63AD" w14:paraId="0F2A76D1"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046811D3"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2780909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0A37A88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14491B50" w14:textId="7BB88DC0"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53A97E7D" w14:textId="0AD52D3E"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2866649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B2EC7C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4CB2267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97A2D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647F6" w:rsidRPr="00FB63AD" w14:paraId="2A0EA1CF" w14:textId="77777777" w:rsidTr="008B6C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E2DF590" w14:textId="77777777" w:rsidR="00C647F6" w:rsidRPr="00FB63AD" w:rsidRDefault="00C647F6" w:rsidP="00C647F6">
            <w:pPr>
              <w:ind w:left="0"/>
            </w:pPr>
            <w:r w:rsidRPr="00FB63AD">
              <w:t>Sub Total Short Term Financial Penalties</w:t>
            </w:r>
          </w:p>
        </w:tc>
        <w:tc>
          <w:tcPr>
            <w:tcW w:w="1418" w:type="dxa"/>
            <w:vAlign w:val="center"/>
          </w:tcPr>
          <w:p w14:paraId="64325C45" w14:textId="0C6E17D4"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24,628</w:t>
            </w:r>
          </w:p>
        </w:tc>
        <w:tc>
          <w:tcPr>
            <w:tcW w:w="1417" w:type="dxa"/>
            <w:vAlign w:val="center"/>
          </w:tcPr>
          <w:p w14:paraId="7B0A9D6D" w14:textId="7694C733"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97.80%</w:t>
            </w:r>
          </w:p>
        </w:tc>
        <w:tc>
          <w:tcPr>
            <w:tcW w:w="1276" w:type="dxa"/>
            <w:vAlign w:val="center"/>
          </w:tcPr>
          <w:p w14:paraId="6146610C" w14:textId="44AAEFA8"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555</w:t>
            </w:r>
          </w:p>
        </w:tc>
        <w:tc>
          <w:tcPr>
            <w:tcW w:w="1418" w:type="dxa"/>
            <w:vAlign w:val="center"/>
          </w:tcPr>
          <w:p w14:paraId="6405EC56" w14:textId="6CB8CAE2"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2.20%</w:t>
            </w:r>
          </w:p>
        </w:tc>
        <w:tc>
          <w:tcPr>
            <w:tcW w:w="1275" w:type="dxa"/>
            <w:vAlign w:val="center"/>
          </w:tcPr>
          <w:p w14:paraId="52489D6C" w14:textId="084C2B8D"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276" w:type="dxa"/>
            <w:vAlign w:val="center"/>
          </w:tcPr>
          <w:p w14:paraId="46CC0D94" w14:textId="6D2F85FA"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c>
          <w:tcPr>
            <w:tcW w:w="1276" w:type="dxa"/>
            <w:vAlign w:val="center"/>
          </w:tcPr>
          <w:p w14:paraId="1D31BC56" w14:textId="5333CC25"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247" w:type="dxa"/>
            <w:vAlign w:val="center"/>
          </w:tcPr>
          <w:p w14:paraId="1812F35B" w14:textId="052B78E4"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0E623B13" w14:textId="67F68DC7" w:rsidR="00EF4695" w:rsidRDefault="00EF4695" w:rsidP="008671DA">
      <w:pPr>
        <w:spacing w:after="240" w:line="240" w:lineRule="auto"/>
        <w:ind w:left="142"/>
        <w:rPr>
          <w:noProof/>
        </w:rPr>
      </w:pPr>
    </w:p>
    <w:p w14:paraId="179A34B1" w14:textId="175273F9"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C647F6" w:rsidRPr="001053D0">
        <w:rPr>
          <w:rFonts w:ascii="Arial" w:hAnsi="Arial" w:cs="Arial"/>
          <w:i/>
        </w:rPr>
        <w:t>1 July to 30 September 2019</w:t>
      </w:r>
      <w:bookmarkEnd w:id="35"/>
      <w:r w:rsidR="001053D0">
        <w:rPr>
          <w:rFonts w:ascii="Arial" w:hAnsi="Arial" w:cs="Arial"/>
          <w:i/>
        </w:rPr>
        <w:br/>
      </w:r>
    </w:p>
    <w:tbl>
      <w:tblPr>
        <w:tblStyle w:val="LeftAlignTable"/>
        <w:tblW w:w="10529" w:type="dxa"/>
        <w:tblLook w:val="04E0" w:firstRow="1" w:lastRow="1" w:firstColumn="1" w:lastColumn="0" w:noHBand="0" w:noVBand="1"/>
        <w:tblCaption w:val="Total Financial Penalties 1 July to 30 September 2019"/>
      </w:tblPr>
      <w:tblGrid>
        <w:gridCol w:w="1328"/>
        <w:gridCol w:w="1328"/>
        <w:gridCol w:w="1508"/>
        <w:gridCol w:w="1186"/>
        <w:gridCol w:w="1525"/>
        <w:gridCol w:w="1252"/>
        <w:gridCol w:w="1268"/>
        <w:gridCol w:w="1134"/>
      </w:tblGrid>
      <w:tr w:rsidR="002522E1" w:rsidRPr="00FB63AD" w14:paraId="072EE518"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1F14FE95" w14:textId="77777777" w:rsidR="002522E1" w:rsidRPr="00FB63AD" w:rsidRDefault="002522E1" w:rsidP="00887E4E">
            <w:pPr>
              <w:ind w:left="-142" w:firstLine="142"/>
            </w:pPr>
            <w:r w:rsidRPr="00FB63AD">
              <w:t>Indigenous</w:t>
            </w:r>
          </w:p>
        </w:tc>
        <w:tc>
          <w:tcPr>
            <w:tcW w:w="1328" w:type="dxa"/>
          </w:tcPr>
          <w:p w14:paraId="03774E82"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130B836E" w14:textId="6E35A2E2"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3BBDE143" w14:textId="381B4602"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7E779A0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4D5E1FA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2EF1C47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0C0A6E1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2522E1" w:rsidRPr="00FB63AD" w14:paraId="616A5CC0" w14:textId="77777777" w:rsidTr="002522E1">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774AAE6E" w14:textId="046FA60B" w:rsidR="002522E1" w:rsidRPr="00B622A4" w:rsidRDefault="002522E1" w:rsidP="00C647F6">
            <w:pPr>
              <w:autoSpaceDE w:val="0"/>
              <w:autoSpaceDN w:val="0"/>
              <w:adjustRightInd w:val="0"/>
              <w:spacing w:before="0"/>
              <w:ind w:left="0"/>
              <w:rPr>
                <w:rFonts w:cs="Gill Sans MT"/>
                <w:b w:val="0"/>
                <w:bCs/>
                <w:color w:val="000000"/>
              </w:rPr>
            </w:pPr>
            <w:r w:rsidRPr="00B622A4">
              <w:rPr>
                <w:rFonts w:cs="Gill Sans MT"/>
                <w:b w:val="0"/>
                <w:bCs/>
                <w:color w:val="000000"/>
              </w:rPr>
              <w:t>29,925</w:t>
            </w:r>
          </w:p>
        </w:tc>
        <w:tc>
          <w:tcPr>
            <w:tcW w:w="1328" w:type="dxa"/>
            <w:vAlign w:val="center"/>
          </w:tcPr>
          <w:p w14:paraId="0712AF65" w14:textId="4A41A85F"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97.97%</w:t>
            </w:r>
          </w:p>
        </w:tc>
        <w:tc>
          <w:tcPr>
            <w:tcW w:w="1508" w:type="dxa"/>
            <w:vAlign w:val="center"/>
          </w:tcPr>
          <w:p w14:paraId="72DF6BDD" w14:textId="53E51D13"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619</w:t>
            </w:r>
          </w:p>
        </w:tc>
        <w:tc>
          <w:tcPr>
            <w:tcW w:w="1186" w:type="dxa"/>
            <w:vAlign w:val="center"/>
          </w:tcPr>
          <w:p w14:paraId="0039E3A4" w14:textId="17995692"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2.03%</w:t>
            </w:r>
          </w:p>
        </w:tc>
        <w:tc>
          <w:tcPr>
            <w:tcW w:w="1525" w:type="dxa"/>
            <w:vAlign w:val="center"/>
          </w:tcPr>
          <w:p w14:paraId="47DEC2D9" w14:textId="709ACB65"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252" w:type="dxa"/>
            <w:vAlign w:val="center"/>
          </w:tcPr>
          <w:p w14:paraId="47E5E87B" w14:textId="7D79CFE8"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c>
          <w:tcPr>
            <w:tcW w:w="1268" w:type="dxa"/>
            <w:vAlign w:val="center"/>
          </w:tcPr>
          <w:p w14:paraId="5A14A341" w14:textId="4529FEFA"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134" w:type="dxa"/>
            <w:vAlign w:val="center"/>
          </w:tcPr>
          <w:p w14:paraId="64C7D605" w14:textId="772794DC"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487510E9"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4E168858" w14:textId="629DD2D8"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1C88412D" w14:textId="3B71990A"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1C6E6FB7" w14:textId="2C22741F"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C647F6" w:rsidRPr="001053D0">
        <w:rPr>
          <w:rFonts w:ascii="Arial" w:hAnsi="Arial" w:cs="Arial"/>
          <w:i/>
        </w:rPr>
        <w:t>1 July to 30 September 2019</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Caption w:val="Income Support Payment Suspensions 1 July to 30 September 2019"/>
      </w:tblPr>
      <w:tblGrid>
        <w:gridCol w:w="4106"/>
        <w:gridCol w:w="1417"/>
        <w:gridCol w:w="1418"/>
        <w:gridCol w:w="1417"/>
        <w:gridCol w:w="1303"/>
        <w:gridCol w:w="1390"/>
        <w:gridCol w:w="1311"/>
        <w:gridCol w:w="1241"/>
        <w:gridCol w:w="1134"/>
      </w:tblGrid>
      <w:tr w:rsidR="00D9585E" w:rsidRPr="00FB63AD" w14:paraId="36661339"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3C07641"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19856CF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EB2E3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1FCBAB4F" w14:textId="26ADC60F"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6377BFF4" w14:textId="4F2D477E"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040BCDB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53DF58F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3A64EF1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4D36479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647F6" w:rsidRPr="00FB63AD" w14:paraId="743386C3" w14:textId="77777777" w:rsidTr="00062354">
        <w:tc>
          <w:tcPr>
            <w:cnfStyle w:val="001000000000" w:firstRow="0" w:lastRow="0" w:firstColumn="1" w:lastColumn="0" w:oddVBand="0" w:evenVBand="0" w:oddHBand="0" w:evenHBand="0" w:firstRowFirstColumn="0" w:firstRowLastColumn="0" w:lastRowFirstColumn="0" w:lastRowLastColumn="0"/>
            <w:tcW w:w="4106" w:type="dxa"/>
            <w:vAlign w:val="center"/>
          </w:tcPr>
          <w:p w14:paraId="04FC4C99" w14:textId="77777777" w:rsidR="00C647F6" w:rsidRPr="00FB63AD" w:rsidRDefault="00C647F6" w:rsidP="00C647F6">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5E1349B8" w14:textId="7C256FD4"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14,494</w:t>
            </w:r>
          </w:p>
        </w:tc>
        <w:tc>
          <w:tcPr>
            <w:tcW w:w="1418" w:type="dxa"/>
            <w:vAlign w:val="center"/>
          </w:tcPr>
          <w:p w14:paraId="25000444" w14:textId="43401466"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63.74%</w:t>
            </w:r>
          </w:p>
        </w:tc>
        <w:tc>
          <w:tcPr>
            <w:tcW w:w="1417" w:type="dxa"/>
            <w:vAlign w:val="center"/>
          </w:tcPr>
          <w:p w14:paraId="0CB0782D" w14:textId="0C5B549D"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1,112</w:t>
            </w:r>
          </w:p>
        </w:tc>
        <w:tc>
          <w:tcPr>
            <w:tcW w:w="1303" w:type="dxa"/>
            <w:vAlign w:val="center"/>
          </w:tcPr>
          <w:p w14:paraId="68FF1729" w14:textId="26C9D06C"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4.89%</w:t>
            </w:r>
          </w:p>
        </w:tc>
        <w:tc>
          <w:tcPr>
            <w:tcW w:w="1390" w:type="dxa"/>
            <w:vAlign w:val="center"/>
          </w:tcPr>
          <w:p w14:paraId="1D285E4E" w14:textId="274D7A5B"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311" w:type="dxa"/>
            <w:vAlign w:val="center"/>
          </w:tcPr>
          <w:p w14:paraId="30B6AB15" w14:textId="625BB499"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68.63%</w:t>
            </w:r>
          </w:p>
        </w:tc>
        <w:tc>
          <w:tcPr>
            <w:tcW w:w="1241" w:type="dxa"/>
            <w:vAlign w:val="center"/>
          </w:tcPr>
          <w:p w14:paraId="6ACE08D0" w14:textId="732C2C9E"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134" w:type="dxa"/>
            <w:vAlign w:val="center"/>
          </w:tcPr>
          <w:p w14:paraId="7D34F8A3" w14:textId="00B89DD7"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68.63%</w:t>
            </w:r>
          </w:p>
        </w:tc>
      </w:tr>
      <w:tr w:rsidR="00C647F6" w:rsidRPr="00FB63AD" w14:paraId="05452116" w14:textId="77777777" w:rsidTr="00062354">
        <w:tc>
          <w:tcPr>
            <w:cnfStyle w:val="001000000000" w:firstRow="0" w:lastRow="0" w:firstColumn="1" w:lastColumn="0" w:oddVBand="0" w:evenVBand="0" w:oddHBand="0" w:evenHBand="0" w:firstRowFirstColumn="0" w:firstRowLastColumn="0" w:lastRowFirstColumn="0" w:lastRowLastColumn="0"/>
            <w:tcW w:w="4106" w:type="dxa"/>
            <w:vAlign w:val="center"/>
          </w:tcPr>
          <w:p w14:paraId="77C5E949" w14:textId="77777777" w:rsidR="00C647F6" w:rsidRPr="00FB63AD" w:rsidRDefault="00C647F6" w:rsidP="00C647F6">
            <w:pPr>
              <w:ind w:left="-142" w:firstLine="142"/>
              <w:rPr>
                <w:b w:val="0"/>
                <w:noProof/>
              </w:rPr>
            </w:pPr>
            <w:r w:rsidRPr="00FB63AD">
              <w:rPr>
                <w:bCs/>
              </w:rPr>
              <w:t>Income support payment suspension – disengagement from activity</w:t>
            </w:r>
          </w:p>
        </w:tc>
        <w:tc>
          <w:tcPr>
            <w:tcW w:w="1417" w:type="dxa"/>
            <w:vAlign w:val="center"/>
          </w:tcPr>
          <w:p w14:paraId="7E939EDC" w14:textId="458BFF12"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6,832</w:t>
            </w:r>
          </w:p>
        </w:tc>
        <w:tc>
          <w:tcPr>
            <w:tcW w:w="1418" w:type="dxa"/>
            <w:vAlign w:val="center"/>
          </w:tcPr>
          <w:p w14:paraId="00425C2E" w14:textId="26C537B3"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30.05%</w:t>
            </w:r>
          </w:p>
        </w:tc>
        <w:tc>
          <w:tcPr>
            <w:tcW w:w="1417" w:type="dxa"/>
            <w:vAlign w:val="center"/>
          </w:tcPr>
          <w:p w14:paraId="0CD706BD" w14:textId="76F68B04"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301</w:t>
            </w:r>
          </w:p>
        </w:tc>
        <w:tc>
          <w:tcPr>
            <w:tcW w:w="1303" w:type="dxa"/>
            <w:vAlign w:val="center"/>
          </w:tcPr>
          <w:p w14:paraId="302A32B7" w14:textId="6B40131C"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w:t>
            </w:r>
          </w:p>
        </w:tc>
        <w:tc>
          <w:tcPr>
            <w:tcW w:w="1390" w:type="dxa"/>
            <w:vAlign w:val="center"/>
          </w:tcPr>
          <w:p w14:paraId="5DE86538" w14:textId="142A005A"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311" w:type="dxa"/>
            <w:vAlign w:val="center"/>
          </w:tcPr>
          <w:p w14:paraId="378002A1" w14:textId="2A5C34D1"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c>
          <w:tcPr>
            <w:tcW w:w="1241" w:type="dxa"/>
            <w:vAlign w:val="center"/>
          </w:tcPr>
          <w:p w14:paraId="44F19E39" w14:textId="2E6311A4"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134" w:type="dxa"/>
            <w:vAlign w:val="center"/>
          </w:tcPr>
          <w:p w14:paraId="044FD258" w14:textId="29A880A5"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r>
      <w:tr w:rsidR="00C647F6" w:rsidRPr="00FB63AD" w14:paraId="65BDC694" w14:textId="77777777" w:rsidTr="00062354">
        <w:tc>
          <w:tcPr>
            <w:cnfStyle w:val="001000000000" w:firstRow="0" w:lastRow="0" w:firstColumn="1" w:lastColumn="0" w:oddVBand="0" w:evenVBand="0" w:oddHBand="0" w:evenHBand="0" w:firstRowFirstColumn="0" w:firstRowLastColumn="0" w:lastRowFirstColumn="0" w:lastRowLastColumn="0"/>
            <w:tcW w:w="4106" w:type="dxa"/>
            <w:vAlign w:val="center"/>
          </w:tcPr>
          <w:p w14:paraId="4812F56D" w14:textId="77777777" w:rsidR="00C647F6" w:rsidRPr="00FB63AD" w:rsidRDefault="00C647F6" w:rsidP="00C647F6">
            <w:pPr>
              <w:ind w:left="0"/>
              <w:rPr>
                <w:bCs/>
              </w:rPr>
            </w:pPr>
            <w:r w:rsidRPr="00FB63AD">
              <w:rPr>
                <w:bCs/>
              </w:rPr>
              <w:t>Total Income Support payment suspensions</w:t>
            </w:r>
          </w:p>
        </w:tc>
        <w:tc>
          <w:tcPr>
            <w:tcW w:w="1417" w:type="dxa"/>
            <w:vAlign w:val="center"/>
          </w:tcPr>
          <w:p w14:paraId="1A5E256D" w14:textId="405BF908"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21,326</w:t>
            </w:r>
          </w:p>
        </w:tc>
        <w:tc>
          <w:tcPr>
            <w:tcW w:w="1418" w:type="dxa"/>
            <w:vAlign w:val="center"/>
          </w:tcPr>
          <w:p w14:paraId="28CE7D5F" w14:textId="236D7F80"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93.79%</w:t>
            </w:r>
          </w:p>
        </w:tc>
        <w:tc>
          <w:tcPr>
            <w:tcW w:w="1417" w:type="dxa"/>
            <w:vAlign w:val="center"/>
          </w:tcPr>
          <w:p w14:paraId="14AC76E3" w14:textId="3AC111F0"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1,413</w:t>
            </w:r>
          </w:p>
        </w:tc>
        <w:tc>
          <w:tcPr>
            <w:tcW w:w="1303" w:type="dxa"/>
            <w:vAlign w:val="center"/>
          </w:tcPr>
          <w:p w14:paraId="37599FFB" w14:textId="1BDA061F"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6.21%</w:t>
            </w:r>
          </w:p>
        </w:tc>
        <w:tc>
          <w:tcPr>
            <w:tcW w:w="1390" w:type="dxa"/>
            <w:vAlign w:val="center"/>
          </w:tcPr>
          <w:p w14:paraId="045B3EE6" w14:textId="16299640"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1311" w:type="dxa"/>
            <w:vAlign w:val="center"/>
          </w:tcPr>
          <w:p w14:paraId="3B88A172" w14:textId="5475D790"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100.00%</w:t>
            </w:r>
          </w:p>
        </w:tc>
        <w:tc>
          <w:tcPr>
            <w:tcW w:w="1241" w:type="dxa"/>
            <w:vAlign w:val="center"/>
          </w:tcPr>
          <w:p w14:paraId="03A66C7B" w14:textId="47DB7FA3"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1134" w:type="dxa"/>
            <w:vAlign w:val="center"/>
          </w:tcPr>
          <w:p w14:paraId="229C6AE6" w14:textId="4ABC5F44"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100.00%</w:t>
            </w:r>
          </w:p>
        </w:tc>
      </w:tr>
    </w:tbl>
    <w:p w14:paraId="3C78117A" w14:textId="3745DBD9"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1C0C1C4B" w14:textId="71D45ECA"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17A6293D" w14:textId="60FA30C5"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C647F6" w:rsidRPr="001053D0">
        <w:rPr>
          <w:rFonts w:ascii="Arial" w:hAnsi="Arial" w:cs="Arial"/>
          <w:i/>
        </w:rPr>
        <w:t>1 July to 30 September 2019</w:t>
      </w:r>
      <w:bookmarkEnd w:id="38"/>
      <w:r w:rsidR="001053D0">
        <w:rPr>
          <w:rFonts w:ascii="Arial" w:hAnsi="Arial" w:cs="Arial"/>
          <w:i/>
        </w:rPr>
        <w:br/>
      </w:r>
    </w:p>
    <w:tbl>
      <w:tblPr>
        <w:tblStyle w:val="LeftAlignTable"/>
        <w:tblW w:w="0" w:type="auto"/>
        <w:tblLook w:val="04E0" w:firstRow="1" w:lastRow="1" w:firstColumn="1" w:lastColumn="0" w:noHBand="0" w:noVBand="1"/>
        <w:tblCaption w:val="Non Payment Periods (Serious and UNPPs) 1 July to 30 September 2019"/>
      </w:tblPr>
      <w:tblGrid>
        <w:gridCol w:w="4413"/>
        <w:gridCol w:w="934"/>
        <w:gridCol w:w="1148"/>
        <w:gridCol w:w="1388"/>
        <w:gridCol w:w="1148"/>
        <w:gridCol w:w="1139"/>
        <w:gridCol w:w="1422"/>
        <w:gridCol w:w="1428"/>
        <w:gridCol w:w="1428"/>
      </w:tblGrid>
      <w:tr w:rsidR="00BB1E9F" w:rsidRPr="00FB63AD" w14:paraId="1C5FD4BF"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5C88C148" w14:textId="77777777" w:rsidR="00BB1E9F" w:rsidRPr="00FB63AD" w:rsidRDefault="00BB1E9F" w:rsidP="00F74E10">
            <w:pPr>
              <w:keepNext/>
              <w:keepLines/>
              <w:ind w:left="0"/>
            </w:pPr>
            <w:r w:rsidRPr="00FB63AD">
              <w:t>Non Payment Periods (Serious and UNPPs)</w:t>
            </w:r>
          </w:p>
        </w:tc>
        <w:tc>
          <w:tcPr>
            <w:tcW w:w="934" w:type="dxa"/>
          </w:tcPr>
          <w:p w14:paraId="056BC2D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21FA5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630CAF5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8B00DA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508801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2276DBE"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3DA9D5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375D966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647F6" w:rsidRPr="00FB63AD" w14:paraId="66F304F9" w14:textId="77777777" w:rsidTr="00C164B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607475BE" w14:textId="77777777" w:rsidR="00C647F6" w:rsidRPr="00FB63AD" w:rsidRDefault="00C647F6" w:rsidP="00C647F6">
            <w:pPr>
              <w:keepNext/>
              <w:keepLines/>
              <w:ind w:left="-142" w:firstLine="142"/>
              <w:jc w:val="center"/>
            </w:pPr>
            <w:r w:rsidRPr="00FB63AD">
              <w:t>Sub Total NPPs</w:t>
            </w:r>
          </w:p>
        </w:tc>
        <w:tc>
          <w:tcPr>
            <w:tcW w:w="934" w:type="dxa"/>
            <w:vAlign w:val="center"/>
          </w:tcPr>
          <w:p w14:paraId="6ED5D8F4" w14:textId="45D0B6E5"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586</w:t>
            </w:r>
          </w:p>
        </w:tc>
        <w:tc>
          <w:tcPr>
            <w:tcW w:w="1148" w:type="dxa"/>
            <w:vAlign w:val="center"/>
          </w:tcPr>
          <w:p w14:paraId="1CF10E2A" w14:textId="73053D30"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2,335</w:t>
            </w:r>
          </w:p>
        </w:tc>
        <w:tc>
          <w:tcPr>
            <w:tcW w:w="1388" w:type="dxa"/>
            <w:vAlign w:val="center"/>
          </w:tcPr>
          <w:p w14:paraId="66B92F1B" w14:textId="2B095E03"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1,537</w:t>
            </w:r>
          </w:p>
        </w:tc>
        <w:tc>
          <w:tcPr>
            <w:tcW w:w="1148" w:type="dxa"/>
            <w:vAlign w:val="center"/>
          </w:tcPr>
          <w:p w14:paraId="69511472" w14:textId="2168716F"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857</w:t>
            </w:r>
          </w:p>
        </w:tc>
        <w:tc>
          <w:tcPr>
            <w:tcW w:w="1139" w:type="dxa"/>
            <w:vAlign w:val="center"/>
          </w:tcPr>
          <w:p w14:paraId="668A39FF" w14:textId="3ED468B8"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46</w:t>
            </w:r>
          </w:p>
        </w:tc>
        <w:tc>
          <w:tcPr>
            <w:tcW w:w="1422" w:type="dxa"/>
            <w:vAlign w:val="center"/>
          </w:tcPr>
          <w:p w14:paraId="5FDFCAA5" w14:textId="75C239ED"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428" w:type="dxa"/>
            <w:vAlign w:val="center"/>
          </w:tcPr>
          <w:p w14:paraId="276E0212" w14:textId="37352632"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428" w:type="dxa"/>
            <w:vAlign w:val="center"/>
          </w:tcPr>
          <w:p w14:paraId="4252361E" w14:textId="0D0711A0"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1412A9C3" w14:textId="77777777" w:rsidR="00126999" w:rsidRDefault="00126999" w:rsidP="00126999">
      <w:pPr>
        <w:spacing w:before="0" w:after="60" w:line="240" w:lineRule="auto"/>
        <w:ind w:left="0"/>
        <w:rPr>
          <w:rFonts w:ascii="Arial" w:eastAsiaTheme="majorEastAsia" w:hAnsi="Arial" w:cstheme="majorBidi"/>
          <w:b/>
          <w:bCs/>
          <w:szCs w:val="26"/>
        </w:rPr>
      </w:pPr>
    </w:p>
    <w:p w14:paraId="21AD6CB9" w14:textId="4D040D6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647F6" w:rsidRPr="001053D0">
        <w:rPr>
          <w:rFonts w:ascii="Arial" w:hAnsi="Arial" w:cs="Arial"/>
          <w:i/>
        </w:rPr>
        <w:t>1 July to 30 September 2019</w:t>
      </w:r>
      <w:bookmarkEnd w:id="39"/>
      <w:r w:rsidR="001053D0">
        <w:rPr>
          <w:rFonts w:ascii="Arial" w:hAnsi="Arial" w:cs="Arial"/>
          <w:i/>
        </w:rPr>
        <w:br/>
      </w:r>
    </w:p>
    <w:tbl>
      <w:tblPr>
        <w:tblStyle w:val="LeftAlignTable"/>
        <w:tblW w:w="0" w:type="auto"/>
        <w:tblLook w:val="04E0" w:firstRow="1" w:lastRow="1" w:firstColumn="1" w:lastColumn="0" w:noHBand="0" w:noVBand="1"/>
        <w:tblCaption w:val="Short Term Financial Penalties 1 July to 30 September 2019"/>
      </w:tblPr>
      <w:tblGrid>
        <w:gridCol w:w="4389"/>
        <w:gridCol w:w="1037"/>
        <w:gridCol w:w="1089"/>
        <w:gridCol w:w="1276"/>
        <w:gridCol w:w="1134"/>
        <w:gridCol w:w="1276"/>
        <w:gridCol w:w="1417"/>
        <w:gridCol w:w="1418"/>
        <w:gridCol w:w="1412"/>
      </w:tblGrid>
      <w:tr w:rsidR="00EF4695" w:rsidRPr="00FB63AD" w14:paraId="774A71E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61A3BD1" w14:textId="77777777" w:rsidR="00BB1E9F" w:rsidRPr="00FB63AD" w:rsidRDefault="00DE65F3" w:rsidP="00F74E10">
            <w:pPr>
              <w:ind w:left="0"/>
            </w:pPr>
            <w:r w:rsidRPr="00FB63AD">
              <w:t>Short Term Financial Penalties (Non-Attendance, Reconnection and NSNP)</w:t>
            </w:r>
          </w:p>
        </w:tc>
        <w:tc>
          <w:tcPr>
            <w:tcW w:w="1037" w:type="dxa"/>
          </w:tcPr>
          <w:p w14:paraId="4775A21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06D8D63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479E4E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F25154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CAEF6D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F41C9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9D3F48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03588DF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647F6" w:rsidRPr="00FB63AD" w14:paraId="4A1369F1" w14:textId="77777777" w:rsidTr="00EF4695">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738CE35D" w14:textId="77777777" w:rsidR="00C647F6" w:rsidRPr="00FB63AD" w:rsidRDefault="00C647F6" w:rsidP="00C647F6">
            <w:pPr>
              <w:ind w:left="0"/>
            </w:pPr>
            <w:r w:rsidRPr="00FB63AD">
              <w:t>Sub Total Short Term Financial Penalties</w:t>
            </w:r>
          </w:p>
        </w:tc>
        <w:tc>
          <w:tcPr>
            <w:tcW w:w="1037" w:type="dxa"/>
            <w:vAlign w:val="center"/>
          </w:tcPr>
          <w:p w14:paraId="7EFB5E71" w14:textId="677B9C3A"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2,983</w:t>
            </w:r>
          </w:p>
        </w:tc>
        <w:tc>
          <w:tcPr>
            <w:tcW w:w="1089" w:type="dxa"/>
            <w:vAlign w:val="center"/>
          </w:tcPr>
          <w:p w14:paraId="0C631867" w14:textId="0C253D6E"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9,959</w:t>
            </w:r>
          </w:p>
        </w:tc>
        <w:tc>
          <w:tcPr>
            <w:tcW w:w="1276" w:type="dxa"/>
            <w:vAlign w:val="center"/>
          </w:tcPr>
          <w:p w14:paraId="50ABEAED" w14:textId="0BB26F12"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7,241</w:t>
            </w:r>
          </w:p>
        </w:tc>
        <w:tc>
          <w:tcPr>
            <w:tcW w:w="1134" w:type="dxa"/>
            <w:vAlign w:val="center"/>
          </w:tcPr>
          <w:p w14:paraId="6E60792F" w14:textId="575BAB4D"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4,634</w:t>
            </w:r>
          </w:p>
        </w:tc>
        <w:tc>
          <w:tcPr>
            <w:tcW w:w="1276" w:type="dxa"/>
            <w:vAlign w:val="center"/>
          </w:tcPr>
          <w:p w14:paraId="06160048" w14:textId="72C797CA"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366</w:t>
            </w:r>
          </w:p>
        </w:tc>
        <w:tc>
          <w:tcPr>
            <w:tcW w:w="1417" w:type="dxa"/>
            <w:vAlign w:val="center"/>
          </w:tcPr>
          <w:p w14:paraId="1515758B" w14:textId="6E171305"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418" w:type="dxa"/>
            <w:vAlign w:val="center"/>
          </w:tcPr>
          <w:p w14:paraId="734B0F7D" w14:textId="0641A3BA"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412" w:type="dxa"/>
            <w:vAlign w:val="center"/>
          </w:tcPr>
          <w:p w14:paraId="219E1EE1" w14:textId="1F32C241"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76B34A59" w14:textId="73A8D4DF" w:rsidR="001053D0" w:rsidRPr="001053D0" w:rsidRDefault="001053D0" w:rsidP="001053D0">
      <w:bookmarkStart w:id="40" w:name="_Toc30005469"/>
      <w:r>
        <w:rPr>
          <w:rFonts w:ascii="Arial" w:eastAsiaTheme="majorEastAsia" w:hAnsi="Arial" w:cs="Arial"/>
          <w:b/>
          <w:bCs/>
          <w:i/>
        </w:rPr>
        <w:br/>
      </w:r>
    </w:p>
    <w:p w14:paraId="64C65701" w14:textId="607206F8"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lastRenderedPageBreak/>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C647F6" w:rsidRPr="001053D0">
        <w:rPr>
          <w:rFonts w:ascii="Arial" w:hAnsi="Arial" w:cs="Arial"/>
          <w:i/>
        </w:rPr>
        <w:t>1 July to 30 September 2019</w:t>
      </w:r>
      <w:bookmarkEnd w:id="40"/>
      <w:r w:rsidR="001053D0">
        <w:rPr>
          <w:rFonts w:ascii="Arial" w:hAnsi="Arial" w:cs="Arial"/>
          <w:i/>
        </w:rPr>
        <w:br/>
      </w:r>
    </w:p>
    <w:tbl>
      <w:tblPr>
        <w:tblStyle w:val="LeftAlignTable"/>
        <w:tblW w:w="0" w:type="auto"/>
        <w:tblLook w:val="04E0" w:firstRow="1" w:lastRow="1" w:firstColumn="1" w:lastColumn="0" w:noHBand="0" w:noVBand="1"/>
        <w:tblCaption w:val="Total Financial Penalties 1 July to 30 September 2019"/>
      </w:tblPr>
      <w:tblGrid>
        <w:gridCol w:w="1271"/>
        <w:gridCol w:w="1134"/>
        <w:gridCol w:w="1083"/>
        <w:gridCol w:w="1134"/>
        <w:gridCol w:w="1227"/>
        <w:gridCol w:w="1428"/>
        <w:gridCol w:w="1434"/>
        <w:gridCol w:w="1434"/>
      </w:tblGrid>
      <w:tr w:rsidR="002522E1" w:rsidRPr="00FB63AD" w14:paraId="5CB232B4"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557C5D5E" w14:textId="77777777" w:rsidR="002522E1" w:rsidRPr="00FB63AD" w:rsidRDefault="002522E1" w:rsidP="00BF3037">
            <w:pPr>
              <w:ind w:left="0"/>
            </w:pPr>
            <w:r w:rsidRPr="00FB63AD">
              <w:t>Under 21</w:t>
            </w:r>
          </w:p>
        </w:tc>
        <w:tc>
          <w:tcPr>
            <w:tcW w:w="1134" w:type="dxa"/>
          </w:tcPr>
          <w:p w14:paraId="1F16C80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4805599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04AB88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1D9679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0B8396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267F8B6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0614880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2522E1" w:rsidRPr="00FB63AD" w14:paraId="4CEFF98F" w14:textId="77777777" w:rsidTr="00BF3037">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3F6BC6" w14:textId="1D330BC3" w:rsidR="002522E1" w:rsidRPr="00B622A4" w:rsidRDefault="002522E1" w:rsidP="00C647F6">
            <w:pPr>
              <w:autoSpaceDE w:val="0"/>
              <w:autoSpaceDN w:val="0"/>
              <w:adjustRightInd w:val="0"/>
              <w:spacing w:before="0"/>
              <w:ind w:left="0"/>
              <w:rPr>
                <w:rFonts w:cs="Gill Sans MT"/>
                <w:b w:val="0"/>
                <w:bCs/>
                <w:color w:val="000000"/>
              </w:rPr>
            </w:pPr>
            <w:r w:rsidRPr="00B622A4">
              <w:rPr>
                <w:rFonts w:cs="Gill Sans MT"/>
                <w:b w:val="0"/>
                <w:bCs/>
                <w:color w:val="000000"/>
              </w:rPr>
              <w:t>3,569</w:t>
            </w:r>
          </w:p>
        </w:tc>
        <w:tc>
          <w:tcPr>
            <w:tcW w:w="1134" w:type="dxa"/>
            <w:vAlign w:val="center"/>
          </w:tcPr>
          <w:p w14:paraId="271633D8" w14:textId="4A56F79B"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12,294</w:t>
            </w:r>
          </w:p>
        </w:tc>
        <w:tc>
          <w:tcPr>
            <w:tcW w:w="1083" w:type="dxa"/>
            <w:vAlign w:val="center"/>
          </w:tcPr>
          <w:p w14:paraId="19CF9FB1" w14:textId="0565BEE4"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8,778</w:t>
            </w:r>
          </w:p>
        </w:tc>
        <w:tc>
          <w:tcPr>
            <w:tcW w:w="1134" w:type="dxa"/>
            <w:vAlign w:val="center"/>
          </w:tcPr>
          <w:p w14:paraId="4D2E01F2" w14:textId="2B58F28B"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5,491</w:t>
            </w:r>
          </w:p>
        </w:tc>
        <w:tc>
          <w:tcPr>
            <w:tcW w:w="1227" w:type="dxa"/>
            <w:vAlign w:val="center"/>
          </w:tcPr>
          <w:p w14:paraId="790D870A" w14:textId="0E5D7D70"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412</w:t>
            </w:r>
          </w:p>
        </w:tc>
        <w:tc>
          <w:tcPr>
            <w:tcW w:w="1428" w:type="dxa"/>
            <w:vAlign w:val="center"/>
          </w:tcPr>
          <w:p w14:paraId="17027A94" w14:textId="33A1FB58"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434" w:type="dxa"/>
            <w:vAlign w:val="center"/>
          </w:tcPr>
          <w:p w14:paraId="552541A0" w14:textId="683427A6"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434" w:type="dxa"/>
            <w:vAlign w:val="center"/>
          </w:tcPr>
          <w:p w14:paraId="11538A5E" w14:textId="33E1EC7D"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2D45D2BE"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AB29D29" w14:textId="184B24CE"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61441B70" w14:textId="309AA11C"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B4BB7F6" w14:textId="6521A062"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C647F6" w:rsidRPr="003A427E">
        <w:rPr>
          <w:rFonts w:ascii="Arial" w:hAnsi="Arial" w:cs="Arial"/>
          <w:i/>
        </w:rPr>
        <w:t>1 July to 30 September 2019</w:t>
      </w:r>
      <w:bookmarkEnd w:id="41"/>
      <w:r w:rsidR="003A427E" w:rsidRPr="003A427E">
        <w:rPr>
          <w:rFonts w:ascii="Arial" w:hAnsi="Arial" w:cs="Arial"/>
          <w:i/>
        </w:rPr>
        <w:br/>
      </w:r>
    </w:p>
    <w:tbl>
      <w:tblPr>
        <w:tblStyle w:val="LeftAlignTable"/>
        <w:tblW w:w="0" w:type="auto"/>
        <w:tblLook w:val="04A0" w:firstRow="1" w:lastRow="0" w:firstColumn="1" w:lastColumn="0" w:noHBand="0" w:noVBand="1"/>
        <w:tblCaption w:val="Income Support Payment Suspensions 1 July to 30 September 2019"/>
      </w:tblPr>
      <w:tblGrid>
        <w:gridCol w:w="4340"/>
        <w:gridCol w:w="1041"/>
        <w:gridCol w:w="1079"/>
        <w:gridCol w:w="1331"/>
        <w:gridCol w:w="1160"/>
        <w:gridCol w:w="1246"/>
        <w:gridCol w:w="1280"/>
        <w:gridCol w:w="1559"/>
        <w:gridCol w:w="1412"/>
      </w:tblGrid>
      <w:tr w:rsidR="00BB1E9F" w:rsidRPr="00FB63AD" w14:paraId="2993FDE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02DD349C"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B37E8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2AEA55F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7AF1BC2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26CB03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5541B5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4E2F2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21785E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21C8A5F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647F6" w:rsidRPr="00FB63AD" w14:paraId="02CB56C1"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2D8136FA" w14:textId="77777777" w:rsidR="00C647F6" w:rsidRPr="00FB63AD" w:rsidRDefault="00C647F6" w:rsidP="00C647F6">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126F268" w14:textId="4940D3C9"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4,724</w:t>
            </w:r>
          </w:p>
        </w:tc>
        <w:tc>
          <w:tcPr>
            <w:tcW w:w="1079" w:type="dxa"/>
            <w:vAlign w:val="center"/>
          </w:tcPr>
          <w:p w14:paraId="5E2E5499" w14:textId="570996A4"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4,141</w:t>
            </w:r>
          </w:p>
        </w:tc>
        <w:tc>
          <w:tcPr>
            <w:tcW w:w="1331" w:type="dxa"/>
            <w:vAlign w:val="center"/>
          </w:tcPr>
          <w:p w14:paraId="32706319" w14:textId="25E4FC81"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3,757</w:t>
            </w:r>
          </w:p>
        </w:tc>
        <w:tc>
          <w:tcPr>
            <w:tcW w:w="1160" w:type="dxa"/>
            <w:vAlign w:val="center"/>
          </w:tcPr>
          <w:p w14:paraId="1C96970B" w14:textId="5CB79C0E"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1,168</w:t>
            </w:r>
          </w:p>
        </w:tc>
        <w:tc>
          <w:tcPr>
            <w:tcW w:w="1246" w:type="dxa"/>
            <w:vAlign w:val="center"/>
          </w:tcPr>
          <w:p w14:paraId="582D361E" w14:textId="0AEAB1F6"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1,816</w:t>
            </w:r>
          </w:p>
        </w:tc>
        <w:tc>
          <w:tcPr>
            <w:tcW w:w="1280" w:type="dxa"/>
            <w:vAlign w:val="center"/>
          </w:tcPr>
          <w:p w14:paraId="598214C8" w14:textId="68B9DAEB"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559" w:type="dxa"/>
            <w:vAlign w:val="center"/>
          </w:tcPr>
          <w:p w14:paraId="6E642E78" w14:textId="3D105E2F"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412" w:type="dxa"/>
            <w:vAlign w:val="center"/>
          </w:tcPr>
          <w:p w14:paraId="1457AE6D" w14:textId="37FA11BC"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68.63%</w:t>
            </w:r>
          </w:p>
        </w:tc>
      </w:tr>
      <w:tr w:rsidR="00C647F6" w:rsidRPr="00FB63AD" w14:paraId="5E5B2FB4"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4DCBE4B5" w14:textId="77777777" w:rsidR="00C647F6" w:rsidRPr="00FB63AD" w:rsidRDefault="00C647F6" w:rsidP="00C647F6">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211CF3F" w14:textId="0F8718EA"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2,550</w:t>
            </w:r>
          </w:p>
        </w:tc>
        <w:tc>
          <w:tcPr>
            <w:tcW w:w="1079" w:type="dxa"/>
            <w:vAlign w:val="center"/>
          </w:tcPr>
          <w:p w14:paraId="2048660D" w14:textId="4CD384A6"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2,067</w:t>
            </w:r>
          </w:p>
        </w:tc>
        <w:tc>
          <w:tcPr>
            <w:tcW w:w="1331" w:type="dxa"/>
            <w:vAlign w:val="center"/>
          </w:tcPr>
          <w:p w14:paraId="147FC31D" w14:textId="6994C49F"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1,575</w:t>
            </w:r>
          </w:p>
        </w:tc>
        <w:tc>
          <w:tcPr>
            <w:tcW w:w="1160" w:type="dxa"/>
            <w:vAlign w:val="center"/>
          </w:tcPr>
          <w:p w14:paraId="046CE078" w14:textId="0B47EC52"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136</w:t>
            </w:r>
          </w:p>
        </w:tc>
        <w:tc>
          <w:tcPr>
            <w:tcW w:w="1246" w:type="dxa"/>
            <w:vAlign w:val="center"/>
          </w:tcPr>
          <w:p w14:paraId="5FEC0028" w14:textId="6141B01F"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805</w:t>
            </w:r>
          </w:p>
        </w:tc>
        <w:tc>
          <w:tcPr>
            <w:tcW w:w="1280" w:type="dxa"/>
            <w:vAlign w:val="center"/>
          </w:tcPr>
          <w:p w14:paraId="7BCEF0F2" w14:textId="300E8727"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559" w:type="dxa"/>
            <w:vAlign w:val="center"/>
          </w:tcPr>
          <w:p w14:paraId="4CFE5BC4" w14:textId="3863C09B"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412" w:type="dxa"/>
            <w:vAlign w:val="center"/>
          </w:tcPr>
          <w:p w14:paraId="55133EC0" w14:textId="65E0C130" w:rsidR="00C647F6" w:rsidRPr="00885055"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r>
      <w:tr w:rsidR="00C647F6" w:rsidRPr="00FB63AD" w14:paraId="0A10D1F9"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6B41F211" w14:textId="77777777" w:rsidR="00C647F6" w:rsidRPr="00FB63AD" w:rsidRDefault="00C647F6" w:rsidP="00C647F6">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5BF062AC" w14:textId="7A604831"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7,274</w:t>
            </w:r>
          </w:p>
        </w:tc>
        <w:tc>
          <w:tcPr>
            <w:tcW w:w="1079" w:type="dxa"/>
            <w:vAlign w:val="center"/>
          </w:tcPr>
          <w:p w14:paraId="30063AED" w14:textId="5ABE865F"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6,208</w:t>
            </w:r>
          </w:p>
        </w:tc>
        <w:tc>
          <w:tcPr>
            <w:tcW w:w="1331" w:type="dxa"/>
            <w:vAlign w:val="center"/>
          </w:tcPr>
          <w:p w14:paraId="7A0F52C9" w14:textId="5A35CD0B"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5,332</w:t>
            </w:r>
          </w:p>
        </w:tc>
        <w:tc>
          <w:tcPr>
            <w:tcW w:w="1160" w:type="dxa"/>
            <w:vAlign w:val="center"/>
          </w:tcPr>
          <w:p w14:paraId="38E7EE2B" w14:textId="5D07F35D"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1,304</w:t>
            </w:r>
          </w:p>
        </w:tc>
        <w:tc>
          <w:tcPr>
            <w:tcW w:w="1246" w:type="dxa"/>
            <w:vAlign w:val="center"/>
          </w:tcPr>
          <w:p w14:paraId="34A8B8EB" w14:textId="151024DC"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2,621</w:t>
            </w:r>
          </w:p>
        </w:tc>
        <w:tc>
          <w:tcPr>
            <w:tcW w:w="1280" w:type="dxa"/>
            <w:vAlign w:val="center"/>
          </w:tcPr>
          <w:p w14:paraId="47CAEC48" w14:textId="2762B8E1"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1559" w:type="dxa"/>
            <w:vAlign w:val="center"/>
          </w:tcPr>
          <w:p w14:paraId="4ED768FC" w14:textId="115B68FB"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1412" w:type="dxa"/>
            <w:vAlign w:val="center"/>
          </w:tcPr>
          <w:p w14:paraId="38E37BCA" w14:textId="7AD72578" w:rsidR="00C647F6" w:rsidRPr="00B622A4" w:rsidRDefault="00C647F6" w:rsidP="00C647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100.00%</w:t>
            </w:r>
          </w:p>
        </w:tc>
      </w:tr>
    </w:tbl>
    <w:p w14:paraId="4253EBEA"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6887EF87" w14:textId="7C2B1C4E"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41FD0016" w14:textId="38E01F5F"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C647F6" w:rsidRPr="003A427E">
        <w:rPr>
          <w:rFonts w:ascii="Arial" w:hAnsi="Arial" w:cs="Arial"/>
          <w:i/>
        </w:rPr>
        <w:t>1 July to 30 September 2019</w:t>
      </w:r>
      <w:bookmarkEnd w:id="44"/>
      <w:r w:rsidR="003A427E" w:rsidRPr="003A427E">
        <w:rPr>
          <w:rFonts w:ascii="Arial" w:hAnsi="Arial" w:cs="Arial"/>
          <w:i/>
        </w:rPr>
        <w:br/>
      </w:r>
    </w:p>
    <w:tbl>
      <w:tblPr>
        <w:tblStyle w:val="LeftAlignTable"/>
        <w:tblW w:w="14312" w:type="dxa"/>
        <w:tblLook w:val="04E0" w:firstRow="1" w:lastRow="1" w:firstColumn="1" w:lastColumn="0" w:noHBand="0" w:noVBand="1"/>
        <w:tblCaption w:val="Non Payment Periods (Serious and UNPPs) 1 July to 30 September 2019"/>
      </w:tblPr>
      <w:tblGrid>
        <w:gridCol w:w="4389"/>
        <w:gridCol w:w="1531"/>
        <w:gridCol w:w="1275"/>
        <w:gridCol w:w="1560"/>
        <w:gridCol w:w="1276"/>
        <w:gridCol w:w="1276"/>
        <w:gridCol w:w="1276"/>
        <w:gridCol w:w="1729"/>
      </w:tblGrid>
      <w:tr w:rsidR="00B40871" w:rsidRPr="00FB63AD" w14:paraId="4938FE7E"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21F91101" w14:textId="77777777" w:rsidR="00B40871" w:rsidRPr="00FB63AD" w:rsidRDefault="00B40871" w:rsidP="00AF5603">
            <w:pPr>
              <w:ind w:left="0"/>
            </w:pPr>
            <w:r w:rsidRPr="00FB63AD">
              <w:t>Non Payment Periods (Serious Failure and UNPP)</w:t>
            </w:r>
          </w:p>
        </w:tc>
        <w:tc>
          <w:tcPr>
            <w:tcW w:w="1531" w:type="dxa"/>
          </w:tcPr>
          <w:p w14:paraId="6B0E120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15D58483"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B494877"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8538152" w14:textId="05DA2E1E"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63CC2918" w14:textId="126DC60C"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A516F5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112811A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647F6" w:rsidRPr="00FB63AD" w14:paraId="511F8520" w14:textId="77777777" w:rsidTr="00B408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3A56394" w14:textId="77777777" w:rsidR="00C647F6" w:rsidRPr="00FB63AD" w:rsidRDefault="00C647F6" w:rsidP="00C647F6">
            <w:pPr>
              <w:ind w:left="-142" w:firstLine="142"/>
            </w:pPr>
            <w:r w:rsidRPr="00FB63AD">
              <w:t xml:space="preserve">Sub Total NPPs </w:t>
            </w:r>
          </w:p>
        </w:tc>
        <w:tc>
          <w:tcPr>
            <w:tcW w:w="1531" w:type="dxa"/>
            <w:shd w:val="clear" w:color="auto" w:fill="auto"/>
            <w:vAlign w:val="center"/>
          </w:tcPr>
          <w:p w14:paraId="0AEA1217" w14:textId="4BDF9A2F"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75" w:type="dxa"/>
            <w:shd w:val="clear" w:color="auto" w:fill="auto"/>
            <w:vAlign w:val="center"/>
          </w:tcPr>
          <w:p w14:paraId="50C4B05B" w14:textId="12046522"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560" w:type="dxa"/>
            <w:shd w:val="clear" w:color="auto" w:fill="auto"/>
            <w:vAlign w:val="center"/>
          </w:tcPr>
          <w:p w14:paraId="24AE6F26" w14:textId="3B0DEDF6"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76" w:type="dxa"/>
          </w:tcPr>
          <w:p w14:paraId="279A5379" w14:textId="47E29CE8" w:rsidR="00C647F6" w:rsidRPr="00B622A4" w:rsidRDefault="00C647F6" w:rsidP="00C647F6">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76" w:type="dxa"/>
            <w:shd w:val="clear" w:color="auto" w:fill="auto"/>
            <w:vAlign w:val="center"/>
          </w:tcPr>
          <w:p w14:paraId="1308442F" w14:textId="20D7AD5F"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276" w:type="dxa"/>
            <w:shd w:val="clear" w:color="auto" w:fill="auto"/>
            <w:vAlign w:val="center"/>
          </w:tcPr>
          <w:p w14:paraId="3F2C722D" w14:textId="0D22D6C7"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729" w:type="dxa"/>
            <w:shd w:val="clear" w:color="auto" w:fill="auto"/>
            <w:vAlign w:val="center"/>
          </w:tcPr>
          <w:p w14:paraId="2724FD8B" w14:textId="0C964BCA"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41430F57" w14:textId="0924A414" w:rsidR="00AF5603" w:rsidRDefault="00AF5603" w:rsidP="008E21A0">
      <w:pPr>
        <w:pStyle w:val="Heading3"/>
      </w:pPr>
      <w:bookmarkStart w:id="45" w:name="_Toc16519519"/>
      <w:bookmarkStart w:id="46" w:name="_Toc16688940"/>
      <w:bookmarkStart w:id="47" w:name="_Toc19281104"/>
      <w:bookmarkStart w:id="48" w:name="_Toc30005473"/>
      <w:r w:rsidRPr="00CC1242">
        <w:rPr>
          <w:b w:val="0"/>
        </w:rPr>
        <w:t>^</w:t>
      </w:r>
      <w:r>
        <w:t xml:space="preserve"> </w:t>
      </w:r>
      <w:r w:rsidRPr="00CC1242">
        <w:rPr>
          <w:b w:val="0"/>
        </w:rPr>
        <w:t>Due to the small number of Activity Tested recipients of Special Benefit (</w:t>
      </w:r>
      <w:proofErr w:type="spellStart"/>
      <w:r w:rsidRPr="00CC1242">
        <w:rPr>
          <w:b w:val="0"/>
        </w:rPr>
        <w:t>SpB</w:t>
      </w:r>
      <w:proofErr w:type="spellEnd"/>
      <w:r w:rsidRPr="00CC1242">
        <w:rPr>
          <w:b w:val="0"/>
        </w:rPr>
        <w:t>), these job seekers are included under the Newstart Al</w:t>
      </w:r>
      <w:r w:rsidR="00AC29A0" w:rsidRPr="00CC1242">
        <w:rPr>
          <w:b w:val="0"/>
        </w:rPr>
        <w:t>lowance (NSA) column</w:t>
      </w:r>
      <w:r>
        <w:t>.</w:t>
      </w:r>
      <w:bookmarkEnd w:id="45"/>
      <w:bookmarkEnd w:id="46"/>
      <w:bookmarkEnd w:id="47"/>
      <w:bookmarkEnd w:id="48"/>
    </w:p>
    <w:p w14:paraId="44B059F7" w14:textId="5A85563D"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C647F6" w:rsidRPr="003A427E">
        <w:rPr>
          <w:rFonts w:ascii="Arial" w:hAnsi="Arial" w:cs="Arial"/>
          <w:i/>
        </w:rPr>
        <w:t>1 July to 30 September 2019</w:t>
      </w:r>
      <w:bookmarkEnd w:id="49"/>
      <w:r w:rsidR="003A427E" w:rsidRPr="003A427E">
        <w:rPr>
          <w:rFonts w:ascii="Arial" w:hAnsi="Arial" w:cs="Arial"/>
          <w:i/>
        </w:rPr>
        <w:br/>
      </w:r>
    </w:p>
    <w:tbl>
      <w:tblPr>
        <w:tblStyle w:val="LeftAlignTable"/>
        <w:tblW w:w="0" w:type="auto"/>
        <w:tblLook w:val="04E0" w:firstRow="1" w:lastRow="1" w:firstColumn="1" w:lastColumn="0" w:noHBand="0" w:noVBand="1"/>
        <w:tblCaption w:val="Short Term Financial Penalties 1 July to 30 September 2019"/>
      </w:tblPr>
      <w:tblGrid>
        <w:gridCol w:w="4389"/>
        <w:gridCol w:w="1559"/>
        <w:gridCol w:w="1276"/>
        <w:gridCol w:w="1559"/>
        <w:gridCol w:w="1258"/>
        <w:gridCol w:w="1258"/>
        <w:gridCol w:w="1276"/>
        <w:gridCol w:w="1588"/>
      </w:tblGrid>
      <w:tr w:rsidR="00B40871" w:rsidRPr="00FB63AD" w14:paraId="25FC515B"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C783F02" w14:textId="77777777" w:rsidR="00B40871" w:rsidRPr="00FB63AD" w:rsidRDefault="00B40871" w:rsidP="00AF5603">
            <w:pPr>
              <w:ind w:left="0"/>
            </w:pPr>
            <w:r w:rsidRPr="00FB63AD">
              <w:t>Short Term Financial Penalties (Non-Attendance, Reconnection and NSNP)</w:t>
            </w:r>
          </w:p>
        </w:tc>
        <w:tc>
          <w:tcPr>
            <w:tcW w:w="1559" w:type="dxa"/>
          </w:tcPr>
          <w:p w14:paraId="6C16073E" w14:textId="0B939FD1"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2420B55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5DA4A3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6F011B96" w14:textId="12B7ED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F97CA87" w14:textId="03124581"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D41826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53539EF"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647F6" w:rsidRPr="00FB63AD" w14:paraId="7310C71A" w14:textId="77777777" w:rsidTr="00B4087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F977B7C" w14:textId="77777777" w:rsidR="00C647F6" w:rsidRPr="00FB63AD" w:rsidRDefault="00C647F6" w:rsidP="00C647F6">
            <w:pPr>
              <w:ind w:left="0"/>
            </w:pPr>
            <w:r w:rsidRPr="00FB63AD">
              <w:t>Sub Total Short Term Financial Penalties</w:t>
            </w:r>
          </w:p>
        </w:tc>
        <w:tc>
          <w:tcPr>
            <w:tcW w:w="1559" w:type="dxa"/>
            <w:shd w:val="clear" w:color="auto" w:fill="auto"/>
            <w:vAlign w:val="center"/>
          </w:tcPr>
          <w:p w14:paraId="01692396" w14:textId="759BB456"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76" w:type="dxa"/>
            <w:shd w:val="clear" w:color="auto" w:fill="auto"/>
            <w:vAlign w:val="center"/>
          </w:tcPr>
          <w:p w14:paraId="3986D54F" w14:textId="5A5F4FC9"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559" w:type="dxa"/>
            <w:shd w:val="clear" w:color="auto" w:fill="auto"/>
            <w:vAlign w:val="center"/>
          </w:tcPr>
          <w:p w14:paraId="04B20ACD" w14:textId="08D19670"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58" w:type="dxa"/>
          </w:tcPr>
          <w:p w14:paraId="54902CFB" w14:textId="4D289A37" w:rsidR="00C647F6" w:rsidRPr="00B622A4" w:rsidRDefault="00C647F6" w:rsidP="00C647F6">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58" w:type="dxa"/>
            <w:shd w:val="clear" w:color="auto" w:fill="auto"/>
            <w:vAlign w:val="center"/>
          </w:tcPr>
          <w:p w14:paraId="0183C648" w14:textId="3A5BD480"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276" w:type="dxa"/>
            <w:shd w:val="clear" w:color="auto" w:fill="auto"/>
            <w:vAlign w:val="center"/>
          </w:tcPr>
          <w:p w14:paraId="375A7A52" w14:textId="6FF3F52F"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588" w:type="dxa"/>
            <w:shd w:val="clear" w:color="auto" w:fill="auto"/>
            <w:vAlign w:val="center"/>
          </w:tcPr>
          <w:p w14:paraId="25135E2E" w14:textId="7D11FF3C" w:rsidR="00C647F6" w:rsidRPr="00B622A4" w:rsidRDefault="00C647F6"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5EE4F6FE" w14:textId="77777777" w:rsidR="00CB735B" w:rsidRPr="00CC1242" w:rsidRDefault="00CB735B" w:rsidP="003A427E">
      <w:pPr>
        <w:pStyle w:val="Heading3"/>
        <w:numPr>
          <w:ilvl w:val="0"/>
          <w:numId w:val="7"/>
        </w:numPr>
        <w:rPr>
          <w:b w:val="0"/>
        </w:rPr>
      </w:pPr>
      <w:bookmarkStart w:id="50" w:name="_Toc19281106"/>
      <w:bookmarkStart w:id="51" w:name="_Toc30005475"/>
      <w:r w:rsidRPr="00CC1242">
        <w:rPr>
          <w:b w:val="0"/>
        </w:rPr>
        <w:t>^ Due to the small number of Activity Tested recipients of Special Benefit (</w:t>
      </w:r>
      <w:proofErr w:type="spellStart"/>
      <w:r w:rsidRPr="00CC1242">
        <w:rPr>
          <w:b w:val="0"/>
        </w:rPr>
        <w:t>SpB</w:t>
      </w:r>
      <w:proofErr w:type="spellEnd"/>
      <w:r w:rsidRPr="00CC1242">
        <w:rPr>
          <w:b w:val="0"/>
        </w:rPr>
        <w:t>), these job seekers are included under the Newstart Allowance (NSA) column.</w:t>
      </w:r>
      <w:bookmarkEnd w:id="50"/>
      <w:bookmarkEnd w:id="51"/>
    </w:p>
    <w:p w14:paraId="22EE89A1" w14:textId="3A86CD78"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C647F6" w:rsidRPr="003A427E">
        <w:rPr>
          <w:rFonts w:ascii="Arial" w:hAnsi="Arial" w:cs="Arial"/>
          <w:i/>
        </w:rPr>
        <w:t>1 July to 30 September 2019</w:t>
      </w:r>
      <w:bookmarkEnd w:id="52"/>
      <w:r w:rsidR="003A427E" w:rsidRPr="003A427E">
        <w:rPr>
          <w:rFonts w:ascii="Arial" w:hAnsi="Arial" w:cs="Arial"/>
          <w:i/>
        </w:rPr>
        <w:br/>
      </w:r>
    </w:p>
    <w:tbl>
      <w:tblPr>
        <w:tblStyle w:val="LeftAlignTable"/>
        <w:tblW w:w="0" w:type="auto"/>
        <w:tblLook w:val="04E0" w:firstRow="1" w:lastRow="1" w:firstColumn="1" w:lastColumn="0" w:noHBand="0" w:noVBand="1"/>
        <w:tblCaption w:val="Total Financial Penalties 1 July to 30 September 2019"/>
      </w:tblPr>
      <w:tblGrid>
        <w:gridCol w:w="1531"/>
        <w:gridCol w:w="1275"/>
        <w:gridCol w:w="1560"/>
        <w:gridCol w:w="1276"/>
        <w:gridCol w:w="1276"/>
        <w:gridCol w:w="1276"/>
        <w:gridCol w:w="1588"/>
      </w:tblGrid>
      <w:tr w:rsidR="002522E1" w:rsidRPr="00FB63AD" w14:paraId="7F5B3984"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2E8F6AB0" w14:textId="34E5F011" w:rsidR="002522E1" w:rsidRPr="00FB63AD" w:rsidRDefault="002522E1" w:rsidP="00AF5603">
            <w:pPr>
              <w:keepNext/>
              <w:keepLines/>
              <w:ind w:left="-142" w:firstLine="142"/>
            </w:pPr>
            <w:r w:rsidRPr="00FB63AD">
              <w:t>NSA</w:t>
            </w:r>
            <w:r>
              <w:t>^</w:t>
            </w:r>
          </w:p>
        </w:tc>
        <w:tc>
          <w:tcPr>
            <w:tcW w:w="1275" w:type="dxa"/>
          </w:tcPr>
          <w:p w14:paraId="4EFCB183"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4F32C4A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934BAC" w14:textId="56EF75B3"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28FE72B6" w14:textId="5ED54A61"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4836B9C"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0C4220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22E1" w:rsidRPr="00FB63AD" w14:paraId="036C705A" w14:textId="77777777" w:rsidTr="00B4087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shd w:val="clear" w:color="auto" w:fill="auto"/>
            <w:vAlign w:val="center"/>
          </w:tcPr>
          <w:p w14:paraId="30E4D5E4" w14:textId="59BB846F" w:rsidR="002522E1" w:rsidRPr="00B622A4" w:rsidRDefault="002522E1" w:rsidP="00C647F6">
            <w:pPr>
              <w:autoSpaceDE w:val="0"/>
              <w:autoSpaceDN w:val="0"/>
              <w:adjustRightInd w:val="0"/>
              <w:spacing w:before="0"/>
              <w:ind w:left="0"/>
              <w:rPr>
                <w:rFonts w:cs="Gill Sans MT"/>
                <w:b w:val="0"/>
                <w:bCs/>
                <w:color w:val="000000"/>
              </w:rPr>
            </w:pPr>
            <w:r w:rsidRPr="00B622A4">
              <w:rPr>
                <w:rFonts w:cs="Gill Sans MT"/>
                <w:b w:val="0"/>
                <w:bCs/>
                <w:color w:val="000000"/>
              </w:rPr>
              <w:t>np</w:t>
            </w:r>
          </w:p>
        </w:tc>
        <w:tc>
          <w:tcPr>
            <w:tcW w:w="1275" w:type="dxa"/>
            <w:shd w:val="clear" w:color="auto" w:fill="auto"/>
            <w:vAlign w:val="center"/>
          </w:tcPr>
          <w:p w14:paraId="55EE4BAB" w14:textId="6AA2BD85"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560" w:type="dxa"/>
            <w:shd w:val="clear" w:color="auto" w:fill="auto"/>
            <w:vAlign w:val="center"/>
          </w:tcPr>
          <w:p w14:paraId="31D9AFAC" w14:textId="6DAB731A"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76" w:type="dxa"/>
          </w:tcPr>
          <w:p w14:paraId="0895F3F6" w14:textId="7C037922" w:rsidR="002522E1" w:rsidRPr="00B622A4" w:rsidRDefault="002522E1" w:rsidP="00C647F6">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np</w:t>
            </w:r>
          </w:p>
        </w:tc>
        <w:tc>
          <w:tcPr>
            <w:tcW w:w="1276" w:type="dxa"/>
            <w:shd w:val="clear" w:color="auto" w:fill="auto"/>
            <w:vAlign w:val="center"/>
          </w:tcPr>
          <w:p w14:paraId="1AC31995" w14:textId="6C2468AE"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276" w:type="dxa"/>
            <w:shd w:val="clear" w:color="auto" w:fill="auto"/>
            <w:vAlign w:val="center"/>
          </w:tcPr>
          <w:p w14:paraId="49B92F43" w14:textId="4BD0BF04"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588" w:type="dxa"/>
            <w:shd w:val="clear" w:color="auto" w:fill="auto"/>
            <w:vAlign w:val="center"/>
          </w:tcPr>
          <w:p w14:paraId="6056F7C7" w14:textId="223CD432" w:rsidR="002522E1" w:rsidRPr="00B622A4" w:rsidRDefault="002522E1" w:rsidP="00C647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4E017A1F" w14:textId="77777777" w:rsidR="00CB735B" w:rsidRPr="00A75C1F" w:rsidRDefault="00CB735B" w:rsidP="003A427E">
      <w:pPr>
        <w:pStyle w:val="Heading3"/>
        <w:numPr>
          <w:ilvl w:val="0"/>
          <w:numId w:val="8"/>
        </w:numPr>
      </w:pPr>
      <w:bookmarkStart w:id="53" w:name="_Toc19281108"/>
      <w:bookmarkStart w:id="54" w:name="_Toc30005477"/>
      <w:r w:rsidRPr="00CC1242">
        <w:rPr>
          <w:b w:val="0"/>
        </w:rPr>
        <w:t>^ Due to the small number of Activity Tested recipients of Special Benefit (</w:t>
      </w:r>
      <w:proofErr w:type="spellStart"/>
      <w:r w:rsidRPr="00CC1242">
        <w:rPr>
          <w:b w:val="0"/>
        </w:rPr>
        <w:t>SpB</w:t>
      </w:r>
      <w:proofErr w:type="spellEnd"/>
      <w:r w:rsidRPr="00CC1242">
        <w:rPr>
          <w:b w:val="0"/>
        </w:rPr>
        <w:t>), these job seekers are included under the Newstart Allowance (NSA) column</w:t>
      </w:r>
      <w:r>
        <w:t>.</w:t>
      </w:r>
      <w:bookmarkEnd w:id="53"/>
      <w:bookmarkEnd w:id="54"/>
    </w:p>
    <w:p w14:paraId="721EE51D" w14:textId="3EFB10A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648811F" w14:textId="71CBC6D9"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468E5834" w14:textId="0F3A2528" w:rsidR="00AF5603" w:rsidRDefault="00AF5603" w:rsidP="00AF5603">
      <w:pPr>
        <w:spacing w:before="0" w:after="120" w:line="240" w:lineRule="auto"/>
        <w:ind w:left="142"/>
        <w:rPr>
          <w:bCs/>
        </w:rPr>
      </w:pPr>
      <w:r>
        <w:rPr>
          <w:bCs/>
        </w:rPr>
        <w:lastRenderedPageBreak/>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D81534E" w14:textId="6AEF7EE6"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661109" w:rsidRPr="003A427E">
        <w:rPr>
          <w:i/>
        </w:rPr>
        <w:t>1 July to 30 September 2019</w:t>
      </w:r>
      <w:bookmarkEnd w:id="55"/>
      <w:r w:rsidR="003A427E" w:rsidRPr="003A427E">
        <w:rPr>
          <w:i/>
        </w:rPr>
        <w:br/>
      </w:r>
    </w:p>
    <w:tbl>
      <w:tblPr>
        <w:tblStyle w:val="LeftAlignTable"/>
        <w:tblW w:w="0" w:type="auto"/>
        <w:tblLook w:val="06A0" w:firstRow="1" w:lastRow="0" w:firstColumn="1" w:lastColumn="0" w:noHBand="1" w:noVBand="1"/>
        <w:tblCaption w:val="Income Support Payment Suspensions 1 July to 30 September 2019"/>
      </w:tblPr>
      <w:tblGrid>
        <w:gridCol w:w="4389"/>
        <w:gridCol w:w="1559"/>
        <w:gridCol w:w="1276"/>
        <w:gridCol w:w="1701"/>
        <w:gridCol w:w="1843"/>
        <w:gridCol w:w="2003"/>
        <w:gridCol w:w="1541"/>
      </w:tblGrid>
      <w:tr w:rsidR="00AF5603" w:rsidRPr="00FB63AD" w14:paraId="4BC90A7B"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FDAD67C" w14:textId="77777777" w:rsidR="00AF5603" w:rsidRPr="00FB63AD" w:rsidRDefault="00AF5603" w:rsidP="00AF5603">
            <w:pPr>
              <w:ind w:left="-142" w:firstLine="142"/>
            </w:pPr>
            <w:r w:rsidRPr="00FB63AD">
              <w:t>Income Support payment suspensions</w:t>
            </w:r>
          </w:p>
        </w:tc>
        <w:tc>
          <w:tcPr>
            <w:tcW w:w="1559" w:type="dxa"/>
          </w:tcPr>
          <w:p w14:paraId="79632E62" w14:textId="1EFA8D5D"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6CF75DE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68DB8F3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A12E2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5197F6F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4DEB026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61109" w:rsidRPr="00FB63AD" w14:paraId="63C14DE2" w14:textId="77777777" w:rsidTr="00DD1A9F">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AA3E653" w14:textId="77777777" w:rsidR="00661109" w:rsidRPr="00FB63AD" w:rsidRDefault="00661109" w:rsidP="00661109">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C7EF97" w14:textId="6BFCD099"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13,274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F745C" w14:textId="5CDB7132"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B4AE" w14:textId="69926F7E"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34716" w14:textId="31CC16EE"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2003" w:type="dxa"/>
            <w:tcBorders>
              <w:top w:val="single" w:sz="4" w:space="0" w:color="auto"/>
              <w:left w:val="nil"/>
              <w:bottom w:val="single" w:sz="4" w:space="0" w:color="auto"/>
              <w:right w:val="single" w:sz="4" w:space="0" w:color="auto"/>
            </w:tcBorders>
            <w:shd w:val="clear" w:color="auto" w:fill="auto"/>
            <w:vAlign w:val="center"/>
          </w:tcPr>
          <w:p w14:paraId="52EAE298" w14:textId="7D988059"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541" w:type="dxa"/>
            <w:tcBorders>
              <w:top w:val="single" w:sz="4" w:space="0" w:color="auto"/>
              <w:left w:val="nil"/>
              <w:bottom w:val="single" w:sz="4" w:space="0" w:color="auto"/>
              <w:right w:val="single" w:sz="4" w:space="0" w:color="auto"/>
            </w:tcBorders>
            <w:shd w:val="clear" w:color="auto" w:fill="auto"/>
            <w:vAlign w:val="center"/>
          </w:tcPr>
          <w:p w14:paraId="1803C5A0" w14:textId="5E80D901"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68.63%</w:t>
            </w:r>
          </w:p>
        </w:tc>
      </w:tr>
      <w:tr w:rsidR="00661109" w:rsidRPr="00FB63AD" w14:paraId="0AF911E8" w14:textId="77777777" w:rsidTr="00DD1A9F">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D5D13D" w14:textId="77777777" w:rsidR="00661109" w:rsidRPr="00FB63AD" w:rsidRDefault="00661109" w:rsidP="00661109">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8C77B" w14:textId="1011F32D"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6,054</w:t>
            </w:r>
          </w:p>
        </w:tc>
        <w:tc>
          <w:tcPr>
            <w:tcW w:w="1276" w:type="dxa"/>
            <w:tcBorders>
              <w:top w:val="nil"/>
              <w:left w:val="nil"/>
              <w:bottom w:val="single" w:sz="4" w:space="0" w:color="auto"/>
              <w:right w:val="single" w:sz="4" w:space="0" w:color="auto"/>
            </w:tcBorders>
            <w:shd w:val="clear" w:color="auto" w:fill="auto"/>
            <w:vAlign w:val="center"/>
          </w:tcPr>
          <w:p w14:paraId="3399ADF9" w14:textId="1BAAC9D6"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1,033</w:t>
            </w:r>
          </w:p>
        </w:tc>
        <w:tc>
          <w:tcPr>
            <w:tcW w:w="1701" w:type="dxa"/>
            <w:tcBorders>
              <w:top w:val="nil"/>
              <w:left w:val="nil"/>
              <w:bottom w:val="single" w:sz="4" w:space="0" w:color="auto"/>
              <w:right w:val="single" w:sz="4" w:space="0" w:color="auto"/>
            </w:tcBorders>
            <w:shd w:val="clear" w:color="auto" w:fill="auto"/>
            <w:vAlign w:val="center"/>
          </w:tcPr>
          <w:p w14:paraId="29B3FFB4" w14:textId="020DCAF9"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w:t>
            </w:r>
          </w:p>
        </w:tc>
        <w:tc>
          <w:tcPr>
            <w:tcW w:w="1843" w:type="dxa"/>
            <w:tcBorders>
              <w:top w:val="nil"/>
              <w:left w:val="nil"/>
              <w:bottom w:val="single" w:sz="4" w:space="0" w:color="auto"/>
              <w:right w:val="single" w:sz="4" w:space="0" w:color="auto"/>
            </w:tcBorders>
            <w:shd w:val="clear" w:color="auto" w:fill="auto"/>
            <w:vAlign w:val="center"/>
          </w:tcPr>
          <w:p w14:paraId="7965527C" w14:textId="663056B8"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2003" w:type="dxa"/>
            <w:tcBorders>
              <w:top w:val="nil"/>
              <w:left w:val="nil"/>
              <w:bottom w:val="single" w:sz="4" w:space="0" w:color="auto"/>
              <w:right w:val="single" w:sz="4" w:space="0" w:color="auto"/>
            </w:tcBorders>
            <w:shd w:val="clear" w:color="auto" w:fill="auto"/>
            <w:vAlign w:val="center"/>
          </w:tcPr>
          <w:p w14:paraId="3F1A64CB" w14:textId="677BCDC0"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541" w:type="dxa"/>
            <w:tcBorders>
              <w:top w:val="nil"/>
              <w:left w:val="nil"/>
              <w:bottom w:val="single" w:sz="4" w:space="0" w:color="auto"/>
              <w:right w:val="single" w:sz="4" w:space="0" w:color="auto"/>
            </w:tcBorders>
            <w:shd w:val="clear" w:color="auto" w:fill="auto"/>
            <w:vAlign w:val="center"/>
          </w:tcPr>
          <w:p w14:paraId="7299A26D" w14:textId="139127BA" w:rsidR="00661109" w:rsidRPr="007A076A"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r>
      <w:tr w:rsidR="00661109" w:rsidRPr="00FB63AD" w14:paraId="0D91A305" w14:textId="77777777" w:rsidTr="00DD1A9F">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030B0C0" w14:textId="77777777" w:rsidR="00661109" w:rsidRPr="00F7644E" w:rsidRDefault="00661109" w:rsidP="00661109">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96375" w14:textId="42ADD067" w:rsidR="00661109" w:rsidRPr="00B622A4"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19,328</w:t>
            </w:r>
          </w:p>
        </w:tc>
        <w:tc>
          <w:tcPr>
            <w:tcW w:w="1276" w:type="dxa"/>
            <w:tcBorders>
              <w:top w:val="nil"/>
              <w:left w:val="nil"/>
              <w:bottom w:val="single" w:sz="4" w:space="0" w:color="auto"/>
              <w:right w:val="single" w:sz="4" w:space="0" w:color="auto"/>
            </w:tcBorders>
            <w:shd w:val="clear" w:color="auto" w:fill="auto"/>
            <w:vAlign w:val="center"/>
          </w:tcPr>
          <w:p w14:paraId="186951B4" w14:textId="2120E459" w:rsidR="00661109" w:rsidRPr="00B622A4"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3,248</w:t>
            </w:r>
          </w:p>
        </w:tc>
        <w:tc>
          <w:tcPr>
            <w:tcW w:w="1701" w:type="dxa"/>
            <w:tcBorders>
              <w:top w:val="nil"/>
              <w:left w:val="nil"/>
              <w:bottom w:val="single" w:sz="4" w:space="0" w:color="auto"/>
              <w:right w:val="single" w:sz="4" w:space="0" w:color="auto"/>
            </w:tcBorders>
            <w:shd w:val="clear" w:color="auto" w:fill="auto"/>
            <w:vAlign w:val="center"/>
          </w:tcPr>
          <w:p w14:paraId="1B7023D6" w14:textId="05E4F783" w:rsidR="00661109" w:rsidRPr="00B622A4"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163</w:t>
            </w:r>
          </w:p>
        </w:tc>
        <w:tc>
          <w:tcPr>
            <w:tcW w:w="1843" w:type="dxa"/>
            <w:tcBorders>
              <w:top w:val="nil"/>
              <w:left w:val="nil"/>
              <w:bottom w:val="single" w:sz="4" w:space="0" w:color="auto"/>
              <w:right w:val="single" w:sz="4" w:space="0" w:color="auto"/>
            </w:tcBorders>
            <w:shd w:val="clear" w:color="auto" w:fill="auto"/>
            <w:vAlign w:val="center"/>
          </w:tcPr>
          <w:p w14:paraId="381B7A1F" w14:textId="3BF81383" w:rsidR="00661109" w:rsidRPr="00B622A4"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2003" w:type="dxa"/>
            <w:tcBorders>
              <w:top w:val="nil"/>
              <w:left w:val="nil"/>
              <w:bottom w:val="single" w:sz="4" w:space="0" w:color="auto"/>
              <w:right w:val="single" w:sz="4" w:space="0" w:color="auto"/>
            </w:tcBorders>
            <w:shd w:val="clear" w:color="auto" w:fill="auto"/>
            <w:vAlign w:val="center"/>
          </w:tcPr>
          <w:p w14:paraId="1128C5A4" w14:textId="371167E6" w:rsidR="00661109" w:rsidRPr="00B622A4"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22,739</w:t>
            </w:r>
          </w:p>
        </w:tc>
        <w:tc>
          <w:tcPr>
            <w:tcW w:w="1541" w:type="dxa"/>
            <w:tcBorders>
              <w:top w:val="nil"/>
              <w:left w:val="nil"/>
              <w:bottom w:val="single" w:sz="4" w:space="0" w:color="auto"/>
              <w:right w:val="single" w:sz="4" w:space="0" w:color="auto"/>
            </w:tcBorders>
            <w:shd w:val="clear" w:color="auto" w:fill="auto"/>
            <w:vAlign w:val="center"/>
          </w:tcPr>
          <w:p w14:paraId="6432D7E7" w14:textId="31CBBE31" w:rsidR="00661109" w:rsidRPr="00B622A4"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622A4">
              <w:rPr>
                <w:rFonts w:cs="Gill Sans MT"/>
                <w:b/>
                <w:color w:val="000000"/>
              </w:rPr>
              <w:t>100.00%</w:t>
            </w:r>
          </w:p>
        </w:tc>
      </w:tr>
    </w:tbl>
    <w:p w14:paraId="4438F7BE" w14:textId="77777777" w:rsidR="00CB735B" w:rsidRPr="00A75C1F" w:rsidRDefault="00CB735B" w:rsidP="003A427E">
      <w:pPr>
        <w:pStyle w:val="Heading3"/>
        <w:numPr>
          <w:ilvl w:val="0"/>
          <w:numId w:val="9"/>
        </w:numPr>
      </w:pPr>
      <w:bookmarkStart w:id="56" w:name="_Toc19281110"/>
      <w:bookmarkStart w:id="57" w:name="_Toc30005479"/>
      <w:r w:rsidRPr="00CC1242">
        <w:rPr>
          <w:b w:val="0"/>
        </w:rPr>
        <w:t>^ Due to the small number of Activity Tested recipients of Special Benefit (</w:t>
      </w:r>
      <w:proofErr w:type="spellStart"/>
      <w:r w:rsidRPr="00CC1242">
        <w:rPr>
          <w:b w:val="0"/>
        </w:rPr>
        <w:t>SpB</w:t>
      </w:r>
      <w:proofErr w:type="spellEnd"/>
      <w:r w:rsidRPr="00CC1242">
        <w:rPr>
          <w:b w:val="0"/>
        </w:rPr>
        <w:t>), these job seekers are included under the Newstart Allowance (NSA) column</w:t>
      </w:r>
      <w:r>
        <w:t>.</w:t>
      </w:r>
      <w:bookmarkEnd w:id="56"/>
      <w:bookmarkEnd w:id="57"/>
    </w:p>
    <w:p w14:paraId="2727B216" w14:textId="5648F1CF"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4771678B" w14:textId="77777777" w:rsidR="00CC1242" w:rsidRDefault="00CC1242">
      <w:pPr>
        <w:spacing w:before="0"/>
        <w:ind w:left="0"/>
        <w:rPr>
          <w:noProof/>
        </w:rPr>
      </w:pPr>
      <w:r>
        <w:rPr>
          <w:noProof/>
        </w:rPr>
        <w:br w:type="page"/>
      </w:r>
    </w:p>
    <w:p w14:paraId="006347C6" w14:textId="737F0804"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7BC52FCC" w14:textId="52EF4BB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661109" w:rsidRPr="003A427E">
        <w:rPr>
          <w:rFonts w:ascii="Arial" w:hAnsi="Arial" w:cs="Arial"/>
          <w:i/>
        </w:rPr>
        <w:t>1 July to 30 September 2019</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Caption w:val="Non Payment Periods (Serious and UNPPs) 1 July to 30 September 2019"/>
      </w:tblPr>
      <w:tblGrid>
        <w:gridCol w:w="4519"/>
        <w:gridCol w:w="1004"/>
        <w:gridCol w:w="1149"/>
        <w:gridCol w:w="1323"/>
      </w:tblGrid>
      <w:tr w:rsidR="00DE0653" w:rsidRPr="00FB63AD" w14:paraId="4EB78F7B"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56C7A024" w14:textId="77777777" w:rsidR="00DE0653" w:rsidRPr="00FB63AD" w:rsidRDefault="00DE0653" w:rsidP="00AF5603">
            <w:pPr>
              <w:ind w:left="142"/>
            </w:pPr>
            <w:r w:rsidRPr="00FB63AD">
              <w:t>Non Payment Periods (Serious and UNPPs)</w:t>
            </w:r>
          </w:p>
        </w:tc>
        <w:tc>
          <w:tcPr>
            <w:tcW w:w="1004" w:type="dxa"/>
            <w:vAlign w:val="center"/>
          </w:tcPr>
          <w:p w14:paraId="4357770B"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0D7EC567"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5367C32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61109" w:rsidRPr="00FB63AD" w14:paraId="45EE881F" w14:textId="77777777"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7ADA4F02" w14:textId="77777777" w:rsidR="00661109" w:rsidRPr="00FB63AD" w:rsidRDefault="00661109" w:rsidP="0066110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4160926" w14:textId="0A149730" w:rsidR="00661109" w:rsidRPr="00B622A4"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149" w:type="dxa"/>
            <w:tcBorders>
              <w:top w:val="nil"/>
              <w:left w:val="nil"/>
              <w:bottom w:val="single" w:sz="4" w:space="0" w:color="auto"/>
              <w:right w:val="single" w:sz="4" w:space="0" w:color="auto"/>
            </w:tcBorders>
            <w:shd w:val="clear" w:color="auto" w:fill="auto"/>
            <w:vAlign w:val="center"/>
          </w:tcPr>
          <w:p w14:paraId="7C69AF5F" w14:textId="52F8BB1E" w:rsidR="00661109" w:rsidRPr="00B622A4"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5,361</w:t>
            </w:r>
          </w:p>
        </w:tc>
        <w:tc>
          <w:tcPr>
            <w:tcW w:w="1323" w:type="dxa"/>
            <w:tcBorders>
              <w:top w:val="nil"/>
              <w:left w:val="nil"/>
              <w:bottom w:val="single" w:sz="4" w:space="0" w:color="auto"/>
              <w:right w:val="single" w:sz="4" w:space="0" w:color="auto"/>
            </w:tcBorders>
            <w:shd w:val="clear" w:color="auto" w:fill="auto"/>
            <w:vAlign w:val="center"/>
          </w:tcPr>
          <w:p w14:paraId="7D79D508" w14:textId="2B2F4DF5" w:rsidR="00661109" w:rsidRPr="00B622A4"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6AE8DC9C" w14:textId="77777777" w:rsidR="00AF5603" w:rsidRDefault="00AF5603" w:rsidP="00AF5603">
      <w:pPr>
        <w:spacing w:before="0"/>
        <w:ind w:left="0"/>
        <w:rPr>
          <w:b/>
        </w:rPr>
      </w:pPr>
    </w:p>
    <w:p w14:paraId="0264343A" w14:textId="1E76E199"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661109" w:rsidRPr="003A427E">
        <w:rPr>
          <w:rFonts w:ascii="Arial" w:hAnsi="Arial" w:cs="Arial"/>
          <w:i/>
        </w:rPr>
        <w:t>1 July to 30 September 2019</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Caption w:val="Short Term Financial Penalties 1 July to 30 September 2019"/>
      </w:tblPr>
      <w:tblGrid>
        <w:gridCol w:w="4531"/>
        <w:gridCol w:w="992"/>
        <w:gridCol w:w="1134"/>
        <w:gridCol w:w="1389"/>
      </w:tblGrid>
      <w:tr w:rsidR="00DE0653" w:rsidRPr="00FB63AD" w14:paraId="1D324F5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93449BE"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5FDF277"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A4B940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007B81E1"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61109" w:rsidRPr="00FB63AD" w14:paraId="4DD2C280" w14:textId="77777777"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D4CE8F" w14:textId="77777777" w:rsidR="00661109" w:rsidRPr="00FB63AD" w:rsidRDefault="00661109" w:rsidP="0066110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140506DD" w14:textId="4025A1D8" w:rsidR="00661109" w:rsidRPr="00B622A4"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134" w:type="dxa"/>
            <w:tcBorders>
              <w:top w:val="nil"/>
              <w:left w:val="nil"/>
              <w:bottom w:val="single" w:sz="4" w:space="0" w:color="auto"/>
              <w:right w:val="single" w:sz="4" w:space="0" w:color="auto"/>
            </w:tcBorders>
            <w:shd w:val="clear" w:color="auto" w:fill="auto"/>
            <w:vAlign w:val="center"/>
          </w:tcPr>
          <w:p w14:paraId="1FE507A1" w14:textId="7EBEBBC0" w:rsidR="00661109" w:rsidRPr="00B622A4"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25,183</w:t>
            </w:r>
          </w:p>
        </w:tc>
        <w:tc>
          <w:tcPr>
            <w:tcW w:w="1389" w:type="dxa"/>
            <w:tcBorders>
              <w:top w:val="nil"/>
              <w:left w:val="nil"/>
              <w:bottom w:val="single" w:sz="4" w:space="0" w:color="auto"/>
              <w:right w:val="single" w:sz="4" w:space="0" w:color="auto"/>
            </w:tcBorders>
            <w:shd w:val="clear" w:color="auto" w:fill="auto"/>
            <w:vAlign w:val="center"/>
          </w:tcPr>
          <w:p w14:paraId="30627FEF" w14:textId="76359E3F" w:rsidR="00661109" w:rsidRPr="00B622A4"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2708E7A5" w14:textId="7C33A63F"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661109" w:rsidRPr="003A427E">
        <w:rPr>
          <w:rFonts w:ascii="Arial" w:hAnsi="Arial" w:cs="Arial"/>
          <w:i/>
        </w:rPr>
        <w:t>1 July to 30 September 2019</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Caption w:val="Total Financial Penalties 1 July to 30 September 2019"/>
      </w:tblPr>
      <w:tblGrid>
        <w:gridCol w:w="989"/>
        <w:gridCol w:w="1130"/>
        <w:gridCol w:w="1413"/>
      </w:tblGrid>
      <w:tr w:rsidR="002522E1" w:rsidRPr="00FB63AD" w14:paraId="2892DCCF"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18D04282" w14:textId="77777777" w:rsidR="002522E1" w:rsidRPr="00FB63AD" w:rsidRDefault="002522E1" w:rsidP="00BF3037">
            <w:pPr>
              <w:ind w:left="142"/>
            </w:pPr>
            <w:r>
              <w:t xml:space="preserve">CDP </w:t>
            </w:r>
            <w:r w:rsidRPr="00FB63AD">
              <w:t>Total</w:t>
            </w:r>
          </w:p>
        </w:tc>
        <w:tc>
          <w:tcPr>
            <w:tcW w:w="1130" w:type="dxa"/>
            <w:vAlign w:val="center"/>
          </w:tcPr>
          <w:p w14:paraId="0894425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3AC166D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22E1" w:rsidRPr="00FB63AD" w14:paraId="3B9813E0" w14:textId="77777777" w:rsidTr="002522E1">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909ADD8" w14:textId="7CE084E8" w:rsidR="002522E1" w:rsidRPr="00B622A4" w:rsidRDefault="002522E1" w:rsidP="00661109">
            <w:pPr>
              <w:autoSpaceDE w:val="0"/>
              <w:autoSpaceDN w:val="0"/>
              <w:adjustRightInd w:val="0"/>
              <w:spacing w:before="0"/>
              <w:ind w:left="0"/>
              <w:rPr>
                <w:rFonts w:cs="Gill Sans MT"/>
                <w:b w:val="0"/>
                <w:bCs/>
                <w:color w:val="000000"/>
              </w:rPr>
            </w:pPr>
            <w:r w:rsidRPr="00B622A4">
              <w:rPr>
                <w:rFonts w:cs="Gill Sans MT"/>
                <w:b w:val="0"/>
                <w:bCs/>
                <w:color w:val="000000"/>
              </w:rPr>
              <w:t>30,544</w:t>
            </w:r>
          </w:p>
        </w:tc>
        <w:tc>
          <w:tcPr>
            <w:tcW w:w="1130" w:type="dxa"/>
            <w:tcBorders>
              <w:top w:val="single" w:sz="4" w:space="0" w:color="auto"/>
              <w:left w:val="nil"/>
              <w:bottom w:val="single" w:sz="4" w:space="0" w:color="auto"/>
              <w:right w:val="single" w:sz="4" w:space="0" w:color="auto"/>
            </w:tcBorders>
            <w:shd w:val="clear" w:color="auto" w:fill="auto"/>
            <w:vAlign w:val="center"/>
          </w:tcPr>
          <w:p w14:paraId="335F35A6" w14:textId="4C57B2CA" w:rsidR="002522E1" w:rsidRPr="00B622A4" w:rsidRDefault="002522E1"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30,544</w:t>
            </w:r>
          </w:p>
        </w:tc>
        <w:tc>
          <w:tcPr>
            <w:tcW w:w="1413" w:type="dxa"/>
            <w:tcBorders>
              <w:top w:val="single" w:sz="4" w:space="0" w:color="auto"/>
              <w:left w:val="nil"/>
              <w:bottom w:val="single" w:sz="4" w:space="0" w:color="auto"/>
              <w:right w:val="single" w:sz="4" w:space="0" w:color="auto"/>
            </w:tcBorders>
            <w:shd w:val="clear" w:color="auto" w:fill="auto"/>
            <w:vAlign w:val="center"/>
          </w:tcPr>
          <w:p w14:paraId="6699F6A5" w14:textId="5B72C89F" w:rsidR="002522E1" w:rsidRPr="00B622A4" w:rsidRDefault="002522E1"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22A4">
              <w:rPr>
                <w:rFonts w:cs="Gill Sans MT"/>
                <w:b w:val="0"/>
                <w:bCs/>
                <w:color w:val="000000"/>
              </w:rPr>
              <w:t>100.00%</w:t>
            </w:r>
          </w:p>
        </w:tc>
      </w:tr>
    </w:tbl>
    <w:p w14:paraId="543F3C7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003F29" w14:textId="33A47CA3"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3983C0C4" w14:textId="77701D88"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C78597B" w14:textId="100DACE3" w:rsidR="00CF1E6C" w:rsidRDefault="00CF1E6C" w:rsidP="00AF5603">
      <w:pPr>
        <w:spacing w:before="0" w:after="240" w:line="240" w:lineRule="auto"/>
        <w:ind w:left="142"/>
        <w:rPr>
          <w:bCs/>
        </w:rPr>
      </w:pPr>
    </w:p>
    <w:p w14:paraId="0B1038F0" w14:textId="33233D13" w:rsidR="00CF1E6C" w:rsidRDefault="00CF1E6C" w:rsidP="00AF5603">
      <w:pPr>
        <w:spacing w:before="0" w:after="240" w:line="240" w:lineRule="auto"/>
        <w:ind w:left="142"/>
        <w:rPr>
          <w:bCs/>
        </w:rPr>
      </w:pPr>
    </w:p>
    <w:p w14:paraId="1184148B" w14:textId="165591A9"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661109" w:rsidRPr="003A427E">
        <w:rPr>
          <w:rFonts w:ascii="Arial" w:hAnsi="Arial" w:cs="Arial"/>
          <w:i/>
        </w:rPr>
        <w:t>1 July to 30 September 2019</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271A007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314D6D7" w14:textId="77777777" w:rsidR="00DE0653" w:rsidRPr="00AB1A47" w:rsidRDefault="00DE0653" w:rsidP="00AF5603">
            <w:pPr>
              <w:ind w:left="0"/>
              <w:jc w:val="center"/>
            </w:pPr>
            <w:r w:rsidRPr="00AB1A47">
              <w:t>Income Support payment suspensions</w:t>
            </w:r>
          </w:p>
        </w:tc>
        <w:tc>
          <w:tcPr>
            <w:tcW w:w="992" w:type="dxa"/>
            <w:vAlign w:val="center"/>
          </w:tcPr>
          <w:p w14:paraId="2182AE61"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2D68828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D642CD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661109" w:rsidRPr="0092180C" w14:paraId="57539631"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2B918BF6" w14:textId="77777777" w:rsidR="00661109" w:rsidRPr="00AB1A47" w:rsidRDefault="00661109" w:rsidP="00661109">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319F6" w14:textId="3351AF2F" w:rsidR="00661109" w:rsidRPr="009A742F"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128" w:type="dxa"/>
            <w:tcBorders>
              <w:top w:val="single" w:sz="4" w:space="0" w:color="auto"/>
              <w:left w:val="nil"/>
              <w:bottom w:val="single" w:sz="4" w:space="0" w:color="auto"/>
              <w:right w:val="single" w:sz="4" w:space="0" w:color="auto"/>
            </w:tcBorders>
            <w:shd w:val="clear" w:color="auto" w:fill="auto"/>
            <w:vAlign w:val="center"/>
          </w:tcPr>
          <w:p w14:paraId="36F7B1AF" w14:textId="5FBA5F56" w:rsidR="00661109" w:rsidRPr="009A742F"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15,606</w:t>
            </w:r>
          </w:p>
        </w:tc>
        <w:tc>
          <w:tcPr>
            <w:tcW w:w="1424" w:type="dxa"/>
            <w:tcBorders>
              <w:top w:val="single" w:sz="4" w:space="0" w:color="auto"/>
              <w:left w:val="nil"/>
              <w:bottom w:val="single" w:sz="4" w:space="0" w:color="auto"/>
              <w:right w:val="single" w:sz="4" w:space="0" w:color="auto"/>
            </w:tcBorders>
            <w:shd w:val="clear" w:color="auto" w:fill="auto"/>
            <w:vAlign w:val="center"/>
          </w:tcPr>
          <w:p w14:paraId="57684CB5" w14:textId="0BE8481A" w:rsidR="00661109" w:rsidRPr="009A742F"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68.63%</w:t>
            </w:r>
          </w:p>
        </w:tc>
      </w:tr>
      <w:tr w:rsidR="00661109" w:rsidRPr="0092180C" w14:paraId="201B29FA"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3CB5B8DB" w14:textId="77777777" w:rsidR="00661109" w:rsidRPr="00AB1A47" w:rsidDel="00D725A7" w:rsidRDefault="00661109" w:rsidP="00661109">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2818858" w14:textId="6922C976" w:rsidR="00661109" w:rsidRPr="009A742F"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128" w:type="dxa"/>
            <w:tcBorders>
              <w:top w:val="nil"/>
              <w:left w:val="nil"/>
              <w:bottom w:val="single" w:sz="4" w:space="0" w:color="auto"/>
              <w:right w:val="single" w:sz="4" w:space="0" w:color="auto"/>
            </w:tcBorders>
            <w:shd w:val="clear" w:color="auto" w:fill="auto"/>
            <w:vAlign w:val="center"/>
          </w:tcPr>
          <w:p w14:paraId="5E586931" w14:textId="7697A0A9" w:rsidR="00661109" w:rsidRPr="009A742F"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7,133</w:t>
            </w:r>
          </w:p>
        </w:tc>
        <w:tc>
          <w:tcPr>
            <w:tcW w:w="1424" w:type="dxa"/>
            <w:tcBorders>
              <w:top w:val="nil"/>
              <w:left w:val="nil"/>
              <w:bottom w:val="single" w:sz="4" w:space="0" w:color="auto"/>
              <w:right w:val="single" w:sz="4" w:space="0" w:color="auto"/>
            </w:tcBorders>
            <w:shd w:val="clear" w:color="auto" w:fill="auto"/>
            <w:vAlign w:val="center"/>
          </w:tcPr>
          <w:p w14:paraId="00C852BF" w14:textId="31FB69B5" w:rsidR="00661109" w:rsidRPr="009A742F" w:rsidRDefault="00661109" w:rsidP="006611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r>
      <w:tr w:rsidR="00661109" w:rsidRPr="00FB63AD" w14:paraId="3BE49869" w14:textId="77777777" w:rsidTr="00DD1A9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4D262553" w14:textId="77777777" w:rsidR="00661109" w:rsidRPr="00AB1A47" w:rsidRDefault="00661109" w:rsidP="00661109">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4B72CDC3" w14:textId="15131767" w:rsidR="00661109" w:rsidRPr="009A742F"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0254CE">
              <w:rPr>
                <w:rFonts w:cs="Gill Sans MT"/>
                <w:color w:val="000000"/>
              </w:rPr>
              <w:t>22,739</w:t>
            </w:r>
          </w:p>
        </w:tc>
        <w:tc>
          <w:tcPr>
            <w:tcW w:w="1128" w:type="dxa"/>
            <w:tcBorders>
              <w:top w:val="nil"/>
              <w:left w:val="nil"/>
              <w:bottom w:val="single" w:sz="4" w:space="0" w:color="auto"/>
              <w:right w:val="single" w:sz="4" w:space="0" w:color="auto"/>
            </w:tcBorders>
            <w:shd w:val="clear" w:color="auto" w:fill="auto"/>
            <w:vAlign w:val="center"/>
          </w:tcPr>
          <w:p w14:paraId="0E4C8384" w14:textId="18758B4F" w:rsidR="00661109" w:rsidRPr="009A742F"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0254CE">
              <w:rPr>
                <w:rFonts w:cs="Gill Sans MT"/>
                <w:color w:val="000000"/>
              </w:rPr>
              <w:t>22,739</w:t>
            </w:r>
          </w:p>
        </w:tc>
        <w:tc>
          <w:tcPr>
            <w:tcW w:w="1424" w:type="dxa"/>
            <w:tcBorders>
              <w:top w:val="nil"/>
              <w:left w:val="nil"/>
              <w:bottom w:val="single" w:sz="4" w:space="0" w:color="auto"/>
              <w:right w:val="single" w:sz="4" w:space="0" w:color="auto"/>
            </w:tcBorders>
            <w:shd w:val="clear" w:color="auto" w:fill="auto"/>
            <w:vAlign w:val="center"/>
          </w:tcPr>
          <w:p w14:paraId="285E11FB" w14:textId="706E14B6" w:rsidR="00661109" w:rsidRPr="009A742F" w:rsidRDefault="00661109" w:rsidP="006611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0254CE">
              <w:rPr>
                <w:rFonts w:cs="Gill Sans MT"/>
                <w:color w:val="000000"/>
              </w:rPr>
              <w:t>100.00%</w:t>
            </w:r>
          </w:p>
        </w:tc>
      </w:tr>
    </w:tbl>
    <w:p w14:paraId="6349A688" w14:textId="28EAA008"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79EDA47F" w14:textId="34531484" w:rsidR="00432C29" w:rsidRDefault="00432C29">
      <w:pPr>
        <w:spacing w:before="0"/>
        <w:ind w:left="0"/>
        <w:rPr>
          <w:noProof/>
        </w:rPr>
      </w:pPr>
      <w:r>
        <w:rPr>
          <w:noProof/>
        </w:rPr>
        <w:br w:type="page"/>
      </w:r>
    </w:p>
    <w:p w14:paraId="54A80ADA"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39FAB231" w14:textId="613857C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6192D6C5" w14:textId="29ED0E6E"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59461CA8" w14:textId="4C251200"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71C631BE" w14:textId="13002CB8"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B6F489F"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5741ECAD" w14:textId="77777777" w:rsidR="00DE0653" w:rsidRPr="00FB63AD" w:rsidRDefault="00DE0653" w:rsidP="003A427E">
      <w:pPr>
        <w:pStyle w:val="ListParagraph"/>
        <w:numPr>
          <w:ilvl w:val="0"/>
          <w:numId w:val="5"/>
        </w:numPr>
        <w:ind w:left="709" w:hanging="709"/>
      </w:pPr>
      <w:proofErr w:type="gramStart"/>
      <w:r w:rsidRPr="00FB63AD">
        <w:t>three</w:t>
      </w:r>
      <w:proofErr w:type="gramEnd"/>
      <w:r w:rsidRPr="00FB63AD">
        <w:t xml:space="preserve"> (3) days of applied No Show No Pay penalties, within a six month period.</w:t>
      </w:r>
    </w:p>
    <w:p w14:paraId="17219ECA"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7FD55B1C" w14:textId="47AA660E"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37153610"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3C7C513"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1E04BC2"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74C733DB" w14:textId="77777777" w:rsidR="00DE0653" w:rsidRPr="00FB63AD" w:rsidRDefault="00DE0653" w:rsidP="003A427E">
      <w:pPr>
        <w:pStyle w:val="ListParagraph"/>
        <w:numPr>
          <w:ilvl w:val="0"/>
          <w:numId w:val="5"/>
        </w:numPr>
        <w:spacing w:before="0" w:after="0" w:line="240" w:lineRule="auto"/>
        <w:ind w:left="709" w:hanging="709"/>
      </w:pPr>
      <w:proofErr w:type="gramStart"/>
      <w:r w:rsidRPr="00FB63AD">
        <w:t>fails</w:t>
      </w:r>
      <w:proofErr w:type="gramEnd"/>
      <w:r w:rsidRPr="00FB63AD">
        <w:t xml:space="preserve"> to meet a job search requirement in their Job Plan.</w:t>
      </w:r>
    </w:p>
    <w:p w14:paraId="191D455B" w14:textId="77777777" w:rsidR="00DE0653" w:rsidRPr="00FB63AD" w:rsidRDefault="00DE0653" w:rsidP="00DE0653">
      <w:pPr>
        <w:ind w:left="0"/>
      </w:pPr>
      <w:r w:rsidRPr="00FB63AD">
        <w:t>Job seekers do not incur financial penalties if they have a Connection Failure applied.</w:t>
      </w:r>
    </w:p>
    <w:p w14:paraId="12FA8403" w14:textId="52EB1364"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FA7134D" w14:textId="1F53C782"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379C2AE5" w14:textId="1794649B"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7D265653" w14:textId="2D46E78C"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42CAA4C4" w14:textId="142DC180"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31FBB5B" w14:textId="3A650499"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23638F31" w14:textId="506E24CB"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D790B77" w14:textId="2C8656F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67B9A4B4" w14:textId="1EBF10EE"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E27EE4">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57F06A60" w14:textId="2CBE277A"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 reason result will be automatically updated to a ‘discretion’ result.</w:t>
      </w:r>
    </w:p>
    <w:p w14:paraId="3D2DCEAD" w14:textId="2DD15A3F"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215E889C" w14:textId="537FE725"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42AB8045" w14:textId="6CD3627C"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4864A85D" w14:textId="04762C68"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589BD4B2" w14:textId="449240E9"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6D3B937E" w14:textId="39D10E26"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21963905" w14:textId="2418AA0A"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1B162C31" w14:textId="613FFA21"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CAA1032" w14:textId="6E6B9C2D" w:rsidR="00DE0653" w:rsidRDefault="00DE0653" w:rsidP="00DE0653">
      <w:pPr>
        <w:ind w:left="0"/>
      </w:pPr>
      <w:r w:rsidRPr="00F4796B">
        <w:rPr>
          <w:b/>
        </w:rPr>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633C1113" w14:textId="31536289"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1267E79D" w14:textId="66F7E2BB" w:rsidR="00DE0653" w:rsidRDefault="00DE0653" w:rsidP="00DE0653">
      <w:pPr>
        <w:ind w:left="0"/>
      </w:pPr>
      <w:r w:rsidRPr="00F4796B">
        <w:rPr>
          <w:b/>
        </w:rPr>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72D201E" w14:textId="4EC20C48"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5935ED92" w14:textId="055DF2A9"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04E7EF9B" w14:textId="00330255"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50DFC08F" w14:textId="3FED2E8D"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2EB1115" w14:textId="091FAF7E"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7EFB1204" w14:textId="1F9C359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00EF16EC" w14:textId="46C099E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F4F0BC3" w14:textId="65DD07A9"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4683223D" w14:textId="6B7BC8F1"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2FC560D8" w14:textId="06D8AAA2"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4220FA69"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063373FA" w14:textId="4116BDAD"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7EF4EB86" w14:textId="207771DD"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14FC6C3E" w14:textId="2157E0DC"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32D1440A" w14:textId="435A2CE4"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212C1258" w14:textId="75EDC2C9"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32C88439" w14:textId="7578FFEA"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518558C5" w14:textId="7CD4531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03AB6426" w14:textId="6F292F3A"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612DAC77" w14:textId="67FA3DC3"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03E46F2" w14:textId="062049FE"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034731A" w14:textId="1FC35B2F"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Pr="006C321A">
        <w:lastRenderedPageBreak/>
        <w:t>or other circumstances beyond their control (e.g. temporary medical incapacity). Job seekers do not have to use employment services for the duration of their exemption.</w:t>
      </w:r>
    </w:p>
    <w:p w14:paraId="57308755" w14:textId="77777777" w:rsidR="00DE0653" w:rsidRDefault="00DE0653" w:rsidP="00DE0653">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7BC4AE61" w14:textId="248DDF9C"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4362ABA9" w14:textId="71C82CB9"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B6045F1" w14:textId="2768B93C" w:rsidR="00DE0653" w:rsidRDefault="00DE0653" w:rsidP="00DE0653">
      <w:pPr>
        <w:ind w:left="0"/>
      </w:pPr>
      <w:r w:rsidRPr="00F4796B">
        <w:rPr>
          <w:b/>
        </w:rPr>
        <w:t xml:space="preserve">Valid reason </w:t>
      </w:r>
      <w:r>
        <w:t>- means that the provider considers the job seeker had a reasonable excuse for not attending the appointment.</w:t>
      </w:r>
    </w:p>
    <w:p w14:paraId="7767F654" w14:textId="7796E85E"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6A61F52A" w14:textId="77777777" w:rsidR="00DE0653" w:rsidRPr="00FB63AD" w:rsidRDefault="00DE0653" w:rsidP="00DE0653">
      <w:pPr>
        <w:spacing w:before="360" w:after="120"/>
        <w:ind w:left="-142" w:firstLine="142"/>
        <w:rPr>
          <w:b/>
        </w:rPr>
      </w:pPr>
      <w:r w:rsidRPr="00FB63AD">
        <w:rPr>
          <w:b/>
        </w:rPr>
        <w:t xml:space="preserve">Notes: </w:t>
      </w:r>
    </w:p>
    <w:p w14:paraId="4B0747D0" w14:textId="0DEC6356"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661109">
        <w:t>first</w:t>
      </w:r>
      <w:r w:rsidR="00661109" w:rsidRPr="00FB63AD">
        <w:t xml:space="preserve"> quarter of the 201</w:t>
      </w:r>
      <w:r w:rsidR="00661109">
        <w:t>9 - 20</w:t>
      </w:r>
      <w:r w:rsidR="00661109" w:rsidRPr="00FB63AD">
        <w:t xml:space="preserve"> </w:t>
      </w:r>
      <w:r w:rsidRPr="00FB63AD">
        <w:t xml:space="preserve">financial year (i.e. applied/finalised in the period </w:t>
      </w:r>
      <w:r w:rsidR="00661109" w:rsidRPr="00FB63AD">
        <w:t>1/</w:t>
      </w:r>
      <w:r w:rsidR="00661109">
        <w:t>7</w:t>
      </w:r>
      <w:r w:rsidR="00661109" w:rsidRPr="00FB63AD">
        <w:t>/201</w:t>
      </w:r>
      <w:r w:rsidR="00661109">
        <w:t>9</w:t>
      </w:r>
      <w:r w:rsidR="00661109" w:rsidRPr="00FB63AD">
        <w:t xml:space="preserve"> – </w:t>
      </w:r>
      <w:r w:rsidR="00661109">
        <w:t>30/9/2019</w:t>
      </w:r>
      <w:r w:rsidR="00661109" w:rsidRPr="00FB63AD">
        <w:t xml:space="preserve"> </w:t>
      </w:r>
      <w:r w:rsidRPr="00FB63AD">
        <w:t xml:space="preserve">inclusive) and not under review, revoked or otherwise overturned as at </w:t>
      </w:r>
      <w:r w:rsidR="00661109" w:rsidRPr="00FB63AD">
        <w:t>1</w:t>
      </w:r>
      <w:r w:rsidR="00661109">
        <w:t>4 November 2019</w:t>
      </w:r>
      <w:r w:rsidRPr="00FB63AD">
        <w:t xml:space="preserve">. This lag is to allow for reviews and appeals to be finalised. </w:t>
      </w:r>
    </w:p>
    <w:p w14:paraId="715AE48E" w14:textId="735D597A"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46FF0E4D" w14:textId="602CDE8F"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41D47D69"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0FDBEC08"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1"/>
      <w:footerReference w:type="default" r:id="rId12"/>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D578" w14:textId="77777777" w:rsidR="001053D0" w:rsidRDefault="001053D0" w:rsidP="00C7637E">
      <w:pPr>
        <w:spacing w:before="0" w:after="0" w:line="240" w:lineRule="auto"/>
      </w:pPr>
      <w:r>
        <w:separator/>
      </w:r>
    </w:p>
  </w:endnote>
  <w:endnote w:type="continuationSeparator" w:id="0">
    <w:p w14:paraId="3125208A" w14:textId="77777777" w:rsidR="001053D0" w:rsidRDefault="001053D0"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6DEC8A4C" w14:textId="562CD534" w:rsidR="001053D0" w:rsidRDefault="001053D0">
        <w:pPr>
          <w:pStyle w:val="Footer"/>
        </w:pPr>
        <w:r>
          <w:fldChar w:fldCharType="begin"/>
        </w:r>
        <w:r>
          <w:instrText xml:space="preserve"> PAGE   \* MERGEFORMAT </w:instrText>
        </w:r>
        <w:r>
          <w:fldChar w:fldCharType="separate"/>
        </w:r>
        <w:r w:rsidR="007A5E7C">
          <w:rPr>
            <w:noProof/>
          </w:rPr>
          <w:t>3</w:t>
        </w:r>
        <w:r>
          <w:rPr>
            <w:noProof/>
          </w:rPr>
          <w:fldChar w:fldCharType="end"/>
        </w:r>
      </w:p>
    </w:sdtContent>
  </w:sdt>
  <w:p w14:paraId="6555066E" w14:textId="77777777" w:rsidR="001053D0" w:rsidRDefault="0010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4284" w14:textId="77777777" w:rsidR="001053D0" w:rsidRDefault="001053D0" w:rsidP="00C7637E">
      <w:pPr>
        <w:spacing w:before="0" w:after="0" w:line="240" w:lineRule="auto"/>
      </w:pPr>
      <w:r>
        <w:separator/>
      </w:r>
    </w:p>
  </w:footnote>
  <w:footnote w:type="continuationSeparator" w:id="0">
    <w:p w14:paraId="07BAAFC9" w14:textId="77777777" w:rsidR="001053D0" w:rsidRDefault="001053D0"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8DBA" w14:textId="11393B4C" w:rsidR="001053D0" w:rsidRDefault="001053D0" w:rsidP="00CC1242">
    <w:pPr>
      <w:pStyle w:val="Header"/>
      <w:jc w:val="center"/>
    </w:pPr>
    <w:r>
      <w:t>Community Development Program (CDP) September 2019 Quarterly Compliance Data</w:t>
    </w:r>
  </w:p>
  <w:p w14:paraId="66E8B42E" w14:textId="77777777" w:rsidR="001053D0" w:rsidRPr="00B10E31" w:rsidRDefault="001053D0"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5083F"/>
    <w:rsid w:val="002522E1"/>
    <w:rsid w:val="00253794"/>
    <w:rsid w:val="00254271"/>
    <w:rsid w:val="00254CE7"/>
    <w:rsid w:val="0025563A"/>
    <w:rsid w:val="002567EB"/>
    <w:rsid w:val="0026117D"/>
    <w:rsid w:val="0026140B"/>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B2"/>
    <w:rsid w:val="00426999"/>
    <w:rsid w:val="004305BD"/>
    <w:rsid w:val="004312F6"/>
    <w:rsid w:val="00431CE2"/>
    <w:rsid w:val="00432C29"/>
    <w:rsid w:val="0043434F"/>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3C63"/>
    <w:rsid w:val="004851D0"/>
    <w:rsid w:val="00485A92"/>
    <w:rsid w:val="00486107"/>
    <w:rsid w:val="00486F42"/>
    <w:rsid w:val="004903EE"/>
    <w:rsid w:val="0049118E"/>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706D"/>
    <w:rsid w:val="00722947"/>
    <w:rsid w:val="00722FEB"/>
    <w:rsid w:val="00723F71"/>
    <w:rsid w:val="00725B7E"/>
    <w:rsid w:val="00727A5A"/>
    <w:rsid w:val="007304D5"/>
    <w:rsid w:val="00732052"/>
    <w:rsid w:val="0073241E"/>
    <w:rsid w:val="00733692"/>
    <w:rsid w:val="00733E11"/>
    <w:rsid w:val="00734B18"/>
    <w:rsid w:val="00734F71"/>
    <w:rsid w:val="00736722"/>
    <w:rsid w:val="00737E6B"/>
    <w:rsid w:val="007418F1"/>
    <w:rsid w:val="007448C7"/>
    <w:rsid w:val="007501F1"/>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604D"/>
    <w:rsid w:val="0088722A"/>
    <w:rsid w:val="008879D9"/>
    <w:rsid w:val="00887E4E"/>
    <w:rsid w:val="00891CB6"/>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509B"/>
    <w:rsid w:val="009D5107"/>
    <w:rsid w:val="009D52B3"/>
    <w:rsid w:val="009D70B3"/>
    <w:rsid w:val="009D718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717C5"/>
    <w:rsid w:val="00A71B17"/>
    <w:rsid w:val="00A72AC3"/>
    <w:rsid w:val="00A73CA0"/>
    <w:rsid w:val="00A75AD8"/>
    <w:rsid w:val="00A75C1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3BE5"/>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D11"/>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2FC7"/>
    <w:rsid w:val="00D446CC"/>
    <w:rsid w:val="00D458D7"/>
    <w:rsid w:val="00D46F66"/>
    <w:rsid w:val="00D475CE"/>
    <w:rsid w:val="00D50092"/>
    <w:rsid w:val="00D50BBB"/>
    <w:rsid w:val="00D524CD"/>
    <w:rsid w:val="00D5353C"/>
    <w:rsid w:val="00D536F6"/>
    <w:rsid w:val="00D53922"/>
    <w:rsid w:val="00D5470E"/>
    <w:rsid w:val="00D556D7"/>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4E7"/>
    <w:rsid w:val="00FB5732"/>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B2ACE"/>
  <w15:docId w15:val="{6D097DA0-3A0B-423A-8B91-567790F7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DOC20-48050</ShareHubID>
    <PMCNotes xmlns="166541c0-0594-4e6a-9105-c24d4b6de6f7" xsi:nil="true"/>
    <TaxCatchAll xmlns="166541c0-0594-4e6a-9105-c24d4b6de6f7">
      <Value>29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8B85-4078-4BF8-9542-46C0867C73B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85f9fda-bd71-4433-b331-92feb9553089"/>
    <ds:schemaRef ds:uri="d34e732f-0d3d-4714-a913-a3bac240b7af"/>
    <ds:schemaRef ds:uri="http://www.w3.org/XML/1998/namespace"/>
  </ds:schemaRefs>
</ds:datastoreItem>
</file>

<file path=customXml/itemProps2.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3.xml><?xml version="1.0" encoding="utf-8"?>
<ds:datastoreItem xmlns:ds="http://schemas.openxmlformats.org/officeDocument/2006/customXml" ds:itemID="{B8BD9EE2-47E4-4E10-99B0-0F822EDFF94C}"/>
</file>

<file path=customXml/itemProps4.xml><?xml version="1.0" encoding="utf-8"?>
<ds:datastoreItem xmlns:ds="http://schemas.openxmlformats.org/officeDocument/2006/customXml" ds:itemID="{767A65AE-0AB0-4AEF-8513-AAEB0B42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9124</Words>
  <Characters>52007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March Community Development Program Quarterly Compliance Data</vt:lpstr>
    </vt:vector>
  </TitlesOfParts>
  <Company>Australian Government</Company>
  <LinksUpToDate>false</LinksUpToDate>
  <CharactersWithSpaces>61009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Community Development Program Quarterly Compliance Data</dc:title>
  <dc:subject/>
  <dc:creator>Natinal Indigenous Australians Agency</dc:creator>
  <cp:keywords/>
  <dc:description/>
  <cp:lastModifiedBy>Aloe, Stephanie</cp:lastModifiedBy>
  <cp:revision>3</cp:revision>
  <cp:lastPrinted>2019-08-02T07:30:00Z</cp:lastPrinted>
  <dcterms:created xsi:type="dcterms:W3CDTF">2020-02-20T22:25:00Z</dcterms:created>
  <dcterms:modified xsi:type="dcterms:W3CDTF">2020-02-21T05:37:00Z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PMC.ESearch.TagGeneratedTime">
    <vt:lpwstr>2020-02-24T08:40:37</vt:lpwstr>
  </property>
</Properties>
</file>