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489E" w14:textId="77777777" w:rsidR="004163FA" w:rsidRDefault="005C56D6"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1C366E">
            <w:t>OFFICIAL</w:t>
          </w:r>
        </w:sdtContent>
      </w:sdt>
    </w:p>
    <w:p w14:paraId="0F8479AB"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1E261AAB" wp14:editId="36D9DB1A">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690F65BD" w14:textId="77777777" w:rsidR="0040648D" w:rsidRPr="00C91A83" w:rsidRDefault="001C366E"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261AAB"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690F65BD" w14:textId="77777777" w:rsidR="0040648D" w:rsidRPr="00C91A83" w:rsidRDefault="001C366E" w:rsidP="0040648D">
                          <w:pPr>
                            <w:pStyle w:val="SectionNameRev"/>
                          </w:pPr>
                          <w:r>
                            <w:t>CATSI Act Review</w:t>
                          </w:r>
                        </w:p>
                      </w:sdtContent>
                    </w:sdt>
                  </w:txbxContent>
                </v:textbox>
                <w10:wrap type="topAndBottom" anchorx="page" anchory="page"/>
                <w10:anchorlock/>
              </v:shape>
            </w:pict>
          </mc:Fallback>
        </mc:AlternateContent>
      </w:r>
    </w:p>
    <w:p w14:paraId="0EBEFE3F" w14:textId="77777777" w:rsidR="0086672B" w:rsidRPr="001C366E" w:rsidRDefault="00463F31" w:rsidP="00233B91">
      <w:pPr>
        <w:pStyle w:val="Heading1"/>
        <w:rPr>
          <w:color w:val="00948D" w:themeColor="accent3"/>
        </w:rPr>
      </w:pPr>
      <w:r w:rsidRPr="001C366E">
        <w:rPr>
          <w:noProof/>
          <w:color w:val="00948D" w:themeColor="accent3"/>
        </w:rPr>
        <w:t>P</w:t>
      </w:r>
      <w:r w:rsidR="00FA11DA" w:rsidRPr="001C366E">
        <w:rPr>
          <w:noProof/>
          <w:color w:val="00948D" w:themeColor="accent3"/>
        </w:rPr>
        <w:t>art 8</w:t>
      </w:r>
      <w:r w:rsidR="00CF41A9" w:rsidRPr="001C366E">
        <w:rPr>
          <w:noProof/>
          <w:color w:val="00948D" w:themeColor="accent3"/>
        </w:rPr>
        <w:t>—Officers of corporations</w:t>
      </w:r>
    </w:p>
    <w:p w14:paraId="502C70A8" w14:textId="77777777" w:rsidR="000651D5" w:rsidRDefault="000651D5" w:rsidP="00A24AC3">
      <w:pPr>
        <w:pStyle w:val="BodyText"/>
      </w:pPr>
      <w:r>
        <w:t>The final report made a number of recommendations around changes to provide better transparency for members, and greater accountability for officers of corporations. These included making remuneration more visible and providing members with more information about who is in control of their corporation.</w:t>
      </w:r>
    </w:p>
    <w:p w14:paraId="53EAB898" w14:textId="77777777" w:rsidR="000651D5" w:rsidRDefault="0017091C" w:rsidP="0017091C">
      <w:pPr>
        <w:pStyle w:val="Heading2"/>
      </w:pPr>
      <w:r>
        <w:t>Items</w:t>
      </w:r>
      <w:r w:rsidR="00F056AC">
        <w:t xml:space="preserve"> 128 to</w:t>
      </w:r>
      <w:r>
        <w:t>14</w:t>
      </w:r>
      <w:r w:rsidR="00E8696E">
        <w:t>7</w:t>
      </w:r>
      <w:r w:rsidR="007C3CFA">
        <w:t xml:space="preserve"> and 159</w:t>
      </w:r>
      <w:r w:rsidR="00F056AC">
        <w:t xml:space="preserve"> to</w:t>
      </w:r>
      <w:r w:rsidR="007C3CFA">
        <w:t>163</w:t>
      </w:r>
      <w:r w:rsidR="00F056AC">
        <w:t>—</w:t>
      </w:r>
      <w:r>
        <w:t>Information regarding CEO and CFO Function</w:t>
      </w:r>
    </w:p>
    <w:p w14:paraId="6EB877B5" w14:textId="77777777" w:rsidR="003C57B6" w:rsidRDefault="003C57B6" w:rsidP="003C57B6">
      <w:pPr>
        <w:pStyle w:val="BodyText"/>
      </w:pPr>
      <w:r>
        <w:t>Recommendation 37 of the CATSI Act Review final report states:</w:t>
      </w:r>
    </w:p>
    <w:p w14:paraId="35D54873" w14:textId="77777777" w:rsidR="003C57B6" w:rsidRPr="000651D5" w:rsidRDefault="003C57B6" w:rsidP="003C57B6">
      <w:pPr>
        <w:pStyle w:val="BodyText"/>
        <w:rPr>
          <w:i/>
        </w:rPr>
      </w:pPr>
      <w:r w:rsidRPr="000651D5">
        <w:rPr>
          <w:i/>
        </w:rPr>
        <w:t>It is recommended the CATSI Act be amended to require CATSI corporations to notify ORIC within 28 days of a change in Chief Executive Officer, Chief Financial Officer and Chief Operating Officer.</w:t>
      </w:r>
    </w:p>
    <w:p w14:paraId="52493A9E" w14:textId="77777777" w:rsidR="000651D5" w:rsidRPr="000651D5" w:rsidRDefault="000651D5" w:rsidP="003C57B6">
      <w:pPr>
        <w:pStyle w:val="BodyText"/>
        <w:rPr>
          <w:i/>
        </w:rPr>
      </w:pPr>
      <w:r>
        <w:t>Recommendation 3</w:t>
      </w:r>
      <w:r w:rsidR="005B4092">
        <w:t>7</w:t>
      </w:r>
      <w:r>
        <w:t xml:space="preserve"> is </w:t>
      </w:r>
      <w:r w:rsidR="00F056AC">
        <w:t>being taken forward in a different way to what was proposed</w:t>
      </w:r>
      <w:r>
        <w:t xml:space="preserve"> but with the same intent. </w:t>
      </w:r>
    </w:p>
    <w:p w14:paraId="5E5AAD3E" w14:textId="77777777" w:rsidR="000651D5" w:rsidRDefault="000651D5" w:rsidP="00A24AC3">
      <w:pPr>
        <w:pStyle w:val="BodyText"/>
      </w:pPr>
      <w:r>
        <w:t xml:space="preserve">After much consultation and consideration it was agreed that while most CATSI corporations would have a Chief </w:t>
      </w:r>
      <w:r w:rsidR="003D669F">
        <w:t xml:space="preserve">Execcutive </w:t>
      </w:r>
      <w:r>
        <w:t>Officer</w:t>
      </w:r>
      <w:r w:rsidR="00F056AC">
        <w:t xml:space="preserve"> (CEO)</w:t>
      </w:r>
      <w:r>
        <w:t>, and many would have a Chief Financial Officer</w:t>
      </w:r>
      <w:r w:rsidR="00F056AC">
        <w:t xml:space="preserve"> (CFO)</w:t>
      </w:r>
      <w:r>
        <w:t xml:space="preserve"> or someone performing those functions, many would be unlikely to have a Chief Operating Officer. As such, the recommendation was modified to include notification regarding </w:t>
      </w:r>
      <w:r w:rsidR="007C3CFA">
        <w:t xml:space="preserve">only </w:t>
      </w:r>
      <w:r>
        <w:t>the CEO and CFO.</w:t>
      </w:r>
    </w:p>
    <w:p w14:paraId="57B5084D" w14:textId="77777777" w:rsidR="007C3CFA" w:rsidRDefault="007C3CFA" w:rsidP="00A24AC3">
      <w:pPr>
        <w:pStyle w:val="BodyText"/>
      </w:pPr>
      <w:r>
        <w:t xml:space="preserve">At present, the CATSI Act does not </w:t>
      </w:r>
      <w:r w:rsidR="00F056AC">
        <w:t>separately provide for</w:t>
      </w:r>
      <w:r>
        <w:t xml:space="preserve"> the role of a </w:t>
      </w:r>
      <w:r w:rsidR="00F056AC">
        <w:t>CFO—</w:t>
      </w:r>
      <w:r>
        <w:t xml:space="preserve">except as </w:t>
      </w:r>
      <w:r w:rsidR="00F056AC">
        <w:t>part of the</w:t>
      </w:r>
      <w:r>
        <w:t xml:space="preserve"> </w:t>
      </w:r>
      <w:r w:rsidR="00F056AC">
        <w:t>CEO</w:t>
      </w:r>
      <w:r>
        <w:t xml:space="preserve"> function. The existing definition </w:t>
      </w:r>
      <w:r w:rsidR="00341D9A">
        <w:t xml:space="preserve">of CEO </w:t>
      </w:r>
      <w:r>
        <w:t xml:space="preserve">at section 694-85 states that anyone primarily responsible for financial matters in relation to the corporation and directly responsible for those matters to either the directors or </w:t>
      </w:r>
      <w:r w:rsidR="00341D9A">
        <w:t xml:space="preserve">another person or people performing the </w:t>
      </w:r>
      <w:r>
        <w:t>CEO</w:t>
      </w:r>
      <w:r w:rsidR="00341D9A">
        <w:t xml:space="preserve"> function (where there is more than one person performing the function)</w:t>
      </w:r>
      <w:r>
        <w:t xml:space="preserve">, performs a CEO function. Items 159 to 163 amend section 694-85 to explicitly provide a meaning for a CFO function. </w:t>
      </w:r>
    </w:p>
    <w:p w14:paraId="570C5793" w14:textId="77777777" w:rsidR="007C3CFA" w:rsidRDefault="007C3CFA" w:rsidP="00A24AC3">
      <w:pPr>
        <w:pStyle w:val="BodyText"/>
      </w:pPr>
      <w:r>
        <w:t>Items 128 to 14</w:t>
      </w:r>
      <w:r w:rsidR="00E8696E">
        <w:t>7</w:t>
      </w:r>
      <w:r>
        <w:t xml:space="preserve"> make changes to various provisions throughout the Act to include the concept of a </w:t>
      </w:r>
      <w:r w:rsidR="00650535">
        <w:t>CFO</w:t>
      </w:r>
      <w:r>
        <w:t xml:space="preserve"> </w:t>
      </w:r>
      <w:r w:rsidR="00650535">
        <w:t>and</w:t>
      </w:r>
      <w:r>
        <w:t xml:space="preserve"> </w:t>
      </w:r>
      <w:r w:rsidR="00650535">
        <w:t>CEO</w:t>
      </w:r>
      <w:r>
        <w:t xml:space="preserve">, and other officer roles. </w:t>
      </w:r>
    </w:p>
    <w:p w14:paraId="0F8887EF" w14:textId="77777777" w:rsidR="007C3CFA" w:rsidRDefault="007C3CFA" w:rsidP="00A24AC3">
      <w:pPr>
        <w:pStyle w:val="BodyText"/>
      </w:pPr>
      <w:r>
        <w:t>Item 135 specifically gives effect to recommendation 3</w:t>
      </w:r>
      <w:r w:rsidR="005B4092">
        <w:t>7</w:t>
      </w:r>
      <w:r>
        <w:t xml:space="preserve"> by requiring that a corporation must lodge with the Registrar a notice of the personal details of a person performing a CEO or CFO function in relation to the corporation within 28 days after they begin to perform that function.</w:t>
      </w:r>
    </w:p>
    <w:p w14:paraId="03D39406" w14:textId="77777777" w:rsidR="0017091C" w:rsidRDefault="005E6E59" w:rsidP="005E6E59">
      <w:pPr>
        <w:pStyle w:val="Heading2"/>
      </w:pPr>
      <w:r>
        <w:t>Items 14</w:t>
      </w:r>
      <w:r w:rsidR="00E8696E">
        <w:t>8</w:t>
      </w:r>
      <w:r>
        <w:t xml:space="preserve"> </w:t>
      </w:r>
      <w:r w:rsidR="00F056AC">
        <w:t>to</w:t>
      </w:r>
      <w:r>
        <w:t xml:space="preserve"> 158</w:t>
      </w:r>
      <w:r w:rsidR="00F056AC">
        <w:t>—</w:t>
      </w:r>
      <w:r>
        <w:t xml:space="preserve">Remuneration </w:t>
      </w:r>
      <w:r w:rsidR="00650535">
        <w:t>r</w:t>
      </w:r>
      <w:r>
        <w:t>eporting</w:t>
      </w:r>
    </w:p>
    <w:p w14:paraId="66E2667F" w14:textId="77777777" w:rsidR="005E6E59" w:rsidRDefault="005E6E59" w:rsidP="005E6E59">
      <w:pPr>
        <w:pStyle w:val="BodyText"/>
      </w:pPr>
      <w:r>
        <w:t xml:space="preserve">Recommendations 33 and 34 were aimed at providing greater transparency for members around the remuneration of key management personnel of the corporation.  </w:t>
      </w:r>
    </w:p>
    <w:p w14:paraId="1682F872" w14:textId="77777777" w:rsidR="005E6E59" w:rsidRDefault="005E6E59" w:rsidP="005E6E59">
      <w:pPr>
        <w:pStyle w:val="BodyText"/>
      </w:pPr>
      <w:r>
        <w:t>They state:</w:t>
      </w:r>
    </w:p>
    <w:p w14:paraId="3981ECE1" w14:textId="77777777" w:rsidR="005E6E59" w:rsidRPr="005E6E59" w:rsidRDefault="005E6E59" w:rsidP="005E6E59">
      <w:pPr>
        <w:pStyle w:val="BodyText"/>
        <w:rPr>
          <w:i/>
        </w:rPr>
      </w:pPr>
      <w:r w:rsidRPr="005E6E59">
        <w:rPr>
          <w:i/>
        </w:rPr>
        <w:t>It is recommended senior executive remuneration information be included in annual reporting to the Registrar and that the same information is laid before Annual General Meetings in accordance with Recommendation 29 in Chapter 4.</w:t>
      </w:r>
    </w:p>
    <w:p w14:paraId="486947CF" w14:textId="77777777" w:rsidR="005E6E59" w:rsidRPr="005E6E59" w:rsidRDefault="005E6E59" w:rsidP="005E6E59">
      <w:pPr>
        <w:pStyle w:val="BodyText"/>
        <w:rPr>
          <w:i/>
        </w:rPr>
      </w:pPr>
      <w:r w:rsidRPr="005E6E59">
        <w:rPr>
          <w:i/>
        </w:rPr>
        <w:lastRenderedPageBreak/>
        <w:t>It is recommended the remuneration information of key personnel of associated entities also be reported in annual reports to the Registrar.</w:t>
      </w:r>
    </w:p>
    <w:p w14:paraId="09F4A266" w14:textId="77777777" w:rsidR="005E6E59" w:rsidRPr="005E6E59" w:rsidRDefault="005E6E59" w:rsidP="00A24AC3">
      <w:pPr>
        <w:pStyle w:val="BodyText"/>
      </w:pPr>
      <w:r>
        <w:t xml:space="preserve">The detail of what is contained in reports to the Registrar is outlined in the </w:t>
      </w:r>
      <w:r w:rsidR="00650535">
        <w:t>CATSI Regulations</w:t>
      </w:r>
      <w:r>
        <w:t>. Items 14</w:t>
      </w:r>
      <w:r w:rsidR="00E8696E">
        <w:t>8</w:t>
      </w:r>
      <w:r>
        <w:t xml:space="preserve"> to 158 give effect to recommendations 3</w:t>
      </w:r>
      <w:r w:rsidR="005B4092">
        <w:t>3</w:t>
      </w:r>
      <w:r>
        <w:t xml:space="preserve"> and 3</w:t>
      </w:r>
      <w:r w:rsidR="005B4092">
        <w:t>4</w:t>
      </w:r>
      <w:r>
        <w:t xml:space="preserve"> by introducing the concept of a Remuneration Report </w:t>
      </w:r>
      <w:r w:rsidR="003608C3">
        <w:t xml:space="preserve">along </w:t>
      </w:r>
      <w:r>
        <w:t>with other specified reports. The details of what will be in the Remuneration Report will be developed when the Regulation</w:t>
      </w:r>
      <w:r w:rsidR="00E8696E">
        <w:t xml:space="preserve"> amendments</w:t>
      </w:r>
      <w:r>
        <w:t xml:space="preserve"> are drafted.</w:t>
      </w:r>
      <w:r w:rsidR="003608C3">
        <w:t xml:space="preserve"> Time permitting, consultation will be undertaken in relation to the proposed amendments to the CATSI Regulations. </w:t>
      </w:r>
    </w:p>
    <w:p w14:paraId="0906E080" w14:textId="77777777" w:rsidR="00A24AC3" w:rsidRDefault="00E8696E" w:rsidP="00E8696E">
      <w:pPr>
        <w:pStyle w:val="Heading2"/>
      </w:pPr>
      <w:r>
        <w:t>Item 164</w:t>
      </w:r>
      <w:r w:rsidR="005B4092">
        <w:t>—</w:t>
      </w:r>
      <w:r>
        <w:t>De</w:t>
      </w:r>
      <w:bookmarkStart w:id="0" w:name="_GoBack"/>
      <w:bookmarkEnd w:id="0"/>
      <w:r>
        <w:t>finition</w:t>
      </w:r>
    </w:p>
    <w:p w14:paraId="67DF3FE0" w14:textId="77777777" w:rsidR="00E8696E" w:rsidRPr="00E8696E" w:rsidRDefault="00E8696E" w:rsidP="00E8696E">
      <w:pPr>
        <w:pStyle w:val="BodyText"/>
      </w:pPr>
      <w:r>
        <w:t>Item 164 provides for a definition of key management personnel</w:t>
      </w:r>
      <w:r w:rsidR="00C914D5">
        <w:t>, the remuneration for which is to be included in a Remuneration Report,</w:t>
      </w:r>
      <w:r>
        <w:t xml:space="preserve"> </w:t>
      </w:r>
      <w:r w:rsidR="006A5944">
        <w:t>and links it to the accounting standards to ensur</w:t>
      </w:r>
      <w:r w:rsidR="005B4092">
        <w:t>e</w:t>
      </w:r>
      <w:r w:rsidR="006A5944">
        <w:t xml:space="preserve"> consistency.</w:t>
      </w:r>
    </w:p>
    <w:sectPr w:rsidR="00E8696E" w:rsidRPr="00E8696E"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C4FBF" w14:textId="77777777" w:rsidR="0015582A" w:rsidRDefault="0015582A" w:rsidP="00B95533">
      <w:pPr>
        <w:spacing w:after="0" w:line="240" w:lineRule="auto"/>
      </w:pPr>
      <w:r>
        <w:separator/>
      </w:r>
    </w:p>
  </w:endnote>
  <w:endnote w:type="continuationSeparator" w:id="0">
    <w:p w14:paraId="7E4C087B" w14:textId="77777777" w:rsidR="0015582A" w:rsidRDefault="0015582A"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23D3" w14:textId="77777777" w:rsidR="005C56D6" w:rsidRDefault="005C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4224E58A" w14:textId="77777777" w:rsidR="009672EB" w:rsidRPr="00B87E45" w:rsidRDefault="001C366E" w:rsidP="001007B9">
        <w:pPr>
          <w:pStyle w:val="ProtectiveMarking"/>
        </w:pPr>
        <w:r>
          <w:t>OFFICIAL</w:t>
        </w:r>
      </w:p>
    </w:sdtContent>
  </w:sdt>
  <w:p w14:paraId="1C86AA70"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169D33C" wp14:editId="13D97B0B">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8FFDD"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19520B19" wp14:editId="7B80771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C7D2B59" w14:textId="15CD0F71"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5C56D6">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520B19"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0C7D2B59" w14:textId="15CD0F71"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5C56D6">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38F4A570" w14:textId="2055D39F"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1C366E">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5C56D6">
      <w:rPr>
        <w:b/>
        <w:bCs w:val="0"/>
        <w:noProof/>
        <w:color w:val="25303B" w:themeColor="accent1"/>
        <w:lang w:val="en-US"/>
      </w:rPr>
      <w:t>Error! No text of specified style in document.</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62D881D8" w14:textId="77777777" w:rsidR="009672EB" w:rsidRPr="00B87E45" w:rsidRDefault="001C366E" w:rsidP="00917F95">
        <w:pPr>
          <w:pStyle w:val="ProtectiveMarking"/>
        </w:pPr>
        <w:r>
          <w:t>OFFICIAL</w:t>
        </w:r>
      </w:p>
    </w:sdtContent>
  </w:sdt>
  <w:p w14:paraId="26FA31B5"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050796CD" wp14:editId="0F30E827">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88570"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6751B85B"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6246E40D" wp14:editId="54A7B64A">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A91560C" w14:textId="26786563"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C56D6">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46E40D"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1A91560C" w14:textId="26786563"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C56D6">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1C366E">
          <w:rPr>
            <w:color w:val="25303B" w:themeColor="accent1"/>
          </w:rPr>
          <w:t>CATSI Act Review</w:t>
        </w:r>
      </w:sdtContent>
    </w:sdt>
    <w:r w:rsidRPr="0040648D">
      <w:rPr>
        <w:color w:val="25303B" w:themeColor="accent1"/>
      </w:rPr>
      <w:t xml:space="preserve"> | </w:t>
    </w:r>
    <w:r w:rsidR="001C366E" w:rsidRPr="001C366E">
      <w:rPr>
        <w:color w:val="25303B" w:themeColor="accent1"/>
      </w:rPr>
      <w:t>Part 8—Officers of corporations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C0AE" w14:textId="77777777" w:rsidR="0015582A" w:rsidRPr="007A6FC6" w:rsidRDefault="0015582A" w:rsidP="00B95533">
      <w:pPr>
        <w:spacing w:after="0" w:line="240" w:lineRule="auto"/>
        <w:rPr>
          <w:color w:val="BEA887" w:themeColor="accent2"/>
        </w:rPr>
      </w:pPr>
      <w:r w:rsidRPr="007A6FC6">
        <w:rPr>
          <w:color w:val="BEA887" w:themeColor="accent2"/>
        </w:rPr>
        <w:separator/>
      </w:r>
    </w:p>
  </w:footnote>
  <w:footnote w:type="continuationSeparator" w:id="0">
    <w:p w14:paraId="6952C77F" w14:textId="77777777" w:rsidR="0015582A" w:rsidRPr="007A6FC6" w:rsidRDefault="0015582A"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476D" w14:textId="77777777" w:rsidR="005C56D6" w:rsidRDefault="005C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5739" w14:textId="77777777" w:rsidR="002C0B0E" w:rsidRDefault="005C56D6" w:rsidP="00510499">
    <w:pPr>
      <w:pStyle w:val="ProtectiveMarking"/>
    </w:pPr>
    <w:sdt>
      <w:sdtPr>
        <w:alias w:val="Classification"/>
        <w:tag w:val="Classification"/>
        <w:id w:val="336196887"/>
        <w:dataBinding w:xpath="/root[1]/Classification[1]" w:storeItemID="{F533AE62-A212-4B26-92DA-A3B336E8AE06}"/>
        <w:text/>
      </w:sdtPr>
      <w:sdtEndPr/>
      <w:sdtContent>
        <w:r w:rsidR="001C366E">
          <w:t>OFFICIAL</w:t>
        </w:r>
      </w:sdtContent>
    </w:sdt>
  </w:p>
  <w:p w14:paraId="05CA0FE2" w14:textId="77777777" w:rsidR="002C0B0E" w:rsidRDefault="002C0B0E">
    <w:pPr>
      <w:pStyle w:val="Header"/>
    </w:pPr>
    <w:r>
      <w:rPr>
        <w:noProof/>
        <w:lang w:eastAsia="en-AU"/>
      </w:rPr>
      <w:drawing>
        <wp:anchor distT="0" distB="0" distL="114300" distR="114300" simplePos="0" relativeHeight="251730944" behindDoc="0" locked="1" layoutInCell="1" allowOverlap="1" wp14:anchorId="515F31E7" wp14:editId="4C0A479B">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01357"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4D52" w14:textId="77777777" w:rsidR="009672EB" w:rsidRDefault="00FB385B">
    <w:pPr>
      <w:pStyle w:val="Header"/>
    </w:pPr>
    <w:r>
      <w:rPr>
        <w:noProof/>
        <w:lang w:eastAsia="en-AU"/>
      </w:rPr>
      <mc:AlternateContent>
        <mc:Choice Requires="wps">
          <w:drawing>
            <wp:anchor distT="0" distB="0" distL="114300" distR="114300" simplePos="0" relativeHeight="251737088" behindDoc="0" locked="0" layoutInCell="1" allowOverlap="1" wp14:anchorId="0A66030E" wp14:editId="068FE510">
              <wp:simplePos x="0" y="0"/>
              <wp:positionH relativeFrom="page">
                <wp:posOffset>2852738</wp:posOffset>
              </wp:positionH>
              <wp:positionV relativeFrom="page">
                <wp:posOffset>290513</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4BE37" id="Straight Connector 37"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j/obS3wAAAAoBAAAPAAAAZHJzL2Rvd25yZXYueG1sTI9BS8QwEIXvgv8hjODNTbVVbG26&#10;iLAiglDrwuIt24xt2WZSmrRb/70je9DbzLyPN+/l68X2YsbRd44UXK8iEEi1Mx01CrYfm6t7ED5o&#10;Mrp3hAq+0cO6OD/LdWbckd5xrkIj2IR8phW0IQyZlL5u0Wq/cgMSa19utDrwOjbSjPrI5raXN1F0&#10;J63uiD+0esCnFutDNVkF0zI/bz5fdlXZv71GaXloqjgtlbq8WB4fQARcwh8Mv/E5OhScae8mMl70&#10;CpIkjRnl4ZYrMHA67JlM4gRkkcv/FYofAAAA//8DAFBLAQItABQABgAIAAAAIQC2gziS/gAAAOEB&#10;AAATAAAAAAAAAAAAAAAAAAAAAABbQ29udGVudF9UeXBlc10ueG1sUEsBAi0AFAAGAAgAAAAhADj9&#10;If/WAAAAlAEAAAsAAAAAAAAAAAAAAAAALwEAAF9yZWxzLy5yZWxzUEsBAi0AFAAGAAgAAAAhAI8a&#10;QA/YAQAADQQAAA4AAAAAAAAAAAAAAAAALgIAAGRycy9lMm9Eb2MueG1sUEsBAi0AFAAGAAgAAAAh&#10;AKP+htLfAAAACgEAAA8AAAAAAAAAAAAAAAAAMgQAAGRycy9kb3ducmV2LnhtbFBLBQYAAAAABAAE&#10;APMAAAA+BQ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59535A66" wp14:editId="6DBFCEBF">
              <wp:simplePos x="0" y="0"/>
              <wp:positionH relativeFrom="page">
                <wp:posOffset>0</wp:posOffset>
              </wp:positionH>
              <wp:positionV relativeFrom="page">
                <wp:posOffset>1153160</wp:posOffset>
              </wp:positionV>
              <wp:extent cx="3096000"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558C7DDA" w14:textId="77777777" w:rsidR="00FB385B" w:rsidRPr="00B0259B" w:rsidRDefault="00FB385B"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35A66"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fCQIAAPEDAAAOAAAAZHJzL2Uyb0RvYy54bWysU9tu2zAMfR+wfxD0vthJmq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M5TcqCoRk9&#10;yyGyjziwWZKnd6GiqCdHcXGgZxpzphrcI4pfgVm868Bu5K332HcSGmpvmjKLs9QRJySQdf8VGyoD&#10;24gZaGi9SdqRGozQaUz702hSK4Ie5+X1ZVmSS5BvejFfTPPsCqiO2c6H+FmiYcmouafRZ3TYPYaY&#10;uoHqGJKKWXxQWufxa8v6ml8vZouccOYxKtJ2amVqfkXVqX5OSCQ/2SbbEZQebSqg7YF1IjpSjsN6&#10;yPpmSZIia2z2JIPHcRnp85DRof/DWU+LWPPwewtecqa/WJJycZELs5hvpIA/GuujAVZQfs1F9JyN&#10;l7uYl3xkektKtyqL8NLAoVPaq6zN4Q+kxT2/56iXn7r6C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DXW7/fCQIAAPEDAAAO&#10;AAAAAAAAAAAAAAAAAC4CAABkcnMvZTJvRG9jLnhtbFBLAQItABQABgAIAAAAIQDxPbSY3AAAAAgB&#10;AAAPAAAAAAAAAAAAAAAAAGMEAABkcnMvZG93bnJldi54bWxQSwUGAAAAAAQABADzAAAAbAUAAAAA&#10;" filled="f" stroked="f">
              <v:textbox inset="15mm,0,0,0">
                <w:txbxContent>
                  <w:p w14:paraId="558C7DDA" w14:textId="77777777" w:rsidR="00FB385B" w:rsidRPr="00B0259B" w:rsidRDefault="00FB385B"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726B7177" wp14:editId="7B66960F">
          <wp:simplePos x="0" y="0"/>
          <wp:positionH relativeFrom="page">
            <wp:posOffset>3023870</wp:posOffset>
          </wp:positionH>
          <wp:positionV relativeFrom="page">
            <wp:posOffset>291465</wp:posOffset>
          </wp:positionV>
          <wp:extent cx="1584000" cy="518400"/>
          <wp:effectExtent l="0" t="0" r="0" b="0"/>
          <wp:wrapNone/>
          <wp:docPr id="40"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7F8C9B84" wp14:editId="4A01F012">
          <wp:simplePos x="0" y="0"/>
          <wp:positionH relativeFrom="page">
            <wp:posOffset>537845</wp:posOffset>
          </wp:positionH>
          <wp:positionV relativeFrom="page">
            <wp:posOffset>258445</wp:posOffset>
          </wp:positionV>
          <wp:extent cx="2123440" cy="640080"/>
          <wp:effectExtent l="0" t="0" r="0" b="7620"/>
          <wp:wrapNone/>
          <wp:docPr id="41"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6E7734B8" wp14:editId="6E2E65E3">
          <wp:simplePos x="0" y="0"/>
          <wp:positionH relativeFrom="page">
            <wp:align>left</wp:align>
          </wp:positionH>
          <wp:positionV relativeFrom="page">
            <wp:align>top</wp:align>
          </wp:positionV>
          <wp:extent cx="7448400" cy="1328400"/>
          <wp:effectExtent l="0" t="0" r="635" b="5715"/>
          <wp:wrapSquare wrapText="bothSides"/>
          <wp:docPr id="42"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7721" r="-1" b="12213"/>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A6C"/>
    <w:multiLevelType w:val="hybridMultilevel"/>
    <w:tmpl w:val="1EC6D63A"/>
    <w:lvl w:ilvl="0" w:tplc="D6587FB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75D33"/>
    <w:multiLevelType w:val="hybridMultilevel"/>
    <w:tmpl w:val="21F4E014"/>
    <w:lvl w:ilvl="0" w:tplc="C6902C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7"/>
  </w:num>
  <w:num w:numId="3">
    <w:abstractNumId w:val="5"/>
  </w:num>
  <w:num w:numId="4">
    <w:abstractNumId w:val="10"/>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1"/>
  </w:num>
  <w:num w:numId="21">
    <w:abstractNumId w:val="1"/>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3885"/>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651D5"/>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1BD2"/>
    <w:rsid w:val="00132268"/>
    <w:rsid w:val="001336CF"/>
    <w:rsid w:val="00143288"/>
    <w:rsid w:val="0015537B"/>
    <w:rsid w:val="0015582A"/>
    <w:rsid w:val="0016781C"/>
    <w:rsid w:val="001709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C366E"/>
    <w:rsid w:val="001D283B"/>
    <w:rsid w:val="001E4245"/>
    <w:rsid w:val="001F0654"/>
    <w:rsid w:val="001F3722"/>
    <w:rsid w:val="001F738E"/>
    <w:rsid w:val="0020007C"/>
    <w:rsid w:val="0021247A"/>
    <w:rsid w:val="00221563"/>
    <w:rsid w:val="002229A5"/>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1390"/>
    <w:rsid w:val="002F57C6"/>
    <w:rsid w:val="00307A69"/>
    <w:rsid w:val="00312E4A"/>
    <w:rsid w:val="0031546F"/>
    <w:rsid w:val="00316B0D"/>
    <w:rsid w:val="003300DB"/>
    <w:rsid w:val="0033088D"/>
    <w:rsid w:val="00335425"/>
    <w:rsid w:val="003371F0"/>
    <w:rsid w:val="00341D9A"/>
    <w:rsid w:val="00345B55"/>
    <w:rsid w:val="003500C6"/>
    <w:rsid w:val="003608C3"/>
    <w:rsid w:val="00363AE5"/>
    <w:rsid w:val="003848EF"/>
    <w:rsid w:val="00385B65"/>
    <w:rsid w:val="00391929"/>
    <w:rsid w:val="003A3E57"/>
    <w:rsid w:val="003C57B6"/>
    <w:rsid w:val="003C6961"/>
    <w:rsid w:val="003D21A3"/>
    <w:rsid w:val="003D33F7"/>
    <w:rsid w:val="003D669F"/>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63F31"/>
    <w:rsid w:val="004759ED"/>
    <w:rsid w:val="004945F7"/>
    <w:rsid w:val="004957BB"/>
    <w:rsid w:val="00497F14"/>
    <w:rsid w:val="004B2CB0"/>
    <w:rsid w:val="004B7B8B"/>
    <w:rsid w:val="004C18F6"/>
    <w:rsid w:val="004C6518"/>
    <w:rsid w:val="004D0B40"/>
    <w:rsid w:val="004D24EB"/>
    <w:rsid w:val="004D688C"/>
    <w:rsid w:val="004E58AE"/>
    <w:rsid w:val="004F20A9"/>
    <w:rsid w:val="004F6E65"/>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258A"/>
    <w:rsid w:val="00596D03"/>
    <w:rsid w:val="005A0DE7"/>
    <w:rsid w:val="005A355D"/>
    <w:rsid w:val="005B210C"/>
    <w:rsid w:val="005B241C"/>
    <w:rsid w:val="005B27D0"/>
    <w:rsid w:val="005B4092"/>
    <w:rsid w:val="005C56D6"/>
    <w:rsid w:val="005C7655"/>
    <w:rsid w:val="005C7C79"/>
    <w:rsid w:val="005D1BC5"/>
    <w:rsid w:val="005D2D7A"/>
    <w:rsid w:val="005D7026"/>
    <w:rsid w:val="005E6E59"/>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0535"/>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5944"/>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956C4"/>
    <w:rsid w:val="007A27C5"/>
    <w:rsid w:val="007A52E1"/>
    <w:rsid w:val="007A6FC6"/>
    <w:rsid w:val="007C3CFA"/>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510FF"/>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F41"/>
    <w:rsid w:val="00A17F9A"/>
    <w:rsid w:val="00A24AC3"/>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6B86"/>
    <w:rsid w:val="00AC7F21"/>
    <w:rsid w:val="00AD0F94"/>
    <w:rsid w:val="00AE0E38"/>
    <w:rsid w:val="00AE11C4"/>
    <w:rsid w:val="00AE297B"/>
    <w:rsid w:val="00AE58D5"/>
    <w:rsid w:val="00AE6686"/>
    <w:rsid w:val="00AF7794"/>
    <w:rsid w:val="00B0259B"/>
    <w:rsid w:val="00B06546"/>
    <w:rsid w:val="00B13055"/>
    <w:rsid w:val="00B151CC"/>
    <w:rsid w:val="00B24D0A"/>
    <w:rsid w:val="00B32001"/>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67D6"/>
    <w:rsid w:val="00C464A7"/>
    <w:rsid w:val="00C511C3"/>
    <w:rsid w:val="00C51C42"/>
    <w:rsid w:val="00C52329"/>
    <w:rsid w:val="00C57F4E"/>
    <w:rsid w:val="00C66A73"/>
    <w:rsid w:val="00C67AA6"/>
    <w:rsid w:val="00C80CAE"/>
    <w:rsid w:val="00C86AD9"/>
    <w:rsid w:val="00C86F22"/>
    <w:rsid w:val="00C914D5"/>
    <w:rsid w:val="00C91A83"/>
    <w:rsid w:val="00C9650F"/>
    <w:rsid w:val="00C9741E"/>
    <w:rsid w:val="00CA33C7"/>
    <w:rsid w:val="00CB2C58"/>
    <w:rsid w:val="00CB38A3"/>
    <w:rsid w:val="00CB3B70"/>
    <w:rsid w:val="00CC1475"/>
    <w:rsid w:val="00CC6B7E"/>
    <w:rsid w:val="00CD730D"/>
    <w:rsid w:val="00CE1635"/>
    <w:rsid w:val="00CF0D33"/>
    <w:rsid w:val="00CF41A9"/>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8696E"/>
    <w:rsid w:val="00E90FB5"/>
    <w:rsid w:val="00EA0688"/>
    <w:rsid w:val="00EA19B4"/>
    <w:rsid w:val="00EB25EA"/>
    <w:rsid w:val="00EC0059"/>
    <w:rsid w:val="00EC68DB"/>
    <w:rsid w:val="00ED0CB2"/>
    <w:rsid w:val="00ED334F"/>
    <w:rsid w:val="00EE08F2"/>
    <w:rsid w:val="00EE1DD7"/>
    <w:rsid w:val="00EE27D7"/>
    <w:rsid w:val="00EE76B9"/>
    <w:rsid w:val="00EF125F"/>
    <w:rsid w:val="00EF2497"/>
    <w:rsid w:val="00EF38A6"/>
    <w:rsid w:val="00F017E0"/>
    <w:rsid w:val="00F03B20"/>
    <w:rsid w:val="00F056AC"/>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A11DA"/>
    <w:rsid w:val="00FB20C4"/>
    <w:rsid w:val="00FB385B"/>
    <w:rsid w:val="00FB3C96"/>
    <w:rsid w:val="00FB60EF"/>
    <w:rsid w:val="00FC3D4F"/>
    <w:rsid w:val="00FC49FB"/>
    <w:rsid w:val="00FC5756"/>
    <w:rsid w:val="00FD659E"/>
    <w:rsid w:val="00FE6A0D"/>
    <w:rsid w:val="00FE7253"/>
    <w:rsid w:val="00FF2D86"/>
    <w:rsid w:val="00FF39DC"/>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E15C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D51C74" w:rsidRDefault="00D51C74">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74"/>
    <w:rsid w:val="0023502B"/>
    <w:rsid w:val="0035455D"/>
    <w:rsid w:val="00D51C74"/>
    <w:rsid w:val="00E15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DOC21-213785</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298B7F84-887F-40C2-899C-86698FB9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F90B6-9BA6-46F3-A572-3A0F99F7B0F2}">
  <ds:schemaRefs>
    <ds:schemaRef ds:uri="http://schemas.microsoft.com/sharepoint/v3/contenttype/forms"/>
  </ds:schemaRefs>
</ds:datastoreItem>
</file>

<file path=customXml/itemProps4.xml><?xml version="1.0" encoding="utf-8"?>
<ds:datastoreItem xmlns:ds="http://schemas.openxmlformats.org/officeDocument/2006/customXml" ds:itemID="{ABE61F6E-7FA9-46FD-8BB8-659A5AE0B9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6AD85CDE-A086-468E-A600-FD89B6A4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2021-07-26T07:02:00Z</dcterms:created>
  <dcterms:modified xsi:type="dcterms:W3CDTF">2021-07-26T07:02:00Z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5" name="HPRMSecurityLevel">
    <vt:lpwstr>57;#OFFICIAL|11463c70-78df-4e3b-b0ff-f66cd3cb26ec</vt:lpwstr>
  </property>
  <property fmtid="{D5CDD505-2E9C-101B-9397-08002B2CF9AE}" pid="6" name="HPRMSecurityCaveat">
    <vt:lpwstr/>
  </property>
</Properties>
</file>