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FAE7C" w14:textId="77777777" w:rsidR="004163FA" w:rsidRDefault="00666AC2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dataBinding w:xpath="/root[1]/Classification[1]" w:storeItemID="{F533AE62-A212-4B26-92DA-A3B336E8AE06}"/>
          <w:dropDownList w:lastValue="OFFICIAL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2A1CA3">
            <w:t>OFFICIAL</w:t>
          </w:r>
        </w:sdtContent>
      </w:sdt>
    </w:p>
    <w:p w14:paraId="7E459CA4" w14:textId="77777777"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BBF76BE" wp14:editId="0B3B29E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6EC34E8F025D474EABCE123A748DB2F8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310547EC" w14:textId="77777777" w:rsidR="0040648D" w:rsidRPr="00C91A83" w:rsidRDefault="002A1CA3" w:rsidP="0040648D">
                                <w:pPr>
                                  <w:pStyle w:val="SectionNameRev"/>
                                </w:pPr>
                                <w:r>
                                  <w:t>CATSI Act Review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BC33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6EC34E8F025D474EABCE123A748DB2F8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:rsidR="0040648D" w:rsidRPr="00C91A83" w:rsidRDefault="002A1CA3" w:rsidP="0040648D">
                          <w:pPr>
                            <w:pStyle w:val="SectionNameRev"/>
                          </w:pPr>
                          <w:r>
                            <w:t>CATSI Act Review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F97385D" w14:textId="77777777" w:rsidR="0086672B" w:rsidRPr="002A1CA3" w:rsidRDefault="00ED5BAD" w:rsidP="00233B91">
      <w:pPr>
        <w:pStyle w:val="Heading1"/>
        <w:rPr>
          <w:color w:val="00948D" w:themeColor="accent3"/>
        </w:rPr>
      </w:pPr>
      <w:r w:rsidRPr="002A1CA3">
        <w:rPr>
          <w:noProof/>
          <w:color w:val="00948D" w:themeColor="accent3"/>
        </w:rPr>
        <w:t>Part 12</w:t>
      </w:r>
      <w:r w:rsidR="00F62EE2" w:rsidRPr="002A1CA3">
        <w:rPr>
          <w:noProof/>
          <w:color w:val="00948D" w:themeColor="accent3"/>
        </w:rPr>
        <w:t>—Modernising publication requirements</w:t>
      </w:r>
    </w:p>
    <w:p w14:paraId="775A1A21" w14:textId="77777777" w:rsidR="00655F84" w:rsidRDefault="00655F84" w:rsidP="00655F84">
      <w:pPr>
        <w:pStyle w:val="BodyText"/>
      </w:pPr>
      <w:r>
        <w:t xml:space="preserve">Items 178 to 214 are based on </w:t>
      </w:r>
      <w:r w:rsidR="00DE367E">
        <w:t>recommendation 42 in the CATSI Act Review final report:</w:t>
      </w:r>
    </w:p>
    <w:p w14:paraId="56A955BA" w14:textId="77777777" w:rsidR="00DE367E" w:rsidRDefault="00752CA9" w:rsidP="00655F84">
      <w:pPr>
        <w:pStyle w:val="BodyText"/>
        <w:rPr>
          <w:rFonts w:cstheme="minorHAnsi"/>
          <w:i/>
        </w:rPr>
      </w:pPr>
      <w:r w:rsidRPr="00752CA9">
        <w:rPr>
          <w:i/>
        </w:rPr>
        <w:t xml:space="preserve">It is recommended the CATSI Act be amended to allow the Registrar to publish notices on electronic communication platforms as well as in the </w:t>
      </w:r>
      <w:r w:rsidRPr="00752CA9">
        <w:rPr>
          <w:rFonts w:cstheme="minorHAnsi"/>
          <w:i/>
        </w:rPr>
        <w:t>Australian Government Gazette and/or in newspapers.</w:t>
      </w:r>
    </w:p>
    <w:p w14:paraId="394AB695" w14:textId="77777777" w:rsidR="00752CA9" w:rsidRDefault="00752CA9" w:rsidP="00752CA9">
      <w:pPr>
        <w:pStyle w:val="BodyText"/>
      </w:pPr>
      <w:r w:rsidRPr="00752CA9">
        <w:t xml:space="preserve">This </w:t>
      </w:r>
      <w:r>
        <w:t>recommendation is being taken forward based on the same principle in a different way.</w:t>
      </w:r>
      <w:r w:rsidR="00040DAE">
        <w:t xml:space="preserve"> </w:t>
      </w:r>
    </w:p>
    <w:p w14:paraId="024B4F32" w14:textId="77777777" w:rsidR="00D36083" w:rsidRDefault="00D86611" w:rsidP="00D36083">
      <w:pPr>
        <w:pStyle w:val="BodyText"/>
      </w:pPr>
      <w:r>
        <w:t xml:space="preserve">Existing sections 268-25, 493-1, 526-20, 546-5 and 546-40 are amended to change the requirement for the Registrar to publish notices in the </w:t>
      </w:r>
      <w:r>
        <w:rPr>
          <w:i/>
        </w:rPr>
        <w:t>Australian Government Gazette.</w:t>
      </w:r>
      <w:r>
        <w:t xml:space="preserve"> Proposed changes </w:t>
      </w:r>
      <w:r w:rsidR="00E15D3A">
        <w:t xml:space="preserve">broaden the range of ways in which </w:t>
      </w:r>
      <w:r>
        <w:t>the Registrar</w:t>
      </w:r>
      <w:r w:rsidR="00E15D3A">
        <w:t xml:space="preserve"> is able</w:t>
      </w:r>
      <w:r>
        <w:t xml:space="preserve"> to </w:t>
      </w:r>
      <w:r w:rsidRPr="00C17130">
        <w:t xml:space="preserve">publish </w:t>
      </w:r>
      <w:r w:rsidR="00E15D3A">
        <w:t>an order or</w:t>
      </w:r>
      <w:r w:rsidR="00E15D3A" w:rsidRPr="00C17130">
        <w:t xml:space="preserve"> </w:t>
      </w:r>
      <w:r w:rsidRPr="00C17130">
        <w:t>notice</w:t>
      </w:r>
      <w:r w:rsidR="00E15D3A">
        <w:t xml:space="preserve">. In addition to publishing in the </w:t>
      </w:r>
      <w:r w:rsidR="00E15D3A" w:rsidRPr="00067E05">
        <w:rPr>
          <w:i/>
        </w:rPr>
        <w:t>Gazette</w:t>
      </w:r>
      <w:r w:rsidR="00E15D3A">
        <w:t>, an order or notice may be published</w:t>
      </w:r>
      <w:r w:rsidRPr="00C17130">
        <w:t xml:space="preserve"> on the Registrar’s website; in </w:t>
      </w:r>
      <w:r w:rsidR="00102077">
        <w:t xml:space="preserve">a </w:t>
      </w:r>
      <w:r w:rsidRPr="00C17130">
        <w:t xml:space="preserve">national newspaper; or in a daily newspaper that circulates in each state or territory. This change provides greater flexibility to the Registrar to publish the </w:t>
      </w:r>
      <w:r w:rsidR="00F707BB">
        <w:t xml:space="preserve">order or </w:t>
      </w:r>
      <w:r w:rsidRPr="00C17130">
        <w:t>notice in a way that is most likely to reach the intended audience.</w:t>
      </w:r>
      <w:r w:rsidR="00D36083" w:rsidRPr="00D36083">
        <w:t xml:space="preserve"> </w:t>
      </w:r>
    </w:p>
    <w:p w14:paraId="1E29D535" w14:textId="77777777" w:rsidR="00067E05" w:rsidRDefault="0060346F" w:rsidP="00067E05">
      <w:pPr>
        <w:pStyle w:val="BodyText"/>
        <w:rPr>
          <w:szCs w:val="24"/>
        </w:rPr>
      </w:pPr>
      <w:r>
        <w:t xml:space="preserve">Paragraphs in existing sections 187-15, 225-15, 310-15, 335-5, 336-15 and 353-10 </w:t>
      </w:r>
      <w:r w:rsidR="00067E05">
        <w:t>that</w:t>
      </w:r>
      <w:r>
        <w:t xml:space="preserve"> requir</w:t>
      </w:r>
      <w:r w:rsidR="00067E05">
        <w:t>e</w:t>
      </w:r>
      <w:r>
        <w:t xml:space="preserve"> the Registrar to p</w:t>
      </w:r>
      <w:r>
        <w:rPr>
          <w:szCs w:val="24"/>
        </w:rPr>
        <w:t xml:space="preserve">ublish a determination in the </w:t>
      </w:r>
      <w:r>
        <w:rPr>
          <w:i/>
          <w:szCs w:val="24"/>
        </w:rPr>
        <w:t xml:space="preserve">Australian Government Gazette </w:t>
      </w:r>
      <w:r>
        <w:rPr>
          <w:szCs w:val="24"/>
        </w:rPr>
        <w:t xml:space="preserve">are also repealed as legislative instruments must be published in the </w:t>
      </w:r>
      <w:r>
        <w:rPr>
          <w:i/>
          <w:szCs w:val="24"/>
        </w:rPr>
        <w:t xml:space="preserve">Gazette </w:t>
      </w:r>
      <w:r>
        <w:rPr>
          <w:szCs w:val="24"/>
        </w:rPr>
        <w:t>and so it is unnecessary to have provisions req</w:t>
      </w:r>
      <w:r w:rsidR="00067E05">
        <w:rPr>
          <w:szCs w:val="24"/>
        </w:rPr>
        <w:t xml:space="preserve">uiring the Registrar to do so. Further amendments are made to these sections to modernise them by </w:t>
      </w:r>
      <w:r w:rsidR="00067E05">
        <w:t xml:space="preserve">removing the specific reference to making a determination in writing and reflecting instead that the Registrar may make a determination by legislative instrument. Paragraphs that empower the Registrar </w:t>
      </w:r>
      <w:r w:rsidR="00067E05">
        <w:rPr>
          <w:szCs w:val="24"/>
        </w:rPr>
        <w:t>to revoke, vary or suspend a determination are also repealed as these powers are inherent in the power to make a determination by legislative instrument.</w:t>
      </w:r>
      <w:r w:rsidR="00067E05" w:rsidRPr="00067E05">
        <w:rPr>
          <w:szCs w:val="24"/>
        </w:rPr>
        <w:t xml:space="preserve"> </w:t>
      </w:r>
      <w:r w:rsidR="00067E05">
        <w:rPr>
          <w:szCs w:val="24"/>
        </w:rPr>
        <w:t xml:space="preserve">Lastly, these sections are amended to deal only with classes of corporations or directors of classes of corporations. These changes complement amendments to </w:t>
      </w:r>
      <w:r w:rsidR="00067E05">
        <w:t>existing sections 187-5, 225-5, 310-5 and 353-3 as outlined below.</w:t>
      </w:r>
    </w:p>
    <w:p w14:paraId="45E513E5" w14:textId="77777777" w:rsidR="00D36083" w:rsidRPr="000D0040" w:rsidRDefault="00D36083" w:rsidP="00D36083">
      <w:pPr>
        <w:pStyle w:val="BodyText"/>
      </w:pPr>
      <w:r>
        <w:t xml:space="preserve">Existing sections 187-5, 225-5, 310-5 and 353-3 are amended to </w:t>
      </w:r>
      <w:r w:rsidR="00E36A04">
        <w:t xml:space="preserve">reflect the short description in the relevant parts that deal with the </w:t>
      </w:r>
      <w:proofErr w:type="spellStart"/>
      <w:r w:rsidR="00E36A04">
        <w:t>the</w:t>
      </w:r>
      <w:proofErr w:type="spellEnd"/>
      <w:r w:rsidRPr="000D0040">
        <w:t xml:space="preserve"> Registrar’s power to exempt a corporation or the directors of a corporation</w:t>
      </w:r>
      <w:r>
        <w:t>,</w:t>
      </w:r>
      <w:r w:rsidRPr="000D0040">
        <w:t xml:space="preserve"> from the exemptible provisions in relevant chapters of the CATSI Act. </w:t>
      </w:r>
      <w:r>
        <w:t>The changes clarify and tidy the provision. They</w:t>
      </w:r>
      <w:r w:rsidR="00E36A04">
        <w:t xml:space="preserve"> explicitly </w:t>
      </w:r>
      <w:r>
        <w:t xml:space="preserve">empower the </w:t>
      </w:r>
      <w:r>
        <w:lastRenderedPageBreak/>
        <w:t>Registrar to exempt a corporation or its directors, on application or on his or her own initiative, from the exemptible provisions of this chapter</w:t>
      </w:r>
      <w:r w:rsidRPr="000D0040">
        <w:t xml:space="preserve">. This power </w:t>
      </w:r>
      <w:r>
        <w:t>is useful where</w:t>
      </w:r>
      <w:r w:rsidRPr="000D0040">
        <w:t xml:space="preserve"> a corporation or its directors need an exemption but </w:t>
      </w:r>
      <w:r>
        <w:t>are</w:t>
      </w:r>
      <w:r w:rsidRPr="000D0040">
        <w:t xml:space="preserve"> not in a position to apply for one, such as in the event of natural disaster.</w:t>
      </w:r>
    </w:p>
    <w:p w14:paraId="0039072C" w14:textId="77777777" w:rsidR="00D86611" w:rsidRDefault="00D86611" w:rsidP="00C17130">
      <w:pPr>
        <w:pStyle w:val="BodyText"/>
      </w:pPr>
    </w:p>
    <w:p w14:paraId="26D4C155" w14:textId="77777777" w:rsidR="009E4ACF" w:rsidRDefault="009E4ACF"/>
    <w:p w14:paraId="4B09A303" w14:textId="77777777" w:rsidR="009E4ACF" w:rsidRDefault="009E4ACF"/>
    <w:sectPr w:rsidR="009E4ACF" w:rsidSect="001E42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8F8A" w14:textId="77777777" w:rsidR="00883CF8" w:rsidRDefault="00883CF8" w:rsidP="00B95533">
      <w:pPr>
        <w:spacing w:after="0" w:line="240" w:lineRule="auto"/>
      </w:pPr>
      <w:r>
        <w:separator/>
      </w:r>
    </w:p>
  </w:endnote>
  <w:endnote w:type="continuationSeparator" w:id="0">
    <w:p w14:paraId="43DAE61B" w14:textId="77777777" w:rsidR="00883CF8" w:rsidRDefault="00883CF8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1220" w14:textId="77777777" w:rsidR="00666AC2" w:rsidRDefault="00666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5ED45755" w14:textId="77777777" w:rsidR="009672EB" w:rsidRPr="00B87E45" w:rsidRDefault="002A1CA3" w:rsidP="001007B9">
        <w:pPr>
          <w:pStyle w:val="ProtectiveMarking"/>
        </w:pPr>
        <w:r>
          <w:t>OFFICIAL</w:t>
        </w:r>
      </w:p>
    </w:sdtContent>
  </w:sdt>
  <w:p w14:paraId="13273DBF" w14:textId="77777777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5BF09AE" wp14:editId="5CE31C3F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F4C2F5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0FBF7F88" wp14:editId="408C501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EE187" w14:textId="77777777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9E4ACF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18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9E4ACF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3788CB8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6EC34E8F025D474EABCE123A748DB2F8"/>
        </w:placeholder>
        <w:dataBinding w:xpath="/root[1]/SectionName[1]" w:storeItemID="{F533AE62-A212-4B26-92DA-A3B336E8AE06}"/>
        <w:text/>
      </w:sdtPr>
      <w:sdtEndPr/>
      <w:sdtContent>
        <w:r w:rsidR="002A1CA3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9E4ACF">
      <w:rPr>
        <w:b/>
        <w:bCs w:val="0"/>
        <w:noProof/>
        <w:color w:val="25303B" w:themeColor="accent1"/>
        <w:lang w:val="en-US"/>
      </w:rPr>
      <w:t>Error! No text of specified style in document.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dataBinding w:xpath="/root[1]/Classification[1]" w:storeItemID="{F533AE62-A212-4B26-92DA-A3B336E8AE06}"/>
      <w:text/>
    </w:sdtPr>
    <w:sdtEndPr/>
    <w:sdtContent>
      <w:p w14:paraId="4504A326" w14:textId="77777777" w:rsidR="009672EB" w:rsidRPr="00B87E45" w:rsidRDefault="002A1CA3" w:rsidP="00917F95">
        <w:pPr>
          <w:pStyle w:val="ProtectiveMarking"/>
        </w:pPr>
        <w:r>
          <w:t>OFFICIAL</w:t>
        </w:r>
      </w:p>
    </w:sdtContent>
  </w:sdt>
  <w:p w14:paraId="5DF3BA8D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14266CE" wp14:editId="6B6EA5C7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AA660C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6A489394" w14:textId="77777777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0EDAC54C" wp14:editId="79CFB95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EE6F8" w14:textId="77777777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666AC2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AC5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3FDEE6F8" w14:textId="77777777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666AC2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2A1CA3">
          <w:rPr>
            <w:color w:val="25303B" w:themeColor="accent1"/>
          </w:rPr>
          <w:t>CATSI Act Review</w:t>
        </w:r>
      </w:sdtContent>
    </w:sdt>
    <w:r w:rsidRPr="0040648D">
      <w:rPr>
        <w:color w:val="25303B" w:themeColor="accent1"/>
      </w:rPr>
      <w:t xml:space="preserve"> | </w:t>
    </w:r>
    <w:r w:rsidR="002A1CA3" w:rsidRPr="002A1CA3">
      <w:rPr>
        <w:color w:val="25303B" w:themeColor="accent1"/>
      </w:rPr>
      <w:t>Part 12—Modernising publication requirements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F9B91" w14:textId="77777777" w:rsidR="00883CF8" w:rsidRPr="007A6FC6" w:rsidRDefault="00883CF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7601E0CE" w14:textId="77777777" w:rsidR="00883CF8" w:rsidRPr="007A6FC6" w:rsidRDefault="00883CF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9E47" w14:textId="77777777" w:rsidR="00666AC2" w:rsidRDefault="00666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45587" w14:textId="77777777" w:rsidR="002C0B0E" w:rsidRDefault="00666AC2" w:rsidP="00510499">
    <w:pPr>
      <w:pStyle w:val="ProtectiveMarking"/>
    </w:pPr>
    <w:sdt>
      <w:sdtPr>
        <w:alias w:val="Classification"/>
        <w:tag w:val="Classification"/>
        <w:id w:val="336196887"/>
        <w:dataBinding w:xpath="/root[1]/Classification[1]" w:storeItemID="{F533AE62-A212-4B26-92DA-A3B336E8AE06}"/>
        <w:text/>
      </w:sdtPr>
      <w:sdtEndPr/>
      <w:sdtContent>
        <w:r w:rsidR="002A1CA3">
          <w:t>OFFICIAL</w:t>
        </w:r>
      </w:sdtContent>
    </w:sdt>
  </w:p>
  <w:p w14:paraId="74120517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3AEBBE8E" wp14:editId="00FA19DE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A3684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07CC" w14:textId="77777777" w:rsidR="009672EB" w:rsidRDefault="002A1CA3">
    <w:pPr>
      <w:pStyle w:val="Header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61E92100" wp14:editId="47A3E201">
          <wp:simplePos x="0" y="0"/>
          <wp:positionH relativeFrom="page">
            <wp:posOffset>535305</wp:posOffset>
          </wp:positionH>
          <wp:positionV relativeFrom="page">
            <wp:posOffset>257175</wp:posOffset>
          </wp:positionV>
          <wp:extent cx="2118360" cy="640080"/>
          <wp:effectExtent l="0" t="0" r="0" b="7620"/>
          <wp:wrapNone/>
          <wp:docPr id="53" name="Graphic 19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75221481" wp14:editId="37799864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FC64D" id="Straight Connector 4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4ED81429" wp14:editId="528A4EF2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1D5CA" w14:textId="77777777" w:rsidR="002A1CA3" w:rsidRPr="00661E36" w:rsidRDefault="002A1CA3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</w:pPr>
                          <w:r w:rsidRPr="00661E36">
                            <w:rPr>
                              <w:i/>
                              <w:iCs/>
                              <w:color w:val="25303B" w:themeColor="accent1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0F1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BmnHlB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:rsidR="002A1CA3" w:rsidRPr="00661E36" w:rsidRDefault="002A1CA3" w:rsidP="009672EB">
                    <w:pPr>
                      <w:spacing w:after="0" w:line="240" w:lineRule="auto"/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</w:pPr>
                    <w:r w:rsidRPr="00661E36">
                      <w:rPr>
                        <w:i/>
                        <w:iCs/>
                        <w:color w:val="25303B" w:themeColor="accent1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Start w:id="0" w:name="_GoBack"/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1F0382E4" wp14:editId="64C12AA9">
          <wp:simplePos x="0" y="0"/>
          <wp:positionH relativeFrom="page">
            <wp:posOffset>3016885</wp:posOffset>
          </wp:positionH>
          <wp:positionV relativeFrom="page">
            <wp:posOffset>291465</wp:posOffset>
          </wp:positionV>
          <wp:extent cx="1580400" cy="518400"/>
          <wp:effectExtent l="0" t="0" r="1270" b="0"/>
          <wp:wrapNone/>
          <wp:docPr id="52" name="Graphic 16" title="N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618E7A52" wp14:editId="31F78F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54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380E2E1E"/>
    <w:multiLevelType w:val="hybridMultilevel"/>
    <w:tmpl w:val="27A8B10C"/>
    <w:lvl w:ilvl="0" w:tplc="5A5C17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6CDA384C"/>
    <w:multiLevelType w:val="hybridMultilevel"/>
    <w:tmpl w:val="3F24B6CA"/>
    <w:lvl w:ilvl="0" w:tplc="AEAC7CE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5"/>
  </w:num>
  <w:num w:numId="20">
    <w:abstractNumId w:val="11"/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91"/>
    <w:rsid w:val="00002F73"/>
    <w:rsid w:val="00007EB1"/>
    <w:rsid w:val="00014206"/>
    <w:rsid w:val="00017775"/>
    <w:rsid w:val="000230F3"/>
    <w:rsid w:val="00023AC4"/>
    <w:rsid w:val="000304B2"/>
    <w:rsid w:val="00031B5C"/>
    <w:rsid w:val="00034193"/>
    <w:rsid w:val="00034FEC"/>
    <w:rsid w:val="0004082F"/>
    <w:rsid w:val="00040DAE"/>
    <w:rsid w:val="00042E89"/>
    <w:rsid w:val="00044BF9"/>
    <w:rsid w:val="000503A6"/>
    <w:rsid w:val="000508F0"/>
    <w:rsid w:val="00053CD9"/>
    <w:rsid w:val="00057B46"/>
    <w:rsid w:val="00063034"/>
    <w:rsid w:val="00067E05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D0040"/>
    <w:rsid w:val="000D106A"/>
    <w:rsid w:val="000D113F"/>
    <w:rsid w:val="000E351D"/>
    <w:rsid w:val="000E60F7"/>
    <w:rsid w:val="000F1B86"/>
    <w:rsid w:val="000F23B0"/>
    <w:rsid w:val="000F5917"/>
    <w:rsid w:val="001007B9"/>
    <w:rsid w:val="00102077"/>
    <w:rsid w:val="00105ECB"/>
    <w:rsid w:val="00131315"/>
    <w:rsid w:val="00131BD2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A3FA7"/>
    <w:rsid w:val="001B0144"/>
    <w:rsid w:val="001B10ED"/>
    <w:rsid w:val="001C224C"/>
    <w:rsid w:val="001C2FC8"/>
    <w:rsid w:val="001C4CCF"/>
    <w:rsid w:val="001D283B"/>
    <w:rsid w:val="001E4245"/>
    <w:rsid w:val="001F0654"/>
    <w:rsid w:val="001F3722"/>
    <w:rsid w:val="001F738E"/>
    <w:rsid w:val="0020007C"/>
    <w:rsid w:val="0021247A"/>
    <w:rsid w:val="002229A5"/>
    <w:rsid w:val="00226ED5"/>
    <w:rsid w:val="002317BD"/>
    <w:rsid w:val="00231B22"/>
    <w:rsid w:val="00233B91"/>
    <w:rsid w:val="00234705"/>
    <w:rsid w:val="00237365"/>
    <w:rsid w:val="00250BE6"/>
    <w:rsid w:val="00252F38"/>
    <w:rsid w:val="00260C56"/>
    <w:rsid w:val="00264A5E"/>
    <w:rsid w:val="00271572"/>
    <w:rsid w:val="00275ED4"/>
    <w:rsid w:val="00277016"/>
    <w:rsid w:val="0027769C"/>
    <w:rsid w:val="00281E3E"/>
    <w:rsid w:val="00284710"/>
    <w:rsid w:val="00285FC6"/>
    <w:rsid w:val="00294D1D"/>
    <w:rsid w:val="002955DD"/>
    <w:rsid w:val="002A0289"/>
    <w:rsid w:val="002A1CA3"/>
    <w:rsid w:val="002A371E"/>
    <w:rsid w:val="002B4B0A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072A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4E74"/>
    <w:rsid w:val="003F5F4B"/>
    <w:rsid w:val="003F7E70"/>
    <w:rsid w:val="0040648D"/>
    <w:rsid w:val="00414CEB"/>
    <w:rsid w:val="0041613E"/>
    <w:rsid w:val="004163FA"/>
    <w:rsid w:val="00423E92"/>
    <w:rsid w:val="004257F1"/>
    <w:rsid w:val="004366AE"/>
    <w:rsid w:val="0044371A"/>
    <w:rsid w:val="00454696"/>
    <w:rsid w:val="004616FF"/>
    <w:rsid w:val="00463F31"/>
    <w:rsid w:val="00465B48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3759F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258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46F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5F84"/>
    <w:rsid w:val="00657D2D"/>
    <w:rsid w:val="006616F4"/>
    <w:rsid w:val="00661E36"/>
    <w:rsid w:val="00663EAD"/>
    <w:rsid w:val="00666AC2"/>
    <w:rsid w:val="006674FC"/>
    <w:rsid w:val="006719C9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2CA9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5CC4"/>
    <w:rsid w:val="007D680C"/>
    <w:rsid w:val="007F7FED"/>
    <w:rsid w:val="008051C4"/>
    <w:rsid w:val="00805B42"/>
    <w:rsid w:val="00806393"/>
    <w:rsid w:val="00812B00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38B"/>
    <w:rsid w:val="00877425"/>
    <w:rsid w:val="008777F4"/>
    <w:rsid w:val="00880786"/>
    <w:rsid w:val="00883CF8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748F2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E4ACF"/>
    <w:rsid w:val="009F751D"/>
    <w:rsid w:val="00A00EF2"/>
    <w:rsid w:val="00A069F9"/>
    <w:rsid w:val="00A07F0E"/>
    <w:rsid w:val="00A10AC2"/>
    <w:rsid w:val="00A14EBB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A117F"/>
    <w:rsid w:val="00AB350C"/>
    <w:rsid w:val="00AB3C78"/>
    <w:rsid w:val="00AC1AA3"/>
    <w:rsid w:val="00AC4EB2"/>
    <w:rsid w:val="00AC6B86"/>
    <w:rsid w:val="00AC7F21"/>
    <w:rsid w:val="00AD0F94"/>
    <w:rsid w:val="00AD25F5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0DD8"/>
    <w:rsid w:val="00BE64F3"/>
    <w:rsid w:val="00BF5D56"/>
    <w:rsid w:val="00C00697"/>
    <w:rsid w:val="00C0095A"/>
    <w:rsid w:val="00C067D6"/>
    <w:rsid w:val="00C17130"/>
    <w:rsid w:val="00C2505E"/>
    <w:rsid w:val="00C464A7"/>
    <w:rsid w:val="00C511C3"/>
    <w:rsid w:val="00C51C42"/>
    <w:rsid w:val="00C52329"/>
    <w:rsid w:val="00C57F4E"/>
    <w:rsid w:val="00C66A73"/>
    <w:rsid w:val="00C67AA6"/>
    <w:rsid w:val="00C80CAE"/>
    <w:rsid w:val="00C86AD9"/>
    <w:rsid w:val="00C86F22"/>
    <w:rsid w:val="00C91A83"/>
    <w:rsid w:val="00C94A4C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41A9"/>
    <w:rsid w:val="00CF7819"/>
    <w:rsid w:val="00D171A8"/>
    <w:rsid w:val="00D36083"/>
    <w:rsid w:val="00D4602A"/>
    <w:rsid w:val="00D4643A"/>
    <w:rsid w:val="00D46EB7"/>
    <w:rsid w:val="00D52159"/>
    <w:rsid w:val="00D54C52"/>
    <w:rsid w:val="00D54CE5"/>
    <w:rsid w:val="00D55E22"/>
    <w:rsid w:val="00D611A9"/>
    <w:rsid w:val="00D6139D"/>
    <w:rsid w:val="00D620F7"/>
    <w:rsid w:val="00D621F3"/>
    <w:rsid w:val="00D66E0D"/>
    <w:rsid w:val="00D86611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367E"/>
    <w:rsid w:val="00DE710F"/>
    <w:rsid w:val="00DE7EED"/>
    <w:rsid w:val="00E02E5D"/>
    <w:rsid w:val="00E14B90"/>
    <w:rsid w:val="00E15D3A"/>
    <w:rsid w:val="00E23B18"/>
    <w:rsid w:val="00E36A04"/>
    <w:rsid w:val="00E401B3"/>
    <w:rsid w:val="00E46F31"/>
    <w:rsid w:val="00E50185"/>
    <w:rsid w:val="00E557B6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D5BAD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49D"/>
    <w:rsid w:val="00F46D66"/>
    <w:rsid w:val="00F4704F"/>
    <w:rsid w:val="00F50EE3"/>
    <w:rsid w:val="00F62EE2"/>
    <w:rsid w:val="00F651C4"/>
    <w:rsid w:val="00F707BB"/>
    <w:rsid w:val="00F7682E"/>
    <w:rsid w:val="00F83248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CE313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CommentReference">
    <w:name w:val="annotation reference"/>
    <w:basedOn w:val="DefaultParagraphFont"/>
    <w:uiPriority w:val="99"/>
    <w:semiHidden/>
    <w:unhideWhenUsed/>
    <w:rsid w:val="00752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CA9"/>
    <w:pPr>
      <w:spacing w:before="120" w:after="0" w:line="240" w:lineRule="auto"/>
    </w:pPr>
    <w:rPr>
      <w:rFonts w:ascii="Times New Roman" w:hAnsi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CA9"/>
    <w:rPr>
      <w:rFonts w:ascii="Times New Roman" w:hAnsi="Times New Roman"/>
      <w:color w:val="auto"/>
    </w:rPr>
  </w:style>
  <w:style w:type="paragraph" w:customStyle="1" w:styleId="Item">
    <w:name w:val="Item"/>
    <w:aliases w:val="i"/>
    <w:basedOn w:val="Normal"/>
    <w:next w:val="Normal"/>
    <w:link w:val="ItemChar"/>
    <w:rsid w:val="00752CA9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color w:val="auto"/>
      <w:sz w:val="22"/>
      <w:lang w:eastAsia="en-AU"/>
    </w:rPr>
  </w:style>
  <w:style w:type="character" w:customStyle="1" w:styleId="ItemChar">
    <w:name w:val="Item Char"/>
    <w:aliases w:val="i Char"/>
    <w:link w:val="Item"/>
    <w:rsid w:val="00752CA9"/>
    <w:rPr>
      <w:rFonts w:ascii="Times New Roman" w:eastAsia="Times New Roman" w:hAnsi="Times New Roman" w:cs="Times New Roman"/>
      <w:color w:val="auto"/>
      <w:sz w:val="2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39D"/>
    <w:pPr>
      <w:spacing w:before="0" w:after="120"/>
    </w:pPr>
    <w:rPr>
      <w:rFonts w:asciiTheme="minorHAnsi" w:hAnsiTheme="minorHAnsi"/>
      <w:b/>
      <w:bCs/>
      <w:color w:val="262626" w:themeColor="text1" w:themeTint="D9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39D"/>
    <w:rPr>
      <w:rFonts w:ascii="Times New Roman" w:hAnsi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34E8F025D474EABCE123A748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519E-7EA5-4F93-9491-4B35EDFA874B}"/>
      </w:docPartPr>
      <w:docPartBody>
        <w:p w:rsidR="00A72141" w:rsidRDefault="00A72141">
          <w:pPr>
            <w:pStyle w:val="6EC34E8F025D474EABCE123A748DB2F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1"/>
    <w:rsid w:val="00156342"/>
    <w:rsid w:val="00196187"/>
    <w:rsid w:val="00A72141"/>
    <w:rsid w:val="00B5042B"/>
    <w:rsid w:val="00B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6EC34E8F025D474EABCE123A748DB2F8">
    <w:name w:val="6EC34E8F025D474EABCE123A748DB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>OFFICIAL</Classification>
  <DLM/>
  <SectionName>CATSI Act Review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hc4a8f51d7584793bcee84017ea96cb3>
    <ShareHubID xmlns="166541c0-0594-4e6a-9105-c24d4b6de6f7">DOC21-180264</ShareHubID>
    <TaxCatchAll xmlns="166541c0-0594-4e6a-9105-c24d4b6de6f7">
      <Value>56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AE60FCA8-4321-4E88-86D8-429D4298E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F7478-ED21-4D73-BA06-F755F1C35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EE1FE-FCFF-4FAD-A240-AA6B54D092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39CF013-D4A6-4CED-AE65-7E419106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2021-07-05T00:07:00Z</dcterms:created>
  <dcterms:modified xsi:type="dcterms:W3CDTF">2021-07-05T00:07:00Z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56;#Official|f53c1d54-6e59-4b8b-8af5-a00f9baa8e57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2021-07-05T10:16:17</vt:lpwstr>
  </property>
</Properties>
</file>