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A9CD5" w14:textId="77777777" w:rsidR="004163FA" w:rsidRDefault="00206466" w:rsidP="004163FA">
      <w:pPr>
        <w:pStyle w:val="ProtectiveMarking"/>
        <w:rPr>
          <w:caps w:val="0"/>
          <w:noProof w:val="0"/>
          <w:color w:val="191919" w:themeColor="text1" w:themeTint="E6"/>
        </w:rPr>
      </w:pPr>
      <w:sdt>
        <w:sdtPr>
          <w:alias w:val="Classification"/>
          <w:tag w:val="Classification"/>
          <w:id w:val="-521240474"/>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AC6A0D">
            <w:t>OFFICIAL</w:t>
          </w:r>
        </w:sdtContent>
      </w:sdt>
    </w:p>
    <w:p w14:paraId="155F8B85" w14:textId="77777777" w:rsidR="006B0488" w:rsidRDefault="0040648D" w:rsidP="006B0488">
      <w:r>
        <w:rPr>
          <w:noProof/>
          <w:lang w:eastAsia="en-AU"/>
        </w:rPr>
        <mc:AlternateContent>
          <mc:Choice Requires="wps">
            <w:drawing>
              <wp:anchor distT="0" distB="0" distL="114300" distR="114300" simplePos="0" relativeHeight="251658240" behindDoc="0" locked="1" layoutInCell="1" allowOverlap="1" wp14:anchorId="0EAA6B2B" wp14:editId="3ADE0FC9">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14:paraId="3C49FE2E" w14:textId="77777777" w:rsidR="00413AB7" w:rsidRPr="00C91A83" w:rsidRDefault="00413AB7" w:rsidP="0040648D">
                                <w:pPr>
                                  <w:pStyle w:val="SectionNameRev"/>
                                </w:pPr>
                                <w:r>
                                  <w:t>CATSI Act Review</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AA6B2B" id="_x0000_t202" coordsize="21600,21600" o:spt="202" path="m,l,21600r21600,l21600,xe">
                <v:stroke joinstyle="miter"/>
                <v:path gradientshapeok="t" o:connecttype="rect"/>
              </v:shapetype>
              <v:shape id="Text Box 45" o:spid="_x0000_s1026" type="#_x0000_t202" style="position:absolute;margin-left:0;margin-top:0;width:595.1pt;height:65.6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6EC34E8F025D474EABCE123A748DB2F8"/>
                        </w:placeholder>
                        <w:dataBinding w:xpath="/root[1]/SectionName[1]" w:storeItemID="{F533AE62-A212-4B26-92DA-A3B336E8AE06}"/>
                        <w:text w:multiLine="1"/>
                      </w:sdtPr>
                      <w:sdtEndPr/>
                      <w:sdtContent>
                        <w:p w14:paraId="3C49FE2E" w14:textId="77777777" w:rsidR="00413AB7" w:rsidRPr="00C91A83" w:rsidRDefault="00413AB7" w:rsidP="0040648D">
                          <w:pPr>
                            <w:pStyle w:val="SectionNameRev"/>
                          </w:pPr>
                          <w:r>
                            <w:t>CATSI Act Review</w:t>
                          </w:r>
                        </w:p>
                      </w:sdtContent>
                    </w:sdt>
                  </w:txbxContent>
                </v:textbox>
                <w10:wrap type="topAndBottom" anchorx="page" anchory="page"/>
                <w10:anchorlock/>
              </v:shape>
            </w:pict>
          </mc:Fallback>
        </mc:AlternateContent>
      </w:r>
    </w:p>
    <w:p w14:paraId="0D7835A0" w14:textId="77777777" w:rsidR="0086672B" w:rsidRPr="008253D2" w:rsidRDefault="001D09EB" w:rsidP="00233B91">
      <w:pPr>
        <w:pStyle w:val="Heading1"/>
        <w:rPr>
          <w:rFonts w:eastAsiaTheme="majorEastAsia" w:cstheme="majorBidi"/>
        </w:rPr>
      </w:pPr>
      <w:r w:rsidRPr="008253D2">
        <w:rPr>
          <w:rFonts w:eastAsiaTheme="majorEastAsia" w:cstheme="majorBidi"/>
        </w:rPr>
        <w:t>Part 1</w:t>
      </w:r>
      <w:r w:rsidR="007F0394" w:rsidRPr="008253D2">
        <w:rPr>
          <w:rFonts w:eastAsiaTheme="majorEastAsia" w:cstheme="majorBidi"/>
        </w:rPr>
        <w:t>4</w:t>
      </w:r>
      <w:r w:rsidRPr="008253D2">
        <w:rPr>
          <w:rFonts w:eastAsiaTheme="majorEastAsia" w:cstheme="majorBidi"/>
        </w:rPr>
        <w:t>—</w:t>
      </w:r>
      <w:proofErr w:type="gramStart"/>
      <w:r w:rsidRPr="008253D2">
        <w:rPr>
          <w:rFonts w:eastAsiaTheme="majorEastAsia" w:cstheme="majorBidi"/>
        </w:rPr>
        <w:t>Improving</w:t>
      </w:r>
      <w:proofErr w:type="gramEnd"/>
      <w:r w:rsidRPr="008253D2">
        <w:rPr>
          <w:rFonts w:eastAsiaTheme="majorEastAsia" w:cstheme="majorBidi"/>
        </w:rPr>
        <w:t xml:space="preserve"> consistency with Corporations Act</w:t>
      </w:r>
    </w:p>
    <w:p w14:paraId="57ADF977" w14:textId="77777777" w:rsidR="00B3499A" w:rsidRDefault="00B3499A" w:rsidP="00B3499A">
      <w:pPr>
        <w:pStyle w:val="Heading2"/>
      </w:pPr>
      <w:r>
        <w:t xml:space="preserve">Item 216—Protection for </w:t>
      </w:r>
      <w:proofErr w:type="spellStart"/>
      <w:r>
        <w:t>whistleblowers</w:t>
      </w:r>
      <w:proofErr w:type="spellEnd"/>
    </w:p>
    <w:p w14:paraId="484828DD" w14:textId="77777777" w:rsidR="00AC6A0D" w:rsidRDefault="00AC6A0D" w:rsidP="00AC6A0D">
      <w:r>
        <w:t>Item 216 in the CATS</w:t>
      </w:r>
      <w:r w:rsidR="00B3499A">
        <w:t>I</w:t>
      </w:r>
      <w:r>
        <w:t xml:space="preserve"> Amendment Bill is based on recommendation 49 in the CATSI Act Review final report:</w:t>
      </w:r>
    </w:p>
    <w:p w14:paraId="13548FF0" w14:textId="77777777" w:rsidR="00AC6A0D" w:rsidRDefault="00AC6A0D" w:rsidP="00AC6A0D">
      <w:pPr>
        <w:rPr>
          <w:i/>
        </w:rPr>
      </w:pPr>
      <w:r w:rsidRPr="00AC6A0D">
        <w:rPr>
          <w:i/>
        </w:rPr>
        <w:t xml:space="preserve">It is recommended the CATSI Act be amended to incorporate the 2019 </w:t>
      </w:r>
      <w:proofErr w:type="spellStart"/>
      <w:r w:rsidRPr="00AC6A0D">
        <w:rPr>
          <w:i/>
        </w:rPr>
        <w:t>whistleblower</w:t>
      </w:r>
      <w:proofErr w:type="spellEnd"/>
      <w:r w:rsidRPr="00AC6A0D">
        <w:rPr>
          <w:i/>
        </w:rPr>
        <w:t xml:space="preserve"> provisions that were incorporated into the Corporations Act.</w:t>
      </w:r>
    </w:p>
    <w:p w14:paraId="2E22A203" w14:textId="77777777" w:rsidR="00AC6A0D" w:rsidRDefault="00AC6A0D" w:rsidP="00AC6A0D">
      <w:pPr>
        <w:spacing w:before="240" w:after="0" w:line="240" w:lineRule="auto"/>
      </w:pPr>
      <w:r>
        <w:t xml:space="preserve">This item is being taken forward in a different way from the recommendation but based on the same principle. Instead of incorporating Part 9.4AAA of the </w:t>
      </w:r>
      <w:r w:rsidRPr="00AC6A0D">
        <w:rPr>
          <w:i/>
        </w:rPr>
        <w:t>Corporations Act</w:t>
      </w:r>
      <w:r>
        <w:t xml:space="preserve"> </w:t>
      </w:r>
      <w:r w:rsidRPr="00AC6A0D">
        <w:rPr>
          <w:i/>
        </w:rPr>
        <w:t>2001</w:t>
      </w:r>
      <w:r>
        <w:rPr>
          <w:i/>
        </w:rPr>
        <w:t xml:space="preserve"> </w:t>
      </w:r>
      <w:r>
        <w:t>(Corporations Act), the CATSI Act will refer to that part which will enable the CATSI Act to remain up-to-date with any changes.</w:t>
      </w:r>
    </w:p>
    <w:p w14:paraId="01AE0CEF" w14:textId="77777777" w:rsidR="00AC6A0D" w:rsidRDefault="00AC6A0D" w:rsidP="00AC6A0D">
      <w:pPr>
        <w:spacing w:before="240" w:after="0" w:line="240" w:lineRule="auto"/>
      </w:pPr>
      <w:r>
        <w:t xml:space="preserve">Item 216 repeals the existing Part 10-5 that outlines provisions for the protection of </w:t>
      </w:r>
      <w:proofErr w:type="spellStart"/>
      <w:r>
        <w:t>whistleblowers</w:t>
      </w:r>
      <w:proofErr w:type="spellEnd"/>
      <w:r>
        <w:t xml:space="preserve"> and </w:t>
      </w:r>
      <w:r w:rsidR="008253D2">
        <w:t xml:space="preserve">refers to </w:t>
      </w:r>
      <w:r>
        <w:t xml:space="preserve">Part 9.4AAA from </w:t>
      </w:r>
      <w:r w:rsidRPr="00AC6A0D">
        <w:rPr>
          <w:i/>
        </w:rPr>
        <w:t xml:space="preserve">the Corporations Act 2001 </w:t>
      </w:r>
      <w:r>
        <w:t xml:space="preserve">with appropriate changes to reflect the context of Aboriginal and Torres Strait Islander corporations. </w:t>
      </w:r>
    </w:p>
    <w:p w14:paraId="0D32D703" w14:textId="77777777" w:rsidR="00B3499A" w:rsidRDefault="00AC6A0D" w:rsidP="002315ED">
      <w:pPr>
        <w:spacing w:before="240" w:after="0" w:line="240" w:lineRule="auto"/>
      </w:pPr>
      <w:r>
        <w:t xml:space="preserve">Proposed subsection 466-1(1) substitutes references in the </w:t>
      </w:r>
      <w:r w:rsidRPr="00AC6A0D">
        <w:t xml:space="preserve">Corporations Act </w:t>
      </w:r>
      <w:r>
        <w:t>with relevant refer</w:t>
      </w:r>
      <w:r w:rsidR="002D4C86">
        <w:t>e</w:t>
      </w:r>
      <w:r>
        <w:t>nces for CATSI corpo</w:t>
      </w:r>
      <w:r w:rsidR="00B3499A">
        <w:t>r</w:t>
      </w:r>
      <w:r>
        <w:t>ations. Proposed subsection 466-1(2) indicates the provisions in the Corporations Act apply onl</w:t>
      </w:r>
      <w:r w:rsidR="00B3499A">
        <w:t xml:space="preserve">y to the extent </w:t>
      </w:r>
      <w:r w:rsidR="002D4C86">
        <w:t>capable</w:t>
      </w:r>
      <w:r w:rsidR="00B3499A">
        <w:t xml:space="preserve"> and with any modifications that are outlined in the Corporations (Aboriginal and Torres </w:t>
      </w:r>
      <w:r w:rsidR="00B3499A">
        <w:lastRenderedPageBreak/>
        <w:t>Strait Islander) Regulations 2017.</w:t>
      </w:r>
      <w:r w:rsidR="00B3499A" w:rsidRPr="00B3499A">
        <w:t xml:space="preserve"> </w:t>
      </w:r>
      <w:r w:rsidR="00B3499A">
        <w:t>Proposed subsection 466-1(3) indicates that regulations made for the purposes of this provision should not increase any penalties and should not expand the scope of an offence, as outlined in the Corporations Act.</w:t>
      </w:r>
      <w:r w:rsidR="00B3499A" w:rsidRPr="00B3499A">
        <w:t xml:space="preserve"> </w:t>
      </w:r>
      <w:r w:rsidR="00B3499A">
        <w:t xml:space="preserve">Subsection 466-1(4) includes </w:t>
      </w:r>
      <w:r w:rsidR="002D4C86">
        <w:t>definitions</w:t>
      </w:r>
      <w:r w:rsidR="00B3499A">
        <w:t xml:space="preserve"> for ‘Corporations Act </w:t>
      </w:r>
      <w:proofErr w:type="spellStart"/>
      <w:r w:rsidR="00B3499A">
        <w:t>whistleblower</w:t>
      </w:r>
      <w:proofErr w:type="spellEnd"/>
      <w:r w:rsidR="00B3499A">
        <w:t xml:space="preserve"> protection provisions’ and ‘regulated entity’.</w:t>
      </w:r>
    </w:p>
    <w:p w14:paraId="726F4BAE" w14:textId="77777777" w:rsidR="0072227A" w:rsidRDefault="00B3499A" w:rsidP="00B3499A">
      <w:pPr>
        <w:pStyle w:val="Heading2"/>
      </w:pPr>
      <w:r>
        <w:t>Items 217 and 218—</w:t>
      </w:r>
      <w:r w:rsidR="00ED4E9B">
        <w:t>False and/or misleading information</w:t>
      </w:r>
    </w:p>
    <w:p w14:paraId="32B74EE2" w14:textId="77777777" w:rsidR="00ED4E9B" w:rsidRPr="00ED4E9B" w:rsidRDefault="00ED4E9B" w:rsidP="00ED4E9B">
      <w:pPr>
        <w:pStyle w:val="BodyText"/>
      </w:pPr>
      <w:r>
        <w:t>Items 217 and 218 are based on recommendation 48 in the CATSI Act Review final report:</w:t>
      </w:r>
    </w:p>
    <w:p w14:paraId="3D5A0865" w14:textId="77777777" w:rsidR="00ED4E9B" w:rsidRPr="002C1FB9" w:rsidRDefault="00ED4E9B" w:rsidP="00ED4E9B">
      <w:pPr>
        <w:pStyle w:val="TableBullet"/>
        <w:numPr>
          <w:ilvl w:val="0"/>
          <w:numId w:val="0"/>
        </w:numPr>
        <w:ind w:left="284" w:hanging="284"/>
        <w:rPr>
          <w:i/>
          <w:sz w:val="20"/>
        </w:rPr>
      </w:pPr>
      <w:r w:rsidRPr="002C1FB9">
        <w:rPr>
          <w:i/>
          <w:sz w:val="20"/>
        </w:rPr>
        <w:t>It is recommended the CATSI Act be amended to:</w:t>
      </w:r>
    </w:p>
    <w:p w14:paraId="4200F1CB" w14:textId="77777777" w:rsidR="00ED4E9B" w:rsidRPr="002C1FB9" w:rsidRDefault="00ED4E9B" w:rsidP="00ED4E9B">
      <w:pPr>
        <w:pStyle w:val="TableBullet"/>
        <w:numPr>
          <w:ilvl w:val="0"/>
          <w:numId w:val="30"/>
        </w:numPr>
        <w:rPr>
          <w:i/>
          <w:sz w:val="20"/>
        </w:rPr>
      </w:pPr>
      <w:r w:rsidRPr="002C1FB9">
        <w:rPr>
          <w:i/>
          <w:sz w:val="20"/>
        </w:rPr>
        <w:t>include an explanation of what reasonable steps means in the context of providing false and/or misleading information in relation to a corporation’s affairs; and</w:t>
      </w:r>
    </w:p>
    <w:p w14:paraId="3948D030" w14:textId="77777777" w:rsidR="00ED4E9B" w:rsidRPr="002C1FB9" w:rsidRDefault="00ED4E9B" w:rsidP="00ED4E9B">
      <w:pPr>
        <w:pStyle w:val="TableBullet"/>
        <w:numPr>
          <w:ilvl w:val="0"/>
          <w:numId w:val="30"/>
        </w:numPr>
        <w:rPr>
          <w:i/>
          <w:sz w:val="20"/>
        </w:rPr>
      </w:pPr>
      <w:r w:rsidRPr="002C1FB9">
        <w:rPr>
          <w:i/>
          <w:sz w:val="20"/>
        </w:rPr>
        <w:t>align the penalties for providing false or misleading information in relation to a corporation’s affairs to the lower penalty of 100 penalty units or imprisonment for two years or both</w:t>
      </w:r>
      <w:r w:rsidR="002D4C86">
        <w:rPr>
          <w:i/>
          <w:sz w:val="20"/>
        </w:rPr>
        <w:t xml:space="preserve">, </w:t>
      </w:r>
      <w:r w:rsidR="0072227A" w:rsidRPr="002C1FB9">
        <w:rPr>
          <w:i/>
          <w:sz w:val="20"/>
        </w:rPr>
        <w:t>aligning the penalties for the similar offences of providing false and/or misleading information, and providing an explanation of what ‘reasonable steps’ are in this context.</w:t>
      </w:r>
    </w:p>
    <w:p w14:paraId="39679A4E" w14:textId="77777777" w:rsidR="00ED4E9B" w:rsidRDefault="00ED4E9B" w:rsidP="00ED4E9B">
      <w:pPr>
        <w:pStyle w:val="TableBullet"/>
        <w:numPr>
          <w:ilvl w:val="0"/>
          <w:numId w:val="0"/>
        </w:numPr>
      </w:pPr>
    </w:p>
    <w:p w14:paraId="56976625" w14:textId="77777777" w:rsidR="00ED4E9B" w:rsidRDefault="00ED4E9B">
      <w:r>
        <w:br w:type="page"/>
      </w:r>
    </w:p>
    <w:p w14:paraId="0936820C" w14:textId="77777777" w:rsidR="00ED4E9B" w:rsidRDefault="00ED4E9B" w:rsidP="00ED4E9B">
      <w:pPr>
        <w:pStyle w:val="BodyText"/>
        <w:rPr>
          <w:szCs w:val="24"/>
        </w:rPr>
      </w:pPr>
      <w:r>
        <w:lastRenderedPageBreak/>
        <w:t xml:space="preserve">This item is being taken forward as recommended. Item 217 </w:t>
      </w:r>
      <w:r>
        <w:rPr>
          <w:szCs w:val="24"/>
        </w:rPr>
        <w:t xml:space="preserve">replaces the existing penalty for a person who, related to a document required under the CATSI Act or lodged with the Registrar, makes or authorises the making of a statement that is false or misleading in a material way, or omits or authorises the omission of something without which the document is materially misleading. </w:t>
      </w:r>
    </w:p>
    <w:p w14:paraId="0B27A95B" w14:textId="77777777" w:rsidR="00ED4E9B" w:rsidRDefault="00950B51" w:rsidP="00ED4E9B">
      <w:pPr>
        <w:pStyle w:val="BodyText"/>
        <w:rPr>
          <w:szCs w:val="24"/>
        </w:rPr>
      </w:pPr>
      <w:r>
        <w:rPr>
          <w:szCs w:val="24"/>
        </w:rPr>
        <w:t xml:space="preserve">The existing penalty is 200 penalty units or imprisonment for 5 years, or both. </w:t>
      </w:r>
      <w:r w:rsidR="00ED4E9B" w:rsidRPr="00ED4E9B">
        <w:t>This</w:t>
      </w:r>
      <w:r w:rsidR="00ED4E9B">
        <w:rPr>
          <w:szCs w:val="24"/>
        </w:rPr>
        <w:t xml:space="preserve"> change revises the penalty to 100 penalty units or imprisonment for 2 years, or both, which is consistent with the penalty for a similar offence under section 561-5(2) of the CATSI Act. This change aligns the penalties for the two similar offences.</w:t>
      </w:r>
    </w:p>
    <w:p w14:paraId="0B98B4DF" w14:textId="77777777" w:rsidR="00950B51" w:rsidRDefault="00950B51" w:rsidP="0088330D">
      <w:pPr>
        <w:pStyle w:val="BodyText"/>
        <w:rPr>
          <w:szCs w:val="24"/>
        </w:rPr>
      </w:pPr>
      <w:r>
        <w:rPr>
          <w:szCs w:val="24"/>
        </w:rPr>
        <w:t>Item 218 provides an explanation of the actions that could be considered as reasonable steps to prevent providing</w:t>
      </w:r>
      <w:r w:rsidR="0088330D">
        <w:rPr>
          <w:szCs w:val="24"/>
        </w:rPr>
        <w:t>,</w:t>
      </w:r>
      <w:r>
        <w:rPr>
          <w:szCs w:val="24"/>
        </w:rPr>
        <w:t xml:space="preserve"> or authorising the provision of</w:t>
      </w:r>
      <w:r w:rsidR="0088330D">
        <w:rPr>
          <w:szCs w:val="24"/>
        </w:rPr>
        <w:t>,</w:t>
      </w:r>
      <w:r>
        <w:rPr>
          <w:szCs w:val="24"/>
        </w:rPr>
        <w:t xml:space="preserve"> information to a director, auditor or member that is materially false or misleading. The addition of these subsections assists officers and employees of Aboriginal and Torres Strait Islander corporations with understanding their responsibilities to ensure that information is accurate and the steps that are expected from them to do so. </w:t>
      </w:r>
    </w:p>
    <w:p w14:paraId="7C5F73F3" w14:textId="77777777" w:rsidR="00DC4556" w:rsidRDefault="00DC4556" w:rsidP="00DC4556">
      <w:pPr>
        <w:pStyle w:val="Heading2"/>
      </w:pPr>
      <w:r>
        <w:t>Items 219, 220, and 221—Qualified privilege for auditors</w:t>
      </w:r>
    </w:p>
    <w:p w14:paraId="74F0202B" w14:textId="77777777" w:rsidR="00DC4556" w:rsidRDefault="00DC4556" w:rsidP="00DC4556">
      <w:pPr>
        <w:pStyle w:val="BodyText"/>
      </w:pPr>
      <w:r>
        <w:t>Items 219, 220 and 221 are based on recommendation 53 in the CATSI Act Review final report:</w:t>
      </w:r>
    </w:p>
    <w:p w14:paraId="3B0F0B3B" w14:textId="77777777" w:rsidR="00AC6A0D" w:rsidRDefault="00DC4556" w:rsidP="00DC4556">
      <w:pPr>
        <w:pStyle w:val="BodyText"/>
        <w:rPr>
          <w:i/>
        </w:rPr>
      </w:pPr>
      <w:r w:rsidRPr="00DC4556">
        <w:rPr>
          <w:i/>
        </w:rPr>
        <w:t xml:space="preserve">It is recommended the CATSI Act be amended to provide auditors with qualified privilege consistent with the Corporations Act. </w:t>
      </w:r>
    </w:p>
    <w:p w14:paraId="4B2EA8C8" w14:textId="77777777" w:rsidR="00DC4556" w:rsidRPr="00313817" w:rsidRDefault="00DC4556" w:rsidP="002C1FB9">
      <w:pPr>
        <w:pStyle w:val="BodyText"/>
      </w:pPr>
      <w:r>
        <w:t xml:space="preserve">This recommendation is being taken forward as suggested. Item 219 removes the words “Registrar, Minister </w:t>
      </w:r>
      <w:proofErr w:type="spellStart"/>
      <w:r>
        <w:t>etc</w:t>
      </w:r>
      <w:proofErr w:type="spellEnd"/>
      <w:r>
        <w:t>” from the heading of Part 15-3</w:t>
      </w:r>
      <w:r w:rsidR="002C1FB9">
        <w:t xml:space="preserve"> of the CATSI Ac</w:t>
      </w:r>
      <w:r w:rsidR="002D4C86">
        <w:t>t</w:t>
      </w:r>
      <w:r>
        <w:t xml:space="preserve"> to reflect the broader scope of Part 15-3 relating to the qualified privilege of auditors proposed in the following items.</w:t>
      </w:r>
    </w:p>
    <w:p w14:paraId="580DCC08" w14:textId="77777777" w:rsidR="002C1FB9" w:rsidRPr="00F500FA" w:rsidRDefault="002C1FB9" w:rsidP="002C1FB9">
      <w:pPr>
        <w:spacing w:before="240" w:after="0" w:line="240" w:lineRule="auto"/>
      </w:pPr>
      <w:r>
        <w:t>Item 220</w:t>
      </w:r>
      <w:r w:rsidRPr="002C1FB9">
        <w:t xml:space="preserve"> </w:t>
      </w:r>
      <w:r w:rsidRPr="00F500FA">
        <w:t>inserts Division 610 dealing with qualified privilege for auditors.</w:t>
      </w:r>
      <w:r>
        <w:t xml:space="preserve"> Proposed section 610-1 </w:t>
      </w:r>
      <w:r w:rsidRPr="00F500FA">
        <w:t xml:space="preserve">provides for auditors and other </w:t>
      </w:r>
      <w:r w:rsidRPr="00F500FA">
        <w:lastRenderedPageBreak/>
        <w:t xml:space="preserve">persons to enjoy qualified privilege in certain circumstances. It is based on section 1289 of the </w:t>
      </w:r>
      <w:r>
        <w:t>Corporations Act</w:t>
      </w:r>
      <w:r w:rsidRPr="00F500FA">
        <w:t xml:space="preserve">. </w:t>
      </w:r>
    </w:p>
    <w:p w14:paraId="245944C5" w14:textId="77777777" w:rsidR="002C1FB9" w:rsidRDefault="002C1FB9" w:rsidP="002C1FB9">
      <w:pPr>
        <w:spacing w:before="240" w:after="0" w:line="240" w:lineRule="auto"/>
      </w:pPr>
      <w:r>
        <w:t>Item 221 adds proposed section 694-67 which sets out</w:t>
      </w:r>
      <w:r w:rsidRPr="00F500FA">
        <w:t xml:space="preserve"> the meaning of qualified privilege</w:t>
      </w:r>
      <w:r>
        <w:t xml:space="preserve"> for the purposes of the Act</w:t>
      </w:r>
      <w:r w:rsidRPr="00F500FA">
        <w:t xml:space="preserve">. </w:t>
      </w:r>
      <w:r>
        <w:t xml:space="preserve">It is based on section 89 of the </w:t>
      </w:r>
      <w:r w:rsidRPr="002C1FB9">
        <w:t>Corporations Act</w:t>
      </w:r>
      <w:r>
        <w:t>.</w:t>
      </w:r>
    </w:p>
    <w:p w14:paraId="0FB008B2" w14:textId="77777777" w:rsidR="002C1FB9" w:rsidRDefault="002C1FB9" w:rsidP="002C1FB9">
      <w:pPr>
        <w:pStyle w:val="Heading2"/>
      </w:pPr>
      <w:r>
        <w:t>Item 222—Definitions</w:t>
      </w:r>
    </w:p>
    <w:p w14:paraId="6F4A40F2" w14:textId="77777777" w:rsidR="00233B91" w:rsidRDefault="002C1FB9" w:rsidP="002C1FB9">
      <w:pPr>
        <w:spacing w:before="240" w:after="0" w:line="240" w:lineRule="auto"/>
      </w:pPr>
      <w:r>
        <w:t>Item 222</w:t>
      </w:r>
      <w:r w:rsidRPr="002C1FB9">
        <w:t xml:space="preserve"> </w:t>
      </w:r>
      <w:r>
        <w:t>inserts</w:t>
      </w:r>
      <w:r w:rsidRPr="00F500FA">
        <w:t xml:space="preserve"> a </w:t>
      </w:r>
      <w:r>
        <w:t xml:space="preserve">signpost </w:t>
      </w:r>
      <w:r w:rsidRPr="00F500FA">
        <w:t xml:space="preserve">definition of </w:t>
      </w:r>
      <w:r>
        <w:t>‘</w:t>
      </w:r>
      <w:r w:rsidRPr="002C1FB9">
        <w:rPr>
          <w:szCs w:val="24"/>
        </w:rPr>
        <w:t xml:space="preserve">Corporations Act </w:t>
      </w:r>
      <w:proofErr w:type="spellStart"/>
      <w:r w:rsidRPr="002C1FB9">
        <w:rPr>
          <w:szCs w:val="24"/>
        </w:rPr>
        <w:t>whistleblower</w:t>
      </w:r>
      <w:proofErr w:type="spellEnd"/>
      <w:r w:rsidRPr="002C1FB9">
        <w:rPr>
          <w:szCs w:val="24"/>
        </w:rPr>
        <w:t xml:space="preserve"> protection provisions’,</w:t>
      </w:r>
      <w:r>
        <w:t xml:space="preserve"> ‘</w:t>
      </w:r>
      <w:r w:rsidRPr="00F500FA">
        <w:t>qualified privilege</w:t>
      </w:r>
      <w:r>
        <w:t>’ and ‘</w:t>
      </w:r>
      <w:r w:rsidRPr="002C1FB9">
        <w:rPr>
          <w:szCs w:val="24"/>
        </w:rPr>
        <w:t>regulated entity’</w:t>
      </w:r>
      <w:r w:rsidRPr="00F500FA">
        <w:t xml:space="preserve"> </w:t>
      </w:r>
      <w:r>
        <w:t xml:space="preserve">by </w:t>
      </w:r>
      <w:r w:rsidRPr="00F500FA">
        <w:t>referring the reader to section</w:t>
      </w:r>
      <w:r>
        <w:t>s</w:t>
      </w:r>
      <w:r w:rsidRPr="00F500FA">
        <w:t xml:space="preserve"> </w:t>
      </w:r>
      <w:r>
        <w:t>466-1, 694-67 and 466-1, respectively</w:t>
      </w:r>
      <w:r w:rsidRPr="00F500FA">
        <w:t xml:space="preserve">. </w:t>
      </w:r>
    </w:p>
    <w:sectPr w:rsidR="00233B91" w:rsidSect="001E4245">
      <w:headerReference w:type="even" r:id="rId12"/>
      <w:headerReference w:type="default" r:id="rId13"/>
      <w:footerReference w:type="even" r:id="rId14"/>
      <w:footerReference w:type="default" r:id="rId15"/>
      <w:headerReference w:type="first" r:id="rId16"/>
      <w:footerReference w:type="first" r:id="rId17"/>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A2568" w14:textId="77777777" w:rsidR="00E254CE" w:rsidRDefault="00E254CE" w:rsidP="00B95533">
      <w:pPr>
        <w:spacing w:after="0" w:line="240" w:lineRule="auto"/>
      </w:pPr>
      <w:r>
        <w:separator/>
      </w:r>
    </w:p>
  </w:endnote>
  <w:endnote w:type="continuationSeparator" w:id="0">
    <w:p w14:paraId="42698C58" w14:textId="77777777" w:rsidR="00E254CE" w:rsidRDefault="00E254CE" w:rsidP="00B95533">
      <w:pPr>
        <w:spacing w:after="0" w:line="240" w:lineRule="auto"/>
      </w:pPr>
      <w:r>
        <w:continuationSeparator/>
      </w:r>
    </w:p>
  </w:endnote>
  <w:endnote w:type="continuationNotice" w:id="1">
    <w:p w14:paraId="55FE4A33" w14:textId="77777777" w:rsidR="00E254CE" w:rsidRDefault="00E254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439C4" w14:textId="77777777" w:rsidR="0006447B" w:rsidRDefault="00064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735F429E" w14:textId="77777777" w:rsidR="00413AB7" w:rsidRPr="00B87E45" w:rsidRDefault="00413AB7" w:rsidP="001007B9">
        <w:pPr>
          <w:pStyle w:val="ProtectiveMarking"/>
        </w:pPr>
        <w:r>
          <w:t>OFFICIAL</w:t>
        </w:r>
      </w:p>
    </w:sdtContent>
  </w:sdt>
  <w:p w14:paraId="288B903A" w14:textId="77777777" w:rsidR="00413AB7" w:rsidRPr="00A477A0" w:rsidRDefault="00413AB7"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58242" behindDoc="0" locked="0" layoutInCell="1" allowOverlap="1" wp14:anchorId="7F41DD94" wp14:editId="1CDE7074">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457F0" id="Straight Connector 194" o:spid="_x0000_s1026"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58240" behindDoc="0" locked="1" layoutInCell="1" allowOverlap="1" wp14:anchorId="1C8CC505" wp14:editId="5F6F111A">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5AD515BA" w14:textId="43BFA210" w:rsidR="00413AB7" w:rsidRPr="00F97B14" w:rsidRDefault="00413AB7"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206466">
                            <w:rPr>
                              <w:noProof/>
                              <w:color w:val="25303B" w:themeColor="accent1"/>
                            </w:rPr>
                            <w:t>2</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C8CC505" id="_x0000_t202" coordsize="21600,21600" o:spt="202" path="m,l,21600r21600,l21600,xe">
              <v:stroke joinstyle="miter"/>
              <v:path gradientshapeok="t" o:connecttype="rect"/>
            </v:shapetype>
            <v:shape id="Text Box 2" o:spid="_x0000_s1027" type="#_x0000_t202" style="position:absolute;margin-left:-25.1pt;margin-top:0;width:26.1pt;height:57.25pt;z-index:251658240;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5AD515BA" w14:textId="43BFA210" w:rsidR="00413AB7" w:rsidRPr="00F97B14" w:rsidRDefault="00413AB7"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206466">
                      <w:rPr>
                        <w:noProof/>
                        <w:color w:val="25303B" w:themeColor="accent1"/>
                      </w:rPr>
                      <w:t>2</w:t>
                    </w:r>
                    <w:r w:rsidRPr="00F97B14">
                      <w:rPr>
                        <w:color w:val="25303B" w:themeColor="accent1"/>
                      </w:rPr>
                      <w:fldChar w:fldCharType="end"/>
                    </w:r>
                  </w:p>
                </w:txbxContent>
              </v:textbox>
              <w10:wrap anchorx="margin" anchory="page"/>
              <w10:anchorlock/>
            </v:shape>
          </w:pict>
        </mc:Fallback>
      </mc:AlternateContent>
    </w:r>
  </w:p>
  <w:p w14:paraId="0D28B90C" w14:textId="77777777" w:rsidR="00413AB7" w:rsidRPr="0040648D" w:rsidRDefault="00413AB7"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6EC34E8F025D474EABCE123A748DB2F8"/>
        </w:placeholder>
        <w:dataBinding w:xpath="/root[1]/SectionName[1]" w:storeItemID="{F533AE62-A212-4B26-92DA-A3B336E8AE06}"/>
        <w:text/>
      </w:sdtPr>
      <w:sdtEndPr/>
      <w:sdtContent>
        <w:r>
          <w:rPr>
            <w:color w:val="25303B" w:themeColor="accent1"/>
          </w:rPr>
          <w:t>CATSI Act Review</w:t>
        </w:r>
      </w:sdtContent>
    </w:sdt>
    <w:r w:rsidRPr="0040648D">
      <w:rPr>
        <w:color w:val="25303B" w:themeColor="accent1"/>
      </w:rPr>
      <w:t xml:space="preserve"> | </w:t>
    </w:r>
    <w:r>
      <w:rPr>
        <w:color w:val="25303B" w:themeColor="accent1"/>
      </w:rPr>
      <w:t>Factsheet 14—Improving consistency with Corporations Act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dataBinding w:xpath="/root[1]/Classification[1]" w:storeItemID="{F533AE62-A212-4B26-92DA-A3B336E8AE06}"/>
      <w:text/>
    </w:sdtPr>
    <w:sdtEndPr/>
    <w:sdtContent>
      <w:p w14:paraId="44696302" w14:textId="77777777" w:rsidR="00413AB7" w:rsidRPr="00B87E45" w:rsidRDefault="00413AB7" w:rsidP="00917F95">
        <w:pPr>
          <w:pStyle w:val="ProtectiveMarking"/>
        </w:pPr>
        <w:r>
          <w:t>OFFICIAL</w:t>
        </w:r>
      </w:p>
    </w:sdtContent>
  </w:sdt>
  <w:p w14:paraId="1A080E65" w14:textId="77777777" w:rsidR="00413AB7" w:rsidRPr="00F651C4" w:rsidRDefault="00413AB7" w:rsidP="00F651C4">
    <w:pPr>
      <w:pStyle w:val="Footerline"/>
    </w:pPr>
    <w:r>
      <w:rPr>
        <w:lang w:eastAsia="en-AU"/>
      </w:rPr>
      <mc:AlternateContent>
        <mc:Choice Requires="wps">
          <w:drawing>
            <wp:anchor distT="0" distB="0" distL="114300" distR="114300" simplePos="0" relativeHeight="251658243" behindDoc="0" locked="0" layoutInCell="1" allowOverlap="1" wp14:anchorId="7DBC4450" wp14:editId="3A959A7D">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AC21B" id="Straight Connector 39" o:spid="_x0000_s1026" style="position:absolute;z-index:251658243;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421CFF93" w14:textId="77777777" w:rsidR="00413AB7" w:rsidRPr="0040648D" w:rsidRDefault="00413AB7"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58241" behindDoc="0" locked="1" layoutInCell="1" allowOverlap="1" wp14:anchorId="185476C5" wp14:editId="7B5D105F">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69A3667D" w14:textId="753E19C2" w:rsidR="00413AB7" w:rsidRPr="00D171A8" w:rsidRDefault="00413AB7"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206466">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85476C5" id="_x0000_t202" coordsize="21600,21600" o:spt="202" path="m,l,21600r21600,l21600,xe">
              <v:stroke joinstyle="miter"/>
              <v:path gradientshapeok="t" o:connecttype="rect"/>
            </v:shapetype>
            <v:shape id="_x0000_s1029" type="#_x0000_t202" style="position:absolute;margin-left:-25.1pt;margin-top:0;width:26.1pt;height:57.25pt;z-index:251658241;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69A3667D" w14:textId="753E19C2" w:rsidR="00413AB7" w:rsidRPr="00D171A8" w:rsidRDefault="00413AB7"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206466">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dataBinding w:xpath="/root[1]/SectionName[1]" w:storeItemID="{F533AE62-A212-4B26-92DA-A3B336E8AE06}"/>
        <w:text/>
      </w:sdtPr>
      <w:sdtEndPr/>
      <w:sdtContent>
        <w:r>
          <w:rPr>
            <w:color w:val="25303B" w:themeColor="accent1"/>
          </w:rPr>
          <w:t>CATSI Act Review</w:t>
        </w:r>
      </w:sdtContent>
    </w:sdt>
    <w:r w:rsidRPr="0040648D">
      <w:rPr>
        <w:color w:val="25303B" w:themeColor="accent1"/>
      </w:rPr>
      <w:t xml:space="preserve"> | </w:t>
    </w:r>
    <w:r>
      <w:rPr>
        <w:color w:val="25303B" w:themeColor="accent1"/>
      </w:rPr>
      <w:t>Factsheet 14—Improving consistency with Corporations Act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BC072" w14:textId="77777777" w:rsidR="00E254CE" w:rsidRPr="007A6FC6" w:rsidRDefault="00E254CE" w:rsidP="00B95533">
      <w:pPr>
        <w:spacing w:after="0" w:line="240" w:lineRule="auto"/>
        <w:rPr>
          <w:color w:val="BEA887" w:themeColor="accent2"/>
        </w:rPr>
      </w:pPr>
      <w:r w:rsidRPr="007A6FC6">
        <w:rPr>
          <w:color w:val="BEA887" w:themeColor="accent2"/>
        </w:rPr>
        <w:separator/>
      </w:r>
    </w:p>
  </w:footnote>
  <w:footnote w:type="continuationSeparator" w:id="0">
    <w:p w14:paraId="74E1D38A" w14:textId="77777777" w:rsidR="00E254CE" w:rsidRPr="007A6FC6" w:rsidRDefault="00E254CE" w:rsidP="00B95533">
      <w:pPr>
        <w:spacing w:after="0" w:line="240" w:lineRule="auto"/>
        <w:rPr>
          <w:color w:val="BEA887" w:themeColor="accent2"/>
        </w:rPr>
      </w:pPr>
      <w:r w:rsidRPr="007A6FC6">
        <w:rPr>
          <w:color w:val="BEA887" w:themeColor="accent2"/>
        </w:rPr>
        <w:continuationSeparator/>
      </w:r>
    </w:p>
  </w:footnote>
  <w:footnote w:type="continuationNotice" w:id="1">
    <w:p w14:paraId="5FC4270F" w14:textId="77777777" w:rsidR="00E254CE" w:rsidRDefault="00E254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CCFE" w14:textId="77777777" w:rsidR="0006447B" w:rsidRDefault="00064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B0567" w14:textId="77777777" w:rsidR="00413AB7" w:rsidRDefault="00206466" w:rsidP="00413AB7">
    <w:pPr>
      <w:pStyle w:val="ProtectiveMarking"/>
    </w:pPr>
    <w:sdt>
      <w:sdtPr>
        <w:alias w:val="Classification"/>
        <w:tag w:val="Classification"/>
        <w:id w:val="336196887"/>
        <w:dataBinding w:xpath="/root[1]/Classification[1]" w:storeItemID="{F533AE62-A212-4B26-92DA-A3B336E8AE06}"/>
        <w:text/>
      </w:sdtPr>
      <w:sdtEndPr/>
      <w:sdtContent>
        <w:r w:rsidR="00413AB7">
          <w:t>OFFICIAL</w:t>
        </w:r>
      </w:sdtContent>
    </w:sdt>
  </w:p>
  <w:p w14:paraId="634B06A0" w14:textId="77777777" w:rsidR="00413AB7" w:rsidRDefault="00413AB7">
    <w:pPr>
      <w:pStyle w:val="Header"/>
    </w:pPr>
    <w:r>
      <w:rPr>
        <w:noProof/>
        <w:lang w:eastAsia="en-AU"/>
      </w:rPr>
      <w:drawing>
        <wp:anchor distT="0" distB="0" distL="114300" distR="114300" simplePos="0" relativeHeight="251658244" behindDoc="0" locked="1" layoutInCell="1" allowOverlap="1" wp14:anchorId="3AE594F5" wp14:editId="14904F60">
          <wp:simplePos x="0" y="0"/>
          <wp:positionH relativeFrom="margin">
            <wp:align>left</wp:align>
          </wp:positionH>
          <wp:positionV relativeFrom="page">
            <wp:posOffset>628650</wp:posOffset>
          </wp:positionV>
          <wp:extent cx="6480000" cy="186711"/>
          <wp:effectExtent l="0" t="0" r="0" b="3810"/>
          <wp:wrapNone/>
          <wp:docPr id="33"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4A0988" w14:textId="77777777" w:rsidR="00413AB7" w:rsidRDefault="00413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A7C3D" w14:textId="77777777" w:rsidR="00413AB7" w:rsidRDefault="0075407B">
    <w:pPr>
      <w:pStyle w:val="Header"/>
    </w:pP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658246" behindDoc="0" locked="0" layoutInCell="1" allowOverlap="1" wp14:anchorId="42F00CCE" wp14:editId="1975B683">
          <wp:simplePos x="0" y="0"/>
          <wp:positionH relativeFrom="page">
            <wp:posOffset>535305</wp:posOffset>
          </wp:positionH>
          <wp:positionV relativeFrom="page">
            <wp:posOffset>257175</wp:posOffset>
          </wp:positionV>
          <wp:extent cx="2118360" cy="640080"/>
          <wp:effectExtent l="0" t="0" r="0" b="7620"/>
          <wp:wrapNone/>
          <wp:docPr id="53" name="Graphic 19"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211836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9" behindDoc="0" locked="0" layoutInCell="1" allowOverlap="1" wp14:anchorId="307D7BBD" wp14:editId="5900D906">
              <wp:simplePos x="0" y="0"/>
              <wp:positionH relativeFrom="page">
                <wp:posOffset>2852738</wp:posOffset>
              </wp:positionH>
              <wp:positionV relativeFrom="page">
                <wp:posOffset>290513</wp:posOffset>
              </wp:positionV>
              <wp:extent cx="0" cy="620077"/>
              <wp:effectExtent l="0" t="0" r="38100" b="27940"/>
              <wp:wrapNone/>
              <wp:docPr id="49" name="Straight Connector 49"/>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F59CB" id="Straight Connector 49" o:spid="_x0000_s1026" style="position:absolute;z-index:251658249;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zs1wEAAA0EAAAOAAAAZHJzL2Uyb0RvYy54bWysU02P0zAQvSPxHyzfadKK3WWjpnvoarkg&#10;qNjlB7jOuLHkL41N0/57xk6argAJgbg4sT3vzbw34/XDyRp2BIzau5YvFzVn4KTvtDu0/NvL07sP&#10;nMUkXCeMd9DyM0T+sHn7Zj2EBla+96YDZETiYjOElvcphaaqouzBirjwARxdKo9WJNrioepQDMRu&#10;TbWq69tq8NgF9BJipNPH8ZJvCr9SINMXpSIkZlpOtaWyYln3ea02a9EcUIRey6kM8Q9VWKEdJZ2p&#10;HkUS7DvqX6isluijV2khva28UlpC0UBqlvVPap57EaBoIXNimG2K/49Wfj7ukOmu5e/vOXPCUo+e&#10;Ewp96BPbeufIQY+MLsmpIcSGAFu3w2kXww6z7JNCm78kiJ2Ku+fZXTglJsdDSae31La7u0xXXXEB&#10;Y/oI3rL803KjXdYtGnH8FNMYegnJx8axoeX3N6ubEhW90d2TNibfldGBrUF2FNT0/WE55XoVRZmN&#10;owKyoFFC+UtnAyP9V1BkChW9HBPkcbxyCinBpQuvcRSdYYoqmIH1n4FTfIZCGdW/Ac+Iktm7NIOt&#10;dh5/lz2dLiWrMf7iwKg7W7D33bk0t1hDM1e6NL2PPNSv9wV+fcWbHwAAAP//AwBQSwMEFAAGAAgA&#10;AAAhAKP+htLfAAAACgEAAA8AAABkcnMvZG93bnJldi54bWxMj0FLxDAQhe+C/yGM4M1NtVVsbbqI&#10;sCKCUOvC4i3bjG3ZZlKatFv/vSN70NvMvI837+XrxfZixtF3jhRcryIQSLUzHTUKth+bq3sQPmgy&#10;uneECr7Rw7o4P8t1ZtyR3nGuQiPYhHymFbQhDJmUvm7Rar9yAxJrX260OvA6NtKM+sjmtpc3UXQn&#10;re6IP7R6wKcW60M1WQXTMj9vPl92Vdm/vUZpeWiqOC2VurxYHh9ABFzCHwy/8Tk6FJxp7yYyXvQK&#10;kiSNGeXhliswcDrsmUziBGSRy/8Vih8AAAD//wMAUEsBAi0AFAAGAAgAAAAhALaDOJL+AAAA4QEA&#10;ABMAAAAAAAAAAAAAAAAAAAAAAFtDb250ZW50X1R5cGVzXS54bWxQSwECLQAUAAYACAAAACEAOP0h&#10;/9YAAACUAQAACwAAAAAAAAAAAAAAAAAvAQAAX3JlbHMvLnJlbHNQSwECLQAUAAYACAAAACEARYM8&#10;7NcBAAANBAAADgAAAAAAAAAAAAAAAAAuAgAAZHJzL2Uyb0RvYy54bWxQSwECLQAUAAYACAAAACEA&#10;o/6G0t8AAAAKAQAADwAAAAAAAAAAAAAAAAAxBAAAZHJzL2Rvd25yZXYueG1sUEsFBgAAAAAEAAQA&#10;8wAAAD0FA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658248" behindDoc="0" locked="1" layoutInCell="1" allowOverlap="1" wp14:anchorId="1092B371" wp14:editId="66FABDFB">
              <wp:simplePos x="0" y="0"/>
              <wp:positionH relativeFrom="page">
                <wp:posOffset>0</wp:posOffset>
              </wp:positionH>
              <wp:positionV relativeFrom="page">
                <wp:posOffset>1153160</wp:posOffset>
              </wp:positionV>
              <wp:extent cx="3096000" cy="143510"/>
              <wp:effectExtent l="0" t="0" r="9525" b="889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53C441F1" w14:textId="77777777" w:rsidR="0075407B" w:rsidRPr="00661E36" w:rsidRDefault="0075407B" w:rsidP="009672EB">
                          <w:pPr>
                            <w:spacing w:after="0" w:line="240" w:lineRule="auto"/>
                            <w:rPr>
                              <w:i/>
                              <w:iCs/>
                              <w:color w:val="25303B" w:themeColor="accent1"/>
                              <w:sz w:val="16"/>
                              <w:szCs w:val="16"/>
                            </w:rPr>
                          </w:pPr>
                          <w:r w:rsidRPr="00661E36">
                            <w:rPr>
                              <w:i/>
                              <w:iCs/>
                              <w:color w:val="25303B" w:themeColor="accent1"/>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092B371" id="_x0000_t202" coordsize="21600,21600" o:spt="202" path="m,l,21600r21600,l21600,xe">
              <v:stroke joinstyle="miter"/>
              <v:path gradientshapeok="t" o:connecttype="rect"/>
            </v:shapetype>
            <v:shape id="_x0000_s1028" type="#_x0000_t202" style="position:absolute;margin-left:0;margin-top:90.8pt;width:243.8pt;height:11.3pt;z-index:2516582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lBCQIAAPEDAAAOAAAAZHJzL2Uyb0RvYy54bWysU9tu2zAMfR+wfxD0vthJm6I14hRduw4D&#10;ugvQ7gNoWY6FSaImKbGzrx8lJ2mwvQ17ESiRPOQ5pFa3o9FsJ31QaGs+n5WcSSuwVXZT8+8vj++u&#10;OQsRbAsaraz5XgZ+u377ZjW4Si6wR91KzwjEhmpwNe9jdFVRBNFLA2GGTlpydugNRLr6TdF6GAjd&#10;6GJRllfFgL51HoUMgV4fJidfZ/yukyJ+7bogI9M1p95iPn0+m3QW6xVUGw+uV+LQBvxDFwaUpaIn&#10;qAeIwLZe/QVllPAYsIszgabArlNCZg7EZl7+wea5ByczFxInuJNM4f/Bii+7b56ptuZLkseCoRm9&#10;yDGy9ziyRZJncKGiqGdHcXGkZxpzphrcE4ofgVm878Fu5J33OPQSWmpvnjKLs9QJJySQZviMLZWB&#10;bcQMNHbeJO1IDUbo1Mf+NJrUiqDHi/LmqizJJcg3v7xYzvPsCqiO2c6H+FGiYcmouafRZ3TYPYWY&#10;uoHqGJKKWXxUWufxa8uGmt8sF8uccOYxKtJ2amVqfk3VqX5OSCQ/2DbbEZSebCqg7YF1IjpRjmMz&#10;Zn2zJEmRBts9yeBxWkb6PGT06H9xNtAi1jz83IKXnOlPlqRcXubCLOYbKeCPRnM0wArKr7mInrPp&#10;ch/zkk9M70jpTmURXhs4dEp7lbU5/IG0uOf3HPX6U9e/AQAA//8DAFBLAwQUAAYACAAAACEA8T20&#10;mNwAAAAIAQAADwAAAGRycy9kb3ducmV2LnhtbEyPzU7DMBCE70h9B2srcaN2QlSiEKdCSCCulEpw&#10;dOPNjxqvo9hpwtuznOC2uzOa/aY8rG4QV5xC70lDslMgkGpve2o1nD5e7nIQIRqyZvCEGr4xwKHa&#10;3JSmsH6hd7weYys4hEJhNHQxjoWUoe7QmbDzIxJrjZ+cibxOrbSTWTjcDTJVai+d6Yk/dGbE5w7r&#10;y3F2GiizyduoXpfsEr+aPLlvls9Zan27XZ8eQURc458ZfvEZHSpmOvuZbBCDBi4S+ZonexAsZ/kD&#10;D2cNqcpSkFUp/xeofgAAAP//AwBQSwECLQAUAAYACAAAACEAtoM4kv4AAADhAQAAEwAAAAAAAAAA&#10;AAAAAAAAAAAAW0NvbnRlbnRfVHlwZXNdLnhtbFBLAQItABQABgAIAAAAIQA4/SH/1gAAAJQBAAAL&#10;AAAAAAAAAAAAAAAAAC8BAABfcmVscy8ucmVsc1BLAQItABQABgAIAAAAIQBmnHlBCQIAAPEDAAAO&#10;AAAAAAAAAAAAAAAAAC4CAABkcnMvZTJvRG9jLnhtbFBLAQItABQABgAIAAAAIQDxPbSY3AAAAAgB&#10;AAAPAAAAAAAAAAAAAAAAAGMEAABkcnMvZG93bnJldi54bWxQSwUGAAAAAAQABADzAAAAbAUAAAAA&#10;" filled="f" stroked="f">
              <v:textbox inset="15mm,0,0,0">
                <w:txbxContent>
                  <w:p w14:paraId="53C441F1" w14:textId="77777777" w:rsidR="0075407B" w:rsidRPr="00661E36" w:rsidRDefault="0075407B" w:rsidP="009672EB">
                    <w:pPr>
                      <w:spacing w:after="0" w:line="240" w:lineRule="auto"/>
                      <w:rPr>
                        <w:i/>
                        <w:iCs/>
                        <w:color w:val="25303B" w:themeColor="accent1"/>
                        <w:sz w:val="16"/>
                        <w:szCs w:val="16"/>
                      </w:rPr>
                    </w:pPr>
                    <w:r w:rsidRPr="00661E36">
                      <w:rPr>
                        <w:i/>
                        <w:iCs/>
                        <w:color w:val="25303B" w:themeColor="accent1"/>
                        <w:sz w:val="16"/>
                        <w:szCs w:val="16"/>
                      </w:rPr>
                      <w:t>Working with Aboriginal and Torres Strait Islander peoples</w:t>
                    </w:r>
                  </w:p>
                </w:txbxContent>
              </v:textbox>
              <w10:wrap anchorx="page" anchory="page"/>
              <w10:anchorlock/>
            </v:shape>
          </w:pict>
        </mc:Fallback>
      </mc:AlternateContent>
    </w:r>
    <w:bookmarkStart w:id="0" w:name="_GoBack"/>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658247" behindDoc="0" locked="1" layoutInCell="1" allowOverlap="1" wp14:anchorId="3C572E69" wp14:editId="6E420E4E">
          <wp:simplePos x="0" y="0"/>
          <wp:positionH relativeFrom="page">
            <wp:posOffset>3016885</wp:posOffset>
          </wp:positionH>
          <wp:positionV relativeFrom="page">
            <wp:posOffset>291465</wp:posOffset>
          </wp:positionV>
          <wp:extent cx="1580400" cy="518400"/>
          <wp:effectExtent l="0" t="0" r="1270" b="0"/>
          <wp:wrapNone/>
          <wp:docPr id="52" name="Graphic 16" title="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lang w:eastAsia="en-AU"/>
      </w:rPr>
      <w:drawing>
        <wp:anchor distT="0" distB="0" distL="0" distR="0" simplePos="0" relativeHeight="251658245" behindDoc="0" locked="1" layoutInCell="1" allowOverlap="1" wp14:anchorId="402A8A98" wp14:editId="3B13B2B9">
          <wp:simplePos x="0" y="0"/>
          <wp:positionH relativeFrom="page">
            <wp:align>left</wp:align>
          </wp:positionH>
          <wp:positionV relativeFrom="page">
            <wp:align>top</wp:align>
          </wp:positionV>
          <wp:extent cx="7448400" cy="1328400"/>
          <wp:effectExtent l="0" t="0" r="635" b="5715"/>
          <wp:wrapSquare wrapText="bothSides"/>
          <wp:docPr id="54"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8054A5"/>
    <w:multiLevelType w:val="hybridMultilevel"/>
    <w:tmpl w:val="CE400E8C"/>
    <w:lvl w:ilvl="0" w:tplc="4C3CFFE6">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6" w15:restartNumberingAfterBreak="0">
    <w:nsid w:val="5A80236A"/>
    <w:multiLevelType w:val="hybridMultilevel"/>
    <w:tmpl w:val="450C5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075733"/>
    <w:multiLevelType w:val="hybridMultilevel"/>
    <w:tmpl w:val="317A9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0" w15:restartNumberingAfterBreak="0">
    <w:nsid w:val="6826348D"/>
    <w:multiLevelType w:val="hybridMultilevel"/>
    <w:tmpl w:val="5C6CF0D0"/>
    <w:lvl w:ilvl="0" w:tplc="A8BE053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BC53E3F"/>
    <w:multiLevelType w:val="hybridMultilevel"/>
    <w:tmpl w:val="51DE4810"/>
    <w:lvl w:ilvl="0" w:tplc="614AB43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DA384C"/>
    <w:multiLevelType w:val="hybridMultilevel"/>
    <w:tmpl w:val="3F24B6CA"/>
    <w:lvl w:ilvl="0" w:tplc="AEAC7CE8">
      <w:start w:val="1"/>
      <w:numFmt w:val="decimal"/>
      <w:lvlText w:val="%1."/>
      <w:lvlJc w:val="left"/>
      <w:pPr>
        <w:ind w:left="360" w:hanging="360"/>
      </w:pPr>
      <w:rPr>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4"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8"/>
  </w:num>
  <w:num w:numId="3">
    <w:abstractNumId w:val="4"/>
  </w:num>
  <w:num w:numId="4">
    <w:abstractNumId w:val="14"/>
  </w:num>
  <w:num w:numId="5">
    <w:abstractNumId w:val="9"/>
  </w:num>
  <w:num w:numId="6">
    <w:abstractNumId w:val="8"/>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4"/>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4"/>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5"/>
  </w:num>
  <w:num w:numId="20">
    <w:abstractNumId w:val="15"/>
  </w:num>
  <w:num w:numId="21">
    <w:abstractNumId w:val="0"/>
  </w:num>
  <w:num w:numId="22">
    <w:abstractNumId w:val="13"/>
  </w:num>
  <w:num w:numId="23">
    <w:abstractNumId w:val="13"/>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0"/>
  </w:num>
  <w:num w:numId="28">
    <w:abstractNumId w:val="11"/>
  </w:num>
  <w:num w:numId="29">
    <w:abstractNumId w:val="7"/>
  </w:num>
  <w:num w:numId="30">
    <w:abstractNumId w:val="3"/>
  </w:num>
  <w:num w:numId="31">
    <w:abstractNumId w:val="1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91"/>
    <w:rsid w:val="00002F73"/>
    <w:rsid w:val="00007EB1"/>
    <w:rsid w:val="00014206"/>
    <w:rsid w:val="000230F3"/>
    <w:rsid w:val="00023AC4"/>
    <w:rsid w:val="000304B2"/>
    <w:rsid w:val="00031B5C"/>
    <w:rsid w:val="00034193"/>
    <w:rsid w:val="00034FEC"/>
    <w:rsid w:val="0004082F"/>
    <w:rsid w:val="00042E89"/>
    <w:rsid w:val="00044BF9"/>
    <w:rsid w:val="000503A6"/>
    <w:rsid w:val="000508F0"/>
    <w:rsid w:val="00053CD9"/>
    <w:rsid w:val="00057B46"/>
    <w:rsid w:val="00063034"/>
    <w:rsid w:val="0006447B"/>
    <w:rsid w:val="00073D52"/>
    <w:rsid w:val="00076AD1"/>
    <w:rsid w:val="000803CA"/>
    <w:rsid w:val="00091BCD"/>
    <w:rsid w:val="0009265A"/>
    <w:rsid w:val="00094B02"/>
    <w:rsid w:val="0009590F"/>
    <w:rsid w:val="00095BF3"/>
    <w:rsid w:val="000A041E"/>
    <w:rsid w:val="000A08CA"/>
    <w:rsid w:val="000A0E4C"/>
    <w:rsid w:val="000C29C5"/>
    <w:rsid w:val="000D106A"/>
    <w:rsid w:val="000D113F"/>
    <w:rsid w:val="000E351D"/>
    <w:rsid w:val="000E60F7"/>
    <w:rsid w:val="000F1B86"/>
    <w:rsid w:val="000F23B0"/>
    <w:rsid w:val="000F5917"/>
    <w:rsid w:val="001007B9"/>
    <w:rsid w:val="001037EC"/>
    <w:rsid w:val="00105ECB"/>
    <w:rsid w:val="00131315"/>
    <w:rsid w:val="00131BD2"/>
    <w:rsid w:val="00132268"/>
    <w:rsid w:val="001336CF"/>
    <w:rsid w:val="00143288"/>
    <w:rsid w:val="0015537B"/>
    <w:rsid w:val="0016781C"/>
    <w:rsid w:val="001727AF"/>
    <w:rsid w:val="00176EA5"/>
    <w:rsid w:val="00177611"/>
    <w:rsid w:val="0017798C"/>
    <w:rsid w:val="001809C6"/>
    <w:rsid w:val="00181C56"/>
    <w:rsid w:val="001850CB"/>
    <w:rsid w:val="001953CF"/>
    <w:rsid w:val="00195BA8"/>
    <w:rsid w:val="001A1957"/>
    <w:rsid w:val="001A2F86"/>
    <w:rsid w:val="001B0144"/>
    <w:rsid w:val="001B10ED"/>
    <w:rsid w:val="001C2FC8"/>
    <w:rsid w:val="001D09EB"/>
    <w:rsid w:val="001D283B"/>
    <w:rsid w:val="001E4245"/>
    <w:rsid w:val="001F0654"/>
    <w:rsid w:val="001F3722"/>
    <w:rsid w:val="001F738E"/>
    <w:rsid w:val="0020007C"/>
    <w:rsid w:val="00206466"/>
    <w:rsid w:val="0021247A"/>
    <w:rsid w:val="002229A5"/>
    <w:rsid w:val="002315ED"/>
    <w:rsid w:val="002317BD"/>
    <w:rsid w:val="00231B22"/>
    <w:rsid w:val="00233B91"/>
    <w:rsid w:val="00234705"/>
    <w:rsid w:val="00237365"/>
    <w:rsid w:val="00250BE6"/>
    <w:rsid w:val="00252F38"/>
    <w:rsid w:val="00260C56"/>
    <w:rsid w:val="00264A5E"/>
    <w:rsid w:val="00271572"/>
    <w:rsid w:val="00277016"/>
    <w:rsid w:val="0027769C"/>
    <w:rsid w:val="00281E3E"/>
    <w:rsid w:val="00284710"/>
    <w:rsid w:val="00285FC6"/>
    <w:rsid w:val="00294D1D"/>
    <w:rsid w:val="002955DD"/>
    <w:rsid w:val="002A0289"/>
    <w:rsid w:val="002A371E"/>
    <w:rsid w:val="002B4B0A"/>
    <w:rsid w:val="002C0866"/>
    <w:rsid w:val="002C0B0E"/>
    <w:rsid w:val="002C1FB9"/>
    <w:rsid w:val="002C5F5B"/>
    <w:rsid w:val="002C777D"/>
    <w:rsid w:val="002D40B1"/>
    <w:rsid w:val="002D45CD"/>
    <w:rsid w:val="002D4C86"/>
    <w:rsid w:val="002D75F9"/>
    <w:rsid w:val="002E07AC"/>
    <w:rsid w:val="002E6AA1"/>
    <w:rsid w:val="002F072A"/>
    <w:rsid w:val="002F57C6"/>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A3E57"/>
    <w:rsid w:val="003C6961"/>
    <w:rsid w:val="003D21A3"/>
    <w:rsid w:val="003D33F7"/>
    <w:rsid w:val="003E6B8B"/>
    <w:rsid w:val="003F017E"/>
    <w:rsid w:val="003F17BC"/>
    <w:rsid w:val="003F1A1E"/>
    <w:rsid w:val="003F5F4B"/>
    <w:rsid w:val="003F7E70"/>
    <w:rsid w:val="0040648D"/>
    <w:rsid w:val="00413AB7"/>
    <w:rsid w:val="00414CEB"/>
    <w:rsid w:val="004163FA"/>
    <w:rsid w:val="00423E92"/>
    <w:rsid w:val="004257F1"/>
    <w:rsid w:val="004366AE"/>
    <w:rsid w:val="0044371A"/>
    <w:rsid w:val="00454696"/>
    <w:rsid w:val="00457889"/>
    <w:rsid w:val="004616FF"/>
    <w:rsid w:val="00463F31"/>
    <w:rsid w:val="004759ED"/>
    <w:rsid w:val="004945F7"/>
    <w:rsid w:val="004957BB"/>
    <w:rsid w:val="00497F14"/>
    <w:rsid w:val="004B2CB0"/>
    <w:rsid w:val="004B7B8B"/>
    <w:rsid w:val="004C18F6"/>
    <w:rsid w:val="004C6518"/>
    <w:rsid w:val="004D0B40"/>
    <w:rsid w:val="004D24EB"/>
    <w:rsid w:val="004D688C"/>
    <w:rsid w:val="004E3548"/>
    <w:rsid w:val="004E58AE"/>
    <w:rsid w:val="004F20A9"/>
    <w:rsid w:val="004F73E8"/>
    <w:rsid w:val="0051316F"/>
    <w:rsid w:val="00523958"/>
    <w:rsid w:val="0053301E"/>
    <w:rsid w:val="005370B2"/>
    <w:rsid w:val="005400C8"/>
    <w:rsid w:val="00543E44"/>
    <w:rsid w:val="00543FDE"/>
    <w:rsid w:val="00552F1C"/>
    <w:rsid w:val="00562166"/>
    <w:rsid w:val="00564778"/>
    <w:rsid w:val="00574F28"/>
    <w:rsid w:val="00576C8D"/>
    <w:rsid w:val="0058793B"/>
    <w:rsid w:val="005917FA"/>
    <w:rsid w:val="0059258A"/>
    <w:rsid w:val="00596D03"/>
    <w:rsid w:val="005A0DE7"/>
    <w:rsid w:val="005A355D"/>
    <w:rsid w:val="005B210C"/>
    <w:rsid w:val="005B241C"/>
    <w:rsid w:val="005B27D0"/>
    <w:rsid w:val="005C7655"/>
    <w:rsid w:val="005C7C79"/>
    <w:rsid w:val="005D1BC5"/>
    <w:rsid w:val="005D2D7A"/>
    <w:rsid w:val="005D7026"/>
    <w:rsid w:val="005F3D48"/>
    <w:rsid w:val="005F79CC"/>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1E36"/>
    <w:rsid w:val="00663EAD"/>
    <w:rsid w:val="006674FC"/>
    <w:rsid w:val="006719C9"/>
    <w:rsid w:val="00675B34"/>
    <w:rsid w:val="00675EDF"/>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7B63"/>
    <w:rsid w:val="006E086B"/>
    <w:rsid w:val="006E19C4"/>
    <w:rsid w:val="006E2EA3"/>
    <w:rsid w:val="006E350F"/>
    <w:rsid w:val="006E70FF"/>
    <w:rsid w:val="006F173B"/>
    <w:rsid w:val="00711110"/>
    <w:rsid w:val="00714E79"/>
    <w:rsid w:val="0072227A"/>
    <w:rsid w:val="007239F8"/>
    <w:rsid w:val="00753B4D"/>
    <w:rsid w:val="0075407B"/>
    <w:rsid w:val="00754949"/>
    <w:rsid w:val="007660B9"/>
    <w:rsid w:val="00780AC4"/>
    <w:rsid w:val="00781797"/>
    <w:rsid w:val="007836C4"/>
    <w:rsid w:val="007956C4"/>
    <w:rsid w:val="007A27C5"/>
    <w:rsid w:val="007A52E1"/>
    <w:rsid w:val="007A6FC6"/>
    <w:rsid w:val="007C3F60"/>
    <w:rsid w:val="007D680C"/>
    <w:rsid w:val="007F0394"/>
    <w:rsid w:val="007F7FED"/>
    <w:rsid w:val="008051C4"/>
    <w:rsid w:val="00805954"/>
    <w:rsid w:val="00805B42"/>
    <w:rsid w:val="00806393"/>
    <w:rsid w:val="0081512D"/>
    <w:rsid w:val="00817B50"/>
    <w:rsid w:val="00820E0F"/>
    <w:rsid w:val="008253D2"/>
    <w:rsid w:val="00825410"/>
    <w:rsid w:val="008275B9"/>
    <w:rsid w:val="0083261D"/>
    <w:rsid w:val="00832D89"/>
    <w:rsid w:val="0083503B"/>
    <w:rsid w:val="00840865"/>
    <w:rsid w:val="00841D41"/>
    <w:rsid w:val="008436AB"/>
    <w:rsid w:val="00844739"/>
    <w:rsid w:val="0084486B"/>
    <w:rsid w:val="0086151D"/>
    <w:rsid w:val="0086672B"/>
    <w:rsid w:val="008668C0"/>
    <w:rsid w:val="008678C1"/>
    <w:rsid w:val="00873DED"/>
    <w:rsid w:val="00877425"/>
    <w:rsid w:val="008777F4"/>
    <w:rsid w:val="00880786"/>
    <w:rsid w:val="0088330D"/>
    <w:rsid w:val="008950EC"/>
    <w:rsid w:val="008A6759"/>
    <w:rsid w:val="008B13B1"/>
    <w:rsid w:val="008B493F"/>
    <w:rsid w:val="008C115E"/>
    <w:rsid w:val="008D0504"/>
    <w:rsid w:val="008D1256"/>
    <w:rsid w:val="008D275A"/>
    <w:rsid w:val="008E109E"/>
    <w:rsid w:val="008E3760"/>
    <w:rsid w:val="008E66E6"/>
    <w:rsid w:val="008F112A"/>
    <w:rsid w:val="00900D4B"/>
    <w:rsid w:val="009014BC"/>
    <w:rsid w:val="00902CAC"/>
    <w:rsid w:val="009036CA"/>
    <w:rsid w:val="00917F95"/>
    <w:rsid w:val="00923EDF"/>
    <w:rsid w:val="00935AD4"/>
    <w:rsid w:val="00937CE1"/>
    <w:rsid w:val="0094513B"/>
    <w:rsid w:val="0094688C"/>
    <w:rsid w:val="00950B51"/>
    <w:rsid w:val="00963FB3"/>
    <w:rsid w:val="009672EB"/>
    <w:rsid w:val="00973090"/>
    <w:rsid w:val="0099436F"/>
    <w:rsid w:val="009959E0"/>
    <w:rsid w:val="00996BEA"/>
    <w:rsid w:val="009A33FB"/>
    <w:rsid w:val="009A409C"/>
    <w:rsid w:val="009A5056"/>
    <w:rsid w:val="009B1A44"/>
    <w:rsid w:val="009B300F"/>
    <w:rsid w:val="009B4379"/>
    <w:rsid w:val="009D161E"/>
    <w:rsid w:val="009D4A0B"/>
    <w:rsid w:val="009F751D"/>
    <w:rsid w:val="00A00EF2"/>
    <w:rsid w:val="00A069F9"/>
    <w:rsid w:val="00A07F0E"/>
    <w:rsid w:val="00A10AC2"/>
    <w:rsid w:val="00A173EC"/>
    <w:rsid w:val="00A17F9A"/>
    <w:rsid w:val="00A3076D"/>
    <w:rsid w:val="00A346CA"/>
    <w:rsid w:val="00A477A0"/>
    <w:rsid w:val="00A47C07"/>
    <w:rsid w:val="00A50BDE"/>
    <w:rsid w:val="00A5524F"/>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C1AA3"/>
    <w:rsid w:val="00AC4EB2"/>
    <w:rsid w:val="00AC6A0D"/>
    <w:rsid w:val="00AC6B86"/>
    <w:rsid w:val="00AC7F21"/>
    <w:rsid w:val="00AD0F94"/>
    <w:rsid w:val="00AE0E38"/>
    <w:rsid w:val="00AE11C4"/>
    <w:rsid w:val="00AE297B"/>
    <w:rsid w:val="00AE58D5"/>
    <w:rsid w:val="00AE6686"/>
    <w:rsid w:val="00AF7794"/>
    <w:rsid w:val="00B0259B"/>
    <w:rsid w:val="00B06546"/>
    <w:rsid w:val="00B06CB8"/>
    <w:rsid w:val="00B13055"/>
    <w:rsid w:val="00B151CC"/>
    <w:rsid w:val="00B24D0A"/>
    <w:rsid w:val="00B3317D"/>
    <w:rsid w:val="00B3499A"/>
    <w:rsid w:val="00B36583"/>
    <w:rsid w:val="00B37705"/>
    <w:rsid w:val="00B455C1"/>
    <w:rsid w:val="00B53058"/>
    <w:rsid w:val="00B83B2F"/>
    <w:rsid w:val="00B87E45"/>
    <w:rsid w:val="00B95533"/>
    <w:rsid w:val="00BB0F68"/>
    <w:rsid w:val="00BB1FFF"/>
    <w:rsid w:val="00BB2567"/>
    <w:rsid w:val="00BB662C"/>
    <w:rsid w:val="00BC24CA"/>
    <w:rsid w:val="00BD113A"/>
    <w:rsid w:val="00BD2B9F"/>
    <w:rsid w:val="00BD35B3"/>
    <w:rsid w:val="00BD3DA8"/>
    <w:rsid w:val="00BD45D5"/>
    <w:rsid w:val="00BE64F3"/>
    <w:rsid w:val="00C00697"/>
    <w:rsid w:val="00C0095A"/>
    <w:rsid w:val="00C067D6"/>
    <w:rsid w:val="00C464A7"/>
    <w:rsid w:val="00C511C3"/>
    <w:rsid w:val="00C51C42"/>
    <w:rsid w:val="00C52329"/>
    <w:rsid w:val="00C5454A"/>
    <w:rsid w:val="00C57F4E"/>
    <w:rsid w:val="00C66A73"/>
    <w:rsid w:val="00C67AA6"/>
    <w:rsid w:val="00C73E62"/>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E1D33"/>
    <w:rsid w:val="00CF0D33"/>
    <w:rsid w:val="00CF41A9"/>
    <w:rsid w:val="00CF7819"/>
    <w:rsid w:val="00D171A8"/>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C4556"/>
    <w:rsid w:val="00DD6C35"/>
    <w:rsid w:val="00DE193D"/>
    <w:rsid w:val="00DE710F"/>
    <w:rsid w:val="00DE7EED"/>
    <w:rsid w:val="00E02E5D"/>
    <w:rsid w:val="00E14B90"/>
    <w:rsid w:val="00E23B18"/>
    <w:rsid w:val="00E254CE"/>
    <w:rsid w:val="00E401B3"/>
    <w:rsid w:val="00E46F31"/>
    <w:rsid w:val="00E50185"/>
    <w:rsid w:val="00E578B7"/>
    <w:rsid w:val="00E63231"/>
    <w:rsid w:val="00E7329A"/>
    <w:rsid w:val="00E73F85"/>
    <w:rsid w:val="00E76451"/>
    <w:rsid w:val="00E8016F"/>
    <w:rsid w:val="00E80E52"/>
    <w:rsid w:val="00E816CE"/>
    <w:rsid w:val="00E90FB5"/>
    <w:rsid w:val="00EA0688"/>
    <w:rsid w:val="00EA19B4"/>
    <w:rsid w:val="00EB25EA"/>
    <w:rsid w:val="00EC0059"/>
    <w:rsid w:val="00EC68DB"/>
    <w:rsid w:val="00ED0CB2"/>
    <w:rsid w:val="00ED334F"/>
    <w:rsid w:val="00ED4E9B"/>
    <w:rsid w:val="00EE08F2"/>
    <w:rsid w:val="00EE1DD7"/>
    <w:rsid w:val="00EE76B9"/>
    <w:rsid w:val="00EF125F"/>
    <w:rsid w:val="00EF2497"/>
    <w:rsid w:val="00EF38A6"/>
    <w:rsid w:val="00F017E0"/>
    <w:rsid w:val="00F03B20"/>
    <w:rsid w:val="00F065A0"/>
    <w:rsid w:val="00F21C70"/>
    <w:rsid w:val="00F23936"/>
    <w:rsid w:val="00F26D11"/>
    <w:rsid w:val="00F27CBE"/>
    <w:rsid w:val="00F4121E"/>
    <w:rsid w:val="00F4212B"/>
    <w:rsid w:val="00F4649D"/>
    <w:rsid w:val="00F46D66"/>
    <w:rsid w:val="00F4704F"/>
    <w:rsid w:val="00F50EE3"/>
    <w:rsid w:val="00F62EE2"/>
    <w:rsid w:val="00F651C4"/>
    <w:rsid w:val="00F7682E"/>
    <w:rsid w:val="00F83248"/>
    <w:rsid w:val="00F92C57"/>
    <w:rsid w:val="00F9344F"/>
    <w:rsid w:val="00F97B14"/>
    <w:rsid w:val="00FA03B0"/>
    <w:rsid w:val="00FB20C4"/>
    <w:rsid w:val="00FB385B"/>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E0842"/>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C29C5"/>
    <w:pPr>
      <w:keepNext/>
      <w:keepLines/>
      <w:outlineLvl w:val="0"/>
    </w:pPr>
    <w:rPr>
      <w:rFonts w:asciiTheme="majorHAnsi" w:hAnsiTheme="majorHAnsi"/>
      <w:b/>
      <w:color w:val="25303B" w:themeColor="accent1"/>
      <w:sz w:val="60"/>
      <w:szCs w:val="60"/>
    </w:rPr>
  </w:style>
  <w:style w:type="paragraph" w:styleId="Heading2">
    <w:name w:val="heading 2"/>
    <w:basedOn w:val="Normal"/>
    <w:next w:val="BodyText"/>
    <w:link w:val="Heading2Char"/>
    <w:uiPriority w:val="9"/>
    <w:unhideWhenUsed/>
    <w:qFormat/>
    <w:rsid w:val="000C29C5"/>
    <w:pPr>
      <w:keepNext/>
      <w:keepLines/>
      <w:spacing w:before="480" w:after="240"/>
      <w:outlineLvl w:val="1"/>
    </w:pPr>
    <w:rPr>
      <w:rFonts w:asciiTheme="majorHAnsi" w:eastAsiaTheme="majorEastAsia" w:hAnsiTheme="majorHAnsi" w:cstheme="majorBidi"/>
      <w:b/>
      <w:color w:val="25303B" w:themeColor="accent1"/>
      <w:sz w:val="40"/>
      <w:szCs w:val="40"/>
    </w:rPr>
  </w:style>
  <w:style w:type="paragraph" w:styleId="Heading3">
    <w:name w:val="heading 3"/>
    <w:basedOn w:val="Normal"/>
    <w:next w:val="BodyText"/>
    <w:link w:val="Heading3Char"/>
    <w:uiPriority w:val="9"/>
    <w:unhideWhenUsed/>
    <w:qFormat/>
    <w:rsid w:val="000C29C5"/>
    <w:pPr>
      <w:keepNext/>
      <w:keepLines/>
      <w:spacing w:before="240" w:after="160" w:line="240" w:lineRule="auto"/>
      <w:outlineLvl w:val="2"/>
    </w:pPr>
    <w:rPr>
      <w:rFonts w:asciiTheme="majorHAnsi" w:eastAsiaTheme="majorEastAsia" w:hAnsiTheme="majorHAnsi" w:cstheme="majorBidi"/>
      <w:color w:val="25303B" w:themeColor="accent1"/>
      <w:sz w:val="30"/>
      <w:szCs w:val="30"/>
    </w:rPr>
  </w:style>
  <w:style w:type="paragraph" w:styleId="Heading4">
    <w:name w:val="heading 4"/>
    <w:basedOn w:val="BodyText"/>
    <w:next w:val="BodyText"/>
    <w:link w:val="Heading4Char"/>
    <w:uiPriority w:val="9"/>
    <w:qFormat/>
    <w:rsid w:val="000C29C5"/>
    <w:pPr>
      <w:spacing w:before="240"/>
      <w:outlineLvl w:val="3"/>
    </w:pPr>
    <w:rPr>
      <w:rFonts w:asciiTheme="majorHAnsi" w:hAnsiTheme="majorHAnsi"/>
      <w:color w:val="25303B"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C29C5"/>
    <w:rPr>
      <w:rFonts w:asciiTheme="majorHAnsi" w:hAnsiTheme="majorHAnsi"/>
      <w:b/>
      <w:color w:val="25303B" w:themeColor="accent1"/>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List Bullet Cab,CAB - List Bullet,Recommendation,List Paragraph1,List Paragraph11,Bullet point,List Paragraph Number,CV text,Dot pt,F5 List Paragraph,First level bullet point,L,List Paragraph111,Medium Grid 1 - Accent 21,Bulleted Para"/>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0C29C5"/>
    <w:rPr>
      <w:rFonts w:asciiTheme="majorHAnsi" w:eastAsiaTheme="majorEastAsia" w:hAnsiTheme="majorHAnsi" w:cstheme="majorBidi"/>
      <w:b/>
      <w:color w:val="25303B" w:themeColor="accent1"/>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0C29C5"/>
    <w:rPr>
      <w:rFonts w:asciiTheme="majorHAnsi" w:eastAsiaTheme="majorEastAsia" w:hAnsiTheme="majorHAnsi" w:cstheme="majorBidi"/>
      <w:color w:val="25303B" w:themeColor="accent1"/>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0C29C5"/>
    <w:rPr>
      <w:rFonts w:asciiTheme="majorHAnsi" w:hAnsiTheme="majorHAnsi"/>
      <w:color w:val="25303B" w:themeColor="accent1"/>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0C29C5"/>
  </w:style>
  <w:style w:type="character" w:customStyle="1" w:styleId="TitleChar">
    <w:name w:val="Title Char"/>
    <w:basedOn w:val="DefaultParagraphFont"/>
    <w:link w:val="Title"/>
    <w:rsid w:val="000C29C5"/>
    <w:rPr>
      <w:rFonts w:asciiTheme="majorHAnsi" w:hAnsiTheme="majorHAnsi"/>
      <w:b/>
      <w:color w:val="25303B"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5303B"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5303B"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customStyle="1" w:styleId="ListParagraphChar">
    <w:name w:val="List Paragraph Char"/>
    <w:aliases w:val="List Bullet Cab Char,CAB - List Bullet Char,Recommendation Char,List Paragraph1 Char,List Paragraph11 Char,Bullet point Char,List Paragraph Number Char,CV text Char,Dot pt Char,F5 List Paragraph Char,First level bullet point Char"/>
    <w:link w:val="ListParagraph"/>
    <w:uiPriority w:val="34"/>
    <w:locked/>
    <w:rsid w:val="0072227A"/>
  </w:style>
  <w:style w:type="paragraph" w:styleId="Revision">
    <w:name w:val="Revision"/>
    <w:hidden/>
    <w:uiPriority w:val="99"/>
    <w:semiHidden/>
    <w:rsid w:val="008950EC"/>
    <w:pPr>
      <w:spacing w:after="0" w:line="240" w:lineRule="auto"/>
    </w:pPr>
  </w:style>
  <w:style w:type="character" w:styleId="CommentReference">
    <w:name w:val="annotation reference"/>
    <w:basedOn w:val="DefaultParagraphFont"/>
    <w:uiPriority w:val="99"/>
    <w:semiHidden/>
    <w:unhideWhenUsed/>
    <w:rsid w:val="002D4C86"/>
    <w:rPr>
      <w:sz w:val="16"/>
      <w:szCs w:val="16"/>
    </w:rPr>
  </w:style>
  <w:style w:type="paragraph" w:styleId="CommentText">
    <w:name w:val="annotation text"/>
    <w:basedOn w:val="Normal"/>
    <w:link w:val="CommentTextChar"/>
    <w:uiPriority w:val="99"/>
    <w:semiHidden/>
    <w:unhideWhenUsed/>
    <w:rsid w:val="002D4C86"/>
    <w:pPr>
      <w:spacing w:line="240" w:lineRule="auto"/>
    </w:pPr>
  </w:style>
  <w:style w:type="character" w:customStyle="1" w:styleId="CommentTextChar">
    <w:name w:val="Comment Text Char"/>
    <w:basedOn w:val="DefaultParagraphFont"/>
    <w:link w:val="CommentText"/>
    <w:uiPriority w:val="99"/>
    <w:semiHidden/>
    <w:rsid w:val="002D4C86"/>
  </w:style>
  <w:style w:type="paragraph" w:styleId="CommentSubject">
    <w:name w:val="annotation subject"/>
    <w:basedOn w:val="CommentText"/>
    <w:next w:val="CommentText"/>
    <w:link w:val="CommentSubjectChar"/>
    <w:uiPriority w:val="99"/>
    <w:semiHidden/>
    <w:unhideWhenUsed/>
    <w:rsid w:val="002D4C86"/>
    <w:rPr>
      <w:b/>
      <w:bCs/>
    </w:rPr>
  </w:style>
  <w:style w:type="character" w:customStyle="1" w:styleId="CommentSubjectChar">
    <w:name w:val="Comment Subject Char"/>
    <w:basedOn w:val="CommentTextChar"/>
    <w:link w:val="CommentSubject"/>
    <w:uiPriority w:val="99"/>
    <w:semiHidden/>
    <w:rsid w:val="002D4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C34E8F025D474EABCE123A748DB2F8"/>
        <w:category>
          <w:name w:val="General"/>
          <w:gallery w:val="placeholder"/>
        </w:category>
        <w:types>
          <w:type w:val="bbPlcHdr"/>
        </w:types>
        <w:behaviors>
          <w:behavior w:val="content"/>
        </w:behaviors>
        <w:guid w:val="{1D53519E-7EA5-4F93-9491-4B35EDFA874B}"/>
      </w:docPartPr>
      <w:docPartBody>
        <w:p w:rsidR="002F5927" w:rsidRDefault="002F5927">
          <w:pPr>
            <w:pStyle w:val="6EC34E8F025D474EABCE123A748DB2F8"/>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27"/>
    <w:rsid w:val="002F5927"/>
    <w:rsid w:val="008B7924"/>
    <w:rsid w:val="00A860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6EC34E8F025D474EABCE123A748DB2F8">
    <w:name w:val="6EC34E8F025D474EABCE123A748DB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OFFICIAL</Classification>
  <DLM/>
  <SectionName>CATSI Act Review</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f53c1d54-6e59-4b8b-8af5-a00f9baa8e57</TermId>
        </TermInfo>
      </Terms>
    </hc4a8f51d7584793bcee84017ea96cb3>
    <ShareHubID xmlns="166541c0-0594-4e6a-9105-c24d4b6de6f7">DOC21-179036</ShareHubID>
    <TaxCatchAll xmlns="166541c0-0594-4e6a-9105-c24d4b6de6f7">
      <Value>56</Value>
      <Value>57</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38C319D1-3A28-42C5-AF59-710532C07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8B438-DBD2-455F-AE7C-C4CBD90A5C6F}">
  <ds:schemaRefs>
    <ds:schemaRef ds:uri="http://schemas.microsoft.com/sharepoint/v3/contenttype/forms"/>
  </ds:schemaRefs>
</ds:datastoreItem>
</file>

<file path=customXml/itemProps4.xml><?xml version="1.0" encoding="utf-8"?>
<ds:datastoreItem xmlns:ds="http://schemas.openxmlformats.org/officeDocument/2006/customXml" ds:itemID="{AA0EB494-9014-437B-9095-508A2791F7A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5f9fda-bd71-4433-b331-92feb9553089"/>
    <ds:schemaRef ds:uri="http://schemas.microsoft.com/office/2006/documentManagement/types"/>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8AD9B139-A73D-47AA-B540-F19B761A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2021-07-05T02:01:00Z</dcterms:created>
  <dcterms:modified xsi:type="dcterms:W3CDTF">2021-07-05T02:01:00Z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56;#Official|f53c1d54-6e59-4b8b-8af5-a00f9baa8e57</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2021-07-05T12:04:07</vt:lpwstr>
  </property>
</Properties>
</file>