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03B8" w14:textId="77777777" w:rsidR="004163FA" w:rsidRDefault="008D6CC4" w:rsidP="004163FA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dataBinding w:xpath="/root[1]/Classification[1]" w:storeItemID="{F533AE62-A212-4B26-92DA-A3B336E8AE06}"/>
          <w:dropDownList w:lastValue="OFFICIAL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E24DAC">
            <w:t>OFFICIAL</w:t>
          </w:r>
        </w:sdtContent>
      </w:sdt>
    </w:p>
    <w:p w14:paraId="10FC6770" w14:textId="77777777" w:rsidR="006B0488" w:rsidRDefault="0040648D" w:rsidP="006B048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25BCAB3" wp14:editId="667BF1F1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770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6EC34E8F025D474EABCE123A748DB2F8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3C3D6117" w14:textId="77777777" w:rsidR="0040648D" w:rsidRPr="00C91A83" w:rsidRDefault="00AA15E0" w:rsidP="0040648D">
                                <w:pPr>
                                  <w:pStyle w:val="SectionNameRev"/>
                                </w:pPr>
                                <w:r>
                                  <w:t>Policy Projects Reform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A371E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.5pt;margin-top:0;width:595.1pt;height:6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XuDAIAAPADAAAOAAAAZHJzL2Uyb0RvYy54bWysU9tu2zAMfR+wfxD0vjhJ66Uz4hRduw4D&#10;ugvQ7gMYWY6FSaImKbGzrx8lJ2nQvg3TgyCJ5CHPIbW8HoxmO+mDQlvz2WTKmbQCG2U3Nf/5dP/u&#10;irMQwTag0cqa72Xg16u3b5a9q+QcO9SN9IxAbKh6V/MuRlcVRRCdNBAm6KQlY4veQKSr3xSNh57Q&#10;jS7m0+n7okffOI9ChkCvd6ORrzJ+20oRv7dtkJHpmlNtMe8+7+u0F6slVBsPrlPiUAb8QxUGlKWk&#10;J6g7iMC2Xr2CMkp4DNjGiUBTYNsqITMHYjObvmDz2IGTmQuJE9xJpvD/YMW33Q/PVFPzy5IzC4Z6&#10;9CSHyD7iwOiJ9OldqMjt0ZFjHOid+py5BveA4ldgFm87sBt54z32nYSG6pulyOIsdMQJCWTdf8WG&#10;8sA2YgYaWm+SeCQHI3Tq0/7Um1SLoMdFWS4WCzIJsl1dXMzmuXkFVMdo50P8LNGwdKi5p95ndNg9&#10;hJiqgerokpJZvFda5/5ry/qafyjnZQ44sxgVaTy1MpRzmtY4MInkJ9vk4AhKj2dKoO2BdSI6Uo7D&#10;eiDHJMUamz3x9ziOIX0bOnTo/3DW0wjWPPzegpec6S+WNEzzmg+znJszn2/lZS6ErY9OYAWB1FxE&#10;z9l4uY15xkeeN6Rzq7IEz1Uc6qSxysocvkCa2/N79nr+qKu/AAAA//8DAFBLAwQUAAYACAAAACEA&#10;e6Sh090AAAAIAQAADwAAAGRycy9kb3ducmV2LnhtbEyPT0vEQAzF74LfYYjgbXfairLWThdZEE8i&#10;7Qpes222rXYypTP947c3e9JLSHiPl9/L9qvt1Uyj7xwbiLcRKOLK1R03Bj6OL5sdKB+Qa+wdk4Ef&#10;8rDPr68yTGu3cEFzGRolIexTNNCGMKRa+6oli37rBmLRzm60GOQcG12PuEi47XUSRQ/aYsfyocWB&#10;Di1V3+VkDbwel893fzh/vc2DxmiqivukLIy5vVmfn0AFWsOfGS74gg65MJ3cxLVXvYFNLFWCAZkX&#10;Nd49JqBOst3FCeg80/8L5L8AAAD//wMAUEsBAi0AFAAGAAgAAAAhALaDOJL+AAAA4QEAABMAAAAA&#10;AAAAAAAAAAAAAAAAAFtDb250ZW50X1R5cGVzXS54bWxQSwECLQAUAAYACAAAACEAOP0h/9YAAACU&#10;AQAACwAAAAAAAAAAAAAAAAAvAQAAX3JlbHMvLnJlbHNQSwECLQAUAAYACAAAACEAcqEl7gwCAADw&#10;AwAADgAAAAAAAAAAAAAAAAAuAgAAZHJzL2Uyb0RvYy54bWxQSwECLQAUAAYACAAAACEAe6Sh090A&#10;AAAIAQAADwAAAAAAAAAAAAAAAABmBAAAZHJzL2Rvd25yZXYueG1sUEsFBgAAAAAEAAQA8wAAAHAF&#10;AAAA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6EC34E8F025D474EABCE123A748DB2F8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:rsidR="0040648D" w:rsidRPr="00C91A83" w:rsidRDefault="00AA15E0" w:rsidP="0040648D">
                          <w:pPr>
                            <w:pStyle w:val="SectionNameRev"/>
                          </w:pPr>
                          <w:r>
                            <w:t>Policy Projects Reform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3E18F301" w14:textId="77777777" w:rsidR="0086672B" w:rsidRPr="00562166" w:rsidRDefault="001D3983" w:rsidP="00233B91">
      <w:pPr>
        <w:pStyle w:val="Heading1"/>
      </w:pPr>
      <w:r w:rsidRPr="00E24DAC">
        <w:rPr>
          <w:noProof/>
          <w:color w:val="014463" w:themeColor="text2"/>
        </w:rPr>
        <w:t>Part 1</w:t>
      </w:r>
      <w:r w:rsidR="00926DC0" w:rsidRPr="00E24DAC">
        <w:rPr>
          <w:noProof/>
          <w:color w:val="014463" w:themeColor="text2"/>
        </w:rPr>
        <w:t>5</w:t>
      </w:r>
      <w:r w:rsidRPr="00E24DAC">
        <w:rPr>
          <w:noProof/>
          <w:color w:val="014463" w:themeColor="text2"/>
        </w:rPr>
        <w:t>—Finalising processes</w:t>
      </w:r>
    </w:p>
    <w:p w14:paraId="5E2F337F" w14:textId="77777777" w:rsidR="00AA15E0" w:rsidRDefault="00AA15E0" w:rsidP="008D6CC4">
      <w:pPr>
        <w:pStyle w:val="BodyText"/>
        <w:outlineLvl w:val="1"/>
        <w:rPr>
          <w:rFonts w:asciiTheme="majorHAnsi" w:eastAsiaTheme="majorEastAsia" w:hAnsiTheme="majorHAnsi" w:cstheme="majorBidi"/>
          <w:b/>
          <w:color w:val="014463" w:themeColor="text2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color w:val="014463" w:themeColor="text2"/>
          <w:sz w:val="40"/>
          <w:szCs w:val="40"/>
        </w:rPr>
        <w:t xml:space="preserve">Items 223 </w:t>
      </w:r>
      <w:r w:rsidR="005D1571">
        <w:rPr>
          <w:rFonts w:asciiTheme="majorHAnsi" w:eastAsiaTheme="majorEastAsia" w:hAnsiTheme="majorHAnsi" w:cstheme="majorBidi"/>
          <w:b/>
          <w:color w:val="014463" w:themeColor="text2"/>
          <w:sz w:val="40"/>
          <w:szCs w:val="40"/>
        </w:rPr>
        <w:t>and</w:t>
      </w:r>
      <w:r>
        <w:rPr>
          <w:rFonts w:asciiTheme="majorHAnsi" w:eastAsiaTheme="majorEastAsia" w:hAnsiTheme="majorHAnsi" w:cstheme="majorBidi"/>
          <w:b/>
          <w:color w:val="014463" w:themeColor="text2"/>
          <w:sz w:val="40"/>
          <w:szCs w:val="40"/>
        </w:rPr>
        <w:t xml:space="preserve"> 224</w:t>
      </w:r>
      <w:r w:rsidR="005D1571">
        <w:rPr>
          <w:rFonts w:asciiTheme="majorHAnsi" w:eastAsiaTheme="majorEastAsia" w:hAnsiTheme="majorHAnsi" w:cstheme="majorBidi"/>
          <w:b/>
          <w:color w:val="014463" w:themeColor="text2"/>
          <w:sz w:val="40"/>
          <w:szCs w:val="40"/>
        </w:rPr>
        <w:t>—</w:t>
      </w:r>
      <w:r>
        <w:rPr>
          <w:rFonts w:asciiTheme="majorHAnsi" w:eastAsiaTheme="majorEastAsia" w:hAnsiTheme="majorHAnsi" w:cstheme="majorBidi"/>
          <w:b/>
          <w:color w:val="014463" w:themeColor="text2"/>
          <w:sz w:val="40"/>
          <w:szCs w:val="40"/>
        </w:rPr>
        <w:t>Finalis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color w:val="014463" w:themeColor="text2"/>
          <w:sz w:val="40"/>
          <w:szCs w:val="40"/>
        </w:rPr>
        <w:t>ation letter and compliance outcome letter</w:t>
      </w:r>
    </w:p>
    <w:p w14:paraId="53D76993" w14:textId="77777777" w:rsidR="00AA15E0" w:rsidRDefault="005D1571" w:rsidP="00BB1F8E">
      <w:pPr>
        <w:pStyle w:val="BodyText"/>
      </w:pPr>
      <w:r>
        <w:t>The Office of the Registrar of Indigenous Corporations (</w:t>
      </w:r>
      <w:r w:rsidR="00AA15E0">
        <w:t>ORIC</w:t>
      </w:r>
      <w:r>
        <w:t>)</w:t>
      </w:r>
      <w:r w:rsidR="00AA15E0">
        <w:t xml:space="preserve"> conducts a</w:t>
      </w:r>
      <w:r>
        <w:t>n</w:t>
      </w:r>
      <w:r w:rsidR="00AA15E0">
        <w:t xml:space="preserve"> annual schedule of examinations of CATSI </w:t>
      </w:r>
      <w:r w:rsidR="00A70486">
        <w:t>corporations</w:t>
      </w:r>
      <w:r w:rsidR="00AA15E0">
        <w:t xml:space="preserve"> to assess their corporate governance and financial health. Corporations are notified of the examination by a letter from the Registrar </w:t>
      </w:r>
      <w:r>
        <w:t xml:space="preserve">of Aboriginal and Torres Strait Islander Corporations (the Registrar) </w:t>
      </w:r>
      <w:r w:rsidR="00AA15E0">
        <w:t xml:space="preserve">which </w:t>
      </w:r>
      <w:r>
        <w:t>is also recorded</w:t>
      </w:r>
      <w:r w:rsidR="00AA15E0">
        <w:t xml:space="preserve"> on the Register of Aboriginal and Torres Strait</w:t>
      </w:r>
      <w:r>
        <w:t xml:space="preserve"> Islander C</w:t>
      </w:r>
      <w:r w:rsidR="00AA15E0">
        <w:t>orporations and is a public document.</w:t>
      </w:r>
    </w:p>
    <w:p w14:paraId="09FA0F76" w14:textId="77777777" w:rsidR="00AA15E0" w:rsidRDefault="00AA15E0" w:rsidP="00BB1F8E">
      <w:pPr>
        <w:pStyle w:val="BodyText"/>
      </w:pPr>
      <w:r>
        <w:t>At the finalisation of an examination</w:t>
      </w:r>
      <w:r w:rsidR="005D1571">
        <w:t>,</w:t>
      </w:r>
      <w:r>
        <w:t xml:space="preserve"> ORIC may send the corporation a compliance letter (where there is a compliance matter to be rectified); a show cause notice where there is a serious governance or compliance issue and the Registrar is considering appointing a special administrator; or a management letter advising the corporation of the end of the examination</w:t>
      </w:r>
      <w:r w:rsidR="005D1571">
        <w:t>. There is no</w:t>
      </w:r>
      <w:r>
        <w:t xml:space="preserve"> legal requirement for </w:t>
      </w:r>
      <w:r w:rsidR="005D1571">
        <w:t xml:space="preserve">the Registrar to send a management letter, which in the absence of a compliance </w:t>
      </w:r>
      <w:r w:rsidR="004C368A">
        <w:t xml:space="preserve">letter </w:t>
      </w:r>
      <w:r w:rsidR="005D1571">
        <w:t>or show cause notice, signals the conclusion of an examination</w:t>
      </w:r>
      <w:r>
        <w:t>.</w:t>
      </w:r>
    </w:p>
    <w:p w14:paraId="592FDA49" w14:textId="77777777" w:rsidR="00AA15E0" w:rsidRDefault="00AA15E0" w:rsidP="00BB1F8E">
      <w:pPr>
        <w:pStyle w:val="BodyText"/>
      </w:pPr>
      <w:r>
        <w:t xml:space="preserve">It is important for corporations to be able to demonstrate that an examination has found no, or </w:t>
      </w:r>
      <w:r w:rsidR="009C7BCF">
        <w:t xml:space="preserve">only </w:t>
      </w:r>
      <w:r>
        <w:t>minor</w:t>
      </w:r>
      <w:r w:rsidR="004C368A">
        <w:t>,</w:t>
      </w:r>
      <w:r>
        <w:t xml:space="preserve"> issues with governance and financial health, particularly as funding bodies </w:t>
      </w:r>
      <w:r w:rsidR="00C364A4">
        <w:t>will be looking closely at this. In a similar way, when corporations have addressed and rectified all of the issues raised in a compliance notice, there is currently no requirement for ORIC to acknowledge this.</w:t>
      </w:r>
    </w:p>
    <w:p w14:paraId="1BD61A1C" w14:textId="77777777" w:rsidR="00C364A4" w:rsidRDefault="00C364A4" w:rsidP="00BB1F8E">
      <w:pPr>
        <w:pStyle w:val="BodyText"/>
      </w:pPr>
      <w:r>
        <w:t>Recommendation 50</w:t>
      </w:r>
      <w:r w:rsidR="009C7BCF">
        <w:t xml:space="preserve"> in the CATSI Act Review final report</w:t>
      </w:r>
      <w:r>
        <w:t xml:space="preserve"> stated: </w:t>
      </w:r>
    </w:p>
    <w:p w14:paraId="7FB453BF" w14:textId="77777777" w:rsidR="00C364A4" w:rsidRPr="00C364A4" w:rsidRDefault="00C364A4" w:rsidP="00C364A4">
      <w:pPr>
        <w:pStyle w:val="BodyText"/>
        <w:rPr>
          <w:i/>
        </w:rPr>
      </w:pPr>
      <w:r w:rsidRPr="00C364A4">
        <w:rPr>
          <w:i/>
        </w:rPr>
        <w:t>It is recommended the CATSI Act be amended to require ORIC to issue a:</w:t>
      </w:r>
    </w:p>
    <w:p w14:paraId="43FDD3B4" w14:textId="77777777" w:rsidR="00C364A4" w:rsidRPr="00C364A4" w:rsidRDefault="00C364A4" w:rsidP="005D1571">
      <w:pPr>
        <w:pStyle w:val="BodyText"/>
        <w:numPr>
          <w:ilvl w:val="0"/>
          <w:numId w:val="31"/>
        </w:numPr>
        <w:rPr>
          <w:i/>
        </w:rPr>
      </w:pPr>
      <w:r w:rsidRPr="00C364A4">
        <w:rPr>
          <w:i/>
        </w:rPr>
        <w:lastRenderedPageBreak/>
        <w:t>finalisation letter at the conclusion of an examination in the absence of issuing a compliance notice or ‘show</w:t>
      </w:r>
    </w:p>
    <w:p w14:paraId="7BAF6A0B" w14:textId="77777777" w:rsidR="00C364A4" w:rsidRPr="00C364A4" w:rsidRDefault="00C364A4" w:rsidP="005D1571">
      <w:pPr>
        <w:pStyle w:val="BodyText"/>
        <w:ind w:left="340"/>
        <w:rPr>
          <w:i/>
        </w:rPr>
      </w:pPr>
      <w:proofErr w:type="gramStart"/>
      <w:r w:rsidRPr="00C364A4">
        <w:rPr>
          <w:i/>
        </w:rPr>
        <w:t>cause</w:t>
      </w:r>
      <w:proofErr w:type="gramEnd"/>
      <w:r w:rsidRPr="00C364A4">
        <w:rPr>
          <w:i/>
        </w:rPr>
        <w:t>’ notice; and</w:t>
      </w:r>
    </w:p>
    <w:p w14:paraId="1384170B" w14:textId="77777777" w:rsidR="009C7BCF" w:rsidRPr="009C7BCF" w:rsidRDefault="00C364A4" w:rsidP="00F51F44">
      <w:pPr>
        <w:pStyle w:val="BodyText"/>
        <w:numPr>
          <w:ilvl w:val="0"/>
          <w:numId w:val="31"/>
        </w:numPr>
      </w:pPr>
      <w:proofErr w:type="gramStart"/>
      <w:r w:rsidRPr="009C7BCF">
        <w:rPr>
          <w:i/>
        </w:rPr>
        <w:t>compliance</w:t>
      </w:r>
      <w:proofErr w:type="gramEnd"/>
      <w:r w:rsidRPr="009C7BCF">
        <w:rPr>
          <w:i/>
        </w:rPr>
        <w:t xml:space="preserve"> outcome letter confirming that issues raised in a compliance notice have been addressed by the</w:t>
      </w:r>
      <w:r w:rsidR="005D1571" w:rsidRPr="009C7BCF">
        <w:rPr>
          <w:i/>
        </w:rPr>
        <w:t xml:space="preserve"> </w:t>
      </w:r>
      <w:r w:rsidR="009C7BCF">
        <w:rPr>
          <w:i/>
        </w:rPr>
        <w:t>relevant corporation.</w:t>
      </w:r>
    </w:p>
    <w:p w14:paraId="4D74BBF7" w14:textId="77777777" w:rsidR="00A3076D" w:rsidRPr="00A3076D" w:rsidRDefault="00BB1F8E" w:rsidP="009C7BCF">
      <w:pPr>
        <w:pStyle w:val="BodyText"/>
      </w:pPr>
      <w:r>
        <w:t>Items 223 and 224</w:t>
      </w:r>
      <w:r w:rsidR="00C364A4">
        <w:t xml:space="preserve"> implement this recommendation</w:t>
      </w:r>
      <w:r w:rsidR="009C7BCF">
        <w:t xml:space="preserve"> as it was proposed</w:t>
      </w:r>
      <w:r w:rsidR="00C364A4">
        <w:t xml:space="preserve">. Item </w:t>
      </w:r>
      <w:r>
        <w:t xml:space="preserve">223 requires the Registrar to provide notice to a corporation if he or she is satisfied </w:t>
      </w:r>
      <w:r w:rsidR="004C368A">
        <w:t xml:space="preserve">that </w:t>
      </w:r>
      <w:r>
        <w:t xml:space="preserve">the action </w:t>
      </w:r>
      <w:r w:rsidR="004C368A">
        <w:t xml:space="preserve">specified in </w:t>
      </w:r>
      <w:r w:rsidR="00BB0594">
        <w:t>a compliance notice have been taken by that corporation</w:t>
      </w:r>
      <w:r w:rsidR="00C364A4">
        <w:t>. Item 2</w:t>
      </w:r>
      <w:r>
        <w:t xml:space="preserve">24 provides for the Registrar to </w:t>
      </w:r>
      <w:r w:rsidR="004C368A">
        <w:t>notify</w:t>
      </w:r>
      <w:r>
        <w:t xml:space="preserve"> a corporation at the conclusion of an </w:t>
      </w:r>
      <w:proofErr w:type="gramStart"/>
      <w:r>
        <w:t xml:space="preserve">examination, </w:t>
      </w:r>
      <w:r w:rsidR="004C368A">
        <w:t>that</w:t>
      </w:r>
      <w:proofErr w:type="gramEnd"/>
      <w:r w:rsidR="004C368A">
        <w:t xml:space="preserve"> he or she has concluded that they </w:t>
      </w:r>
      <w:r>
        <w:t>will take no further action.</w:t>
      </w:r>
    </w:p>
    <w:sectPr w:rsidR="00A3076D" w:rsidRPr="00A3076D" w:rsidSect="001E42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9530" w14:textId="77777777" w:rsidR="00691BAC" w:rsidRDefault="00691BAC" w:rsidP="00B95533">
      <w:pPr>
        <w:spacing w:after="0" w:line="240" w:lineRule="auto"/>
      </w:pPr>
      <w:r>
        <w:separator/>
      </w:r>
    </w:p>
  </w:endnote>
  <w:endnote w:type="continuationSeparator" w:id="0">
    <w:p w14:paraId="0EC5EEF0" w14:textId="77777777" w:rsidR="00691BAC" w:rsidRDefault="00691BAC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F66C" w14:textId="77777777" w:rsidR="008D6CC4" w:rsidRDefault="008D6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dataBinding w:xpath="/root[1]/Classification[1]" w:storeItemID="{F533AE62-A212-4B26-92DA-A3B336E8AE06}"/>
      <w:text/>
    </w:sdtPr>
    <w:sdtEndPr/>
    <w:sdtContent>
      <w:p w14:paraId="202CB1F9" w14:textId="77777777" w:rsidR="009672EB" w:rsidRPr="00B87E45" w:rsidRDefault="00E24DAC" w:rsidP="001007B9">
        <w:pPr>
          <w:pStyle w:val="ProtectiveMarking"/>
        </w:pPr>
        <w:r>
          <w:t>OFFICIAL</w:t>
        </w:r>
      </w:p>
    </w:sdtContent>
  </w:sdt>
  <w:p w14:paraId="6DB456DA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EAF33DF" wp14:editId="72659D9E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4982C2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3F5CABA9" wp14:editId="6132569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1FCFAC" w14:textId="77777777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E24DAC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D60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E24DAC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A74C848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6EC34E8F025D474EABCE123A748DB2F8"/>
        </w:placeholder>
        <w:dataBinding w:xpath="/root[1]/SectionName[1]" w:storeItemID="{F533AE62-A212-4B26-92DA-A3B336E8AE06}"/>
        <w:text/>
      </w:sdtPr>
      <w:sdtEndPr/>
      <w:sdtContent>
        <w:r w:rsidR="00233B91">
          <w:rPr>
            <w:color w:val="25303B" w:themeColor="accent1"/>
          </w:rPr>
          <w:t>Policy Projects Reform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E24DAC">
      <w:rPr>
        <w:b/>
        <w:bCs w:val="0"/>
        <w:noProof/>
        <w:color w:val="25303B" w:themeColor="accent1"/>
        <w:lang w:val="en-US"/>
      </w:rPr>
      <w:t>Error! No text of specified style in document.</w:t>
    </w:r>
    <w:r w:rsidRPr="0040648D">
      <w:rPr>
        <w:color w:val="25303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dataBinding w:xpath="/root[1]/Classification[1]" w:storeItemID="{F533AE62-A212-4B26-92DA-A3B336E8AE06}"/>
      <w:text/>
    </w:sdtPr>
    <w:sdtEndPr/>
    <w:sdtContent>
      <w:p w14:paraId="65075C13" w14:textId="77777777" w:rsidR="009672EB" w:rsidRPr="00B87E45" w:rsidRDefault="00E24DAC" w:rsidP="00917F95">
        <w:pPr>
          <w:pStyle w:val="ProtectiveMarking"/>
        </w:pPr>
        <w:r>
          <w:t>OFFICIAL</w:t>
        </w:r>
      </w:p>
    </w:sdtContent>
  </w:sdt>
  <w:p w14:paraId="66644328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36E75BD" wp14:editId="6FA7CBD8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247788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2F7131D8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134404CC" wp14:editId="3378CC2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2A99E" w14:textId="77777777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8D6CC4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404C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72B2A99E" w14:textId="77777777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8D6CC4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233B91">
          <w:rPr>
            <w:color w:val="25303B" w:themeColor="accent1"/>
          </w:rPr>
          <w:t>Policy Projects Reform</w:t>
        </w:r>
      </w:sdtContent>
    </w:sdt>
    <w:r w:rsidRPr="0040648D">
      <w:rPr>
        <w:color w:val="25303B" w:themeColor="accent1"/>
      </w:rPr>
      <w:t xml:space="preserve"> | </w:t>
    </w:r>
    <w:r w:rsidR="00E24DAC" w:rsidRPr="00E24DAC">
      <w:rPr>
        <w:color w:val="25303B" w:themeColor="accent1"/>
      </w:rPr>
      <w:t>Part 15—Finalising processes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007AA" w14:textId="77777777" w:rsidR="00691BAC" w:rsidRPr="007A6FC6" w:rsidRDefault="00691BAC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27D3DEB8" w14:textId="77777777" w:rsidR="00691BAC" w:rsidRPr="007A6FC6" w:rsidRDefault="00691BAC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13721" w14:textId="77777777" w:rsidR="008D6CC4" w:rsidRDefault="008D6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DEC1" w14:textId="77777777" w:rsidR="002C0B0E" w:rsidRDefault="008D6CC4" w:rsidP="00510499">
    <w:pPr>
      <w:pStyle w:val="ProtectiveMarking"/>
    </w:pPr>
    <w:sdt>
      <w:sdtPr>
        <w:alias w:val="Classification"/>
        <w:tag w:val="Classification"/>
        <w:id w:val="336196887"/>
        <w:dataBinding w:xpath="/root[1]/Classification[1]" w:storeItemID="{F533AE62-A212-4B26-92DA-A3B336E8AE06}"/>
        <w:text/>
      </w:sdtPr>
      <w:sdtEndPr/>
      <w:sdtContent>
        <w:r w:rsidR="00E24DAC">
          <w:t>OFFICIAL</w:t>
        </w:r>
      </w:sdtContent>
    </w:sdt>
  </w:p>
  <w:p w14:paraId="5EA38B6C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1C88B726" wp14:editId="43E6F76F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288B12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2828" w14:textId="77777777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6330199F" wp14:editId="4753C8E5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D2C69E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744ED4C0" wp14:editId="0F44C89B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F2E32" w14:textId="77777777" w:rsidR="00FB385B" w:rsidRPr="00B0259B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</w:pPr>
                          <w:r w:rsidRPr="00B0259B"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2AAA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:rsidR="00FB385B" w:rsidRPr="00B0259B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</w:pPr>
                    <w:r w:rsidRPr="00B0259B"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5CD0A9B7" wp14:editId="4C0BAF4A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40" name="Graphic 16" title="N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7750939B" wp14:editId="693B8676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1" name="Graphic 19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2BA23F1A" wp14:editId="0A5B80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42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7721" r="-1" b="12213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115801"/>
    <w:multiLevelType w:val="hybridMultilevel"/>
    <w:tmpl w:val="B0EE1A4C"/>
    <w:lvl w:ilvl="0" w:tplc="D5CC7B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4F94295A"/>
    <w:multiLevelType w:val="hybridMultilevel"/>
    <w:tmpl w:val="23E68602"/>
    <w:lvl w:ilvl="0" w:tplc="E74E51B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6DE527EB"/>
    <w:multiLevelType w:val="hybridMultilevel"/>
    <w:tmpl w:val="877C2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1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6"/>
  </w:num>
  <w:num w:numId="20">
    <w:abstractNumId w:val="12"/>
  </w:num>
  <w:num w:numId="21">
    <w:abstractNumId w:val="0"/>
  </w:num>
  <w:num w:numId="22">
    <w:abstractNumId w:val="10"/>
  </w:num>
  <w:num w:numId="23">
    <w:abstractNumId w:val="10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1"/>
  </w:num>
  <w:num w:numId="28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9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91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3B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07E5"/>
    <w:rsid w:val="00105ECB"/>
    <w:rsid w:val="00131315"/>
    <w:rsid w:val="00131BD2"/>
    <w:rsid w:val="00132268"/>
    <w:rsid w:val="001336CF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09EB"/>
    <w:rsid w:val="001D283B"/>
    <w:rsid w:val="001D3983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3B91"/>
    <w:rsid w:val="00234705"/>
    <w:rsid w:val="00237365"/>
    <w:rsid w:val="00241257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85FC6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F072A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16FF"/>
    <w:rsid w:val="00463F31"/>
    <w:rsid w:val="004759ED"/>
    <w:rsid w:val="004945F7"/>
    <w:rsid w:val="004957BB"/>
    <w:rsid w:val="00497F14"/>
    <w:rsid w:val="004B2CB0"/>
    <w:rsid w:val="004B7B8B"/>
    <w:rsid w:val="004C18F6"/>
    <w:rsid w:val="004C368A"/>
    <w:rsid w:val="004C6518"/>
    <w:rsid w:val="004D0B40"/>
    <w:rsid w:val="004D24EB"/>
    <w:rsid w:val="004D688C"/>
    <w:rsid w:val="004E58AE"/>
    <w:rsid w:val="004F20A9"/>
    <w:rsid w:val="004F6894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64778"/>
    <w:rsid w:val="00574F28"/>
    <w:rsid w:val="00576C8D"/>
    <w:rsid w:val="0058793B"/>
    <w:rsid w:val="005917FA"/>
    <w:rsid w:val="0059258A"/>
    <w:rsid w:val="00596D03"/>
    <w:rsid w:val="005A0DE7"/>
    <w:rsid w:val="005A355D"/>
    <w:rsid w:val="005B210C"/>
    <w:rsid w:val="005B241C"/>
    <w:rsid w:val="005B27D0"/>
    <w:rsid w:val="005C7655"/>
    <w:rsid w:val="005C7C79"/>
    <w:rsid w:val="005D1571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1BAC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D6CC4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26DC0"/>
    <w:rsid w:val="00935AD4"/>
    <w:rsid w:val="00937CE1"/>
    <w:rsid w:val="0094513B"/>
    <w:rsid w:val="0094688C"/>
    <w:rsid w:val="00963FB3"/>
    <w:rsid w:val="009672EB"/>
    <w:rsid w:val="00973090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C7BCF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BDE"/>
    <w:rsid w:val="00A5524F"/>
    <w:rsid w:val="00A61711"/>
    <w:rsid w:val="00A62F19"/>
    <w:rsid w:val="00A63A3E"/>
    <w:rsid w:val="00A66C34"/>
    <w:rsid w:val="00A70486"/>
    <w:rsid w:val="00A73CFD"/>
    <w:rsid w:val="00A77E87"/>
    <w:rsid w:val="00A80863"/>
    <w:rsid w:val="00A81616"/>
    <w:rsid w:val="00A8365E"/>
    <w:rsid w:val="00A9488D"/>
    <w:rsid w:val="00A94E35"/>
    <w:rsid w:val="00A95355"/>
    <w:rsid w:val="00AA15E0"/>
    <w:rsid w:val="00AB350C"/>
    <w:rsid w:val="00AB3C78"/>
    <w:rsid w:val="00AC1AA3"/>
    <w:rsid w:val="00AC4EB2"/>
    <w:rsid w:val="00AC6B86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83B2F"/>
    <w:rsid w:val="00B87E45"/>
    <w:rsid w:val="00B95533"/>
    <w:rsid w:val="00BB0594"/>
    <w:rsid w:val="00BB0F68"/>
    <w:rsid w:val="00BB1F8E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067D6"/>
    <w:rsid w:val="00C364A4"/>
    <w:rsid w:val="00C464A7"/>
    <w:rsid w:val="00C511C3"/>
    <w:rsid w:val="00C51C42"/>
    <w:rsid w:val="00C52329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D7310"/>
    <w:rsid w:val="00CE1635"/>
    <w:rsid w:val="00CF0D33"/>
    <w:rsid w:val="00CF41A9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24DAC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4E0D"/>
    <w:rsid w:val="00F26D11"/>
    <w:rsid w:val="00F27CBE"/>
    <w:rsid w:val="00F4121E"/>
    <w:rsid w:val="00F4212B"/>
    <w:rsid w:val="00F4649D"/>
    <w:rsid w:val="00F46D66"/>
    <w:rsid w:val="00F4704F"/>
    <w:rsid w:val="00F50EE3"/>
    <w:rsid w:val="00F54524"/>
    <w:rsid w:val="00F62EE2"/>
    <w:rsid w:val="00F651C4"/>
    <w:rsid w:val="00F7682E"/>
    <w:rsid w:val="00F83248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98BD5E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34E8F025D474EABCE123A748D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519E-7EA5-4F93-9491-4B35EDFA874B}"/>
      </w:docPartPr>
      <w:docPartBody>
        <w:p w:rsidR="007974CC" w:rsidRDefault="007974CC">
          <w:pPr>
            <w:pStyle w:val="6EC34E8F025D474EABCE123A748DB2F8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CC"/>
    <w:rsid w:val="00160CBE"/>
    <w:rsid w:val="00607061"/>
    <w:rsid w:val="007974CC"/>
    <w:rsid w:val="009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6EC34E8F025D474EABCE123A748DB2F8">
    <w:name w:val="6EC34E8F025D474EABCE123A748DB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>OFFICIAL</Classification>
  <DLM/>
  <SectionName>Policy Projects Reform</SectionName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ORIC</TermName>
          <TermId xmlns="http://schemas.microsoft.com/office/infopath/2007/PartnerControls">d151c637-14dd-4e1a-a8c5-ebf2e3d90de4</TermId>
        </TermInfo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</Terms>
    </hc4a8f51d7584793bcee84017ea96cb3>
    <ShareHubID xmlns="166541c0-0594-4e6a-9105-c24d4b6de6f7">DOC21-180279</ShareHubID>
    <TaxCatchAll xmlns="166541c0-0594-4e6a-9105-c24d4b6de6f7">
      <Value>56</Value>
      <Value>57</Value>
      <Value>28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EB6EEDB8-E694-42F9-92AE-74EBFA8F0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6E1CF-94A3-4DC9-985D-C28C8FB237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17078-C341-448E-8E8B-BF1628E4DA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FB3AE64-79EB-41E2-B2D2-7EFA15A7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2021-07-05T02:07:00Z</dcterms:created>
  <dcterms:modified xsi:type="dcterms:W3CDTF">2021-07-05T02:07:00Z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28;#ORIC|d151c637-14dd-4e1a-a8c5-ebf2e3d90de4;#56;#Official|f53c1d54-6e59-4b8b-8af5-a00f9baa8e57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2021-07-05T12:14:11</vt:lpwstr>
  </property>
</Properties>
</file>