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FCC96" w14:textId="77777777" w:rsidR="004163FA" w:rsidRDefault="00C4082A" w:rsidP="004163FA">
      <w:pPr>
        <w:pStyle w:val="ProtectiveMarking"/>
        <w:rPr>
          <w:caps w:val="0"/>
          <w:noProof w:val="0"/>
          <w:color w:val="191919" w:themeColor="text1" w:themeTint="E6"/>
        </w:rPr>
      </w:pPr>
      <w:sdt>
        <w:sdtPr>
          <w:alias w:val="Classification"/>
          <w:tag w:val="Classification"/>
          <w:id w:val="-521240474"/>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C82385">
            <w:t>OFFICIAL</w:t>
          </w:r>
        </w:sdtContent>
      </w:sdt>
    </w:p>
    <w:p w14:paraId="4E588D41" w14:textId="77777777" w:rsidR="006B0488" w:rsidRDefault="0040648D" w:rsidP="006B0488">
      <w:r>
        <w:rPr>
          <w:noProof/>
          <w:lang w:eastAsia="en-AU"/>
        </w:rPr>
        <mc:AlternateContent>
          <mc:Choice Requires="wps">
            <w:drawing>
              <wp:anchor distT="0" distB="0" distL="114300" distR="114300" simplePos="0" relativeHeight="251662336" behindDoc="0" locked="1" layoutInCell="1" allowOverlap="1" wp14:anchorId="17CC53A7" wp14:editId="14B1EF02">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14:paraId="55F0A16F" w14:textId="77777777" w:rsidR="0040648D" w:rsidRPr="00C91A83" w:rsidRDefault="00C82385" w:rsidP="0040648D">
                                <w:pPr>
                                  <w:pStyle w:val="SectionNameRev"/>
                                </w:pPr>
                                <w:r>
                                  <w:t>CATSI Act Review</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9FFCF2" id="_x0000_t202" coordsize="21600,21600" o:spt="202" path="m,l,21600r21600,l21600,xe">
                <v:stroke joinstyle="miter"/>
                <v:path gradientshapeok="t" o:connecttype="rect"/>
              </v:shapetype>
              <v:shape id="Text Box 45" o:spid="_x0000_s1026" type="#_x0000_t202" style="position:absolute;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rsidR="0040648D" w:rsidRPr="00C91A83" w:rsidRDefault="00C82385" w:rsidP="0040648D">
                          <w:pPr>
                            <w:pStyle w:val="SectionNameRev"/>
                          </w:pPr>
                          <w:r>
                            <w:t>CATSI Act Review</w:t>
                          </w:r>
                        </w:p>
                      </w:sdtContent>
                    </w:sdt>
                  </w:txbxContent>
                </v:textbox>
                <w10:wrap type="topAndBottom" anchorx="page" anchory="page"/>
                <w10:anchorlock/>
              </v:shape>
            </w:pict>
          </mc:Fallback>
        </mc:AlternateContent>
      </w:r>
    </w:p>
    <w:p w14:paraId="362FDA58" w14:textId="77777777" w:rsidR="0086672B" w:rsidRPr="000816E6" w:rsidRDefault="00C067D6" w:rsidP="000816E6">
      <w:pPr>
        <w:pStyle w:val="Heading2"/>
        <w:rPr>
          <w:sz w:val="60"/>
          <w:szCs w:val="60"/>
        </w:rPr>
      </w:pPr>
      <w:r w:rsidRPr="000816E6">
        <w:rPr>
          <w:sz w:val="60"/>
          <w:szCs w:val="60"/>
        </w:rPr>
        <w:t>Part 4—</w:t>
      </w:r>
      <w:bookmarkStart w:id="0" w:name="_GoBack"/>
      <w:r w:rsidRPr="000816E6">
        <w:rPr>
          <w:sz w:val="60"/>
          <w:szCs w:val="60"/>
        </w:rPr>
        <w:t>Subsidiaries and joint ventures</w:t>
      </w:r>
      <w:bookmarkEnd w:id="0"/>
    </w:p>
    <w:p w14:paraId="64D832BD" w14:textId="77777777" w:rsidR="00A346CA" w:rsidRDefault="00B650C3" w:rsidP="00A346CA">
      <w:pPr>
        <w:pStyle w:val="BodyText"/>
      </w:pPr>
      <w:r>
        <w:t>Under the current CATSI Act, it is difficult for CATSI corporations to set up subsidiary corporations and enter into join</w:t>
      </w:r>
      <w:r w:rsidR="00D64D37">
        <w:t>t</w:t>
      </w:r>
      <w:r>
        <w:t xml:space="preserve"> ventures. The primary obstacles are the limitations found in the rules relating to membership and directors.</w:t>
      </w:r>
    </w:p>
    <w:p w14:paraId="551F7585" w14:textId="77777777" w:rsidR="000816E6" w:rsidRDefault="000816E6" w:rsidP="000816E6">
      <w:pPr>
        <w:pStyle w:val="Heading2"/>
      </w:pPr>
      <w:r>
        <w:t>Items 86 to 9</w:t>
      </w:r>
      <w:r w:rsidR="00C47AA5">
        <w:t>2</w:t>
      </w:r>
      <w:r>
        <w:t xml:space="preserve"> and 96</w:t>
      </w:r>
      <w:r w:rsidRPr="000816E6">
        <w:t>—</w:t>
      </w:r>
      <w:r>
        <w:t>Subsidiaries and joint ventures</w:t>
      </w:r>
    </w:p>
    <w:p w14:paraId="32EC48A2" w14:textId="77777777" w:rsidR="00B650C3" w:rsidRDefault="00B650C3" w:rsidP="00A346CA">
      <w:pPr>
        <w:pStyle w:val="BodyText"/>
      </w:pPr>
      <w:r>
        <w:t>Recommendation 18 of the CATSI Act Review final report was:</w:t>
      </w:r>
    </w:p>
    <w:p w14:paraId="2DAB361C" w14:textId="77777777" w:rsidR="00B650C3" w:rsidRDefault="00B650C3" w:rsidP="00A346CA">
      <w:pPr>
        <w:pStyle w:val="BodyText"/>
        <w:rPr>
          <w:rFonts w:eastAsia="Times New Roman" w:cstheme="minorHAnsi"/>
          <w:color w:val="auto"/>
        </w:rPr>
      </w:pPr>
      <w:r w:rsidRPr="00B650C3">
        <w:rPr>
          <w:i/>
        </w:rPr>
        <w:t xml:space="preserve">It is recommended the </w:t>
      </w:r>
      <w:r w:rsidRPr="00B650C3">
        <w:rPr>
          <w:rFonts w:eastAsia="Times New Roman" w:cstheme="minorHAnsi"/>
          <w:i/>
          <w:color w:val="auto"/>
        </w:rPr>
        <w:t>membership and directorship provisions in the CATSI Act be changed to make it easier for corporations to establish subsidiaries and joint ventures.</w:t>
      </w:r>
    </w:p>
    <w:p w14:paraId="1C47A00C" w14:textId="77777777" w:rsidR="00EE2FBE" w:rsidRDefault="00EE2FBE" w:rsidP="00EE2FBE">
      <w:pPr>
        <w:pStyle w:val="BodyText"/>
      </w:pPr>
      <w:r>
        <w:t>These items change the directorship and membership provisions to more easily facilitate corporations with only body corporate members. Upon registration, corporations will be required to indicate if they intend to be a wholly-owned subsidiary or a corporation whose only members are bodies corporate</w:t>
      </w:r>
      <w:r w:rsidRPr="000816E6">
        <w:t>. It will allow for differential treatment of applications based on proposed corporate membership.</w:t>
      </w:r>
    </w:p>
    <w:p w14:paraId="02D3B7F7" w14:textId="77777777" w:rsidR="00EE2FBE" w:rsidRPr="000816E6" w:rsidRDefault="00EE2FBE" w:rsidP="00EE2FBE">
      <w:pPr>
        <w:spacing w:before="240" w:after="0" w:line="240" w:lineRule="auto"/>
        <w:rPr>
          <w:rFonts w:cs="Times New Roman"/>
        </w:rPr>
      </w:pPr>
      <w:r>
        <w:rPr>
          <w:rFonts w:cs="Times New Roman"/>
        </w:rPr>
        <w:t>The existing requirement of the CATSI Act that the</w:t>
      </w:r>
      <w:r w:rsidRPr="00F500FA">
        <w:rPr>
          <w:rFonts w:cs="Times New Roman"/>
        </w:rPr>
        <w:t xml:space="preserve"> majority of the directors of a corporation </w:t>
      </w:r>
      <w:r>
        <w:rPr>
          <w:rFonts w:cs="Times New Roman"/>
        </w:rPr>
        <w:t>are</w:t>
      </w:r>
      <w:r w:rsidRPr="00F500FA">
        <w:rPr>
          <w:rFonts w:cs="Times New Roman"/>
        </w:rPr>
        <w:t xml:space="preserve"> members of the corporation</w:t>
      </w:r>
      <w:r>
        <w:rPr>
          <w:rFonts w:cs="Times New Roman"/>
        </w:rPr>
        <w:t xml:space="preserve"> is replaced </w:t>
      </w:r>
      <w:r w:rsidRPr="00F500FA">
        <w:rPr>
          <w:rFonts w:cs="Times New Roman"/>
        </w:rPr>
        <w:t xml:space="preserve">with a subsection that </w:t>
      </w:r>
      <w:r>
        <w:rPr>
          <w:rFonts w:cs="Times New Roman"/>
        </w:rPr>
        <w:t xml:space="preserve">requires a </w:t>
      </w:r>
      <w:r w:rsidRPr="00F500FA">
        <w:rPr>
          <w:rFonts w:cs="Times New Roman"/>
        </w:rPr>
        <w:t xml:space="preserve">majority of directors of a corporation </w:t>
      </w:r>
      <w:r>
        <w:rPr>
          <w:rFonts w:cs="Times New Roman"/>
        </w:rPr>
        <w:t>to</w:t>
      </w:r>
      <w:r w:rsidRPr="00F500FA">
        <w:rPr>
          <w:rFonts w:cs="Times New Roman"/>
        </w:rPr>
        <w:t xml:space="preserve"> be members of the corporation unless the corporation is </w:t>
      </w:r>
      <w:r>
        <w:rPr>
          <w:rFonts w:cs="Times New Roman"/>
        </w:rPr>
        <w:t>a wholly-owned subsidiary of a body corporate or a corporation whose only members are bodies corporate</w:t>
      </w:r>
      <w:r w:rsidRPr="00F500FA">
        <w:rPr>
          <w:rFonts w:cs="Times New Roman"/>
        </w:rPr>
        <w:t>.</w:t>
      </w:r>
    </w:p>
    <w:p w14:paraId="0F453CC6" w14:textId="77777777" w:rsidR="00B8189A" w:rsidRDefault="00CE51E7" w:rsidP="000816E6">
      <w:pPr>
        <w:spacing w:before="240" w:after="0" w:line="240" w:lineRule="auto"/>
        <w:rPr>
          <w:rFonts w:cs="Times New Roman"/>
        </w:rPr>
      </w:pPr>
      <w:r>
        <w:rPr>
          <w:rFonts w:cs="Times New Roman"/>
        </w:rPr>
        <w:t xml:space="preserve">New membership requirements are set out </w:t>
      </w:r>
      <w:r w:rsidR="00E116D2">
        <w:rPr>
          <w:rFonts w:cs="Times New Roman"/>
        </w:rPr>
        <w:t>based on the corporation type</w:t>
      </w:r>
      <w:r w:rsidR="00E116D2" w:rsidRPr="000816E6">
        <w:rPr>
          <w:rFonts w:cs="Times New Roman"/>
        </w:rPr>
        <w:t>.</w:t>
      </w:r>
      <w:r w:rsidR="00E116D2">
        <w:rPr>
          <w:rFonts w:cs="Times New Roman"/>
        </w:rPr>
        <w:t xml:space="preserve"> </w:t>
      </w:r>
      <w:r>
        <w:rPr>
          <w:rFonts w:cs="Times New Roman"/>
        </w:rPr>
        <w:t>A</w:t>
      </w:r>
      <w:r w:rsidR="00D7351E">
        <w:rPr>
          <w:rFonts w:cs="Times New Roman"/>
        </w:rPr>
        <w:t xml:space="preserve"> wholly-owned subsidiary of a body corporate</w:t>
      </w:r>
      <w:r>
        <w:rPr>
          <w:rFonts w:cs="Times New Roman"/>
        </w:rPr>
        <w:t xml:space="preserve"> should have one member. This change will make it easier </w:t>
      </w:r>
      <w:r w:rsidR="00D7351E">
        <w:rPr>
          <w:rFonts w:cs="Times New Roman"/>
        </w:rPr>
        <w:t>for CATSI corporations to establish wholly-owned subsidiaries under the CATSI Act. It will also make it easier for other types of entities that meet the Indigeneity requirement under the CATSI Act</w:t>
      </w:r>
      <w:r w:rsidR="00182B53">
        <w:rPr>
          <w:rFonts w:cs="Times New Roman"/>
        </w:rPr>
        <w:t>,</w:t>
      </w:r>
      <w:r w:rsidR="00D7351E">
        <w:rPr>
          <w:rFonts w:cs="Times New Roman"/>
        </w:rPr>
        <w:t xml:space="preserve"> to establish a wholly-owned subsidiary that is a CATSI corporation. </w:t>
      </w:r>
    </w:p>
    <w:p w14:paraId="6E393AB1" w14:textId="77777777" w:rsidR="000816E6" w:rsidRDefault="00B8189A" w:rsidP="000816E6">
      <w:pPr>
        <w:spacing w:before="240" w:after="0" w:line="240" w:lineRule="auto"/>
        <w:rPr>
          <w:rFonts w:cs="Times New Roman"/>
        </w:rPr>
      </w:pPr>
      <w:r>
        <w:rPr>
          <w:rFonts w:cs="Times New Roman"/>
        </w:rPr>
        <w:lastRenderedPageBreak/>
        <w:t>I</w:t>
      </w:r>
      <w:r w:rsidR="00D7351E">
        <w:rPr>
          <w:rFonts w:cs="Times New Roman"/>
        </w:rPr>
        <w:t>f the corporation is not a wholly-owned subsidiary and its members are only bodies corporate, then it must have least two members. This change will simplify the process for corporations forming a joint venture that is a CATSI corporation. Joint ventures are still subject to the Indigeneity requirement under the CATSI Act</w:t>
      </w:r>
      <w:r w:rsidR="007639FF">
        <w:rPr>
          <w:rFonts w:cs="Times New Roman"/>
        </w:rPr>
        <w:t>. If</w:t>
      </w:r>
      <w:r w:rsidR="00D7351E">
        <w:rPr>
          <w:rFonts w:cs="Times New Roman"/>
        </w:rPr>
        <w:t xml:space="preserve"> there are two members—only one of which is Indigenous—the joint-venture will be subject to the new proposed section 201-117 (item 94 refers)</w:t>
      </w:r>
      <w:r w:rsidR="007639FF">
        <w:rPr>
          <w:rFonts w:cs="Times New Roman"/>
        </w:rPr>
        <w:t xml:space="preserve"> which requires that the Indigenous member has a casting vote. </w:t>
      </w:r>
      <w:r w:rsidR="000816E6">
        <w:rPr>
          <w:rFonts w:cs="Times New Roman"/>
        </w:rPr>
        <w:t xml:space="preserve"> </w:t>
      </w:r>
      <w:r w:rsidR="000816E6" w:rsidRPr="000816E6">
        <w:rPr>
          <w:rFonts w:cs="Times New Roman"/>
        </w:rPr>
        <w:t xml:space="preserve"> </w:t>
      </w:r>
    </w:p>
    <w:p w14:paraId="248D8313" w14:textId="77777777" w:rsidR="00B8189A" w:rsidRDefault="00B8189A" w:rsidP="00E116D2">
      <w:pPr>
        <w:spacing w:before="240" w:after="0" w:line="240" w:lineRule="auto"/>
        <w:rPr>
          <w:rFonts w:cs="Times New Roman"/>
        </w:rPr>
      </w:pPr>
      <w:r>
        <w:rPr>
          <w:rFonts w:cs="Times New Roman"/>
        </w:rPr>
        <w:t>Corporations with fewer than five members that are bodies corporate, will not be required to seek an exemption</w:t>
      </w:r>
      <w:r w:rsidR="008252B9">
        <w:rPr>
          <w:rFonts w:cs="Times New Roman"/>
        </w:rPr>
        <w:t xml:space="preserve"> to the minimum number of member requirement in </w:t>
      </w:r>
      <w:r>
        <w:rPr>
          <w:rFonts w:cs="Times New Roman"/>
        </w:rPr>
        <w:t xml:space="preserve">accordance with </w:t>
      </w:r>
      <w:r w:rsidR="008252B9">
        <w:rPr>
          <w:rFonts w:cs="Times New Roman"/>
        </w:rPr>
        <w:t xml:space="preserve">section 77-5. </w:t>
      </w:r>
      <w:r>
        <w:rPr>
          <w:rFonts w:cs="Times New Roman"/>
        </w:rPr>
        <w:t xml:space="preserve"> </w:t>
      </w:r>
    </w:p>
    <w:p w14:paraId="63EA4398" w14:textId="77777777" w:rsidR="000816E6" w:rsidRDefault="000816E6" w:rsidP="000816E6">
      <w:pPr>
        <w:pStyle w:val="Heading2"/>
      </w:pPr>
      <w:r>
        <w:t>Items 93</w:t>
      </w:r>
      <w:r w:rsidR="00A23C49">
        <w:t xml:space="preserve"> to</w:t>
      </w:r>
      <w:r>
        <w:t xml:space="preserve"> 95</w:t>
      </w:r>
      <w:r w:rsidRPr="000816E6">
        <w:t>—</w:t>
      </w:r>
      <w:r>
        <w:t>Two-member corporations</w:t>
      </w:r>
    </w:p>
    <w:p w14:paraId="2D301A4D" w14:textId="77777777" w:rsidR="00B650C3" w:rsidRDefault="003E3E67" w:rsidP="00A346CA">
      <w:pPr>
        <w:pStyle w:val="BodyText"/>
        <w:rPr>
          <w:rFonts w:eastAsia="Times New Roman" w:cstheme="minorHAnsi"/>
          <w:color w:val="auto"/>
        </w:rPr>
      </w:pPr>
      <w:r>
        <w:rPr>
          <w:rFonts w:eastAsia="Times New Roman" w:cstheme="minorHAnsi"/>
          <w:color w:val="auto"/>
        </w:rPr>
        <w:t>R</w:t>
      </w:r>
      <w:r w:rsidR="00B650C3">
        <w:rPr>
          <w:rFonts w:eastAsia="Times New Roman" w:cstheme="minorHAnsi"/>
          <w:color w:val="auto"/>
        </w:rPr>
        <w:t>ecommendation 19 of the CATSI Act Review final report was:</w:t>
      </w:r>
    </w:p>
    <w:p w14:paraId="296DCE05" w14:textId="77777777" w:rsidR="00B650C3" w:rsidRDefault="00B650C3" w:rsidP="00A346CA">
      <w:pPr>
        <w:pStyle w:val="BodyText"/>
        <w:rPr>
          <w:rFonts w:eastAsia="Times New Roman" w:cstheme="minorHAnsi"/>
          <w:color w:val="auto"/>
        </w:rPr>
      </w:pPr>
      <w:r w:rsidRPr="00B650C3">
        <w:rPr>
          <w:i/>
        </w:rPr>
        <w:t xml:space="preserve">It is recommended the </w:t>
      </w:r>
      <w:r w:rsidRPr="00B650C3">
        <w:rPr>
          <w:rFonts w:eastAsia="Times New Roman" w:cstheme="minorHAnsi"/>
          <w:i/>
          <w:color w:val="auto"/>
        </w:rPr>
        <w:t>CATSI Act be changed to allow for the incorporation of two-member corporations where only one member is Indigenous as long as that member has the deciding vote</w:t>
      </w:r>
      <w:r>
        <w:rPr>
          <w:rFonts w:eastAsia="Times New Roman" w:cstheme="minorHAnsi"/>
          <w:i/>
          <w:color w:val="auto"/>
        </w:rPr>
        <w:t>.</w:t>
      </w:r>
    </w:p>
    <w:p w14:paraId="74856BAE" w14:textId="77777777" w:rsidR="00A3076D" w:rsidRDefault="003E3E67" w:rsidP="003E3E67">
      <w:pPr>
        <w:pStyle w:val="BodyText"/>
        <w:rPr>
          <w:rFonts w:eastAsia="Times New Roman" w:cstheme="minorHAnsi"/>
          <w:color w:val="auto"/>
        </w:rPr>
      </w:pPr>
      <w:r>
        <w:t xml:space="preserve">Recommendation 19 is being taken forward as recommended and items 93, 94 and 95 </w:t>
      </w:r>
      <w:r w:rsidR="002473E2">
        <w:rPr>
          <w:rFonts w:eastAsia="Times New Roman" w:cstheme="minorHAnsi"/>
          <w:color w:val="auto"/>
        </w:rPr>
        <w:t xml:space="preserve">allow for the incorporation of </w:t>
      </w:r>
      <w:r w:rsidR="00182B53">
        <w:rPr>
          <w:rFonts w:eastAsia="Times New Roman" w:cstheme="minorHAnsi"/>
          <w:color w:val="auto"/>
        </w:rPr>
        <w:br/>
      </w:r>
      <w:r w:rsidR="002473E2">
        <w:rPr>
          <w:rFonts w:eastAsia="Times New Roman" w:cstheme="minorHAnsi"/>
          <w:color w:val="auto"/>
        </w:rPr>
        <w:t>two-member corporations where only one member is Indigenous as long as th</w:t>
      </w:r>
      <w:r>
        <w:rPr>
          <w:rFonts w:eastAsia="Times New Roman" w:cstheme="minorHAnsi"/>
          <w:color w:val="auto"/>
        </w:rPr>
        <w:t>at member has the deciding vote, creating more flexibility and opportunities for Aboriginal and Torres Strait Islander people</w:t>
      </w:r>
      <w:r w:rsidR="00182B53">
        <w:rPr>
          <w:rFonts w:eastAsia="Times New Roman" w:cstheme="minorHAnsi"/>
          <w:color w:val="auto"/>
        </w:rPr>
        <w:t>s</w:t>
      </w:r>
      <w:r>
        <w:rPr>
          <w:rFonts w:eastAsia="Times New Roman" w:cstheme="minorHAnsi"/>
          <w:color w:val="auto"/>
        </w:rPr>
        <w:t xml:space="preserve"> and CATSI corporations.</w:t>
      </w:r>
    </w:p>
    <w:p w14:paraId="3D80F88F" w14:textId="77777777" w:rsidR="00182B53" w:rsidRPr="003E3E67" w:rsidRDefault="00182B53" w:rsidP="003E3E67">
      <w:pPr>
        <w:pStyle w:val="BodyText"/>
        <w:rPr>
          <w:rFonts w:eastAsia="Times New Roman" w:cstheme="minorHAnsi"/>
          <w:color w:val="auto"/>
        </w:rPr>
      </w:pPr>
    </w:p>
    <w:sectPr w:rsidR="00182B53" w:rsidRPr="003E3E67" w:rsidSect="001E4245">
      <w:headerReference w:type="even" r:id="rId12"/>
      <w:headerReference w:type="default" r:id="rId13"/>
      <w:footerReference w:type="even" r:id="rId14"/>
      <w:footerReference w:type="default" r:id="rId15"/>
      <w:headerReference w:type="first" r:id="rId16"/>
      <w:footerReference w:type="first" r:id="rId17"/>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7F170" w14:textId="77777777" w:rsidR="007C3168" w:rsidRDefault="007C3168" w:rsidP="00B95533">
      <w:pPr>
        <w:spacing w:after="0" w:line="240" w:lineRule="auto"/>
      </w:pPr>
      <w:r>
        <w:separator/>
      </w:r>
    </w:p>
  </w:endnote>
  <w:endnote w:type="continuationSeparator" w:id="0">
    <w:p w14:paraId="63DFA54A" w14:textId="77777777" w:rsidR="007C3168" w:rsidRDefault="007C3168"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63DE" w14:textId="77777777" w:rsidR="00C4082A" w:rsidRDefault="00C40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56668D52" w14:textId="77777777" w:rsidR="009672EB" w:rsidRPr="00B87E45" w:rsidRDefault="00C82385" w:rsidP="001007B9">
        <w:pPr>
          <w:pStyle w:val="ProtectiveMarking"/>
        </w:pPr>
        <w:r>
          <w:t>OFFICIAL</w:t>
        </w:r>
      </w:p>
    </w:sdtContent>
  </w:sdt>
  <w:p w14:paraId="3748707C"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381AD77F" wp14:editId="78C9EB37">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004C13"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75519324" wp14:editId="5586B726">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7AB5F569"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C4082A">
                            <w:rPr>
                              <w:noProof/>
                              <w:color w:val="25303B" w:themeColor="accent1"/>
                            </w:rPr>
                            <w:t>2</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519324"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7AB5F569"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C4082A">
                      <w:rPr>
                        <w:noProof/>
                        <w:color w:val="25303B" w:themeColor="accent1"/>
                      </w:rPr>
                      <w:t>2</w:t>
                    </w:r>
                    <w:r w:rsidRPr="00F97B14">
                      <w:rPr>
                        <w:color w:val="25303B" w:themeColor="accent1"/>
                      </w:rPr>
                      <w:fldChar w:fldCharType="end"/>
                    </w:r>
                  </w:p>
                </w:txbxContent>
              </v:textbox>
              <w10:wrap anchorx="margin" anchory="page"/>
              <w10:anchorlock/>
            </v:shape>
          </w:pict>
        </mc:Fallback>
      </mc:AlternateContent>
    </w:r>
  </w:p>
  <w:p w14:paraId="71101BE3" w14:textId="77777777"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6EC34E8F025D474EABCE123A748DB2F8"/>
        </w:placeholder>
        <w:dataBinding w:xpath="/root[1]/SectionName[1]" w:storeItemID="{F533AE62-A212-4B26-92DA-A3B336E8AE06}"/>
        <w:text/>
      </w:sdtPr>
      <w:sdtEndPr/>
      <w:sdtContent>
        <w:r w:rsidR="00C82385">
          <w:rPr>
            <w:color w:val="25303B" w:themeColor="accent1"/>
          </w:rPr>
          <w:t>CATSI Act Review</w:t>
        </w:r>
      </w:sdtContent>
    </w:sdt>
    <w:r w:rsidRPr="0040648D">
      <w:rPr>
        <w:color w:val="25303B" w:themeColor="accent1"/>
      </w:rPr>
      <w:t xml:space="preserve"> | </w:t>
    </w:r>
    <w:r w:rsidR="00E116D2" w:rsidRPr="00193C3F">
      <w:rPr>
        <w:color w:val="25303B" w:themeColor="accent1"/>
      </w:rPr>
      <w:t>Part 4—Subsidiaries and joint ventures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dataBinding w:xpath="/root[1]/Classification[1]" w:storeItemID="{F533AE62-A212-4B26-92DA-A3B336E8AE06}"/>
      <w:text/>
    </w:sdtPr>
    <w:sdtEndPr/>
    <w:sdtContent>
      <w:p w14:paraId="5436080B" w14:textId="77777777" w:rsidR="009672EB" w:rsidRPr="00B87E45" w:rsidRDefault="00C82385" w:rsidP="00917F95">
        <w:pPr>
          <w:pStyle w:val="ProtectiveMarking"/>
        </w:pPr>
        <w:r>
          <w:t>OFFICIAL</w:t>
        </w:r>
      </w:p>
    </w:sdtContent>
  </w:sdt>
  <w:p w14:paraId="37DF6D4E"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62194B13" wp14:editId="7F61F69C">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83062B"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117124FA" w14:textId="77777777"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6C3EAF49" wp14:editId="3BD78406">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34D361C7" w14:textId="777777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C4082A">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3EAF49"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34D361C7" w14:textId="777777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C4082A">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sidR="00C82385">
          <w:rPr>
            <w:color w:val="25303B" w:themeColor="accent1"/>
          </w:rPr>
          <w:t>CATSI Act Review</w:t>
        </w:r>
      </w:sdtContent>
    </w:sdt>
    <w:r w:rsidRPr="0040648D">
      <w:rPr>
        <w:color w:val="25303B" w:themeColor="accent1"/>
      </w:rPr>
      <w:t xml:space="preserve"> | </w:t>
    </w:r>
    <w:r w:rsidR="00193C3F" w:rsidRPr="00193C3F">
      <w:rPr>
        <w:color w:val="25303B" w:themeColor="accent1"/>
      </w:rPr>
      <w:t>Part 4—Subsidiaries and joint ventures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429B2" w14:textId="77777777" w:rsidR="007C3168" w:rsidRPr="007A6FC6" w:rsidRDefault="007C3168" w:rsidP="00B95533">
      <w:pPr>
        <w:spacing w:after="0" w:line="240" w:lineRule="auto"/>
        <w:rPr>
          <w:color w:val="BEA887" w:themeColor="accent2"/>
        </w:rPr>
      </w:pPr>
      <w:r w:rsidRPr="007A6FC6">
        <w:rPr>
          <w:color w:val="BEA887" w:themeColor="accent2"/>
        </w:rPr>
        <w:separator/>
      </w:r>
    </w:p>
  </w:footnote>
  <w:footnote w:type="continuationSeparator" w:id="0">
    <w:p w14:paraId="107EA42C" w14:textId="77777777" w:rsidR="007C3168" w:rsidRPr="007A6FC6" w:rsidRDefault="007C3168"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1426" w14:textId="77777777" w:rsidR="00C4082A" w:rsidRDefault="00C40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7D51" w14:textId="77777777" w:rsidR="002C0B0E" w:rsidRDefault="00C4082A" w:rsidP="00510499">
    <w:pPr>
      <w:pStyle w:val="ProtectiveMarking"/>
    </w:pPr>
    <w:sdt>
      <w:sdtPr>
        <w:alias w:val="Classification"/>
        <w:tag w:val="Classification"/>
        <w:id w:val="336196887"/>
        <w:dataBinding w:xpath="/root[1]/Classification[1]" w:storeItemID="{F533AE62-A212-4B26-92DA-A3B336E8AE06}"/>
        <w:text/>
      </w:sdtPr>
      <w:sdtEndPr/>
      <w:sdtContent>
        <w:r w:rsidR="00C82385">
          <w:t>OFFICIAL</w:t>
        </w:r>
      </w:sdtContent>
    </w:sdt>
  </w:p>
  <w:p w14:paraId="60E28954" w14:textId="77777777" w:rsidR="002C0B0E" w:rsidRDefault="002C0B0E">
    <w:pPr>
      <w:pStyle w:val="Header"/>
    </w:pPr>
    <w:r>
      <w:rPr>
        <w:noProof/>
        <w:lang w:eastAsia="en-AU"/>
      </w:rPr>
      <w:drawing>
        <wp:anchor distT="0" distB="0" distL="114300" distR="114300" simplePos="0" relativeHeight="251730944" behindDoc="0" locked="1" layoutInCell="1" allowOverlap="1" wp14:anchorId="7A1C9858" wp14:editId="360D524B">
          <wp:simplePos x="0" y="0"/>
          <wp:positionH relativeFrom="margin">
            <wp:align>left</wp:align>
          </wp:positionH>
          <wp:positionV relativeFrom="page">
            <wp:posOffset>628650</wp:posOffset>
          </wp:positionV>
          <wp:extent cx="6480000" cy="186711"/>
          <wp:effectExtent l="0" t="0" r="0" b="3810"/>
          <wp:wrapNone/>
          <wp:docPr id="33"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BB53EC"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D8A1" w14:textId="77777777" w:rsidR="009672EB" w:rsidRDefault="00193C3F">
    <w:pPr>
      <w:pStyle w:val="Header"/>
    </w:pP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4016" behindDoc="0" locked="0" layoutInCell="1" allowOverlap="1" wp14:anchorId="2C2D1C60" wp14:editId="59A6541C">
          <wp:simplePos x="0" y="0"/>
          <wp:positionH relativeFrom="page">
            <wp:posOffset>535305</wp:posOffset>
          </wp:positionH>
          <wp:positionV relativeFrom="page">
            <wp:posOffset>257175</wp:posOffset>
          </wp:positionV>
          <wp:extent cx="2118360" cy="640080"/>
          <wp:effectExtent l="0" t="0" r="0" b="7620"/>
          <wp:wrapNone/>
          <wp:docPr id="53" name="Graphic 19"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211836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737088" behindDoc="0" locked="0" layoutInCell="1" allowOverlap="1" wp14:anchorId="5CF589B7" wp14:editId="52B11FA0">
              <wp:simplePos x="0" y="0"/>
              <wp:positionH relativeFrom="page">
                <wp:posOffset>2852738</wp:posOffset>
              </wp:positionH>
              <wp:positionV relativeFrom="page">
                <wp:posOffset>290513</wp:posOffset>
              </wp:positionV>
              <wp:extent cx="0" cy="620077"/>
              <wp:effectExtent l="0" t="0" r="38100" b="27940"/>
              <wp:wrapNone/>
              <wp:docPr id="49" name="Straight Connector 49"/>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F9048" id="Straight Connector 49" o:spid="_x0000_s1026" style="position:absolute;z-index:251737088;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RYM8&#10;7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36064" behindDoc="0" locked="1" layoutInCell="1" allowOverlap="1" wp14:anchorId="70171769" wp14:editId="40EA12A0">
              <wp:simplePos x="0" y="0"/>
              <wp:positionH relativeFrom="page">
                <wp:posOffset>0</wp:posOffset>
              </wp:positionH>
              <wp:positionV relativeFrom="page">
                <wp:posOffset>1153160</wp:posOffset>
              </wp:positionV>
              <wp:extent cx="3096000" cy="143510"/>
              <wp:effectExtent l="0" t="0" r="9525" b="889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2EBB78EA" w14:textId="77777777" w:rsidR="00193C3F" w:rsidRPr="00661E36" w:rsidRDefault="00193C3F" w:rsidP="009672EB">
                          <w:pPr>
                            <w:spacing w:after="0" w:line="240" w:lineRule="auto"/>
                            <w:rPr>
                              <w:i/>
                              <w:iCs/>
                              <w:color w:val="25303B" w:themeColor="accent1"/>
                              <w:sz w:val="16"/>
                              <w:szCs w:val="16"/>
                            </w:rPr>
                          </w:pPr>
                          <w:r w:rsidRPr="00661E36">
                            <w:rPr>
                              <w:i/>
                              <w:iCs/>
                              <w:color w:val="25303B" w:themeColor="accent1"/>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03E3599" id="_x0000_t202" coordsize="21600,21600" o:spt="202" path="m,l,21600r21600,l21600,xe">
              <v:stroke joinstyle="miter"/>
              <v:path gradientshapeok="t" o:connecttype="rect"/>
            </v:shapetype>
            <v:shape id="_x0000_s1028" type="#_x0000_t202" style="position:absolute;margin-left:0;margin-top:90.8pt;width:243.8pt;height:11.3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" filled="f" stroked="f">
              <v:textbox inset="15mm,0,0,0">
                <w:txbxContent>
                  <w:p w:rsidR="00193C3F" w:rsidRPr="00661E36" w:rsidRDefault="00193C3F" w:rsidP="009672EB">
                    <w:pPr>
                      <w:spacing w:after="0" w:line="240" w:lineRule="auto"/>
                      <w:rPr>
                        <w:i/>
                        <w:iCs/>
                        <w:color w:val="25303B" w:themeColor="accent1"/>
                        <w:sz w:val="16"/>
                        <w:szCs w:val="16"/>
                      </w:rPr>
                    </w:pPr>
                    <w:r w:rsidRPr="00661E36">
                      <w:rPr>
                        <w:i/>
                        <w:iCs/>
                        <w:color w:val="25303B" w:themeColor="accent1"/>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5040" behindDoc="0" locked="1" layoutInCell="1" allowOverlap="1" wp14:anchorId="6ED96B26" wp14:editId="25F087A5">
          <wp:simplePos x="0" y="0"/>
          <wp:positionH relativeFrom="page">
            <wp:posOffset>3016885</wp:posOffset>
          </wp:positionH>
          <wp:positionV relativeFrom="page">
            <wp:posOffset>291465</wp:posOffset>
          </wp:positionV>
          <wp:extent cx="1580400" cy="518400"/>
          <wp:effectExtent l="0" t="0" r="1270" b="0"/>
          <wp:wrapNone/>
          <wp:docPr id="52" name="Graphic 16" title="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32992" behindDoc="0" locked="1" layoutInCell="1" allowOverlap="1" wp14:anchorId="17907BB7" wp14:editId="1CE6ECDB">
          <wp:simplePos x="0" y="0"/>
          <wp:positionH relativeFrom="page">
            <wp:align>left</wp:align>
          </wp:positionH>
          <wp:positionV relativeFrom="page">
            <wp:align>top</wp:align>
          </wp:positionV>
          <wp:extent cx="7448400" cy="1328400"/>
          <wp:effectExtent l="0" t="0" r="635" b="5715"/>
          <wp:wrapSquare wrapText="bothSides"/>
          <wp:docPr id="54"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406E1C"/>
    <w:multiLevelType w:val="hybridMultilevel"/>
    <w:tmpl w:val="D2D61C88"/>
    <w:lvl w:ilvl="0" w:tplc="892E3A2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6"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8" w15:restartNumberingAfterBreak="0">
    <w:nsid w:val="6CDA384C"/>
    <w:multiLevelType w:val="hybridMultilevel"/>
    <w:tmpl w:val="3F24B6CA"/>
    <w:lvl w:ilvl="0" w:tplc="AEAC7CE8">
      <w:start w:val="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0"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6"/>
  </w:num>
  <w:num w:numId="3">
    <w:abstractNumId w:val="4"/>
  </w:num>
  <w:num w:numId="4">
    <w:abstractNumId w:val="10"/>
  </w:num>
  <w:num w:numId="5">
    <w:abstractNumId w:val="7"/>
  </w:num>
  <w:num w:numId="6">
    <w:abstractNumId w:val="6"/>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4"/>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4"/>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5"/>
  </w:num>
  <w:num w:numId="20">
    <w:abstractNumId w:val="11"/>
  </w:num>
  <w:num w:numId="21">
    <w:abstractNumId w:val="0"/>
  </w:num>
  <w:num w:numId="22">
    <w:abstractNumId w:val="9"/>
  </w:num>
  <w:num w:numId="23">
    <w:abstractNumId w:val="9"/>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91"/>
    <w:rsid w:val="00002F73"/>
    <w:rsid w:val="00007EB1"/>
    <w:rsid w:val="00014206"/>
    <w:rsid w:val="000230F3"/>
    <w:rsid w:val="00023AC4"/>
    <w:rsid w:val="000304B2"/>
    <w:rsid w:val="00031B5C"/>
    <w:rsid w:val="00034193"/>
    <w:rsid w:val="00034FEC"/>
    <w:rsid w:val="0004082F"/>
    <w:rsid w:val="00042E89"/>
    <w:rsid w:val="00044BF9"/>
    <w:rsid w:val="000503A6"/>
    <w:rsid w:val="000508F0"/>
    <w:rsid w:val="00053CD9"/>
    <w:rsid w:val="00057B46"/>
    <w:rsid w:val="00063034"/>
    <w:rsid w:val="00073D52"/>
    <w:rsid w:val="00076AD1"/>
    <w:rsid w:val="000803CA"/>
    <w:rsid w:val="000816E6"/>
    <w:rsid w:val="00091BCD"/>
    <w:rsid w:val="0009265A"/>
    <w:rsid w:val="00094B02"/>
    <w:rsid w:val="0009590F"/>
    <w:rsid w:val="00095BF3"/>
    <w:rsid w:val="000A041E"/>
    <w:rsid w:val="000A08CA"/>
    <w:rsid w:val="000A0E4C"/>
    <w:rsid w:val="000C29C5"/>
    <w:rsid w:val="000C4442"/>
    <w:rsid w:val="000D106A"/>
    <w:rsid w:val="000D113F"/>
    <w:rsid w:val="000E351D"/>
    <w:rsid w:val="000E60F7"/>
    <w:rsid w:val="000F1B86"/>
    <w:rsid w:val="000F23B0"/>
    <w:rsid w:val="000F5917"/>
    <w:rsid w:val="001007B9"/>
    <w:rsid w:val="00105ECB"/>
    <w:rsid w:val="00131315"/>
    <w:rsid w:val="00132268"/>
    <w:rsid w:val="001336CF"/>
    <w:rsid w:val="00143288"/>
    <w:rsid w:val="0015537B"/>
    <w:rsid w:val="0016781C"/>
    <w:rsid w:val="001727AF"/>
    <w:rsid w:val="00176EA5"/>
    <w:rsid w:val="00177611"/>
    <w:rsid w:val="0017798C"/>
    <w:rsid w:val="001809C6"/>
    <w:rsid w:val="00181C56"/>
    <w:rsid w:val="00182B53"/>
    <w:rsid w:val="001850CB"/>
    <w:rsid w:val="00193C3F"/>
    <w:rsid w:val="001953CF"/>
    <w:rsid w:val="00195BA8"/>
    <w:rsid w:val="001A1957"/>
    <w:rsid w:val="001A2F86"/>
    <w:rsid w:val="001B0144"/>
    <w:rsid w:val="001B10ED"/>
    <w:rsid w:val="001C2FC8"/>
    <w:rsid w:val="001D283B"/>
    <w:rsid w:val="001E4245"/>
    <w:rsid w:val="001F0654"/>
    <w:rsid w:val="001F3722"/>
    <w:rsid w:val="001F738E"/>
    <w:rsid w:val="0020007C"/>
    <w:rsid w:val="0021247A"/>
    <w:rsid w:val="002229A5"/>
    <w:rsid w:val="002317BD"/>
    <w:rsid w:val="00231B22"/>
    <w:rsid w:val="00233B91"/>
    <w:rsid w:val="00234705"/>
    <w:rsid w:val="00237365"/>
    <w:rsid w:val="002473E2"/>
    <w:rsid w:val="00250BE6"/>
    <w:rsid w:val="00252F38"/>
    <w:rsid w:val="00260C56"/>
    <w:rsid w:val="00264A5E"/>
    <w:rsid w:val="00271572"/>
    <w:rsid w:val="00277016"/>
    <w:rsid w:val="0027769C"/>
    <w:rsid w:val="00281E3E"/>
    <w:rsid w:val="00284710"/>
    <w:rsid w:val="00285FC6"/>
    <w:rsid w:val="00294D1D"/>
    <w:rsid w:val="002955DD"/>
    <w:rsid w:val="002A0289"/>
    <w:rsid w:val="002A371E"/>
    <w:rsid w:val="002B4B0A"/>
    <w:rsid w:val="002C0866"/>
    <w:rsid w:val="002C0B0E"/>
    <w:rsid w:val="002C5F5B"/>
    <w:rsid w:val="002C777D"/>
    <w:rsid w:val="002D40B1"/>
    <w:rsid w:val="002D45CD"/>
    <w:rsid w:val="002D75F9"/>
    <w:rsid w:val="002E07AC"/>
    <w:rsid w:val="002E6AA1"/>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3E57"/>
    <w:rsid w:val="003C6961"/>
    <w:rsid w:val="003D21A3"/>
    <w:rsid w:val="003D33F7"/>
    <w:rsid w:val="003E3E67"/>
    <w:rsid w:val="003E6B8B"/>
    <w:rsid w:val="003E6D59"/>
    <w:rsid w:val="003F017E"/>
    <w:rsid w:val="003F17BC"/>
    <w:rsid w:val="003F1A1E"/>
    <w:rsid w:val="003F5F4B"/>
    <w:rsid w:val="003F7E70"/>
    <w:rsid w:val="0040648D"/>
    <w:rsid w:val="00414CEB"/>
    <w:rsid w:val="004163FA"/>
    <w:rsid w:val="00423E92"/>
    <w:rsid w:val="004257F1"/>
    <w:rsid w:val="004366AE"/>
    <w:rsid w:val="0044371A"/>
    <w:rsid w:val="00454696"/>
    <w:rsid w:val="004616FF"/>
    <w:rsid w:val="004759ED"/>
    <w:rsid w:val="004945F7"/>
    <w:rsid w:val="004957BB"/>
    <w:rsid w:val="00497F14"/>
    <w:rsid w:val="004B2CB0"/>
    <w:rsid w:val="004B7B8B"/>
    <w:rsid w:val="004C18F6"/>
    <w:rsid w:val="004C6518"/>
    <w:rsid w:val="004D0B40"/>
    <w:rsid w:val="004D24EB"/>
    <w:rsid w:val="004D688C"/>
    <w:rsid w:val="004E58AE"/>
    <w:rsid w:val="004F20A9"/>
    <w:rsid w:val="004F73E8"/>
    <w:rsid w:val="0051316F"/>
    <w:rsid w:val="00523958"/>
    <w:rsid w:val="0053301E"/>
    <w:rsid w:val="005370B2"/>
    <w:rsid w:val="005400C8"/>
    <w:rsid w:val="00543E44"/>
    <w:rsid w:val="00543FDE"/>
    <w:rsid w:val="00552F1C"/>
    <w:rsid w:val="00562166"/>
    <w:rsid w:val="00574F28"/>
    <w:rsid w:val="00576C8D"/>
    <w:rsid w:val="0058793B"/>
    <w:rsid w:val="005917FA"/>
    <w:rsid w:val="00596D03"/>
    <w:rsid w:val="005A0DE7"/>
    <w:rsid w:val="005A355D"/>
    <w:rsid w:val="005B210C"/>
    <w:rsid w:val="005B241C"/>
    <w:rsid w:val="005B27D0"/>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1E36"/>
    <w:rsid w:val="00663EAD"/>
    <w:rsid w:val="006674FC"/>
    <w:rsid w:val="006719C9"/>
    <w:rsid w:val="00675B34"/>
    <w:rsid w:val="00675EDF"/>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6424"/>
    <w:rsid w:val="006E70FF"/>
    <w:rsid w:val="006F173B"/>
    <w:rsid w:val="00711110"/>
    <w:rsid w:val="00714E79"/>
    <w:rsid w:val="007239F8"/>
    <w:rsid w:val="00753B4D"/>
    <w:rsid w:val="00754949"/>
    <w:rsid w:val="007639FF"/>
    <w:rsid w:val="007660B9"/>
    <w:rsid w:val="00780AC4"/>
    <w:rsid w:val="00781797"/>
    <w:rsid w:val="007836C4"/>
    <w:rsid w:val="007956C4"/>
    <w:rsid w:val="007A27C5"/>
    <w:rsid w:val="007A52E1"/>
    <w:rsid w:val="007A6FC6"/>
    <w:rsid w:val="007C3168"/>
    <w:rsid w:val="007C3F60"/>
    <w:rsid w:val="007D680C"/>
    <w:rsid w:val="007F7FED"/>
    <w:rsid w:val="008051C4"/>
    <w:rsid w:val="00805B42"/>
    <w:rsid w:val="00806393"/>
    <w:rsid w:val="0081512D"/>
    <w:rsid w:val="00817B50"/>
    <w:rsid w:val="00820E0F"/>
    <w:rsid w:val="008252B9"/>
    <w:rsid w:val="00825410"/>
    <w:rsid w:val="008275B9"/>
    <w:rsid w:val="0083261D"/>
    <w:rsid w:val="00832D89"/>
    <w:rsid w:val="0083503B"/>
    <w:rsid w:val="00840865"/>
    <w:rsid w:val="00841D41"/>
    <w:rsid w:val="008436AB"/>
    <w:rsid w:val="00844739"/>
    <w:rsid w:val="0084486B"/>
    <w:rsid w:val="0086151D"/>
    <w:rsid w:val="0086672B"/>
    <w:rsid w:val="008668C0"/>
    <w:rsid w:val="008678C1"/>
    <w:rsid w:val="00873DED"/>
    <w:rsid w:val="00877425"/>
    <w:rsid w:val="008777F4"/>
    <w:rsid w:val="00880786"/>
    <w:rsid w:val="008A6759"/>
    <w:rsid w:val="008B13B1"/>
    <w:rsid w:val="008B493F"/>
    <w:rsid w:val="008C115E"/>
    <w:rsid w:val="008D0504"/>
    <w:rsid w:val="008D1256"/>
    <w:rsid w:val="008D275A"/>
    <w:rsid w:val="008E109E"/>
    <w:rsid w:val="008E3760"/>
    <w:rsid w:val="008E66E6"/>
    <w:rsid w:val="008F112A"/>
    <w:rsid w:val="00900D4B"/>
    <w:rsid w:val="009014BC"/>
    <w:rsid w:val="00902CAC"/>
    <w:rsid w:val="009036CA"/>
    <w:rsid w:val="00917F95"/>
    <w:rsid w:val="00923EDF"/>
    <w:rsid w:val="0093076C"/>
    <w:rsid w:val="00935AD4"/>
    <w:rsid w:val="009378AA"/>
    <w:rsid w:val="00937CE1"/>
    <w:rsid w:val="0094513B"/>
    <w:rsid w:val="0094688C"/>
    <w:rsid w:val="00963FB3"/>
    <w:rsid w:val="009672EB"/>
    <w:rsid w:val="00973090"/>
    <w:rsid w:val="0099436F"/>
    <w:rsid w:val="009959E0"/>
    <w:rsid w:val="00996BEA"/>
    <w:rsid w:val="009A33FB"/>
    <w:rsid w:val="009A409C"/>
    <w:rsid w:val="009A5056"/>
    <w:rsid w:val="009B1A44"/>
    <w:rsid w:val="009B300F"/>
    <w:rsid w:val="009B4379"/>
    <w:rsid w:val="009D161E"/>
    <w:rsid w:val="009F751D"/>
    <w:rsid w:val="00A00EF2"/>
    <w:rsid w:val="00A069F9"/>
    <w:rsid w:val="00A07F0E"/>
    <w:rsid w:val="00A10AC2"/>
    <w:rsid w:val="00A173EC"/>
    <w:rsid w:val="00A17F9A"/>
    <w:rsid w:val="00A23C49"/>
    <w:rsid w:val="00A3076D"/>
    <w:rsid w:val="00A346CA"/>
    <w:rsid w:val="00A477A0"/>
    <w:rsid w:val="00A47C07"/>
    <w:rsid w:val="00A50BDE"/>
    <w:rsid w:val="00A5524F"/>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C1AA3"/>
    <w:rsid w:val="00AC4EB2"/>
    <w:rsid w:val="00AC7F21"/>
    <w:rsid w:val="00AD0F94"/>
    <w:rsid w:val="00AE0E38"/>
    <w:rsid w:val="00AE11C4"/>
    <w:rsid w:val="00AE297B"/>
    <w:rsid w:val="00AE58D5"/>
    <w:rsid w:val="00AE6686"/>
    <w:rsid w:val="00AF7794"/>
    <w:rsid w:val="00B0259B"/>
    <w:rsid w:val="00B06546"/>
    <w:rsid w:val="00B13055"/>
    <w:rsid w:val="00B151CC"/>
    <w:rsid w:val="00B24D0A"/>
    <w:rsid w:val="00B3317D"/>
    <w:rsid w:val="00B36583"/>
    <w:rsid w:val="00B37705"/>
    <w:rsid w:val="00B455C1"/>
    <w:rsid w:val="00B53058"/>
    <w:rsid w:val="00B650C3"/>
    <w:rsid w:val="00B8189A"/>
    <w:rsid w:val="00B83B2F"/>
    <w:rsid w:val="00B87E45"/>
    <w:rsid w:val="00B95533"/>
    <w:rsid w:val="00BB0F68"/>
    <w:rsid w:val="00BB1FFF"/>
    <w:rsid w:val="00BB2567"/>
    <w:rsid w:val="00BB662C"/>
    <w:rsid w:val="00BC24CA"/>
    <w:rsid w:val="00BD113A"/>
    <w:rsid w:val="00BD2B9F"/>
    <w:rsid w:val="00BD35B3"/>
    <w:rsid w:val="00BD3DA8"/>
    <w:rsid w:val="00BD45D5"/>
    <w:rsid w:val="00BE64F3"/>
    <w:rsid w:val="00C00697"/>
    <w:rsid w:val="00C0095A"/>
    <w:rsid w:val="00C067D6"/>
    <w:rsid w:val="00C201F4"/>
    <w:rsid w:val="00C4082A"/>
    <w:rsid w:val="00C464A7"/>
    <w:rsid w:val="00C47AA5"/>
    <w:rsid w:val="00C511C3"/>
    <w:rsid w:val="00C51C42"/>
    <w:rsid w:val="00C52329"/>
    <w:rsid w:val="00C57F4E"/>
    <w:rsid w:val="00C66A73"/>
    <w:rsid w:val="00C67AA6"/>
    <w:rsid w:val="00C80CAE"/>
    <w:rsid w:val="00C82385"/>
    <w:rsid w:val="00C86AD9"/>
    <w:rsid w:val="00C86F22"/>
    <w:rsid w:val="00C91A83"/>
    <w:rsid w:val="00C9650F"/>
    <w:rsid w:val="00C9741E"/>
    <w:rsid w:val="00CA33C7"/>
    <w:rsid w:val="00CB2C58"/>
    <w:rsid w:val="00CB38A3"/>
    <w:rsid w:val="00CB3B70"/>
    <w:rsid w:val="00CC1475"/>
    <w:rsid w:val="00CC6B7E"/>
    <w:rsid w:val="00CD730D"/>
    <w:rsid w:val="00CE1635"/>
    <w:rsid w:val="00CE51E7"/>
    <w:rsid w:val="00CF0D33"/>
    <w:rsid w:val="00CF7819"/>
    <w:rsid w:val="00D171A8"/>
    <w:rsid w:val="00D4602A"/>
    <w:rsid w:val="00D4643A"/>
    <w:rsid w:val="00D46EB7"/>
    <w:rsid w:val="00D52159"/>
    <w:rsid w:val="00D54C52"/>
    <w:rsid w:val="00D54CE5"/>
    <w:rsid w:val="00D55E22"/>
    <w:rsid w:val="00D611A9"/>
    <w:rsid w:val="00D620F7"/>
    <w:rsid w:val="00D621F3"/>
    <w:rsid w:val="00D64D37"/>
    <w:rsid w:val="00D7351E"/>
    <w:rsid w:val="00D9012E"/>
    <w:rsid w:val="00D90897"/>
    <w:rsid w:val="00D93BE5"/>
    <w:rsid w:val="00DA3036"/>
    <w:rsid w:val="00DB015B"/>
    <w:rsid w:val="00DB20CE"/>
    <w:rsid w:val="00DB35E7"/>
    <w:rsid w:val="00DB5E67"/>
    <w:rsid w:val="00DB6F16"/>
    <w:rsid w:val="00DC3380"/>
    <w:rsid w:val="00DD6C35"/>
    <w:rsid w:val="00DE193D"/>
    <w:rsid w:val="00DE710F"/>
    <w:rsid w:val="00DE7EED"/>
    <w:rsid w:val="00E02E5D"/>
    <w:rsid w:val="00E116D2"/>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C0059"/>
    <w:rsid w:val="00EC6640"/>
    <w:rsid w:val="00EC68DB"/>
    <w:rsid w:val="00ED0CB2"/>
    <w:rsid w:val="00ED334F"/>
    <w:rsid w:val="00EE08F2"/>
    <w:rsid w:val="00EE1DD7"/>
    <w:rsid w:val="00EE2FBE"/>
    <w:rsid w:val="00EE76B9"/>
    <w:rsid w:val="00EF125F"/>
    <w:rsid w:val="00EF2497"/>
    <w:rsid w:val="00EF38A6"/>
    <w:rsid w:val="00F017E0"/>
    <w:rsid w:val="00F03B20"/>
    <w:rsid w:val="00F065A0"/>
    <w:rsid w:val="00F21C70"/>
    <w:rsid w:val="00F26D11"/>
    <w:rsid w:val="00F27CBE"/>
    <w:rsid w:val="00F4121E"/>
    <w:rsid w:val="00F4212B"/>
    <w:rsid w:val="00F46D66"/>
    <w:rsid w:val="00F4704F"/>
    <w:rsid w:val="00F50EE3"/>
    <w:rsid w:val="00F651C4"/>
    <w:rsid w:val="00F7682E"/>
    <w:rsid w:val="00F92C57"/>
    <w:rsid w:val="00F9344F"/>
    <w:rsid w:val="00F97B14"/>
    <w:rsid w:val="00FB20C4"/>
    <w:rsid w:val="00FB385B"/>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4AE08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0C29C5"/>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C29C5"/>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styleId="CommentReference">
    <w:name w:val="annotation reference"/>
    <w:basedOn w:val="DefaultParagraphFont"/>
    <w:uiPriority w:val="99"/>
    <w:semiHidden/>
    <w:unhideWhenUsed/>
    <w:rsid w:val="007639FF"/>
    <w:rPr>
      <w:sz w:val="16"/>
      <w:szCs w:val="16"/>
    </w:rPr>
  </w:style>
  <w:style w:type="paragraph" w:styleId="CommentText">
    <w:name w:val="annotation text"/>
    <w:basedOn w:val="Normal"/>
    <w:link w:val="CommentTextChar"/>
    <w:uiPriority w:val="99"/>
    <w:semiHidden/>
    <w:unhideWhenUsed/>
    <w:rsid w:val="007639FF"/>
    <w:pPr>
      <w:spacing w:line="240" w:lineRule="auto"/>
    </w:pPr>
  </w:style>
  <w:style w:type="character" w:customStyle="1" w:styleId="CommentTextChar">
    <w:name w:val="Comment Text Char"/>
    <w:basedOn w:val="DefaultParagraphFont"/>
    <w:link w:val="CommentText"/>
    <w:uiPriority w:val="99"/>
    <w:semiHidden/>
    <w:rsid w:val="007639FF"/>
  </w:style>
  <w:style w:type="paragraph" w:styleId="CommentSubject">
    <w:name w:val="annotation subject"/>
    <w:basedOn w:val="CommentText"/>
    <w:next w:val="CommentText"/>
    <w:link w:val="CommentSubjectChar"/>
    <w:uiPriority w:val="99"/>
    <w:semiHidden/>
    <w:unhideWhenUsed/>
    <w:rsid w:val="007639FF"/>
    <w:rPr>
      <w:b/>
      <w:bCs/>
    </w:rPr>
  </w:style>
  <w:style w:type="character" w:customStyle="1" w:styleId="CommentSubjectChar">
    <w:name w:val="Comment Subject Char"/>
    <w:basedOn w:val="CommentTextChar"/>
    <w:link w:val="CommentSubject"/>
    <w:uiPriority w:val="99"/>
    <w:semiHidden/>
    <w:rsid w:val="00763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C34E8F025D474EABCE123A748DB2F8"/>
        <w:category>
          <w:name w:val="General"/>
          <w:gallery w:val="placeholder"/>
        </w:category>
        <w:types>
          <w:type w:val="bbPlcHdr"/>
        </w:types>
        <w:behaviors>
          <w:behavior w:val="content"/>
        </w:behaviors>
        <w:guid w:val="{1D53519E-7EA5-4F93-9491-4B35EDFA874B}"/>
      </w:docPartPr>
      <w:docPartBody>
        <w:p w:rsidR="00F85ACE" w:rsidRDefault="00F85ACE">
          <w:pPr>
            <w:pStyle w:val="6EC34E8F025D474EABCE123A748DB2F8"/>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CE"/>
    <w:rsid w:val="0045617E"/>
    <w:rsid w:val="00F85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6EC34E8F025D474EABCE123A748DB2F8">
    <w:name w:val="6EC34E8F025D474EABCE123A748DB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CATSI Act Review</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ShareHubID xmlns="166541c0-0594-4e6a-9105-c24d4b6de6f7">DOC21-188642</ShareHubID>
    <TaxCatchAll xmlns="166541c0-0594-4e6a-9105-c24d4b6de6f7">
      <Value>56</Value>
      <Value>57</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F20E393D-93B1-42EF-B617-D58481AD2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A4711-2994-40B8-977E-BA7737C4A1FB}">
  <ds:schemaRefs>
    <ds:schemaRef ds:uri="http://schemas.microsoft.com/sharepoint/v3/contenttype/forms"/>
  </ds:schemaRefs>
</ds:datastoreItem>
</file>

<file path=customXml/itemProps4.xml><?xml version="1.0" encoding="utf-8"?>
<ds:datastoreItem xmlns:ds="http://schemas.openxmlformats.org/officeDocument/2006/customXml" ds:itemID="{2EB97148-3163-457D-B5D3-FDCF787FD6F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http://schemas.microsoft.com/office/2006/documentManagement/types"/>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BFA20112-848E-477D-B1D1-15A373AB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2021-07-01T23:13:00Z</dcterms:created>
  <dcterms:modified xsi:type="dcterms:W3CDTF">2021-07-01T23:13:00Z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56;#Official|f53c1d54-6e59-4b8b-8af5-a00f9baa8e57</vt:lpwstr>
  </property>
  <property fmtid="{D5CDD505-2E9C-101B-9397-08002B2CF9AE}" pid="5" name="HPRMSecurityLevel">
    <vt:lpwstr>57;#OFFICIAL|11463c70-78df-4e3b-b0ff-f66cd3cb26ec</vt:lpwstr>
  </property>
  <property fmtid="{D5CDD505-2E9C-101B-9397-08002B2CF9AE}" pid="6" name="PMC.ESearch.TagGeneratedTime">
    <vt:lpwstr>2021-07-02T09:23:11</vt:lpwstr>
  </property>
</Properties>
</file>