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CF" w:rsidRDefault="00236DCF" w:rsidP="00236DCF">
      <w:pPr>
        <w:pStyle w:val="Title"/>
      </w:pPr>
      <w:bookmarkStart w:id="0" w:name="_GoBack"/>
      <w:r w:rsidRPr="00236DCF">
        <w:t>Growing the Indigenous Business Sector</w:t>
      </w:r>
    </w:p>
    <w:bookmarkEnd w:id="0"/>
    <w:p w:rsidR="00236DCF" w:rsidRPr="00236DCF" w:rsidRDefault="00236DCF" w:rsidP="00236DCF">
      <w:pPr>
        <w:pStyle w:val="Heading1"/>
      </w:pPr>
      <w:r w:rsidRPr="00236DCF">
        <w:t>Demand side policies for Indigenous businesses are working effectively …</w:t>
      </w:r>
    </w:p>
    <w:p w:rsidR="00236DCF" w:rsidRPr="00236DCF" w:rsidRDefault="00236DCF" w:rsidP="009F12A4">
      <w:pPr>
        <w:pStyle w:val="ListParagraph"/>
        <w:numPr>
          <w:ilvl w:val="0"/>
          <w:numId w:val="5"/>
        </w:numPr>
        <w:rPr>
          <w:lang w:val="en-AU"/>
        </w:rPr>
      </w:pPr>
      <w:r w:rsidRPr="00236DCF">
        <w:rPr>
          <w:lang w:val="en-AU"/>
        </w:rPr>
        <w:t xml:space="preserve">The </w:t>
      </w:r>
      <w:r w:rsidR="009F12A4" w:rsidRPr="009F12A4">
        <w:rPr>
          <w:b/>
        </w:rPr>
        <w:t>Indigenous Procurement Policy</w:t>
      </w:r>
      <w:r w:rsidR="009F12A4">
        <w:t xml:space="preserve"> has driven rapid growth in demand for Indigenous goods and services</w:t>
      </w:r>
      <w:r w:rsidR="009F12A4" w:rsidRPr="005E3362">
        <w:t>.</w:t>
      </w:r>
    </w:p>
    <w:p w:rsidR="00236DCF" w:rsidRPr="00236DCF" w:rsidRDefault="00236DCF" w:rsidP="00236DCF">
      <w:pPr>
        <w:pStyle w:val="ListParagraph"/>
        <w:numPr>
          <w:ilvl w:val="0"/>
          <w:numId w:val="5"/>
        </w:numPr>
        <w:rPr>
          <w:lang w:val="en-AU"/>
        </w:rPr>
      </w:pPr>
      <w:r w:rsidRPr="00236DCF">
        <w:rPr>
          <w:b/>
          <w:lang w:val="en-AU"/>
        </w:rPr>
        <w:t>State and territory procurement policies</w:t>
      </w:r>
      <w:r w:rsidRPr="00236DCF">
        <w:rPr>
          <w:lang w:val="en-AU"/>
        </w:rPr>
        <w:t xml:space="preserve"> are coming on line with QLD recently adopting a 3% procurement target.</w:t>
      </w:r>
    </w:p>
    <w:p w:rsidR="00236DCF" w:rsidRPr="00236DCF" w:rsidRDefault="00236DCF" w:rsidP="00236DCF">
      <w:pPr>
        <w:pStyle w:val="ListParagraph"/>
        <w:numPr>
          <w:ilvl w:val="0"/>
          <w:numId w:val="5"/>
        </w:numPr>
        <w:rPr>
          <w:lang w:val="en-AU"/>
        </w:rPr>
      </w:pPr>
      <w:r w:rsidRPr="00236DCF">
        <w:rPr>
          <w:b/>
          <w:lang w:val="en-AU"/>
        </w:rPr>
        <w:t>Infrastructure projects,</w:t>
      </w:r>
      <w:r w:rsidRPr="00236DCF">
        <w:rPr>
          <w:lang w:val="en-AU"/>
        </w:rPr>
        <w:t xml:space="preserve"> like Northern Australia Roads and Cities Deals, are including Indigenous business targets linked to the Indigenous working age population.</w:t>
      </w:r>
    </w:p>
    <w:p w:rsidR="00236DCF" w:rsidRPr="00236DCF" w:rsidRDefault="00236DCF" w:rsidP="00236DCF">
      <w:pPr>
        <w:pStyle w:val="ListParagraph"/>
        <w:numPr>
          <w:ilvl w:val="0"/>
          <w:numId w:val="5"/>
        </w:numPr>
        <w:rPr>
          <w:lang w:val="en-AU"/>
        </w:rPr>
      </w:pPr>
      <w:r w:rsidRPr="00236DCF">
        <w:rPr>
          <w:b/>
          <w:lang w:val="en-AU"/>
        </w:rPr>
        <w:t>Local governments</w:t>
      </w:r>
      <w:r w:rsidRPr="00236DCF">
        <w:rPr>
          <w:lang w:val="en-AU"/>
        </w:rPr>
        <w:t xml:space="preserve"> are considering introducing similar policies.</w:t>
      </w:r>
    </w:p>
    <w:p w:rsidR="00236DCF" w:rsidRPr="00236DCF" w:rsidRDefault="00236DCF" w:rsidP="00236DCF">
      <w:pPr>
        <w:pStyle w:val="ListParagraph"/>
        <w:numPr>
          <w:ilvl w:val="0"/>
          <w:numId w:val="5"/>
        </w:numPr>
        <w:rPr>
          <w:lang w:val="en-AU"/>
        </w:rPr>
      </w:pPr>
      <w:r w:rsidRPr="00236DCF">
        <w:rPr>
          <w:lang w:val="en-AU"/>
        </w:rPr>
        <w:t xml:space="preserve">The </w:t>
      </w:r>
      <w:r w:rsidRPr="00236DCF">
        <w:rPr>
          <w:b/>
          <w:lang w:val="en-AU"/>
        </w:rPr>
        <w:t>Business Council of Australia (BCA)</w:t>
      </w:r>
      <w:r w:rsidRPr="00236DCF">
        <w:rPr>
          <w:lang w:val="en-AU"/>
        </w:rPr>
        <w:t xml:space="preserve"> is developing a voluntary Indigenous procurement policy that approximately 30 BCA members are considering adopting.</w:t>
      </w:r>
    </w:p>
    <w:p w:rsidR="00236DCF" w:rsidRPr="00236DCF" w:rsidRDefault="00236DCF" w:rsidP="00236DCF">
      <w:pPr>
        <w:pStyle w:val="ListParagraph"/>
        <w:numPr>
          <w:ilvl w:val="0"/>
          <w:numId w:val="5"/>
        </w:numPr>
        <w:rPr>
          <w:lang w:val="en-AU"/>
        </w:rPr>
      </w:pPr>
      <w:r w:rsidRPr="00236DCF">
        <w:rPr>
          <w:lang w:val="en-AU"/>
        </w:rPr>
        <w:t xml:space="preserve">The proposed </w:t>
      </w:r>
      <w:r w:rsidRPr="00236DCF">
        <w:rPr>
          <w:b/>
          <w:lang w:val="en-AU"/>
        </w:rPr>
        <w:t>Indigenous Grants Policy</w:t>
      </w:r>
      <w:r w:rsidRPr="00236DCF">
        <w:rPr>
          <w:lang w:val="en-AU"/>
        </w:rPr>
        <w:t xml:space="preserve"> will increase the proportion of Commonwealth Indigenous grants (approximately $3b per annum) going to Indigenous organisations.</w:t>
      </w:r>
    </w:p>
    <w:p w:rsidR="00236DCF" w:rsidRDefault="00236DCF" w:rsidP="00236DCF">
      <w:pPr>
        <w:pStyle w:val="Heading1"/>
      </w:pPr>
      <w:r w:rsidRPr="00236DCF">
        <w:t>But the support system needs to keep pace to continue to grow the Supply of Indigenous businesses and create employment</w:t>
      </w:r>
    </w:p>
    <w:p w:rsidR="00236DCF" w:rsidRPr="00236DCF" w:rsidRDefault="00236DCF" w:rsidP="00236DCF">
      <w:pPr>
        <w:pStyle w:val="ListParagraph"/>
        <w:numPr>
          <w:ilvl w:val="0"/>
          <w:numId w:val="6"/>
        </w:numPr>
        <w:rPr>
          <w:lang w:val="en-AU"/>
        </w:rPr>
      </w:pPr>
      <w:r w:rsidRPr="00236DCF">
        <w:rPr>
          <w:lang w:val="en-AU"/>
        </w:rPr>
        <w:t xml:space="preserve">The </w:t>
      </w:r>
      <w:r w:rsidRPr="00236DCF">
        <w:rPr>
          <w:b/>
          <w:lang w:val="en-AU"/>
        </w:rPr>
        <w:t>Indigenous Entrepreneurs Fund</w:t>
      </w:r>
      <w:r w:rsidRPr="00236DCF">
        <w:rPr>
          <w:lang w:val="en-AU"/>
        </w:rPr>
        <w:t xml:space="preserve"> provides a business advisory service and grants for plant and equipment. This is augmenting the CDP by fostering business and employment opportunities in remote and regional Australia. </w:t>
      </w:r>
    </w:p>
    <w:p w:rsidR="00236DCF" w:rsidRPr="00236DCF" w:rsidRDefault="00236DCF" w:rsidP="00236DCF">
      <w:pPr>
        <w:pStyle w:val="ListParagraph"/>
        <w:numPr>
          <w:ilvl w:val="0"/>
          <w:numId w:val="6"/>
        </w:numPr>
        <w:rPr>
          <w:lang w:val="en-AU"/>
        </w:rPr>
      </w:pPr>
      <w:r w:rsidRPr="00236DCF">
        <w:rPr>
          <w:b/>
          <w:lang w:val="en-AU"/>
        </w:rPr>
        <w:t>Indigenous Business Australia</w:t>
      </w:r>
      <w:r w:rsidRPr="00236DCF">
        <w:rPr>
          <w:lang w:val="en-AU"/>
        </w:rPr>
        <w:t xml:space="preserve"> has been refocused on early stage and higher risk customers. Its performance is improving with higher rates of lending and new financial products.</w:t>
      </w:r>
    </w:p>
    <w:p w:rsidR="00236DCF" w:rsidRPr="00236DCF" w:rsidRDefault="00236DCF" w:rsidP="00236DCF">
      <w:pPr>
        <w:pStyle w:val="ListParagraph"/>
        <w:numPr>
          <w:ilvl w:val="0"/>
          <w:numId w:val="6"/>
        </w:numPr>
        <w:rPr>
          <w:lang w:val="en-AU"/>
        </w:rPr>
      </w:pPr>
      <w:r w:rsidRPr="00236DCF">
        <w:rPr>
          <w:lang w:val="en-AU"/>
        </w:rPr>
        <w:t xml:space="preserve">The proposed </w:t>
      </w:r>
      <w:r w:rsidRPr="00236DCF">
        <w:rPr>
          <w:b/>
          <w:lang w:val="en-AU"/>
        </w:rPr>
        <w:t>Indigenous Entrepreneurs Capital Scheme</w:t>
      </w:r>
      <w:r w:rsidRPr="00236DCF">
        <w:rPr>
          <w:lang w:val="en-AU"/>
        </w:rPr>
        <w:t xml:space="preserve"> will allow more Indigenous businesses to access commercial finance and transition to mainstream banking. </w:t>
      </w:r>
    </w:p>
    <w:p w:rsidR="00236DCF" w:rsidRPr="00236DCF" w:rsidRDefault="00236DCF" w:rsidP="00236DCF">
      <w:pPr>
        <w:pStyle w:val="ListParagraph"/>
        <w:numPr>
          <w:ilvl w:val="0"/>
          <w:numId w:val="6"/>
        </w:numPr>
        <w:rPr>
          <w:lang w:val="en-AU"/>
        </w:rPr>
      </w:pPr>
      <w:r w:rsidRPr="00236DCF">
        <w:rPr>
          <w:b/>
          <w:lang w:val="en-AU"/>
        </w:rPr>
        <w:t>Indigenous</w:t>
      </w:r>
      <w:r w:rsidRPr="00236DCF">
        <w:rPr>
          <w:lang w:val="en-AU"/>
        </w:rPr>
        <w:t xml:space="preserve"> </w:t>
      </w:r>
      <w:r w:rsidRPr="00236DCF">
        <w:rPr>
          <w:b/>
          <w:lang w:val="en-AU"/>
        </w:rPr>
        <w:t>Business Hubs</w:t>
      </w:r>
      <w:r w:rsidRPr="00236DCF">
        <w:rPr>
          <w:lang w:val="en-AU"/>
        </w:rPr>
        <w:t xml:space="preserve"> will be a one-stop-shop to access business support and connect with mainstream Indigenous specific support services. The hub will also provide innovative spaces for businesses to work from. </w:t>
      </w:r>
    </w:p>
    <w:p w:rsidR="00236DCF" w:rsidRPr="00236DCF" w:rsidRDefault="00236DCF" w:rsidP="00236DCF">
      <w:pPr>
        <w:pStyle w:val="ListParagraph"/>
        <w:numPr>
          <w:ilvl w:val="0"/>
          <w:numId w:val="6"/>
        </w:numPr>
        <w:rPr>
          <w:lang w:val="en-AU"/>
        </w:rPr>
      </w:pPr>
      <w:r w:rsidRPr="00236DCF">
        <w:rPr>
          <w:b/>
          <w:lang w:val="en-AU"/>
        </w:rPr>
        <w:t>Expansion of existing Microfinance programmes</w:t>
      </w:r>
      <w:r w:rsidRPr="00236DCF">
        <w:rPr>
          <w:lang w:val="en-AU"/>
        </w:rPr>
        <w:t xml:space="preserve"> to bolster self-employment for the most disadvantaged Indigenous Australians.</w:t>
      </w:r>
    </w:p>
    <w:p w:rsidR="00236DCF" w:rsidRPr="00236DCF" w:rsidRDefault="00236DCF" w:rsidP="00236DCF">
      <w:pPr>
        <w:pStyle w:val="ListParagraph"/>
        <w:numPr>
          <w:ilvl w:val="0"/>
          <w:numId w:val="6"/>
        </w:numPr>
        <w:rPr>
          <w:lang w:val="en-AU"/>
        </w:rPr>
      </w:pPr>
      <w:r w:rsidRPr="00236DCF">
        <w:rPr>
          <w:b/>
          <w:lang w:val="en-AU"/>
        </w:rPr>
        <w:t>Building stronger networks</w:t>
      </w:r>
      <w:r w:rsidRPr="00236DCF">
        <w:rPr>
          <w:lang w:val="en-AU"/>
        </w:rPr>
        <w:t xml:space="preserve"> for Indigenous businesses to provide vital peer-to-peer learning and mentoring, greater connectivity, and access to market opportunities.</w:t>
      </w:r>
    </w:p>
    <w:p w:rsidR="00202224" w:rsidRPr="00202224" w:rsidRDefault="00236DCF" w:rsidP="00236DCF">
      <w:pPr>
        <w:pStyle w:val="ListParagraph"/>
        <w:numPr>
          <w:ilvl w:val="0"/>
          <w:numId w:val="6"/>
        </w:numPr>
        <w:rPr>
          <w:lang w:val="en-AU"/>
        </w:rPr>
      </w:pPr>
      <w:r w:rsidRPr="00236DCF">
        <w:rPr>
          <w:lang w:val="en-AU"/>
        </w:rPr>
        <w:t xml:space="preserve">Streamlined access to </w:t>
      </w:r>
      <w:r w:rsidRPr="00236DCF">
        <w:rPr>
          <w:b/>
          <w:lang w:val="en-AU"/>
        </w:rPr>
        <w:t>information</w:t>
      </w:r>
      <w:r w:rsidRPr="00236DCF">
        <w:rPr>
          <w:lang w:val="en-AU"/>
        </w:rPr>
        <w:t xml:space="preserve"> about commercial opportunities and better collection</w:t>
      </w:r>
      <w:r>
        <w:rPr>
          <w:lang w:val="en-AU"/>
        </w:rPr>
        <w:t xml:space="preserve"> </w:t>
      </w:r>
      <w:r w:rsidRPr="00236DCF">
        <w:rPr>
          <w:lang w:val="en-AU"/>
        </w:rPr>
        <w:t xml:space="preserve">of data for Indigenous businesses. </w:t>
      </w:r>
    </w:p>
    <w:sectPr w:rsidR="00202224" w:rsidRPr="00202224" w:rsidSect="00236DCF">
      <w:footerReference w:type="default" r:id="rId7"/>
      <w:headerReference w:type="first" r:id="rId8"/>
      <w:footerReference w:type="first" r:id="rId9"/>
      <w:pgSz w:w="11900" w:h="16840"/>
      <w:pgMar w:top="1946" w:right="1440" w:bottom="1237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81" w:rsidRDefault="00E87081" w:rsidP="00202224">
      <w:pPr>
        <w:spacing w:before="0" w:after="0"/>
      </w:pPr>
      <w:r>
        <w:separator/>
      </w:r>
    </w:p>
  </w:endnote>
  <w:endnote w:type="continuationSeparator" w:id="0">
    <w:p w:rsidR="00E87081" w:rsidRDefault="00E87081" w:rsidP="00202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4D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Avenir Light" w:hAnsi="Avenir Light"/>
        <w:b w:val="0"/>
      </w:rPr>
      <w:id w:val="6189606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02224" w:rsidRPr="00202224" w:rsidRDefault="00202224" w:rsidP="00202224">
        <w:pPr>
          <w:pStyle w:val="Footer"/>
          <w:framePr w:wrap="none" w:vAnchor="text" w:hAnchor="margin" w:y="1"/>
          <w:rPr>
            <w:rStyle w:val="PageNumber"/>
            <w:rFonts w:ascii="Avenir Light" w:hAnsi="Avenir Light"/>
            <w:b w:val="0"/>
          </w:rPr>
        </w:pPr>
        <w:r w:rsidRPr="00202224">
          <w:rPr>
            <w:rFonts w:ascii="Avenir Light" w:hAnsi="Avenir Light"/>
            <w:b w:val="0"/>
          </w:rPr>
          <w:t>Page</w:t>
        </w:r>
        <w:r w:rsidRPr="00202224">
          <w:rPr>
            <w:rStyle w:val="PageNumber"/>
            <w:rFonts w:ascii="Avenir Light" w:hAnsi="Avenir Light"/>
            <w:b w:val="0"/>
          </w:rPr>
          <w:t xml:space="preserve"> </w:t>
        </w:r>
        <w:r w:rsidRPr="00202224">
          <w:rPr>
            <w:rStyle w:val="PageNumber"/>
            <w:rFonts w:ascii="Avenir Light" w:hAnsi="Avenir Light"/>
            <w:b w:val="0"/>
          </w:rPr>
          <w:fldChar w:fldCharType="begin"/>
        </w:r>
        <w:r w:rsidRPr="00202224">
          <w:rPr>
            <w:rStyle w:val="PageNumber"/>
            <w:rFonts w:ascii="Avenir Light" w:hAnsi="Avenir Light"/>
            <w:b w:val="0"/>
          </w:rPr>
          <w:instrText xml:space="preserve"> PAGE </w:instrText>
        </w:r>
        <w:r w:rsidRPr="00202224">
          <w:rPr>
            <w:rStyle w:val="PageNumber"/>
            <w:rFonts w:ascii="Avenir Light" w:hAnsi="Avenir Light"/>
            <w:b w:val="0"/>
          </w:rPr>
          <w:fldChar w:fldCharType="separate"/>
        </w:r>
        <w:r>
          <w:rPr>
            <w:rStyle w:val="PageNumber"/>
            <w:rFonts w:ascii="Avenir Light" w:hAnsi="Avenir Light"/>
            <w:b w:val="0"/>
          </w:rPr>
          <w:t>1</w:t>
        </w:r>
        <w:r w:rsidRPr="00202224">
          <w:rPr>
            <w:rStyle w:val="PageNumber"/>
            <w:rFonts w:ascii="Avenir Light" w:hAnsi="Avenir Light"/>
            <w:b w:val="0"/>
          </w:rPr>
          <w:fldChar w:fldCharType="end"/>
        </w:r>
      </w:p>
    </w:sdtContent>
  </w:sdt>
  <w:p w:rsidR="00202224" w:rsidRDefault="00202224" w:rsidP="00236DCF">
    <w:pPr>
      <w:pStyle w:val="Footer"/>
      <w:tabs>
        <w:tab w:val="clear" w:pos="9026"/>
      </w:tabs>
      <w:ind w:right="-1440"/>
      <w:jc w:val="right"/>
    </w:pPr>
    <w:r>
      <w:rPr>
        <w:noProof/>
      </w:rPr>
      <w:t xml:space="preserve"> </w:t>
    </w:r>
    <w:r>
      <w:rPr>
        <w:noProof/>
        <w:lang w:val="en-AU" w:eastAsia="en-AU"/>
      </w:rPr>
      <w:drawing>
        <wp:inline distT="0" distB="0" distL="0" distR="0" wp14:anchorId="1E248F3A">
          <wp:extent cx="3601719" cy="1143412"/>
          <wp:effectExtent l="0" t="0" r="0" b="0"/>
          <wp:docPr id="3" name="Picture 3" descr="Artifact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SS_Word Template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83" t="25984"/>
                  <a:stretch/>
                </pic:blipFill>
                <pic:spPr bwMode="auto">
                  <a:xfrm>
                    <a:off x="0" y="0"/>
                    <a:ext cx="3601719" cy="11434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Avenir Light" w:hAnsi="Avenir Light"/>
        <w:b w:val="0"/>
      </w:rPr>
      <w:id w:val="19054898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02224" w:rsidRPr="00202224" w:rsidRDefault="00202224" w:rsidP="00BA228D">
        <w:pPr>
          <w:pStyle w:val="Footer"/>
          <w:framePr w:wrap="none" w:vAnchor="text" w:hAnchor="margin" w:y="1"/>
          <w:rPr>
            <w:rStyle w:val="PageNumber"/>
            <w:rFonts w:ascii="Avenir Light" w:hAnsi="Avenir Light"/>
            <w:b w:val="0"/>
          </w:rPr>
        </w:pPr>
        <w:r w:rsidRPr="00202224">
          <w:rPr>
            <w:rFonts w:ascii="Avenir Light" w:hAnsi="Avenir Light"/>
            <w:b w:val="0"/>
          </w:rPr>
          <w:t>Page</w:t>
        </w:r>
        <w:r w:rsidRPr="00202224">
          <w:rPr>
            <w:rStyle w:val="PageNumber"/>
            <w:rFonts w:ascii="Avenir Light" w:hAnsi="Avenir Light"/>
            <w:b w:val="0"/>
          </w:rPr>
          <w:t xml:space="preserve"> </w:t>
        </w:r>
        <w:r w:rsidRPr="00202224">
          <w:rPr>
            <w:rStyle w:val="PageNumber"/>
            <w:rFonts w:ascii="Avenir Light" w:hAnsi="Avenir Light"/>
            <w:b w:val="0"/>
          </w:rPr>
          <w:fldChar w:fldCharType="begin"/>
        </w:r>
        <w:r w:rsidRPr="00202224">
          <w:rPr>
            <w:rStyle w:val="PageNumber"/>
            <w:rFonts w:ascii="Avenir Light" w:hAnsi="Avenir Light"/>
            <w:b w:val="0"/>
          </w:rPr>
          <w:instrText xml:space="preserve"> PAGE </w:instrText>
        </w:r>
        <w:r w:rsidRPr="00202224">
          <w:rPr>
            <w:rStyle w:val="PageNumber"/>
            <w:rFonts w:ascii="Avenir Light" w:hAnsi="Avenir Light"/>
            <w:b w:val="0"/>
          </w:rPr>
          <w:fldChar w:fldCharType="separate"/>
        </w:r>
        <w:r w:rsidR="001C4146">
          <w:rPr>
            <w:rStyle w:val="PageNumber"/>
            <w:rFonts w:ascii="Avenir Light" w:hAnsi="Avenir Light"/>
            <w:b w:val="0"/>
            <w:noProof/>
          </w:rPr>
          <w:t>1</w:t>
        </w:r>
        <w:r w:rsidRPr="00202224">
          <w:rPr>
            <w:rStyle w:val="PageNumber"/>
            <w:rFonts w:ascii="Avenir Light" w:hAnsi="Avenir Light"/>
            <w:b w:val="0"/>
          </w:rPr>
          <w:fldChar w:fldCharType="end"/>
        </w:r>
      </w:p>
    </w:sdtContent>
  </w:sdt>
  <w:p w:rsidR="00202224" w:rsidRDefault="00202224" w:rsidP="00236DCF">
    <w:pPr>
      <w:ind w:right="-1440" w:firstLine="360"/>
      <w:jc w:val="right"/>
    </w:pPr>
    <w:r>
      <w:rPr>
        <w:noProof/>
        <w:lang w:val="en-AU" w:eastAsia="en-AU"/>
      </w:rPr>
      <w:drawing>
        <wp:inline distT="0" distB="0" distL="0" distR="0">
          <wp:extent cx="3533969" cy="1059366"/>
          <wp:effectExtent l="0" t="0" r="0" b="0"/>
          <wp:docPr id="2" name="Picture 2" descr="Artifact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SS_Word Template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56" t="22376" b="9033"/>
                  <a:stretch/>
                </pic:blipFill>
                <pic:spPr bwMode="auto">
                  <a:xfrm>
                    <a:off x="0" y="0"/>
                    <a:ext cx="3536029" cy="105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81" w:rsidRDefault="00E87081" w:rsidP="00202224">
      <w:pPr>
        <w:spacing w:before="0" w:after="0"/>
      </w:pPr>
      <w:r>
        <w:separator/>
      </w:r>
    </w:p>
  </w:footnote>
  <w:footnote w:type="continuationSeparator" w:id="0">
    <w:p w:rsidR="00E87081" w:rsidRDefault="00E87081" w:rsidP="002022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24" w:rsidRDefault="003F2B8D" w:rsidP="00236DCF">
    <w:pPr>
      <w:pStyle w:val="Header"/>
      <w:ind w:left="-1418"/>
    </w:pPr>
    <w:r>
      <w:rPr>
        <w:noProof/>
        <w:lang w:val="en-AU" w:eastAsia="en-AU"/>
      </w:rPr>
      <w:drawing>
        <wp:inline distT="0" distB="0" distL="0" distR="0">
          <wp:extent cx="2992582" cy="1747493"/>
          <wp:effectExtent l="0" t="0" r="0" b="0"/>
          <wp:docPr id="4" name="Picture 4" descr="Artifact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BSS_Word Template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" t="1237" r="65684" b="-241"/>
                  <a:stretch/>
                </pic:blipFill>
                <pic:spPr bwMode="auto">
                  <a:xfrm>
                    <a:off x="0" y="0"/>
                    <a:ext cx="2995657" cy="17492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966A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77434E"/>
    <w:multiLevelType w:val="hybridMultilevel"/>
    <w:tmpl w:val="6E3C7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55A"/>
    <w:multiLevelType w:val="hybridMultilevel"/>
    <w:tmpl w:val="AE7A1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7A51"/>
    <w:multiLevelType w:val="multilevel"/>
    <w:tmpl w:val="0809001D"/>
    <w:styleLink w:val="ListNumbere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8461D6"/>
    <w:multiLevelType w:val="multilevel"/>
    <w:tmpl w:val="0809001D"/>
    <w:styleLink w:val="NumberedList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CF"/>
    <w:rsid w:val="00132DAF"/>
    <w:rsid w:val="00176275"/>
    <w:rsid w:val="001C4146"/>
    <w:rsid w:val="00202224"/>
    <w:rsid w:val="00236DCF"/>
    <w:rsid w:val="003353A7"/>
    <w:rsid w:val="003F2B8D"/>
    <w:rsid w:val="004575DF"/>
    <w:rsid w:val="004B3B48"/>
    <w:rsid w:val="004F4C3D"/>
    <w:rsid w:val="00787784"/>
    <w:rsid w:val="009F12A4"/>
    <w:rsid w:val="00A06F58"/>
    <w:rsid w:val="00B71798"/>
    <w:rsid w:val="00BE30D1"/>
    <w:rsid w:val="00C66DAB"/>
    <w:rsid w:val="00DC0F9B"/>
    <w:rsid w:val="00E81BC6"/>
    <w:rsid w:val="00E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0FC0E348-B089-3842-8070-3631C6A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24"/>
    <w:pPr>
      <w:spacing w:before="120" w:after="120"/>
    </w:pPr>
    <w:rPr>
      <w:rFonts w:ascii="Avenir Light" w:hAnsi="Avenir Light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6DCF"/>
    <w:pPr>
      <w:keepNext/>
      <w:keepLines/>
      <w:pBdr>
        <w:bottom w:val="single" w:sz="8" w:space="1" w:color="FFC000" w:themeColor="accent4"/>
      </w:pBdr>
      <w:spacing w:before="240" w:after="240"/>
      <w:outlineLvl w:val="0"/>
    </w:pPr>
    <w:rPr>
      <w:rFonts w:ascii="Avenir Black" w:eastAsiaTheme="majorEastAsia" w:hAnsi="Avenir Black" w:cstheme="majorBidi"/>
      <w:b/>
      <w:caps/>
      <w:color w:val="F1AD2B"/>
      <w:spacing w:val="30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6DCF"/>
    <w:pPr>
      <w:keepNext/>
      <w:keepLines/>
      <w:spacing w:before="240"/>
      <w:outlineLvl w:val="1"/>
    </w:pPr>
    <w:rPr>
      <w:rFonts w:ascii="Avenir Medium" w:eastAsiaTheme="majorEastAsia" w:hAnsi="Avenir Medium" w:cs="Times New Roman (Headings CS)"/>
      <w:color w:val="432C76"/>
      <w:spacing w:val="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rsid w:val="00BE30D1"/>
    <w:pPr>
      <w:tabs>
        <w:tab w:val="center" w:pos="4513"/>
        <w:tab w:val="right" w:pos="9026"/>
      </w:tabs>
      <w:jc w:val="center"/>
    </w:pPr>
    <w:rPr>
      <w:rFonts w:ascii="PT Sans" w:hAnsi="PT Sans"/>
      <w:b/>
      <w:bC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E30D1"/>
    <w:rPr>
      <w:rFonts w:ascii="PT Sans" w:hAnsi="PT Sans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6DCF"/>
    <w:rPr>
      <w:rFonts w:ascii="Avenir Black" w:eastAsiaTheme="majorEastAsia" w:hAnsi="Avenir Black" w:cstheme="majorBidi"/>
      <w:b/>
      <w:caps/>
      <w:color w:val="F1AD2B"/>
      <w:spacing w:val="30"/>
      <w:sz w:val="28"/>
      <w:szCs w:val="32"/>
      <w:lang w:val="en-AU"/>
    </w:rPr>
  </w:style>
  <w:style w:type="numbering" w:customStyle="1" w:styleId="NumberedList">
    <w:name w:val="Numbered List"/>
    <w:basedOn w:val="NoList"/>
    <w:uiPriority w:val="99"/>
    <w:rsid w:val="00BE30D1"/>
    <w:pPr>
      <w:numPr>
        <w:numId w:val="1"/>
      </w:numPr>
    </w:pPr>
  </w:style>
  <w:style w:type="paragraph" w:customStyle="1" w:styleId="BlockQuote">
    <w:name w:val="Block Quote"/>
    <w:basedOn w:val="Normal"/>
    <w:autoRedefine/>
    <w:rsid w:val="00BE30D1"/>
    <w:pPr>
      <w:shd w:val="clear" w:color="auto" w:fill="F1AD2B"/>
    </w:pPr>
    <w:rPr>
      <w:rFonts w:ascii="PT Sans" w:hAnsi="PT Sans"/>
      <w:b/>
      <w:sz w:val="22"/>
    </w:rPr>
  </w:style>
  <w:style w:type="paragraph" w:customStyle="1" w:styleId="FigureTableHeader">
    <w:name w:val="FigureTable Header"/>
    <w:basedOn w:val="Normal"/>
    <w:rsid w:val="00BE30D1"/>
    <w:pPr>
      <w:spacing w:before="240"/>
    </w:pPr>
    <w:rPr>
      <w:rFonts w:ascii="PT Sans" w:hAnsi="PT Sans"/>
      <w:i/>
      <w:color w:val="3578A2"/>
      <w:sz w:val="22"/>
    </w:rPr>
  </w:style>
  <w:style w:type="numbering" w:customStyle="1" w:styleId="ListNumbered">
    <w:name w:val="List Numbered"/>
    <w:basedOn w:val="NoList"/>
    <w:uiPriority w:val="99"/>
    <w:rsid w:val="00BE30D1"/>
    <w:pPr>
      <w:numPr>
        <w:numId w:val="2"/>
      </w:numPr>
    </w:pPr>
  </w:style>
  <w:style w:type="paragraph" w:styleId="ListNumber">
    <w:name w:val="List Number"/>
    <w:basedOn w:val="Normal"/>
    <w:autoRedefine/>
    <w:uiPriority w:val="99"/>
    <w:unhideWhenUsed/>
    <w:rsid w:val="00BE30D1"/>
    <w:pPr>
      <w:numPr>
        <w:numId w:val="4"/>
      </w:numPr>
      <w:contextualSpacing/>
    </w:pPr>
    <w:rPr>
      <w:rFonts w:ascii="PT Sans" w:hAnsi="PT Sans"/>
      <w:sz w:val="22"/>
    </w:rPr>
  </w:style>
  <w:style w:type="table" w:customStyle="1" w:styleId="Style1">
    <w:name w:val="Style1"/>
    <w:basedOn w:val="TableNormal"/>
    <w:uiPriority w:val="99"/>
    <w:rsid w:val="00BE30D1"/>
    <w:pPr>
      <w:jc w:val="center"/>
    </w:pPr>
    <w:rPr>
      <w:rFonts w:ascii="PT Sans" w:hAnsi="PT Sans"/>
      <w:color w:val="000000" w:themeColor="text1"/>
      <w:sz w:val="22"/>
    </w:rPr>
    <w:tblPr>
      <w:tblBorders>
        <w:insideH w:val="single" w:sz="4" w:space="0" w:color="3578A2"/>
        <w:insideV w:val="single" w:sz="4" w:space="0" w:color="3578A2"/>
      </w:tblBorders>
    </w:tblPr>
    <w:tcPr>
      <w:vAlign w:val="center"/>
    </w:tcPr>
    <w:tblStylePr w:type="firstRow">
      <w:rPr>
        <w:rFonts w:ascii="PT Sans" w:hAnsi="PT Sans"/>
        <w:b/>
        <w:bCs/>
        <w:i w:val="0"/>
        <w:iCs w:val="0"/>
        <w:color w:val="3578A2"/>
        <w:sz w:val="22"/>
      </w:rPr>
      <w:tblPr/>
      <w:tcPr>
        <w:shd w:val="clear" w:color="auto" w:fill="D9E2F3" w:themeFill="accent1" w:themeFillTint="33"/>
      </w:tcPr>
    </w:tblStylePr>
  </w:style>
  <w:style w:type="paragraph" w:customStyle="1" w:styleId="PictureCaption">
    <w:name w:val="PictureCaption"/>
    <w:basedOn w:val="Normal"/>
    <w:autoRedefine/>
    <w:rsid w:val="00B71798"/>
    <w:pPr>
      <w:widowControl w:val="0"/>
      <w:autoSpaceDE w:val="0"/>
      <w:autoSpaceDN w:val="0"/>
      <w:adjustRightInd w:val="0"/>
      <w:textAlignment w:val="center"/>
    </w:pPr>
    <w:rPr>
      <w:rFonts w:ascii="Arial" w:eastAsia="Calibri" w:hAnsi="Arial" w:cs="Arial"/>
      <w:color w:val="7F7F7F" w:themeColor="text1" w:themeTint="80"/>
      <w:sz w:val="15"/>
      <w:szCs w:val="20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02224"/>
    <w:pPr>
      <w:contextualSpacing/>
    </w:pPr>
    <w:rPr>
      <w:rFonts w:ascii="Avenir Black" w:eastAsiaTheme="majorEastAsia" w:hAnsi="Avenir Black" w:cs="Times New Roman (Headings CS)"/>
      <w:b/>
      <w:color w:val="432C76"/>
      <w:spacing w:val="14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202224"/>
    <w:rPr>
      <w:rFonts w:ascii="Avenir Black" w:eastAsiaTheme="majorEastAsia" w:hAnsi="Avenir Black" w:cs="Times New Roman (Headings CS)"/>
      <w:b/>
      <w:color w:val="432C76"/>
      <w:spacing w:val="14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rsid w:val="0020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222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36DCF"/>
    <w:rPr>
      <w:rFonts w:ascii="Avenir Medium" w:eastAsiaTheme="majorEastAsia" w:hAnsi="Avenir Medium" w:cs="Times New Roman (Headings CS)"/>
      <w:color w:val="432C76"/>
      <w:spacing w:val="3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0222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2224"/>
    <w:rPr>
      <w:rFonts w:ascii="Avenir Light" w:hAnsi="Avenir Light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02224"/>
  </w:style>
  <w:style w:type="paragraph" w:styleId="ListParagraph">
    <w:name w:val="List Paragraph"/>
    <w:basedOn w:val="Normal"/>
    <w:uiPriority w:val="34"/>
    <w:rsid w:val="0023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Growing the Indigenous Business Sector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the Indigenous Business Sector</dc:title>
  <dc:subject/>
  <dc:creator>Department of the Prime Minister and Cabinet</dc:creator>
  <cp:keywords/>
  <dc:description/>
  <cp:lastModifiedBy>O'Toole, Aidan</cp:lastModifiedBy>
  <cp:revision>3</cp:revision>
  <cp:lastPrinted>2018-02-06T01:58:00Z</cp:lastPrinted>
  <dcterms:created xsi:type="dcterms:W3CDTF">2018-02-13T00:53:00Z</dcterms:created>
  <dcterms:modified xsi:type="dcterms:W3CDTF">2018-02-13T01:58:00Z</dcterms:modified>
</cp:coreProperties>
</file>