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43" w:rsidRDefault="006F7C43" w:rsidP="006F7C43">
      <w:pPr>
        <w:pStyle w:val="BodyText"/>
        <w:rPr>
          <w:noProof/>
        </w:rPr>
      </w:pPr>
      <w:r w:rsidRPr="006F7C43">
        <w:rPr>
          <w:noProof/>
          <w:lang w:eastAsia="en-AU"/>
        </w:rPr>
        <w:drawing>
          <wp:inline distT="0" distB="0" distL="0" distR="0" wp14:anchorId="2969E712" wp14:editId="5ED27414">
            <wp:extent cx="6479540" cy="9154160"/>
            <wp:effectExtent l="0" t="0" r="0" b="8890"/>
            <wp:docPr id="3" name="Picture 3" descr="C:\Users\pmc14506\AppData\Local\Microsoft\Windows\INetCache\Content.Outlook\LQW5WRVA\20-018 - IPP Guidelines_Cover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4506\AppData\Local\Microsoft\Windows\INetCache\Content.Outlook\LQW5WRVA\20-018 - IPP Guidelines_Covers-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9154160"/>
                    </a:xfrm>
                    <a:prstGeom prst="rect">
                      <a:avLst/>
                    </a:prstGeom>
                    <a:noFill/>
                    <a:ln>
                      <a:noFill/>
                    </a:ln>
                  </pic:spPr>
                </pic:pic>
              </a:graphicData>
            </a:graphic>
          </wp:inline>
        </w:drawing>
      </w:r>
      <w:r w:rsidR="00555BD1">
        <w:t xml:space="preserve"> </w:t>
      </w:r>
      <w:sdt>
        <w:sdtPr>
          <w:id w:val="-298152183"/>
          <w:docPartObj>
            <w:docPartGallery w:val="Cover Pages"/>
            <w:docPartUnique/>
          </w:docPartObj>
        </w:sdtPr>
        <w:sdtEndPr>
          <w:rPr>
            <w:noProof/>
          </w:rPr>
        </w:sdtEndPr>
        <w:sdtContent>
          <w:r w:rsidR="00821DCD" w:rsidRPr="00657D2D">
            <w:rPr>
              <w:noProof/>
            </w:rPr>
            <w:t xml:space="preserve"> </w:t>
          </w:r>
        </w:sdtContent>
      </w:sdt>
      <w:bookmarkStart w:id="0" w:name="_Toc40360919"/>
      <w:bookmarkStart w:id="1" w:name="_Toc40784553"/>
    </w:p>
    <w:p w:rsidR="006F7C43" w:rsidRDefault="006F7C43" w:rsidP="006F7C43">
      <w:pPr>
        <w:pStyle w:val="BodyText"/>
        <w:rPr>
          <w:rFonts w:asciiTheme="majorHAnsi" w:hAnsiTheme="majorHAnsi"/>
          <w:color w:val="DD7500" w:themeColor="accent4"/>
          <w:sz w:val="24"/>
          <w:szCs w:val="24"/>
        </w:rPr>
      </w:pPr>
    </w:p>
    <w:p w:rsidR="000968DF" w:rsidRDefault="000968DF" w:rsidP="006F7C43">
      <w:pPr>
        <w:pStyle w:val="Subtitle"/>
      </w:pPr>
      <w:r>
        <w:t xml:space="preserve">Document history </w:t>
      </w:r>
    </w:p>
    <w:tbl>
      <w:tblPr>
        <w:tblStyle w:val="TableGrid"/>
        <w:tblW w:w="0" w:type="auto"/>
        <w:tblInd w:w="-5" w:type="dxa"/>
        <w:tblLook w:val="04A0" w:firstRow="1" w:lastRow="0" w:firstColumn="1" w:lastColumn="0" w:noHBand="0" w:noVBand="1"/>
      </w:tblPr>
      <w:tblGrid>
        <w:gridCol w:w="2920"/>
        <w:gridCol w:w="3196"/>
        <w:gridCol w:w="3292"/>
      </w:tblGrid>
      <w:tr w:rsidR="000968DF" w:rsidRPr="00FB2A32" w:rsidTr="00082F04">
        <w:tc>
          <w:tcPr>
            <w:tcW w:w="2920" w:type="dxa"/>
          </w:tcPr>
          <w:p w:rsidR="000968DF" w:rsidRPr="00FB2A32" w:rsidRDefault="000968DF" w:rsidP="00EC4DEF">
            <w:pPr>
              <w:pStyle w:val="BodyText"/>
              <w:rPr>
                <w:rFonts w:asciiTheme="majorHAnsi" w:hAnsiTheme="majorHAnsi"/>
                <w:b/>
              </w:rPr>
            </w:pPr>
            <w:r w:rsidRPr="00FB2A32">
              <w:rPr>
                <w:rFonts w:asciiTheme="majorHAnsi" w:hAnsiTheme="majorHAnsi"/>
                <w:b/>
              </w:rPr>
              <w:t xml:space="preserve">Version </w:t>
            </w:r>
          </w:p>
        </w:tc>
        <w:tc>
          <w:tcPr>
            <w:tcW w:w="3196" w:type="dxa"/>
          </w:tcPr>
          <w:p w:rsidR="000968DF" w:rsidRPr="00FB2A32" w:rsidRDefault="000968DF" w:rsidP="00EC4DEF">
            <w:pPr>
              <w:pStyle w:val="BodyText"/>
              <w:rPr>
                <w:rFonts w:asciiTheme="majorHAnsi" w:hAnsiTheme="majorHAnsi"/>
                <w:b/>
              </w:rPr>
            </w:pPr>
            <w:r w:rsidRPr="00FB2A32">
              <w:rPr>
                <w:rFonts w:asciiTheme="majorHAnsi" w:hAnsiTheme="majorHAnsi"/>
                <w:b/>
              </w:rPr>
              <w:t>Date approved</w:t>
            </w:r>
          </w:p>
          <w:p w:rsidR="000968DF" w:rsidRPr="00FB2A32" w:rsidRDefault="000968DF" w:rsidP="00EC4DEF">
            <w:pPr>
              <w:pStyle w:val="BodyText"/>
              <w:rPr>
                <w:rFonts w:asciiTheme="majorHAnsi" w:hAnsiTheme="majorHAnsi"/>
                <w:b/>
              </w:rPr>
            </w:pPr>
          </w:p>
        </w:tc>
        <w:tc>
          <w:tcPr>
            <w:tcW w:w="3292" w:type="dxa"/>
          </w:tcPr>
          <w:p w:rsidR="000968DF" w:rsidRPr="00FB2A32" w:rsidRDefault="000968DF" w:rsidP="00EC4DEF">
            <w:pPr>
              <w:pStyle w:val="BodyText"/>
              <w:rPr>
                <w:rFonts w:asciiTheme="majorHAnsi" w:hAnsiTheme="majorHAnsi"/>
                <w:b/>
              </w:rPr>
            </w:pPr>
            <w:r w:rsidRPr="00FB2A32">
              <w:rPr>
                <w:rFonts w:asciiTheme="majorHAnsi" w:hAnsiTheme="majorHAnsi"/>
                <w:b/>
              </w:rPr>
              <w:t>Approver</w:t>
            </w:r>
          </w:p>
        </w:tc>
      </w:tr>
      <w:tr w:rsidR="000968DF" w:rsidTr="00082F04">
        <w:tc>
          <w:tcPr>
            <w:tcW w:w="2920" w:type="dxa"/>
          </w:tcPr>
          <w:p w:rsidR="000968DF" w:rsidRDefault="000968DF" w:rsidP="00EC4DEF">
            <w:pPr>
              <w:pStyle w:val="BodyText"/>
              <w:rPr>
                <w:rFonts w:asciiTheme="majorHAnsi" w:hAnsiTheme="majorHAnsi"/>
              </w:rPr>
            </w:pPr>
            <w:r>
              <w:rPr>
                <w:rFonts w:asciiTheme="majorHAnsi" w:hAnsiTheme="majorHAnsi"/>
              </w:rPr>
              <w:t>Version 1</w:t>
            </w:r>
          </w:p>
        </w:tc>
        <w:tc>
          <w:tcPr>
            <w:tcW w:w="3196" w:type="dxa"/>
          </w:tcPr>
          <w:p w:rsidR="000968DF" w:rsidRDefault="00D73630" w:rsidP="00EC4DEF">
            <w:pPr>
              <w:pStyle w:val="BodyText"/>
              <w:rPr>
                <w:rFonts w:asciiTheme="majorHAnsi" w:hAnsiTheme="majorHAnsi"/>
              </w:rPr>
            </w:pPr>
            <w:r>
              <w:rPr>
                <w:rFonts w:asciiTheme="majorHAnsi" w:hAnsiTheme="majorHAnsi"/>
              </w:rPr>
              <w:t>2</w:t>
            </w:r>
            <w:r w:rsidR="00A2397F">
              <w:rPr>
                <w:rFonts w:asciiTheme="majorHAnsi" w:hAnsiTheme="majorHAnsi"/>
              </w:rPr>
              <w:t>6</w:t>
            </w:r>
            <w:r>
              <w:rPr>
                <w:rFonts w:asciiTheme="majorHAnsi" w:hAnsiTheme="majorHAnsi"/>
              </w:rPr>
              <w:t xml:space="preserve"> </w:t>
            </w:r>
            <w:r w:rsidR="000968DF">
              <w:rPr>
                <w:rFonts w:asciiTheme="majorHAnsi" w:hAnsiTheme="majorHAnsi"/>
              </w:rPr>
              <w:t>June 2020</w:t>
            </w:r>
          </w:p>
        </w:tc>
        <w:tc>
          <w:tcPr>
            <w:tcW w:w="3292" w:type="dxa"/>
          </w:tcPr>
          <w:p w:rsidR="000968DF" w:rsidRDefault="000968DF" w:rsidP="00EC4DEF">
            <w:pPr>
              <w:pStyle w:val="BodyText"/>
              <w:rPr>
                <w:rFonts w:asciiTheme="majorHAnsi" w:hAnsiTheme="majorHAnsi"/>
              </w:rPr>
            </w:pPr>
            <w:r>
              <w:rPr>
                <w:rFonts w:asciiTheme="majorHAnsi" w:hAnsiTheme="majorHAnsi"/>
              </w:rPr>
              <w:t xml:space="preserve">Neil Williams, Branch Manager Economic and Business Policy </w:t>
            </w:r>
          </w:p>
          <w:p w:rsidR="000968DF" w:rsidRDefault="000968DF" w:rsidP="00EC4DEF">
            <w:pPr>
              <w:pStyle w:val="BodyText"/>
              <w:rPr>
                <w:rFonts w:asciiTheme="majorHAnsi" w:hAnsiTheme="majorHAnsi"/>
              </w:rPr>
            </w:pPr>
          </w:p>
        </w:tc>
      </w:tr>
    </w:tbl>
    <w:p w:rsidR="000968DF" w:rsidRDefault="000968DF">
      <w:pPr>
        <w:rPr>
          <w:rFonts w:asciiTheme="majorHAnsi" w:hAnsiTheme="majorHAnsi"/>
          <w:b/>
          <w:color w:val="DD7500" w:themeColor="accent4"/>
          <w:sz w:val="60"/>
          <w:szCs w:val="60"/>
        </w:rPr>
      </w:pPr>
      <w:r>
        <w:br w:type="page"/>
      </w:r>
    </w:p>
    <w:p w:rsidR="00D17C60" w:rsidRPr="00FE09D3" w:rsidRDefault="001C2CAA" w:rsidP="00D17C60">
      <w:pPr>
        <w:pStyle w:val="Title"/>
      </w:pPr>
      <w:bookmarkStart w:id="2" w:name="_Toc43294819"/>
      <w:bookmarkStart w:id="3" w:name="_Toc43296657"/>
      <w:bookmarkStart w:id="4" w:name="_Toc43299835"/>
      <w:bookmarkStart w:id="5" w:name="_Toc43385046"/>
      <w:r>
        <w:lastRenderedPageBreak/>
        <w:t>Indigenous Procurement Policy</w:t>
      </w:r>
      <w:bookmarkEnd w:id="0"/>
      <w:bookmarkEnd w:id="1"/>
      <w:bookmarkEnd w:id="2"/>
      <w:bookmarkEnd w:id="3"/>
      <w:bookmarkEnd w:id="4"/>
      <w:bookmarkEnd w:id="5"/>
    </w:p>
    <w:p w:rsidR="00D17C60" w:rsidRDefault="00D17C60" w:rsidP="00D17C60">
      <w:pPr>
        <w:pStyle w:val="Heading3"/>
      </w:pPr>
      <w:bookmarkStart w:id="6" w:name="_Toc40360920"/>
      <w:bookmarkStart w:id="7" w:name="_Toc40784554"/>
      <w:bookmarkStart w:id="8" w:name="_Toc43294820"/>
      <w:bookmarkStart w:id="9" w:name="_Toc43296658"/>
      <w:bookmarkStart w:id="10" w:name="_Toc43299836"/>
      <w:bookmarkStart w:id="11" w:name="_Toc43385047"/>
      <w:r>
        <w:t>A guide for s</w:t>
      </w:r>
      <w:bookmarkStart w:id="12" w:name="_GoBack"/>
      <w:bookmarkEnd w:id="12"/>
      <w:r>
        <w:t>uppliers</w:t>
      </w:r>
      <w:bookmarkEnd w:id="6"/>
      <w:bookmarkEnd w:id="7"/>
      <w:bookmarkEnd w:id="8"/>
      <w:bookmarkEnd w:id="9"/>
      <w:bookmarkEnd w:id="10"/>
      <w:bookmarkEnd w:id="11"/>
      <w:r>
        <w:t xml:space="preserve"> </w:t>
      </w:r>
    </w:p>
    <w:p w:rsidR="00AA586A" w:rsidRDefault="00AA586A" w:rsidP="00AA586A">
      <w:pPr>
        <w:pStyle w:val="EmphasisPanelHeading"/>
      </w:pPr>
      <w:r>
        <w:t>This guide</w:t>
      </w:r>
    </w:p>
    <w:p w:rsidR="00596015" w:rsidRPr="00E83B3E" w:rsidRDefault="00AA586A" w:rsidP="00596015">
      <w:pPr>
        <w:pStyle w:val="EmphasisPanelBody"/>
        <w:rPr>
          <w:rFonts w:asciiTheme="majorHAnsi" w:hAnsiTheme="majorHAnsi"/>
        </w:rPr>
      </w:pPr>
      <w:r w:rsidRPr="00601B15">
        <w:rPr>
          <w:rFonts w:asciiTheme="majorHAnsi" w:hAnsiTheme="majorHAnsi"/>
        </w:rPr>
        <w:t xml:space="preserve">This guide aims to help private sector businesses tendering </w:t>
      </w:r>
      <w:r w:rsidR="006D2ECC">
        <w:rPr>
          <w:rFonts w:asciiTheme="majorHAnsi" w:hAnsiTheme="majorHAnsi"/>
        </w:rPr>
        <w:t>for</w:t>
      </w:r>
      <w:r w:rsidR="00081D44">
        <w:rPr>
          <w:rFonts w:asciiTheme="majorHAnsi" w:hAnsiTheme="majorHAnsi"/>
        </w:rPr>
        <w:t xml:space="preserve"> </w:t>
      </w:r>
      <w:r w:rsidRPr="00601B15">
        <w:rPr>
          <w:rFonts w:asciiTheme="majorHAnsi" w:hAnsiTheme="majorHAnsi"/>
        </w:rPr>
        <w:t xml:space="preserve">Australian Government contracts </w:t>
      </w:r>
      <w:r w:rsidR="002B5F9F" w:rsidRPr="00601B15">
        <w:rPr>
          <w:rFonts w:asciiTheme="majorHAnsi" w:hAnsiTheme="majorHAnsi"/>
        </w:rPr>
        <w:t xml:space="preserve">valued at $7.5 million (GST inclusive) </w:t>
      </w:r>
      <w:r w:rsidR="00BE5C7B">
        <w:rPr>
          <w:rFonts w:asciiTheme="majorHAnsi" w:hAnsiTheme="majorHAnsi"/>
        </w:rPr>
        <w:t>or more</w:t>
      </w:r>
      <w:r w:rsidR="00596015">
        <w:rPr>
          <w:rFonts w:asciiTheme="majorHAnsi" w:hAnsiTheme="majorHAnsi"/>
        </w:rPr>
        <w:t xml:space="preserve"> (high value contracts)</w:t>
      </w:r>
      <w:r w:rsidR="002B5F9F" w:rsidRPr="00601B15">
        <w:rPr>
          <w:rFonts w:asciiTheme="majorHAnsi" w:hAnsiTheme="majorHAnsi"/>
        </w:rPr>
        <w:t xml:space="preserve">, </w:t>
      </w:r>
      <w:r w:rsidR="00596015">
        <w:rPr>
          <w:rFonts w:asciiTheme="majorHAnsi" w:hAnsiTheme="majorHAnsi" w:cs="Arial"/>
        </w:rPr>
        <w:t>that are subject to mandatory minimum requirements (MMR) under the Indigenous Procurement Policy (IPP)</w:t>
      </w:r>
      <w:r w:rsidR="00D35AC2">
        <w:rPr>
          <w:rFonts w:asciiTheme="majorHAnsi" w:hAnsiTheme="majorHAnsi" w:cs="Arial"/>
        </w:rPr>
        <w:t>.</w:t>
      </w:r>
      <w:r w:rsidR="00596015" w:rsidRPr="00E83B3E">
        <w:rPr>
          <w:rFonts w:asciiTheme="majorHAnsi" w:hAnsiTheme="majorHAnsi"/>
        </w:rPr>
        <w:t xml:space="preserve"> </w:t>
      </w:r>
    </w:p>
    <w:p w:rsidR="00596015" w:rsidRPr="00E83B3E" w:rsidRDefault="00596015" w:rsidP="00596015">
      <w:pPr>
        <w:pStyle w:val="EmphasisPanelBody"/>
        <w:rPr>
          <w:rFonts w:asciiTheme="majorHAnsi" w:hAnsiTheme="majorHAnsi"/>
        </w:rPr>
      </w:pPr>
      <w:r w:rsidRPr="00E83B3E">
        <w:rPr>
          <w:rFonts w:asciiTheme="majorHAnsi" w:hAnsiTheme="majorHAnsi"/>
        </w:rPr>
        <w:t xml:space="preserve">This is </w:t>
      </w:r>
      <w:r>
        <w:rPr>
          <w:rFonts w:asciiTheme="majorHAnsi" w:hAnsiTheme="majorHAnsi"/>
        </w:rPr>
        <w:t xml:space="preserve">one </w:t>
      </w:r>
      <w:r w:rsidRPr="00E83B3E">
        <w:rPr>
          <w:rFonts w:asciiTheme="majorHAnsi" w:hAnsiTheme="majorHAnsi"/>
        </w:rPr>
        <w:t>of several guidance documents designed to su</w:t>
      </w:r>
      <w:r w:rsidR="00534478">
        <w:rPr>
          <w:rFonts w:asciiTheme="majorHAnsi" w:hAnsiTheme="majorHAnsi"/>
        </w:rPr>
        <w:t>pport the application of MMR</w:t>
      </w:r>
      <w:r w:rsidRPr="00E83B3E">
        <w:rPr>
          <w:rFonts w:asciiTheme="majorHAnsi" w:hAnsiTheme="majorHAnsi"/>
        </w:rPr>
        <w:t xml:space="preserve"> </w:t>
      </w:r>
      <w:r>
        <w:rPr>
          <w:rFonts w:asciiTheme="majorHAnsi" w:hAnsiTheme="majorHAnsi"/>
        </w:rPr>
        <w:t>at each stage</w:t>
      </w:r>
      <w:r w:rsidRPr="00E83B3E">
        <w:rPr>
          <w:rFonts w:asciiTheme="majorHAnsi" w:hAnsiTheme="majorHAnsi"/>
        </w:rPr>
        <w:t xml:space="preserve"> of the procurement life-cycle. </w:t>
      </w:r>
    </w:p>
    <w:p w:rsidR="002B5F9F" w:rsidRDefault="00596015" w:rsidP="00AA586A">
      <w:pPr>
        <w:pStyle w:val="EmphasisPanelBody"/>
      </w:pPr>
      <w:r w:rsidRPr="00E83B3E">
        <w:rPr>
          <w:rFonts w:asciiTheme="majorHAnsi" w:hAnsiTheme="majorHAnsi"/>
        </w:rPr>
        <w:t>These documents should be read in conjunction with the Indigenous Procurement Policy</w:t>
      </w:r>
      <w:r w:rsidR="00081D44">
        <w:rPr>
          <w:rFonts w:asciiTheme="majorHAnsi" w:hAnsiTheme="majorHAnsi"/>
        </w:rPr>
        <w:t xml:space="preserve">.  </w:t>
      </w:r>
      <w:r w:rsidR="00601B15" w:rsidRPr="00601B15">
        <w:rPr>
          <w:rFonts w:asciiTheme="majorHAnsi" w:hAnsiTheme="majorHAnsi"/>
        </w:rPr>
        <w:t xml:space="preserve">Further information is available on the </w:t>
      </w:r>
      <w:hyperlink r:id="rId13" w:history="1">
        <w:r w:rsidR="00601B15" w:rsidRPr="00601B15">
          <w:rPr>
            <w:rStyle w:val="Hyperlink"/>
            <w:rFonts w:asciiTheme="majorHAnsi" w:hAnsiTheme="majorHAnsi"/>
          </w:rPr>
          <w:t>NIAA website</w:t>
        </w:r>
      </w:hyperlink>
      <w:r w:rsidR="00D35AC2">
        <w:t>.</w:t>
      </w:r>
    </w:p>
    <w:p w:rsidR="00D21E6C" w:rsidRDefault="00D21E6C" w:rsidP="00AA586A">
      <w:pPr>
        <w:pStyle w:val="EmphasisPanelBody"/>
      </w:pPr>
      <w:r>
        <w:rPr>
          <w:rFonts w:asciiTheme="majorHAnsi" w:hAnsiTheme="majorHAnsi"/>
          <w:color w:val="auto"/>
        </w:rPr>
        <w:t>Please note: The NIAA is unable to provide information or advice on how to respond to a particular approach to market. This document should be treated as general guidance only. All questions related to an approach to market must be directed to the contact person listed in the documentation</w:t>
      </w:r>
    </w:p>
    <w:p w:rsidR="002C6252" w:rsidRDefault="002C6252" w:rsidP="002C6252">
      <w:pPr>
        <w:pStyle w:val="Heading3"/>
      </w:pPr>
      <w:bookmarkStart w:id="13" w:name="_Toc40360921"/>
      <w:bookmarkStart w:id="14" w:name="_Toc40784555"/>
      <w:bookmarkStart w:id="15" w:name="_Toc43294821"/>
      <w:bookmarkStart w:id="16" w:name="_Toc43296659"/>
      <w:bookmarkStart w:id="17" w:name="_Toc43299837"/>
      <w:bookmarkStart w:id="18" w:name="_Toc43385048"/>
      <w:r>
        <w:t>IPP Policy Framework</w:t>
      </w:r>
      <w:bookmarkEnd w:id="13"/>
      <w:bookmarkEnd w:id="14"/>
      <w:bookmarkEnd w:id="15"/>
      <w:bookmarkEnd w:id="16"/>
      <w:bookmarkEnd w:id="17"/>
      <w:bookmarkEnd w:id="18"/>
    </w:p>
    <w:p w:rsidR="007F6150" w:rsidRPr="007F6150" w:rsidRDefault="007F6150" w:rsidP="007F6150">
      <w:pPr>
        <w:pStyle w:val="BodyText"/>
      </w:pPr>
    </w:p>
    <w:p w:rsidR="00AA586A" w:rsidRPr="002C6252" w:rsidRDefault="002C6252" w:rsidP="00D17C60">
      <w:pPr>
        <w:rPr>
          <w:b/>
        </w:rPr>
      </w:pPr>
      <w:r>
        <w:rPr>
          <w:noProof/>
          <w:lang w:eastAsia="en-AU"/>
        </w:rPr>
        <mc:AlternateContent>
          <mc:Choice Requires="wps">
            <w:drawing>
              <wp:anchor distT="0" distB="0" distL="114300" distR="114300" simplePos="0" relativeHeight="251658752" behindDoc="0" locked="0" layoutInCell="1" allowOverlap="1" wp14:anchorId="01C87501" wp14:editId="023D51B4">
                <wp:simplePos x="0" y="0"/>
                <wp:positionH relativeFrom="column">
                  <wp:posOffset>0</wp:posOffset>
                </wp:positionH>
                <wp:positionV relativeFrom="paragraph">
                  <wp:posOffset>-635</wp:posOffset>
                </wp:positionV>
                <wp:extent cx="5819775" cy="5238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58197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5502" w:rsidRPr="002C6252" w:rsidRDefault="00CF5502" w:rsidP="002C6252">
                            <w:pPr>
                              <w:jc w:val="center"/>
                              <w:rPr>
                                <w:color w:val="FFFFFF" w:themeColor="background1"/>
                                <w:sz w:val="36"/>
                                <w:szCs w:val="36"/>
                              </w:rPr>
                            </w:pPr>
                            <w:r w:rsidRPr="002C6252">
                              <w:rPr>
                                <w:color w:val="FFFFFF" w:themeColor="background1"/>
                                <w:sz w:val="36"/>
                                <w:szCs w:val="36"/>
                              </w:rPr>
                              <w:t xml:space="preserve">Indigenous Procurement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C87501" id="Rounded Rectangle 26" o:spid="_x0000_s1026" style="position:absolute;margin-left:0;margin-top:-.05pt;width:458.25pt;height:41.2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d2gwIAAFMFAAAOAAAAZHJzL2Uyb0RvYy54bWysVE1v2zAMvQ/YfxB0X51kTT+COkXQosOA&#10;oivaDj0rshQbkESNUmJnv36U7LhFW+wwLAeFEslH8pnkxWVnDdspDA24kk+PJpwpJ6Fq3KbkP59u&#10;vpxxFqJwlTDgVMn3KvDL5edPF61fqBnUYCqFjEBcWLS+5HWMflEUQdbKinAEXjlSakArIl1xU1Qo&#10;WkK3pphNJidFC1h5BKlCoNfrXsmXGV9rJeMPrYOKzJSccov5xHyu01ksL8Rig8LXjRzSEP+QhRWN&#10;o6Aj1LWIgm2xeQdlG4kQQMcjCbYArRupcg1UzXTypprHWniVayFygh9pCv8PVt7t7pE1VclnJ5w5&#10;YekbPcDWVapiD8SecBujGOmIqNaHBdk/+nscboHEVHWn0aZ/qod1mdz9SK7qIpP0OD+bnp+ezjmT&#10;pJvPvp6RTDDFi7fHEL8psCwJJceURsohEyt2tyH29gc7ck4p9UlkKe6NSnkY96A0VUVhZ9k795O6&#10;Msh2gjpBSKlcnPaqWlSqf55P6DckNXrkFDNgQtaNMSP2AJB69T12n+tgn1xVbsfRefK3xHrn0SNH&#10;BhdHZ9s4wI8ADFU1RO7tDyT11CSWYrfuyCSJa6j29PkR+rkIXt40xP2tCPFeIA0CjQwNd/xBhzbQ&#10;lhwGibMa8PdH78me+pO0nLU0WCUPv7YCFWfmu6POPZ8eH6dJzJfj+emMLvhas36tcVt7BfTFprRG&#10;vMxiso/mIGoE+0w7YJWikko4SbFLLiMeLlexH3jaIlKtVtmMps+LeOsevUzgieDUVk/ds0A/NGCk&#10;1r2DwxCKxZsW7G2Tp4PVNoJucn++8DpQT5Obe2jYMmk1vL5nq5dduPwDAAD//wMAUEsDBBQABgAI&#10;AAAAIQAQk4Ru2gAAAAUBAAAPAAAAZHJzL2Rvd25yZXYueG1sTI8xT8MwFIR3JP6D9ZDYWieFViHk&#10;pSpUnZgILN1e4kcciO0odlvz7zETjKc73X1XbaMZxZlnPziLkC8zEGw7pwbbI7y/HRYFCB/IKhqd&#10;ZYRv9rCtr68qKpW72Fc+N6EXqcT6khB0CFMppe80G/JLN7FN3oebDYUk516qmS6p3IxylWUbaWiw&#10;aUHTxM+au6/mZBCMuov7T9od+VA0T8d1fNnPukW8vYm7RxCBY/gLwy9+Qoc6MbXuZJUXI0I6EhAW&#10;OYhkPuSbNYgWoVjdg6wr+Z++/gEAAP//AwBQSwECLQAUAAYACAAAACEAtoM4kv4AAADhAQAAEwAA&#10;AAAAAAAAAAAAAAAAAAAAW0NvbnRlbnRfVHlwZXNdLnhtbFBLAQItABQABgAIAAAAIQA4/SH/1gAA&#10;AJQBAAALAAAAAAAAAAAAAAAAAC8BAABfcmVscy8ucmVsc1BLAQItABQABgAIAAAAIQDul8d2gwIA&#10;AFMFAAAOAAAAAAAAAAAAAAAAAC4CAABkcnMvZTJvRG9jLnhtbFBLAQItABQABgAIAAAAIQAQk4Ru&#10;2gAAAAUBAAAPAAAAAAAAAAAAAAAAAN0EAABkcnMvZG93bnJldi54bWxQSwUGAAAAAAQABADzAAAA&#10;5AUAAAAA&#10;" fillcolor="#25303b [3204]" strokecolor="#12171d [1604]" strokeweight="1pt">
                <v:stroke joinstyle="miter"/>
                <v:textbox>
                  <w:txbxContent>
                    <w:p w:rsidR="00CF5502" w:rsidRPr="002C6252" w:rsidRDefault="00CF5502" w:rsidP="002C6252">
                      <w:pPr>
                        <w:jc w:val="center"/>
                        <w:rPr>
                          <w:color w:val="FFFFFF" w:themeColor="background1"/>
                          <w:sz w:val="36"/>
                          <w:szCs w:val="36"/>
                        </w:rPr>
                      </w:pPr>
                      <w:r w:rsidRPr="002C6252">
                        <w:rPr>
                          <w:color w:val="FFFFFF" w:themeColor="background1"/>
                          <w:sz w:val="36"/>
                          <w:szCs w:val="36"/>
                        </w:rPr>
                        <w:t xml:space="preserve">Indigenous Procurement Policy </w:t>
                      </w:r>
                    </w:p>
                  </w:txbxContent>
                </v:textbox>
              </v:roundrect>
            </w:pict>
          </mc:Fallback>
        </mc:AlternateContent>
      </w:r>
    </w:p>
    <w:p w:rsidR="002C6252" w:rsidRDefault="002C6252" w:rsidP="00D17C60"/>
    <w:p w:rsidR="002C6252" w:rsidRDefault="002C6252" w:rsidP="00D17C60"/>
    <w:p w:rsidR="002B5F9F" w:rsidRDefault="00596015" w:rsidP="00D35AC2">
      <w:pPr>
        <w:tabs>
          <w:tab w:val="left" w:pos="8078"/>
        </w:tabs>
      </w:pPr>
      <w:r>
        <w:tab/>
      </w:r>
      <w:r w:rsidR="002B5F9F">
        <w:rPr>
          <w:noProof/>
          <w:lang w:eastAsia="en-AU"/>
        </w:rPr>
        <w:drawing>
          <wp:inline distT="0" distB="0" distL="0" distR="0" wp14:anchorId="05740B90" wp14:editId="63EFF79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C6252" w:rsidRDefault="002B5F9F" w:rsidP="003218DC">
      <w:pPr>
        <w:tabs>
          <w:tab w:val="left" w:pos="1415"/>
        </w:tabs>
      </w:pPr>
      <w:r>
        <w:tab/>
      </w:r>
    </w:p>
    <w:p w:rsidR="00186051" w:rsidRDefault="00186051" w:rsidP="00186051">
      <w:pPr>
        <w:pStyle w:val="Heading2"/>
      </w:pPr>
      <w:bookmarkStart w:id="19" w:name="_Toc40360922"/>
      <w:bookmarkStart w:id="20" w:name="_Toc40784556"/>
      <w:bookmarkStart w:id="21" w:name="_Toc43294822"/>
      <w:bookmarkStart w:id="22" w:name="_Toc43296660"/>
      <w:bookmarkStart w:id="23" w:name="_Toc43299838"/>
      <w:bookmarkStart w:id="24" w:name="_Toc43385049"/>
      <w:r>
        <w:lastRenderedPageBreak/>
        <w:t>Table of contents</w:t>
      </w:r>
      <w:bookmarkEnd w:id="19"/>
      <w:bookmarkEnd w:id="20"/>
      <w:bookmarkEnd w:id="21"/>
      <w:bookmarkEnd w:id="22"/>
      <w:bookmarkEnd w:id="23"/>
      <w:bookmarkEnd w:id="24"/>
      <w:r>
        <w:t xml:space="preserve"> </w:t>
      </w:r>
    </w:p>
    <w:sdt>
      <w:sdtPr>
        <w:rPr>
          <w:rFonts w:asciiTheme="minorHAnsi" w:eastAsiaTheme="minorHAnsi" w:hAnsiTheme="minorHAnsi" w:cstheme="minorBidi"/>
          <w:color w:val="262626" w:themeColor="text1" w:themeTint="D9"/>
          <w:sz w:val="20"/>
          <w:szCs w:val="20"/>
          <w:lang w:val="en-AU"/>
        </w:rPr>
        <w:id w:val="-1727129540"/>
        <w:docPartObj>
          <w:docPartGallery w:val="Table of Contents"/>
          <w:docPartUnique/>
        </w:docPartObj>
      </w:sdtPr>
      <w:sdtEndPr>
        <w:rPr>
          <w:rFonts w:asciiTheme="majorHAnsi" w:hAnsiTheme="majorHAnsi"/>
          <w:b/>
          <w:bCs/>
          <w:noProof/>
        </w:rPr>
      </w:sdtEndPr>
      <w:sdtContent>
        <w:p w:rsidR="00CA13A5" w:rsidRDefault="00CA13A5">
          <w:pPr>
            <w:pStyle w:val="TOCHeading"/>
          </w:pPr>
          <w:r>
            <w:t>Contents</w:t>
          </w:r>
        </w:p>
        <w:p w:rsidR="00534478" w:rsidRPr="00534478" w:rsidRDefault="00CA13A5" w:rsidP="00534478">
          <w:pPr>
            <w:pStyle w:val="TOC1"/>
            <w:rPr>
              <w:rFonts w:asciiTheme="majorHAnsi" w:eastAsiaTheme="minorEastAsia" w:hAnsiTheme="majorHAnsi"/>
              <w:noProof/>
              <w:color w:val="auto"/>
              <w:sz w:val="22"/>
              <w:szCs w:val="22"/>
              <w:lang w:eastAsia="en-AU"/>
            </w:rPr>
          </w:pPr>
          <w:r w:rsidRPr="009A47B6">
            <w:rPr>
              <w:rFonts w:asciiTheme="majorHAnsi" w:hAnsiTheme="majorHAnsi"/>
            </w:rPr>
            <w:fldChar w:fldCharType="begin"/>
          </w:r>
          <w:r w:rsidRPr="009A47B6">
            <w:rPr>
              <w:rFonts w:asciiTheme="majorHAnsi" w:hAnsiTheme="majorHAnsi"/>
            </w:rPr>
            <w:instrText xml:space="preserve"> TOC \o "1-3" \h \z \u </w:instrText>
          </w:r>
          <w:r w:rsidRPr="009A47B6">
            <w:rPr>
              <w:rFonts w:asciiTheme="majorHAnsi" w:hAnsiTheme="majorHAnsi"/>
            </w:rPr>
            <w:fldChar w:fldCharType="separate"/>
          </w:r>
        </w:p>
        <w:p w:rsidR="00534478" w:rsidRPr="00534478" w:rsidRDefault="004E6E7B">
          <w:pPr>
            <w:pStyle w:val="TOC2"/>
            <w:rPr>
              <w:rFonts w:asciiTheme="majorHAnsi" w:eastAsiaTheme="minorEastAsia" w:hAnsiTheme="majorHAnsi"/>
              <w:noProof/>
              <w:color w:val="auto"/>
              <w:sz w:val="22"/>
              <w:szCs w:val="22"/>
              <w:lang w:eastAsia="en-AU"/>
            </w:rPr>
          </w:pPr>
          <w:hyperlink w:anchor="_Toc43385050" w:history="1">
            <w:r w:rsidR="00534478" w:rsidRPr="00534478">
              <w:rPr>
                <w:rStyle w:val="Hyperlink"/>
                <w:rFonts w:asciiTheme="majorHAnsi" w:hAnsiTheme="majorHAnsi"/>
                <w:noProof/>
              </w:rPr>
              <w:t>Glossary</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_Toc43385050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5</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51" w:history="1">
            <w:r w:rsidR="00534478" w:rsidRPr="00534478">
              <w:rPr>
                <w:rStyle w:val="Hyperlink"/>
                <w:rFonts w:asciiTheme="majorHAnsi" w:hAnsiTheme="majorHAnsi"/>
                <w:noProof/>
              </w:rPr>
              <w:t>1.0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The Indigenous Procurement Policy (IPP)</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_Toc43385051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8</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52" w:history="1">
            <w:r w:rsidR="00534478" w:rsidRPr="00534478">
              <w:rPr>
                <w:rStyle w:val="Hyperlink"/>
                <w:rFonts w:asciiTheme="majorHAnsi" w:hAnsiTheme="majorHAnsi"/>
                <w:noProof/>
              </w:rPr>
              <w:t>2.0 Mandatory Minimum Indigenous Participation Requirements (MMR)</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_Toc43385052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8</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53" w:history="1">
            <w:r w:rsidR="00534478" w:rsidRPr="00534478">
              <w:rPr>
                <w:rStyle w:val="Hyperlink"/>
                <w:rFonts w:asciiTheme="majorHAnsi" w:hAnsiTheme="majorHAnsi"/>
                <w:noProof/>
              </w:rPr>
              <w:t>3.0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MMR Targets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_Toc43385053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10</w:t>
            </w:r>
            <w:r w:rsidR="00534478" w:rsidRPr="00534478">
              <w:rPr>
                <w:rFonts w:asciiTheme="majorHAnsi" w:hAnsiTheme="majorHAnsi"/>
                <w:noProof/>
                <w:webHidden/>
              </w:rPr>
              <w:fldChar w:fldCharType="end"/>
            </w:r>
          </w:hyperlink>
        </w:p>
        <w:p w:rsidR="00534478" w:rsidRPr="00534478" w:rsidRDefault="004E6E7B">
          <w:pPr>
            <w:pStyle w:val="TOC3"/>
            <w:tabs>
              <w:tab w:val="left" w:pos="880"/>
            </w:tabs>
            <w:rPr>
              <w:rFonts w:asciiTheme="majorHAnsi" w:eastAsiaTheme="minorEastAsia" w:hAnsiTheme="majorHAnsi"/>
              <w:noProof/>
              <w:color w:val="auto"/>
              <w:sz w:val="22"/>
              <w:szCs w:val="22"/>
              <w:lang w:eastAsia="en-AU"/>
            </w:rPr>
          </w:pPr>
          <w:hyperlink w:anchor="_Toc43385054" w:history="1">
            <w:r w:rsidR="00534478" w:rsidRPr="00534478">
              <w:rPr>
                <w:rStyle w:val="Hyperlink"/>
                <w:rFonts w:asciiTheme="majorHAnsi" w:hAnsiTheme="majorHAnsi"/>
                <w:noProof/>
              </w:rPr>
              <w:t>3.1</w:t>
            </w:r>
            <w:r w:rsidR="00014F31">
              <w:rPr>
                <w:rFonts w:asciiTheme="majorHAnsi" w:eastAsiaTheme="minorEastAsia" w:hAnsiTheme="majorHAnsi"/>
                <w:noProof/>
                <w:color w:val="auto"/>
                <w:sz w:val="22"/>
                <w:szCs w:val="22"/>
                <w:lang w:eastAsia="en-AU"/>
              </w:rPr>
              <w:t xml:space="preserve"> </w:t>
            </w:r>
            <w:r w:rsidR="00534478" w:rsidRPr="00534478">
              <w:rPr>
                <w:rStyle w:val="Hyperlink"/>
                <w:rFonts w:asciiTheme="majorHAnsi" w:hAnsiTheme="majorHAnsi"/>
                <w:noProof/>
              </w:rPr>
              <w:t>Minimum targets in remote procurements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_Toc43385054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11</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55" w:history="1">
            <w:r w:rsidR="00534478" w:rsidRPr="00534478">
              <w:rPr>
                <w:rStyle w:val="Hyperlink"/>
                <w:rFonts w:asciiTheme="majorHAnsi" w:hAnsiTheme="majorHAnsi"/>
                <w:noProof/>
              </w:rPr>
              <w:t>3.2 Minimum targets for non-remote procurements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_Toc43385055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12</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56" w:history="1">
            <w:r w:rsidR="00534478" w:rsidRPr="00534478">
              <w:rPr>
                <w:rStyle w:val="Hyperlink"/>
                <w:rFonts w:asciiTheme="majorHAnsi" w:hAnsiTheme="majorHAnsi"/>
                <w:noProof/>
              </w:rPr>
              <w:t>3.3 Counting employment and supply-use against targets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_Toc43385056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13</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57" w:history="1">
            <w:r w:rsidR="00534478" w:rsidRPr="00534478">
              <w:rPr>
                <w:rStyle w:val="Hyperlink"/>
                <w:rFonts w:asciiTheme="majorHAnsi" w:hAnsiTheme="majorHAnsi"/>
                <w:noProof/>
              </w:rPr>
              <w:t>4.0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Preparing submission documents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_Toc43385057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13</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58" w:history="1">
            <w:r w:rsidR="00534478" w:rsidRPr="00534478">
              <w:rPr>
                <w:rStyle w:val="Hyperlink"/>
                <w:rFonts w:asciiTheme="majorHAnsi" w:hAnsiTheme="majorHAnsi"/>
                <w:noProof/>
              </w:rPr>
              <w:t>4.1 Approach to Market</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_Toc43385058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13</w:t>
            </w:r>
            <w:r w:rsidR="00534478" w:rsidRPr="00534478">
              <w:rPr>
                <w:rFonts w:asciiTheme="majorHAnsi" w:hAnsiTheme="majorHAnsi"/>
                <w:noProof/>
                <w:webHidden/>
              </w:rPr>
              <w:fldChar w:fldCharType="end"/>
            </w:r>
          </w:hyperlink>
        </w:p>
        <w:p w:rsidR="00534478" w:rsidRPr="00534478" w:rsidRDefault="004E6E7B">
          <w:pPr>
            <w:pStyle w:val="TOC3"/>
            <w:tabs>
              <w:tab w:val="left" w:pos="880"/>
            </w:tabs>
            <w:rPr>
              <w:rFonts w:asciiTheme="majorHAnsi" w:eastAsiaTheme="minorEastAsia" w:hAnsiTheme="majorHAnsi"/>
              <w:noProof/>
              <w:color w:val="auto"/>
              <w:sz w:val="22"/>
              <w:szCs w:val="22"/>
              <w:lang w:eastAsia="en-AU"/>
            </w:rPr>
          </w:pPr>
          <w:hyperlink w:anchor="_Toc43385059" w:history="1">
            <w:r w:rsidR="00534478" w:rsidRPr="00534478">
              <w:rPr>
                <w:rStyle w:val="Hyperlink"/>
                <w:rFonts w:asciiTheme="majorHAnsi" w:hAnsiTheme="majorHAnsi"/>
                <w:noProof/>
              </w:rPr>
              <w:t>4.2</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Model clauses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_Toc43385059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14</w:t>
            </w:r>
            <w:r w:rsidR="00534478" w:rsidRPr="00534478">
              <w:rPr>
                <w:rFonts w:asciiTheme="majorHAnsi" w:hAnsiTheme="majorHAnsi"/>
                <w:noProof/>
                <w:webHidden/>
              </w:rPr>
              <w:fldChar w:fldCharType="end"/>
            </w:r>
          </w:hyperlink>
        </w:p>
        <w:p w:rsidR="00534478" w:rsidRPr="00534478" w:rsidRDefault="004E6E7B">
          <w:pPr>
            <w:pStyle w:val="TOC3"/>
            <w:tabs>
              <w:tab w:val="left" w:pos="880"/>
            </w:tabs>
            <w:rPr>
              <w:rFonts w:asciiTheme="majorHAnsi" w:eastAsiaTheme="minorEastAsia" w:hAnsiTheme="majorHAnsi"/>
              <w:noProof/>
              <w:color w:val="auto"/>
              <w:sz w:val="22"/>
              <w:szCs w:val="22"/>
              <w:lang w:eastAsia="en-AU"/>
            </w:rPr>
          </w:pPr>
          <w:hyperlink w:anchor="_Toc43385060" w:history="1">
            <w:r w:rsidR="00534478" w:rsidRPr="00534478">
              <w:rPr>
                <w:rStyle w:val="Hyperlink"/>
                <w:rFonts w:asciiTheme="majorHAnsi" w:hAnsiTheme="majorHAnsi"/>
                <w:noProof/>
              </w:rPr>
              <w:t>4.3</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Indigenous Participation Plan</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_Toc43385060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14</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61" w:history="1">
            <w:r w:rsidR="00534478" w:rsidRPr="00534478">
              <w:rPr>
                <w:rStyle w:val="Hyperlink"/>
                <w:rFonts w:asciiTheme="majorHAnsi" w:hAnsiTheme="majorHAnsi"/>
                <w:noProof/>
              </w:rPr>
              <w:t>4.4 Current levels of Indigenous participation</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_Toc43385061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16</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62" w:history="1">
            <w:r w:rsidR="00534478" w:rsidRPr="00534478">
              <w:rPr>
                <w:rStyle w:val="Hyperlink"/>
                <w:rFonts w:asciiTheme="majorHAnsi" w:hAnsiTheme="majorHAnsi"/>
                <w:noProof/>
              </w:rPr>
              <w:t>4.5 Compliance history</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_Toc43385062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17</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63" w:history="1">
            <w:r w:rsidR="00534478" w:rsidRPr="00534478">
              <w:rPr>
                <w:rStyle w:val="Hyperlink"/>
                <w:rFonts w:asciiTheme="majorHAnsi" w:hAnsiTheme="majorHAnsi"/>
                <w:noProof/>
              </w:rPr>
              <w:t>5.0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Contracting</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_Toc43385063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17</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64" w:history="1">
            <w:r w:rsidR="00534478" w:rsidRPr="00534478">
              <w:rPr>
                <w:rStyle w:val="Hyperlink"/>
                <w:rFonts w:asciiTheme="majorHAnsi" w:hAnsiTheme="majorHAnsi"/>
                <w:noProof/>
              </w:rPr>
              <w:t>5.1 Successful Tenderers - Contract Negotiations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_Toc43385064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17</w:t>
            </w:r>
            <w:r w:rsidR="00534478" w:rsidRPr="00534478">
              <w:rPr>
                <w:rFonts w:asciiTheme="majorHAnsi" w:hAnsiTheme="majorHAnsi"/>
                <w:noProof/>
                <w:webHidden/>
              </w:rPr>
              <w:fldChar w:fldCharType="end"/>
            </w:r>
          </w:hyperlink>
        </w:p>
        <w:p w:rsidR="00534478" w:rsidRPr="00534478" w:rsidRDefault="004E6E7B">
          <w:pPr>
            <w:pStyle w:val="TOC3"/>
            <w:tabs>
              <w:tab w:val="left" w:pos="880"/>
            </w:tabs>
            <w:rPr>
              <w:rFonts w:asciiTheme="majorHAnsi" w:eastAsiaTheme="minorEastAsia" w:hAnsiTheme="majorHAnsi"/>
              <w:noProof/>
              <w:color w:val="auto"/>
              <w:sz w:val="22"/>
              <w:szCs w:val="22"/>
              <w:lang w:eastAsia="en-AU"/>
            </w:rPr>
          </w:pPr>
          <w:hyperlink w:anchor="_Toc43385065" w:history="1">
            <w:r w:rsidR="00534478" w:rsidRPr="00534478">
              <w:rPr>
                <w:rStyle w:val="Hyperlink"/>
                <w:rFonts w:asciiTheme="majorHAnsi" w:hAnsiTheme="majorHAnsi"/>
                <w:noProof/>
              </w:rPr>
              <w:t>5.2</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Reporting progress against targets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_Toc43385065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18</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66" w:history="1">
            <w:r w:rsidR="00534478" w:rsidRPr="00534478">
              <w:rPr>
                <w:rStyle w:val="Hyperlink"/>
                <w:rFonts w:asciiTheme="majorHAnsi" w:hAnsiTheme="majorHAnsi"/>
                <w:noProof/>
                <w:bdr w:val="none" w:sz="0" w:space="0" w:color="auto" w:frame="1"/>
                <w:lang w:val="en" w:eastAsia="en-AU"/>
              </w:rPr>
              <w:t>6.0 Records Management</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_Toc43385066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20</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67" w:history="1">
            <w:r w:rsidR="00534478" w:rsidRPr="00534478">
              <w:rPr>
                <w:rStyle w:val="Hyperlink"/>
                <w:rFonts w:asciiTheme="majorHAnsi" w:hAnsiTheme="majorHAnsi"/>
                <w:noProof/>
              </w:rPr>
              <w:t>7.0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Achieving MMR targets - Indigenous employment</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_Toc43385067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21</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68" w:history="1">
            <w:r w:rsidR="00534478" w:rsidRPr="00534478">
              <w:rPr>
                <w:rStyle w:val="Hyperlink"/>
                <w:rFonts w:asciiTheme="majorHAnsi" w:hAnsiTheme="majorHAnsi"/>
                <w:noProof/>
                <w:lang w:val="en-US" w:eastAsia="en-AU"/>
              </w:rPr>
              <w:t>7.1 Commonwealth employment services and post-placement support for Indigenous employees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_Toc43385068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21</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69" w:history="1">
            <w:r w:rsidR="00534478" w:rsidRPr="00534478">
              <w:rPr>
                <w:rStyle w:val="Hyperlink"/>
                <w:rFonts w:asciiTheme="majorHAnsi" w:hAnsiTheme="majorHAnsi"/>
                <w:noProof/>
                <w:lang w:val="en-US" w:eastAsia="en-AU"/>
              </w:rPr>
              <w:t>7.2 State and territory government employment programs and services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_Toc43385069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22</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70" w:history="1">
            <w:r w:rsidR="00534478" w:rsidRPr="00534478">
              <w:rPr>
                <w:rStyle w:val="Hyperlink"/>
                <w:rFonts w:asciiTheme="majorHAnsi" w:hAnsiTheme="majorHAnsi"/>
                <w:noProof/>
              </w:rPr>
              <w:t>7.3 Apprenticeships and Group Training Organisations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_Toc43385070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22</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71" w:history="1">
            <w:r w:rsidR="00534478" w:rsidRPr="00534478">
              <w:rPr>
                <w:rStyle w:val="Hyperlink"/>
                <w:rFonts w:asciiTheme="majorHAnsi" w:hAnsiTheme="majorHAnsi"/>
                <w:noProof/>
              </w:rPr>
              <w:t>7.4 Compliance with anti-discrimination legislation</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_Toc43385071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23</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72" w:history="1">
            <w:r w:rsidR="00534478" w:rsidRPr="00534478">
              <w:rPr>
                <w:rStyle w:val="Hyperlink"/>
                <w:rFonts w:asciiTheme="majorHAnsi" w:hAnsiTheme="majorHAnsi"/>
                <w:noProof/>
              </w:rPr>
              <w:t>7.5 Verification of Indigeneity</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_Toc43385072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23</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73" w:history="1">
            <w:r w:rsidR="00534478" w:rsidRPr="00534478">
              <w:rPr>
                <w:rStyle w:val="Hyperlink"/>
                <w:rFonts w:asciiTheme="majorHAnsi" w:hAnsiTheme="majorHAnsi"/>
                <w:noProof/>
              </w:rPr>
              <w:t>8.0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Achieving MMR targets - Indigenous supply chain</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_Toc43385073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23</w:t>
            </w:r>
            <w:r w:rsidR="00534478" w:rsidRPr="00534478">
              <w:rPr>
                <w:rFonts w:asciiTheme="majorHAnsi" w:hAnsiTheme="majorHAnsi"/>
                <w:noProof/>
                <w:webHidden/>
              </w:rPr>
              <w:fldChar w:fldCharType="end"/>
            </w:r>
          </w:hyperlink>
        </w:p>
        <w:p w:rsidR="00534478" w:rsidRPr="00534478" w:rsidRDefault="004E6E7B">
          <w:pPr>
            <w:pStyle w:val="TOC3"/>
            <w:rPr>
              <w:rFonts w:asciiTheme="majorHAnsi" w:eastAsiaTheme="minorEastAsia" w:hAnsiTheme="majorHAnsi"/>
              <w:noProof/>
              <w:color w:val="auto"/>
              <w:sz w:val="22"/>
              <w:szCs w:val="22"/>
              <w:lang w:eastAsia="en-AU"/>
            </w:rPr>
          </w:pPr>
          <w:hyperlink w:anchor="_Toc43385074" w:history="1">
            <w:r w:rsidR="00534478" w:rsidRPr="00534478">
              <w:rPr>
                <w:rStyle w:val="Hyperlink"/>
                <w:rFonts w:asciiTheme="majorHAnsi" w:hAnsiTheme="majorHAnsi"/>
                <w:noProof/>
              </w:rPr>
              <w:t>8.1 Indigenous businesses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_Toc43385074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23</w:t>
            </w:r>
            <w:r w:rsidR="00534478" w:rsidRPr="00534478">
              <w:rPr>
                <w:rFonts w:asciiTheme="majorHAnsi" w:hAnsiTheme="majorHAnsi"/>
                <w:noProof/>
                <w:webHidden/>
              </w:rPr>
              <w:fldChar w:fldCharType="end"/>
            </w:r>
          </w:hyperlink>
        </w:p>
        <w:p w:rsidR="00534478" w:rsidRPr="00534478" w:rsidRDefault="004E6E7B">
          <w:pPr>
            <w:pStyle w:val="TOC2"/>
            <w:rPr>
              <w:rFonts w:asciiTheme="majorHAnsi" w:eastAsiaTheme="minorEastAsia" w:hAnsiTheme="majorHAnsi"/>
              <w:noProof/>
              <w:color w:val="auto"/>
              <w:sz w:val="22"/>
              <w:szCs w:val="22"/>
              <w:lang w:eastAsia="en-AU"/>
            </w:rPr>
          </w:pPr>
          <w:hyperlink w:anchor="_Toc43385075" w:history="1">
            <w:r w:rsidR="00534478" w:rsidRPr="00534478">
              <w:rPr>
                <w:rStyle w:val="Hyperlink"/>
                <w:rFonts w:asciiTheme="majorHAnsi" w:hAnsiTheme="majorHAnsi"/>
                <w:noProof/>
              </w:rPr>
              <w:t>9.0</w:t>
            </w:r>
            <w:r w:rsidR="00534478" w:rsidRPr="00534478">
              <w:rPr>
                <w:rFonts w:asciiTheme="majorHAnsi" w:eastAsiaTheme="minorEastAsia" w:hAnsiTheme="majorHAnsi"/>
                <w:noProof/>
                <w:color w:val="auto"/>
                <w:sz w:val="22"/>
                <w:szCs w:val="22"/>
                <w:lang w:eastAsia="en-AU"/>
              </w:rPr>
              <w:tab/>
            </w:r>
            <w:r w:rsidR="00534478" w:rsidRPr="00534478">
              <w:rPr>
                <w:rStyle w:val="Hyperlink"/>
                <w:rFonts w:asciiTheme="majorHAnsi" w:hAnsiTheme="majorHAnsi"/>
                <w:noProof/>
              </w:rPr>
              <w:t>Contract variations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_Toc43385075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24</w:t>
            </w:r>
            <w:r w:rsidR="00534478" w:rsidRPr="00534478">
              <w:rPr>
                <w:rFonts w:asciiTheme="majorHAnsi" w:hAnsiTheme="majorHAnsi"/>
                <w:noProof/>
                <w:webHidden/>
              </w:rPr>
              <w:fldChar w:fldCharType="end"/>
            </w:r>
          </w:hyperlink>
        </w:p>
        <w:p w:rsidR="00534478" w:rsidRDefault="004E6E7B">
          <w:pPr>
            <w:pStyle w:val="TOC2"/>
            <w:rPr>
              <w:rFonts w:eastAsiaTheme="minorEastAsia"/>
              <w:noProof/>
              <w:color w:val="auto"/>
              <w:sz w:val="22"/>
              <w:szCs w:val="22"/>
              <w:lang w:eastAsia="en-AU"/>
            </w:rPr>
          </w:pPr>
          <w:hyperlink w:anchor="_Toc43385076" w:history="1">
            <w:r w:rsidR="00534478" w:rsidRPr="00534478">
              <w:rPr>
                <w:rStyle w:val="Hyperlink"/>
                <w:rFonts w:asciiTheme="majorHAnsi" w:hAnsiTheme="majorHAnsi"/>
                <w:noProof/>
              </w:rPr>
              <w:t>10.0 Resources</w:t>
            </w:r>
            <w:r w:rsidR="00534478" w:rsidRPr="00534478">
              <w:rPr>
                <w:rFonts w:asciiTheme="majorHAnsi" w:hAnsiTheme="majorHAnsi"/>
                <w:noProof/>
                <w:webHidden/>
              </w:rPr>
              <w:tab/>
            </w:r>
            <w:r w:rsidR="00534478" w:rsidRPr="00534478">
              <w:rPr>
                <w:rFonts w:asciiTheme="majorHAnsi" w:hAnsiTheme="majorHAnsi"/>
                <w:noProof/>
                <w:webHidden/>
              </w:rPr>
              <w:fldChar w:fldCharType="begin"/>
            </w:r>
            <w:r w:rsidR="00534478" w:rsidRPr="00534478">
              <w:rPr>
                <w:rFonts w:asciiTheme="majorHAnsi" w:hAnsiTheme="majorHAnsi"/>
                <w:noProof/>
                <w:webHidden/>
              </w:rPr>
              <w:instrText xml:space="preserve"> PAGEREF _Toc43385076 \h </w:instrText>
            </w:r>
            <w:r w:rsidR="00534478" w:rsidRPr="00534478">
              <w:rPr>
                <w:rFonts w:asciiTheme="majorHAnsi" w:hAnsiTheme="majorHAnsi"/>
                <w:noProof/>
                <w:webHidden/>
              </w:rPr>
            </w:r>
            <w:r w:rsidR="00534478" w:rsidRPr="00534478">
              <w:rPr>
                <w:rFonts w:asciiTheme="majorHAnsi" w:hAnsiTheme="majorHAnsi"/>
                <w:noProof/>
                <w:webHidden/>
              </w:rPr>
              <w:fldChar w:fldCharType="separate"/>
            </w:r>
            <w:r w:rsidR="00622603">
              <w:rPr>
                <w:rFonts w:asciiTheme="majorHAnsi" w:hAnsiTheme="majorHAnsi"/>
                <w:noProof/>
                <w:webHidden/>
              </w:rPr>
              <w:t>25</w:t>
            </w:r>
            <w:r w:rsidR="00534478" w:rsidRPr="00534478">
              <w:rPr>
                <w:rFonts w:asciiTheme="majorHAnsi" w:hAnsiTheme="majorHAnsi"/>
                <w:noProof/>
                <w:webHidden/>
              </w:rPr>
              <w:fldChar w:fldCharType="end"/>
            </w:r>
          </w:hyperlink>
        </w:p>
        <w:p w:rsidR="00CA13A5" w:rsidRPr="009A47B6" w:rsidRDefault="00CA13A5">
          <w:pPr>
            <w:rPr>
              <w:rFonts w:asciiTheme="majorHAnsi" w:hAnsiTheme="majorHAnsi"/>
            </w:rPr>
          </w:pPr>
          <w:r w:rsidRPr="009A47B6">
            <w:rPr>
              <w:rFonts w:asciiTheme="majorHAnsi" w:hAnsiTheme="majorHAnsi"/>
              <w:b/>
              <w:bCs/>
              <w:noProof/>
            </w:rPr>
            <w:fldChar w:fldCharType="end"/>
          </w:r>
        </w:p>
      </w:sdtContent>
    </w:sdt>
    <w:p w:rsidR="00CA13A5" w:rsidRPr="00CA13A5" w:rsidRDefault="00CA13A5" w:rsidP="00CA13A5">
      <w:pPr>
        <w:pStyle w:val="BodyText"/>
      </w:pPr>
    </w:p>
    <w:p w:rsidR="00186051" w:rsidRDefault="00186051">
      <w:r>
        <w:br w:type="page"/>
      </w:r>
    </w:p>
    <w:p w:rsidR="003C7E5E" w:rsidRDefault="003C7E5E" w:rsidP="003C7E5E">
      <w:pPr>
        <w:pStyle w:val="Heading2"/>
      </w:pPr>
      <w:bookmarkStart w:id="25" w:name="_Toc43294823"/>
      <w:bookmarkStart w:id="26" w:name="_Toc43385050"/>
      <w:r>
        <w:lastRenderedPageBreak/>
        <w:t>Glossary</w:t>
      </w:r>
      <w:bookmarkEnd w:id="25"/>
      <w:bookmarkEnd w:id="26"/>
    </w:p>
    <w:p w:rsidR="003C7E5E" w:rsidRPr="00EC4DEF" w:rsidRDefault="003C7E5E" w:rsidP="003C7E5E">
      <w:pPr>
        <w:spacing w:after="200" w:line="276" w:lineRule="auto"/>
        <w:rPr>
          <w:rFonts w:asciiTheme="majorHAnsi" w:hAnsiTheme="majorHAnsi"/>
        </w:rPr>
      </w:pPr>
      <w:r w:rsidRPr="00EC4DEF">
        <w:rPr>
          <w:rFonts w:asciiTheme="majorHAnsi" w:hAnsiTheme="majorHAnsi"/>
        </w:rPr>
        <w:t>The following defined terms are used in this document:</w:t>
      </w:r>
    </w:p>
    <w:p w:rsidR="00081D44" w:rsidRPr="00EC4DEF" w:rsidRDefault="003C7E5E" w:rsidP="00EC4DEF">
      <w:pPr>
        <w:spacing w:after="0"/>
        <w:rPr>
          <w:rFonts w:asciiTheme="majorHAnsi" w:hAnsiTheme="majorHAnsi"/>
        </w:rPr>
      </w:pPr>
      <w:r w:rsidRPr="00EC4DEF">
        <w:rPr>
          <w:rFonts w:asciiTheme="majorHAnsi" w:hAnsiTheme="majorHAnsi"/>
          <w:b/>
        </w:rPr>
        <w:t xml:space="preserve">AusTender </w:t>
      </w:r>
      <w:r w:rsidR="00766F1B" w:rsidRPr="00D73630">
        <w:rPr>
          <w:rFonts w:asciiTheme="majorHAnsi" w:hAnsiTheme="majorHAnsi"/>
        </w:rPr>
        <w:t>is</w:t>
      </w:r>
      <w:r w:rsidR="00766F1B" w:rsidRPr="00EC4DEF">
        <w:rPr>
          <w:rFonts w:asciiTheme="majorHAnsi" w:hAnsiTheme="majorHAnsi"/>
          <w:b/>
        </w:rPr>
        <w:t xml:space="preserve"> </w:t>
      </w:r>
      <w:r w:rsidR="00766F1B" w:rsidRPr="00EC4DEF">
        <w:rPr>
          <w:rFonts w:asciiTheme="majorHAnsi" w:hAnsiTheme="majorHAnsi"/>
        </w:rPr>
        <w:t>the central web-based facility for the publication of Australian Government procurement information, including business opportunities, annual procurement plans and procurement contracts awarded.</w:t>
      </w:r>
    </w:p>
    <w:p w:rsidR="00081D44" w:rsidRPr="00EC4DEF" w:rsidRDefault="003C7E5E" w:rsidP="00081D44">
      <w:pPr>
        <w:spacing w:after="0"/>
        <w:rPr>
          <w:rFonts w:asciiTheme="majorHAnsi" w:hAnsiTheme="majorHAnsi" w:cstheme="minorHAnsi"/>
          <w:color w:val="3B3B3B"/>
          <w:shd w:val="clear" w:color="auto" w:fill="FFFFFF"/>
        </w:rPr>
      </w:pPr>
      <w:r w:rsidRPr="00EC4DEF">
        <w:rPr>
          <w:rFonts w:asciiTheme="majorHAnsi" w:hAnsiTheme="majorHAnsi"/>
          <w:b/>
        </w:rPr>
        <w:t xml:space="preserve">Approach to market </w:t>
      </w:r>
      <w:r w:rsidR="00766F1B" w:rsidRPr="00EC4DEF">
        <w:rPr>
          <w:rFonts w:asciiTheme="majorHAnsi" w:hAnsiTheme="majorHAnsi" w:cstheme="minorHAnsi"/>
        </w:rPr>
        <w:t>is a</w:t>
      </w:r>
      <w:r w:rsidR="00766F1B" w:rsidRPr="00EC4DEF">
        <w:rPr>
          <w:rFonts w:asciiTheme="majorHAnsi" w:hAnsiTheme="majorHAnsi" w:cstheme="minorHAnsi"/>
          <w:color w:val="3B3B3B"/>
          <w:shd w:val="clear" w:color="auto" w:fill="FFFFFF"/>
        </w:rPr>
        <w:t>ny notice inviting potential suppliers to participate in a procurement including, but not limited to a request for tender, quote, expression of interest, application for inclusion on a multi-use list, request for information and request for proposal.</w:t>
      </w:r>
      <w:r w:rsidR="00081D44" w:rsidRPr="00EC4DEF">
        <w:rPr>
          <w:rFonts w:asciiTheme="majorHAnsi" w:hAnsiTheme="majorHAnsi" w:cstheme="minorHAnsi"/>
          <w:color w:val="3B3B3B"/>
          <w:shd w:val="clear" w:color="auto" w:fill="FFFFFF"/>
        </w:rPr>
        <w:t xml:space="preserve"> </w:t>
      </w:r>
    </w:p>
    <w:p w:rsidR="00081D44" w:rsidRPr="00EC4DEF" w:rsidRDefault="003C7E5E" w:rsidP="00081D44">
      <w:pPr>
        <w:spacing w:after="0"/>
        <w:rPr>
          <w:rFonts w:asciiTheme="majorHAnsi" w:hAnsiTheme="majorHAnsi"/>
        </w:rPr>
      </w:pPr>
      <w:r w:rsidRPr="00EC4DEF">
        <w:rPr>
          <w:rFonts w:asciiTheme="majorHAnsi" w:hAnsiTheme="majorHAnsi"/>
          <w:b/>
        </w:rPr>
        <w:t xml:space="preserve">Commonwealth entity </w:t>
      </w:r>
      <w:r w:rsidRPr="00EC4DEF">
        <w:rPr>
          <w:rFonts w:asciiTheme="majorHAnsi" w:hAnsiTheme="majorHAnsi"/>
        </w:rPr>
        <w:t xml:space="preserve">has the same meaning as set out in the </w:t>
      </w:r>
      <w:r w:rsidRPr="00EC4DEF">
        <w:rPr>
          <w:rFonts w:asciiTheme="majorHAnsi" w:hAnsiTheme="majorHAnsi"/>
          <w:i/>
        </w:rPr>
        <w:t xml:space="preserve">Public Governance, Performance and Accountability Act </w:t>
      </w:r>
      <w:r w:rsidR="00766F1B" w:rsidRPr="00EC4DEF">
        <w:rPr>
          <w:rFonts w:asciiTheme="majorHAnsi" w:hAnsiTheme="majorHAnsi"/>
          <w:i/>
        </w:rPr>
        <w:t xml:space="preserve">(PGPA) </w:t>
      </w:r>
      <w:r w:rsidRPr="00EC4DEF">
        <w:rPr>
          <w:rFonts w:asciiTheme="majorHAnsi" w:hAnsiTheme="majorHAnsi"/>
          <w:i/>
        </w:rPr>
        <w:t>2013</w:t>
      </w:r>
      <w:r w:rsidR="00766F1B" w:rsidRPr="00EC4DEF">
        <w:rPr>
          <w:rFonts w:asciiTheme="majorHAnsi" w:hAnsiTheme="majorHAnsi"/>
        </w:rPr>
        <w:t xml:space="preserve">, </w:t>
      </w:r>
      <w:r w:rsidR="00766F1B" w:rsidRPr="00EC4DEF">
        <w:rPr>
          <w:rFonts w:asciiTheme="majorHAnsi" w:hAnsiTheme="majorHAnsi" w:cstheme="minorHAnsi"/>
        </w:rPr>
        <w:t>being</w:t>
      </w:r>
      <w:r w:rsidR="00061B98">
        <w:rPr>
          <w:rFonts w:asciiTheme="majorHAnsi" w:hAnsiTheme="majorHAnsi" w:cstheme="minorHAnsi"/>
        </w:rPr>
        <w:t xml:space="preserve"> </w:t>
      </w:r>
      <w:r w:rsidR="00B806A0">
        <w:rPr>
          <w:rFonts w:asciiTheme="majorHAnsi" w:hAnsiTheme="majorHAnsi" w:cstheme="minorHAnsi"/>
        </w:rPr>
        <w:t>a</w:t>
      </w:r>
      <w:r w:rsidR="00766F1B" w:rsidRPr="00EC4DEF">
        <w:rPr>
          <w:rFonts w:asciiTheme="majorHAnsi" w:hAnsiTheme="majorHAnsi" w:cstheme="minorHAnsi"/>
          <w:color w:val="3B3B3B"/>
          <w:shd w:val="clear" w:color="auto" w:fill="FFFFFF"/>
        </w:rPr>
        <w:t xml:space="preserve"> non-corporate Commonwealth entity or a corporate Commonwealth entity under the PGPA Act, further defined as a Department of State, a Parliamentary Department, a listed entity, or a body corporate established by a Commonwealth law or listed in the PGPA Rule</w:t>
      </w:r>
      <w:r w:rsidR="00081D44" w:rsidRPr="00EC4DEF">
        <w:rPr>
          <w:rFonts w:asciiTheme="majorHAnsi" w:hAnsiTheme="majorHAnsi" w:cstheme="minorHAnsi"/>
          <w:color w:val="3B3B3B"/>
          <w:shd w:val="clear" w:color="auto" w:fill="FFFFFF"/>
        </w:rPr>
        <w:t>.</w:t>
      </w:r>
    </w:p>
    <w:p w:rsidR="00601B15" w:rsidRPr="00EC4DEF" w:rsidRDefault="00601B15" w:rsidP="00EC4DEF">
      <w:pPr>
        <w:pStyle w:val="ListParagraph"/>
        <w:spacing w:after="0" w:line="276" w:lineRule="auto"/>
        <w:ind w:left="0"/>
        <w:rPr>
          <w:rFonts w:asciiTheme="majorHAnsi" w:hAnsiTheme="majorHAnsi"/>
          <w:b/>
        </w:rPr>
      </w:pPr>
      <w:r w:rsidRPr="00EC4DEF">
        <w:rPr>
          <w:rFonts w:asciiTheme="majorHAnsi" w:hAnsiTheme="majorHAnsi"/>
          <w:b/>
        </w:rPr>
        <w:t>Contract</w:t>
      </w:r>
      <w:r w:rsidRPr="00EC4DEF">
        <w:rPr>
          <w:rFonts w:asciiTheme="majorHAnsi" w:hAnsiTheme="majorHAnsi"/>
        </w:rPr>
        <w:t xml:space="preserve"> is an arrangement, as defined by section 23(2) of the PGPA Act, for the procurement of goods and/or services under which relevant money is payable or may become payable. Note: this includes standing offers and panels</w:t>
      </w:r>
      <w:r w:rsidR="00081D44" w:rsidRPr="00EC4DEF">
        <w:rPr>
          <w:rFonts w:asciiTheme="majorHAnsi" w:hAnsiTheme="majorHAnsi"/>
        </w:rPr>
        <w:t>.</w:t>
      </w:r>
    </w:p>
    <w:p w:rsidR="00601B15" w:rsidRPr="00EC4DEF" w:rsidRDefault="00601B15" w:rsidP="00EC4DEF">
      <w:pPr>
        <w:pStyle w:val="ListParagraph"/>
        <w:spacing w:after="0" w:line="276" w:lineRule="auto"/>
        <w:ind w:left="0"/>
        <w:rPr>
          <w:rFonts w:asciiTheme="majorHAnsi" w:hAnsiTheme="majorHAnsi"/>
        </w:rPr>
      </w:pPr>
      <w:r w:rsidRPr="00EC4DEF">
        <w:rPr>
          <w:rFonts w:asciiTheme="majorHAnsi" w:hAnsiTheme="majorHAnsi"/>
          <w:b/>
        </w:rPr>
        <w:t xml:space="preserve">Contract manager </w:t>
      </w:r>
      <w:r w:rsidRPr="00EC4DEF">
        <w:rPr>
          <w:rFonts w:asciiTheme="majorHAnsi" w:hAnsiTheme="majorHAnsi"/>
        </w:rPr>
        <w:t>is responsible for oversight of the contract including compliance, financial aspects and ensuring reporting</w:t>
      </w:r>
      <w:r w:rsidRPr="00EC4DEF">
        <w:rPr>
          <w:rFonts w:asciiTheme="majorHAnsi" w:hAnsiTheme="majorHAnsi"/>
          <w:b/>
        </w:rPr>
        <w:t xml:space="preserve"> </w:t>
      </w:r>
      <w:r w:rsidRPr="00EC4DEF">
        <w:rPr>
          <w:rFonts w:asciiTheme="majorHAnsi" w:hAnsiTheme="majorHAnsi"/>
        </w:rPr>
        <w:t>requirements are met</w:t>
      </w:r>
      <w:r w:rsidR="00081D44" w:rsidRPr="00EC4DEF">
        <w:rPr>
          <w:rFonts w:asciiTheme="majorHAnsi" w:hAnsiTheme="majorHAnsi"/>
        </w:rPr>
        <w:t>.</w:t>
      </w:r>
    </w:p>
    <w:p w:rsidR="004B2ACC" w:rsidRPr="0062445C" w:rsidRDefault="004B2ACC" w:rsidP="004B2ACC">
      <w:pPr>
        <w:pStyle w:val="ListParagraph"/>
        <w:tabs>
          <w:tab w:val="left" w:pos="6521"/>
        </w:tabs>
        <w:spacing w:after="200" w:line="276" w:lineRule="auto"/>
        <w:ind w:left="0"/>
        <w:rPr>
          <w:rFonts w:asciiTheme="majorHAnsi" w:hAnsiTheme="majorHAnsi"/>
        </w:rPr>
      </w:pPr>
      <w:r w:rsidRPr="0062445C">
        <w:rPr>
          <w:rFonts w:asciiTheme="majorHAnsi" w:hAnsiTheme="majorHAnsi"/>
          <w:b/>
        </w:rPr>
        <w:t>Contractor Portal</w:t>
      </w:r>
      <w:r w:rsidRPr="0062445C">
        <w:rPr>
          <w:rFonts w:asciiTheme="majorHAnsi" w:hAnsiTheme="majorHAnsi"/>
        </w:rPr>
        <w:t xml:space="preserve"> means the online reporting system used by suppliers to report their performance against contracts that contain the MMR.  This is the external face of the IPP RS as defined below.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Commonwealth Procurement Rules (CPRs) </w:t>
      </w:r>
      <w:r w:rsidRPr="00EC4DEF">
        <w:rPr>
          <w:rFonts w:asciiTheme="majorHAnsi" w:hAnsiTheme="majorHAnsi"/>
        </w:rPr>
        <w:t xml:space="preserve">mean the rules issued by the Minister for Finance under section 105B (1) of the </w:t>
      </w:r>
      <w:r w:rsidRPr="00EC4DEF">
        <w:rPr>
          <w:rFonts w:asciiTheme="majorHAnsi" w:hAnsiTheme="majorHAnsi"/>
          <w:i/>
        </w:rPr>
        <w:t>Public Governance, Performance and Accountability Act 2013</w:t>
      </w:r>
      <w:r w:rsidRPr="00EC4DEF">
        <w:rPr>
          <w:rFonts w:asciiTheme="majorHAnsi" w:hAnsiTheme="majorHAnsi"/>
        </w:rPr>
        <w:t>.</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Cooperative procurement arrangement</w:t>
      </w:r>
      <w:r w:rsidRPr="00EC4DEF">
        <w:rPr>
          <w:rFonts w:asciiTheme="majorHAnsi" w:hAnsiTheme="majorHAnsi"/>
        </w:rPr>
        <w:t xml:space="preserve"> means an optional </w:t>
      </w:r>
      <w:r w:rsidRPr="00EC4DEF">
        <w:rPr>
          <w:rFonts w:asciiTheme="majorHAnsi" w:hAnsiTheme="majorHAnsi"/>
          <w:i/>
        </w:rPr>
        <w:t>panel arrangement</w:t>
      </w:r>
      <w:r w:rsidRPr="00EC4DEF">
        <w:rPr>
          <w:rFonts w:asciiTheme="majorHAnsi" w:hAnsiTheme="majorHAnsi"/>
        </w:rPr>
        <w:t xml:space="preserve"> that </w:t>
      </w:r>
      <w:r w:rsidRPr="00EC4DEF">
        <w:rPr>
          <w:rFonts w:asciiTheme="majorHAnsi" w:hAnsiTheme="majorHAnsi"/>
          <w:i/>
        </w:rPr>
        <w:t>non-corporate Commonwealth entities</w:t>
      </w:r>
      <w:r w:rsidRPr="00EC4DEF">
        <w:rPr>
          <w:rFonts w:asciiTheme="majorHAnsi" w:hAnsiTheme="majorHAnsi"/>
        </w:rPr>
        <w:t xml:space="preserve"> may use to approach the market together for the purposes of reducing expenditure by sharing administration costs. The Mandatory Set Aside (MSA) must be applied prior to a cooperative procurement arrangement is considered. An Indigenous business may also be contracted outside of this arrangement using Exemption 16 to Division 2 of the Commonwealth Procurement Rules.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Coordinated procurement arrangement</w:t>
      </w:r>
      <w:r w:rsidRPr="00EC4DEF">
        <w:rPr>
          <w:rFonts w:asciiTheme="majorHAnsi" w:hAnsiTheme="majorHAnsi"/>
        </w:rPr>
        <w:t xml:space="preserve"> means a </w:t>
      </w:r>
      <w:r w:rsidRPr="00EC4DEF">
        <w:rPr>
          <w:rFonts w:asciiTheme="majorHAnsi" w:hAnsiTheme="majorHAnsi"/>
          <w:i/>
        </w:rPr>
        <w:t>panel arrangement</w:t>
      </w:r>
      <w:r w:rsidRPr="00EC4DEF">
        <w:rPr>
          <w:rFonts w:asciiTheme="majorHAnsi" w:hAnsiTheme="majorHAnsi"/>
        </w:rPr>
        <w:t xml:space="preserve"> established for commonly used goods or services by the Commonwealth. Once established, a coordinated procurement arrangement is mandatory for </w:t>
      </w:r>
      <w:r w:rsidRPr="00EC4DEF">
        <w:rPr>
          <w:rFonts w:asciiTheme="majorHAnsi" w:hAnsiTheme="majorHAnsi"/>
          <w:i/>
        </w:rPr>
        <w:t>non-corporate Commonwealth entities</w:t>
      </w:r>
      <w:r w:rsidRPr="00EC4DEF">
        <w:rPr>
          <w:rFonts w:asciiTheme="majorHAnsi" w:hAnsiTheme="majorHAnsi"/>
        </w:rPr>
        <w:t xml:space="preserve"> to use. As a coordinated procurement arrangement forms part of Division 1 of the Commonwealth Procurement Rules, Exemption 16 and the MSA cannot be applied. The MMR may apply to coordinated procurement arrangements. A list of mandatory coordinated procurement arrangements is available at the Department of Finance </w:t>
      </w:r>
      <w:hyperlink r:id="rId19" w:history="1">
        <w:r w:rsidRPr="00EC4DEF">
          <w:rPr>
            <w:rStyle w:val="Hyperlink"/>
            <w:rFonts w:asciiTheme="majorHAnsi" w:hAnsiTheme="majorHAnsi"/>
          </w:rPr>
          <w:t>website</w:t>
        </w:r>
      </w:hyperlink>
      <w:r w:rsidRPr="00EC4DEF">
        <w:rPr>
          <w:rFonts w:asciiTheme="majorHAnsi" w:hAnsiTheme="majorHAnsi"/>
        </w:rPr>
        <w:t xml:space="preserv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Corporate Commonwealth entity </w:t>
      </w:r>
      <w:r w:rsidRPr="00EC4DEF">
        <w:rPr>
          <w:rFonts w:asciiTheme="majorHAnsi" w:hAnsiTheme="majorHAnsi"/>
        </w:rPr>
        <w:t xml:space="preserve">has the same meaning as set out in the </w:t>
      </w:r>
      <w:r w:rsidRPr="00EC4DEF">
        <w:rPr>
          <w:rFonts w:asciiTheme="majorHAnsi" w:hAnsiTheme="majorHAnsi"/>
          <w:i/>
        </w:rPr>
        <w:t>Public Governance, Performance and Accountability Act 2013</w:t>
      </w:r>
      <w:r w:rsidRPr="00EC4DEF">
        <w:rPr>
          <w:rFonts w:asciiTheme="majorHAnsi" w:hAnsiTheme="majorHAnsi"/>
        </w:rPr>
        <w:t>.</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Domestic contract </w:t>
      </w:r>
      <w:r w:rsidRPr="00EC4DEF">
        <w:rPr>
          <w:rFonts w:asciiTheme="majorHAnsi" w:hAnsiTheme="majorHAnsi"/>
        </w:rPr>
        <w:t>means a contract that results from a procurement exercise conducted in Australia, even if some or all of the goods or services that are purchased may be used or delivered overseas.</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Domestic procurement </w:t>
      </w:r>
      <w:r w:rsidRPr="00EC4DEF">
        <w:rPr>
          <w:rFonts w:asciiTheme="majorHAnsi" w:hAnsiTheme="majorHAnsi"/>
        </w:rPr>
        <w:t>means a procurement exercise that is conducted in Australia, even if some or all of the goods or services that are purchased may be used or delivered overseas.</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Eligible procurement </w:t>
      </w:r>
      <w:r w:rsidRPr="00EC4DEF">
        <w:rPr>
          <w:rFonts w:asciiTheme="majorHAnsi" w:hAnsiTheme="majorHAnsi"/>
        </w:rPr>
        <w:t>means a procurement for which details are published on AusTender and that is not otherwise excluded from the ca</w:t>
      </w:r>
      <w:r w:rsidR="00D530BB">
        <w:rPr>
          <w:rFonts w:asciiTheme="majorHAnsi" w:hAnsiTheme="majorHAnsi"/>
        </w:rPr>
        <w:t>lculation of future p</w:t>
      </w:r>
      <w:r w:rsidRPr="00EC4DEF">
        <w:rPr>
          <w:rFonts w:asciiTheme="majorHAnsi" w:hAnsiTheme="majorHAnsi"/>
        </w:rPr>
        <w:t>ortfolio volume or value based targets as outlined in this document.</w:t>
      </w:r>
      <w:r w:rsidRPr="00EC4DEF">
        <w:rPr>
          <w:rFonts w:asciiTheme="majorHAnsi" w:hAnsiTheme="majorHAnsi"/>
          <w:b/>
        </w:rPr>
        <w:t xml:space="preserv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Exemption 16 </w:t>
      </w:r>
      <w:r w:rsidRPr="00EC4DEF">
        <w:rPr>
          <w:rFonts w:asciiTheme="majorHAnsi" w:hAnsiTheme="majorHAnsi"/>
        </w:rPr>
        <w:t xml:space="preserve">of the Commonwealth Procurement Rules means a procurement of goods and services from an SME with at least 50 per cent Indigenous Ownership.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Extraordinary Expenditure </w:t>
      </w:r>
      <w:r w:rsidRPr="00EC4DEF">
        <w:rPr>
          <w:rFonts w:asciiTheme="majorHAnsi" w:hAnsiTheme="majorHAnsi"/>
        </w:rPr>
        <w:t xml:space="preserve">means unexpected, large scale (commitment) resulting from an unexpected or atypical event. This could include whole-of-agency software upgrades, office relocations and other one-off purchases that resulted in atypical annual commitments.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lastRenderedPageBreak/>
        <w:t xml:space="preserve">High Value Contracts </w:t>
      </w:r>
      <w:r w:rsidRPr="00EC4DEF">
        <w:rPr>
          <w:rFonts w:asciiTheme="majorHAnsi" w:hAnsiTheme="majorHAnsi"/>
        </w:rPr>
        <w:t xml:space="preserve">means contracts delivered in Australia valued at $7.5 million (GST inclusive) and above in specified sectors, and subject to Mandatory Minimum Requirements (MMR), as defined below.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Indigenous enterprise </w:t>
      </w:r>
      <w:r w:rsidRPr="00EC4DEF">
        <w:rPr>
          <w:rFonts w:asciiTheme="majorHAnsi" w:hAnsiTheme="majorHAnsi"/>
        </w:rPr>
        <w:t xml:space="preserve">means an organisation, operating a business, that is 50 per cent or more </w:t>
      </w:r>
      <w:r w:rsidR="00081D44" w:rsidRPr="00EC4DEF">
        <w:rPr>
          <w:rFonts w:asciiTheme="majorHAnsi" w:hAnsiTheme="majorHAnsi"/>
        </w:rPr>
        <w:t>indigenous</w:t>
      </w:r>
      <w:r w:rsidRPr="00EC4DEF">
        <w:rPr>
          <w:rFonts w:asciiTheme="majorHAnsi" w:hAnsiTheme="majorHAnsi"/>
        </w:rPr>
        <w:t xml:space="preserve"> owned. It may take the form of a company, incorporated association or trust. A social enterprise or registered charity may also be an Indigenous enterprise if it is operating a business.</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Incorporated Indigenous joint venture</w:t>
      </w:r>
      <w:r w:rsidRPr="00EC4DEF">
        <w:rPr>
          <w:rFonts w:asciiTheme="majorHAnsi" w:hAnsiTheme="majorHAnsi"/>
        </w:rPr>
        <w:t xml:space="preserve"> means a legally incorporated entity that it is at least 50 per cent Indigenous owned and can demonstrate equal Indigenous representation and involvement in the management of the joint venture.</w:t>
      </w:r>
    </w:p>
    <w:p w:rsidR="004B2ACC" w:rsidRPr="0062445C" w:rsidRDefault="004B2ACC" w:rsidP="004B2ACC">
      <w:pPr>
        <w:pStyle w:val="NormalWeb"/>
        <w:rPr>
          <w:rFonts w:asciiTheme="majorHAnsi" w:eastAsiaTheme="minorHAnsi" w:hAnsiTheme="majorHAnsi" w:cstheme="minorBidi"/>
          <w:color w:val="262626" w:themeColor="text1" w:themeTint="D9"/>
          <w:sz w:val="20"/>
          <w:szCs w:val="20"/>
          <w:lang w:eastAsia="en-US"/>
        </w:rPr>
      </w:pPr>
      <w:r w:rsidRPr="0062445C">
        <w:rPr>
          <w:rFonts w:asciiTheme="majorHAnsi" w:eastAsiaTheme="minorHAnsi" w:hAnsiTheme="majorHAnsi" w:cstheme="minorBidi"/>
          <w:b/>
          <w:color w:val="262626" w:themeColor="text1" w:themeTint="D9"/>
          <w:sz w:val="20"/>
          <w:szCs w:val="20"/>
          <w:lang w:eastAsia="en-US"/>
        </w:rPr>
        <w:t>Indigenous Procurement Policy</w:t>
      </w:r>
      <w:r w:rsidRPr="0062445C">
        <w:rPr>
          <w:rFonts w:asciiTheme="majorHAnsi" w:eastAsiaTheme="minorHAnsi" w:hAnsiTheme="majorHAnsi" w:cstheme="minorBidi"/>
          <w:color w:val="262626" w:themeColor="text1" w:themeTint="D9"/>
          <w:sz w:val="20"/>
          <w:szCs w:val="20"/>
          <w:lang w:eastAsia="en-US"/>
        </w:rPr>
        <w:t xml:space="preserve"> </w:t>
      </w:r>
      <w:r w:rsidRPr="0062445C">
        <w:rPr>
          <w:rFonts w:asciiTheme="majorHAnsi" w:eastAsiaTheme="minorHAnsi" w:hAnsiTheme="majorHAnsi" w:cstheme="minorBidi"/>
          <w:b/>
          <w:color w:val="262626" w:themeColor="text1" w:themeTint="D9"/>
          <w:sz w:val="20"/>
          <w:szCs w:val="20"/>
          <w:lang w:eastAsia="en-US"/>
        </w:rPr>
        <w:t>(IPP)</w:t>
      </w:r>
      <w:r w:rsidRPr="0062445C">
        <w:rPr>
          <w:rFonts w:asciiTheme="majorHAnsi" w:eastAsiaTheme="minorHAnsi" w:hAnsiTheme="majorHAnsi" w:cstheme="minorBidi"/>
          <w:color w:val="262626" w:themeColor="text1" w:themeTint="D9"/>
          <w:sz w:val="20"/>
          <w:szCs w:val="20"/>
          <w:lang w:eastAsia="en-US"/>
        </w:rPr>
        <w:t xml:space="preserve"> helps stimulate Indigenous entrepreneurship and business development, providing Indigenous Australians with more opportunities to participate in the economy.  The IPP is a procurement connected policy under the Commonwealth Procurement Rules (CPRs).</w:t>
      </w:r>
    </w:p>
    <w:p w:rsidR="004B2ACC" w:rsidRPr="0062445C" w:rsidRDefault="004B2ACC" w:rsidP="004B2ACC">
      <w:pPr>
        <w:pStyle w:val="ListParagraph"/>
        <w:tabs>
          <w:tab w:val="left" w:pos="6521"/>
        </w:tabs>
        <w:spacing w:after="200" w:line="276" w:lineRule="auto"/>
        <w:ind w:left="0"/>
        <w:rPr>
          <w:rFonts w:asciiTheme="majorHAnsi" w:hAnsiTheme="majorHAnsi"/>
        </w:rPr>
      </w:pPr>
      <w:r w:rsidRPr="0062445C">
        <w:rPr>
          <w:rFonts w:asciiTheme="majorHAnsi" w:hAnsiTheme="majorHAnsi"/>
          <w:b/>
        </w:rPr>
        <w:t xml:space="preserve">Indigenous Procurement Policy Reporting System (IPPRS) </w:t>
      </w:r>
      <w:r w:rsidRPr="0062445C">
        <w:rPr>
          <w:rFonts w:asciiTheme="majorHAnsi" w:hAnsiTheme="majorHAnsi"/>
        </w:rPr>
        <w:t>means the online reporting system used to record and track data on IPP contracts. The system is managed by the NIAA.</w:t>
      </w:r>
    </w:p>
    <w:p w:rsidR="004B2ACC" w:rsidRPr="0062445C" w:rsidRDefault="004B2ACC" w:rsidP="004B2ACC">
      <w:pPr>
        <w:pStyle w:val="ListParagraph"/>
        <w:tabs>
          <w:tab w:val="left" w:pos="6521"/>
        </w:tabs>
        <w:spacing w:after="200" w:line="276" w:lineRule="auto"/>
        <w:ind w:left="0"/>
        <w:rPr>
          <w:rFonts w:asciiTheme="majorHAnsi" w:hAnsiTheme="majorHAnsi"/>
        </w:rPr>
      </w:pPr>
      <w:r w:rsidRPr="0062445C">
        <w:rPr>
          <w:rFonts w:asciiTheme="majorHAnsi" w:hAnsiTheme="majorHAnsi"/>
          <w:b/>
        </w:rPr>
        <w:t xml:space="preserve">Indigenous small or medium enterprise (Indigenous SME) </w:t>
      </w:r>
      <w:r w:rsidRPr="0062445C">
        <w:rPr>
          <w:rFonts w:asciiTheme="majorHAnsi" w:hAnsiTheme="majorHAnsi"/>
        </w:rPr>
        <w:t>means an Indigenous enterprise that meets the definition of SME in the Commonwealth Procurement Rules.</w:t>
      </w:r>
    </w:p>
    <w:p w:rsidR="004B2ACC" w:rsidRPr="0062445C" w:rsidRDefault="004B2ACC" w:rsidP="004B2ACC">
      <w:pPr>
        <w:pStyle w:val="ListParagraph"/>
        <w:tabs>
          <w:tab w:val="left" w:pos="6521"/>
        </w:tabs>
        <w:spacing w:after="200" w:line="276" w:lineRule="auto"/>
        <w:ind w:left="0"/>
        <w:rPr>
          <w:rFonts w:asciiTheme="majorHAnsi" w:hAnsiTheme="majorHAnsi"/>
          <w:b/>
        </w:rPr>
      </w:pPr>
      <w:r w:rsidRPr="0062445C">
        <w:rPr>
          <w:rFonts w:asciiTheme="majorHAnsi" w:hAnsiTheme="majorHAnsi"/>
          <w:b/>
        </w:rPr>
        <w:t xml:space="preserve">Indigenous Participation Plan </w:t>
      </w:r>
      <w:r w:rsidRPr="00EC4DEF">
        <w:rPr>
          <w:rFonts w:asciiTheme="majorHAnsi" w:hAnsiTheme="majorHAnsi"/>
        </w:rPr>
        <w:t>means the</w:t>
      </w:r>
      <w:r w:rsidRPr="0062445C">
        <w:rPr>
          <w:rFonts w:asciiTheme="majorHAnsi" w:hAnsiTheme="majorHAnsi"/>
          <w:b/>
        </w:rPr>
        <w:t xml:space="preserve"> </w:t>
      </w:r>
      <w:r w:rsidRPr="0062445C">
        <w:rPr>
          <w:rFonts w:asciiTheme="majorHAnsi" w:hAnsiTheme="majorHAnsi"/>
        </w:rPr>
        <w:t>document that must be submitted by organisations tendering for contract that are subject to the Mandatory Minimum Indigenous Participation Requirement.  Tenderers outline in the Plan how they intend to meet (or exceed) Indigenous employment and or supply use targets over the contract term. The Plan assists procuring officials to determine which tenderer is most likely to achieve the strongest economic outcomes for Indigenous Australians.</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Indigenous procurement mailbox</w:t>
      </w:r>
      <w:r w:rsidRPr="00EC4DEF">
        <w:rPr>
          <w:rFonts w:asciiTheme="majorHAnsi" w:hAnsiTheme="majorHAnsi"/>
        </w:rPr>
        <w:t xml:space="preserve"> is the email </w:t>
      </w:r>
      <w:hyperlink r:id="rId20" w:history="1">
        <w:r w:rsidRPr="00EC4DEF">
          <w:rPr>
            <w:rStyle w:val="Hyperlink"/>
            <w:rFonts w:asciiTheme="majorHAnsi" w:hAnsiTheme="majorHAnsi"/>
          </w:rPr>
          <w:t>indigenous.procurement@niaa.gov.au</w:t>
        </w:r>
      </w:hyperlink>
      <w:r w:rsidRPr="00EC4DEF">
        <w:rPr>
          <w:rFonts w:asciiTheme="majorHAnsi" w:hAnsiTheme="majorHAnsi"/>
        </w:rPr>
        <w:t xml:space="preserve"> managed by the NIAA for the purpose of providing advice on the Indigenous Procurement Policy. </w:t>
      </w:r>
    </w:p>
    <w:p w:rsidR="003C7E5E" w:rsidRPr="00EC4DEF" w:rsidRDefault="003C7E5E" w:rsidP="00EC4DEF">
      <w:pPr>
        <w:pStyle w:val="ListParagraph"/>
        <w:spacing w:after="0" w:line="276" w:lineRule="auto"/>
        <w:ind w:left="0"/>
        <w:rPr>
          <w:rFonts w:asciiTheme="majorHAnsi" w:hAnsiTheme="majorHAnsi"/>
          <w:b/>
        </w:rPr>
      </w:pPr>
      <w:r w:rsidRPr="00EC4DEF">
        <w:rPr>
          <w:rFonts w:asciiTheme="majorHAnsi" w:hAnsiTheme="majorHAnsi"/>
          <w:b/>
        </w:rPr>
        <w:t>MMR</w:t>
      </w:r>
      <w:r w:rsidRPr="00EC4DEF">
        <w:rPr>
          <w:rFonts w:asciiTheme="majorHAnsi" w:hAnsiTheme="majorHAnsi"/>
        </w:rPr>
        <w:t xml:space="preserve"> means </w:t>
      </w:r>
      <w:r w:rsidRPr="00EC4DEF">
        <w:rPr>
          <w:rFonts w:asciiTheme="majorHAnsi" w:hAnsiTheme="majorHAnsi" w:cs="Arial"/>
        </w:rPr>
        <w:t xml:space="preserve">mandatory </w:t>
      </w:r>
      <w:r w:rsidR="004B2ACC" w:rsidRPr="00EC4DEF">
        <w:rPr>
          <w:rFonts w:asciiTheme="majorHAnsi" w:hAnsiTheme="majorHAnsi" w:cs="Arial"/>
        </w:rPr>
        <w:t>minimum Indigenous participation</w:t>
      </w:r>
      <w:r w:rsidRPr="00EC4DEF">
        <w:rPr>
          <w:rFonts w:asciiTheme="majorHAnsi" w:hAnsiTheme="majorHAnsi" w:cs="Arial"/>
        </w:rPr>
        <w:t xml:space="preserve"> requirements</w:t>
      </w:r>
      <w:r w:rsidR="004B2ACC" w:rsidRPr="00EC4DEF">
        <w:rPr>
          <w:rFonts w:asciiTheme="majorHAnsi" w:hAnsiTheme="majorHAnsi" w:cs="Arial"/>
        </w:rPr>
        <w:t>.</w:t>
      </w:r>
      <w:r w:rsidRPr="00EC4DEF">
        <w:rPr>
          <w:rFonts w:asciiTheme="majorHAnsi" w:hAnsiTheme="majorHAnsi" w:cs="Arial"/>
        </w:rPr>
        <w:t xml:space="preserv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MSA</w:t>
      </w:r>
      <w:r w:rsidRPr="00EC4DEF">
        <w:rPr>
          <w:rFonts w:asciiTheme="majorHAnsi" w:hAnsiTheme="majorHAnsi"/>
        </w:rPr>
        <w:t xml:space="preserve"> means mandatory set aside, as defined in section three. </w:t>
      </w:r>
    </w:p>
    <w:p w:rsidR="004B2ACC" w:rsidRPr="0062445C" w:rsidRDefault="004B2ACC" w:rsidP="004B2ACC">
      <w:pPr>
        <w:pStyle w:val="ListParagraph"/>
        <w:tabs>
          <w:tab w:val="left" w:pos="6521"/>
        </w:tabs>
        <w:spacing w:after="200" w:line="276" w:lineRule="auto"/>
        <w:ind w:left="0"/>
        <w:rPr>
          <w:rFonts w:asciiTheme="majorHAnsi" w:hAnsiTheme="majorHAnsi"/>
        </w:rPr>
      </w:pPr>
      <w:r w:rsidRPr="0062445C">
        <w:rPr>
          <w:rFonts w:asciiTheme="majorHAnsi" w:hAnsiTheme="majorHAnsi"/>
          <w:b/>
        </w:rPr>
        <w:t>Model Clauses</w:t>
      </w:r>
      <w:r w:rsidRPr="0062445C">
        <w:rPr>
          <w:rFonts w:asciiTheme="majorHAnsi" w:hAnsiTheme="majorHAnsi"/>
        </w:rPr>
        <w:t xml:space="preserve"> are provided as examples of text that should be included in material for an Approach to Market or Contract terms where the entity determines that the IPP is applicable.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NIAA</w:t>
      </w:r>
      <w:r w:rsidRPr="00EC4DEF">
        <w:rPr>
          <w:rFonts w:asciiTheme="majorHAnsi" w:hAnsiTheme="majorHAnsi"/>
        </w:rPr>
        <w:t xml:space="preserve"> means the National Indigenous Australians Agency, the Commonwealth agency with responsibility for administering the Indigenous Procurement Policy.</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Non-corporate Commonwealth entity </w:t>
      </w:r>
      <w:r w:rsidRPr="00EC4DEF">
        <w:rPr>
          <w:rFonts w:asciiTheme="majorHAnsi" w:hAnsiTheme="majorHAnsi"/>
        </w:rPr>
        <w:t xml:space="preserve">has the same meaning as set out in the </w:t>
      </w:r>
      <w:r w:rsidRPr="00EC4DEF">
        <w:rPr>
          <w:rFonts w:asciiTheme="majorHAnsi" w:hAnsiTheme="majorHAnsi"/>
          <w:i/>
        </w:rPr>
        <w:t>Public Governance, Performance and Accountability Act 2013</w:t>
      </w:r>
      <w:r w:rsidRPr="00EC4DEF">
        <w:rPr>
          <w:rFonts w:asciiTheme="majorHAnsi" w:hAnsiTheme="majorHAnsi"/>
        </w:rPr>
        <w:t>.</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ORIC</w:t>
      </w:r>
      <w:r w:rsidRPr="00EC4DEF">
        <w:rPr>
          <w:rFonts w:asciiTheme="majorHAnsi" w:hAnsiTheme="majorHAnsi"/>
        </w:rPr>
        <w:t xml:space="preserve"> means the Office of the Registrar of Indigenous Corporations.</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Panel arrangement</w:t>
      </w:r>
      <w:r w:rsidRPr="00EC4DEF">
        <w:rPr>
          <w:rFonts w:asciiTheme="majorHAnsi" w:hAnsiTheme="majorHAnsi"/>
        </w:rPr>
        <w:t xml:space="preserve"> means a selected number of suppliers appointed through a contract or deed of standing offer that a Commonwealth entity can approach to procure regularly required goods or services. Panel arrangements are either </w:t>
      </w:r>
      <w:r w:rsidRPr="00EC4DEF">
        <w:rPr>
          <w:rFonts w:asciiTheme="majorHAnsi" w:hAnsiTheme="majorHAnsi"/>
          <w:i/>
        </w:rPr>
        <w:t>coordinated</w:t>
      </w:r>
      <w:r w:rsidRPr="00EC4DEF">
        <w:rPr>
          <w:rFonts w:asciiTheme="majorHAnsi" w:hAnsiTheme="majorHAnsi"/>
        </w:rPr>
        <w:t xml:space="preserve"> or </w:t>
      </w:r>
      <w:r w:rsidRPr="00EC4DEF">
        <w:rPr>
          <w:rFonts w:asciiTheme="majorHAnsi" w:hAnsiTheme="majorHAnsi"/>
          <w:i/>
        </w:rPr>
        <w:t>cooperative</w:t>
      </w:r>
      <w:r w:rsidRPr="00EC4DEF">
        <w:rPr>
          <w:rFonts w:asciiTheme="majorHAnsi" w:hAnsiTheme="majorHAnsi"/>
        </w:rPr>
        <w:t xml:space="preserve"> </w:t>
      </w:r>
      <w:r w:rsidRPr="00EC4DEF">
        <w:rPr>
          <w:rFonts w:asciiTheme="majorHAnsi" w:hAnsiTheme="majorHAnsi"/>
          <w:i/>
        </w:rPr>
        <w:t xml:space="preserve">procurements </w:t>
      </w:r>
      <w:r w:rsidRPr="00EC4DEF">
        <w:rPr>
          <w:rFonts w:asciiTheme="majorHAnsi" w:hAnsiTheme="majorHAnsi"/>
        </w:rPr>
        <w:t xml:space="preserve">(see definitions above).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Portfolio </w:t>
      </w:r>
      <w:r w:rsidRPr="00EC4DEF">
        <w:rPr>
          <w:rFonts w:asciiTheme="majorHAnsi" w:hAnsiTheme="majorHAnsi"/>
        </w:rPr>
        <w:t xml:space="preserve">means the portfolios identified in the </w:t>
      </w:r>
      <w:hyperlink r:id="rId21" w:history="1">
        <w:r w:rsidRPr="00EC4DEF">
          <w:rPr>
            <w:rStyle w:val="Hyperlink"/>
            <w:rFonts w:asciiTheme="majorHAnsi" w:hAnsiTheme="majorHAnsi"/>
          </w:rPr>
          <w:t>Australian Government Organisations Register</w:t>
        </w:r>
      </w:hyperlink>
      <w:r w:rsidRPr="00EC4DEF">
        <w:rPr>
          <w:rFonts w:asciiTheme="majorHAnsi" w:hAnsiTheme="majorHAnsi"/>
        </w:rPr>
        <w:t xml:space="preserve">.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Procuring official </w:t>
      </w:r>
      <w:r w:rsidRPr="00EC4DEF">
        <w:rPr>
          <w:rFonts w:asciiTheme="majorHAnsi" w:hAnsiTheme="majorHAnsi"/>
        </w:rPr>
        <w:t>means a Commonwealth official that has responsibility for purchasing a good or service on behalf of a Commonwealth entity.</w:t>
      </w:r>
    </w:p>
    <w:p w:rsidR="00766F1B" w:rsidRPr="00EC4DEF" w:rsidRDefault="00766F1B" w:rsidP="00EC4DEF">
      <w:pPr>
        <w:pStyle w:val="ListParagraph"/>
        <w:tabs>
          <w:tab w:val="left" w:pos="6521"/>
        </w:tabs>
        <w:spacing w:after="0" w:line="276" w:lineRule="auto"/>
        <w:ind w:left="0"/>
        <w:rPr>
          <w:rFonts w:asciiTheme="majorHAnsi" w:hAnsiTheme="majorHAnsi"/>
          <w:b/>
        </w:rPr>
      </w:pPr>
      <w:r w:rsidRPr="00EC4DEF">
        <w:rPr>
          <w:rFonts w:asciiTheme="majorHAnsi" w:hAnsiTheme="majorHAnsi"/>
          <w:b/>
        </w:rPr>
        <w:t xml:space="preserve">Potential Supplier </w:t>
      </w:r>
      <w:r w:rsidRPr="00D73630">
        <w:rPr>
          <w:rFonts w:asciiTheme="majorHAnsi" w:hAnsiTheme="majorHAnsi"/>
        </w:rPr>
        <w:t>is</w:t>
      </w:r>
      <w:r w:rsidRPr="00EC4DEF">
        <w:rPr>
          <w:rFonts w:asciiTheme="majorHAnsi" w:hAnsiTheme="majorHAnsi"/>
        </w:rPr>
        <w:t xml:space="preserve"> an entity or person who may respond to an approach to market, also known as a tenderer.</w:t>
      </w:r>
    </w:p>
    <w:p w:rsidR="00766F1B" w:rsidRPr="00EC4DEF" w:rsidRDefault="0029213E" w:rsidP="00EC4DEF">
      <w:pPr>
        <w:pStyle w:val="ListParagraph"/>
        <w:spacing w:after="0" w:line="276" w:lineRule="auto"/>
        <w:ind w:left="0"/>
        <w:rPr>
          <w:rFonts w:asciiTheme="majorHAnsi" w:hAnsiTheme="majorHAnsi"/>
        </w:rPr>
      </w:pPr>
      <w:r w:rsidRPr="00EC4DEF">
        <w:rPr>
          <w:rFonts w:asciiTheme="majorHAnsi" w:hAnsiTheme="majorHAnsi"/>
        </w:rPr>
        <w:t>Submission is any formally submitted response to an Approach to Market.</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Remote area</w:t>
      </w:r>
      <w:r w:rsidRPr="00EC4DEF">
        <w:rPr>
          <w:rFonts w:asciiTheme="majorHAnsi" w:hAnsiTheme="majorHAnsi"/>
        </w:rPr>
        <w:t xml:space="preserve"> means the areas identified in the Remote Indigenous Procurement Policy (RIPP) map on the NIAA website, as updated from time to time.</w:t>
      </w:r>
      <w:r w:rsidRPr="00EC4DEF">
        <w:rPr>
          <w:rFonts w:asciiTheme="majorHAnsi" w:hAnsiTheme="majorHAnsi"/>
        </w:rPr>
        <w:tab/>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 xml:space="preserve">Remote contract </w:t>
      </w:r>
      <w:r w:rsidRPr="00EC4DEF">
        <w:rPr>
          <w:rFonts w:asciiTheme="majorHAnsi" w:hAnsiTheme="majorHAnsi"/>
        </w:rPr>
        <w:t>means a contract where the majority (by value) of the goods or services will be delivered in a remote area.</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t>Remote procurement</w:t>
      </w:r>
      <w:r w:rsidRPr="00EC4DEF">
        <w:rPr>
          <w:rFonts w:asciiTheme="majorHAnsi" w:hAnsiTheme="majorHAnsi"/>
        </w:rPr>
        <w:t xml:space="preserve"> means a procurement exercise for a remote contract, as per section 3.2 of this Policy.</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cs="Arial"/>
          <w:b/>
          <w:lang w:val="en-US"/>
        </w:rPr>
        <w:t xml:space="preserve">Restricted market </w:t>
      </w:r>
      <w:r w:rsidRPr="00EC4DEF">
        <w:rPr>
          <w:rFonts w:asciiTheme="majorHAnsi" w:hAnsiTheme="majorHAnsi" w:cs="Arial"/>
          <w:lang w:val="en-US"/>
        </w:rPr>
        <w:t xml:space="preserve">means goods or services that fall within a subset of the UNSPSC codeset </w:t>
      </w:r>
    </w:p>
    <w:p w:rsidR="003C7E5E" w:rsidRPr="00EC4DEF" w:rsidRDefault="003C7E5E" w:rsidP="00EC4DEF">
      <w:pPr>
        <w:pStyle w:val="ListParagraph"/>
        <w:spacing w:after="0" w:line="276" w:lineRule="auto"/>
        <w:ind w:left="0"/>
        <w:rPr>
          <w:rFonts w:asciiTheme="majorHAnsi" w:hAnsiTheme="majorHAnsi"/>
          <w:b/>
        </w:rPr>
      </w:pPr>
      <w:r w:rsidRPr="00EC4DEF">
        <w:rPr>
          <w:rFonts w:asciiTheme="majorHAnsi" w:hAnsiTheme="majorHAnsi"/>
          <w:b/>
        </w:rPr>
        <w:t xml:space="preserve">Small and medium-sized enterprise (SME) </w:t>
      </w:r>
      <w:r w:rsidRPr="00EC4DEF">
        <w:rPr>
          <w:rFonts w:asciiTheme="majorHAnsi" w:hAnsiTheme="majorHAnsi"/>
        </w:rPr>
        <w:t xml:space="preserve">has the same meaning as in the Commonwealth Procurement Rules. </w:t>
      </w:r>
    </w:p>
    <w:p w:rsidR="003C7E5E" w:rsidRPr="00EC4DEF" w:rsidRDefault="003C7E5E" w:rsidP="00EC4DEF">
      <w:pPr>
        <w:pStyle w:val="ListParagraph"/>
        <w:spacing w:after="0" w:line="276" w:lineRule="auto"/>
        <w:ind w:left="0"/>
        <w:rPr>
          <w:rFonts w:asciiTheme="majorHAnsi" w:hAnsiTheme="majorHAnsi"/>
        </w:rPr>
      </w:pPr>
      <w:r w:rsidRPr="00EC4DEF">
        <w:rPr>
          <w:rFonts w:asciiTheme="majorHAnsi" w:hAnsiTheme="majorHAnsi"/>
          <w:b/>
        </w:rPr>
        <w:lastRenderedPageBreak/>
        <w:t>Supply Nation</w:t>
      </w:r>
      <w:r w:rsidRPr="00EC4DEF">
        <w:rPr>
          <w:rFonts w:asciiTheme="majorHAnsi" w:hAnsiTheme="majorHAnsi"/>
        </w:rPr>
        <w:t xml:space="preserve"> is the trading name of the Australian Indigenous Minority Supplier Office Limited (ABN 50 134 720 362), which is an organisation dedicated to growing diversity in supply chains. </w:t>
      </w:r>
    </w:p>
    <w:p w:rsidR="00766F1B" w:rsidRPr="00EC4DEF" w:rsidRDefault="00766F1B" w:rsidP="00EC4DEF">
      <w:pPr>
        <w:tabs>
          <w:tab w:val="left" w:pos="6521"/>
        </w:tabs>
        <w:spacing w:after="0" w:line="276" w:lineRule="auto"/>
        <w:rPr>
          <w:rFonts w:asciiTheme="majorHAnsi" w:hAnsiTheme="majorHAnsi"/>
          <w:b/>
        </w:rPr>
      </w:pPr>
      <w:r w:rsidRPr="00EC4DEF">
        <w:rPr>
          <w:rFonts w:asciiTheme="majorHAnsi" w:hAnsiTheme="majorHAnsi"/>
          <w:b/>
        </w:rPr>
        <w:t>Supplier</w:t>
      </w:r>
      <w:r w:rsidRPr="00EC4DEF">
        <w:rPr>
          <w:rFonts w:asciiTheme="majorHAnsi" w:hAnsiTheme="majorHAnsi"/>
        </w:rPr>
        <w:t xml:space="preserve"> is an entity or person who has entered into a contract with the Commonwealth.</w:t>
      </w:r>
    </w:p>
    <w:p w:rsidR="00766F1B" w:rsidRPr="00EC4DEF" w:rsidRDefault="00766F1B" w:rsidP="00EC4DEF">
      <w:pPr>
        <w:pStyle w:val="ListParagraph"/>
        <w:spacing w:after="0" w:line="276" w:lineRule="auto"/>
        <w:ind w:left="0"/>
        <w:rPr>
          <w:rFonts w:asciiTheme="majorHAnsi" w:hAnsiTheme="majorHAnsi"/>
          <w:b/>
        </w:rPr>
      </w:pPr>
      <w:r w:rsidRPr="00EC4DEF">
        <w:rPr>
          <w:rFonts w:asciiTheme="majorHAnsi" w:hAnsiTheme="majorHAnsi"/>
          <w:b/>
        </w:rPr>
        <w:t>Tender (open)</w:t>
      </w:r>
      <w:r w:rsidRPr="00EC4DEF">
        <w:rPr>
          <w:rFonts w:asciiTheme="majorHAnsi" w:hAnsiTheme="majorHAnsi"/>
        </w:rPr>
        <w:t xml:space="preserve"> involves publishing an open approach to market and inviting submissions. This includes multi-stage procurements, provided the first stage is an open approach to market</w:t>
      </w:r>
      <w:r w:rsidR="00081D44" w:rsidRPr="00EC4DEF">
        <w:rPr>
          <w:rFonts w:asciiTheme="majorHAnsi" w:hAnsiTheme="majorHAnsi"/>
        </w:rPr>
        <w:t>.</w:t>
      </w:r>
    </w:p>
    <w:p w:rsidR="00766F1B" w:rsidRPr="00EC4DEF" w:rsidRDefault="00766F1B" w:rsidP="00EC4DEF">
      <w:pPr>
        <w:pStyle w:val="ListParagraph"/>
        <w:spacing w:after="0" w:line="276" w:lineRule="auto"/>
        <w:ind w:left="0"/>
        <w:rPr>
          <w:rFonts w:asciiTheme="majorHAnsi" w:hAnsiTheme="majorHAnsi"/>
        </w:rPr>
      </w:pPr>
      <w:r w:rsidRPr="00EC4DEF">
        <w:rPr>
          <w:rFonts w:asciiTheme="majorHAnsi" w:hAnsiTheme="majorHAnsi"/>
          <w:b/>
        </w:rPr>
        <w:t>Tenderer</w:t>
      </w:r>
      <w:r w:rsidRPr="00EC4DEF">
        <w:rPr>
          <w:rFonts w:asciiTheme="majorHAnsi" w:hAnsiTheme="majorHAnsi"/>
        </w:rPr>
        <w:t xml:space="preserve"> is an entity or person who has responded with a submission to an approach to market.</w:t>
      </w:r>
    </w:p>
    <w:p w:rsidR="003C7E5E" w:rsidRPr="00EC4DEF" w:rsidRDefault="003C7E5E" w:rsidP="00EC4DEF">
      <w:pPr>
        <w:pStyle w:val="ListParagraph"/>
        <w:spacing w:after="0" w:line="276" w:lineRule="auto"/>
        <w:ind w:left="0"/>
        <w:rPr>
          <w:rFonts w:asciiTheme="majorHAnsi" w:hAnsiTheme="majorHAnsi" w:cs="Arial"/>
          <w:color w:val="333333"/>
          <w:shd w:val="clear" w:color="auto" w:fill="FFFFFF"/>
        </w:rPr>
      </w:pPr>
      <w:r w:rsidRPr="00EC4DEF">
        <w:rPr>
          <w:rFonts w:asciiTheme="majorHAnsi" w:hAnsiTheme="majorHAnsi" w:cs="Arial"/>
          <w:b/>
          <w:color w:val="333333"/>
          <w:shd w:val="clear" w:color="auto" w:fill="FFFFFF"/>
        </w:rPr>
        <w:t>United Nations Standard Products and Services Code (UNSPSC)</w:t>
      </w:r>
      <w:r w:rsidRPr="00EC4DEF">
        <w:rPr>
          <w:rFonts w:asciiTheme="majorHAnsi" w:hAnsiTheme="majorHAnsi"/>
          <w:b/>
        </w:rPr>
        <w:t xml:space="preserve"> </w:t>
      </w:r>
      <w:r w:rsidRPr="00EC4DEF">
        <w:rPr>
          <w:rFonts w:asciiTheme="majorHAnsi" w:hAnsiTheme="majorHAnsi" w:cs="Arial"/>
          <w:color w:val="333333"/>
          <w:shd w:val="clear" w:color="auto" w:fill="FFFFFF"/>
        </w:rPr>
        <w:t>is an open, global, multi-sector standard for the classification of products and services. Use of UNSPSC enables analysis of Australian Government procurement activity from approach to outcome by sector and across government.</w:t>
      </w:r>
    </w:p>
    <w:p w:rsidR="0062445C" w:rsidRDefault="0062445C">
      <w:pPr>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br w:type="page"/>
      </w:r>
    </w:p>
    <w:p w:rsidR="005F0EA6" w:rsidRPr="005F0EA6" w:rsidRDefault="005F0EA6" w:rsidP="005F0EA6">
      <w:pPr>
        <w:pStyle w:val="Heading2"/>
        <w:numPr>
          <w:ilvl w:val="0"/>
          <w:numId w:val="40"/>
        </w:numPr>
      </w:pPr>
      <w:bookmarkStart w:id="27" w:name="_Toc43289118"/>
      <w:bookmarkStart w:id="28" w:name="_Toc43385051"/>
      <w:r w:rsidRPr="005F0EA6">
        <w:lastRenderedPageBreak/>
        <w:t>The Indigenous Procurement Policy (IPP)</w:t>
      </w:r>
      <w:bookmarkEnd w:id="27"/>
      <w:bookmarkEnd w:id="28"/>
    </w:p>
    <w:p w:rsidR="005F0EA6" w:rsidRPr="005F0EA6" w:rsidRDefault="005F0EA6" w:rsidP="005F0EA6">
      <w:pPr>
        <w:rPr>
          <w:rFonts w:asciiTheme="majorHAnsi" w:hAnsiTheme="majorHAnsi"/>
        </w:rPr>
      </w:pPr>
      <w:r w:rsidRPr="005F0EA6">
        <w:rPr>
          <w:rFonts w:asciiTheme="majorHAnsi" w:hAnsiTheme="majorHAnsi"/>
        </w:rPr>
        <w:t>The primary purpose of the IPP is to stimulate Indigenous entrepreneurship and business development, providing Indigenous Australians with more opportunities to participate in the economy.</w:t>
      </w:r>
    </w:p>
    <w:p w:rsidR="005F0EA6" w:rsidRPr="005F0EA6" w:rsidRDefault="005F0EA6" w:rsidP="005F0EA6">
      <w:pPr>
        <w:rPr>
          <w:rFonts w:asciiTheme="majorHAnsi" w:hAnsiTheme="majorHAnsi"/>
        </w:rPr>
      </w:pPr>
      <w:r w:rsidRPr="005F0EA6">
        <w:rPr>
          <w:rFonts w:asciiTheme="majorHAnsi" w:hAnsiTheme="majorHAnsi"/>
        </w:rPr>
        <w:t xml:space="preserve">Prior to the implementation of the policy on 1 July 2015 Indigenous enterprises secured limited business from Commonwealth procurement. The policy is intended to </w:t>
      </w:r>
      <w:r w:rsidR="00CF5502">
        <w:rPr>
          <w:rFonts w:asciiTheme="majorHAnsi" w:hAnsiTheme="majorHAnsi"/>
        </w:rPr>
        <w:t>drive a significant</w:t>
      </w:r>
      <w:r w:rsidR="00CF5502" w:rsidRPr="005F0EA6">
        <w:rPr>
          <w:rFonts w:asciiTheme="majorHAnsi" w:hAnsiTheme="majorHAnsi"/>
        </w:rPr>
        <w:t xml:space="preserve"> </w:t>
      </w:r>
      <w:r w:rsidRPr="005F0EA6">
        <w:rPr>
          <w:rFonts w:asciiTheme="majorHAnsi" w:hAnsiTheme="majorHAnsi"/>
        </w:rPr>
        <w:t xml:space="preserve">increase the rate of purchasing from Indigenous enterprises, helping to drive Indigenous economic development. </w:t>
      </w:r>
    </w:p>
    <w:p w:rsidR="005F0EA6" w:rsidRPr="005F0EA6" w:rsidRDefault="005F0EA6" w:rsidP="005F0EA6">
      <w:pPr>
        <w:rPr>
          <w:rFonts w:asciiTheme="majorHAnsi" w:hAnsiTheme="majorHAnsi"/>
        </w:rPr>
      </w:pPr>
      <w:r w:rsidRPr="005F0EA6">
        <w:rPr>
          <w:rFonts w:asciiTheme="majorHAnsi" w:hAnsiTheme="majorHAnsi"/>
        </w:rPr>
        <w:t>The IPP applies to procurements made on behalf of non-corporate Commonwealth entities. If the procurement activity is subject to the Commonwealth Procurement Rules, it is likely subject to the IPP.</w:t>
      </w:r>
    </w:p>
    <w:p w:rsidR="005F0EA6" w:rsidRPr="005F0EA6" w:rsidRDefault="005F0EA6" w:rsidP="005F0EA6">
      <w:pPr>
        <w:rPr>
          <w:rFonts w:asciiTheme="majorHAnsi" w:hAnsiTheme="majorHAnsi"/>
        </w:rPr>
      </w:pPr>
      <w:r w:rsidRPr="005F0EA6">
        <w:rPr>
          <w:rFonts w:asciiTheme="majorHAnsi" w:hAnsiTheme="majorHAnsi"/>
        </w:rPr>
        <w:t xml:space="preserve">Corporate Commonwealth entities are encouraged to use best endeavours to apply the IPP. The IPP does not apply to Commonwealth grants. </w:t>
      </w:r>
    </w:p>
    <w:p w:rsidR="00711B7B" w:rsidRDefault="005F0EA6" w:rsidP="0053561F">
      <w:pPr>
        <w:pStyle w:val="Heading2"/>
      </w:pPr>
      <w:bookmarkStart w:id="29" w:name="_Toc43385052"/>
      <w:r>
        <w:t xml:space="preserve">2.0 </w:t>
      </w:r>
      <w:r w:rsidR="009F43AC">
        <w:t>Mandatory Mi</w:t>
      </w:r>
      <w:r w:rsidR="00D05736">
        <w:t xml:space="preserve">nimum </w:t>
      </w:r>
      <w:r>
        <w:t>I</w:t>
      </w:r>
      <w:r w:rsidR="00F41635">
        <w:t xml:space="preserve">ndigenous Participation </w:t>
      </w:r>
      <w:r w:rsidR="00D05736">
        <w:t>Requirements</w:t>
      </w:r>
      <w:r w:rsidR="00F41635">
        <w:t xml:space="preserve"> (MMR)</w:t>
      </w:r>
      <w:bookmarkEnd w:id="29"/>
    </w:p>
    <w:p w:rsidR="00BE5C7B" w:rsidRDefault="001F73B1" w:rsidP="001F73B1">
      <w:pPr>
        <w:pStyle w:val="BodyText"/>
        <w:rPr>
          <w:rFonts w:asciiTheme="majorHAnsi" w:hAnsiTheme="majorHAnsi"/>
        </w:rPr>
      </w:pPr>
      <w:r w:rsidRPr="00EC4DEF">
        <w:rPr>
          <w:rFonts w:asciiTheme="majorHAnsi" w:hAnsiTheme="majorHAnsi"/>
        </w:rPr>
        <w:t xml:space="preserve">To ensure Indigenous Australians have the opportunity to participate in the delivery of certain high-value Australian Government contracts, the IPP requires Commonwealth entities to </w:t>
      </w:r>
      <w:r w:rsidR="00A6191E">
        <w:rPr>
          <w:rFonts w:asciiTheme="majorHAnsi" w:hAnsiTheme="majorHAnsi"/>
        </w:rPr>
        <w:t>include targets for Indigenous participation in contracts</w:t>
      </w:r>
      <w:r w:rsidR="00C600E6">
        <w:rPr>
          <w:rFonts w:asciiTheme="majorHAnsi" w:hAnsiTheme="majorHAnsi"/>
        </w:rPr>
        <w:t>.</w:t>
      </w:r>
      <w:r w:rsidRPr="00EC4DEF">
        <w:rPr>
          <w:rFonts w:asciiTheme="majorHAnsi" w:hAnsiTheme="majorHAnsi"/>
        </w:rPr>
        <w:t xml:space="preserve"> </w:t>
      </w:r>
      <w:r w:rsidR="00BE5C7B" w:rsidRPr="00BE5C7B">
        <w:rPr>
          <w:rFonts w:asciiTheme="majorHAnsi" w:hAnsiTheme="majorHAnsi"/>
        </w:rPr>
        <w:t xml:space="preserve">These are known as mandatory minimum requirements or MMR.  </w:t>
      </w:r>
    </w:p>
    <w:p w:rsidR="00FC1DA0" w:rsidRPr="001A2866" w:rsidRDefault="00FC1DA0" w:rsidP="00FC1DA0">
      <w:pPr>
        <w:pStyle w:val="BodyText"/>
        <w:rPr>
          <w:rFonts w:asciiTheme="majorHAnsi" w:hAnsiTheme="majorHAnsi"/>
        </w:rPr>
      </w:pPr>
      <w:r>
        <w:rPr>
          <w:rFonts w:asciiTheme="majorHAnsi" w:hAnsiTheme="majorHAnsi"/>
        </w:rPr>
        <w:t>T</w:t>
      </w:r>
      <w:r w:rsidRPr="00E83B3E">
        <w:rPr>
          <w:rFonts w:asciiTheme="majorHAnsi" w:hAnsiTheme="majorHAnsi"/>
        </w:rPr>
        <w:t xml:space="preserve">he IPP requires </w:t>
      </w:r>
      <w:r w:rsidRPr="001A2866">
        <w:rPr>
          <w:rFonts w:asciiTheme="majorHAnsi" w:hAnsiTheme="majorHAnsi"/>
        </w:rPr>
        <w:t xml:space="preserve">Commonwealth entities to consider </w:t>
      </w:r>
      <w:r>
        <w:rPr>
          <w:rFonts w:asciiTheme="majorHAnsi" w:hAnsiTheme="majorHAnsi"/>
        </w:rPr>
        <w:t xml:space="preserve">at the tender evaluation stage all </w:t>
      </w:r>
      <w:r w:rsidRPr="001A2866">
        <w:rPr>
          <w:rFonts w:asciiTheme="majorHAnsi" w:hAnsiTheme="majorHAnsi"/>
        </w:rPr>
        <w:t>tenderers’ current level</w:t>
      </w:r>
      <w:r w:rsidR="00E570EC">
        <w:rPr>
          <w:rFonts w:asciiTheme="majorHAnsi" w:hAnsiTheme="majorHAnsi"/>
        </w:rPr>
        <w:t>s</w:t>
      </w:r>
      <w:r w:rsidRPr="001A2866">
        <w:rPr>
          <w:rFonts w:asciiTheme="majorHAnsi" w:hAnsiTheme="majorHAnsi"/>
        </w:rPr>
        <w:t xml:space="preserve"> of Indigenous participation, past performance against MMR targets and commitment to achieving Indigenous participation outcomes through the delivery of the contract.</w:t>
      </w:r>
    </w:p>
    <w:p w:rsidR="00FC1DA0" w:rsidRDefault="00FC1DA0" w:rsidP="00FC1DA0">
      <w:pPr>
        <w:pStyle w:val="BodyText"/>
        <w:rPr>
          <w:rFonts w:asciiTheme="majorHAnsi" w:hAnsiTheme="majorHAnsi"/>
        </w:rPr>
      </w:pPr>
      <w:r w:rsidRPr="001A2866">
        <w:rPr>
          <w:rFonts w:asciiTheme="majorHAnsi" w:hAnsiTheme="majorHAnsi"/>
        </w:rPr>
        <w:t xml:space="preserve">The Commonwealth entity must </w:t>
      </w:r>
      <w:r w:rsidR="00E570EC">
        <w:rPr>
          <w:rFonts w:asciiTheme="majorHAnsi" w:hAnsiTheme="majorHAnsi"/>
        </w:rPr>
        <w:t xml:space="preserve">then </w:t>
      </w:r>
      <w:r w:rsidRPr="001A2866">
        <w:rPr>
          <w:rFonts w:asciiTheme="majorHAnsi" w:hAnsiTheme="majorHAnsi"/>
        </w:rPr>
        <w:t xml:space="preserve">agree targets during contract negotiations with </w:t>
      </w:r>
      <w:r>
        <w:rPr>
          <w:rFonts w:asciiTheme="majorHAnsi" w:hAnsiTheme="majorHAnsi"/>
        </w:rPr>
        <w:t xml:space="preserve">the preferred </w:t>
      </w:r>
      <w:r w:rsidRPr="001A2866">
        <w:rPr>
          <w:rFonts w:asciiTheme="majorHAnsi" w:hAnsiTheme="majorHAnsi"/>
        </w:rPr>
        <w:t>suppliers.</w:t>
      </w:r>
      <w:r w:rsidRPr="00E83B3E">
        <w:rPr>
          <w:rFonts w:asciiTheme="majorHAnsi" w:hAnsiTheme="majorHAnsi"/>
        </w:rPr>
        <w:t xml:space="preserve"> Targets should reflect an agreed level of Indigenous employment, or an agreed level of Indigenous businesses participation (supplier-us</w:t>
      </w:r>
      <w:r w:rsidR="00A6191E">
        <w:rPr>
          <w:rFonts w:asciiTheme="majorHAnsi" w:hAnsiTheme="majorHAnsi"/>
        </w:rPr>
        <w:t>e</w:t>
      </w:r>
      <w:r w:rsidRPr="00E83B3E">
        <w:rPr>
          <w:rFonts w:asciiTheme="majorHAnsi" w:hAnsiTheme="majorHAnsi"/>
        </w:rPr>
        <w:t xml:space="preserve">), or a combination of both, over the life of the contract. </w:t>
      </w:r>
      <w:r>
        <w:rPr>
          <w:rFonts w:asciiTheme="majorHAnsi" w:hAnsiTheme="majorHAnsi"/>
        </w:rPr>
        <w:t xml:space="preserve">These targets should be applied to the contract itself or the supplier’s Australian based supply chain and or workforce. </w:t>
      </w:r>
    </w:p>
    <w:p w:rsidR="002D3993" w:rsidRPr="00EC4DEF" w:rsidRDefault="002D3993" w:rsidP="00027143">
      <w:pPr>
        <w:pStyle w:val="BodyText"/>
        <w:rPr>
          <w:rFonts w:asciiTheme="majorHAnsi" w:hAnsiTheme="majorHAnsi"/>
        </w:rPr>
      </w:pPr>
      <w:r w:rsidRPr="00EC4DEF">
        <w:rPr>
          <w:rFonts w:asciiTheme="majorHAnsi" w:hAnsiTheme="majorHAnsi"/>
        </w:rPr>
        <w:t xml:space="preserve">A Commonwealth procurement is subject to the MMR if </w:t>
      </w:r>
      <w:r w:rsidR="00517796" w:rsidRPr="00EC4DEF">
        <w:rPr>
          <w:rFonts w:asciiTheme="majorHAnsi" w:hAnsiTheme="majorHAnsi"/>
          <w:u w:val="single"/>
        </w:rPr>
        <w:t>all</w:t>
      </w:r>
      <w:r w:rsidR="00517796" w:rsidRPr="00EC4DEF">
        <w:rPr>
          <w:rFonts w:asciiTheme="majorHAnsi" w:hAnsiTheme="majorHAnsi"/>
        </w:rPr>
        <w:t xml:space="preserve"> </w:t>
      </w:r>
      <w:r w:rsidRPr="00EC4DEF">
        <w:rPr>
          <w:rFonts w:asciiTheme="majorHAnsi" w:hAnsiTheme="majorHAnsi"/>
        </w:rPr>
        <w:t>the following conditions are met:</w:t>
      </w:r>
    </w:p>
    <w:p w:rsidR="002D3993" w:rsidRPr="00EC4DEF" w:rsidRDefault="002D3993" w:rsidP="002D3993">
      <w:pPr>
        <w:pStyle w:val="BodyText"/>
        <w:numPr>
          <w:ilvl w:val="0"/>
          <w:numId w:val="31"/>
        </w:numPr>
        <w:rPr>
          <w:rFonts w:asciiTheme="majorHAnsi" w:hAnsiTheme="majorHAnsi"/>
        </w:rPr>
      </w:pPr>
      <w:r w:rsidRPr="00EC4DEF">
        <w:rPr>
          <w:rFonts w:asciiTheme="majorHAnsi" w:hAnsiTheme="majorHAnsi"/>
        </w:rPr>
        <w:t xml:space="preserve">The procurement is estimated to be of a starting value of </w:t>
      </w:r>
      <w:r w:rsidR="004E07BC" w:rsidRPr="00EC4DEF">
        <w:rPr>
          <w:rFonts w:asciiTheme="majorHAnsi" w:hAnsiTheme="majorHAnsi"/>
        </w:rPr>
        <w:t>$7.5 million (</w:t>
      </w:r>
      <w:r w:rsidR="001659A3">
        <w:rPr>
          <w:rFonts w:asciiTheme="majorHAnsi" w:hAnsiTheme="majorHAnsi"/>
        </w:rPr>
        <w:t>GST inclusive</w:t>
      </w:r>
      <w:r w:rsidR="004E07BC" w:rsidRPr="00EC4DEF">
        <w:rPr>
          <w:rFonts w:asciiTheme="majorHAnsi" w:hAnsiTheme="majorHAnsi"/>
        </w:rPr>
        <w:t xml:space="preserve">) </w:t>
      </w:r>
      <w:r w:rsidR="002964F5">
        <w:rPr>
          <w:rFonts w:asciiTheme="majorHAnsi" w:hAnsiTheme="majorHAnsi"/>
        </w:rPr>
        <w:t>or more</w:t>
      </w:r>
      <w:r w:rsidR="00517796" w:rsidRPr="00EC4DEF">
        <w:rPr>
          <w:rFonts w:asciiTheme="majorHAnsi" w:hAnsiTheme="majorHAnsi"/>
        </w:rPr>
        <w:t>.</w:t>
      </w:r>
    </w:p>
    <w:p w:rsidR="002D3993" w:rsidRPr="00EC4DEF" w:rsidRDefault="002D3993" w:rsidP="002D3993">
      <w:pPr>
        <w:pStyle w:val="BodyText"/>
        <w:numPr>
          <w:ilvl w:val="0"/>
          <w:numId w:val="31"/>
        </w:numPr>
        <w:rPr>
          <w:rFonts w:asciiTheme="majorHAnsi" w:hAnsiTheme="majorHAnsi"/>
        </w:rPr>
      </w:pPr>
      <w:r w:rsidRPr="00EC4DEF">
        <w:rPr>
          <w:rFonts w:asciiTheme="majorHAnsi" w:hAnsiTheme="majorHAnsi"/>
        </w:rPr>
        <w:t>All the goods and services will be delivered wholly within Australia</w:t>
      </w:r>
      <w:r w:rsidR="00517796" w:rsidRPr="00EC4DEF">
        <w:rPr>
          <w:rFonts w:asciiTheme="majorHAnsi" w:hAnsiTheme="majorHAnsi"/>
        </w:rPr>
        <w:t>.</w:t>
      </w:r>
    </w:p>
    <w:p w:rsidR="005C737E" w:rsidRPr="00EC4DEF" w:rsidRDefault="002D3993" w:rsidP="00F41635">
      <w:pPr>
        <w:pStyle w:val="NumberedListlvl1"/>
        <w:numPr>
          <w:ilvl w:val="0"/>
          <w:numId w:val="31"/>
        </w:numPr>
        <w:rPr>
          <w:rFonts w:asciiTheme="majorHAnsi" w:hAnsiTheme="majorHAnsi"/>
        </w:rPr>
      </w:pPr>
      <w:r w:rsidRPr="00EC4DEF">
        <w:rPr>
          <w:rFonts w:asciiTheme="majorHAnsi" w:hAnsiTheme="majorHAnsi"/>
        </w:rPr>
        <w:t>The majority of the value of the procurement falls within one or more of the 19 specified industry categories as listed in Figure 1.</w:t>
      </w:r>
    </w:p>
    <w:p w:rsidR="005C737E" w:rsidRDefault="00FC1DA0" w:rsidP="005F0EA6">
      <w:r w:rsidDel="00FC1DA0">
        <w:t xml:space="preserve"> </w:t>
      </w:r>
    </w:p>
    <w:p w:rsidR="0062445C" w:rsidRDefault="0062445C">
      <w:pPr>
        <w:rPr>
          <w:rStyle w:val="Strong"/>
          <w:rFonts w:asciiTheme="majorHAnsi" w:hAnsiTheme="majorHAnsi"/>
        </w:rPr>
      </w:pPr>
      <w:r>
        <w:rPr>
          <w:rStyle w:val="Strong"/>
          <w:rFonts w:asciiTheme="majorHAnsi" w:hAnsiTheme="majorHAnsi"/>
        </w:rPr>
        <w:br w:type="page"/>
      </w:r>
    </w:p>
    <w:p w:rsidR="00DD3648" w:rsidRDefault="00DD3648" w:rsidP="00DD3648">
      <w:pPr>
        <w:pStyle w:val="EmphasisPanelHeading"/>
      </w:pPr>
      <w:r>
        <w:lastRenderedPageBreak/>
        <w:t>Figure 1. Industry sectors subject to MMR</w:t>
      </w:r>
    </w:p>
    <w:p w:rsidR="00FC1DA0" w:rsidRPr="003549E6" w:rsidRDefault="00FC1DA0" w:rsidP="00FC1DA0">
      <w:pPr>
        <w:pStyle w:val="EmphasisPanelBullet"/>
        <w:numPr>
          <w:ilvl w:val="0"/>
          <w:numId w:val="0"/>
        </w:numPr>
        <w:ind w:left="567" w:hanging="369"/>
        <w:rPr>
          <w:rFonts w:asciiTheme="majorHAnsi" w:hAnsiTheme="majorHAnsi"/>
          <w:b/>
        </w:rPr>
      </w:pPr>
      <w:r w:rsidRPr="003549E6">
        <w:rPr>
          <w:rFonts w:asciiTheme="majorHAnsi" w:hAnsiTheme="majorHAnsi"/>
          <w:b/>
        </w:rPr>
        <w:t>Code</w:t>
      </w:r>
      <w:r w:rsidRPr="003549E6">
        <w:rPr>
          <w:rFonts w:asciiTheme="majorHAnsi" w:hAnsiTheme="majorHAnsi"/>
          <w:b/>
        </w:rPr>
        <w:tab/>
      </w:r>
      <w:r>
        <w:rPr>
          <w:rFonts w:asciiTheme="majorHAnsi" w:hAnsiTheme="majorHAnsi"/>
          <w:b/>
        </w:rPr>
        <w:t xml:space="preserve">Industry </w:t>
      </w:r>
      <w:r w:rsidRPr="003549E6">
        <w:rPr>
          <w:rFonts w:asciiTheme="majorHAnsi" w:hAnsiTheme="majorHAnsi"/>
          <w:b/>
        </w:rPr>
        <w:t>Category</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64</w:t>
      </w:r>
      <w:r>
        <w:rPr>
          <w:rFonts w:asciiTheme="majorHAnsi" w:hAnsiTheme="majorHAnsi"/>
        </w:rPr>
        <w:tab/>
        <w:t xml:space="preserve"> </w:t>
      </w:r>
      <w:r>
        <w:rPr>
          <w:rFonts w:asciiTheme="majorHAnsi" w:hAnsiTheme="majorHAnsi"/>
        </w:rPr>
        <w:tab/>
      </w:r>
      <w:r>
        <w:rPr>
          <w:rFonts w:asciiTheme="majorHAnsi" w:hAnsiTheme="majorHAnsi"/>
        </w:rPr>
        <w:tab/>
      </w:r>
      <w:r w:rsidRPr="00E83B3E">
        <w:rPr>
          <w:rFonts w:asciiTheme="majorHAnsi" w:hAnsiTheme="majorHAnsi"/>
        </w:rPr>
        <w:t>financial instruments, products, contracts and agreements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70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farming and fishing and forestry and wildlife</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71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mining and oil and gas services</w:t>
      </w:r>
    </w:p>
    <w:p w:rsidR="00FC1DA0" w:rsidRDefault="00FC1DA0" w:rsidP="00EC4DEF">
      <w:pPr>
        <w:pStyle w:val="EmphasisPanelBullet"/>
        <w:numPr>
          <w:ilvl w:val="0"/>
          <w:numId w:val="0"/>
        </w:numPr>
        <w:spacing w:before="0" w:after="0" w:line="240" w:lineRule="auto"/>
        <w:ind w:left="567" w:hanging="369"/>
        <w:rPr>
          <w:rFonts w:asciiTheme="majorHAnsi" w:hAnsiTheme="majorHAnsi"/>
        </w:rPr>
      </w:pPr>
      <w:r w:rsidRPr="003549E6">
        <w:t xml:space="preserve">72 </w:t>
      </w:r>
      <w:r>
        <w:tab/>
      </w:r>
      <w:r>
        <w:tab/>
      </w:r>
      <w:r>
        <w:tab/>
      </w:r>
      <w:r w:rsidRPr="00E83B3E">
        <w:rPr>
          <w:rFonts w:asciiTheme="majorHAnsi" w:hAnsiTheme="majorHAnsi"/>
        </w:rPr>
        <w:t>building and facility construction and maintenance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73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industrial production and manufacturing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76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industrial cleaning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77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environmental services</w:t>
      </w:r>
    </w:p>
    <w:p w:rsidR="00FC1DA0"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78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transportation, storage and mail services</w:t>
      </w:r>
    </w:p>
    <w:p w:rsidR="00FC1DA0" w:rsidRPr="00E83B3E" w:rsidRDefault="00FC1DA0" w:rsidP="00EC4DEF">
      <w:pPr>
        <w:pStyle w:val="EmphasisPanelBullet"/>
        <w:numPr>
          <w:ilvl w:val="0"/>
          <w:numId w:val="0"/>
        </w:numPr>
        <w:spacing w:before="0" w:after="0" w:line="240" w:lineRule="auto"/>
        <w:ind w:left="1440" w:hanging="1242"/>
        <w:rPr>
          <w:rFonts w:asciiTheme="majorHAnsi" w:hAnsiTheme="majorHAnsi"/>
        </w:rPr>
      </w:pPr>
      <w:r>
        <w:rPr>
          <w:rFonts w:asciiTheme="majorHAnsi" w:hAnsiTheme="majorHAnsi"/>
        </w:rPr>
        <w:t xml:space="preserve">80 </w:t>
      </w:r>
      <w:r>
        <w:rPr>
          <w:rFonts w:asciiTheme="majorHAnsi" w:hAnsiTheme="majorHAnsi"/>
        </w:rPr>
        <w:tab/>
      </w:r>
      <w:r w:rsidRPr="00E83B3E">
        <w:rPr>
          <w:rFonts w:asciiTheme="majorHAnsi" w:hAnsiTheme="majorHAnsi"/>
        </w:rPr>
        <w:t>management and business professionals and administrative services</w:t>
      </w:r>
      <w:r>
        <w:rPr>
          <w:rFonts w:asciiTheme="majorHAnsi" w:hAnsiTheme="majorHAnsi"/>
        </w:rPr>
        <w:t xml:space="preserve"> (sub-category exemptions apply</w:t>
      </w:r>
      <w:r w:rsidRPr="00E83B3E">
        <w:rPr>
          <w:rFonts w:asciiTheme="majorHAnsi" w:hAnsiTheme="majorHAnsi"/>
        </w:rPr>
        <w:t>)</w:t>
      </w:r>
    </w:p>
    <w:p w:rsidR="00FC1DA0"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81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engineering and research and technology-based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82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editorial and design and graphic and fine art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84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financial and insurance services</w:t>
      </w:r>
      <w:r>
        <w:rPr>
          <w:rFonts w:asciiTheme="majorHAnsi" w:hAnsiTheme="majorHAnsi"/>
        </w:rPr>
        <w:t xml:space="preserve"> (sub-category exemptions apply</w:t>
      </w:r>
      <w:r w:rsidRPr="00E83B3E">
        <w:rPr>
          <w:rFonts w:asciiTheme="majorHAnsi" w:hAnsiTheme="majorHAnsi"/>
        </w:rPr>
        <w:t>)</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85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healthcare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86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education and training services</w:t>
      </w:r>
    </w:p>
    <w:p w:rsidR="00FC1DA0"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90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travel and food and lodging and entertainment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91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personal and domestic services</w:t>
      </w:r>
    </w:p>
    <w:p w:rsidR="00FC1DA0" w:rsidRPr="00E83B3E" w:rsidRDefault="00FC1DA0" w:rsidP="00EC4DEF">
      <w:pPr>
        <w:pStyle w:val="EmphasisPanelBullet"/>
        <w:numPr>
          <w:ilvl w:val="0"/>
          <w:numId w:val="0"/>
        </w:numPr>
        <w:spacing w:before="0" w:after="0" w:line="240" w:lineRule="auto"/>
        <w:ind w:left="1440" w:hanging="1242"/>
        <w:rPr>
          <w:rFonts w:asciiTheme="majorHAnsi" w:hAnsiTheme="majorHAnsi"/>
        </w:rPr>
      </w:pPr>
      <w:r>
        <w:rPr>
          <w:rFonts w:asciiTheme="majorHAnsi" w:hAnsiTheme="majorHAnsi"/>
        </w:rPr>
        <w:t xml:space="preserve">92 </w:t>
      </w:r>
      <w:r>
        <w:rPr>
          <w:rFonts w:asciiTheme="majorHAnsi" w:hAnsiTheme="majorHAnsi"/>
        </w:rPr>
        <w:tab/>
      </w:r>
      <w:r w:rsidRPr="00E83B3E">
        <w:rPr>
          <w:rFonts w:asciiTheme="majorHAnsi" w:hAnsiTheme="majorHAnsi"/>
        </w:rPr>
        <w:t>national defence and public order and security and safety services</w:t>
      </w:r>
      <w:r>
        <w:rPr>
          <w:rFonts w:asciiTheme="majorHAnsi" w:hAnsiTheme="majorHAnsi"/>
        </w:rPr>
        <w:t xml:space="preserve"> (sub-category exemption apply</w:t>
      </w:r>
      <w:r w:rsidRPr="00E83B3E">
        <w:rPr>
          <w:rFonts w:asciiTheme="majorHAnsi" w:hAnsiTheme="majorHAnsi"/>
        </w:rPr>
        <w:t>)</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93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politics and civic affairs services</w:t>
      </w:r>
    </w:p>
    <w:p w:rsidR="00FC1DA0" w:rsidRPr="00E83B3E" w:rsidRDefault="00FC1DA0" w:rsidP="00EC4DEF">
      <w:pPr>
        <w:pStyle w:val="EmphasisPanelBullet"/>
        <w:numPr>
          <w:ilvl w:val="0"/>
          <w:numId w:val="0"/>
        </w:numPr>
        <w:spacing w:before="0" w:after="0" w:line="240" w:lineRule="auto"/>
        <w:ind w:left="567" w:hanging="369"/>
        <w:rPr>
          <w:rFonts w:asciiTheme="majorHAnsi" w:hAnsiTheme="majorHAnsi"/>
        </w:rPr>
      </w:pPr>
      <w:r>
        <w:rPr>
          <w:rFonts w:asciiTheme="majorHAnsi" w:hAnsiTheme="majorHAnsi"/>
        </w:rPr>
        <w:t xml:space="preserve">94 </w:t>
      </w:r>
      <w:r>
        <w:rPr>
          <w:rFonts w:asciiTheme="majorHAnsi" w:hAnsiTheme="majorHAnsi"/>
        </w:rPr>
        <w:tab/>
      </w:r>
      <w:r>
        <w:rPr>
          <w:rFonts w:asciiTheme="majorHAnsi" w:hAnsiTheme="majorHAnsi"/>
        </w:rPr>
        <w:tab/>
      </w:r>
      <w:r>
        <w:rPr>
          <w:rFonts w:asciiTheme="majorHAnsi" w:hAnsiTheme="majorHAnsi"/>
        </w:rPr>
        <w:tab/>
      </w:r>
      <w:r w:rsidRPr="00E83B3E">
        <w:rPr>
          <w:rFonts w:asciiTheme="majorHAnsi" w:hAnsiTheme="majorHAnsi"/>
        </w:rPr>
        <w:t>organisations and clubs</w:t>
      </w:r>
    </w:p>
    <w:p w:rsidR="00FC1DA0" w:rsidRPr="00E83B3E" w:rsidRDefault="00FC1DA0" w:rsidP="00FC1DA0">
      <w:pPr>
        <w:pStyle w:val="EmphasisPanelBody"/>
        <w:rPr>
          <w:rFonts w:asciiTheme="majorHAnsi" w:hAnsiTheme="majorHAnsi"/>
        </w:rPr>
      </w:pPr>
      <w:r w:rsidRPr="00E83B3E">
        <w:rPr>
          <w:rFonts w:asciiTheme="majorHAnsi" w:hAnsiTheme="majorHAnsi"/>
        </w:rPr>
        <w:t xml:space="preserve">These sectors are determined by the United Nations Standards Products and Services Codes (UNSPSC) which is an open, global, multi-sector standard for efficient accurate classification of products and services for buying, selling or otherwise exchanging goods and services in the global marketplace. </w:t>
      </w:r>
    </w:p>
    <w:p w:rsidR="00FC1DA0" w:rsidRPr="00E83B3E" w:rsidRDefault="00FC1DA0" w:rsidP="00FC1DA0">
      <w:pPr>
        <w:pStyle w:val="EmphasisPanelBody"/>
        <w:rPr>
          <w:rFonts w:asciiTheme="majorHAnsi" w:hAnsiTheme="majorHAnsi"/>
        </w:rPr>
      </w:pPr>
      <w:r w:rsidRPr="00E83B3E">
        <w:rPr>
          <w:rFonts w:asciiTheme="majorHAnsi" w:hAnsiTheme="majorHAnsi"/>
        </w:rPr>
        <w:t xml:space="preserve">The UNSPSC is used for reporting procurement activity across the Australian Government, including under the IPP. The UNSPSC is used by </w:t>
      </w:r>
      <w:r>
        <w:rPr>
          <w:rFonts w:asciiTheme="majorHAnsi" w:hAnsiTheme="majorHAnsi"/>
        </w:rPr>
        <w:t xml:space="preserve">entities </w:t>
      </w:r>
      <w:r w:rsidRPr="00E83B3E">
        <w:rPr>
          <w:rFonts w:asciiTheme="majorHAnsi" w:hAnsiTheme="majorHAnsi"/>
        </w:rPr>
        <w:t>to decide whether a contract must meet MMRs.</w:t>
      </w:r>
    </w:p>
    <w:p w:rsidR="00FC1DA0" w:rsidRPr="00E83B3E" w:rsidRDefault="00FC1DA0" w:rsidP="00FC1DA0">
      <w:pPr>
        <w:pStyle w:val="EmphasisPanelBody"/>
        <w:rPr>
          <w:rFonts w:asciiTheme="majorHAnsi" w:hAnsiTheme="majorHAnsi"/>
        </w:rPr>
      </w:pPr>
      <w:r w:rsidRPr="00E83B3E">
        <w:rPr>
          <w:rFonts w:asciiTheme="majorHAnsi" w:hAnsiTheme="majorHAnsi"/>
        </w:rPr>
        <w:t xml:space="preserve">To find out more, refer to </w:t>
      </w:r>
      <w:r>
        <w:rPr>
          <w:rFonts w:asciiTheme="majorHAnsi" w:hAnsiTheme="majorHAnsi"/>
        </w:rPr>
        <w:t xml:space="preserve">the </w:t>
      </w:r>
      <w:r w:rsidRPr="00E83B3E">
        <w:rPr>
          <w:rFonts w:asciiTheme="majorHAnsi" w:hAnsiTheme="majorHAnsi"/>
        </w:rPr>
        <w:t xml:space="preserve">NIAA website: </w:t>
      </w:r>
      <w:hyperlink r:id="rId22" w:history="1">
        <w:r w:rsidRPr="00E83B3E">
          <w:rPr>
            <w:rFonts w:asciiTheme="majorHAnsi" w:hAnsiTheme="majorHAnsi"/>
            <w:color w:val="0289C8" w:themeColor="hyperlink"/>
            <w:u w:val="single"/>
          </w:rPr>
          <w:t>www.niaa.gov.au/resource-centre/indigenous-affairs/united-nations-standard-products-and-service-codes</w:t>
        </w:r>
      </w:hyperlink>
      <w:r w:rsidRPr="00E83B3E">
        <w:rPr>
          <w:rFonts w:asciiTheme="majorHAnsi" w:hAnsiTheme="majorHAnsi"/>
        </w:rPr>
        <w:t xml:space="preserve"> </w:t>
      </w:r>
    </w:p>
    <w:p w:rsidR="00DD3648" w:rsidRDefault="00DD3648" w:rsidP="00DD3648">
      <w:pPr>
        <w:pStyle w:val="EmphasisPanelHeading"/>
      </w:pPr>
    </w:p>
    <w:p w:rsidR="00DD3648" w:rsidRDefault="00DD3648" w:rsidP="00DD3648">
      <w:pPr>
        <w:pStyle w:val="EmphasisPanelHeading"/>
      </w:pPr>
      <w:r>
        <w:t>Figure 2. Sub-category MMR exemptions</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80131500</w:t>
      </w:r>
      <w:r>
        <w:rPr>
          <w:rFonts w:asciiTheme="majorHAnsi" w:hAnsiTheme="majorHAnsi"/>
        </w:rPr>
        <w:tab/>
      </w:r>
      <w:r w:rsidRPr="00E83B3E">
        <w:rPr>
          <w:rFonts w:asciiTheme="majorHAnsi" w:hAnsiTheme="majorHAnsi"/>
        </w:rPr>
        <w:t>Lease and Rental of property or building</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80131501</w:t>
      </w:r>
      <w:r>
        <w:rPr>
          <w:rFonts w:asciiTheme="majorHAnsi" w:hAnsiTheme="majorHAnsi"/>
        </w:rPr>
        <w:tab/>
      </w:r>
      <w:r w:rsidRPr="00E83B3E">
        <w:rPr>
          <w:rFonts w:asciiTheme="majorHAnsi" w:hAnsiTheme="majorHAnsi"/>
        </w:rPr>
        <w:t>Land Leases</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80131503</w:t>
      </w:r>
      <w:r>
        <w:rPr>
          <w:rFonts w:asciiTheme="majorHAnsi" w:hAnsiTheme="majorHAnsi"/>
        </w:rPr>
        <w:tab/>
      </w:r>
      <w:r w:rsidRPr="00E83B3E">
        <w:rPr>
          <w:rFonts w:asciiTheme="majorHAnsi" w:hAnsiTheme="majorHAnsi"/>
        </w:rPr>
        <w:t>Residential leases</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84130000</w:t>
      </w:r>
      <w:r>
        <w:rPr>
          <w:rFonts w:asciiTheme="majorHAnsi" w:hAnsiTheme="majorHAnsi"/>
        </w:rPr>
        <w:tab/>
      </w:r>
      <w:r w:rsidRPr="00E83B3E">
        <w:rPr>
          <w:rFonts w:asciiTheme="majorHAnsi" w:hAnsiTheme="majorHAnsi"/>
        </w:rPr>
        <w:t>Insurance and retirement services</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84131800</w:t>
      </w:r>
      <w:r>
        <w:rPr>
          <w:rFonts w:asciiTheme="majorHAnsi" w:hAnsiTheme="majorHAnsi"/>
        </w:rPr>
        <w:tab/>
      </w:r>
      <w:r w:rsidRPr="00E83B3E">
        <w:rPr>
          <w:rFonts w:asciiTheme="majorHAnsi" w:hAnsiTheme="majorHAnsi"/>
        </w:rPr>
        <w:t>Retirement funds</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92110000</w:t>
      </w:r>
      <w:r>
        <w:rPr>
          <w:rFonts w:asciiTheme="majorHAnsi" w:hAnsiTheme="majorHAnsi"/>
        </w:rPr>
        <w:tab/>
      </w:r>
      <w:r w:rsidRPr="00E83B3E">
        <w:rPr>
          <w:rFonts w:asciiTheme="majorHAnsi" w:hAnsiTheme="majorHAnsi"/>
        </w:rPr>
        <w:t>Military services and national defence</w:t>
      </w:r>
    </w:p>
    <w:p w:rsidR="00FC1DA0" w:rsidRPr="00E83B3E" w:rsidRDefault="00FC1DA0" w:rsidP="00EE1222">
      <w:pPr>
        <w:pStyle w:val="EmphasisPanelBody"/>
        <w:spacing w:before="0" w:after="0" w:line="240" w:lineRule="auto"/>
        <w:rPr>
          <w:rFonts w:asciiTheme="majorHAnsi" w:hAnsiTheme="majorHAnsi"/>
        </w:rPr>
      </w:pPr>
      <w:r>
        <w:rPr>
          <w:rFonts w:asciiTheme="majorHAnsi" w:hAnsiTheme="majorHAnsi"/>
        </w:rPr>
        <w:t>92111700</w:t>
      </w:r>
      <w:r>
        <w:rPr>
          <w:rFonts w:asciiTheme="majorHAnsi" w:hAnsiTheme="majorHAnsi"/>
        </w:rPr>
        <w:tab/>
      </w:r>
      <w:r w:rsidRPr="00E83B3E">
        <w:rPr>
          <w:rFonts w:asciiTheme="majorHAnsi" w:hAnsiTheme="majorHAnsi"/>
        </w:rPr>
        <w:t>Military science and research</w:t>
      </w:r>
    </w:p>
    <w:p w:rsidR="00F41635" w:rsidRDefault="00F41635">
      <w:pPr>
        <w:rPr>
          <w:rFonts w:asciiTheme="majorHAnsi" w:eastAsiaTheme="majorEastAsia" w:hAnsiTheme="majorHAnsi" w:cstheme="majorBidi"/>
          <w:b/>
          <w:color w:val="DD7500" w:themeColor="accent4"/>
          <w:sz w:val="40"/>
          <w:szCs w:val="40"/>
        </w:rPr>
      </w:pPr>
      <w:r>
        <w:br w:type="page"/>
      </w:r>
    </w:p>
    <w:p w:rsidR="005C737E" w:rsidRDefault="00DD3648" w:rsidP="00702C7A">
      <w:pPr>
        <w:pStyle w:val="Heading2"/>
      </w:pPr>
      <w:bookmarkStart w:id="30" w:name="_Toc43385053"/>
      <w:r>
        <w:lastRenderedPageBreak/>
        <w:t>3</w:t>
      </w:r>
      <w:r w:rsidR="00F41635">
        <w:t>.0</w:t>
      </w:r>
      <w:r w:rsidR="00031E27">
        <w:tab/>
      </w:r>
      <w:r w:rsidR="005C737E">
        <w:t>MMR Targets</w:t>
      </w:r>
      <w:bookmarkEnd w:id="30"/>
      <w:r w:rsidR="005C737E">
        <w:t xml:space="preserve"> </w:t>
      </w:r>
    </w:p>
    <w:p w:rsidR="001F73B1" w:rsidRPr="00E83B3E" w:rsidRDefault="001F73B1" w:rsidP="001F73B1">
      <w:pPr>
        <w:pStyle w:val="BodyText"/>
        <w:rPr>
          <w:rFonts w:asciiTheme="majorHAnsi" w:hAnsiTheme="majorHAnsi"/>
        </w:rPr>
      </w:pPr>
      <w:r w:rsidRPr="00E83B3E">
        <w:rPr>
          <w:rFonts w:asciiTheme="majorHAnsi" w:hAnsiTheme="majorHAnsi"/>
        </w:rPr>
        <w:t>MMR targets for Indigenous employment or supply-use</w:t>
      </w:r>
      <w:r w:rsidR="00B310BD">
        <w:rPr>
          <w:rFonts w:asciiTheme="majorHAnsi" w:hAnsiTheme="majorHAnsi"/>
        </w:rPr>
        <w:t xml:space="preserve"> (or a combination of both)</w:t>
      </w:r>
      <w:r w:rsidRPr="00E83B3E">
        <w:rPr>
          <w:rFonts w:asciiTheme="majorHAnsi" w:hAnsiTheme="majorHAnsi"/>
        </w:rPr>
        <w:t xml:space="preserve"> </w:t>
      </w:r>
      <w:r w:rsidR="00A30A75">
        <w:rPr>
          <w:rFonts w:asciiTheme="majorHAnsi" w:hAnsiTheme="majorHAnsi"/>
        </w:rPr>
        <w:t xml:space="preserve">are </w:t>
      </w:r>
      <w:r w:rsidRPr="00E83B3E">
        <w:rPr>
          <w:rFonts w:asciiTheme="majorHAnsi" w:hAnsiTheme="majorHAnsi"/>
        </w:rPr>
        <w:t xml:space="preserve">applied to the work associated with delivering the contract (contract-based) or the supplier’s organisation (organisation-based). If a contract </w:t>
      </w:r>
      <w:r w:rsidR="00A30A75">
        <w:rPr>
          <w:rFonts w:asciiTheme="majorHAnsi" w:hAnsiTheme="majorHAnsi"/>
        </w:rPr>
        <w:t xml:space="preserve">is being </w:t>
      </w:r>
      <w:r w:rsidRPr="00E83B3E">
        <w:rPr>
          <w:rFonts w:asciiTheme="majorHAnsi" w:hAnsiTheme="majorHAnsi"/>
        </w:rPr>
        <w:t xml:space="preserve">delivered in remote Australia, the targets must reflect a significant employment or supply-use </w:t>
      </w:r>
      <w:r w:rsidR="00B310BD">
        <w:rPr>
          <w:rFonts w:asciiTheme="majorHAnsi" w:hAnsiTheme="majorHAnsi"/>
        </w:rPr>
        <w:t xml:space="preserve">(or a combination of both) </w:t>
      </w:r>
      <w:r w:rsidRPr="00E83B3E">
        <w:rPr>
          <w:rFonts w:asciiTheme="majorHAnsi" w:hAnsiTheme="majorHAnsi"/>
        </w:rPr>
        <w:t>outcome</w:t>
      </w:r>
      <w:r w:rsidR="00A30A75">
        <w:rPr>
          <w:rFonts w:asciiTheme="majorHAnsi" w:hAnsiTheme="majorHAnsi"/>
        </w:rPr>
        <w:t xml:space="preserve"> for Indigenous people in</w:t>
      </w:r>
      <w:r w:rsidRPr="00E83B3E">
        <w:rPr>
          <w:rFonts w:asciiTheme="majorHAnsi" w:hAnsiTheme="majorHAnsi"/>
        </w:rPr>
        <w:t xml:space="preserve"> that area. </w:t>
      </w:r>
    </w:p>
    <w:p w:rsidR="001F73B1" w:rsidRPr="00E83B3E" w:rsidRDefault="001F73B1" w:rsidP="001F73B1">
      <w:pPr>
        <w:pStyle w:val="BodyText"/>
        <w:rPr>
          <w:rFonts w:asciiTheme="majorHAnsi" w:hAnsiTheme="majorHAnsi"/>
        </w:rPr>
      </w:pPr>
      <w:r w:rsidRPr="00E83B3E">
        <w:rPr>
          <w:rFonts w:asciiTheme="majorHAnsi" w:hAnsiTheme="majorHAnsi"/>
        </w:rPr>
        <w:t xml:space="preserve">The MMR </w:t>
      </w:r>
      <w:r>
        <w:rPr>
          <w:rFonts w:asciiTheme="majorHAnsi" w:hAnsiTheme="majorHAnsi"/>
        </w:rPr>
        <w:t xml:space="preserve">(both remote and non-remote) </w:t>
      </w:r>
      <w:r w:rsidRPr="00E83B3E">
        <w:rPr>
          <w:rFonts w:asciiTheme="majorHAnsi" w:hAnsiTheme="majorHAnsi"/>
        </w:rPr>
        <w:t xml:space="preserve">are typically applied at the contract level, but suppliers can apply to </w:t>
      </w:r>
      <w:r>
        <w:rPr>
          <w:rFonts w:asciiTheme="majorHAnsi" w:hAnsiTheme="majorHAnsi"/>
        </w:rPr>
        <w:t xml:space="preserve">procuring officials and contract managers </w:t>
      </w:r>
      <w:r w:rsidRPr="00E83B3E">
        <w:rPr>
          <w:rFonts w:asciiTheme="majorHAnsi" w:hAnsiTheme="majorHAnsi"/>
        </w:rPr>
        <w:t xml:space="preserve">to have the MMR applied at the organisation level where appropriate. </w:t>
      </w:r>
    </w:p>
    <w:p w:rsidR="001F73B1" w:rsidRDefault="001F73B1" w:rsidP="004A1911">
      <w:pPr>
        <w:pStyle w:val="BodyText"/>
        <w:rPr>
          <w:rFonts w:asciiTheme="majorHAnsi" w:hAnsiTheme="majorHAnsi"/>
        </w:rPr>
      </w:pPr>
      <w:r>
        <w:rPr>
          <w:rFonts w:asciiTheme="majorHAnsi" w:hAnsiTheme="majorHAnsi"/>
        </w:rPr>
        <w:t>Procuring officials</w:t>
      </w:r>
      <w:r w:rsidRPr="00E83B3E">
        <w:rPr>
          <w:rFonts w:asciiTheme="majorHAnsi" w:hAnsiTheme="majorHAnsi"/>
        </w:rPr>
        <w:t xml:space="preserve"> </w:t>
      </w:r>
      <w:r w:rsidR="0029213E">
        <w:rPr>
          <w:rFonts w:asciiTheme="majorHAnsi" w:hAnsiTheme="majorHAnsi"/>
        </w:rPr>
        <w:t>will</w:t>
      </w:r>
      <w:r w:rsidRPr="00E83B3E">
        <w:rPr>
          <w:rFonts w:asciiTheme="majorHAnsi" w:hAnsiTheme="majorHAnsi"/>
        </w:rPr>
        <w:t xml:space="preserve"> advise all tenderers of their MMR obligations at the approach to market stage. These requirements will inform each tenderer’s Indigenous Participation Plan </w:t>
      </w:r>
      <w:r w:rsidR="00E570EC">
        <w:rPr>
          <w:rFonts w:asciiTheme="majorHAnsi" w:hAnsiTheme="majorHAnsi"/>
        </w:rPr>
        <w:t xml:space="preserve">(see Section 4.3) </w:t>
      </w:r>
      <w:r w:rsidRPr="00E83B3E">
        <w:rPr>
          <w:rFonts w:asciiTheme="majorHAnsi" w:hAnsiTheme="majorHAnsi"/>
        </w:rPr>
        <w:t>that must be submitted as part of the tender submission</w:t>
      </w:r>
      <w:r w:rsidR="00A6191E">
        <w:rPr>
          <w:rFonts w:asciiTheme="majorHAnsi" w:hAnsiTheme="majorHAnsi"/>
        </w:rPr>
        <w:t xml:space="preserve">. The agreed Indigenous Participation Plan will be </w:t>
      </w:r>
      <w:r w:rsidRPr="00E83B3E">
        <w:rPr>
          <w:rFonts w:asciiTheme="majorHAnsi" w:hAnsiTheme="majorHAnsi"/>
        </w:rPr>
        <w:t>included in the final contract</w:t>
      </w:r>
      <w:r w:rsidR="004A1911">
        <w:rPr>
          <w:rFonts w:asciiTheme="majorHAnsi" w:hAnsiTheme="majorHAnsi"/>
        </w:rPr>
        <w:t>.</w:t>
      </w:r>
      <w:r w:rsidRPr="00E83B3E">
        <w:rPr>
          <w:rFonts w:asciiTheme="majorHAnsi" w:hAnsiTheme="majorHAnsi"/>
        </w:rPr>
        <w:t xml:space="preserve"> </w:t>
      </w:r>
    </w:p>
    <w:p w:rsidR="001F73B1" w:rsidRDefault="001F73B1" w:rsidP="001F73B1">
      <w:pPr>
        <w:pStyle w:val="BodyText"/>
        <w:rPr>
          <w:rFonts w:asciiTheme="majorHAnsi" w:hAnsiTheme="majorHAnsi"/>
        </w:rPr>
      </w:pPr>
    </w:p>
    <w:tbl>
      <w:tblPr>
        <w:tblStyle w:val="GridTable5Dark-Accent5"/>
        <w:tblW w:w="9901" w:type="dxa"/>
        <w:tblLook w:val="0420" w:firstRow="1" w:lastRow="0" w:firstColumn="0" w:lastColumn="0" w:noHBand="0" w:noVBand="1"/>
      </w:tblPr>
      <w:tblGrid>
        <w:gridCol w:w="2123"/>
        <w:gridCol w:w="2514"/>
        <w:gridCol w:w="2702"/>
        <w:gridCol w:w="2562"/>
      </w:tblGrid>
      <w:tr w:rsidR="004A1911" w:rsidRPr="004A1911" w:rsidTr="008F5D55">
        <w:trPr>
          <w:cnfStyle w:val="100000000000" w:firstRow="1" w:lastRow="0" w:firstColumn="0" w:lastColumn="0" w:oddVBand="0" w:evenVBand="0" w:oddHBand="0" w:evenHBand="0" w:firstRowFirstColumn="0" w:firstRowLastColumn="0" w:lastRowFirstColumn="0" w:lastRowLastColumn="0"/>
          <w:trHeight w:val="253"/>
        </w:trPr>
        <w:tc>
          <w:tcPr>
            <w:tcW w:w="9901" w:type="dxa"/>
            <w:gridSpan w:val="4"/>
          </w:tcPr>
          <w:p w:rsidR="004A1911" w:rsidRPr="005F0EA6" w:rsidRDefault="004A1911" w:rsidP="006F7C43">
            <w:pPr>
              <w:pStyle w:val="BodyText"/>
              <w:rPr>
                <w:rFonts w:asciiTheme="majorHAnsi" w:hAnsiTheme="majorHAnsi"/>
              </w:rPr>
            </w:pPr>
            <w:r w:rsidRPr="005F0EA6">
              <w:rPr>
                <w:rFonts w:asciiTheme="majorHAnsi" w:hAnsiTheme="majorHAnsi"/>
              </w:rPr>
              <w:t xml:space="preserve">Table 1 </w:t>
            </w:r>
            <w:r w:rsidR="004110F9">
              <w:rPr>
                <w:rFonts w:asciiTheme="majorHAnsi" w:hAnsiTheme="majorHAnsi"/>
              </w:rPr>
              <w:tab/>
            </w:r>
            <w:r w:rsidR="004110F9">
              <w:rPr>
                <w:rFonts w:asciiTheme="majorHAnsi" w:hAnsiTheme="majorHAnsi"/>
              </w:rPr>
              <w:tab/>
            </w:r>
            <w:r w:rsidR="004110F9">
              <w:rPr>
                <w:rFonts w:asciiTheme="majorHAnsi" w:hAnsiTheme="majorHAnsi"/>
              </w:rPr>
              <w:tab/>
            </w:r>
            <w:r w:rsidR="004110F9">
              <w:rPr>
                <w:rFonts w:asciiTheme="majorHAnsi" w:hAnsiTheme="majorHAnsi"/>
              </w:rPr>
              <w:tab/>
            </w:r>
            <w:r w:rsidR="004110F9">
              <w:rPr>
                <w:rFonts w:asciiTheme="majorHAnsi" w:hAnsiTheme="majorHAnsi"/>
              </w:rPr>
              <w:tab/>
            </w:r>
            <w:r w:rsidRPr="005F0EA6">
              <w:rPr>
                <w:rFonts w:asciiTheme="majorHAnsi" w:hAnsiTheme="majorHAnsi"/>
              </w:rPr>
              <w:t>MMR targets</w:t>
            </w:r>
          </w:p>
          <w:p w:rsidR="004A1911" w:rsidRPr="005F0EA6" w:rsidRDefault="004A1911" w:rsidP="004B2ACC">
            <w:pPr>
              <w:pStyle w:val="BodyText"/>
              <w:jc w:val="center"/>
              <w:rPr>
                <w:rFonts w:asciiTheme="majorHAnsi" w:hAnsiTheme="majorHAnsi"/>
                <w:lang w:val="en-US"/>
              </w:rPr>
            </w:pPr>
          </w:p>
        </w:tc>
      </w:tr>
      <w:tr w:rsidR="001F73B1" w:rsidRPr="004A1911" w:rsidTr="004B2ACC">
        <w:trPr>
          <w:cnfStyle w:val="000000100000" w:firstRow="0" w:lastRow="0" w:firstColumn="0" w:lastColumn="0" w:oddVBand="0" w:evenVBand="0" w:oddHBand="1" w:evenHBand="0" w:firstRowFirstColumn="0" w:firstRowLastColumn="0" w:lastRowFirstColumn="0" w:lastRowLastColumn="0"/>
          <w:trHeight w:val="253"/>
        </w:trPr>
        <w:tc>
          <w:tcPr>
            <w:tcW w:w="2123" w:type="dxa"/>
            <w:hideMark/>
          </w:tcPr>
          <w:p w:rsidR="001F73B1" w:rsidRPr="005F0EA6" w:rsidRDefault="001F73B1" w:rsidP="004B2ACC">
            <w:pPr>
              <w:pStyle w:val="BodyText"/>
              <w:jc w:val="center"/>
              <w:rPr>
                <w:rFonts w:asciiTheme="majorHAnsi" w:hAnsiTheme="majorHAnsi"/>
              </w:rPr>
            </w:pPr>
          </w:p>
        </w:tc>
        <w:tc>
          <w:tcPr>
            <w:tcW w:w="2514" w:type="dxa"/>
            <w:hideMark/>
          </w:tcPr>
          <w:p w:rsidR="001F73B1" w:rsidRPr="005F0EA6" w:rsidRDefault="001F73B1" w:rsidP="004B2ACC">
            <w:pPr>
              <w:pStyle w:val="BodyText"/>
              <w:jc w:val="center"/>
              <w:rPr>
                <w:rFonts w:asciiTheme="majorHAnsi" w:hAnsiTheme="majorHAnsi"/>
              </w:rPr>
            </w:pPr>
            <w:r w:rsidRPr="005F0EA6">
              <w:rPr>
                <w:rFonts w:asciiTheme="majorHAnsi" w:hAnsiTheme="majorHAnsi"/>
                <w:lang w:val="en-US"/>
              </w:rPr>
              <w:t>Employment</w:t>
            </w:r>
          </w:p>
        </w:tc>
        <w:tc>
          <w:tcPr>
            <w:tcW w:w="2702" w:type="dxa"/>
            <w:hideMark/>
          </w:tcPr>
          <w:p w:rsidR="001F73B1" w:rsidRPr="005F0EA6" w:rsidRDefault="001F73B1" w:rsidP="004B2ACC">
            <w:pPr>
              <w:pStyle w:val="BodyText"/>
              <w:jc w:val="center"/>
              <w:rPr>
                <w:rFonts w:asciiTheme="majorHAnsi" w:hAnsiTheme="majorHAnsi"/>
              </w:rPr>
            </w:pPr>
            <w:r w:rsidRPr="005F0EA6">
              <w:rPr>
                <w:rFonts w:asciiTheme="majorHAnsi" w:hAnsiTheme="majorHAnsi"/>
                <w:lang w:val="en-US"/>
              </w:rPr>
              <w:t>Supplier</w:t>
            </w:r>
          </w:p>
        </w:tc>
        <w:tc>
          <w:tcPr>
            <w:tcW w:w="2562" w:type="dxa"/>
            <w:hideMark/>
          </w:tcPr>
          <w:p w:rsidR="001F73B1" w:rsidRPr="005F0EA6" w:rsidRDefault="001F73B1" w:rsidP="004B2ACC">
            <w:pPr>
              <w:pStyle w:val="BodyText"/>
              <w:jc w:val="center"/>
              <w:rPr>
                <w:rFonts w:asciiTheme="majorHAnsi" w:hAnsiTheme="majorHAnsi"/>
                <w:lang w:val="en-US"/>
              </w:rPr>
            </w:pPr>
            <w:r w:rsidRPr="005F0EA6">
              <w:rPr>
                <w:rFonts w:asciiTheme="majorHAnsi" w:hAnsiTheme="majorHAnsi"/>
                <w:lang w:val="en-US"/>
              </w:rPr>
              <w:t>Combined</w:t>
            </w:r>
          </w:p>
          <w:p w:rsidR="001F73B1" w:rsidRPr="005F0EA6" w:rsidRDefault="001F73B1" w:rsidP="004B2ACC">
            <w:pPr>
              <w:pStyle w:val="BodyText"/>
              <w:jc w:val="center"/>
              <w:rPr>
                <w:rFonts w:asciiTheme="majorHAnsi" w:hAnsiTheme="majorHAnsi"/>
              </w:rPr>
            </w:pPr>
          </w:p>
        </w:tc>
      </w:tr>
      <w:tr w:rsidR="001F73B1" w:rsidRPr="004A1911" w:rsidTr="004B2ACC">
        <w:trPr>
          <w:trHeight w:val="616"/>
        </w:trPr>
        <w:tc>
          <w:tcPr>
            <w:tcW w:w="2123" w:type="dxa"/>
          </w:tcPr>
          <w:p w:rsidR="001325AA" w:rsidRDefault="001F73B1" w:rsidP="004B2ACC">
            <w:pPr>
              <w:pStyle w:val="BodyText"/>
              <w:rPr>
                <w:rFonts w:asciiTheme="majorHAnsi" w:hAnsiTheme="majorHAnsi"/>
                <w:b/>
                <w:lang w:val="en-US"/>
              </w:rPr>
            </w:pPr>
            <w:r w:rsidRPr="005F0EA6">
              <w:rPr>
                <w:rFonts w:asciiTheme="majorHAnsi" w:hAnsiTheme="majorHAnsi"/>
                <w:b/>
                <w:lang w:val="en-US"/>
              </w:rPr>
              <w:t>Remote contract-level target</w:t>
            </w:r>
          </w:p>
          <w:p w:rsidR="001325AA" w:rsidRPr="001325AA" w:rsidRDefault="001325AA" w:rsidP="001325AA">
            <w:pPr>
              <w:rPr>
                <w:lang w:val="en-US"/>
              </w:rPr>
            </w:pPr>
          </w:p>
          <w:p w:rsidR="001325AA" w:rsidRPr="001325AA" w:rsidRDefault="001325AA" w:rsidP="001325AA">
            <w:pPr>
              <w:rPr>
                <w:lang w:val="en-US"/>
              </w:rPr>
            </w:pPr>
          </w:p>
          <w:p w:rsidR="001325AA" w:rsidRPr="001325AA" w:rsidRDefault="001325AA" w:rsidP="001325AA">
            <w:pPr>
              <w:rPr>
                <w:lang w:val="en-US"/>
              </w:rPr>
            </w:pPr>
          </w:p>
          <w:p w:rsidR="001325AA" w:rsidRPr="001325AA" w:rsidRDefault="001325AA" w:rsidP="001325AA">
            <w:pPr>
              <w:rPr>
                <w:lang w:val="en-US"/>
              </w:rPr>
            </w:pPr>
          </w:p>
          <w:p w:rsidR="001325AA" w:rsidRPr="001325AA" w:rsidRDefault="001325AA" w:rsidP="001325AA">
            <w:pPr>
              <w:rPr>
                <w:lang w:val="en-US"/>
              </w:rPr>
            </w:pPr>
          </w:p>
          <w:p w:rsidR="001325AA" w:rsidRDefault="001325AA" w:rsidP="001325AA">
            <w:pPr>
              <w:rPr>
                <w:lang w:val="en-US"/>
              </w:rPr>
            </w:pPr>
          </w:p>
          <w:p w:rsidR="001325AA" w:rsidRPr="001325AA" w:rsidRDefault="001325AA" w:rsidP="001325AA">
            <w:pPr>
              <w:rPr>
                <w:lang w:val="en-US"/>
              </w:rPr>
            </w:pPr>
          </w:p>
          <w:p w:rsidR="001325AA" w:rsidRDefault="001325AA" w:rsidP="001325AA">
            <w:pPr>
              <w:rPr>
                <w:lang w:val="en-US"/>
              </w:rPr>
            </w:pPr>
          </w:p>
          <w:p w:rsidR="001325AA" w:rsidRDefault="001325AA" w:rsidP="001325AA">
            <w:pPr>
              <w:rPr>
                <w:lang w:val="en-US"/>
              </w:rPr>
            </w:pPr>
          </w:p>
          <w:p w:rsidR="001F73B1" w:rsidRPr="001325AA" w:rsidRDefault="001F73B1" w:rsidP="001325AA">
            <w:pPr>
              <w:jc w:val="center"/>
              <w:rPr>
                <w:lang w:val="en-US"/>
              </w:rPr>
            </w:pPr>
          </w:p>
        </w:tc>
        <w:tc>
          <w:tcPr>
            <w:tcW w:w="2514" w:type="dxa"/>
          </w:tcPr>
          <w:p w:rsidR="001F73B1" w:rsidRPr="005F0EA6" w:rsidRDefault="00A30A75" w:rsidP="004B2ACC">
            <w:pPr>
              <w:pStyle w:val="BodyText"/>
              <w:rPr>
                <w:rFonts w:asciiTheme="majorHAnsi" w:hAnsiTheme="majorHAnsi"/>
                <w:lang w:val="en-US"/>
              </w:rPr>
            </w:pPr>
            <w:r w:rsidRPr="005F0EA6">
              <w:rPr>
                <w:rFonts w:asciiTheme="majorHAnsi" w:hAnsiTheme="majorHAnsi"/>
                <w:b/>
                <w:lang w:val="en-US"/>
              </w:rPr>
              <w:t xml:space="preserve">A significant employment outcome that is greater than </w:t>
            </w:r>
            <w:r w:rsidR="001F73B1" w:rsidRPr="005F0EA6">
              <w:rPr>
                <w:rFonts w:asciiTheme="majorHAnsi" w:hAnsiTheme="majorHAnsi"/>
                <w:b/>
                <w:lang w:val="en-US"/>
              </w:rPr>
              <w:t xml:space="preserve">4 per cent </w:t>
            </w:r>
            <w:r w:rsidR="001F73B1" w:rsidRPr="005F0EA6">
              <w:rPr>
                <w:rFonts w:asciiTheme="majorHAnsi" w:hAnsiTheme="majorHAnsi"/>
                <w:lang w:val="en-US"/>
              </w:rPr>
              <w:t>Indigenous employment (</w:t>
            </w:r>
            <w:r w:rsidR="00A6191E">
              <w:rPr>
                <w:rFonts w:asciiTheme="majorHAnsi" w:hAnsiTheme="majorHAnsi"/>
                <w:lang w:val="en-US"/>
              </w:rPr>
              <w:t xml:space="preserve">as a weighted </w:t>
            </w:r>
            <w:r w:rsidR="001F73B1" w:rsidRPr="005F0EA6">
              <w:rPr>
                <w:rFonts w:asciiTheme="majorHAnsi" w:hAnsiTheme="majorHAnsi"/>
                <w:lang w:val="en-US"/>
              </w:rPr>
              <w:t>average) of the full time equivalent Australian-based workforce deployed on the contracted project (by the end of the contract term).</w:t>
            </w:r>
          </w:p>
          <w:p w:rsidR="004A1911" w:rsidRDefault="004A1911" w:rsidP="004B2ACC">
            <w:pPr>
              <w:pStyle w:val="BodyText"/>
              <w:rPr>
                <w:rFonts w:asciiTheme="majorHAnsi" w:hAnsiTheme="majorHAnsi"/>
                <w:lang w:val="en-US"/>
              </w:rPr>
            </w:pPr>
          </w:p>
          <w:p w:rsidR="001F73B1" w:rsidRPr="005F0EA6" w:rsidRDefault="001F73B1" w:rsidP="004B2ACC">
            <w:pPr>
              <w:pStyle w:val="BodyText"/>
              <w:rPr>
                <w:rFonts w:asciiTheme="majorHAnsi" w:hAnsiTheme="majorHAnsi"/>
                <w:lang w:val="en-US"/>
              </w:rPr>
            </w:pPr>
            <w:r w:rsidRPr="005F0EA6">
              <w:rPr>
                <w:rFonts w:asciiTheme="majorHAnsi" w:hAnsiTheme="majorHAnsi"/>
                <w:lang w:val="en-US"/>
              </w:rPr>
              <w:t>Setting the target should have regard to the local Indigenous employment market, the nature of the goods and services to be delivered, availability of support services and any other relevant government targets.</w:t>
            </w:r>
          </w:p>
        </w:tc>
        <w:tc>
          <w:tcPr>
            <w:tcW w:w="2702" w:type="dxa"/>
          </w:tcPr>
          <w:p w:rsidR="001F73B1" w:rsidRPr="005F0EA6" w:rsidRDefault="00A30A75" w:rsidP="004B2ACC">
            <w:pPr>
              <w:pStyle w:val="BodyText"/>
              <w:rPr>
                <w:rFonts w:asciiTheme="majorHAnsi" w:hAnsiTheme="majorHAnsi"/>
                <w:lang w:val="en-US"/>
              </w:rPr>
            </w:pPr>
            <w:r w:rsidRPr="005F0EA6">
              <w:rPr>
                <w:rFonts w:asciiTheme="majorHAnsi" w:hAnsiTheme="majorHAnsi"/>
                <w:b/>
                <w:lang w:val="en-US"/>
              </w:rPr>
              <w:t>A significant supply use outcome that is g</w:t>
            </w:r>
            <w:r w:rsidR="001F73B1" w:rsidRPr="005F0EA6">
              <w:rPr>
                <w:rFonts w:asciiTheme="majorHAnsi" w:hAnsiTheme="majorHAnsi"/>
                <w:b/>
                <w:lang w:val="en-US"/>
              </w:rPr>
              <w:t>reater than 4 per cent of</w:t>
            </w:r>
            <w:r w:rsidR="001F73B1" w:rsidRPr="005F0EA6">
              <w:rPr>
                <w:rFonts w:asciiTheme="majorHAnsi" w:hAnsiTheme="majorHAnsi"/>
                <w:lang w:val="en-US"/>
              </w:rPr>
              <w:t xml:space="preserve"> the value of the goods and services provided under the contract must be awarded to Indigenous enterprises (by the end of the contract term).</w:t>
            </w:r>
          </w:p>
          <w:p w:rsidR="004A1911" w:rsidRDefault="004A1911" w:rsidP="004B2ACC">
            <w:pPr>
              <w:pStyle w:val="BodyText"/>
              <w:rPr>
                <w:rFonts w:asciiTheme="majorHAnsi" w:hAnsiTheme="majorHAnsi"/>
                <w:lang w:val="en-US"/>
              </w:rPr>
            </w:pPr>
          </w:p>
          <w:p w:rsidR="001F73B1" w:rsidRPr="005F0EA6" w:rsidRDefault="001F73B1" w:rsidP="004B2ACC">
            <w:pPr>
              <w:pStyle w:val="BodyText"/>
              <w:rPr>
                <w:rFonts w:asciiTheme="majorHAnsi" w:hAnsiTheme="majorHAnsi"/>
                <w:b/>
                <w:lang w:val="en-US"/>
              </w:rPr>
            </w:pPr>
            <w:r w:rsidRPr="005F0EA6">
              <w:rPr>
                <w:rFonts w:asciiTheme="majorHAnsi" w:hAnsiTheme="majorHAnsi"/>
                <w:lang w:val="en-US"/>
              </w:rPr>
              <w:t>Setting the target should have regard to the local Indigenous business sector, the nature of goods and services to be delivered, availability of support services and any other relevant government targets.</w:t>
            </w:r>
          </w:p>
        </w:tc>
        <w:tc>
          <w:tcPr>
            <w:tcW w:w="2562" w:type="dxa"/>
          </w:tcPr>
          <w:p w:rsidR="001F73B1" w:rsidRPr="005F0EA6" w:rsidRDefault="00A30A75" w:rsidP="004B2ACC">
            <w:pPr>
              <w:pStyle w:val="BodyText"/>
              <w:rPr>
                <w:rFonts w:asciiTheme="majorHAnsi" w:hAnsiTheme="majorHAnsi"/>
                <w:b/>
                <w:lang w:val="en-US"/>
              </w:rPr>
            </w:pPr>
            <w:r w:rsidRPr="005F0EA6">
              <w:rPr>
                <w:rFonts w:asciiTheme="majorHAnsi" w:hAnsiTheme="majorHAnsi"/>
                <w:b/>
                <w:lang w:val="en-US"/>
              </w:rPr>
              <w:t>A significant Indigenous participation outcome that is g</w:t>
            </w:r>
            <w:r w:rsidR="001F73B1" w:rsidRPr="005F0EA6">
              <w:rPr>
                <w:rFonts w:asciiTheme="majorHAnsi" w:hAnsiTheme="majorHAnsi"/>
                <w:b/>
                <w:lang w:val="en-US"/>
              </w:rPr>
              <w:t>reater than 4 per cent</w:t>
            </w:r>
            <w:r w:rsidR="00A6191E">
              <w:rPr>
                <w:rFonts w:asciiTheme="majorHAnsi" w:hAnsiTheme="majorHAnsi"/>
                <w:b/>
                <w:lang w:val="en-US"/>
              </w:rPr>
              <w:t>.</w:t>
            </w:r>
            <w:r w:rsidR="001F73B1" w:rsidRPr="005F0EA6">
              <w:rPr>
                <w:rFonts w:asciiTheme="majorHAnsi" w:hAnsiTheme="majorHAnsi"/>
                <w:b/>
                <w:lang w:val="en-US"/>
              </w:rPr>
              <w:t xml:space="preserve">  </w:t>
            </w:r>
          </w:p>
          <w:p w:rsidR="001F73B1" w:rsidRPr="005F0EA6" w:rsidRDefault="001F73B1" w:rsidP="004B2ACC">
            <w:pPr>
              <w:pStyle w:val="BodyText"/>
              <w:rPr>
                <w:rFonts w:asciiTheme="majorHAnsi" w:hAnsiTheme="majorHAnsi"/>
                <w:lang w:val="en-US"/>
              </w:rPr>
            </w:pPr>
            <w:r w:rsidRPr="005F0EA6">
              <w:rPr>
                <w:rFonts w:asciiTheme="majorHAnsi" w:hAnsiTheme="majorHAnsi"/>
                <w:lang w:val="en-US"/>
              </w:rPr>
              <w:t>Th</w:t>
            </w:r>
            <w:r w:rsidR="005C3E68">
              <w:rPr>
                <w:rFonts w:asciiTheme="majorHAnsi" w:hAnsiTheme="majorHAnsi"/>
                <w:lang w:val="en-US"/>
              </w:rPr>
              <w:t>e Employment and Supplier target</w:t>
            </w:r>
            <w:r w:rsidRPr="005F0EA6">
              <w:rPr>
                <w:rFonts w:asciiTheme="majorHAnsi" w:hAnsiTheme="majorHAnsi"/>
                <w:lang w:val="en-US"/>
              </w:rPr>
              <w:t xml:space="preserve"> in total is greater than </w:t>
            </w:r>
            <w:r w:rsidRPr="005F0EA6">
              <w:rPr>
                <w:rFonts w:asciiTheme="majorHAnsi" w:hAnsiTheme="majorHAnsi"/>
                <w:b/>
                <w:lang w:val="en-US"/>
              </w:rPr>
              <w:t xml:space="preserve">4 per cent </w:t>
            </w:r>
            <w:r w:rsidRPr="005F0EA6">
              <w:rPr>
                <w:rFonts w:asciiTheme="majorHAnsi" w:hAnsiTheme="majorHAnsi"/>
                <w:lang w:val="en-US"/>
              </w:rPr>
              <w:t>(by the end of the contract term).</w:t>
            </w:r>
          </w:p>
          <w:p w:rsidR="004A1911" w:rsidRDefault="004A1911" w:rsidP="004B2ACC">
            <w:pPr>
              <w:pStyle w:val="BodyText"/>
              <w:rPr>
                <w:rFonts w:asciiTheme="majorHAnsi" w:hAnsiTheme="majorHAnsi"/>
                <w:lang w:val="en-US"/>
              </w:rPr>
            </w:pPr>
          </w:p>
          <w:p w:rsidR="001F73B1" w:rsidRPr="005F0EA6" w:rsidRDefault="001F73B1" w:rsidP="004B2ACC">
            <w:pPr>
              <w:pStyle w:val="BodyText"/>
              <w:rPr>
                <w:rFonts w:asciiTheme="majorHAnsi" w:hAnsiTheme="majorHAnsi"/>
                <w:b/>
                <w:lang w:val="en-US"/>
              </w:rPr>
            </w:pPr>
            <w:r w:rsidRPr="005F0EA6">
              <w:rPr>
                <w:rFonts w:asciiTheme="majorHAnsi" w:hAnsiTheme="majorHAnsi"/>
                <w:lang w:val="en-US"/>
              </w:rPr>
              <w:t>Setting the target should have regard to the local Indigenous business sector and employment market, the nature of goods and services to be delivered, availability of support services and any other relevant government targets.</w:t>
            </w:r>
          </w:p>
        </w:tc>
      </w:tr>
      <w:tr w:rsidR="001F73B1" w:rsidRPr="004A1911" w:rsidTr="004B2ACC">
        <w:trPr>
          <w:cnfStyle w:val="000000100000" w:firstRow="0" w:lastRow="0" w:firstColumn="0" w:lastColumn="0" w:oddVBand="0" w:evenVBand="0" w:oddHBand="1" w:evenHBand="0" w:firstRowFirstColumn="0" w:firstRowLastColumn="0" w:lastRowFirstColumn="0" w:lastRowLastColumn="0"/>
          <w:trHeight w:val="616"/>
        </w:trPr>
        <w:tc>
          <w:tcPr>
            <w:tcW w:w="2123" w:type="dxa"/>
            <w:hideMark/>
          </w:tcPr>
          <w:p w:rsidR="001F73B1" w:rsidRPr="005F0EA6" w:rsidRDefault="001F73B1" w:rsidP="004B2ACC">
            <w:pPr>
              <w:pStyle w:val="BodyText"/>
              <w:rPr>
                <w:rFonts w:asciiTheme="majorHAnsi" w:hAnsiTheme="majorHAnsi"/>
                <w:b/>
              </w:rPr>
            </w:pPr>
            <w:r w:rsidRPr="005F0EA6">
              <w:rPr>
                <w:rFonts w:asciiTheme="majorHAnsi" w:hAnsiTheme="majorHAnsi"/>
                <w:b/>
                <w:lang w:val="en-US"/>
              </w:rPr>
              <w:t>Organisation-level target</w:t>
            </w:r>
          </w:p>
        </w:tc>
        <w:tc>
          <w:tcPr>
            <w:tcW w:w="2514" w:type="dxa"/>
            <w:hideMark/>
          </w:tcPr>
          <w:p w:rsidR="001F73B1" w:rsidRPr="005F0EA6" w:rsidRDefault="001F73B1" w:rsidP="00A30A75">
            <w:pPr>
              <w:pStyle w:val="BodyText"/>
              <w:rPr>
                <w:rFonts w:asciiTheme="majorHAnsi" w:hAnsiTheme="majorHAnsi"/>
              </w:rPr>
            </w:pPr>
            <w:r w:rsidRPr="005F0EA6">
              <w:rPr>
                <w:rFonts w:asciiTheme="majorHAnsi" w:hAnsiTheme="majorHAnsi"/>
                <w:b/>
                <w:lang w:val="en-US"/>
              </w:rPr>
              <w:t>3 per cent</w:t>
            </w:r>
            <w:r w:rsidRPr="005F0EA6">
              <w:rPr>
                <w:rFonts w:asciiTheme="majorHAnsi" w:hAnsiTheme="majorHAnsi"/>
                <w:lang w:val="en-US"/>
              </w:rPr>
              <w:t xml:space="preserve"> Indigenous employment (</w:t>
            </w:r>
            <w:r w:rsidR="00A30A75" w:rsidRPr="005F0EA6">
              <w:rPr>
                <w:rFonts w:asciiTheme="majorHAnsi" w:hAnsiTheme="majorHAnsi"/>
                <w:lang w:val="en-US"/>
              </w:rPr>
              <w:t>as a weighted</w:t>
            </w:r>
            <w:r w:rsidRPr="005F0EA6">
              <w:rPr>
                <w:rFonts w:asciiTheme="majorHAnsi" w:hAnsiTheme="majorHAnsi"/>
                <w:lang w:val="en-US"/>
              </w:rPr>
              <w:t xml:space="preserve"> average) of the full time equivalent Australian-based workforce of the supplier (by the end of the contract term).</w:t>
            </w:r>
          </w:p>
        </w:tc>
        <w:tc>
          <w:tcPr>
            <w:tcW w:w="2702" w:type="dxa"/>
            <w:hideMark/>
          </w:tcPr>
          <w:p w:rsidR="001F73B1" w:rsidRPr="005F0EA6" w:rsidRDefault="001F73B1" w:rsidP="004B2ACC">
            <w:pPr>
              <w:pStyle w:val="BodyText"/>
              <w:rPr>
                <w:rFonts w:asciiTheme="majorHAnsi" w:hAnsiTheme="majorHAnsi"/>
              </w:rPr>
            </w:pPr>
            <w:r w:rsidRPr="005F0EA6">
              <w:rPr>
                <w:rFonts w:asciiTheme="majorHAnsi" w:hAnsiTheme="majorHAnsi"/>
                <w:b/>
                <w:lang w:val="en-US"/>
              </w:rPr>
              <w:t>3 per cent</w:t>
            </w:r>
            <w:r w:rsidRPr="005F0EA6">
              <w:rPr>
                <w:rFonts w:asciiTheme="majorHAnsi" w:hAnsiTheme="majorHAnsi"/>
                <w:lang w:val="en-US"/>
              </w:rPr>
              <w:t xml:space="preserve"> of the value of the supplier’s Australian supply chain must be awarded to Indigenous enterprises (by the end of the contract term).</w:t>
            </w:r>
          </w:p>
        </w:tc>
        <w:tc>
          <w:tcPr>
            <w:tcW w:w="2562" w:type="dxa"/>
            <w:hideMark/>
          </w:tcPr>
          <w:p w:rsidR="001F73B1" w:rsidRPr="005F0EA6" w:rsidRDefault="005C3E68" w:rsidP="004B2ACC">
            <w:pPr>
              <w:pStyle w:val="BodyText"/>
              <w:rPr>
                <w:rFonts w:asciiTheme="majorHAnsi" w:hAnsiTheme="majorHAnsi"/>
                <w:lang w:val="en-US"/>
              </w:rPr>
            </w:pPr>
            <w:r>
              <w:rPr>
                <w:rFonts w:asciiTheme="majorHAnsi" w:hAnsiTheme="majorHAnsi"/>
                <w:lang w:val="en-US"/>
              </w:rPr>
              <w:t xml:space="preserve">The </w:t>
            </w:r>
            <w:r w:rsidR="001F73B1" w:rsidRPr="005F0EA6">
              <w:rPr>
                <w:rFonts w:asciiTheme="majorHAnsi" w:hAnsiTheme="majorHAnsi"/>
                <w:lang w:val="en-US"/>
              </w:rPr>
              <w:t xml:space="preserve">Employment and Supplier </w:t>
            </w:r>
            <w:r>
              <w:rPr>
                <w:rFonts w:asciiTheme="majorHAnsi" w:hAnsiTheme="majorHAnsi"/>
                <w:lang w:val="en-US"/>
              </w:rPr>
              <w:t xml:space="preserve">target </w:t>
            </w:r>
            <w:r w:rsidR="001F73B1" w:rsidRPr="005F0EA6">
              <w:rPr>
                <w:rFonts w:asciiTheme="majorHAnsi" w:hAnsiTheme="majorHAnsi"/>
                <w:lang w:val="en-US"/>
              </w:rPr>
              <w:t>total i</w:t>
            </w:r>
            <w:r w:rsidR="001F73B1" w:rsidRPr="005F0EA6">
              <w:rPr>
                <w:rFonts w:asciiTheme="majorHAnsi" w:hAnsiTheme="majorHAnsi"/>
                <w:b/>
                <w:lang w:val="en-US"/>
              </w:rPr>
              <w:t xml:space="preserve">3 per cent </w:t>
            </w:r>
            <w:r w:rsidR="001F73B1" w:rsidRPr="005F0EA6">
              <w:rPr>
                <w:rFonts w:asciiTheme="majorHAnsi" w:hAnsiTheme="majorHAnsi"/>
                <w:lang w:val="en-US"/>
              </w:rPr>
              <w:t>(by the end of the contract term).</w:t>
            </w:r>
          </w:p>
          <w:p w:rsidR="004A1911" w:rsidRDefault="004A1911" w:rsidP="004B2ACC">
            <w:pPr>
              <w:pStyle w:val="BodyText"/>
              <w:rPr>
                <w:rFonts w:asciiTheme="majorHAnsi" w:hAnsiTheme="majorHAnsi"/>
                <w:lang w:val="en-US"/>
              </w:rPr>
            </w:pPr>
          </w:p>
          <w:p w:rsidR="001F73B1" w:rsidRPr="005F0EA6" w:rsidRDefault="001F73B1" w:rsidP="004B2ACC">
            <w:pPr>
              <w:pStyle w:val="BodyText"/>
              <w:rPr>
                <w:rFonts w:asciiTheme="majorHAnsi" w:hAnsiTheme="majorHAnsi"/>
              </w:rPr>
            </w:pPr>
            <w:r w:rsidRPr="005F0EA6">
              <w:rPr>
                <w:rFonts w:asciiTheme="majorHAnsi" w:hAnsiTheme="majorHAnsi"/>
                <w:lang w:val="en-US"/>
              </w:rPr>
              <w:t xml:space="preserve">For example: a 2 per cent Indigenous employment outcome and a 1 per cent Indigenous supplier-use </w:t>
            </w:r>
            <w:r w:rsidRPr="005F0EA6">
              <w:rPr>
                <w:rFonts w:asciiTheme="majorHAnsi" w:hAnsiTheme="majorHAnsi"/>
                <w:lang w:val="en-US"/>
              </w:rPr>
              <w:lastRenderedPageBreak/>
              <w:t xml:space="preserve">outcome delivers a combined outcome </w:t>
            </w:r>
            <w:r w:rsidRPr="005F0EA6">
              <w:rPr>
                <w:rFonts w:asciiTheme="majorHAnsi" w:hAnsiTheme="majorHAnsi"/>
                <w:b/>
                <w:lang w:val="en-US"/>
              </w:rPr>
              <w:t>of 3 per cent.</w:t>
            </w:r>
          </w:p>
        </w:tc>
      </w:tr>
      <w:tr w:rsidR="001F73B1" w:rsidRPr="004A1911" w:rsidTr="004B2ACC">
        <w:trPr>
          <w:trHeight w:val="616"/>
        </w:trPr>
        <w:tc>
          <w:tcPr>
            <w:tcW w:w="2123" w:type="dxa"/>
            <w:hideMark/>
          </w:tcPr>
          <w:p w:rsidR="001F73B1" w:rsidRPr="005F0EA6" w:rsidRDefault="001F73B1" w:rsidP="004B2ACC">
            <w:pPr>
              <w:pStyle w:val="BodyText"/>
              <w:rPr>
                <w:rFonts w:asciiTheme="majorHAnsi" w:hAnsiTheme="majorHAnsi"/>
                <w:b/>
                <w:lang w:val="en-US"/>
              </w:rPr>
            </w:pPr>
            <w:r w:rsidRPr="005F0EA6">
              <w:rPr>
                <w:rFonts w:asciiTheme="majorHAnsi" w:hAnsiTheme="majorHAnsi"/>
                <w:b/>
                <w:lang w:val="en-US"/>
              </w:rPr>
              <w:lastRenderedPageBreak/>
              <w:t>Non – remote contract-level target</w:t>
            </w:r>
          </w:p>
        </w:tc>
        <w:tc>
          <w:tcPr>
            <w:tcW w:w="2514" w:type="dxa"/>
            <w:hideMark/>
          </w:tcPr>
          <w:p w:rsidR="001F73B1" w:rsidRPr="005F0EA6" w:rsidRDefault="001F73B1" w:rsidP="005C3E68">
            <w:pPr>
              <w:pStyle w:val="BodyText"/>
              <w:rPr>
                <w:rFonts w:asciiTheme="majorHAnsi" w:hAnsiTheme="majorHAnsi"/>
                <w:lang w:val="en-US"/>
              </w:rPr>
            </w:pPr>
            <w:r w:rsidRPr="005F0EA6">
              <w:rPr>
                <w:rFonts w:asciiTheme="majorHAnsi" w:hAnsiTheme="majorHAnsi"/>
                <w:lang w:val="en-US"/>
              </w:rPr>
              <w:t>4 per cent Indigenous employment (</w:t>
            </w:r>
            <w:r w:rsidR="00A30A75" w:rsidRPr="005F0EA6">
              <w:rPr>
                <w:rFonts w:asciiTheme="majorHAnsi" w:hAnsiTheme="majorHAnsi"/>
                <w:lang w:val="en-US"/>
              </w:rPr>
              <w:t>as a weighted</w:t>
            </w:r>
            <w:r w:rsidRPr="005F0EA6">
              <w:rPr>
                <w:rFonts w:asciiTheme="majorHAnsi" w:hAnsiTheme="majorHAnsi"/>
                <w:lang w:val="en-US"/>
              </w:rPr>
              <w:t xml:space="preserve"> average) of the full time equivalent workforce deployed on the contracted project (by the end of the contract term).</w:t>
            </w:r>
          </w:p>
        </w:tc>
        <w:tc>
          <w:tcPr>
            <w:tcW w:w="2702" w:type="dxa"/>
            <w:hideMark/>
          </w:tcPr>
          <w:p w:rsidR="001F73B1" w:rsidRPr="005F0EA6" w:rsidRDefault="001F73B1" w:rsidP="004B2ACC">
            <w:pPr>
              <w:pStyle w:val="BodyText"/>
              <w:rPr>
                <w:rFonts w:asciiTheme="majorHAnsi" w:hAnsiTheme="majorHAnsi"/>
                <w:lang w:val="en-US"/>
              </w:rPr>
            </w:pPr>
            <w:r w:rsidRPr="005F0EA6">
              <w:rPr>
                <w:rFonts w:asciiTheme="majorHAnsi" w:hAnsiTheme="majorHAnsi"/>
                <w:lang w:val="en-US"/>
              </w:rPr>
              <w:t xml:space="preserve">4 per cent of the value of the goods and services provided under the contract must be </w:t>
            </w:r>
            <w:r w:rsidR="00794021" w:rsidRPr="005F0EA6">
              <w:rPr>
                <w:rFonts w:asciiTheme="majorHAnsi" w:hAnsiTheme="majorHAnsi"/>
                <w:lang w:val="en-US"/>
              </w:rPr>
              <w:t>awarded to</w:t>
            </w:r>
            <w:r w:rsidRPr="005F0EA6">
              <w:rPr>
                <w:rFonts w:asciiTheme="majorHAnsi" w:hAnsiTheme="majorHAnsi"/>
                <w:lang w:val="en-US"/>
              </w:rPr>
              <w:t xml:space="preserve"> Indigenous enterprises (by the end of the contract term)</w:t>
            </w:r>
            <w:r w:rsidR="005C3E68">
              <w:rPr>
                <w:rFonts w:asciiTheme="majorHAnsi" w:hAnsiTheme="majorHAnsi"/>
                <w:lang w:val="en-US"/>
              </w:rPr>
              <w:t>.</w:t>
            </w:r>
          </w:p>
        </w:tc>
        <w:tc>
          <w:tcPr>
            <w:tcW w:w="2562" w:type="dxa"/>
            <w:hideMark/>
          </w:tcPr>
          <w:p w:rsidR="001F73B1" w:rsidRPr="005F0EA6" w:rsidRDefault="001F73B1" w:rsidP="004B2ACC">
            <w:pPr>
              <w:pStyle w:val="BodyText"/>
              <w:rPr>
                <w:rFonts w:asciiTheme="majorHAnsi" w:hAnsiTheme="majorHAnsi"/>
                <w:lang w:val="en-US"/>
              </w:rPr>
            </w:pPr>
            <w:r w:rsidRPr="005F0EA6">
              <w:rPr>
                <w:rFonts w:asciiTheme="majorHAnsi" w:hAnsiTheme="majorHAnsi"/>
                <w:lang w:val="en-US"/>
              </w:rPr>
              <w:t>The Employment and Supplier target total 4 per cent (by the end of the contract term).</w:t>
            </w:r>
          </w:p>
          <w:p w:rsidR="004A1911" w:rsidRDefault="004A1911" w:rsidP="004B2ACC">
            <w:pPr>
              <w:pStyle w:val="BodyText"/>
              <w:spacing w:after="120"/>
              <w:rPr>
                <w:rFonts w:asciiTheme="majorHAnsi" w:hAnsiTheme="majorHAnsi"/>
                <w:lang w:val="en-US"/>
              </w:rPr>
            </w:pPr>
          </w:p>
          <w:p w:rsidR="001F73B1" w:rsidRPr="005F0EA6" w:rsidRDefault="001F73B1" w:rsidP="004B2ACC">
            <w:pPr>
              <w:pStyle w:val="BodyText"/>
              <w:spacing w:after="120"/>
              <w:rPr>
                <w:rFonts w:asciiTheme="majorHAnsi" w:hAnsiTheme="majorHAnsi"/>
                <w:lang w:val="en-US"/>
              </w:rPr>
            </w:pPr>
            <w:r w:rsidRPr="005F0EA6">
              <w:rPr>
                <w:rFonts w:asciiTheme="majorHAnsi" w:hAnsiTheme="majorHAnsi"/>
                <w:lang w:val="en-US"/>
              </w:rPr>
              <w:t>For example: a 1 per cent Indigenous employment outcome and a 3 per cent Indigenous supplier-use outcome delivers a combined outcome of 4 per cent.</w:t>
            </w:r>
          </w:p>
        </w:tc>
      </w:tr>
    </w:tbl>
    <w:p w:rsidR="001327D5" w:rsidRDefault="00DD3648" w:rsidP="00186051">
      <w:pPr>
        <w:pStyle w:val="Heading3"/>
      </w:pPr>
      <w:bookmarkStart w:id="31" w:name="_Toc43385054"/>
      <w:r>
        <w:t>3</w:t>
      </w:r>
      <w:r w:rsidR="001327D5">
        <w:t>.1</w:t>
      </w:r>
      <w:r w:rsidR="00031E27">
        <w:tab/>
      </w:r>
      <w:r w:rsidR="001F73B1">
        <w:t>M</w:t>
      </w:r>
      <w:r w:rsidR="001327D5">
        <w:t xml:space="preserve">inimum targets in </w:t>
      </w:r>
      <w:r w:rsidR="001327D5" w:rsidRPr="00A30A75">
        <w:rPr>
          <w:b/>
          <w:u w:val="single"/>
        </w:rPr>
        <w:t xml:space="preserve">remote </w:t>
      </w:r>
      <w:r w:rsidR="00F41635" w:rsidRPr="00A30A75">
        <w:rPr>
          <w:b/>
          <w:u w:val="single"/>
        </w:rPr>
        <w:t>procurements</w:t>
      </w:r>
      <w:bookmarkEnd w:id="31"/>
      <w:r w:rsidR="001327D5" w:rsidRPr="00A30A75">
        <w:rPr>
          <w:b/>
          <w:u w:val="single"/>
        </w:rPr>
        <w:t xml:space="preserve"> </w:t>
      </w:r>
    </w:p>
    <w:p w:rsidR="00F41635" w:rsidRPr="005F0EA6" w:rsidRDefault="001327D5" w:rsidP="001327D5">
      <w:pPr>
        <w:pStyle w:val="BodyText"/>
        <w:rPr>
          <w:rFonts w:asciiTheme="majorHAnsi" w:hAnsiTheme="majorHAnsi"/>
        </w:rPr>
      </w:pPr>
      <w:r w:rsidRPr="005F0EA6">
        <w:rPr>
          <w:rFonts w:asciiTheme="majorHAnsi" w:hAnsiTheme="majorHAnsi"/>
        </w:rPr>
        <w:t xml:space="preserve">Where a component of a contract will be delivered in remote Australia, the MMR must deliver a significant Indigenous employment or supply use outcome </w:t>
      </w:r>
      <w:r w:rsidR="00F41635" w:rsidRPr="005F0EA6">
        <w:rPr>
          <w:rFonts w:asciiTheme="majorHAnsi" w:hAnsiTheme="majorHAnsi"/>
        </w:rPr>
        <w:t xml:space="preserve">by the end of the contract term. </w:t>
      </w:r>
    </w:p>
    <w:p w:rsidR="001327D5" w:rsidRPr="005F0EA6" w:rsidRDefault="00F41635" w:rsidP="001327D5">
      <w:pPr>
        <w:pStyle w:val="BodyText"/>
        <w:rPr>
          <w:rFonts w:asciiTheme="majorHAnsi" w:hAnsiTheme="majorHAnsi"/>
        </w:rPr>
      </w:pPr>
      <w:r w:rsidRPr="005F0EA6">
        <w:rPr>
          <w:rFonts w:asciiTheme="majorHAnsi" w:hAnsiTheme="majorHAnsi"/>
        </w:rPr>
        <w:t>At a minimum, the target must exceed 4 per cent (4%) of the value of the contract.</w:t>
      </w:r>
    </w:p>
    <w:p w:rsidR="001327D5" w:rsidRDefault="00DD3648" w:rsidP="00186051">
      <w:pPr>
        <w:pStyle w:val="Heading4"/>
      </w:pPr>
      <w:r>
        <w:t>3</w:t>
      </w:r>
      <w:r w:rsidR="0053561F">
        <w:t>.</w:t>
      </w:r>
      <w:r w:rsidR="00F41635">
        <w:t>1</w:t>
      </w:r>
      <w:r w:rsidR="001327D5">
        <w:t>.</w:t>
      </w:r>
      <w:r w:rsidR="007979D1">
        <w:t>1</w:t>
      </w:r>
      <w:r w:rsidR="001327D5">
        <w:t xml:space="preserve"> Determining the remote component a contract</w:t>
      </w:r>
    </w:p>
    <w:p w:rsidR="001327D5" w:rsidRDefault="001327D5" w:rsidP="00ED58CC">
      <w:pPr>
        <w:pStyle w:val="BodyText"/>
      </w:pPr>
    </w:p>
    <w:p w:rsidR="004E07BC" w:rsidRDefault="001327D5" w:rsidP="004E07BC">
      <w:pPr>
        <w:pStyle w:val="BodyText"/>
      </w:pPr>
      <w:r>
        <w:rPr>
          <w:noProof/>
          <w:lang w:eastAsia="en-AU"/>
        </w:rPr>
        <w:drawing>
          <wp:inline distT="0" distB="0" distL="0" distR="0" wp14:anchorId="34A10B5E" wp14:editId="213DEBFE">
            <wp:extent cx="4133850" cy="36281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9173" cy="3650361"/>
                    </a:xfrm>
                    <a:prstGeom prst="rect">
                      <a:avLst/>
                    </a:prstGeom>
                    <a:noFill/>
                  </pic:spPr>
                </pic:pic>
              </a:graphicData>
            </a:graphic>
          </wp:inline>
        </w:drawing>
      </w:r>
    </w:p>
    <w:p w:rsidR="001327D5" w:rsidRPr="005F0EA6" w:rsidRDefault="001327D5" w:rsidP="004E07BC">
      <w:pPr>
        <w:pStyle w:val="BodyText"/>
        <w:rPr>
          <w:rFonts w:asciiTheme="majorHAnsi" w:hAnsiTheme="majorHAnsi"/>
        </w:rPr>
      </w:pPr>
      <w:r w:rsidRPr="005F0EA6">
        <w:rPr>
          <w:rFonts w:asciiTheme="majorHAnsi" w:hAnsiTheme="majorHAnsi"/>
        </w:rPr>
        <w:t xml:space="preserve">Remote Australia has a unique definition under the IPP, it includes highly populated </w:t>
      </w:r>
      <w:r w:rsidR="00A30A75" w:rsidRPr="005F0EA6">
        <w:rPr>
          <w:rFonts w:asciiTheme="majorHAnsi" w:hAnsiTheme="majorHAnsi"/>
        </w:rPr>
        <w:t xml:space="preserve">cities and </w:t>
      </w:r>
      <w:r w:rsidRPr="005F0EA6">
        <w:rPr>
          <w:rFonts w:asciiTheme="majorHAnsi" w:hAnsiTheme="majorHAnsi"/>
        </w:rPr>
        <w:t xml:space="preserve">towns such as Darwin, Broome and Alice Springs as well as sparsely populated regions like Central Australia. The NIAA maintains an </w:t>
      </w:r>
      <w:hyperlink r:id="rId24" w:history="1">
        <w:r w:rsidRPr="005F0EA6">
          <w:rPr>
            <w:rStyle w:val="Hyperlink"/>
            <w:rFonts w:asciiTheme="majorHAnsi" w:hAnsiTheme="majorHAnsi"/>
          </w:rPr>
          <w:t>interactive map</w:t>
        </w:r>
      </w:hyperlink>
      <w:r w:rsidRPr="005F0EA6">
        <w:rPr>
          <w:rFonts w:asciiTheme="majorHAnsi" w:hAnsiTheme="majorHAnsi"/>
        </w:rPr>
        <w:t xml:space="preserve"> that allows users to search Australia</w:t>
      </w:r>
      <w:r w:rsidR="00901B27" w:rsidRPr="005F0EA6">
        <w:rPr>
          <w:rFonts w:asciiTheme="majorHAnsi" w:hAnsiTheme="majorHAnsi"/>
        </w:rPr>
        <w:t xml:space="preserve"> by location to determine</w:t>
      </w:r>
      <w:r w:rsidRPr="005F0EA6">
        <w:rPr>
          <w:rFonts w:asciiTheme="majorHAnsi" w:hAnsiTheme="majorHAnsi"/>
        </w:rPr>
        <w:t xml:space="preserve"> whether an area is remote</w:t>
      </w:r>
      <w:r w:rsidR="004A1911" w:rsidRPr="005F0EA6">
        <w:rPr>
          <w:rFonts w:asciiTheme="majorHAnsi" w:hAnsiTheme="majorHAnsi"/>
        </w:rPr>
        <w:t>.</w:t>
      </w:r>
      <w:r w:rsidRPr="005F0EA6">
        <w:rPr>
          <w:rFonts w:asciiTheme="majorHAnsi" w:hAnsiTheme="majorHAnsi"/>
        </w:rPr>
        <w:t xml:space="preserve"> </w:t>
      </w:r>
    </w:p>
    <w:p w:rsidR="001327D5" w:rsidRPr="00186051" w:rsidRDefault="00DD3648" w:rsidP="00C454D3">
      <w:pPr>
        <w:pStyle w:val="Heading4"/>
      </w:pPr>
      <w:r>
        <w:lastRenderedPageBreak/>
        <w:t>3</w:t>
      </w:r>
      <w:r w:rsidR="00702C7A" w:rsidRPr="00186051">
        <w:t>.1</w:t>
      </w:r>
      <w:r w:rsidR="00186051" w:rsidRPr="00186051">
        <w:t>.2</w:t>
      </w:r>
      <w:r w:rsidR="001327D5" w:rsidRPr="00186051">
        <w:t xml:space="preserve"> Identifying the delivery point </w:t>
      </w:r>
    </w:p>
    <w:p w:rsidR="00A30A75" w:rsidRPr="00EC4DEF" w:rsidRDefault="001327D5" w:rsidP="001327D5">
      <w:pPr>
        <w:pStyle w:val="BodyText"/>
        <w:rPr>
          <w:rFonts w:asciiTheme="majorHAnsi" w:hAnsiTheme="majorHAnsi"/>
        </w:rPr>
      </w:pPr>
      <w:r w:rsidRPr="00EC4DEF">
        <w:rPr>
          <w:rFonts w:asciiTheme="majorHAnsi" w:hAnsiTheme="majorHAnsi"/>
        </w:rPr>
        <w:t xml:space="preserve">To determine if a component of </w:t>
      </w:r>
      <w:r w:rsidR="008D1DDB" w:rsidRPr="00EC4DEF">
        <w:rPr>
          <w:rFonts w:asciiTheme="majorHAnsi" w:hAnsiTheme="majorHAnsi"/>
        </w:rPr>
        <w:t xml:space="preserve">a </w:t>
      </w:r>
      <w:r w:rsidR="004E07BC" w:rsidRPr="00EC4DEF">
        <w:rPr>
          <w:rFonts w:asciiTheme="majorHAnsi" w:hAnsiTheme="majorHAnsi"/>
        </w:rPr>
        <w:t xml:space="preserve">procurement is remote </w:t>
      </w:r>
      <w:r w:rsidR="008D1DDB" w:rsidRPr="00EC4DEF">
        <w:rPr>
          <w:rFonts w:asciiTheme="majorHAnsi" w:hAnsiTheme="majorHAnsi"/>
        </w:rPr>
        <w:t xml:space="preserve">the </w:t>
      </w:r>
      <w:r w:rsidR="00A30A75" w:rsidRPr="00EC4DEF">
        <w:rPr>
          <w:rFonts w:asciiTheme="majorHAnsi" w:hAnsiTheme="majorHAnsi"/>
        </w:rPr>
        <w:t xml:space="preserve">procuring official </w:t>
      </w:r>
      <w:r w:rsidRPr="00EC4DEF">
        <w:rPr>
          <w:rFonts w:asciiTheme="majorHAnsi" w:hAnsiTheme="majorHAnsi"/>
        </w:rPr>
        <w:t xml:space="preserve">will need to identify if the delivery point for the goods and services falls within the IPP remote boundary. </w:t>
      </w:r>
    </w:p>
    <w:p w:rsidR="00C454D3" w:rsidRPr="005F0EA6" w:rsidRDefault="001327D5" w:rsidP="00C454D3">
      <w:pPr>
        <w:pStyle w:val="BodyText"/>
        <w:rPr>
          <w:rFonts w:asciiTheme="majorHAnsi" w:hAnsiTheme="majorHAnsi"/>
        </w:rPr>
      </w:pPr>
      <w:r w:rsidRPr="005F0EA6">
        <w:rPr>
          <w:rFonts w:asciiTheme="majorHAnsi" w:hAnsiTheme="majorHAnsi"/>
        </w:rPr>
        <w:t xml:space="preserve">For goods, the delivery point is where the </w:t>
      </w:r>
      <w:r w:rsidR="00A30A75" w:rsidRPr="005F0EA6">
        <w:rPr>
          <w:rFonts w:asciiTheme="majorHAnsi" w:hAnsiTheme="majorHAnsi"/>
        </w:rPr>
        <w:t xml:space="preserve">procuring official </w:t>
      </w:r>
      <w:r w:rsidRPr="005F0EA6">
        <w:rPr>
          <w:rFonts w:asciiTheme="majorHAnsi" w:hAnsiTheme="majorHAnsi"/>
        </w:rPr>
        <w:t>assumes control of the goods. For a service, the delivery point is where the Commonwealth buyer receives the service, even if the end user of the service is located elsewhere.</w:t>
      </w:r>
    </w:p>
    <w:p w:rsidR="001327D5" w:rsidRPr="00C454D3" w:rsidRDefault="00DD3648" w:rsidP="005F0EA6">
      <w:pPr>
        <w:pStyle w:val="Heading4"/>
      </w:pPr>
      <w:r>
        <w:t>3</w:t>
      </w:r>
      <w:r w:rsidR="00186051" w:rsidRPr="00C454D3">
        <w:t>.1.3</w:t>
      </w:r>
      <w:r w:rsidR="00901B27" w:rsidRPr="00C454D3">
        <w:t xml:space="preserve"> Determining</w:t>
      </w:r>
      <w:r w:rsidR="001327D5" w:rsidRPr="00C454D3">
        <w:t xml:space="preserve"> a significant Indigenous outcome </w:t>
      </w:r>
      <w:r w:rsidR="00A30A75" w:rsidRPr="00C454D3">
        <w:t>in a remote contract</w:t>
      </w:r>
    </w:p>
    <w:p w:rsidR="001327D5" w:rsidRPr="00EC4DEF" w:rsidRDefault="005E2740" w:rsidP="001327D5">
      <w:pPr>
        <w:spacing w:after="200" w:line="276" w:lineRule="auto"/>
        <w:rPr>
          <w:rFonts w:asciiTheme="majorHAnsi" w:hAnsiTheme="majorHAnsi" w:cs="Arial"/>
        </w:rPr>
      </w:pPr>
      <w:r w:rsidRPr="00EC4DEF">
        <w:rPr>
          <w:rFonts w:asciiTheme="majorHAnsi" w:hAnsiTheme="majorHAnsi" w:cs="Arial"/>
        </w:rPr>
        <w:t xml:space="preserve">As part of contract negotiations, the </w:t>
      </w:r>
      <w:r w:rsidR="008D1DDB" w:rsidRPr="00EC4DEF">
        <w:rPr>
          <w:rFonts w:asciiTheme="majorHAnsi" w:hAnsiTheme="majorHAnsi" w:cs="Arial"/>
        </w:rPr>
        <w:t>successful tenderer</w:t>
      </w:r>
      <w:r w:rsidR="001327D5" w:rsidRPr="00EC4DEF">
        <w:rPr>
          <w:rFonts w:asciiTheme="majorHAnsi" w:hAnsiTheme="majorHAnsi" w:cs="Arial"/>
        </w:rPr>
        <w:t xml:space="preserve"> must agree a MMR target with the </w:t>
      </w:r>
      <w:r w:rsidRPr="00EC4DEF">
        <w:rPr>
          <w:rFonts w:asciiTheme="majorHAnsi" w:hAnsiTheme="majorHAnsi" w:cs="Arial"/>
        </w:rPr>
        <w:t>procuring official or contract manager</w:t>
      </w:r>
      <w:r w:rsidR="008D1DDB" w:rsidRPr="00EC4DEF">
        <w:rPr>
          <w:rFonts w:asciiTheme="majorHAnsi" w:hAnsiTheme="majorHAnsi" w:cs="Arial"/>
        </w:rPr>
        <w:t xml:space="preserve"> </w:t>
      </w:r>
      <w:r w:rsidR="001327D5" w:rsidRPr="00EC4DEF">
        <w:rPr>
          <w:rFonts w:asciiTheme="majorHAnsi" w:hAnsiTheme="majorHAnsi" w:cs="Arial"/>
        </w:rPr>
        <w:t xml:space="preserve">that will ensure a significant Indigenous employment or supplier use outcome. </w:t>
      </w:r>
      <w:r w:rsidRPr="00EC4DEF">
        <w:rPr>
          <w:rFonts w:asciiTheme="majorHAnsi" w:hAnsiTheme="majorHAnsi" w:cs="Arial"/>
        </w:rPr>
        <w:t xml:space="preserve"> In determining a ‘significant’ outcome </w:t>
      </w:r>
      <w:r w:rsidR="0053561F">
        <w:rPr>
          <w:rFonts w:asciiTheme="majorHAnsi" w:hAnsiTheme="majorHAnsi" w:cs="Arial"/>
        </w:rPr>
        <w:t>the successful tenderer</w:t>
      </w:r>
      <w:r w:rsidR="001327D5" w:rsidRPr="00EC4DEF">
        <w:rPr>
          <w:rFonts w:asciiTheme="majorHAnsi" w:hAnsiTheme="majorHAnsi" w:cs="Arial"/>
        </w:rPr>
        <w:t xml:space="preserve"> might wish to consider:</w:t>
      </w:r>
    </w:p>
    <w:p w:rsidR="001327D5" w:rsidRPr="00EC4DEF" w:rsidRDefault="001327D5" w:rsidP="001327D5">
      <w:pPr>
        <w:pStyle w:val="NumberedListlvl1"/>
        <w:rPr>
          <w:rFonts w:asciiTheme="majorHAnsi" w:hAnsiTheme="majorHAnsi"/>
        </w:rPr>
      </w:pPr>
      <w:r w:rsidRPr="00EC4DEF">
        <w:rPr>
          <w:rFonts w:asciiTheme="majorHAnsi" w:hAnsiTheme="majorHAnsi"/>
          <w:b/>
        </w:rPr>
        <w:t>Local employment market conditions</w:t>
      </w:r>
      <w:r w:rsidRPr="00EC4DEF">
        <w:rPr>
          <w:rFonts w:asciiTheme="majorHAnsi" w:hAnsiTheme="majorHAnsi"/>
        </w:rPr>
        <w:t xml:space="preserve"> such as the number of Indigenous businesses, workers and job seekers in the region and the relevant skills, qualifications and capabilities of the cohort. </w:t>
      </w:r>
    </w:p>
    <w:p w:rsidR="001327D5" w:rsidRPr="00EC4DEF" w:rsidRDefault="001327D5" w:rsidP="001327D5">
      <w:pPr>
        <w:pStyle w:val="NumberedListlvl1"/>
        <w:rPr>
          <w:rFonts w:asciiTheme="majorHAnsi" w:hAnsiTheme="majorHAnsi"/>
        </w:rPr>
      </w:pPr>
      <w:r w:rsidRPr="00EC4DEF">
        <w:rPr>
          <w:rFonts w:asciiTheme="majorHAnsi" w:hAnsiTheme="majorHAnsi"/>
          <w:b/>
        </w:rPr>
        <w:t>The requirements of the contract</w:t>
      </w:r>
      <w:r w:rsidRPr="00EC4DEF">
        <w:rPr>
          <w:rFonts w:asciiTheme="majorHAnsi" w:hAnsiTheme="majorHAnsi"/>
        </w:rPr>
        <w:t xml:space="preserve"> such as the skills and capabilities required to deliver the goods and services including the value and scale and size of the contract. </w:t>
      </w:r>
    </w:p>
    <w:p w:rsidR="008D1DDB" w:rsidRPr="00EC4DEF" w:rsidRDefault="001327D5" w:rsidP="00ED58CC">
      <w:pPr>
        <w:pStyle w:val="NumberedListlvl1"/>
        <w:rPr>
          <w:rFonts w:asciiTheme="majorHAnsi" w:hAnsiTheme="majorHAnsi"/>
        </w:rPr>
      </w:pPr>
      <w:r w:rsidRPr="00EC4DEF">
        <w:rPr>
          <w:rFonts w:asciiTheme="majorHAnsi" w:hAnsiTheme="majorHAnsi"/>
          <w:b/>
        </w:rPr>
        <w:t>The availability of supply services</w:t>
      </w:r>
      <w:r w:rsidRPr="00EC4DEF">
        <w:rPr>
          <w:rFonts w:asciiTheme="majorHAnsi" w:hAnsiTheme="majorHAnsi"/>
        </w:rPr>
        <w:t xml:space="preserve"> to support the meeting of any targets and assist in building the capacity of Indigenous businesses and job-seekers to take up opportunities. </w:t>
      </w:r>
    </w:p>
    <w:p w:rsidR="001327D5" w:rsidRPr="00EC4DEF" w:rsidRDefault="00A30A75" w:rsidP="00901B27">
      <w:pPr>
        <w:pStyle w:val="NumberedListlvl1"/>
        <w:rPr>
          <w:rFonts w:asciiTheme="majorHAnsi" w:hAnsiTheme="majorHAnsi"/>
        </w:rPr>
      </w:pPr>
      <w:r w:rsidRPr="00EC4DEF">
        <w:rPr>
          <w:rFonts w:asciiTheme="majorHAnsi" w:hAnsiTheme="majorHAnsi"/>
          <w:b/>
        </w:rPr>
        <w:t xml:space="preserve">Other government projects </w:t>
      </w:r>
      <w:r w:rsidR="001327D5" w:rsidRPr="00EC4DEF">
        <w:rPr>
          <w:rFonts w:asciiTheme="majorHAnsi" w:hAnsiTheme="majorHAnsi"/>
        </w:rPr>
        <w:t>operating in the region that may impact on the capacity of Indigenous businesses and job-seekers to take up opportunities</w:t>
      </w:r>
      <w:r w:rsidRPr="00EC4DEF">
        <w:rPr>
          <w:rFonts w:asciiTheme="majorHAnsi" w:hAnsiTheme="majorHAnsi"/>
        </w:rPr>
        <w:t xml:space="preserve"> over the</w:t>
      </w:r>
      <w:r w:rsidR="009E75FA">
        <w:rPr>
          <w:rFonts w:asciiTheme="majorHAnsi" w:hAnsiTheme="majorHAnsi"/>
        </w:rPr>
        <w:t xml:space="preserve"> contract</w:t>
      </w:r>
      <w:r w:rsidRPr="00EC4DEF">
        <w:rPr>
          <w:rFonts w:asciiTheme="majorHAnsi" w:hAnsiTheme="majorHAnsi"/>
        </w:rPr>
        <w:t xml:space="preserve"> term</w:t>
      </w:r>
      <w:r w:rsidR="001327D5" w:rsidRPr="00EC4DEF">
        <w:rPr>
          <w:rFonts w:asciiTheme="majorHAnsi" w:hAnsiTheme="majorHAnsi"/>
        </w:rPr>
        <w:t xml:space="preserve">. </w:t>
      </w:r>
    </w:p>
    <w:p w:rsidR="00186051" w:rsidRPr="00ED58CC" w:rsidRDefault="00186051" w:rsidP="00186051">
      <w:pPr>
        <w:pStyle w:val="NumberedListlvl1"/>
        <w:numPr>
          <w:ilvl w:val="0"/>
          <w:numId w:val="0"/>
        </w:numPr>
        <w:ind w:left="567"/>
        <w:rPr>
          <w:strike/>
        </w:rPr>
      </w:pPr>
    </w:p>
    <w:p w:rsidR="001327D5" w:rsidRDefault="001327D5" w:rsidP="00ED58CC">
      <w:pPr>
        <w:pStyle w:val="BodyText"/>
      </w:pPr>
      <w:r w:rsidRPr="003F23C7">
        <w:rPr>
          <w:noProof/>
          <w:lang w:eastAsia="en-AU"/>
        </w:rPr>
        <mc:AlternateContent>
          <mc:Choice Requires="wps">
            <w:drawing>
              <wp:inline distT="0" distB="0" distL="0" distR="0" wp14:anchorId="5F9336C1" wp14:editId="2DA86EE5">
                <wp:extent cx="6204318" cy="1281112"/>
                <wp:effectExtent l="0" t="0" r="25400" b="14605"/>
                <wp:docPr id="10" name="Rectangle 10"/>
                <wp:cNvGraphicFramePr/>
                <a:graphic xmlns:a="http://schemas.openxmlformats.org/drawingml/2006/main">
                  <a:graphicData uri="http://schemas.microsoft.com/office/word/2010/wordprocessingShape">
                    <wps:wsp>
                      <wps:cNvSpPr/>
                      <wps:spPr>
                        <a:xfrm>
                          <a:off x="0" y="0"/>
                          <a:ext cx="6204318" cy="1281112"/>
                        </a:xfrm>
                        <a:prstGeom prst="rect">
                          <a:avLst/>
                        </a:prstGeom>
                        <a:solidFill>
                          <a:srgbClr val="DD7500">
                            <a:lumMod val="20000"/>
                            <a:lumOff val="80000"/>
                          </a:srgbClr>
                        </a:solidFill>
                        <a:ln w="12700" cap="flat" cmpd="sng" algn="ctr">
                          <a:solidFill>
                            <a:srgbClr val="25303B">
                              <a:shade val="50000"/>
                            </a:srgbClr>
                          </a:solidFill>
                          <a:prstDash val="solid"/>
                          <a:miter lim="800000"/>
                        </a:ln>
                        <a:effectLst/>
                      </wps:spPr>
                      <wps:txbx>
                        <w:txbxContent>
                          <w:p w:rsidR="00CF5502" w:rsidRPr="003F3E55" w:rsidRDefault="00CF5502" w:rsidP="00453842">
                            <w:pPr>
                              <w:spacing w:before="120" w:line="360" w:lineRule="auto"/>
                              <w:rPr>
                                <w:rStyle w:val="Strong"/>
                              </w:rPr>
                            </w:pPr>
                            <w:r w:rsidRPr="003F3E55">
                              <w:rPr>
                                <w:rStyle w:val="Strong"/>
                              </w:rPr>
                              <w:t xml:space="preserve">Example </w:t>
                            </w:r>
                            <w:r>
                              <w:rPr>
                                <w:rStyle w:val="Strong"/>
                              </w:rPr>
                              <w:t>1</w:t>
                            </w:r>
                            <w:r w:rsidRPr="003F3E55">
                              <w:rPr>
                                <w:rStyle w:val="Strong"/>
                              </w:rPr>
                              <w:t>.</w:t>
                            </w:r>
                            <w:r>
                              <w:rPr>
                                <w:rStyle w:val="Strong"/>
                              </w:rPr>
                              <w:t xml:space="preserve"> Determining if a contract is considered remote</w:t>
                            </w:r>
                            <w:r w:rsidRPr="003F3E55">
                              <w:rPr>
                                <w:rStyle w:val="Strong"/>
                              </w:rPr>
                              <w:t xml:space="preserve"> </w:t>
                            </w:r>
                          </w:p>
                          <w:p w:rsidR="00CF5502" w:rsidRDefault="00CF5502" w:rsidP="00453842">
                            <w:pPr>
                              <w:pStyle w:val="BodyText"/>
                            </w:pPr>
                            <w:r w:rsidRPr="0065113B">
                              <w:t xml:space="preserve">The Commonwealth purchases </w:t>
                            </w:r>
                            <w:r>
                              <w:t xml:space="preserve">a call centre service. The </w:t>
                            </w:r>
                            <w:r w:rsidRPr="0065113B">
                              <w:t>call centre is located in Adelaide, with callers dialling in from around Australia. The delivery point is considered to be Adelaide, because that is where the Commonwealth is receiving the service, even though the end user (callers) may be located elsewhere.</w:t>
                            </w:r>
                            <w:r>
                              <w:t xml:space="preserve"> </w:t>
                            </w:r>
                          </w:p>
                          <w:p w:rsidR="00CF5502" w:rsidRDefault="00CF5502" w:rsidP="00453842">
                            <w:pPr>
                              <w:pStyle w:val="BodyText"/>
                              <w:rPr>
                                <w:sz w:val="18"/>
                                <w:szCs w:val="18"/>
                              </w:rPr>
                            </w:pPr>
                            <w:r>
                              <w:t>This is not considered a remote contract.</w:t>
                            </w:r>
                            <w:r w:rsidRPr="00714493">
                              <w:t xml:space="preserve"> </w:t>
                            </w:r>
                            <w:r>
                              <w:t>MMR target will apply as per non-remote requirements.</w:t>
                            </w:r>
                          </w:p>
                          <w:p w:rsidR="00CF5502" w:rsidRDefault="00CF55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336C1" id="Rectangle 10" o:spid="_x0000_s1027" style="width:488.55pt;height:10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v/oQIAAGAFAAAOAAAAZHJzL2Uyb0RvYy54bWysVMlu2zAQvRfoPxC8N5IcZ6kRO3BjpCiQ&#10;JkGTImeaohaAW0nacvr1fSTlbC16KHqROAvfzLyZ4dn5TkmyFc73Rs9pdVBSIjQ3da/bOf1+f/nh&#10;lBIfmK6ZNFrM6aPw9Hzx/t3ZYGdiYjoja+EIQLSfDXZOuxDsrCg874Ri/sBYoWFsjFMsQHRtUTs2&#10;AF3JYlKWx8VgXG2d4cJ7aFfZSBcJv2kEDzdN40Ugck6RW0hfl77r+C0WZ2zWOma7no9psH/IQrFe&#10;I+gT1IoFRjau/w1K9dwZb5pwwI0qTNP0XKQaUE1VvqnmrmNWpFpAjrdPNPn/B8uvt7eO9DV6B3o0&#10;U+jRN7DGdCsFgQ4EDdbP4Hdnb90oeRxjtbvGqfhHHWSXSH18IlXsAuFQHk/K6WGFMeCwVZPTqqom&#10;EbV4vm6dD5+FUSQe5tQhfiKTba98yK57lxjNG9nXl72USXDt+kI6smXo8Gp1clSW6a7cqK+mzmoM&#10;CrQAYjOoMRBZfbpXIxWfYVJar/ClJkPM+wQIhDOMaCNZwFFZkOZ1SwmTLWafB5cCv7o9wo5pHB2W&#10;h5+yU8dqkbVIOCf3tyxi+Svmu3wlhcj1qD5gf2Sv5jSVk8oEktSxWpE2YCQxtjE3Lp7Cbr3LfY9A&#10;UbM29SNmwZm8JN7yyx5hr5gPt8xhK0AANj3c4NNIA1bMeKKkM+7nn/TRH8MKKyUDtgyM/dgwJyiR&#10;XzTG+GM1nca1TML06GQCwb20rF9a9EZdGLS5wptieTpG/yD3x8YZ9YAHYRmjwsQ0R+zcm1G4CHn7&#10;8aRwsVwmN6yiZeFK31kewSNzkfD73QNzdhzKgHm+NvuNZLM3s5l9401tlptgmj4N7jOvmKwoYI3T&#10;jI1PTnwnXsrJ6/lhXPwCAAD//wMAUEsDBBQABgAIAAAAIQCFr1QP3QAAAAUBAAAPAAAAZHJzL2Rv&#10;d25yZXYueG1sTI/NTsMwEITvSLyDtUi9USc5JDTEqcpPT0hIpBVcnXibRMTrKHbbwNOzcCmXlUYz&#10;mvm2WM92ECecfO9IQbyMQCA1zvTUKtjvtrd3IHzQZPTgCBV8oYd1eX1V6Ny4M73hqQqt4BLyuVbQ&#10;hTDmUvqmQ6v90o1I7B3cZHVgObXSTPrM5XaQSRSl0uqeeKHTIz522HxWR6vgkNTzu3+Rm7RJv18/&#10;nqrnh7baK7W4mTf3IALO4RKGX3xGh5KZanck48WggB8Jf5e9VZbFIGoFSRRnIMtC/qcvfwAAAP//&#10;AwBQSwECLQAUAAYACAAAACEAtoM4kv4AAADhAQAAEwAAAAAAAAAAAAAAAAAAAAAAW0NvbnRlbnRf&#10;VHlwZXNdLnhtbFBLAQItABQABgAIAAAAIQA4/SH/1gAAAJQBAAALAAAAAAAAAAAAAAAAAC8BAABf&#10;cmVscy8ucmVsc1BLAQItABQABgAIAAAAIQAAkwv/oQIAAGAFAAAOAAAAAAAAAAAAAAAAAC4CAABk&#10;cnMvZTJvRG9jLnhtbFBLAQItABQABgAIAAAAIQCFr1QP3QAAAAUBAAAPAAAAAAAAAAAAAAAAAPsE&#10;AABkcnMvZG93bnJldi54bWxQSwUGAAAAAAQABADzAAAABQYAAAAA&#10;" fillcolor="#ffe4c5" strokecolor="#182029" strokeweight="1pt">
                <v:textbox>
                  <w:txbxContent>
                    <w:p w:rsidR="00CF5502" w:rsidRPr="003F3E55" w:rsidRDefault="00CF5502" w:rsidP="00453842">
                      <w:pPr>
                        <w:spacing w:before="120" w:line="360" w:lineRule="auto"/>
                        <w:rPr>
                          <w:rStyle w:val="Strong"/>
                        </w:rPr>
                      </w:pPr>
                      <w:r w:rsidRPr="003F3E55">
                        <w:rPr>
                          <w:rStyle w:val="Strong"/>
                        </w:rPr>
                        <w:t xml:space="preserve">Example </w:t>
                      </w:r>
                      <w:r>
                        <w:rPr>
                          <w:rStyle w:val="Strong"/>
                        </w:rPr>
                        <w:t>1</w:t>
                      </w:r>
                      <w:r w:rsidRPr="003F3E55">
                        <w:rPr>
                          <w:rStyle w:val="Strong"/>
                        </w:rPr>
                        <w:t>.</w:t>
                      </w:r>
                      <w:r>
                        <w:rPr>
                          <w:rStyle w:val="Strong"/>
                        </w:rPr>
                        <w:t xml:space="preserve"> Determining if a contract is considered remote</w:t>
                      </w:r>
                      <w:r w:rsidRPr="003F3E55">
                        <w:rPr>
                          <w:rStyle w:val="Strong"/>
                        </w:rPr>
                        <w:t xml:space="preserve"> </w:t>
                      </w:r>
                    </w:p>
                    <w:p w:rsidR="00CF5502" w:rsidRDefault="00CF5502" w:rsidP="00453842">
                      <w:pPr>
                        <w:pStyle w:val="BodyText"/>
                      </w:pPr>
                      <w:r w:rsidRPr="0065113B">
                        <w:t xml:space="preserve">The Commonwealth purchases </w:t>
                      </w:r>
                      <w:r>
                        <w:t xml:space="preserve">a call centre service. The </w:t>
                      </w:r>
                      <w:r w:rsidRPr="0065113B">
                        <w:t>call centre is located in Adelaide, with callers dialling in from around Australia. The delivery point is considered to be Adelaide, because that is where the Commonwealth is receiving the service, even though the end user (callers) may be located elsewhere.</w:t>
                      </w:r>
                      <w:r>
                        <w:t xml:space="preserve"> </w:t>
                      </w:r>
                    </w:p>
                    <w:p w:rsidR="00CF5502" w:rsidRDefault="00CF5502" w:rsidP="00453842">
                      <w:pPr>
                        <w:pStyle w:val="BodyText"/>
                        <w:rPr>
                          <w:sz w:val="18"/>
                          <w:szCs w:val="18"/>
                        </w:rPr>
                      </w:pPr>
                      <w:r>
                        <w:t>This is not considered a remote contract.</w:t>
                      </w:r>
                      <w:r w:rsidRPr="00714493">
                        <w:t xml:space="preserve"> </w:t>
                      </w:r>
                      <w:r>
                        <w:t>MMR target will apply as per non-remote requirements.</w:t>
                      </w:r>
                    </w:p>
                    <w:p w:rsidR="00CF5502" w:rsidRDefault="00CF5502"/>
                  </w:txbxContent>
                </v:textbox>
                <w10:anchorlock/>
              </v:rect>
            </w:pict>
          </mc:Fallback>
        </mc:AlternateContent>
      </w:r>
    </w:p>
    <w:p w:rsidR="00E57D90" w:rsidRDefault="00DD3648" w:rsidP="00186051">
      <w:pPr>
        <w:pStyle w:val="Heading3"/>
        <w:rPr>
          <w:b/>
          <w:u w:val="single"/>
        </w:rPr>
      </w:pPr>
      <w:bookmarkStart w:id="32" w:name="_Toc43385055"/>
      <w:r>
        <w:t>3</w:t>
      </w:r>
      <w:r w:rsidR="00186051" w:rsidRPr="00186051">
        <w:t>.</w:t>
      </w:r>
      <w:r w:rsidR="006B2AB6">
        <w:t>2</w:t>
      </w:r>
      <w:r w:rsidR="001327D5" w:rsidRPr="00186051">
        <w:t xml:space="preserve"> </w:t>
      </w:r>
      <w:r w:rsidR="005E2740">
        <w:t>M</w:t>
      </w:r>
      <w:r w:rsidR="001327D5" w:rsidRPr="00186051">
        <w:t xml:space="preserve">inimum targets </w:t>
      </w:r>
      <w:r w:rsidR="005E2740">
        <w:t>for</w:t>
      </w:r>
      <w:r w:rsidR="00D35AC2">
        <w:t xml:space="preserve"> </w:t>
      </w:r>
      <w:r w:rsidR="001327D5" w:rsidRPr="0029213E">
        <w:rPr>
          <w:b/>
          <w:u w:val="single"/>
        </w:rPr>
        <w:t>non-remote</w:t>
      </w:r>
      <w:r w:rsidR="00901B27" w:rsidRPr="0029213E">
        <w:rPr>
          <w:b/>
          <w:u w:val="single"/>
        </w:rPr>
        <w:t xml:space="preserve"> procur</w:t>
      </w:r>
      <w:r w:rsidR="00186051" w:rsidRPr="0029213E">
        <w:rPr>
          <w:b/>
          <w:u w:val="single"/>
        </w:rPr>
        <w:t>e</w:t>
      </w:r>
      <w:r w:rsidR="00901B27" w:rsidRPr="0029213E">
        <w:rPr>
          <w:b/>
          <w:u w:val="single"/>
        </w:rPr>
        <w:t>ments</w:t>
      </w:r>
      <w:bookmarkEnd w:id="32"/>
    </w:p>
    <w:p w:rsidR="001327D5" w:rsidRDefault="00E57D90" w:rsidP="00EC4DEF">
      <w:pPr>
        <w:pStyle w:val="BodyText"/>
      </w:pPr>
      <w:r w:rsidRPr="00FC1819">
        <w:rPr>
          <w:rFonts w:asciiTheme="majorHAnsi" w:hAnsiTheme="majorHAnsi"/>
        </w:rPr>
        <w:t xml:space="preserve">The minimum targets for non-remote procurements are determined by the Commonwealth entity </w:t>
      </w:r>
      <w:r w:rsidR="009E75FA">
        <w:rPr>
          <w:rFonts w:asciiTheme="majorHAnsi" w:hAnsiTheme="majorHAnsi"/>
        </w:rPr>
        <w:t>at the approach to m</w:t>
      </w:r>
      <w:r>
        <w:rPr>
          <w:rFonts w:asciiTheme="majorHAnsi" w:hAnsiTheme="majorHAnsi"/>
        </w:rPr>
        <w:t>arket</w:t>
      </w:r>
      <w:r w:rsidR="009E75FA">
        <w:rPr>
          <w:rFonts w:asciiTheme="majorHAnsi" w:hAnsiTheme="majorHAnsi"/>
        </w:rPr>
        <w:t xml:space="preserve"> </w:t>
      </w:r>
      <w:r>
        <w:rPr>
          <w:rFonts w:asciiTheme="majorHAnsi" w:hAnsiTheme="majorHAnsi"/>
        </w:rPr>
        <w:t xml:space="preserve">stage </w:t>
      </w:r>
      <w:r w:rsidRPr="00FC1819">
        <w:rPr>
          <w:rFonts w:asciiTheme="majorHAnsi" w:hAnsiTheme="majorHAnsi"/>
        </w:rPr>
        <w:t xml:space="preserve">or negotiated by the procurement official, contract manager and the </w:t>
      </w:r>
      <w:r w:rsidR="0053561F">
        <w:rPr>
          <w:rFonts w:asciiTheme="majorHAnsi" w:hAnsiTheme="majorHAnsi"/>
        </w:rPr>
        <w:t>successful tenderer (once the contract has been executed, the successful tender is known as the supplier)</w:t>
      </w:r>
      <w:r w:rsidR="00C454D3">
        <w:rPr>
          <w:rFonts w:asciiTheme="majorHAnsi" w:hAnsiTheme="majorHAnsi"/>
        </w:rPr>
        <w:t>.</w:t>
      </w:r>
      <w:r w:rsidR="001327D5" w:rsidRPr="00186051">
        <w:t xml:space="preserve"> </w:t>
      </w:r>
    </w:p>
    <w:p w:rsidR="00324E71" w:rsidRPr="00EC4DEF" w:rsidRDefault="00324E71" w:rsidP="00EC4DEF">
      <w:pPr>
        <w:pStyle w:val="BodyText"/>
        <w:rPr>
          <w:u w:val="single"/>
        </w:rPr>
      </w:pPr>
      <w:r>
        <w:t>Attachment A provides case studies for contract based and organisation based targets.</w:t>
      </w:r>
    </w:p>
    <w:p w:rsidR="001327D5" w:rsidRPr="00186051" w:rsidRDefault="00DD3648" w:rsidP="00186051">
      <w:pPr>
        <w:pStyle w:val="Heading4"/>
      </w:pPr>
      <w:r>
        <w:t>3</w:t>
      </w:r>
      <w:r w:rsidR="00186051" w:rsidRPr="00186051">
        <w:t>.2.1</w:t>
      </w:r>
      <w:r w:rsidR="001327D5" w:rsidRPr="00186051">
        <w:t xml:space="preserve"> Contract-based targets</w:t>
      </w:r>
      <w:r w:rsidR="00C454D3">
        <w:t xml:space="preserve"> and </w:t>
      </w:r>
      <w:r w:rsidR="00C454D3" w:rsidRPr="00186051">
        <w:t>Organisation-based targets</w:t>
      </w:r>
    </w:p>
    <w:p w:rsidR="00C454D3" w:rsidRDefault="00E57D90" w:rsidP="00E57D90">
      <w:pPr>
        <w:pStyle w:val="BodyText"/>
        <w:rPr>
          <w:rFonts w:asciiTheme="majorHAnsi" w:hAnsiTheme="majorHAnsi"/>
        </w:rPr>
      </w:pPr>
      <w:r w:rsidRPr="00E83B3E">
        <w:rPr>
          <w:rFonts w:asciiTheme="majorHAnsi" w:hAnsiTheme="majorHAnsi"/>
        </w:rPr>
        <w:t xml:space="preserve">A non-remote </w:t>
      </w:r>
    </w:p>
    <w:p w:rsidR="00C454D3" w:rsidRPr="00C454D3" w:rsidRDefault="00E57D90" w:rsidP="005F0EA6">
      <w:pPr>
        <w:pStyle w:val="BodyText"/>
        <w:numPr>
          <w:ilvl w:val="0"/>
          <w:numId w:val="56"/>
        </w:numPr>
        <w:rPr>
          <w:rFonts w:asciiTheme="majorHAnsi" w:hAnsiTheme="majorHAnsi"/>
        </w:rPr>
      </w:pPr>
      <w:r w:rsidRPr="00E83B3E">
        <w:rPr>
          <w:rFonts w:asciiTheme="majorHAnsi" w:hAnsiTheme="majorHAnsi"/>
        </w:rPr>
        <w:t>contract-based target must be, by the end of the initial term of the contract,</w:t>
      </w:r>
      <w:r w:rsidRPr="00C454D3">
        <w:rPr>
          <w:rFonts w:asciiTheme="majorHAnsi" w:hAnsiTheme="majorHAnsi"/>
        </w:rPr>
        <w:t xml:space="preserve"> </w:t>
      </w:r>
      <w:r w:rsidRPr="005F0EA6">
        <w:rPr>
          <w:rFonts w:asciiTheme="majorHAnsi" w:hAnsiTheme="majorHAnsi"/>
        </w:rPr>
        <w:t>a minimum of 4 per cent (4%)</w:t>
      </w:r>
      <w:r w:rsidRPr="00C454D3">
        <w:rPr>
          <w:rFonts w:asciiTheme="majorHAnsi" w:hAnsiTheme="majorHAnsi"/>
        </w:rPr>
        <w:t xml:space="preserve">. </w:t>
      </w:r>
    </w:p>
    <w:p w:rsidR="00C454D3" w:rsidRPr="00C454D3" w:rsidRDefault="00C454D3" w:rsidP="005F0EA6">
      <w:pPr>
        <w:pStyle w:val="BodyText"/>
        <w:numPr>
          <w:ilvl w:val="0"/>
          <w:numId w:val="56"/>
        </w:numPr>
        <w:rPr>
          <w:rFonts w:asciiTheme="majorHAnsi" w:hAnsiTheme="majorHAnsi"/>
        </w:rPr>
      </w:pPr>
      <w:r w:rsidRPr="00C454D3">
        <w:rPr>
          <w:rFonts w:asciiTheme="majorHAnsi" w:hAnsiTheme="majorHAnsi"/>
        </w:rPr>
        <w:t xml:space="preserve">organisation-based MMR must be, by the end of the initial term of the contract, </w:t>
      </w:r>
      <w:r w:rsidRPr="005F0EA6">
        <w:rPr>
          <w:rFonts w:asciiTheme="majorHAnsi" w:hAnsiTheme="majorHAnsi"/>
        </w:rPr>
        <w:t>a minimum of 3 per cent (3%)</w:t>
      </w:r>
    </w:p>
    <w:p w:rsidR="00E570EC" w:rsidRDefault="00C454D3" w:rsidP="00901B27">
      <w:pPr>
        <w:pStyle w:val="BulletedListlvl1"/>
        <w:ind w:left="567" w:hanging="567"/>
        <w:rPr>
          <w:rFonts w:asciiTheme="majorHAnsi" w:hAnsiTheme="majorHAnsi"/>
        </w:rPr>
      </w:pPr>
      <w:r w:rsidRPr="005F0EA6">
        <w:rPr>
          <w:rFonts w:asciiTheme="majorHAnsi" w:hAnsiTheme="majorHAnsi"/>
          <w:b/>
        </w:rPr>
        <w:t>Note:</w:t>
      </w:r>
      <w:r>
        <w:rPr>
          <w:rFonts w:asciiTheme="majorHAnsi" w:hAnsiTheme="majorHAnsi"/>
        </w:rPr>
        <w:t xml:space="preserve">  Table 1 provides further details on applying contract-based and organisation-based targets.</w:t>
      </w:r>
    </w:p>
    <w:p w:rsidR="00E570EC" w:rsidRDefault="00E570EC">
      <w:pPr>
        <w:rPr>
          <w:rFonts w:asciiTheme="majorHAnsi" w:hAnsiTheme="majorHAnsi"/>
        </w:rPr>
      </w:pPr>
      <w:r>
        <w:rPr>
          <w:rFonts w:asciiTheme="majorHAnsi" w:hAnsiTheme="majorHAnsi"/>
        </w:rPr>
        <w:br w:type="page"/>
      </w:r>
    </w:p>
    <w:p w:rsidR="001327D5" w:rsidRDefault="001327D5" w:rsidP="00901B27">
      <w:pPr>
        <w:pStyle w:val="BulletedListlvl1"/>
        <w:ind w:left="567" w:hanging="567"/>
      </w:pPr>
    </w:p>
    <w:p w:rsidR="001327D5" w:rsidRPr="00186051" w:rsidRDefault="00DD3648" w:rsidP="00186051">
      <w:pPr>
        <w:pStyle w:val="Heading3"/>
      </w:pPr>
      <w:bookmarkStart w:id="33" w:name="_Toc43385056"/>
      <w:r>
        <w:t>3</w:t>
      </w:r>
      <w:r w:rsidR="00186051" w:rsidRPr="00186051">
        <w:t xml:space="preserve">.3 </w:t>
      </w:r>
      <w:r w:rsidR="009E75FA">
        <w:t>Counting employment and supply-use against</w:t>
      </w:r>
      <w:r w:rsidR="009A531E">
        <w:t xml:space="preserve"> targets</w:t>
      </w:r>
      <w:bookmarkEnd w:id="33"/>
      <w:r w:rsidR="009A531E">
        <w:t xml:space="preserve"> </w:t>
      </w:r>
      <w:r w:rsidR="001327D5" w:rsidRPr="00186051">
        <w:t xml:space="preserve"> </w:t>
      </w:r>
    </w:p>
    <w:p w:rsidR="001327D5" w:rsidRPr="00186051" w:rsidRDefault="00DD3648" w:rsidP="00186051">
      <w:pPr>
        <w:pStyle w:val="Heading4"/>
      </w:pPr>
      <w:r>
        <w:t>3</w:t>
      </w:r>
      <w:r w:rsidR="00186051" w:rsidRPr="00186051">
        <w:t>.3.1</w:t>
      </w:r>
      <w:r w:rsidR="001327D5" w:rsidRPr="00186051">
        <w:t xml:space="preserve"> </w:t>
      </w:r>
      <w:r w:rsidR="009A531E">
        <w:t xml:space="preserve">Employment </w:t>
      </w:r>
    </w:p>
    <w:p w:rsidR="009E75FA" w:rsidRDefault="00901B27" w:rsidP="00901B27">
      <w:pPr>
        <w:pStyle w:val="BulletedListlvl1"/>
        <w:ind w:left="0" w:firstLine="0"/>
        <w:rPr>
          <w:rFonts w:asciiTheme="majorHAnsi" w:hAnsiTheme="majorHAnsi"/>
        </w:rPr>
      </w:pPr>
      <w:r w:rsidRPr="00EC4DEF">
        <w:rPr>
          <w:rFonts w:asciiTheme="majorHAnsi" w:hAnsiTheme="majorHAnsi"/>
        </w:rPr>
        <w:t>Employment targets are measured by the number of hours an Indigenous person works for the supplier over the term of the contract in relation to the supplier’s total workforce (as a percentage), expressed as full-time equivalent (FTE)</w:t>
      </w:r>
      <w:r w:rsidR="00E57D90" w:rsidRPr="00EC4DEF">
        <w:rPr>
          <w:rFonts w:asciiTheme="majorHAnsi" w:hAnsiTheme="majorHAnsi"/>
        </w:rPr>
        <w:t xml:space="preserve"> and assessed as a weighted average</w:t>
      </w:r>
      <w:r w:rsidRPr="00EC4DEF">
        <w:rPr>
          <w:rFonts w:asciiTheme="majorHAnsi" w:hAnsiTheme="majorHAnsi"/>
        </w:rPr>
        <w:t>. This ensures Indigenous Australian</w:t>
      </w:r>
      <w:r w:rsidR="0053561F">
        <w:rPr>
          <w:rFonts w:asciiTheme="majorHAnsi" w:hAnsiTheme="majorHAnsi"/>
        </w:rPr>
        <w:t>s</w:t>
      </w:r>
      <w:r w:rsidRPr="00EC4DEF">
        <w:rPr>
          <w:rFonts w:asciiTheme="majorHAnsi" w:hAnsiTheme="majorHAnsi"/>
        </w:rPr>
        <w:t xml:space="preserve"> have access to meaningful employment over the life of the project. </w:t>
      </w:r>
      <w:r w:rsidR="00A569A1" w:rsidRPr="00EC4DEF">
        <w:rPr>
          <w:rFonts w:asciiTheme="majorHAnsi" w:hAnsiTheme="majorHAnsi"/>
        </w:rPr>
        <w:t xml:space="preserve"> </w:t>
      </w:r>
    </w:p>
    <w:p w:rsidR="00C600E6" w:rsidRPr="00EC4DEF" w:rsidRDefault="00C600E6" w:rsidP="00901B27">
      <w:pPr>
        <w:pStyle w:val="BulletedListlvl1"/>
        <w:ind w:left="0" w:firstLine="0"/>
        <w:rPr>
          <w:rFonts w:asciiTheme="majorHAnsi" w:hAnsiTheme="majorHAnsi"/>
        </w:rPr>
      </w:pPr>
    </w:p>
    <w:p w:rsidR="001327D5" w:rsidRPr="00EC4DEF" w:rsidRDefault="00901B27" w:rsidP="001327D5">
      <w:pPr>
        <w:pStyle w:val="BodyText"/>
        <w:rPr>
          <w:rFonts w:asciiTheme="majorHAnsi" w:hAnsiTheme="majorHAnsi"/>
        </w:rPr>
      </w:pPr>
      <w:r w:rsidRPr="00C600E6">
        <w:rPr>
          <w:rFonts w:asciiTheme="majorHAnsi" w:hAnsiTheme="majorHAnsi"/>
          <w:b/>
        </w:rPr>
        <w:t>It is important to note</w:t>
      </w:r>
      <w:r w:rsidR="00C600E6" w:rsidRPr="00C600E6">
        <w:rPr>
          <w:rFonts w:asciiTheme="majorHAnsi" w:hAnsiTheme="majorHAnsi"/>
          <w:b/>
        </w:rPr>
        <w:t>:</w:t>
      </w:r>
      <w:r w:rsidRPr="00EC4DEF">
        <w:rPr>
          <w:rFonts w:asciiTheme="majorHAnsi" w:hAnsiTheme="majorHAnsi"/>
        </w:rPr>
        <w:t xml:space="preserve"> the hours associated with a FTE will differ between industries. The supplier should use the FTE as defined by their industry. If multiple awards are in place, the supplier should use the FTE rate that is most representative of their workforce. </w:t>
      </w:r>
      <w:r w:rsidR="001327D5" w:rsidRPr="00EC4DEF">
        <w:rPr>
          <w:rFonts w:asciiTheme="majorHAnsi" w:hAnsiTheme="majorHAnsi"/>
        </w:rPr>
        <w:t xml:space="preserve"> </w:t>
      </w:r>
    </w:p>
    <w:p w:rsidR="00453842" w:rsidRDefault="00DD3648" w:rsidP="00453842">
      <w:pPr>
        <w:pStyle w:val="Heading4"/>
      </w:pPr>
      <w:r>
        <w:t>3</w:t>
      </w:r>
      <w:r w:rsidR="00186051" w:rsidRPr="00186051">
        <w:t xml:space="preserve">.3.2 </w:t>
      </w:r>
      <w:r w:rsidR="009A531E">
        <w:t>Supply-use</w:t>
      </w:r>
    </w:p>
    <w:p w:rsidR="00D21E6C" w:rsidRDefault="00972CA0" w:rsidP="00D21E6C">
      <w:pPr>
        <w:pStyle w:val="BodyText"/>
        <w:rPr>
          <w:highlight w:val="yellow"/>
        </w:rPr>
      </w:pPr>
      <w:r w:rsidRPr="00E83B3E">
        <w:rPr>
          <w:rFonts w:asciiTheme="majorHAnsi" w:hAnsiTheme="majorHAnsi"/>
        </w:rPr>
        <w:t>For contract-based MMR targets, the supplier may report any subcontract or purchase made with an Indigenous business that is directly related to delivery of the contract</w:t>
      </w:r>
      <w:r w:rsidR="00AC62BD">
        <w:rPr>
          <w:rFonts w:asciiTheme="majorHAnsi" w:hAnsiTheme="majorHAnsi"/>
        </w:rPr>
        <w:t>.</w:t>
      </w:r>
      <w:r w:rsidRPr="00E83B3E">
        <w:rPr>
          <w:rFonts w:asciiTheme="majorHAnsi" w:hAnsiTheme="majorHAnsi"/>
        </w:rPr>
        <w:t xml:space="preserve"> </w:t>
      </w:r>
      <w:r w:rsidR="00D21E6C" w:rsidRPr="00E83B3E">
        <w:rPr>
          <w:rFonts w:asciiTheme="majorHAnsi" w:hAnsiTheme="majorHAnsi"/>
        </w:rPr>
        <w:t xml:space="preserve">This is measured as a percentage against the </w:t>
      </w:r>
      <w:r w:rsidR="00D21E6C">
        <w:rPr>
          <w:rFonts w:asciiTheme="majorHAnsi" w:hAnsiTheme="majorHAnsi"/>
        </w:rPr>
        <w:t xml:space="preserve">total value of the contract awarded. </w:t>
      </w:r>
    </w:p>
    <w:p w:rsidR="00972CA0" w:rsidRDefault="00972CA0" w:rsidP="00972CA0">
      <w:pPr>
        <w:pStyle w:val="BulletedListlvl1"/>
        <w:ind w:left="0" w:firstLine="0"/>
        <w:rPr>
          <w:rFonts w:asciiTheme="majorHAnsi" w:hAnsiTheme="majorHAnsi"/>
        </w:rPr>
      </w:pPr>
    </w:p>
    <w:p w:rsidR="00972CA0" w:rsidRDefault="00972CA0" w:rsidP="00972CA0">
      <w:pPr>
        <w:pStyle w:val="BodyText"/>
        <w:rPr>
          <w:highlight w:val="yellow"/>
        </w:rPr>
      </w:pPr>
      <w:r w:rsidRPr="00E83B3E">
        <w:rPr>
          <w:rFonts w:asciiTheme="majorHAnsi" w:hAnsiTheme="majorHAnsi"/>
        </w:rPr>
        <w:t xml:space="preserve">For organisation-based MMR targets the supplier can count any contract awarded to, or purchase made from, an Indigenous businesses </w:t>
      </w:r>
      <w:r w:rsidR="00D21E6C">
        <w:rPr>
          <w:rFonts w:asciiTheme="majorHAnsi" w:hAnsiTheme="majorHAnsi"/>
        </w:rPr>
        <w:t xml:space="preserve">by their organisation </w:t>
      </w:r>
      <w:r w:rsidRPr="00E83B3E">
        <w:rPr>
          <w:rFonts w:asciiTheme="majorHAnsi" w:hAnsiTheme="majorHAnsi"/>
        </w:rPr>
        <w:t xml:space="preserve">over the term of the contract. This is measured as a percentage against the organisation’s Australian supply chain.  </w:t>
      </w:r>
    </w:p>
    <w:p w:rsidR="00886003" w:rsidRPr="00186051" w:rsidRDefault="009A47B6" w:rsidP="00186051">
      <w:pPr>
        <w:pStyle w:val="Heading2"/>
      </w:pPr>
      <w:bookmarkStart w:id="34" w:name="_Toc43385057"/>
      <w:r>
        <w:t>4</w:t>
      </w:r>
      <w:r w:rsidR="00E176C1" w:rsidRPr="00186051">
        <w:t>.</w:t>
      </w:r>
      <w:r w:rsidR="00031E27">
        <w:t>0</w:t>
      </w:r>
      <w:r w:rsidR="00031E27">
        <w:tab/>
      </w:r>
      <w:r w:rsidR="001327D5" w:rsidRPr="00186051">
        <w:t xml:space="preserve">Preparing </w:t>
      </w:r>
      <w:r>
        <w:t>s</w:t>
      </w:r>
      <w:r w:rsidR="00A6191E">
        <w:t>u</w:t>
      </w:r>
      <w:r w:rsidR="00DD3648">
        <w:t>bmission documents</w:t>
      </w:r>
      <w:bookmarkEnd w:id="34"/>
    </w:p>
    <w:p w:rsidR="009A531E" w:rsidRPr="00EC4DEF" w:rsidRDefault="000A15B0" w:rsidP="009A531E">
      <w:pPr>
        <w:pStyle w:val="BodyText"/>
        <w:rPr>
          <w:rFonts w:asciiTheme="majorHAnsi" w:hAnsiTheme="majorHAnsi"/>
        </w:rPr>
      </w:pPr>
      <w:r w:rsidRPr="00EC4DEF">
        <w:rPr>
          <w:rFonts w:asciiTheme="majorHAnsi" w:hAnsiTheme="majorHAnsi"/>
        </w:rPr>
        <w:t xml:space="preserve">A </w:t>
      </w:r>
      <w:r w:rsidR="009A531E" w:rsidRPr="00EC4DEF">
        <w:rPr>
          <w:rFonts w:asciiTheme="majorHAnsi" w:hAnsiTheme="majorHAnsi"/>
        </w:rPr>
        <w:t xml:space="preserve">submission is any formally submitted response to an approach to market. Submission may include tenders, responses to expressions of interest or responses to request to quote. </w:t>
      </w:r>
    </w:p>
    <w:p w:rsidR="009A531E" w:rsidRPr="00EC4DEF" w:rsidRDefault="009A531E" w:rsidP="009A531E">
      <w:pPr>
        <w:pStyle w:val="BodyText"/>
        <w:rPr>
          <w:rFonts w:asciiTheme="majorHAnsi" w:hAnsiTheme="majorHAnsi"/>
        </w:rPr>
      </w:pPr>
      <w:r w:rsidRPr="00EC4DEF">
        <w:rPr>
          <w:rFonts w:asciiTheme="majorHAnsi" w:hAnsiTheme="majorHAnsi"/>
        </w:rPr>
        <w:t>If a procurement is subject to the MMR, the approach to market documentation issued by the Commonwealth entity will contain certain requirements that</w:t>
      </w:r>
      <w:r w:rsidR="0053561F">
        <w:rPr>
          <w:rFonts w:asciiTheme="majorHAnsi" w:hAnsiTheme="majorHAnsi"/>
        </w:rPr>
        <w:t xml:space="preserve"> tenderers</w:t>
      </w:r>
      <w:r w:rsidRPr="00EC4DEF">
        <w:rPr>
          <w:rFonts w:asciiTheme="majorHAnsi" w:hAnsiTheme="majorHAnsi"/>
        </w:rPr>
        <w:t xml:space="preserve"> will need to meet in order to be considered for the contract. </w:t>
      </w:r>
    </w:p>
    <w:p w:rsidR="0018454F" w:rsidRPr="00EC4DEF" w:rsidRDefault="009A531E" w:rsidP="009A531E">
      <w:pPr>
        <w:pStyle w:val="BodyText"/>
        <w:rPr>
          <w:rFonts w:asciiTheme="majorHAnsi" w:hAnsiTheme="majorHAnsi"/>
        </w:rPr>
      </w:pPr>
      <w:r w:rsidRPr="00EC4DEF">
        <w:rPr>
          <w:rFonts w:asciiTheme="majorHAnsi" w:hAnsiTheme="majorHAnsi"/>
        </w:rPr>
        <w:t>This section details what those requirements are.</w:t>
      </w:r>
    </w:p>
    <w:tbl>
      <w:tblPr>
        <w:tblStyle w:val="TableGrid"/>
        <w:tblW w:w="0" w:type="auto"/>
        <w:shd w:val="clear" w:color="auto" w:fill="FFDC95" w:themeFill="accent5" w:themeFillTint="66"/>
        <w:tblLook w:val="04A0" w:firstRow="1" w:lastRow="0" w:firstColumn="1" w:lastColumn="0" w:noHBand="0" w:noVBand="1"/>
      </w:tblPr>
      <w:tblGrid>
        <w:gridCol w:w="10336"/>
      </w:tblGrid>
      <w:tr w:rsidR="00A6191E" w:rsidTr="0044484F">
        <w:tc>
          <w:tcPr>
            <w:tcW w:w="10336" w:type="dxa"/>
            <w:shd w:val="clear" w:color="auto" w:fill="FFDC95" w:themeFill="accent5" w:themeFillTint="66"/>
          </w:tcPr>
          <w:p w:rsidR="00A6191E" w:rsidRPr="00EC4DEF" w:rsidRDefault="00A6191E" w:rsidP="00A6191E">
            <w:pPr>
              <w:pStyle w:val="BodyText"/>
              <w:rPr>
                <w:rFonts w:asciiTheme="majorHAnsi" w:hAnsiTheme="majorHAnsi"/>
              </w:rPr>
            </w:pPr>
            <w:r>
              <w:rPr>
                <w:rFonts w:asciiTheme="majorHAnsi" w:hAnsiTheme="majorHAnsi"/>
              </w:rPr>
              <w:t>TIP</w:t>
            </w:r>
            <w:r w:rsidR="0044484F">
              <w:rPr>
                <w:rFonts w:asciiTheme="majorHAnsi" w:hAnsiTheme="majorHAnsi"/>
              </w:rPr>
              <w:t xml:space="preserve">: </w:t>
            </w:r>
            <w:r>
              <w:rPr>
                <w:rFonts w:asciiTheme="majorHAnsi" w:hAnsiTheme="majorHAnsi"/>
              </w:rPr>
              <w:t xml:space="preserve"> </w:t>
            </w:r>
            <w:r w:rsidRPr="00EC4DEF">
              <w:rPr>
                <w:rFonts w:asciiTheme="majorHAnsi" w:hAnsiTheme="majorHAnsi"/>
              </w:rPr>
              <w:t xml:space="preserve">The </w:t>
            </w:r>
            <w:r w:rsidR="00E570EC">
              <w:rPr>
                <w:rFonts w:asciiTheme="majorHAnsi" w:hAnsiTheme="majorHAnsi"/>
              </w:rPr>
              <w:t xml:space="preserve">Department of Finance website </w:t>
            </w:r>
            <w:hyperlink r:id="rId25" w:history="1">
              <w:r w:rsidRPr="00E570EC">
                <w:rPr>
                  <w:rStyle w:val="Hyperlink"/>
                  <w:rFonts w:asciiTheme="majorHAnsi" w:hAnsiTheme="majorHAnsi"/>
                </w:rPr>
                <w:t>Selling to Government</w:t>
              </w:r>
            </w:hyperlink>
            <w:r w:rsidRPr="00EC4DEF">
              <w:rPr>
                <w:rFonts w:asciiTheme="majorHAnsi" w:hAnsiTheme="majorHAnsi"/>
              </w:rPr>
              <w:t xml:space="preserve"> provides guidance to help businesses identify and respond to business opportunities, including further guidance on what is typically contained in an approach to market.  </w:t>
            </w:r>
          </w:p>
          <w:p w:rsidR="00A6191E" w:rsidRDefault="00A6191E" w:rsidP="00972CA0">
            <w:pPr>
              <w:pStyle w:val="BodyText"/>
              <w:rPr>
                <w:rFonts w:asciiTheme="majorHAnsi" w:hAnsiTheme="majorHAnsi"/>
              </w:rPr>
            </w:pPr>
          </w:p>
        </w:tc>
      </w:tr>
    </w:tbl>
    <w:p w:rsidR="008F7DFB" w:rsidRPr="00186051" w:rsidRDefault="009A47B6" w:rsidP="00430A9A">
      <w:pPr>
        <w:pStyle w:val="Heading3"/>
      </w:pPr>
      <w:bookmarkStart w:id="35" w:name="_Toc43385058"/>
      <w:r>
        <w:t>4</w:t>
      </w:r>
      <w:r w:rsidR="00430A9A">
        <w:t>.1</w:t>
      </w:r>
      <w:r w:rsidR="00186051">
        <w:t xml:space="preserve"> </w:t>
      </w:r>
      <w:r w:rsidR="00913AEC" w:rsidRPr="00186051">
        <w:t>Approach to Market</w:t>
      </w:r>
      <w:bookmarkEnd w:id="35"/>
    </w:p>
    <w:p w:rsidR="008F7DFB" w:rsidRPr="00EC4DEF" w:rsidRDefault="00181BE0" w:rsidP="008F7DFB">
      <w:pPr>
        <w:pStyle w:val="BodyText"/>
        <w:rPr>
          <w:rFonts w:asciiTheme="majorHAnsi" w:hAnsiTheme="majorHAnsi"/>
        </w:rPr>
      </w:pPr>
      <w:r w:rsidRPr="00EC4DEF">
        <w:rPr>
          <w:rFonts w:asciiTheme="majorHAnsi" w:hAnsiTheme="majorHAnsi"/>
        </w:rPr>
        <w:t>A</w:t>
      </w:r>
      <w:r w:rsidR="008F7DFB" w:rsidRPr="00EC4DEF">
        <w:rPr>
          <w:rFonts w:asciiTheme="majorHAnsi" w:hAnsiTheme="majorHAnsi"/>
        </w:rPr>
        <w:t>n</w:t>
      </w:r>
      <w:r w:rsidR="00913AEC" w:rsidRPr="00EC4DEF">
        <w:rPr>
          <w:rFonts w:asciiTheme="majorHAnsi" w:hAnsiTheme="majorHAnsi"/>
        </w:rPr>
        <w:t>y</w:t>
      </w:r>
      <w:r w:rsidR="008F7DFB" w:rsidRPr="00EC4DEF">
        <w:rPr>
          <w:rFonts w:asciiTheme="majorHAnsi" w:hAnsiTheme="majorHAnsi"/>
        </w:rPr>
        <w:t xml:space="preserve"> </w:t>
      </w:r>
      <w:r w:rsidR="0018454F" w:rsidRPr="00EC4DEF">
        <w:rPr>
          <w:rFonts w:asciiTheme="majorHAnsi" w:hAnsiTheme="majorHAnsi"/>
        </w:rPr>
        <w:t>a</w:t>
      </w:r>
      <w:r w:rsidR="008F7DFB" w:rsidRPr="00EC4DEF">
        <w:rPr>
          <w:rFonts w:asciiTheme="majorHAnsi" w:hAnsiTheme="majorHAnsi"/>
        </w:rPr>
        <w:t xml:space="preserve">pproach to </w:t>
      </w:r>
      <w:r w:rsidR="0018454F" w:rsidRPr="00EC4DEF">
        <w:rPr>
          <w:rFonts w:asciiTheme="majorHAnsi" w:hAnsiTheme="majorHAnsi"/>
        </w:rPr>
        <w:t>m</w:t>
      </w:r>
      <w:r w:rsidR="008F7DFB" w:rsidRPr="00EC4DEF">
        <w:rPr>
          <w:rFonts w:asciiTheme="majorHAnsi" w:hAnsiTheme="majorHAnsi"/>
        </w:rPr>
        <w:t xml:space="preserve">arket will </w:t>
      </w:r>
      <w:r w:rsidR="0018454F" w:rsidRPr="00EC4DEF">
        <w:rPr>
          <w:rFonts w:asciiTheme="majorHAnsi" w:hAnsiTheme="majorHAnsi"/>
        </w:rPr>
        <w:t xml:space="preserve">generally </w:t>
      </w:r>
      <w:r w:rsidR="008F7DFB" w:rsidRPr="00EC4DEF">
        <w:rPr>
          <w:rFonts w:asciiTheme="majorHAnsi" w:hAnsiTheme="majorHAnsi"/>
        </w:rPr>
        <w:t>include a description of the</w:t>
      </w:r>
      <w:r w:rsidR="000A15B0" w:rsidRPr="00EC4DEF">
        <w:rPr>
          <w:rFonts w:asciiTheme="majorHAnsi" w:hAnsiTheme="majorHAnsi"/>
        </w:rPr>
        <w:t xml:space="preserve"> goods and/</w:t>
      </w:r>
      <w:r w:rsidR="008F7DFB" w:rsidRPr="00EC4DEF">
        <w:rPr>
          <w:rFonts w:asciiTheme="majorHAnsi" w:hAnsiTheme="majorHAnsi"/>
        </w:rPr>
        <w:t>or services the</w:t>
      </w:r>
      <w:r w:rsidR="000A15B0" w:rsidRPr="00EC4DEF">
        <w:rPr>
          <w:rFonts w:asciiTheme="majorHAnsi" w:hAnsiTheme="majorHAnsi"/>
        </w:rPr>
        <w:t xml:space="preserve"> </w:t>
      </w:r>
      <w:r w:rsidR="000122CA" w:rsidRPr="00EC4DEF">
        <w:rPr>
          <w:rFonts w:asciiTheme="majorHAnsi" w:hAnsiTheme="majorHAnsi"/>
        </w:rPr>
        <w:t>procuring official</w:t>
      </w:r>
      <w:r w:rsidR="008F7DFB" w:rsidRPr="00EC4DEF">
        <w:rPr>
          <w:rFonts w:asciiTheme="majorHAnsi" w:hAnsiTheme="majorHAnsi"/>
        </w:rPr>
        <w:t xml:space="preserve"> requires, </w:t>
      </w:r>
      <w:r w:rsidR="0018454F" w:rsidRPr="00EC4DEF">
        <w:rPr>
          <w:rFonts w:asciiTheme="majorHAnsi" w:hAnsiTheme="majorHAnsi"/>
        </w:rPr>
        <w:t>the proposed</w:t>
      </w:r>
      <w:r w:rsidR="00913AEC" w:rsidRPr="00EC4DEF">
        <w:rPr>
          <w:rFonts w:asciiTheme="majorHAnsi" w:hAnsiTheme="majorHAnsi"/>
        </w:rPr>
        <w:t xml:space="preserve"> draft contract</w:t>
      </w:r>
      <w:r w:rsidRPr="00EC4DEF">
        <w:rPr>
          <w:rFonts w:asciiTheme="majorHAnsi" w:hAnsiTheme="majorHAnsi"/>
        </w:rPr>
        <w:t xml:space="preserve"> which sets out </w:t>
      </w:r>
      <w:r w:rsidR="0018454F" w:rsidRPr="00EC4DEF">
        <w:rPr>
          <w:rFonts w:asciiTheme="majorHAnsi" w:hAnsiTheme="majorHAnsi"/>
        </w:rPr>
        <w:t xml:space="preserve">the </w:t>
      </w:r>
      <w:r w:rsidRPr="00EC4DEF">
        <w:rPr>
          <w:rFonts w:asciiTheme="majorHAnsi" w:hAnsiTheme="majorHAnsi"/>
        </w:rPr>
        <w:t>conditions to be met under the contract</w:t>
      </w:r>
      <w:r w:rsidR="0018454F" w:rsidRPr="00EC4DEF">
        <w:rPr>
          <w:rFonts w:asciiTheme="majorHAnsi" w:hAnsiTheme="majorHAnsi"/>
        </w:rPr>
        <w:t xml:space="preserve"> and </w:t>
      </w:r>
      <w:r w:rsidR="008F7DFB" w:rsidRPr="00EC4DEF">
        <w:rPr>
          <w:rFonts w:asciiTheme="majorHAnsi" w:hAnsiTheme="majorHAnsi"/>
        </w:rPr>
        <w:t xml:space="preserve"> list of conditions for participation </w:t>
      </w:r>
      <w:r w:rsidR="0018454F" w:rsidRPr="00EC4DEF">
        <w:rPr>
          <w:rFonts w:asciiTheme="majorHAnsi" w:hAnsiTheme="majorHAnsi"/>
        </w:rPr>
        <w:t>that must be met for you</w:t>
      </w:r>
      <w:r w:rsidR="006E5FBB">
        <w:rPr>
          <w:rFonts w:asciiTheme="majorHAnsi" w:hAnsiTheme="majorHAnsi"/>
        </w:rPr>
        <w:t>r business</w:t>
      </w:r>
      <w:r w:rsidR="0018454F" w:rsidRPr="00EC4DEF">
        <w:rPr>
          <w:rFonts w:asciiTheme="majorHAnsi" w:hAnsiTheme="majorHAnsi"/>
        </w:rPr>
        <w:t xml:space="preserve"> to be considered for the work. An approach to market that is subject to the MMR conditions will include a provision: </w:t>
      </w:r>
    </w:p>
    <w:p w:rsidR="008F7DFB" w:rsidRPr="00EC4DEF" w:rsidRDefault="00A53616" w:rsidP="009E6C33">
      <w:pPr>
        <w:pStyle w:val="BodyText"/>
        <w:numPr>
          <w:ilvl w:val="0"/>
          <w:numId w:val="10"/>
        </w:numPr>
        <w:rPr>
          <w:rFonts w:asciiTheme="majorHAnsi" w:hAnsiTheme="majorHAnsi"/>
          <w:lang w:val="en-US"/>
        </w:rPr>
      </w:pPr>
      <w:r w:rsidRPr="00EC4DEF">
        <w:rPr>
          <w:rFonts w:asciiTheme="majorHAnsi" w:hAnsiTheme="majorHAnsi"/>
        </w:rPr>
        <w:t xml:space="preserve">Requiring the tenderer to declare </w:t>
      </w:r>
      <w:r w:rsidR="0053561F">
        <w:rPr>
          <w:rFonts w:asciiTheme="majorHAnsi" w:hAnsiTheme="majorHAnsi"/>
        </w:rPr>
        <w:t>their</w:t>
      </w:r>
      <w:r w:rsidRPr="00EC4DEF">
        <w:rPr>
          <w:rFonts w:asciiTheme="majorHAnsi" w:hAnsiTheme="majorHAnsi"/>
        </w:rPr>
        <w:t xml:space="preserve"> </w:t>
      </w:r>
      <w:r w:rsidR="007E54D8">
        <w:rPr>
          <w:rFonts w:asciiTheme="majorHAnsi" w:hAnsiTheme="majorHAnsi"/>
        </w:rPr>
        <w:t xml:space="preserve">businesses </w:t>
      </w:r>
      <w:r w:rsidRPr="00EC4DEF">
        <w:rPr>
          <w:rFonts w:asciiTheme="majorHAnsi" w:hAnsiTheme="majorHAnsi"/>
        </w:rPr>
        <w:t>level of compliance with any past contracts</w:t>
      </w:r>
      <w:r w:rsidR="00DC285F">
        <w:rPr>
          <w:rFonts w:asciiTheme="majorHAnsi" w:hAnsiTheme="majorHAnsi"/>
        </w:rPr>
        <w:t xml:space="preserve"> </w:t>
      </w:r>
      <w:r w:rsidRPr="00EC4DEF">
        <w:rPr>
          <w:rFonts w:asciiTheme="majorHAnsi" w:hAnsiTheme="majorHAnsi"/>
        </w:rPr>
        <w:t xml:space="preserve">that included MMRs, and </w:t>
      </w:r>
      <w:r w:rsidR="0053561F">
        <w:rPr>
          <w:rFonts w:asciiTheme="majorHAnsi" w:hAnsiTheme="majorHAnsi"/>
        </w:rPr>
        <w:t xml:space="preserve">their </w:t>
      </w:r>
      <w:r w:rsidRPr="00EC4DEF">
        <w:rPr>
          <w:rFonts w:asciiTheme="majorHAnsi" w:hAnsiTheme="majorHAnsi"/>
          <w:lang w:val="en-US"/>
        </w:rPr>
        <w:t xml:space="preserve">obligation to </w:t>
      </w:r>
      <w:r w:rsidRPr="00EC4DEF">
        <w:rPr>
          <w:rFonts w:asciiTheme="majorHAnsi" w:hAnsiTheme="majorHAnsi"/>
          <w:spacing w:val="-1"/>
        </w:rPr>
        <w:t>develop</w:t>
      </w:r>
      <w:r w:rsidRPr="00EC4DEF">
        <w:rPr>
          <w:rFonts w:asciiTheme="majorHAnsi" w:hAnsiTheme="majorHAnsi"/>
          <w:spacing w:val="-6"/>
        </w:rPr>
        <w:t xml:space="preserve"> </w:t>
      </w:r>
      <w:r w:rsidRPr="00EC4DEF">
        <w:rPr>
          <w:rFonts w:asciiTheme="majorHAnsi" w:hAnsiTheme="majorHAnsi"/>
          <w:spacing w:val="1"/>
        </w:rPr>
        <w:t>an</w:t>
      </w:r>
      <w:r w:rsidRPr="00EC4DEF">
        <w:rPr>
          <w:rFonts w:asciiTheme="majorHAnsi" w:hAnsiTheme="majorHAnsi"/>
          <w:spacing w:val="55"/>
          <w:w w:val="99"/>
        </w:rPr>
        <w:t xml:space="preserve"> </w:t>
      </w:r>
      <w:r w:rsidRPr="00EC4DEF">
        <w:rPr>
          <w:rFonts w:asciiTheme="majorHAnsi" w:hAnsiTheme="majorHAnsi"/>
          <w:b/>
          <w:spacing w:val="-1"/>
        </w:rPr>
        <w:t>Indigenous</w:t>
      </w:r>
      <w:r w:rsidRPr="00EC4DEF">
        <w:rPr>
          <w:rFonts w:asciiTheme="majorHAnsi" w:hAnsiTheme="majorHAnsi"/>
          <w:b/>
          <w:spacing w:val="-7"/>
        </w:rPr>
        <w:t xml:space="preserve"> </w:t>
      </w:r>
      <w:r w:rsidRPr="00EC4DEF">
        <w:rPr>
          <w:rFonts w:asciiTheme="majorHAnsi" w:hAnsiTheme="majorHAnsi"/>
          <w:b/>
          <w:spacing w:val="-1"/>
        </w:rPr>
        <w:t>Participation</w:t>
      </w:r>
      <w:r w:rsidRPr="00EC4DEF">
        <w:rPr>
          <w:rFonts w:asciiTheme="majorHAnsi" w:hAnsiTheme="majorHAnsi"/>
          <w:b/>
          <w:spacing w:val="-11"/>
        </w:rPr>
        <w:t xml:space="preserve"> </w:t>
      </w:r>
      <w:r w:rsidRPr="00EC4DEF">
        <w:rPr>
          <w:rFonts w:asciiTheme="majorHAnsi" w:hAnsiTheme="majorHAnsi"/>
          <w:b/>
        </w:rPr>
        <w:t>Plan</w:t>
      </w:r>
      <w:r w:rsidRPr="00EC4DEF">
        <w:rPr>
          <w:rFonts w:asciiTheme="majorHAnsi" w:hAnsiTheme="majorHAnsi"/>
          <w:spacing w:val="-10"/>
        </w:rPr>
        <w:t xml:space="preserve"> </w:t>
      </w:r>
      <w:r w:rsidRPr="00EC4DEF">
        <w:rPr>
          <w:rFonts w:asciiTheme="majorHAnsi" w:hAnsiTheme="majorHAnsi"/>
        </w:rPr>
        <w:t>that</w:t>
      </w:r>
      <w:r w:rsidR="008F7DFB" w:rsidRPr="00EC4DEF">
        <w:rPr>
          <w:rFonts w:asciiTheme="majorHAnsi" w:hAnsiTheme="majorHAnsi"/>
        </w:rPr>
        <w:t>:</w:t>
      </w:r>
    </w:p>
    <w:p w:rsidR="00A53616" w:rsidRPr="00EC4DEF" w:rsidRDefault="00A53616" w:rsidP="002C6252">
      <w:pPr>
        <w:pStyle w:val="BodyText"/>
        <w:widowControl w:val="0"/>
        <w:numPr>
          <w:ilvl w:val="2"/>
          <w:numId w:val="39"/>
        </w:numPr>
        <w:tabs>
          <w:tab w:val="left" w:pos="2977"/>
        </w:tabs>
        <w:spacing w:before="74" w:after="0" w:line="240" w:lineRule="auto"/>
        <w:ind w:left="1701" w:right="865" w:hanging="567"/>
        <w:rPr>
          <w:rFonts w:asciiTheme="majorHAnsi" w:hAnsiTheme="majorHAnsi"/>
          <w:spacing w:val="-1"/>
        </w:rPr>
      </w:pPr>
      <w:r w:rsidRPr="00EC4DEF">
        <w:rPr>
          <w:rFonts w:asciiTheme="majorHAnsi" w:hAnsiTheme="majorHAnsi"/>
        </w:rPr>
        <w:t>addresses</w:t>
      </w:r>
      <w:r w:rsidRPr="00EC4DEF">
        <w:rPr>
          <w:rFonts w:asciiTheme="majorHAnsi" w:hAnsiTheme="majorHAnsi"/>
          <w:spacing w:val="-1"/>
        </w:rPr>
        <w:t xml:space="preserve"> how </w:t>
      </w:r>
      <w:r w:rsidR="007E54D8">
        <w:rPr>
          <w:rFonts w:asciiTheme="majorHAnsi" w:hAnsiTheme="majorHAnsi"/>
          <w:spacing w:val="-1"/>
        </w:rPr>
        <w:t xml:space="preserve">the business </w:t>
      </w:r>
      <w:r w:rsidRPr="00EC4DEF">
        <w:rPr>
          <w:rFonts w:asciiTheme="majorHAnsi" w:hAnsiTheme="majorHAnsi"/>
          <w:spacing w:val="-1"/>
        </w:rPr>
        <w:t>intend</w:t>
      </w:r>
      <w:r w:rsidR="0053561F">
        <w:rPr>
          <w:rFonts w:asciiTheme="majorHAnsi" w:hAnsiTheme="majorHAnsi"/>
          <w:spacing w:val="-1"/>
        </w:rPr>
        <w:t>s</w:t>
      </w:r>
      <w:r w:rsidRPr="00EC4DEF">
        <w:rPr>
          <w:rFonts w:asciiTheme="majorHAnsi" w:hAnsiTheme="majorHAnsi"/>
          <w:spacing w:val="-1"/>
        </w:rPr>
        <w:t xml:space="preserve"> to meet the </w:t>
      </w:r>
      <w:r w:rsidR="009E0BC2" w:rsidRPr="00EC4DEF">
        <w:rPr>
          <w:rFonts w:asciiTheme="majorHAnsi" w:hAnsiTheme="majorHAnsi"/>
          <w:spacing w:val="-1"/>
        </w:rPr>
        <w:t>MMR</w:t>
      </w:r>
      <w:r w:rsidRPr="00EC4DEF">
        <w:rPr>
          <w:rFonts w:asciiTheme="majorHAnsi" w:hAnsiTheme="majorHAnsi"/>
          <w:spacing w:val="-1"/>
        </w:rPr>
        <w:t xml:space="preserve"> for the Indigenous Procurement Policy over the life of the contract;</w:t>
      </w:r>
    </w:p>
    <w:p w:rsidR="00A53616" w:rsidRPr="00EC4DEF" w:rsidRDefault="00A53616" w:rsidP="002C6252">
      <w:pPr>
        <w:pStyle w:val="BodyText"/>
        <w:widowControl w:val="0"/>
        <w:numPr>
          <w:ilvl w:val="2"/>
          <w:numId w:val="39"/>
        </w:numPr>
        <w:tabs>
          <w:tab w:val="left" w:pos="2977"/>
        </w:tabs>
        <w:spacing w:before="74" w:after="0" w:line="240" w:lineRule="auto"/>
        <w:ind w:left="1701" w:right="865" w:hanging="567"/>
        <w:rPr>
          <w:rFonts w:asciiTheme="majorHAnsi" w:hAnsiTheme="majorHAnsi"/>
          <w:spacing w:val="-1"/>
        </w:rPr>
      </w:pPr>
      <w:r w:rsidRPr="00EC4DEF">
        <w:rPr>
          <w:rFonts w:asciiTheme="majorHAnsi" w:hAnsiTheme="majorHAnsi"/>
          <w:spacing w:val="-1"/>
        </w:rPr>
        <w:lastRenderedPageBreak/>
        <w:t xml:space="preserve">Records </w:t>
      </w:r>
      <w:r w:rsidR="0053561F">
        <w:rPr>
          <w:rFonts w:asciiTheme="majorHAnsi" w:hAnsiTheme="majorHAnsi"/>
          <w:spacing w:val="-1"/>
        </w:rPr>
        <w:t>the</w:t>
      </w:r>
      <w:r w:rsidR="007E54D8">
        <w:rPr>
          <w:rFonts w:asciiTheme="majorHAnsi" w:hAnsiTheme="majorHAnsi"/>
          <w:spacing w:val="-1"/>
        </w:rPr>
        <w:t xml:space="preserve"> businesses</w:t>
      </w:r>
      <w:r w:rsidR="0053561F">
        <w:rPr>
          <w:rFonts w:asciiTheme="majorHAnsi" w:hAnsiTheme="majorHAnsi"/>
          <w:spacing w:val="-1"/>
        </w:rPr>
        <w:t xml:space="preserve"> </w:t>
      </w:r>
      <w:r w:rsidRPr="00EC4DEF">
        <w:rPr>
          <w:rFonts w:asciiTheme="majorHAnsi" w:hAnsiTheme="majorHAnsi"/>
          <w:spacing w:val="-1"/>
        </w:rPr>
        <w:t>current rate of Indigenous employment and Indigenous supplier use;</w:t>
      </w:r>
    </w:p>
    <w:p w:rsidR="00A53616" w:rsidRPr="00EC4DEF" w:rsidRDefault="00A53616" w:rsidP="002C6252">
      <w:pPr>
        <w:pStyle w:val="BodyText"/>
        <w:widowControl w:val="0"/>
        <w:numPr>
          <w:ilvl w:val="2"/>
          <w:numId w:val="39"/>
        </w:numPr>
        <w:tabs>
          <w:tab w:val="left" w:pos="2977"/>
        </w:tabs>
        <w:spacing w:before="74" w:after="0" w:line="240" w:lineRule="auto"/>
        <w:ind w:left="1701" w:right="865" w:hanging="567"/>
        <w:rPr>
          <w:rFonts w:asciiTheme="majorHAnsi" w:hAnsiTheme="majorHAnsi"/>
          <w:spacing w:val="-1"/>
        </w:rPr>
      </w:pPr>
      <w:r w:rsidRPr="00EC4DEF">
        <w:rPr>
          <w:rFonts w:asciiTheme="majorHAnsi" w:hAnsiTheme="majorHAnsi"/>
          <w:spacing w:val="-1"/>
        </w:rPr>
        <w:t xml:space="preserve">Describes </w:t>
      </w:r>
      <w:r w:rsidR="008F7DFB" w:rsidRPr="00EC4DEF">
        <w:rPr>
          <w:rFonts w:asciiTheme="majorHAnsi" w:hAnsiTheme="majorHAnsi"/>
          <w:spacing w:val="-1"/>
        </w:rPr>
        <w:t>commitment to Indigenous participation</w:t>
      </w:r>
      <w:r w:rsidRPr="00EC4DEF">
        <w:rPr>
          <w:rFonts w:asciiTheme="majorHAnsi" w:hAnsiTheme="majorHAnsi"/>
          <w:spacing w:val="-1"/>
        </w:rPr>
        <w:t>; and</w:t>
      </w:r>
    </w:p>
    <w:p w:rsidR="00913AEC" w:rsidRPr="00EC4DEF" w:rsidRDefault="00A53616" w:rsidP="002C6252">
      <w:pPr>
        <w:pStyle w:val="BodyText"/>
        <w:widowControl w:val="0"/>
        <w:numPr>
          <w:ilvl w:val="2"/>
          <w:numId w:val="39"/>
        </w:numPr>
        <w:tabs>
          <w:tab w:val="left" w:pos="2977"/>
        </w:tabs>
        <w:spacing w:before="74" w:after="0" w:line="240" w:lineRule="auto"/>
        <w:ind w:left="1701" w:right="865" w:hanging="567"/>
        <w:rPr>
          <w:rFonts w:asciiTheme="majorHAnsi" w:hAnsiTheme="majorHAnsi"/>
          <w:spacing w:val="-1"/>
        </w:rPr>
      </w:pPr>
      <w:r w:rsidRPr="00EC4DEF">
        <w:rPr>
          <w:rFonts w:asciiTheme="majorHAnsi" w:hAnsiTheme="majorHAnsi"/>
          <w:spacing w:val="-1"/>
        </w:rPr>
        <w:t>if any part</w:t>
      </w:r>
      <w:r w:rsidR="008F7DFB" w:rsidRPr="00EC4DEF">
        <w:rPr>
          <w:rFonts w:asciiTheme="majorHAnsi" w:hAnsiTheme="majorHAnsi"/>
          <w:spacing w:val="-1"/>
        </w:rPr>
        <w:t xml:space="preserve"> of the </w:t>
      </w:r>
      <w:r w:rsidR="0018454F" w:rsidRPr="00EC4DEF">
        <w:rPr>
          <w:rFonts w:asciiTheme="majorHAnsi" w:hAnsiTheme="majorHAnsi"/>
          <w:spacing w:val="-1"/>
        </w:rPr>
        <w:t>c</w:t>
      </w:r>
      <w:r w:rsidRPr="00EC4DEF">
        <w:rPr>
          <w:rFonts w:asciiTheme="majorHAnsi" w:hAnsiTheme="majorHAnsi"/>
          <w:spacing w:val="-1"/>
        </w:rPr>
        <w:t>ontract is being</w:t>
      </w:r>
      <w:r w:rsidR="0018454F" w:rsidRPr="00EC4DEF">
        <w:rPr>
          <w:rFonts w:asciiTheme="majorHAnsi" w:hAnsiTheme="majorHAnsi"/>
          <w:spacing w:val="-1"/>
        </w:rPr>
        <w:t>,</w:t>
      </w:r>
      <w:r w:rsidRPr="00EC4DEF">
        <w:rPr>
          <w:rFonts w:asciiTheme="majorHAnsi" w:hAnsiTheme="majorHAnsi"/>
          <w:spacing w:val="-1"/>
        </w:rPr>
        <w:t xml:space="preserve"> or will be delivered in a </w:t>
      </w:r>
      <w:r w:rsidR="0018454F" w:rsidRPr="00EC4DEF">
        <w:rPr>
          <w:rFonts w:asciiTheme="majorHAnsi" w:hAnsiTheme="majorHAnsi"/>
          <w:spacing w:val="-1"/>
        </w:rPr>
        <w:t>r</w:t>
      </w:r>
      <w:r w:rsidRPr="00EC4DEF">
        <w:rPr>
          <w:rFonts w:asciiTheme="majorHAnsi" w:hAnsiTheme="majorHAnsi"/>
          <w:spacing w:val="-1"/>
        </w:rPr>
        <w:t xml:space="preserve">emote </w:t>
      </w:r>
      <w:r w:rsidR="0018454F" w:rsidRPr="00EC4DEF">
        <w:rPr>
          <w:rFonts w:asciiTheme="majorHAnsi" w:hAnsiTheme="majorHAnsi"/>
          <w:spacing w:val="-1"/>
        </w:rPr>
        <w:t>a</w:t>
      </w:r>
      <w:r w:rsidRPr="00EC4DEF">
        <w:rPr>
          <w:rFonts w:asciiTheme="majorHAnsi" w:hAnsiTheme="majorHAnsi"/>
          <w:spacing w:val="-1"/>
        </w:rPr>
        <w:t>rea, describes</w:t>
      </w:r>
      <w:r w:rsidR="008F7DFB" w:rsidRPr="00EC4DEF">
        <w:rPr>
          <w:rFonts w:asciiTheme="majorHAnsi" w:hAnsiTheme="majorHAnsi"/>
          <w:spacing w:val="-1"/>
        </w:rPr>
        <w:t xml:space="preserve"> how </w:t>
      </w:r>
      <w:r w:rsidR="007E54D8">
        <w:rPr>
          <w:rFonts w:asciiTheme="majorHAnsi" w:hAnsiTheme="majorHAnsi"/>
          <w:spacing w:val="-1"/>
        </w:rPr>
        <w:t>the tenderer</w:t>
      </w:r>
      <w:r w:rsidRPr="00EC4DEF">
        <w:rPr>
          <w:rFonts w:asciiTheme="majorHAnsi" w:hAnsiTheme="majorHAnsi"/>
          <w:spacing w:val="-1"/>
        </w:rPr>
        <w:t xml:space="preserve"> will ensure that provision of </w:t>
      </w:r>
      <w:r w:rsidR="0018454F" w:rsidRPr="00EC4DEF">
        <w:rPr>
          <w:rFonts w:asciiTheme="majorHAnsi" w:hAnsiTheme="majorHAnsi"/>
          <w:spacing w:val="-1"/>
        </w:rPr>
        <w:t>g</w:t>
      </w:r>
      <w:r w:rsidRPr="00EC4DEF">
        <w:rPr>
          <w:rFonts w:asciiTheme="majorHAnsi" w:hAnsiTheme="majorHAnsi"/>
          <w:spacing w:val="-1"/>
        </w:rPr>
        <w:t xml:space="preserve">oods and/or </w:t>
      </w:r>
      <w:r w:rsidR="0018454F" w:rsidRPr="00EC4DEF">
        <w:rPr>
          <w:rFonts w:asciiTheme="majorHAnsi" w:hAnsiTheme="majorHAnsi"/>
          <w:spacing w:val="-1"/>
        </w:rPr>
        <w:t>s</w:t>
      </w:r>
      <w:r w:rsidRPr="00EC4DEF">
        <w:rPr>
          <w:rFonts w:asciiTheme="majorHAnsi" w:hAnsiTheme="majorHAnsi"/>
          <w:spacing w:val="-1"/>
        </w:rPr>
        <w:t>ervices will deliver significant Indigenous employment or Indigenous supplier use</w:t>
      </w:r>
      <w:r w:rsidR="008F7DFB" w:rsidRPr="00EC4DEF">
        <w:rPr>
          <w:rFonts w:asciiTheme="majorHAnsi" w:hAnsiTheme="majorHAnsi"/>
          <w:spacing w:val="-1"/>
        </w:rPr>
        <w:t xml:space="preserve"> outcomes in that </w:t>
      </w:r>
      <w:r w:rsidR="0018454F" w:rsidRPr="00EC4DEF">
        <w:rPr>
          <w:rFonts w:asciiTheme="majorHAnsi" w:hAnsiTheme="majorHAnsi"/>
          <w:spacing w:val="-1"/>
        </w:rPr>
        <w:t>r</w:t>
      </w:r>
      <w:r w:rsidRPr="00EC4DEF">
        <w:rPr>
          <w:rFonts w:asciiTheme="majorHAnsi" w:hAnsiTheme="majorHAnsi"/>
          <w:spacing w:val="-1"/>
        </w:rPr>
        <w:t xml:space="preserve">emote </w:t>
      </w:r>
      <w:r w:rsidR="0018454F" w:rsidRPr="00EC4DEF">
        <w:rPr>
          <w:rFonts w:asciiTheme="majorHAnsi" w:hAnsiTheme="majorHAnsi"/>
          <w:spacing w:val="-1"/>
        </w:rPr>
        <w:t>a</w:t>
      </w:r>
      <w:r w:rsidRPr="00EC4DEF">
        <w:rPr>
          <w:rFonts w:asciiTheme="majorHAnsi" w:hAnsiTheme="majorHAnsi"/>
          <w:spacing w:val="-1"/>
        </w:rPr>
        <w:t>rea.</w:t>
      </w:r>
    </w:p>
    <w:p w:rsidR="00E176C1" w:rsidRPr="00EC4DEF" w:rsidRDefault="00E176C1" w:rsidP="00E176C1">
      <w:pPr>
        <w:pStyle w:val="BodyText"/>
        <w:widowControl w:val="0"/>
        <w:tabs>
          <w:tab w:val="left" w:pos="2629"/>
        </w:tabs>
        <w:spacing w:before="74" w:after="0" w:line="240" w:lineRule="auto"/>
        <w:ind w:left="2628" w:right="865"/>
        <w:rPr>
          <w:rFonts w:asciiTheme="majorHAnsi" w:hAnsiTheme="majorHAnsi"/>
          <w:spacing w:val="-1"/>
        </w:rPr>
      </w:pPr>
    </w:p>
    <w:p w:rsidR="00B23ADE" w:rsidRDefault="004400AF" w:rsidP="00B23ADE">
      <w:pPr>
        <w:spacing w:after="200" w:line="276" w:lineRule="auto"/>
        <w:rPr>
          <w:rFonts w:asciiTheme="majorHAnsi" w:hAnsiTheme="majorHAnsi"/>
          <w:color w:val="auto"/>
        </w:rPr>
      </w:pPr>
      <w:r w:rsidRPr="00EC4DEF">
        <w:rPr>
          <w:rFonts w:asciiTheme="majorHAnsi" w:hAnsiTheme="majorHAnsi"/>
          <w:color w:val="auto"/>
        </w:rPr>
        <w:t xml:space="preserve">The </w:t>
      </w:r>
      <w:r w:rsidR="0018454F" w:rsidRPr="00EC4DEF">
        <w:rPr>
          <w:rFonts w:asciiTheme="majorHAnsi" w:hAnsiTheme="majorHAnsi"/>
          <w:color w:val="auto"/>
        </w:rPr>
        <w:t>a</w:t>
      </w:r>
      <w:r w:rsidRPr="00EC4DEF">
        <w:rPr>
          <w:rFonts w:asciiTheme="majorHAnsi" w:hAnsiTheme="majorHAnsi"/>
          <w:color w:val="auto"/>
        </w:rPr>
        <w:t xml:space="preserve">pproach to </w:t>
      </w:r>
      <w:r w:rsidR="0018454F" w:rsidRPr="00EC4DEF">
        <w:rPr>
          <w:rFonts w:asciiTheme="majorHAnsi" w:hAnsiTheme="majorHAnsi"/>
          <w:color w:val="auto"/>
        </w:rPr>
        <w:t>m</w:t>
      </w:r>
      <w:r w:rsidRPr="00EC4DEF">
        <w:rPr>
          <w:rFonts w:asciiTheme="majorHAnsi" w:hAnsiTheme="majorHAnsi"/>
          <w:color w:val="auto"/>
        </w:rPr>
        <w:t>arket will provide contact detai</w:t>
      </w:r>
      <w:r w:rsidR="009E7C58" w:rsidRPr="00EC4DEF">
        <w:rPr>
          <w:rFonts w:asciiTheme="majorHAnsi" w:hAnsiTheme="majorHAnsi"/>
          <w:color w:val="auto"/>
        </w:rPr>
        <w:t>ls of the</w:t>
      </w:r>
      <w:r w:rsidR="000122CA" w:rsidRPr="00EC4DEF">
        <w:rPr>
          <w:rFonts w:asciiTheme="majorHAnsi" w:hAnsiTheme="majorHAnsi"/>
          <w:color w:val="auto"/>
        </w:rPr>
        <w:t xml:space="preserve"> procuring official</w:t>
      </w:r>
      <w:r w:rsidR="009E7C58" w:rsidRPr="00EC4DEF">
        <w:rPr>
          <w:rFonts w:asciiTheme="majorHAnsi" w:hAnsiTheme="majorHAnsi"/>
          <w:color w:val="auto"/>
        </w:rPr>
        <w:t xml:space="preserve">. </w:t>
      </w:r>
      <w:r w:rsidR="00C9209F" w:rsidRPr="00EC4DEF">
        <w:rPr>
          <w:rFonts w:asciiTheme="majorHAnsi" w:hAnsiTheme="majorHAnsi"/>
          <w:color w:val="auto"/>
        </w:rPr>
        <w:t xml:space="preserve">Any </w:t>
      </w:r>
      <w:r w:rsidR="007E54D8">
        <w:rPr>
          <w:rFonts w:asciiTheme="majorHAnsi" w:hAnsiTheme="majorHAnsi"/>
          <w:color w:val="auto"/>
        </w:rPr>
        <w:t xml:space="preserve">business </w:t>
      </w:r>
      <w:r w:rsidRPr="00EC4DEF">
        <w:rPr>
          <w:rFonts w:asciiTheme="majorHAnsi" w:hAnsiTheme="majorHAnsi"/>
          <w:color w:val="auto"/>
        </w:rPr>
        <w:t xml:space="preserve">considering tendering can contact the </w:t>
      </w:r>
      <w:r w:rsidR="0018454F" w:rsidRPr="00EC4DEF">
        <w:rPr>
          <w:rFonts w:asciiTheme="majorHAnsi" w:hAnsiTheme="majorHAnsi"/>
          <w:color w:val="auto"/>
        </w:rPr>
        <w:t xml:space="preserve">procuring official </w:t>
      </w:r>
      <w:r w:rsidRPr="00EC4DEF">
        <w:rPr>
          <w:rFonts w:asciiTheme="majorHAnsi" w:hAnsiTheme="majorHAnsi"/>
          <w:color w:val="auto"/>
        </w:rPr>
        <w:t>to ask questions before submitting a tender.</w:t>
      </w:r>
      <w:r w:rsidR="0018454F" w:rsidRPr="00EC4DEF">
        <w:rPr>
          <w:rFonts w:asciiTheme="majorHAnsi" w:hAnsiTheme="majorHAnsi"/>
          <w:color w:val="auto"/>
        </w:rPr>
        <w:t xml:space="preserve">  Responses to questions will be provided to all tenderers in the interests of transparency.</w:t>
      </w:r>
    </w:p>
    <w:tbl>
      <w:tblPr>
        <w:tblStyle w:val="TableGrid"/>
        <w:tblW w:w="0" w:type="auto"/>
        <w:shd w:val="clear" w:color="auto" w:fill="FFCA61" w:themeFill="accent5" w:themeFillTint="99"/>
        <w:tblLook w:val="04A0" w:firstRow="1" w:lastRow="0" w:firstColumn="1" w:lastColumn="0" w:noHBand="0" w:noVBand="1"/>
      </w:tblPr>
      <w:tblGrid>
        <w:gridCol w:w="10336"/>
      </w:tblGrid>
      <w:tr w:rsidR="00BD3C65" w:rsidTr="0044484F">
        <w:tc>
          <w:tcPr>
            <w:tcW w:w="10336" w:type="dxa"/>
            <w:shd w:val="clear" w:color="auto" w:fill="FFCA61" w:themeFill="accent5" w:themeFillTint="99"/>
          </w:tcPr>
          <w:p w:rsidR="00BD3C65" w:rsidRDefault="00BD3C65" w:rsidP="00E570EC">
            <w:pPr>
              <w:spacing w:after="200" w:line="276" w:lineRule="auto"/>
              <w:rPr>
                <w:rFonts w:asciiTheme="majorHAnsi" w:hAnsiTheme="majorHAnsi"/>
                <w:color w:val="auto"/>
              </w:rPr>
            </w:pPr>
            <w:r>
              <w:rPr>
                <w:rFonts w:asciiTheme="majorHAnsi" w:hAnsiTheme="majorHAnsi"/>
                <w:color w:val="auto"/>
              </w:rPr>
              <w:t>The NIAA is unable to provide information or advice o</w:t>
            </w:r>
            <w:r w:rsidR="00E570EC">
              <w:rPr>
                <w:rFonts w:asciiTheme="majorHAnsi" w:hAnsiTheme="majorHAnsi"/>
                <w:color w:val="auto"/>
              </w:rPr>
              <w:t>n how to respond to a particular</w:t>
            </w:r>
            <w:r>
              <w:rPr>
                <w:rFonts w:asciiTheme="majorHAnsi" w:hAnsiTheme="majorHAnsi"/>
                <w:color w:val="auto"/>
              </w:rPr>
              <w:t xml:space="preserve"> </w:t>
            </w:r>
            <w:r w:rsidR="00C600E6">
              <w:rPr>
                <w:rFonts w:asciiTheme="majorHAnsi" w:hAnsiTheme="majorHAnsi"/>
                <w:color w:val="auto"/>
              </w:rPr>
              <w:t>approach</w:t>
            </w:r>
            <w:r>
              <w:rPr>
                <w:rFonts w:asciiTheme="majorHAnsi" w:hAnsiTheme="majorHAnsi"/>
                <w:color w:val="auto"/>
              </w:rPr>
              <w:t xml:space="preserve"> to </w:t>
            </w:r>
            <w:r w:rsidR="001325AA">
              <w:rPr>
                <w:rFonts w:asciiTheme="majorHAnsi" w:hAnsiTheme="majorHAnsi"/>
                <w:color w:val="auto"/>
              </w:rPr>
              <w:t>m</w:t>
            </w:r>
            <w:r w:rsidR="00E570EC">
              <w:rPr>
                <w:rFonts w:asciiTheme="majorHAnsi" w:hAnsiTheme="majorHAnsi"/>
                <w:color w:val="auto"/>
              </w:rPr>
              <w:t xml:space="preserve">arket. </w:t>
            </w:r>
            <w:r>
              <w:rPr>
                <w:rFonts w:asciiTheme="majorHAnsi" w:hAnsiTheme="majorHAnsi"/>
                <w:color w:val="auto"/>
              </w:rPr>
              <w:t xml:space="preserve">This document should be treated as </w:t>
            </w:r>
            <w:r w:rsidR="00D21E6C">
              <w:rPr>
                <w:rFonts w:asciiTheme="majorHAnsi" w:hAnsiTheme="majorHAnsi"/>
                <w:color w:val="auto"/>
              </w:rPr>
              <w:t xml:space="preserve">general </w:t>
            </w:r>
            <w:r>
              <w:rPr>
                <w:rFonts w:asciiTheme="majorHAnsi" w:hAnsiTheme="majorHAnsi"/>
                <w:color w:val="auto"/>
              </w:rPr>
              <w:t xml:space="preserve">guidance only. All questions related to an </w:t>
            </w:r>
            <w:r w:rsidR="00E570EC">
              <w:rPr>
                <w:rFonts w:asciiTheme="majorHAnsi" w:hAnsiTheme="majorHAnsi"/>
                <w:color w:val="auto"/>
              </w:rPr>
              <w:t xml:space="preserve">approach to market </w:t>
            </w:r>
            <w:r>
              <w:rPr>
                <w:rFonts w:asciiTheme="majorHAnsi" w:hAnsiTheme="majorHAnsi"/>
                <w:color w:val="auto"/>
              </w:rPr>
              <w:t xml:space="preserve">must be directed to the contact person listed in the documentation.  </w:t>
            </w:r>
          </w:p>
        </w:tc>
      </w:tr>
    </w:tbl>
    <w:p w:rsidR="00BD3C65" w:rsidRPr="00EC4DEF" w:rsidRDefault="00BD3C65" w:rsidP="00B23ADE">
      <w:pPr>
        <w:spacing w:after="200" w:line="276" w:lineRule="auto"/>
        <w:rPr>
          <w:rFonts w:asciiTheme="majorHAnsi" w:hAnsiTheme="majorHAnsi"/>
          <w:color w:val="auto"/>
        </w:rPr>
      </w:pPr>
    </w:p>
    <w:p w:rsidR="00475844" w:rsidRDefault="009A47B6">
      <w:pPr>
        <w:pStyle w:val="Heading3"/>
      </w:pPr>
      <w:bookmarkStart w:id="36" w:name="_Toc43385059"/>
      <w:r>
        <w:t>4</w:t>
      </w:r>
      <w:r w:rsidR="004506A4">
        <w:t>.2</w:t>
      </w:r>
      <w:r w:rsidR="004506A4">
        <w:tab/>
      </w:r>
      <w:r w:rsidR="00972CA0">
        <w:t>Model clauses</w:t>
      </w:r>
      <w:bookmarkEnd w:id="36"/>
    </w:p>
    <w:p w:rsidR="00475844" w:rsidRDefault="00475844" w:rsidP="00972CA0">
      <w:pPr>
        <w:pStyle w:val="NumberedListlvl1"/>
        <w:numPr>
          <w:ilvl w:val="0"/>
          <w:numId w:val="0"/>
        </w:numPr>
        <w:rPr>
          <w:rFonts w:asciiTheme="majorHAnsi" w:hAnsiTheme="majorHAnsi"/>
        </w:rPr>
      </w:pPr>
      <w:r>
        <w:rPr>
          <w:rFonts w:asciiTheme="majorHAnsi" w:hAnsiTheme="majorHAnsi"/>
        </w:rPr>
        <w:t xml:space="preserve">The NIAA has prepared pre-drafted content (known as model clauses) </w:t>
      </w:r>
      <w:r w:rsidR="00BD3C65">
        <w:rPr>
          <w:rFonts w:asciiTheme="majorHAnsi" w:hAnsiTheme="majorHAnsi"/>
        </w:rPr>
        <w:t xml:space="preserve">that </w:t>
      </w:r>
      <w:r>
        <w:rPr>
          <w:rFonts w:asciiTheme="majorHAnsi" w:hAnsiTheme="majorHAnsi"/>
        </w:rPr>
        <w:t xml:space="preserve"> procuring officials and/or contract managers </w:t>
      </w:r>
      <w:r w:rsidR="00BD3C65">
        <w:rPr>
          <w:rFonts w:asciiTheme="majorHAnsi" w:hAnsiTheme="majorHAnsi"/>
        </w:rPr>
        <w:t xml:space="preserve">may </w:t>
      </w:r>
      <w:r>
        <w:rPr>
          <w:rFonts w:asciiTheme="majorHAnsi" w:hAnsiTheme="majorHAnsi"/>
        </w:rPr>
        <w:t xml:space="preserve">include in the approach to market document and draft contract (if applicable) to ensure tenderers are accountable to the requirements of the IPP should they be successful in winning the contract. This information </w:t>
      </w:r>
      <w:r w:rsidR="00BD3C65">
        <w:rPr>
          <w:rFonts w:asciiTheme="majorHAnsi" w:hAnsiTheme="majorHAnsi"/>
        </w:rPr>
        <w:t xml:space="preserve">may </w:t>
      </w:r>
      <w:r>
        <w:rPr>
          <w:rFonts w:asciiTheme="majorHAnsi" w:hAnsiTheme="majorHAnsi"/>
        </w:rPr>
        <w:t>also be included in the final contract, subject to any negotiations.</w:t>
      </w:r>
    </w:p>
    <w:p w:rsidR="00475844" w:rsidRDefault="00475844" w:rsidP="00972CA0">
      <w:pPr>
        <w:pStyle w:val="NumberedListlvl1"/>
        <w:numPr>
          <w:ilvl w:val="0"/>
          <w:numId w:val="0"/>
        </w:numPr>
        <w:rPr>
          <w:rFonts w:asciiTheme="majorHAnsi" w:hAnsiTheme="majorHAnsi"/>
        </w:rPr>
      </w:pPr>
    </w:p>
    <w:p w:rsidR="00972CA0" w:rsidRPr="009F3BE1" w:rsidRDefault="00972CA0" w:rsidP="009F3BE1">
      <w:pPr>
        <w:pStyle w:val="NumberedListlvl1"/>
        <w:numPr>
          <w:ilvl w:val="0"/>
          <w:numId w:val="0"/>
        </w:numPr>
        <w:rPr>
          <w:rFonts w:asciiTheme="majorHAnsi" w:hAnsiTheme="majorHAnsi"/>
        </w:rPr>
      </w:pPr>
      <w:r>
        <w:rPr>
          <w:rFonts w:asciiTheme="majorHAnsi" w:hAnsiTheme="majorHAnsi"/>
        </w:rPr>
        <w:t xml:space="preserve"> </w:t>
      </w:r>
      <w:r w:rsidRPr="00E83B3E">
        <w:rPr>
          <w:rFonts w:asciiTheme="majorHAnsi" w:hAnsiTheme="majorHAnsi"/>
        </w:rPr>
        <w:t xml:space="preserve">The model clauses are available on both the </w:t>
      </w:r>
      <w:r w:rsidRPr="00E83B3E">
        <w:rPr>
          <w:rFonts w:asciiTheme="majorHAnsi" w:hAnsiTheme="majorHAnsi"/>
          <w:i/>
        </w:rPr>
        <w:t>NIAA</w:t>
      </w:r>
      <w:r w:rsidRPr="00E83B3E">
        <w:rPr>
          <w:rFonts w:asciiTheme="majorHAnsi" w:hAnsiTheme="majorHAnsi"/>
        </w:rPr>
        <w:t xml:space="preserve"> </w:t>
      </w:r>
      <w:hyperlink r:id="rId26" w:history="1">
        <w:r w:rsidRPr="00E83B3E">
          <w:rPr>
            <w:rStyle w:val="Hyperlink"/>
            <w:rFonts w:asciiTheme="majorHAnsi" w:hAnsiTheme="majorHAnsi"/>
          </w:rPr>
          <w:t>website</w:t>
        </w:r>
      </w:hyperlink>
      <w:r w:rsidRPr="00E83B3E">
        <w:rPr>
          <w:rFonts w:asciiTheme="majorHAnsi" w:hAnsiTheme="majorHAnsi"/>
        </w:rPr>
        <w:t xml:space="preserve"> and the Department of Finance’s Clause Bank.</w:t>
      </w:r>
    </w:p>
    <w:p w:rsidR="00475844" w:rsidRDefault="00475844">
      <w:pPr>
        <w:rPr>
          <w:rFonts w:asciiTheme="majorHAnsi" w:hAnsiTheme="majorHAnsi"/>
          <w:color w:val="DD7500" w:themeColor="accent4"/>
          <w:sz w:val="24"/>
          <w:szCs w:val="24"/>
        </w:rPr>
      </w:pPr>
    </w:p>
    <w:p w:rsidR="00913AEC" w:rsidRPr="00430A9A" w:rsidRDefault="009A47B6" w:rsidP="005F0EA6">
      <w:pPr>
        <w:pStyle w:val="Heading3"/>
      </w:pPr>
      <w:bookmarkStart w:id="37" w:name="_Toc43385060"/>
      <w:r>
        <w:t>4</w:t>
      </w:r>
      <w:r w:rsidR="00972CA0">
        <w:t>.</w:t>
      </w:r>
      <w:r w:rsidR="004506A4">
        <w:t>3</w:t>
      </w:r>
      <w:r w:rsidR="00972CA0">
        <w:tab/>
      </w:r>
      <w:r w:rsidR="00913AEC" w:rsidRPr="00430A9A">
        <w:t>Indigenous Participation Plan</w:t>
      </w:r>
      <w:bookmarkEnd w:id="37"/>
    </w:p>
    <w:p w:rsidR="00913AEC" w:rsidRPr="00EC4DEF" w:rsidRDefault="00913AEC" w:rsidP="00913AEC">
      <w:pPr>
        <w:pStyle w:val="BodyText"/>
        <w:rPr>
          <w:rFonts w:asciiTheme="majorHAnsi" w:hAnsiTheme="majorHAnsi"/>
        </w:rPr>
      </w:pPr>
      <w:r w:rsidRPr="00EC4DEF">
        <w:rPr>
          <w:rFonts w:asciiTheme="majorHAnsi" w:hAnsiTheme="majorHAnsi"/>
        </w:rPr>
        <w:t>The Indigenous Participation Plan</w:t>
      </w:r>
      <w:r w:rsidR="007E54D8">
        <w:rPr>
          <w:rFonts w:asciiTheme="majorHAnsi" w:hAnsiTheme="majorHAnsi"/>
        </w:rPr>
        <w:t xml:space="preserve"> prepared as part of a</w:t>
      </w:r>
      <w:r w:rsidR="00475844">
        <w:rPr>
          <w:rFonts w:asciiTheme="majorHAnsi" w:hAnsiTheme="majorHAnsi"/>
        </w:rPr>
        <w:t xml:space="preserve"> tender submission</w:t>
      </w:r>
      <w:r w:rsidRPr="00EC4DEF">
        <w:rPr>
          <w:rFonts w:asciiTheme="majorHAnsi" w:hAnsiTheme="majorHAnsi"/>
        </w:rPr>
        <w:t xml:space="preserve"> should outline how your </w:t>
      </w:r>
      <w:r w:rsidR="009A0F89" w:rsidRPr="00EC4DEF">
        <w:rPr>
          <w:rFonts w:asciiTheme="majorHAnsi" w:hAnsiTheme="majorHAnsi"/>
        </w:rPr>
        <w:t>business</w:t>
      </w:r>
      <w:r w:rsidR="009F3BE1" w:rsidRPr="00EC4DEF">
        <w:rPr>
          <w:rFonts w:asciiTheme="majorHAnsi" w:hAnsiTheme="majorHAnsi"/>
        </w:rPr>
        <w:t xml:space="preserve"> intends</w:t>
      </w:r>
      <w:r w:rsidR="00AC62BD" w:rsidRPr="00EC4DEF">
        <w:rPr>
          <w:rFonts w:asciiTheme="majorHAnsi" w:hAnsiTheme="majorHAnsi"/>
        </w:rPr>
        <w:t xml:space="preserve"> </w:t>
      </w:r>
      <w:r w:rsidR="009F3BE1" w:rsidRPr="00EC4DEF">
        <w:rPr>
          <w:rFonts w:asciiTheme="majorHAnsi" w:hAnsiTheme="majorHAnsi"/>
        </w:rPr>
        <w:t>to</w:t>
      </w:r>
      <w:r w:rsidRPr="00EC4DEF">
        <w:rPr>
          <w:rFonts w:asciiTheme="majorHAnsi" w:hAnsiTheme="majorHAnsi"/>
        </w:rPr>
        <w:t xml:space="preserve"> meet the MMRs for Indigenous participation</w:t>
      </w:r>
      <w:r w:rsidR="00C9209F" w:rsidRPr="00EC4DEF">
        <w:rPr>
          <w:rFonts w:asciiTheme="majorHAnsi" w:hAnsiTheme="majorHAnsi"/>
        </w:rPr>
        <w:t xml:space="preserve"> over the life of the contract.</w:t>
      </w:r>
    </w:p>
    <w:p w:rsidR="007E54D8" w:rsidRDefault="009F3BE1" w:rsidP="00913AEC">
      <w:pPr>
        <w:pStyle w:val="BodyText"/>
        <w:rPr>
          <w:rFonts w:asciiTheme="majorHAnsi" w:hAnsiTheme="majorHAnsi"/>
        </w:rPr>
      </w:pPr>
      <w:r w:rsidRPr="00EC4DEF">
        <w:rPr>
          <w:rFonts w:asciiTheme="majorHAnsi" w:hAnsiTheme="majorHAnsi"/>
        </w:rPr>
        <w:t>T</w:t>
      </w:r>
      <w:r w:rsidR="00913AEC" w:rsidRPr="00EC4DEF">
        <w:rPr>
          <w:rFonts w:asciiTheme="majorHAnsi" w:hAnsiTheme="majorHAnsi"/>
        </w:rPr>
        <w:t xml:space="preserve">he Indigenous Participation Plan must state </w:t>
      </w:r>
      <w:r w:rsidR="00BD3C65">
        <w:rPr>
          <w:rFonts w:asciiTheme="majorHAnsi" w:hAnsiTheme="majorHAnsi"/>
        </w:rPr>
        <w:t>the targets you inten</w:t>
      </w:r>
      <w:r w:rsidR="00B31183">
        <w:rPr>
          <w:rFonts w:asciiTheme="majorHAnsi" w:hAnsiTheme="majorHAnsi"/>
        </w:rPr>
        <w:t>d</w:t>
      </w:r>
      <w:r w:rsidR="00BD3C65">
        <w:rPr>
          <w:rFonts w:asciiTheme="majorHAnsi" w:hAnsiTheme="majorHAnsi"/>
        </w:rPr>
        <w:t xml:space="preserve"> to meet in order to comply with the MMR and the strategy you will use to meet or exceed these targets. The Plan must also include your organisation</w:t>
      </w:r>
      <w:r w:rsidR="00225331">
        <w:rPr>
          <w:rFonts w:asciiTheme="majorHAnsi" w:hAnsiTheme="majorHAnsi"/>
        </w:rPr>
        <w:t>’</w:t>
      </w:r>
      <w:r w:rsidR="00BD3C65">
        <w:rPr>
          <w:rFonts w:asciiTheme="majorHAnsi" w:hAnsiTheme="majorHAnsi"/>
        </w:rPr>
        <w:t xml:space="preserve">s current rate of Indigenous participation, whether your businesses has been subject to the MMR before and if so your performance against these targets, </w:t>
      </w:r>
    </w:p>
    <w:p w:rsidR="00A90933" w:rsidRPr="00EC4DEF" w:rsidRDefault="007E54D8" w:rsidP="00913AEC">
      <w:pPr>
        <w:pStyle w:val="BodyText"/>
        <w:rPr>
          <w:rFonts w:asciiTheme="majorHAnsi" w:hAnsiTheme="majorHAnsi"/>
        </w:rPr>
      </w:pPr>
      <w:r w:rsidRPr="005F0EA6">
        <w:rPr>
          <w:rFonts w:asciiTheme="majorHAnsi" w:hAnsiTheme="majorHAnsi"/>
          <w:b/>
        </w:rPr>
        <w:t>Note:</w:t>
      </w:r>
      <w:r>
        <w:rPr>
          <w:rFonts w:asciiTheme="majorHAnsi" w:hAnsiTheme="majorHAnsi"/>
        </w:rPr>
        <w:t xml:space="preserve"> </w:t>
      </w:r>
      <w:r w:rsidR="00475844">
        <w:rPr>
          <w:rFonts w:asciiTheme="majorHAnsi" w:hAnsiTheme="majorHAnsi"/>
        </w:rPr>
        <w:t>Refer to Table 1 for the MMR target requirements.</w:t>
      </w:r>
    </w:p>
    <w:p w:rsidR="00A90933" w:rsidRPr="00EC4DEF" w:rsidRDefault="00913AEC" w:rsidP="00913AEC">
      <w:pPr>
        <w:pStyle w:val="BodyText"/>
        <w:rPr>
          <w:rFonts w:asciiTheme="majorHAnsi" w:hAnsiTheme="majorHAnsi"/>
        </w:rPr>
      </w:pPr>
      <w:r w:rsidRPr="00EC4DEF">
        <w:rPr>
          <w:rFonts w:asciiTheme="majorHAnsi" w:hAnsiTheme="majorHAnsi"/>
        </w:rPr>
        <w:t xml:space="preserve">Table </w:t>
      </w:r>
      <w:r w:rsidR="00475844">
        <w:rPr>
          <w:rFonts w:asciiTheme="majorHAnsi" w:hAnsiTheme="majorHAnsi"/>
        </w:rPr>
        <w:t>2</w:t>
      </w:r>
      <w:r w:rsidRPr="00EC4DEF">
        <w:rPr>
          <w:rFonts w:asciiTheme="majorHAnsi" w:hAnsiTheme="majorHAnsi"/>
        </w:rPr>
        <w:t xml:space="preserve"> </w:t>
      </w:r>
      <w:r w:rsidR="00A90933" w:rsidRPr="00EC4DEF">
        <w:rPr>
          <w:rFonts w:asciiTheme="majorHAnsi" w:hAnsiTheme="majorHAnsi"/>
        </w:rPr>
        <w:t xml:space="preserve">outlines details of </w:t>
      </w:r>
      <w:r w:rsidR="00DB5E92" w:rsidRPr="00EC4DEF">
        <w:rPr>
          <w:rFonts w:asciiTheme="majorHAnsi" w:hAnsiTheme="majorHAnsi"/>
        </w:rPr>
        <w:t xml:space="preserve">what </w:t>
      </w:r>
      <w:r w:rsidR="009F3BE1" w:rsidRPr="00EC4DEF">
        <w:rPr>
          <w:rFonts w:asciiTheme="majorHAnsi" w:hAnsiTheme="majorHAnsi"/>
        </w:rPr>
        <w:t>could</w:t>
      </w:r>
      <w:r w:rsidR="007E54D8">
        <w:rPr>
          <w:rFonts w:asciiTheme="majorHAnsi" w:hAnsiTheme="majorHAnsi"/>
        </w:rPr>
        <w:t xml:space="preserve"> be</w:t>
      </w:r>
      <w:r w:rsidRPr="00EC4DEF">
        <w:rPr>
          <w:rFonts w:asciiTheme="majorHAnsi" w:hAnsiTheme="majorHAnsi"/>
        </w:rPr>
        <w:t xml:space="preserve"> include</w:t>
      </w:r>
      <w:r w:rsidR="007E54D8">
        <w:rPr>
          <w:rFonts w:asciiTheme="majorHAnsi" w:hAnsiTheme="majorHAnsi"/>
        </w:rPr>
        <w:t>d</w:t>
      </w:r>
      <w:r w:rsidRPr="00EC4DEF">
        <w:rPr>
          <w:rFonts w:asciiTheme="majorHAnsi" w:hAnsiTheme="majorHAnsi"/>
        </w:rPr>
        <w:t xml:space="preserve"> in an Indigenous Participation Plan.</w:t>
      </w:r>
      <w:r w:rsidR="007524E6" w:rsidRPr="00EC4DEF">
        <w:rPr>
          <w:rFonts w:asciiTheme="majorHAnsi" w:hAnsiTheme="majorHAnsi"/>
        </w:rPr>
        <w:t xml:space="preserve"> </w:t>
      </w:r>
      <w:r w:rsidR="00A90933" w:rsidRPr="00EC4DEF">
        <w:rPr>
          <w:rFonts w:asciiTheme="majorHAnsi" w:hAnsiTheme="majorHAnsi"/>
        </w:rPr>
        <w:t>However</w:t>
      </w:r>
      <w:r w:rsidR="00225331">
        <w:rPr>
          <w:rFonts w:asciiTheme="majorHAnsi" w:hAnsiTheme="majorHAnsi"/>
        </w:rPr>
        <w:t>,</w:t>
      </w:r>
      <w:r w:rsidR="00A90933" w:rsidRPr="00EC4DEF">
        <w:rPr>
          <w:rFonts w:asciiTheme="majorHAnsi" w:hAnsiTheme="majorHAnsi"/>
        </w:rPr>
        <w:t xml:space="preserve"> this is a guide only and </w:t>
      </w:r>
      <w:r w:rsidR="007E54D8">
        <w:rPr>
          <w:rFonts w:asciiTheme="majorHAnsi" w:hAnsiTheme="majorHAnsi"/>
        </w:rPr>
        <w:t>tenderers</w:t>
      </w:r>
      <w:r w:rsidR="00A90933" w:rsidRPr="00EC4DEF">
        <w:rPr>
          <w:rFonts w:asciiTheme="majorHAnsi" w:hAnsiTheme="majorHAnsi"/>
        </w:rPr>
        <w:t xml:space="preserve"> should include any content that will support </w:t>
      </w:r>
      <w:r w:rsidR="007E54D8">
        <w:rPr>
          <w:rFonts w:asciiTheme="majorHAnsi" w:hAnsiTheme="majorHAnsi"/>
        </w:rPr>
        <w:t>the</w:t>
      </w:r>
      <w:r w:rsidR="00A90933" w:rsidRPr="00EC4DEF">
        <w:rPr>
          <w:rFonts w:asciiTheme="majorHAnsi" w:hAnsiTheme="majorHAnsi"/>
        </w:rPr>
        <w:t xml:space="preserve"> tender</w:t>
      </w:r>
      <w:r w:rsidR="00A92625">
        <w:rPr>
          <w:rFonts w:asciiTheme="majorHAnsi" w:hAnsiTheme="majorHAnsi"/>
        </w:rPr>
        <w:t xml:space="preserve"> and note</w:t>
      </w:r>
      <w:r w:rsidR="00B31183">
        <w:rPr>
          <w:rFonts w:asciiTheme="majorHAnsi" w:hAnsiTheme="majorHAnsi"/>
        </w:rPr>
        <w:t>s</w:t>
      </w:r>
      <w:r w:rsidR="00A92625">
        <w:rPr>
          <w:rFonts w:asciiTheme="majorHAnsi" w:hAnsiTheme="majorHAnsi"/>
        </w:rPr>
        <w:t xml:space="preserve"> any specific requirement that may be included by the purchasing entity in the ATM documentation </w:t>
      </w:r>
      <w:r w:rsidR="00A90933" w:rsidRPr="00EC4DEF">
        <w:rPr>
          <w:rFonts w:asciiTheme="majorHAnsi" w:hAnsiTheme="majorHAnsi"/>
        </w:rPr>
        <w:t xml:space="preserve">    </w:t>
      </w:r>
    </w:p>
    <w:p w:rsidR="00CA3384" w:rsidRDefault="00A90933" w:rsidP="00913AEC">
      <w:pPr>
        <w:pStyle w:val="BodyText"/>
        <w:rPr>
          <w:rFonts w:asciiTheme="majorHAnsi" w:hAnsiTheme="majorHAnsi"/>
        </w:rPr>
      </w:pPr>
      <w:r w:rsidRPr="00EC4DEF">
        <w:rPr>
          <w:rFonts w:asciiTheme="majorHAnsi" w:hAnsiTheme="majorHAnsi"/>
        </w:rPr>
        <w:t>If</w:t>
      </w:r>
      <w:r w:rsidR="007E54D8">
        <w:rPr>
          <w:rFonts w:asciiTheme="majorHAnsi" w:hAnsiTheme="majorHAnsi"/>
        </w:rPr>
        <w:t xml:space="preserve"> tenderers</w:t>
      </w:r>
      <w:r w:rsidRPr="00EC4DEF">
        <w:rPr>
          <w:rFonts w:asciiTheme="majorHAnsi" w:hAnsiTheme="majorHAnsi"/>
        </w:rPr>
        <w:t xml:space="preserve"> have questions </w:t>
      </w:r>
      <w:r w:rsidR="00DB5E92" w:rsidRPr="00EC4DEF">
        <w:rPr>
          <w:rFonts w:asciiTheme="majorHAnsi" w:hAnsiTheme="majorHAnsi"/>
        </w:rPr>
        <w:t xml:space="preserve">in relation to the preparation of </w:t>
      </w:r>
      <w:r w:rsidR="007E54D8">
        <w:rPr>
          <w:rFonts w:asciiTheme="majorHAnsi" w:hAnsiTheme="majorHAnsi"/>
        </w:rPr>
        <w:t>an</w:t>
      </w:r>
      <w:r w:rsidR="00DB5E92" w:rsidRPr="00EC4DEF">
        <w:rPr>
          <w:rFonts w:asciiTheme="majorHAnsi" w:hAnsiTheme="majorHAnsi"/>
        </w:rPr>
        <w:t xml:space="preserve"> </w:t>
      </w:r>
      <w:r w:rsidRPr="00EC4DEF">
        <w:rPr>
          <w:rFonts w:asciiTheme="majorHAnsi" w:hAnsiTheme="majorHAnsi"/>
        </w:rPr>
        <w:t xml:space="preserve">Indigenous Participation Plan </w:t>
      </w:r>
      <w:r w:rsidR="007E54D8">
        <w:rPr>
          <w:rFonts w:asciiTheme="majorHAnsi" w:hAnsiTheme="majorHAnsi"/>
        </w:rPr>
        <w:t xml:space="preserve">they </w:t>
      </w:r>
      <w:r w:rsidRPr="00EC4DEF">
        <w:rPr>
          <w:rFonts w:asciiTheme="majorHAnsi" w:hAnsiTheme="majorHAnsi"/>
        </w:rPr>
        <w:t xml:space="preserve">should contact the </w:t>
      </w:r>
      <w:r w:rsidR="000122CA" w:rsidRPr="00EC4DEF">
        <w:rPr>
          <w:rFonts w:asciiTheme="majorHAnsi" w:hAnsiTheme="majorHAnsi"/>
        </w:rPr>
        <w:t>procuring official</w:t>
      </w:r>
      <w:r w:rsidRPr="00EC4DEF">
        <w:rPr>
          <w:rFonts w:asciiTheme="majorHAnsi" w:hAnsiTheme="majorHAnsi"/>
        </w:rPr>
        <w:t xml:space="preserve"> listed as the contact in the</w:t>
      </w:r>
      <w:r w:rsidR="007E54D8">
        <w:rPr>
          <w:rFonts w:asciiTheme="majorHAnsi" w:hAnsiTheme="majorHAnsi"/>
        </w:rPr>
        <w:t xml:space="preserve"> </w:t>
      </w:r>
      <w:r w:rsidR="00475844">
        <w:rPr>
          <w:rFonts w:asciiTheme="majorHAnsi" w:hAnsiTheme="majorHAnsi"/>
        </w:rPr>
        <w:t>a</w:t>
      </w:r>
      <w:r w:rsidR="009F3BE1" w:rsidRPr="00EC4DEF">
        <w:rPr>
          <w:rFonts w:asciiTheme="majorHAnsi" w:hAnsiTheme="majorHAnsi"/>
        </w:rPr>
        <w:t xml:space="preserve">pproach </w:t>
      </w:r>
      <w:r w:rsidRPr="00EC4DEF">
        <w:rPr>
          <w:rFonts w:asciiTheme="majorHAnsi" w:hAnsiTheme="majorHAnsi"/>
        </w:rPr>
        <w:t xml:space="preserve">to </w:t>
      </w:r>
      <w:r w:rsidR="00475844">
        <w:rPr>
          <w:rFonts w:asciiTheme="majorHAnsi" w:hAnsiTheme="majorHAnsi"/>
        </w:rPr>
        <w:t>m</w:t>
      </w:r>
      <w:r w:rsidRPr="00EC4DEF">
        <w:rPr>
          <w:rFonts w:asciiTheme="majorHAnsi" w:hAnsiTheme="majorHAnsi"/>
        </w:rPr>
        <w:t xml:space="preserve">arket.  </w:t>
      </w:r>
    </w:p>
    <w:p w:rsidR="009866AC" w:rsidRDefault="009866AC">
      <w:pPr>
        <w:rPr>
          <w:rFonts w:asciiTheme="majorHAnsi" w:hAnsiTheme="majorHAnsi"/>
          <w:b/>
        </w:rPr>
      </w:pPr>
      <w:r>
        <w:rPr>
          <w:rFonts w:asciiTheme="majorHAnsi" w:hAnsiTheme="majorHAnsi"/>
          <w:b/>
        </w:rPr>
        <w:br w:type="page"/>
      </w:r>
    </w:p>
    <w:p w:rsidR="001325AA" w:rsidRDefault="00913AEC" w:rsidP="001325AA">
      <w:pPr>
        <w:rPr>
          <w:rFonts w:asciiTheme="majorHAnsi" w:hAnsiTheme="majorHAnsi"/>
          <w:b/>
        </w:rPr>
      </w:pPr>
      <w:r w:rsidRPr="00EC4DEF">
        <w:rPr>
          <w:rFonts w:asciiTheme="majorHAnsi" w:hAnsiTheme="majorHAnsi"/>
          <w:b/>
        </w:rPr>
        <w:lastRenderedPageBreak/>
        <w:t xml:space="preserve"> </w:t>
      </w:r>
      <w:r w:rsidRPr="001325AA">
        <w:rPr>
          <w:rFonts w:asciiTheme="majorHAnsi" w:hAnsiTheme="majorHAnsi"/>
          <w:b/>
        </w:rPr>
        <w:t>Indigenous Participation Plan</w:t>
      </w:r>
    </w:p>
    <w:tbl>
      <w:tblPr>
        <w:tblStyle w:val="NIAADefaultTableStyle1"/>
        <w:tblW w:w="10206" w:type="dxa"/>
        <w:tblLook w:val="0620" w:firstRow="1" w:lastRow="0" w:firstColumn="0" w:lastColumn="0" w:noHBand="1" w:noVBand="1"/>
      </w:tblPr>
      <w:tblGrid>
        <w:gridCol w:w="4820"/>
        <w:gridCol w:w="5386"/>
      </w:tblGrid>
      <w:tr w:rsidR="001325AA" w:rsidRPr="00A82FD7" w:rsidTr="00E07D66">
        <w:trPr>
          <w:cnfStyle w:val="100000000000" w:firstRow="1" w:lastRow="0" w:firstColumn="0" w:lastColumn="0" w:oddVBand="0" w:evenVBand="0" w:oddHBand="0" w:evenHBand="0" w:firstRowFirstColumn="0" w:firstRowLastColumn="0" w:lastRowFirstColumn="0" w:lastRowLastColumn="0"/>
          <w:trHeight w:val="350"/>
        </w:trPr>
        <w:tc>
          <w:tcPr>
            <w:tcW w:w="4820" w:type="dxa"/>
          </w:tcPr>
          <w:p w:rsidR="001325AA" w:rsidRPr="00A82FD7" w:rsidRDefault="001325AA" w:rsidP="00E07D66">
            <w:pPr>
              <w:rPr>
                <w:bCs/>
                <w:sz w:val="24"/>
                <w:szCs w:val="24"/>
                <w:bdr w:val="none" w:sz="0" w:space="0" w:color="auto" w:frame="1"/>
              </w:rPr>
            </w:pPr>
            <w:r>
              <w:rPr>
                <w:bCs/>
                <w:sz w:val="24"/>
                <w:szCs w:val="24"/>
                <w:bdr w:val="none" w:sz="0" w:space="0" w:color="auto" w:frame="1"/>
              </w:rPr>
              <w:t>Table 2</w:t>
            </w:r>
          </w:p>
          <w:p w:rsidR="001325AA" w:rsidRPr="00A82FD7" w:rsidRDefault="001325AA" w:rsidP="00E07D66">
            <w:r w:rsidRPr="00A82FD7">
              <w:t>The Indigenous Participation Plan should include:</w:t>
            </w:r>
          </w:p>
        </w:tc>
        <w:tc>
          <w:tcPr>
            <w:tcW w:w="5386" w:type="dxa"/>
          </w:tcPr>
          <w:p w:rsidR="001325AA" w:rsidRPr="00A82FD7" w:rsidRDefault="001325AA" w:rsidP="00E07D66"/>
          <w:p w:rsidR="001325AA" w:rsidRPr="00A82FD7" w:rsidRDefault="001325AA" w:rsidP="00E07D66">
            <w:r w:rsidRPr="00A82FD7">
              <w:t>Notes</w:t>
            </w:r>
          </w:p>
        </w:tc>
      </w:tr>
      <w:tr w:rsidR="001325AA" w:rsidRPr="00A82FD7" w:rsidTr="00E07D66">
        <w:trPr>
          <w:trHeight w:val="350"/>
        </w:trPr>
        <w:tc>
          <w:tcPr>
            <w:tcW w:w="4820" w:type="dxa"/>
          </w:tcPr>
          <w:p w:rsidR="001325AA" w:rsidRPr="00A82FD7" w:rsidRDefault="001325AA" w:rsidP="00E07D66">
            <w:pPr>
              <w:rPr>
                <w:rFonts w:asciiTheme="majorHAnsi" w:hAnsiTheme="majorHAnsi"/>
              </w:rPr>
            </w:pPr>
            <w:r w:rsidRPr="00A82FD7">
              <w:rPr>
                <w:rFonts w:asciiTheme="majorHAnsi" w:hAnsiTheme="majorHAnsi"/>
              </w:rPr>
              <w:t>Clear indication of whether the supplier will meet contract-based (4%), organisation-based (3%) or remote contract-based participation requirements (&gt;4%).</w:t>
            </w:r>
          </w:p>
        </w:tc>
        <w:tc>
          <w:tcPr>
            <w:tcW w:w="5386" w:type="dxa"/>
          </w:tcPr>
          <w:p w:rsidR="001325AA" w:rsidRPr="00A82FD7" w:rsidRDefault="00DC5758" w:rsidP="00DC5758">
            <w:pPr>
              <w:spacing w:before="40" w:after="40"/>
              <w:rPr>
                <w:rFonts w:asciiTheme="majorHAnsi" w:hAnsiTheme="majorHAnsi"/>
                <w:color w:val="000000" w:themeColor="text1"/>
              </w:rPr>
            </w:pPr>
            <w:r w:rsidRPr="00A82FD7">
              <w:rPr>
                <w:rFonts w:asciiTheme="majorHAnsi" w:hAnsiTheme="majorHAnsi"/>
              </w:rPr>
              <w:t xml:space="preserve">The supplier may choose any of these options or the awarding entity may provide direction on the target in the ATM documents.  </w:t>
            </w:r>
          </w:p>
        </w:tc>
      </w:tr>
      <w:tr w:rsidR="001325AA" w:rsidRPr="00A82FD7" w:rsidTr="00E07D66">
        <w:trPr>
          <w:trHeight w:val="350"/>
        </w:trPr>
        <w:tc>
          <w:tcPr>
            <w:tcW w:w="4820" w:type="dxa"/>
          </w:tcPr>
          <w:p w:rsidR="001325AA" w:rsidRPr="00A82FD7" w:rsidRDefault="001325AA" w:rsidP="00E07D66">
            <w:pPr>
              <w:rPr>
                <w:rFonts w:asciiTheme="majorHAnsi" w:hAnsiTheme="majorHAnsi"/>
              </w:rPr>
            </w:pPr>
            <w:r w:rsidRPr="00A82FD7">
              <w:rPr>
                <w:rFonts w:asciiTheme="majorHAnsi" w:hAnsiTheme="majorHAnsi"/>
              </w:rPr>
              <w:t xml:space="preserve">Clear indication of whether the percentage target for Indigenous participation will be met through employment or supply use or a combination of employment and supply use.  </w:t>
            </w:r>
          </w:p>
        </w:tc>
        <w:tc>
          <w:tcPr>
            <w:tcW w:w="5386" w:type="dxa"/>
          </w:tcPr>
          <w:p w:rsidR="001325AA" w:rsidRPr="00A82FD7" w:rsidRDefault="001325AA" w:rsidP="00E07D66">
            <w:pPr>
              <w:rPr>
                <w:rFonts w:asciiTheme="majorHAnsi" w:hAnsiTheme="majorHAnsi"/>
              </w:rPr>
            </w:pPr>
            <w:r w:rsidRPr="00A82FD7">
              <w:rPr>
                <w:rFonts w:asciiTheme="majorHAnsi" w:hAnsiTheme="majorHAnsi"/>
              </w:rPr>
              <w:t xml:space="preserve">The supplier may choose any of these options or the awarding entity may provide direction on the target in the ATM documents.  </w:t>
            </w:r>
          </w:p>
        </w:tc>
      </w:tr>
      <w:tr w:rsidR="001325AA" w:rsidRPr="00A82FD7" w:rsidTr="00E07D66">
        <w:trPr>
          <w:trHeight w:val="350"/>
        </w:trPr>
        <w:tc>
          <w:tcPr>
            <w:tcW w:w="4820" w:type="dxa"/>
          </w:tcPr>
          <w:p w:rsidR="001325AA" w:rsidRPr="00A82FD7" w:rsidRDefault="001325AA" w:rsidP="00E07D66">
            <w:pPr>
              <w:rPr>
                <w:rFonts w:asciiTheme="majorHAnsi" w:hAnsiTheme="majorHAnsi"/>
              </w:rPr>
            </w:pPr>
            <w:r w:rsidRPr="00A82FD7">
              <w:rPr>
                <w:rFonts w:asciiTheme="majorHAnsi" w:hAnsiTheme="majorHAnsi"/>
              </w:rPr>
              <w:t>A commitment to Indigenous employment</w:t>
            </w:r>
            <w:r>
              <w:rPr>
                <w:rFonts w:asciiTheme="majorHAnsi" w:hAnsiTheme="majorHAnsi"/>
              </w:rPr>
              <w:t>.</w:t>
            </w:r>
          </w:p>
        </w:tc>
        <w:tc>
          <w:tcPr>
            <w:tcW w:w="5386" w:type="dxa"/>
          </w:tcPr>
          <w:p w:rsidR="001325AA" w:rsidRPr="005920EF" w:rsidRDefault="001325AA" w:rsidP="001325AA">
            <w:pPr>
              <w:pStyle w:val="BulletedListlvl1"/>
              <w:numPr>
                <w:ilvl w:val="0"/>
                <w:numId w:val="2"/>
              </w:numPr>
              <w:ind w:left="175" w:hanging="141"/>
              <w:rPr>
                <w:rFonts w:asciiTheme="majorHAnsi" w:hAnsiTheme="majorHAnsi"/>
              </w:rPr>
            </w:pPr>
            <w:r w:rsidRPr="005920EF">
              <w:rPr>
                <w:rFonts w:asciiTheme="majorHAnsi" w:hAnsiTheme="majorHAnsi"/>
              </w:rPr>
              <w:t>Clearly identify roles for Indigenous Australians and the skills required for these roles. Where possible, the majority of the roles should be central to the goods/services being delivered and located within local communities</w:t>
            </w:r>
            <w:r w:rsidR="00DC5758">
              <w:rPr>
                <w:rFonts w:asciiTheme="majorHAnsi" w:hAnsiTheme="majorHAnsi"/>
              </w:rPr>
              <w:t>.</w:t>
            </w:r>
          </w:p>
          <w:p w:rsidR="001325AA" w:rsidRPr="005920EF" w:rsidRDefault="001325AA" w:rsidP="001325AA">
            <w:pPr>
              <w:pStyle w:val="BulletedListlvl1"/>
              <w:numPr>
                <w:ilvl w:val="0"/>
                <w:numId w:val="2"/>
              </w:numPr>
              <w:ind w:left="175" w:hanging="141"/>
              <w:rPr>
                <w:rFonts w:asciiTheme="majorHAnsi" w:hAnsiTheme="majorHAnsi"/>
              </w:rPr>
            </w:pPr>
            <w:r w:rsidRPr="005920EF">
              <w:rPr>
                <w:rFonts w:asciiTheme="majorHAnsi" w:hAnsiTheme="majorHAnsi"/>
              </w:rPr>
              <w:t xml:space="preserve">Identify ways to source suitable Indigenous candidates, for example though collaboration or memoranda of understanding with Commonwealth employment service providers such as Vocational Training and Employment Centres (VTECs), Community Development Program (CDP) </w:t>
            </w:r>
            <w:r w:rsidR="00DC5758">
              <w:rPr>
                <w:rFonts w:asciiTheme="majorHAnsi" w:hAnsiTheme="majorHAnsi"/>
              </w:rPr>
              <w:t xml:space="preserve">/or </w:t>
            </w:r>
            <w:r w:rsidRPr="005920EF">
              <w:rPr>
                <w:rFonts w:asciiTheme="majorHAnsi" w:hAnsiTheme="majorHAnsi"/>
              </w:rPr>
              <w:t xml:space="preserve">Job Active available at  </w:t>
            </w:r>
            <w:hyperlink r:id="rId27" w:history="1">
              <w:r w:rsidRPr="005920EF">
                <w:rPr>
                  <w:rFonts w:asciiTheme="majorHAnsi" w:hAnsiTheme="majorHAnsi"/>
                </w:rPr>
                <w:t>jobsearch.gov.au</w:t>
              </w:r>
            </w:hyperlink>
            <w:r w:rsidRPr="005920EF">
              <w:rPr>
                <w:rFonts w:asciiTheme="majorHAnsi" w:hAnsiTheme="majorHAnsi"/>
              </w:rPr>
              <w:t xml:space="preserve">;  consulting with local Indigenous community controlled organisations available at  ORIC </w:t>
            </w:r>
            <w:hyperlink r:id="rId28" w:history="1">
              <w:r w:rsidRPr="005920EF">
                <w:rPr>
                  <w:rFonts w:asciiTheme="majorHAnsi" w:hAnsiTheme="majorHAnsi"/>
                </w:rPr>
                <w:t>database</w:t>
              </w:r>
            </w:hyperlink>
            <w:r w:rsidRPr="005920EF">
              <w:rPr>
                <w:rFonts w:asciiTheme="majorHAnsi" w:hAnsiTheme="majorHAnsi"/>
              </w:rPr>
              <w:t xml:space="preserve">; and/or advertising through Indigenous owned media outlets and/or hosting community information sessions.  </w:t>
            </w:r>
          </w:p>
          <w:p w:rsidR="001325AA" w:rsidRPr="005920EF" w:rsidRDefault="001325AA" w:rsidP="001325AA">
            <w:pPr>
              <w:pStyle w:val="BulletedListlvl1"/>
              <w:numPr>
                <w:ilvl w:val="0"/>
                <w:numId w:val="2"/>
              </w:numPr>
              <w:ind w:left="175" w:hanging="141"/>
              <w:rPr>
                <w:rFonts w:asciiTheme="majorHAnsi" w:hAnsiTheme="majorHAnsi"/>
              </w:rPr>
            </w:pPr>
            <w:r w:rsidRPr="005920EF">
              <w:rPr>
                <w:rFonts w:asciiTheme="majorHAnsi" w:hAnsiTheme="majorHAnsi"/>
              </w:rPr>
              <w:t>Identify ways to retain and train Indigenous candidates for the role and  ongoing development, for example a mentoring or professional development programme for Indigenous employees</w:t>
            </w:r>
            <w:r w:rsidR="00DC5758">
              <w:rPr>
                <w:rFonts w:asciiTheme="majorHAnsi" w:hAnsiTheme="majorHAnsi"/>
              </w:rPr>
              <w:t xml:space="preserve"> and/or </w:t>
            </w:r>
            <w:r w:rsidRPr="005920EF">
              <w:rPr>
                <w:rFonts w:asciiTheme="majorHAnsi" w:hAnsiTheme="majorHAnsi"/>
              </w:rPr>
              <w:t xml:space="preserve"> commitment to building  cultural capability within the workplace, which may include working with Reconciliation Australia to agree a Reconciliation Action Plan.   </w:t>
            </w:r>
          </w:p>
          <w:p w:rsidR="001325AA" w:rsidRPr="005920EF" w:rsidRDefault="001325AA" w:rsidP="00E07D66">
            <w:pPr>
              <w:pStyle w:val="BulletedListlvl1"/>
              <w:ind w:left="175" w:hanging="141"/>
              <w:rPr>
                <w:rFonts w:asciiTheme="majorHAnsi" w:hAnsiTheme="majorHAnsi"/>
              </w:rPr>
            </w:pPr>
          </w:p>
        </w:tc>
      </w:tr>
      <w:tr w:rsidR="001325AA" w:rsidRPr="00A82FD7" w:rsidTr="00E07D66">
        <w:trPr>
          <w:trHeight w:val="350"/>
        </w:trPr>
        <w:tc>
          <w:tcPr>
            <w:tcW w:w="4820" w:type="dxa"/>
          </w:tcPr>
          <w:p w:rsidR="001325AA" w:rsidRPr="00A82FD7" w:rsidRDefault="001325AA" w:rsidP="00E07D66">
            <w:pPr>
              <w:rPr>
                <w:rFonts w:asciiTheme="majorHAnsi" w:hAnsiTheme="majorHAnsi"/>
              </w:rPr>
            </w:pPr>
            <w:r w:rsidRPr="00A82FD7">
              <w:rPr>
                <w:rFonts w:asciiTheme="majorHAnsi" w:hAnsiTheme="majorHAnsi"/>
              </w:rPr>
              <w:t>A commitment to Indigenous supply use</w:t>
            </w:r>
            <w:r>
              <w:rPr>
                <w:rFonts w:asciiTheme="majorHAnsi" w:hAnsiTheme="majorHAnsi"/>
              </w:rPr>
              <w:t>.</w:t>
            </w:r>
          </w:p>
        </w:tc>
        <w:tc>
          <w:tcPr>
            <w:tcW w:w="5386" w:type="dxa"/>
          </w:tcPr>
          <w:p w:rsidR="001325AA" w:rsidRPr="00A82FD7" w:rsidRDefault="001325AA" w:rsidP="001325AA">
            <w:pPr>
              <w:pStyle w:val="BulletedListlvl1"/>
              <w:numPr>
                <w:ilvl w:val="0"/>
                <w:numId w:val="2"/>
              </w:numPr>
              <w:ind w:left="175" w:hanging="141"/>
              <w:rPr>
                <w:rFonts w:asciiTheme="majorHAnsi" w:hAnsiTheme="majorHAnsi"/>
              </w:rPr>
            </w:pPr>
            <w:r w:rsidRPr="00A82FD7">
              <w:rPr>
                <w:rFonts w:asciiTheme="majorHAnsi" w:hAnsiTheme="majorHAnsi"/>
              </w:rPr>
              <w:t xml:space="preserve">Clearly identify opportunities for Indigenous businesses in </w:t>
            </w:r>
            <w:r w:rsidR="00225331">
              <w:rPr>
                <w:rFonts w:asciiTheme="majorHAnsi" w:hAnsiTheme="majorHAnsi"/>
              </w:rPr>
              <w:t>your</w:t>
            </w:r>
            <w:r w:rsidR="00225331" w:rsidRPr="00A82FD7">
              <w:rPr>
                <w:rFonts w:asciiTheme="majorHAnsi" w:hAnsiTheme="majorHAnsi"/>
              </w:rPr>
              <w:t xml:space="preserve"> </w:t>
            </w:r>
            <w:r w:rsidRPr="00A82FD7">
              <w:rPr>
                <w:rFonts w:asciiTheme="majorHAnsi" w:hAnsiTheme="majorHAnsi"/>
              </w:rPr>
              <w:t>supply chain.</w:t>
            </w:r>
          </w:p>
          <w:p w:rsidR="001325AA" w:rsidRPr="00A82FD7" w:rsidRDefault="001325AA" w:rsidP="001325AA">
            <w:pPr>
              <w:pStyle w:val="BulletedListlvl1"/>
              <w:numPr>
                <w:ilvl w:val="0"/>
                <w:numId w:val="2"/>
              </w:numPr>
              <w:ind w:left="175" w:hanging="141"/>
              <w:rPr>
                <w:rFonts w:asciiTheme="majorHAnsi" w:hAnsiTheme="majorHAnsi"/>
              </w:rPr>
            </w:pPr>
            <w:r>
              <w:rPr>
                <w:rFonts w:asciiTheme="majorHAnsi" w:hAnsiTheme="majorHAnsi"/>
              </w:rPr>
              <w:t>M</w:t>
            </w:r>
            <w:r w:rsidRPr="00A82FD7">
              <w:rPr>
                <w:rFonts w:asciiTheme="majorHAnsi" w:hAnsiTheme="majorHAnsi"/>
              </w:rPr>
              <w:t>ethods for identifying Indigenous businesses and clear communicating opportunities, including: supplier diversity programs, business mentoring programs; assessing local Indigenous capability; consulting Supply Nation’s Indigenous Business Direct and other Indigenous business databases; hosting community information sessions.</w:t>
            </w:r>
          </w:p>
        </w:tc>
      </w:tr>
      <w:tr w:rsidR="001325AA" w:rsidRPr="00A82FD7" w:rsidTr="00E07D66">
        <w:trPr>
          <w:trHeight w:val="350"/>
        </w:trPr>
        <w:tc>
          <w:tcPr>
            <w:tcW w:w="4820" w:type="dxa"/>
          </w:tcPr>
          <w:p w:rsidR="001325AA" w:rsidRPr="00A82FD7" w:rsidRDefault="001325AA" w:rsidP="00E07D66">
            <w:pPr>
              <w:rPr>
                <w:rFonts w:asciiTheme="majorHAnsi" w:hAnsiTheme="majorHAnsi"/>
              </w:rPr>
            </w:pPr>
            <w:r w:rsidRPr="00A82FD7">
              <w:rPr>
                <w:rFonts w:asciiTheme="majorHAnsi" w:hAnsiTheme="majorHAnsi"/>
              </w:rPr>
              <w:t xml:space="preserve">A commitment to significant participation of Indigenous workers and businesses in contacts delivered in remote Australia. </w:t>
            </w: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rPr>
                <w:rFonts w:asciiTheme="majorHAnsi" w:hAnsiTheme="majorHAnsi"/>
              </w:rPr>
            </w:pPr>
          </w:p>
          <w:p w:rsidR="001325AA" w:rsidRPr="00A82FD7" w:rsidRDefault="001325AA" w:rsidP="00E07D66">
            <w:pPr>
              <w:jc w:val="center"/>
              <w:rPr>
                <w:rFonts w:asciiTheme="majorHAnsi" w:hAnsiTheme="majorHAnsi"/>
              </w:rPr>
            </w:pPr>
          </w:p>
        </w:tc>
        <w:tc>
          <w:tcPr>
            <w:tcW w:w="5386" w:type="dxa"/>
          </w:tcPr>
          <w:p w:rsidR="001325AA" w:rsidRPr="00A82FD7" w:rsidRDefault="001325AA" w:rsidP="001325AA">
            <w:pPr>
              <w:pStyle w:val="BulletedListlvl1"/>
              <w:numPr>
                <w:ilvl w:val="0"/>
                <w:numId w:val="2"/>
              </w:numPr>
              <w:ind w:left="175" w:hanging="141"/>
              <w:rPr>
                <w:rFonts w:asciiTheme="majorHAnsi" w:hAnsiTheme="majorHAnsi"/>
              </w:rPr>
            </w:pPr>
            <w:r w:rsidRPr="00A82FD7">
              <w:rPr>
                <w:rFonts w:asciiTheme="majorHAnsi" w:hAnsiTheme="majorHAnsi"/>
              </w:rPr>
              <w:lastRenderedPageBreak/>
              <w:t xml:space="preserve">Where the contract will be delivered in a remote area/s, clearly identify ways to achieve 'significant' (as a percentage) Indigenous employment and/or supplier use with regard to local Indigenous business sector and employment market. </w:t>
            </w:r>
          </w:p>
          <w:p w:rsidR="001325AA" w:rsidRPr="00A82FD7" w:rsidRDefault="001325AA" w:rsidP="001325AA">
            <w:pPr>
              <w:pStyle w:val="BulletedListlvl1"/>
              <w:numPr>
                <w:ilvl w:val="0"/>
                <w:numId w:val="2"/>
              </w:numPr>
              <w:ind w:left="175" w:hanging="141"/>
              <w:rPr>
                <w:rFonts w:asciiTheme="majorHAnsi" w:hAnsiTheme="majorHAnsi"/>
              </w:rPr>
            </w:pPr>
            <w:r w:rsidRPr="00A82FD7">
              <w:rPr>
                <w:rFonts w:asciiTheme="majorHAnsi" w:hAnsiTheme="majorHAnsi"/>
              </w:rPr>
              <w:t xml:space="preserve">The plan should specify an employment target considerate of the proportion of working age Indigenous people in the area (using the Australian Bureau of Statistics as a guide)  </w:t>
            </w:r>
          </w:p>
          <w:p w:rsidR="001325AA" w:rsidRPr="00A82FD7" w:rsidRDefault="001325AA" w:rsidP="001325AA">
            <w:pPr>
              <w:pStyle w:val="BulletedListlvl1"/>
              <w:numPr>
                <w:ilvl w:val="0"/>
                <w:numId w:val="2"/>
              </w:numPr>
              <w:ind w:left="175" w:hanging="141"/>
              <w:rPr>
                <w:rFonts w:asciiTheme="majorHAnsi" w:hAnsiTheme="majorHAnsi"/>
              </w:rPr>
            </w:pPr>
            <w:r>
              <w:rPr>
                <w:rFonts w:asciiTheme="majorHAnsi" w:hAnsiTheme="majorHAnsi"/>
              </w:rPr>
              <w:lastRenderedPageBreak/>
              <w:t>Supply t</w:t>
            </w:r>
            <w:r w:rsidRPr="00A82FD7">
              <w:rPr>
                <w:rFonts w:asciiTheme="majorHAnsi" w:hAnsiTheme="majorHAnsi"/>
              </w:rPr>
              <w:t xml:space="preserve">arget: This could include identifying indigenous businesses that </w:t>
            </w:r>
            <w:r w:rsidR="00225331">
              <w:rPr>
                <w:rFonts w:asciiTheme="majorHAnsi" w:hAnsiTheme="majorHAnsi"/>
              </w:rPr>
              <w:t>your organisation</w:t>
            </w:r>
            <w:r w:rsidR="00225331" w:rsidRPr="00A82FD7">
              <w:rPr>
                <w:rFonts w:asciiTheme="majorHAnsi" w:hAnsiTheme="majorHAnsi"/>
              </w:rPr>
              <w:t xml:space="preserve"> </w:t>
            </w:r>
            <w:r w:rsidRPr="00A82FD7">
              <w:rPr>
                <w:rFonts w:asciiTheme="majorHAnsi" w:hAnsiTheme="majorHAnsi"/>
              </w:rPr>
              <w:t xml:space="preserve">will sub-contract in the delivery of the project. </w:t>
            </w:r>
          </w:p>
          <w:p w:rsidR="001325AA" w:rsidRPr="00A82FD7" w:rsidRDefault="001325AA" w:rsidP="001325AA">
            <w:pPr>
              <w:pStyle w:val="BulletedListlvl1"/>
              <w:numPr>
                <w:ilvl w:val="0"/>
                <w:numId w:val="2"/>
              </w:numPr>
              <w:ind w:left="175" w:hanging="141"/>
              <w:rPr>
                <w:rFonts w:asciiTheme="majorHAnsi" w:hAnsiTheme="majorHAnsi"/>
              </w:rPr>
            </w:pPr>
            <w:r w:rsidRPr="00A82FD7">
              <w:rPr>
                <w:rFonts w:asciiTheme="majorHAnsi" w:hAnsiTheme="majorHAnsi"/>
              </w:rPr>
              <w:t xml:space="preserve">For large procurements with multiple tenders, </w:t>
            </w:r>
            <w:r w:rsidR="00225331">
              <w:rPr>
                <w:rFonts w:asciiTheme="majorHAnsi" w:hAnsiTheme="majorHAnsi"/>
              </w:rPr>
              <w:t>procuring officials may</w:t>
            </w:r>
            <w:r w:rsidRPr="00A82FD7">
              <w:rPr>
                <w:rFonts w:asciiTheme="majorHAnsi" w:hAnsiTheme="majorHAnsi"/>
              </w:rPr>
              <w:t xml:space="preserve"> consider the impost posed on small organisations to agree MoU and</w:t>
            </w:r>
            <w:r w:rsidR="00794021">
              <w:rPr>
                <w:rFonts w:asciiTheme="majorHAnsi" w:hAnsiTheme="majorHAnsi"/>
              </w:rPr>
              <w:t>/or</w:t>
            </w:r>
            <w:r w:rsidRPr="00A82FD7">
              <w:rPr>
                <w:rFonts w:asciiTheme="majorHAnsi" w:hAnsiTheme="majorHAnsi"/>
              </w:rPr>
              <w:t xml:space="preserve"> collaborative agreements with multiple tenderers where only one will ultimately be contracted. </w:t>
            </w:r>
          </w:p>
          <w:p w:rsidR="001325AA" w:rsidRPr="00A82FD7" w:rsidRDefault="001325AA" w:rsidP="001325AA">
            <w:pPr>
              <w:pStyle w:val="BulletedListlvl1"/>
              <w:numPr>
                <w:ilvl w:val="0"/>
                <w:numId w:val="2"/>
              </w:numPr>
              <w:ind w:left="175" w:hanging="141"/>
              <w:rPr>
                <w:rFonts w:asciiTheme="majorHAnsi" w:hAnsiTheme="majorHAnsi"/>
              </w:rPr>
            </w:pPr>
            <w:r w:rsidRPr="00A82FD7">
              <w:rPr>
                <w:rFonts w:asciiTheme="majorHAnsi" w:hAnsiTheme="majorHAnsi"/>
              </w:rPr>
              <w:t xml:space="preserve">The tenderer could demonstrate an existing relationship with the local stakeholder groups such as </w:t>
            </w:r>
            <w:hyperlink r:id="rId29" w:history="1">
              <w:r w:rsidRPr="00A82FD7">
                <w:rPr>
                  <w:rStyle w:val="Hyperlink"/>
                  <w:rFonts w:asciiTheme="majorHAnsi" w:hAnsiTheme="majorHAnsi"/>
                </w:rPr>
                <w:t>CDP providers</w:t>
              </w:r>
            </w:hyperlink>
            <w:r w:rsidRPr="00A82FD7">
              <w:rPr>
                <w:rFonts w:asciiTheme="majorHAnsi" w:hAnsiTheme="majorHAnsi"/>
              </w:rPr>
              <w:t xml:space="preserve">, </w:t>
            </w:r>
            <w:hyperlink r:id="rId30" w:history="1">
              <w:r w:rsidRPr="00A82FD7">
                <w:rPr>
                  <w:rStyle w:val="Hyperlink"/>
                  <w:rFonts w:asciiTheme="majorHAnsi" w:hAnsiTheme="majorHAnsi"/>
                </w:rPr>
                <w:t>Land and Sea Councils</w:t>
              </w:r>
            </w:hyperlink>
            <w:r w:rsidRPr="00A82FD7">
              <w:rPr>
                <w:rFonts w:asciiTheme="majorHAnsi" w:hAnsiTheme="majorHAnsi"/>
              </w:rPr>
              <w:t xml:space="preserve">, and local Indigenous community controlled organisations (see tip box below) or commit to develop a work relationship with specified stakeholders by a certain date if successful.  </w:t>
            </w:r>
          </w:p>
          <w:p w:rsidR="001325AA" w:rsidRPr="00A82FD7" w:rsidRDefault="001325AA" w:rsidP="00225331">
            <w:pPr>
              <w:pStyle w:val="BulletedListlvl1"/>
              <w:numPr>
                <w:ilvl w:val="0"/>
                <w:numId w:val="2"/>
              </w:numPr>
              <w:ind w:left="175" w:hanging="141"/>
              <w:rPr>
                <w:rFonts w:asciiTheme="majorHAnsi" w:hAnsiTheme="majorHAnsi"/>
              </w:rPr>
            </w:pPr>
            <w:r>
              <w:rPr>
                <w:rFonts w:asciiTheme="majorHAnsi" w:hAnsiTheme="majorHAnsi"/>
              </w:rPr>
              <w:t>Supply t</w:t>
            </w:r>
            <w:r w:rsidRPr="00A82FD7">
              <w:rPr>
                <w:rFonts w:asciiTheme="majorHAnsi" w:hAnsiTheme="majorHAnsi"/>
              </w:rPr>
              <w:t xml:space="preserve">arget: This could include identifying indigenous businesses that </w:t>
            </w:r>
            <w:r w:rsidR="00225331">
              <w:rPr>
                <w:rFonts w:asciiTheme="majorHAnsi" w:hAnsiTheme="majorHAnsi"/>
              </w:rPr>
              <w:t>you</w:t>
            </w:r>
            <w:r w:rsidR="00225331" w:rsidRPr="00A82FD7">
              <w:rPr>
                <w:rFonts w:asciiTheme="majorHAnsi" w:hAnsiTheme="majorHAnsi"/>
              </w:rPr>
              <w:t xml:space="preserve"> </w:t>
            </w:r>
            <w:r w:rsidRPr="00A82FD7">
              <w:rPr>
                <w:rFonts w:asciiTheme="majorHAnsi" w:hAnsiTheme="majorHAnsi"/>
              </w:rPr>
              <w:t xml:space="preserve">will sub-contract in the delivery of the project. </w:t>
            </w:r>
          </w:p>
        </w:tc>
      </w:tr>
    </w:tbl>
    <w:p w:rsidR="00913AEC" w:rsidRPr="000B514E" w:rsidRDefault="00913AEC" w:rsidP="00430A9A">
      <w:pPr>
        <w:pStyle w:val="Heading3"/>
      </w:pPr>
      <w:r w:rsidRPr="00EC4DEF">
        <w:rPr>
          <w:b/>
        </w:rPr>
        <w:lastRenderedPageBreak/>
        <w:t xml:space="preserve"> </w:t>
      </w:r>
      <w:bookmarkStart w:id="38" w:name="_Toc43385061"/>
      <w:r w:rsidR="009A47B6">
        <w:t>4</w:t>
      </w:r>
      <w:r w:rsidR="000B514E" w:rsidRPr="000B514E">
        <w:t>.</w:t>
      </w:r>
      <w:r w:rsidR="004506A4">
        <w:t>4</w:t>
      </w:r>
      <w:r w:rsidR="000B514E" w:rsidRPr="000B514E">
        <w:t xml:space="preserve"> </w:t>
      </w:r>
      <w:r w:rsidRPr="000B514E">
        <w:t xml:space="preserve">Current levels of Indigenous </w:t>
      </w:r>
      <w:r w:rsidR="000775AD">
        <w:t>participation</w:t>
      </w:r>
      <w:bookmarkEnd w:id="38"/>
    </w:p>
    <w:p w:rsidR="009A47B6" w:rsidRPr="00A82FD7" w:rsidRDefault="000775AD" w:rsidP="009A47B6">
      <w:pPr>
        <w:spacing w:line="276" w:lineRule="auto"/>
        <w:rPr>
          <w:rFonts w:asciiTheme="majorHAnsi" w:hAnsiTheme="majorHAnsi"/>
          <w:lang w:val="en" w:eastAsia="en-AU"/>
        </w:rPr>
      </w:pPr>
      <w:r w:rsidRPr="00EC4DEF">
        <w:rPr>
          <w:rFonts w:asciiTheme="majorHAnsi" w:hAnsiTheme="majorHAnsi" w:cs="Arial"/>
        </w:rPr>
        <w:t xml:space="preserve">Your tender documents should include details of your business’s current levels of Indigenous employment and Indigenous supply use.  If your business has limited experience in Indigenous participation </w:t>
      </w:r>
      <w:r w:rsidR="00225331">
        <w:rPr>
          <w:rFonts w:asciiTheme="majorHAnsi" w:hAnsiTheme="majorHAnsi" w:cs="Arial"/>
        </w:rPr>
        <w:t>you</w:t>
      </w:r>
      <w:r w:rsidR="006E5FBB">
        <w:rPr>
          <w:rFonts w:asciiTheme="majorHAnsi" w:hAnsiTheme="majorHAnsi" w:cs="Arial"/>
        </w:rPr>
        <w:t xml:space="preserve"> </w:t>
      </w:r>
      <w:r w:rsidRPr="00EC4DEF">
        <w:rPr>
          <w:rFonts w:asciiTheme="majorHAnsi" w:hAnsiTheme="majorHAnsi" w:cs="Arial"/>
        </w:rPr>
        <w:t>will need to demonstrate how you</w:t>
      </w:r>
      <w:r w:rsidR="006E5FBB">
        <w:rPr>
          <w:rFonts w:asciiTheme="majorHAnsi" w:hAnsiTheme="majorHAnsi" w:cs="Arial"/>
        </w:rPr>
        <w:t>r business</w:t>
      </w:r>
      <w:r w:rsidRPr="00EC4DEF">
        <w:rPr>
          <w:rFonts w:asciiTheme="majorHAnsi" w:hAnsiTheme="majorHAnsi" w:cs="Arial"/>
        </w:rPr>
        <w:t xml:space="preserve"> will seek to obtain the required knowledge and relationship to build and retain participation in your workforce and supply chain.  </w:t>
      </w:r>
      <w:r w:rsidR="009A47B6">
        <w:rPr>
          <w:rFonts w:asciiTheme="majorHAnsi" w:hAnsiTheme="majorHAnsi"/>
          <w:lang w:val="en" w:eastAsia="en-AU"/>
        </w:rPr>
        <w:t xml:space="preserve">A participation plan will be stronger if it </w:t>
      </w:r>
      <w:r w:rsidR="009A47B6" w:rsidRPr="00A82FD7">
        <w:rPr>
          <w:rFonts w:asciiTheme="majorHAnsi" w:hAnsiTheme="majorHAnsi"/>
          <w:lang w:val="en" w:eastAsia="en-AU"/>
        </w:rPr>
        <w:t>identif</w:t>
      </w:r>
      <w:r w:rsidR="009A47B6">
        <w:rPr>
          <w:rFonts w:asciiTheme="majorHAnsi" w:hAnsiTheme="majorHAnsi"/>
          <w:lang w:val="en" w:eastAsia="en-AU"/>
        </w:rPr>
        <w:t xml:space="preserve">ies </w:t>
      </w:r>
      <w:r w:rsidR="009A47B6" w:rsidRPr="00A82FD7">
        <w:rPr>
          <w:rFonts w:asciiTheme="majorHAnsi" w:hAnsiTheme="majorHAnsi"/>
          <w:lang w:val="en" w:eastAsia="en-AU"/>
        </w:rPr>
        <w:t xml:space="preserve">and seeks </w:t>
      </w:r>
      <w:r w:rsidR="009A47B6">
        <w:rPr>
          <w:rFonts w:asciiTheme="majorHAnsi" w:hAnsiTheme="majorHAnsi"/>
          <w:lang w:val="en" w:eastAsia="en-AU"/>
        </w:rPr>
        <w:t xml:space="preserve">to make use of the resources and tools listed below.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Commonwealth providers such as jobactive, Community Development Program (CDP), Vocational Training and Employment Centres (VTECs), ParentsNext;</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Commonwealth Indigenous Business and Employment Hubs in NSW and WA;</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Pr>
          <w:rFonts w:asciiTheme="majorHAnsi" w:hAnsiTheme="majorHAnsi"/>
          <w:lang w:val="en" w:eastAsia="en-AU"/>
        </w:rPr>
        <w:t>l</w:t>
      </w:r>
      <w:r w:rsidRPr="00A82FD7">
        <w:rPr>
          <w:rFonts w:asciiTheme="majorHAnsi" w:hAnsiTheme="majorHAnsi"/>
          <w:lang w:val="en" w:eastAsia="en-AU"/>
        </w:rPr>
        <w:t>ocal privately run labour hire and recruitment companies with links to Aboriginal and Torres Strait Islander job seekers</w:t>
      </w:r>
      <w:r w:rsidR="00E82ABA">
        <w:rPr>
          <w:rFonts w:asciiTheme="majorHAnsi" w:hAnsiTheme="majorHAnsi"/>
          <w:lang w:val="en" w:eastAsia="en-AU"/>
        </w:rPr>
        <w:t xml:space="preserve"> (suppliers can be found via the Supply Nation Directory)</w:t>
      </w:r>
      <w:r w:rsidRPr="00A82FD7">
        <w:rPr>
          <w:rFonts w:asciiTheme="majorHAnsi" w:hAnsiTheme="majorHAnsi"/>
          <w:lang w:val="en" w:eastAsia="en-AU"/>
        </w:rPr>
        <w:t>;</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Pr>
          <w:rFonts w:asciiTheme="majorHAnsi" w:hAnsiTheme="majorHAnsi"/>
          <w:lang w:val="en" w:eastAsia="en-AU"/>
        </w:rPr>
        <w:t>l</w:t>
      </w:r>
      <w:r w:rsidRPr="00A82FD7">
        <w:rPr>
          <w:rFonts w:asciiTheme="majorHAnsi" w:hAnsiTheme="majorHAnsi"/>
          <w:lang w:val="en" w:eastAsia="en-AU"/>
        </w:rPr>
        <w:t xml:space="preserve">ocal Indigenous associations or Land Councils;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Pr>
          <w:rFonts w:asciiTheme="majorHAnsi" w:hAnsiTheme="majorHAnsi"/>
          <w:lang w:val="en" w:eastAsia="en-AU"/>
        </w:rPr>
        <w:t>l</w:t>
      </w:r>
      <w:r w:rsidRPr="00A82FD7">
        <w:rPr>
          <w:rFonts w:asciiTheme="majorHAnsi" w:hAnsiTheme="majorHAnsi"/>
          <w:lang w:val="en" w:eastAsia="en-AU"/>
        </w:rPr>
        <w:t xml:space="preserve">ocal Indigenous Business Chambers;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 xml:space="preserve">Reconciliation Australia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Supply Nation or ORIC public directory;</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 xml:space="preserve">Indigenous media;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sidRPr="00A82FD7">
        <w:rPr>
          <w:rFonts w:asciiTheme="majorHAnsi" w:hAnsiTheme="majorHAnsi"/>
          <w:lang w:val="en" w:eastAsia="en-AU"/>
        </w:rPr>
        <w:t xml:space="preserve">government and or community led networking opportunities; </w:t>
      </w:r>
    </w:p>
    <w:p w:rsidR="009A47B6" w:rsidRPr="00A82FD7" w:rsidRDefault="009A47B6" w:rsidP="009A47B6">
      <w:pPr>
        <w:pStyle w:val="ListParagraph"/>
        <w:numPr>
          <w:ilvl w:val="0"/>
          <w:numId w:val="32"/>
        </w:numPr>
        <w:spacing w:line="276" w:lineRule="auto"/>
        <w:rPr>
          <w:rFonts w:asciiTheme="majorHAnsi" w:hAnsiTheme="majorHAnsi"/>
          <w:lang w:val="en" w:eastAsia="en-AU"/>
        </w:rPr>
      </w:pPr>
      <w:r>
        <w:rPr>
          <w:rFonts w:asciiTheme="majorHAnsi" w:hAnsiTheme="majorHAnsi"/>
          <w:lang w:val="en" w:eastAsia="en-AU"/>
        </w:rPr>
        <w:t>c</w:t>
      </w:r>
      <w:r w:rsidRPr="00A82FD7">
        <w:rPr>
          <w:rFonts w:asciiTheme="majorHAnsi" w:hAnsiTheme="majorHAnsi"/>
          <w:lang w:val="en" w:eastAsia="en-AU"/>
        </w:rPr>
        <w:t>ultural awareness and diversity training</w:t>
      </w:r>
      <w:r w:rsidR="00E82ABA">
        <w:rPr>
          <w:rFonts w:asciiTheme="majorHAnsi" w:hAnsiTheme="majorHAnsi"/>
          <w:lang w:val="en" w:eastAsia="en-AU"/>
        </w:rPr>
        <w:t xml:space="preserve"> (suppliers can be found via the Supply Nation Directory)</w:t>
      </w:r>
      <w:r w:rsidRPr="00A82FD7">
        <w:rPr>
          <w:rFonts w:asciiTheme="majorHAnsi" w:hAnsiTheme="majorHAnsi"/>
          <w:lang w:val="en" w:eastAsia="en-AU"/>
        </w:rPr>
        <w:t>;</w:t>
      </w:r>
    </w:p>
    <w:p w:rsidR="00402B0C" w:rsidRPr="00402B0C" w:rsidRDefault="00F90C9A" w:rsidP="009A47B6">
      <w:pPr>
        <w:spacing w:line="276" w:lineRule="auto"/>
        <w:rPr>
          <w:rFonts w:asciiTheme="majorHAnsi" w:hAnsiTheme="majorHAnsi"/>
          <w:lang w:val="en" w:eastAsia="en-AU"/>
        </w:rPr>
      </w:pPr>
      <w:r w:rsidRPr="005F0EA6">
        <w:rPr>
          <w:rFonts w:asciiTheme="majorHAnsi" w:hAnsiTheme="majorHAnsi"/>
          <w:b/>
          <w:lang w:val="en" w:eastAsia="en-AU"/>
        </w:rPr>
        <w:t>Note:</w:t>
      </w:r>
      <w:r>
        <w:rPr>
          <w:rFonts w:asciiTheme="majorHAnsi" w:hAnsiTheme="majorHAnsi"/>
          <w:lang w:val="en" w:eastAsia="en-AU"/>
        </w:rPr>
        <w:t xml:space="preserve"> </w:t>
      </w:r>
      <w:r w:rsidR="00EC4DEF" w:rsidRPr="00402B0C">
        <w:rPr>
          <w:rFonts w:asciiTheme="majorHAnsi" w:hAnsiTheme="majorHAnsi"/>
          <w:lang w:val="en" w:eastAsia="en-AU"/>
        </w:rPr>
        <w:t xml:space="preserve"> </w:t>
      </w:r>
      <w:r w:rsidR="007E54D8">
        <w:rPr>
          <w:rFonts w:asciiTheme="majorHAnsi" w:hAnsiTheme="majorHAnsi"/>
          <w:lang w:val="en" w:eastAsia="en-AU"/>
        </w:rPr>
        <w:t xml:space="preserve">Section </w:t>
      </w:r>
      <w:r w:rsidR="009A47B6">
        <w:rPr>
          <w:rFonts w:asciiTheme="majorHAnsi" w:hAnsiTheme="majorHAnsi"/>
          <w:lang w:val="en" w:eastAsia="en-AU"/>
        </w:rPr>
        <w:t xml:space="preserve">10.0 - </w:t>
      </w:r>
      <w:r w:rsidR="00EC4DEF" w:rsidRPr="00402B0C">
        <w:rPr>
          <w:rFonts w:asciiTheme="majorHAnsi" w:hAnsiTheme="majorHAnsi"/>
          <w:lang w:val="en" w:eastAsia="en-AU"/>
        </w:rPr>
        <w:t xml:space="preserve">Resources provides </w:t>
      </w:r>
      <w:r w:rsidR="00402B0C" w:rsidRPr="00402B0C">
        <w:rPr>
          <w:rFonts w:asciiTheme="majorHAnsi" w:hAnsiTheme="majorHAnsi"/>
          <w:lang w:val="en" w:eastAsia="en-AU"/>
        </w:rPr>
        <w:t>website links to assist with locating the above services.</w:t>
      </w:r>
    </w:p>
    <w:p w:rsidR="009866AC" w:rsidRDefault="009866AC">
      <w:pPr>
        <w:rPr>
          <w:rFonts w:asciiTheme="majorHAnsi" w:eastAsiaTheme="majorEastAsia" w:hAnsiTheme="majorHAnsi" w:cstheme="majorBidi"/>
          <w:color w:val="DD7500" w:themeColor="accent4"/>
          <w:sz w:val="30"/>
          <w:szCs w:val="30"/>
        </w:rPr>
      </w:pPr>
      <w:bookmarkStart w:id="39" w:name="_Toc43385062"/>
      <w:r>
        <w:br w:type="page"/>
      </w:r>
    </w:p>
    <w:p w:rsidR="00913AEC" w:rsidRPr="000B514E" w:rsidRDefault="009A47B6" w:rsidP="00430A9A">
      <w:pPr>
        <w:pStyle w:val="Heading3"/>
      </w:pPr>
      <w:r>
        <w:lastRenderedPageBreak/>
        <w:t>4</w:t>
      </w:r>
      <w:r w:rsidR="000B514E" w:rsidRPr="000B514E">
        <w:t>.</w:t>
      </w:r>
      <w:r w:rsidR="004506A4">
        <w:t>5</w:t>
      </w:r>
      <w:r w:rsidR="000B514E" w:rsidRPr="000B514E">
        <w:t xml:space="preserve"> </w:t>
      </w:r>
      <w:r w:rsidR="00913AEC" w:rsidRPr="000B514E">
        <w:t>Compliance history</w:t>
      </w:r>
      <w:bookmarkEnd w:id="39"/>
    </w:p>
    <w:p w:rsidR="00913AEC" w:rsidRPr="00402B0C" w:rsidRDefault="007E54D8" w:rsidP="00913AEC">
      <w:pPr>
        <w:pStyle w:val="BodyText"/>
        <w:rPr>
          <w:rFonts w:asciiTheme="majorHAnsi" w:hAnsiTheme="majorHAnsi"/>
        </w:rPr>
      </w:pPr>
      <w:r>
        <w:rPr>
          <w:rFonts w:asciiTheme="majorHAnsi" w:hAnsiTheme="majorHAnsi"/>
        </w:rPr>
        <w:t>Tenderers</w:t>
      </w:r>
      <w:r w:rsidR="001327D5" w:rsidRPr="00402B0C">
        <w:rPr>
          <w:rFonts w:asciiTheme="majorHAnsi" w:hAnsiTheme="majorHAnsi"/>
        </w:rPr>
        <w:t xml:space="preserve"> </w:t>
      </w:r>
      <w:r w:rsidR="00913AEC" w:rsidRPr="00402B0C">
        <w:rPr>
          <w:rFonts w:asciiTheme="majorHAnsi" w:hAnsiTheme="majorHAnsi"/>
        </w:rPr>
        <w:t>must ind</w:t>
      </w:r>
      <w:r w:rsidR="00181BE0" w:rsidRPr="00402B0C">
        <w:rPr>
          <w:rFonts w:asciiTheme="majorHAnsi" w:hAnsiTheme="majorHAnsi"/>
        </w:rPr>
        <w:t xml:space="preserve">icate whether </w:t>
      </w:r>
      <w:r>
        <w:rPr>
          <w:rFonts w:asciiTheme="majorHAnsi" w:hAnsiTheme="majorHAnsi"/>
        </w:rPr>
        <w:t xml:space="preserve">their </w:t>
      </w:r>
      <w:r w:rsidR="009A0F89" w:rsidRPr="00402B0C">
        <w:rPr>
          <w:rFonts w:asciiTheme="majorHAnsi" w:hAnsiTheme="majorHAnsi"/>
        </w:rPr>
        <w:t>business</w:t>
      </w:r>
      <w:r w:rsidR="00181BE0" w:rsidRPr="00402B0C">
        <w:rPr>
          <w:rFonts w:asciiTheme="majorHAnsi" w:hAnsiTheme="majorHAnsi"/>
        </w:rPr>
        <w:t xml:space="preserve"> </w:t>
      </w:r>
      <w:r w:rsidR="00913AEC" w:rsidRPr="00402B0C">
        <w:rPr>
          <w:rFonts w:asciiTheme="majorHAnsi" w:hAnsiTheme="majorHAnsi"/>
        </w:rPr>
        <w:t xml:space="preserve">is currently, or has previously been, subject to </w:t>
      </w:r>
      <w:r w:rsidR="00181BE0" w:rsidRPr="00402B0C">
        <w:rPr>
          <w:rFonts w:asciiTheme="majorHAnsi" w:hAnsiTheme="majorHAnsi"/>
        </w:rPr>
        <w:t>MMRs</w:t>
      </w:r>
      <w:r w:rsidR="00913AEC" w:rsidRPr="00402B0C">
        <w:rPr>
          <w:rFonts w:asciiTheme="majorHAnsi" w:hAnsiTheme="majorHAnsi"/>
        </w:rPr>
        <w:t xml:space="preserve"> and, if so, how it has performed against those targets. </w:t>
      </w:r>
    </w:p>
    <w:p w:rsidR="00181BE0" w:rsidRPr="00402B0C" w:rsidRDefault="00181BE0" w:rsidP="00913AEC">
      <w:pPr>
        <w:pStyle w:val="BodyText"/>
        <w:rPr>
          <w:rFonts w:asciiTheme="majorHAnsi" w:hAnsiTheme="majorHAnsi"/>
        </w:rPr>
      </w:pPr>
      <w:r w:rsidRPr="00402B0C">
        <w:rPr>
          <w:rFonts w:asciiTheme="majorHAnsi" w:hAnsiTheme="majorHAnsi"/>
        </w:rPr>
        <w:t xml:space="preserve">If your </w:t>
      </w:r>
      <w:r w:rsidR="009A0F89" w:rsidRPr="00402B0C">
        <w:rPr>
          <w:rFonts w:asciiTheme="majorHAnsi" w:hAnsiTheme="majorHAnsi"/>
        </w:rPr>
        <w:t>business</w:t>
      </w:r>
      <w:r w:rsidR="00E044D0" w:rsidRPr="00402B0C">
        <w:rPr>
          <w:rFonts w:asciiTheme="majorHAnsi" w:hAnsiTheme="majorHAnsi"/>
        </w:rPr>
        <w:t xml:space="preserve"> </w:t>
      </w:r>
      <w:r w:rsidRPr="00402B0C">
        <w:rPr>
          <w:rFonts w:asciiTheme="majorHAnsi" w:hAnsiTheme="majorHAnsi"/>
        </w:rPr>
        <w:t xml:space="preserve">has no experience with MMRs </w:t>
      </w:r>
      <w:r w:rsidR="00C9209F" w:rsidRPr="00402B0C">
        <w:rPr>
          <w:rFonts w:asciiTheme="majorHAnsi" w:hAnsiTheme="majorHAnsi"/>
        </w:rPr>
        <w:t>evidence</w:t>
      </w:r>
      <w:r w:rsidR="006E5FBB">
        <w:rPr>
          <w:rFonts w:asciiTheme="majorHAnsi" w:hAnsiTheme="majorHAnsi"/>
        </w:rPr>
        <w:t xml:space="preserve"> can be provided</w:t>
      </w:r>
      <w:r w:rsidR="00C9209F" w:rsidRPr="00402B0C">
        <w:rPr>
          <w:rFonts w:asciiTheme="majorHAnsi" w:hAnsiTheme="majorHAnsi"/>
        </w:rPr>
        <w:t xml:space="preserve"> of your </w:t>
      </w:r>
      <w:r w:rsidR="009A0F89" w:rsidRPr="00402B0C">
        <w:rPr>
          <w:rFonts w:asciiTheme="majorHAnsi" w:hAnsiTheme="majorHAnsi"/>
        </w:rPr>
        <w:t>business</w:t>
      </w:r>
      <w:r w:rsidR="00C9209F" w:rsidRPr="00402B0C">
        <w:rPr>
          <w:rFonts w:asciiTheme="majorHAnsi" w:hAnsiTheme="majorHAnsi"/>
        </w:rPr>
        <w:t>’s</w:t>
      </w:r>
      <w:r w:rsidRPr="00402B0C">
        <w:rPr>
          <w:rFonts w:asciiTheme="majorHAnsi" w:hAnsiTheme="majorHAnsi"/>
        </w:rPr>
        <w:t xml:space="preserve"> commitment </w:t>
      </w:r>
      <w:r w:rsidR="00440992" w:rsidRPr="00402B0C">
        <w:rPr>
          <w:rFonts w:asciiTheme="majorHAnsi" w:hAnsiTheme="majorHAnsi"/>
        </w:rPr>
        <w:t xml:space="preserve">to Indigenous employment or use of Indigenous suppliers </w:t>
      </w:r>
      <w:r w:rsidRPr="00402B0C">
        <w:rPr>
          <w:rFonts w:asciiTheme="majorHAnsi" w:hAnsiTheme="majorHAnsi"/>
        </w:rPr>
        <w:t>through:</w:t>
      </w:r>
    </w:p>
    <w:p w:rsidR="00181BE0" w:rsidRPr="00402B0C" w:rsidRDefault="00181BE0" w:rsidP="009E6C33">
      <w:pPr>
        <w:pStyle w:val="BodyText"/>
        <w:numPr>
          <w:ilvl w:val="0"/>
          <w:numId w:val="12"/>
        </w:numPr>
        <w:rPr>
          <w:rFonts w:asciiTheme="majorHAnsi" w:hAnsiTheme="majorHAnsi"/>
        </w:rPr>
      </w:pPr>
      <w:r w:rsidRPr="00402B0C">
        <w:rPr>
          <w:rFonts w:asciiTheme="majorHAnsi" w:hAnsiTheme="majorHAnsi"/>
        </w:rPr>
        <w:t>Previous track record of Indigenous employment</w:t>
      </w:r>
      <w:r w:rsidR="00440992" w:rsidRPr="00402B0C">
        <w:rPr>
          <w:rFonts w:asciiTheme="majorHAnsi" w:hAnsiTheme="majorHAnsi"/>
        </w:rPr>
        <w:t xml:space="preserve"> and use of Indigenous suppliers</w:t>
      </w:r>
      <w:r w:rsidRPr="00402B0C">
        <w:rPr>
          <w:rFonts w:asciiTheme="majorHAnsi" w:hAnsiTheme="majorHAnsi"/>
        </w:rPr>
        <w:t xml:space="preserve">, </w:t>
      </w:r>
      <w:r w:rsidR="00440992" w:rsidRPr="00402B0C">
        <w:rPr>
          <w:rFonts w:asciiTheme="majorHAnsi" w:hAnsiTheme="majorHAnsi"/>
        </w:rPr>
        <w:t>including by providing examples or case studies</w:t>
      </w:r>
      <w:r w:rsidRPr="00402B0C">
        <w:rPr>
          <w:rFonts w:asciiTheme="majorHAnsi" w:hAnsiTheme="majorHAnsi"/>
        </w:rPr>
        <w:t>.</w:t>
      </w:r>
    </w:p>
    <w:p w:rsidR="00972CA0" w:rsidRPr="00402B0C" w:rsidRDefault="00181BE0" w:rsidP="00972CA0">
      <w:pPr>
        <w:pStyle w:val="BodyText"/>
        <w:numPr>
          <w:ilvl w:val="0"/>
          <w:numId w:val="12"/>
        </w:numPr>
        <w:rPr>
          <w:rFonts w:asciiTheme="majorHAnsi" w:hAnsiTheme="majorHAnsi"/>
        </w:rPr>
      </w:pPr>
      <w:r w:rsidRPr="00402B0C">
        <w:rPr>
          <w:rFonts w:asciiTheme="majorHAnsi" w:hAnsiTheme="majorHAnsi"/>
        </w:rPr>
        <w:t>A Reconciliation Action Plan (R</w:t>
      </w:r>
      <w:r w:rsidR="0074345A" w:rsidRPr="00402B0C">
        <w:rPr>
          <w:rFonts w:asciiTheme="majorHAnsi" w:hAnsiTheme="majorHAnsi"/>
        </w:rPr>
        <w:t>AP), or similar that provides a</w:t>
      </w:r>
      <w:r w:rsidRPr="00402B0C">
        <w:rPr>
          <w:rFonts w:asciiTheme="majorHAnsi" w:hAnsiTheme="majorHAnsi"/>
        </w:rPr>
        <w:t xml:space="preserve"> </w:t>
      </w:r>
      <w:r w:rsidR="009A0F89" w:rsidRPr="00402B0C">
        <w:rPr>
          <w:rFonts w:asciiTheme="majorHAnsi" w:hAnsiTheme="majorHAnsi"/>
        </w:rPr>
        <w:t>business</w:t>
      </w:r>
      <w:r w:rsidRPr="00402B0C">
        <w:rPr>
          <w:rFonts w:asciiTheme="majorHAnsi" w:hAnsiTheme="majorHAnsi"/>
        </w:rPr>
        <w:t xml:space="preserve"> commitment to Indigenous employment </w:t>
      </w:r>
      <w:r w:rsidR="00440992" w:rsidRPr="00402B0C">
        <w:rPr>
          <w:rFonts w:asciiTheme="majorHAnsi" w:hAnsiTheme="majorHAnsi"/>
        </w:rPr>
        <w:t xml:space="preserve">and Indigenous supplier </w:t>
      </w:r>
      <w:r w:rsidRPr="00402B0C">
        <w:rPr>
          <w:rFonts w:asciiTheme="majorHAnsi" w:hAnsiTheme="majorHAnsi"/>
        </w:rPr>
        <w:t>targets.</w:t>
      </w:r>
    </w:p>
    <w:p w:rsidR="00EC517F" w:rsidRPr="000B514E" w:rsidRDefault="009A47B6" w:rsidP="000B514E">
      <w:pPr>
        <w:pStyle w:val="Heading2"/>
      </w:pPr>
      <w:bookmarkStart w:id="40" w:name="_Toc43385063"/>
      <w:r>
        <w:t>5</w:t>
      </w:r>
      <w:r w:rsidR="00EB0BC6" w:rsidRPr="000B514E">
        <w:t>.</w:t>
      </w:r>
      <w:r w:rsidR="00031E27">
        <w:t>0</w:t>
      </w:r>
      <w:r w:rsidR="00031E27">
        <w:tab/>
      </w:r>
      <w:r w:rsidR="00EC517F" w:rsidRPr="000B514E">
        <w:t>Contracting</w:t>
      </w:r>
      <w:bookmarkEnd w:id="40"/>
    </w:p>
    <w:p w:rsidR="00EC517F" w:rsidRPr="00402B0C" w:rsidRDefault="00EC517F" w:rsidP="00EC517F">
      <w:pPr>
        <w:pStyle w:val="BodyText"/>
        <w:rPr>
          <w:rFonts w:asciiTheme="majorHAnsi" w:hAnsiTheme="majorHAnsi"/>
        </w:rPr>
      </w:pPr>
      <w:r w:rsidRPr="00402B0C">
        <w:rPr>
          <w:rFonts w:asciiTheme="majorHAnsi" w:hAnsiTheme="majorHAnsi"/>
        </w:rPr>
        <w:t>In addition to the</w:t>
      </w:r>
      <w:r w:rsidR="006720AF" w:rsidRPr="00402B0C">
        <w:rPr>
          <w:rFonts w:asciiTheme="majorHAnsi" w:hAnsiTheme="majorHAnsi"/>
        </w:rPr>
        <w:t xml:space="preserve"> information provided in </w:t>
      </w:r>
      <w:r w:rsidR="00103275">
        <w:rPr>
          <w:rFonts w:asciiTheme="majorHAnsi" w:hAnsiTheme="majorHAnsi"/>
        </w:rPr>
        <w:t xml:space="preserve">an </w:t>
      </w:r>
      <w:r w:rsidRPr="00402B0C">
        <w:rPr>
          <w:rFonts w:asciiTheme="majorHAnsi" w:hAnsiTheme="majorHAnsi"/>
        </w:rPr>
        <w:t>Indi</w:t>
      </w:r>
      <w:r w:rsidR="006720AF" w:rsidRPr="00402B0C">
        <w:rPr>
          <w:rFonts w:asciiTheme="majorHAnsi" w:hAnsiTheme="majorHAnsi"/>
        </w:rPr>
        <w:t>genous Participation Plan</w:t>
      </w:r>
      <w:r w:rsidRPr="00402B0C">
        <w:rPr>
          <w:rFonts w:asciiTheme="majorHAnsi" w:hAnsiTheme="majorHAnsi"/>
        </w:rPr>
        <w:t>, the awarded contract will</w:t>
      </w:r>
      <w:r w:rsidR="000775AD" w:rsidRPr="00402B0C">
        <w:rPr>
          <w:rFonts w:asciiTheme="majorHAnsi" w:hAnsiTheme="majorHAnsi"/>
        </w:rPr>
        <w:t xml:space="preserve"> </w:t>
      </w:r>
      <w:r w:rsidR="00C83D33" w:rsidRPr="00402B0C">
        <w:rPr>
          <w:rFonts w:asciiTheme="majorHAnsi" w:hAnsiTheme="majorHAnsi"/>
        </w:rPr>
        <w:t xml:space="preserve">contain </w:t>
      </w:r>
      <w:r w:rsidRPr="00402B0C">
        <w:rPr>
          <w:rFonts w:asciiTheme="majorHAnsi" w:hAnsiTheme="majorHAnsi"/>
        </w:rPr>
        <w:t>clauses relating to the MMR.</w:t>
      </w:r>
      <w:r w:rsidR="005042F3" w:rsidRPr="00402B0C">
        <w:rPr>
          <w:rFonts w:asciiTheme="majorHAnsi" w:hAnsiTheme="majorHAnsi"/>
        </w:rPr>
        <w:t xml:space="preserve"> </w:t>
      </w:r>
      <w:r w:rsidRPr="00402B0C">
        <w:rPr>
          <w:rFonts w:asciiTheme="majorHAnsi" w:hAnsiTheme="majorHAnsi"/>
        </w:rPr>
        <w:t>The clauses will outline:</w:t>
      </w:r>
    </w:p>
    <w:p w:rsidR="00F4277B" w:rsidRPr="00402B0C" w:rsidRDefault="00F4277B" w:rsidP="009E6C33">
      <w:pPr>
        <w:pStyle w:val="BulletedListlvl1"/>
        <w:numPr>
          <w:ilvl w:val="0"/>
          <w:numId w:val="13"/>
        </w:numPr>
        <w:rPr>
          <w:rFonts w:asciiTheme="majorHAnsi" w:hAnsiTheme="majorHAnsi"/>
        </w:rPr>
      </w:pPr>
      <w:r w:rsidRPr="00402B0C">
        <w:rPr>
          <w:rFonts w:asciiTheme="majorHAnsi" w:hAnsiTheme="majorHAnsi"/>
        </w:rPr>
        <w:t>t</w:t>
      </w:r>
      <w:r w:rsidR="00EC517F" w:rsidRPr="00402B0C">
        <w:rPr>
          <w:rFonts w:asciiTheme="majorHAnsi" w:hAnsiTheme="majorHAnsi"/>
        </w:rPr>
        <w:t>he employment and supply use target</w:t>
      </w:r>
      <w:r w:rsidRPr="00402B0C">
        <w:rPr>
          <w:rFonts w:asciiTheme="majorHAnsi" w:hAnsiTheme="majorHAnsi"/>
        </w:rPr>
        <w:t xml:space="preserve"> that has been agreed with the </w:t>
      </w:r>
      <w:r w:rsidR="000122CA" w:rsidRPr="00402B0C">
        <w:rPr>
          <w:rFonts w:asciiTheme="majorHAnsi" w:hAnsiTheme="majorHAnsi"/>
        </w:rPr>
        <w:t>procuring official</w:t>
      </w:r>
    </w:p>
    <w:p w:rsidR="00EC517F" w:rsidRPr="00402B0C" w:rsidRDefault="00F4277B" w:rsidP="009E6C33">
      <w:pPr>
        <w:pStyle w:val="BulletedListlvl1"/>
        <w:numPr>
          <w:ilvl w:val="0"/>
          <w:numId w:val="13"/>
        </w:numPr>
        <w:rPr>
          <w:rFonts w:asciiTheme="majorHAnsi" w:hAnsiTheme="majorHAnsi"/>
        </w:rPr>
      </w:pPr>
      <w:r w:rsidRPr="00402B0C">
        <w:rPr>
          <w:rFonts w:asciiTheme="majorHAnsi" w:hAnsiTheme="majorHAnsi"/>
        </w:rPr>
        <w:t>the</w:t>
      </w:r>
      <w:r w:rsidR="00C25406" w:rsidRPr="00402B0C">
        <w:rPr>
          <w:rFonts w:asciiTheme="majorHAnsi" w:hAnsiTheme="majorHAnsi"/>
        </w:rPr>
        <w:t xml:space="preserve"> agreed</w:t>
      </w:r>
      <w:r w:rsidRPr="00402B0C">
        <w:rPr>
          <w:rFonts w:asciiTheme="majorHAnsi" w:hAnsiTheme="majorHAnsi"/>
        </w:rPr>
        <w:t xml:space="preserve"> </w:t>
      </w:r>
      <w:r w:rsidR="00EC517F" w:rsidRPr="00402B0C">
        <w:rPr>
          <w:rFonts w:asciiTheme="majorHAnsi" w:hAnsiTheme="majorHAnsi"/>
        </w:rPr>
        <w:t>Indigenous Participation Plan</w:t>
      </w:r>
    </w:p>
    <w:p w:rsidR="00EC517F" w:rsidRDefault="00EC517F" w:rsidP="009E6C33">
      <w:pPr>
        <w:pStyle w:val="BulletedListlvl1"/>
        <w:numPr>
          <w:ilvl w:val="0"/>
          <w:numId w:val="13"/>
        </w:numPr>
        <w:rPr>
          <w:rFonts w:asciiTheme="majorHAnsi" w:hAnsiTheme="majorHAnsi"/>
        </w:rPr>
      </w:pPr>
      <w:r w:rsidRPr="00402B0C">
        <w:rPr>
          <w:rFonts w:asciiTheme="majorHAnsi" w:hAnsiTheme="majorHAnsi"/>
        </w:rPr>
        <w:t xml:space="preserve">a requirement to report </w:t>
      </w:r>
      <w:r w:rsidR="0003644B" w:rsidRPr="00402B0C">
        <w:rPr>
          <w:rFonts w:asciiTheme="majorHAnsi" w:hAnsiTheme="majorHAnsi"/>
        </w:rPr>
        <w:t xml:space="preserve">on progress </w:t>
      </w:r>
      <w:r w:rsidR="00F4277B" w:rsidRPr="00402B0C">
        <w:rPr>
          <w:rFonts w:asciiTheme="majorHAnsi" w:hAnsiTheme="majorHAnsi"/>
        </w:rPr>
        <w:t xml:space="preserve">against the targets </w:t>
      </w:r>
      <w:r w:rsidRPr="00402B0C">
        <w:rPr>
          <w:rFonts w:asciiTheme="majorHAnsi" w:hAnsiTheme="majorHAnsi"/>
        </w:rPr>
        <w:t>via the I</w:t>
      </w:r>
      <w:r w:rsidR="008A1C96" w:rsidRPr="00402B0C">
        <w:rPr>
          <w:rFonts w:asciiTheme="majorHAnsi" w:hAnsiTheme="majorHAnsi"/>
        </w:rPr>
        <w:t>PPRS</w:t>
      </w:r>
    </w:p>
    <w:p w:rsidR="00EC517F" w:rsidRPr="00A92625" w:rsidRDefault="00052CC9" w:rsidP="00D73630">
      <w:pPr>
        <w:pStyle w:val="BulletedListlvl1"/>
        <w:numPr>
          <w:ilvl w:val="0"/>
          <w:numId w:val="13"/>
        </w:numPr>
        <w:rPr>
          <w:rFonts w:asciiTheme="majorHAnsi" w:hAnsiTheme="majorHAnsi"/>
        </w:rPr>
      </w:pPr>
      <w:r>
        <w:rPr>
          <w:rFonts w:asciiTheme="majorHAnsi" w:hAnsiTheme="majorHAnsi"/>
        </w:rPr>
        <w:t xml:space="preserve">that </w:t>
      </w:r>
      <w:r w:rsidR="00A92625" w:rsidRPr="00A92625">
        <w:rPr>
          <w:rFonts w:asciiTheme="majorHAnsi" w:hAnsiTheme="majorHAnsi"/>
        </w:rPr>
        <w:t xml:space="preserve">any confidentiality provision within the contract does not apply to the MMR and the Commonwealth may publish details on the MMR target contained in the contract including </w:t>
      </w:r>
      <w:r w:rsidR="00E82ABA">
        <w:rPr>
          <w:rFonts w:asciiTheme="majorHAnsi" w:hAnsiTheme="majorHAnsi"/>
        </w:rPr>
        <w:t xml:space="preserve">details of </w:t>
      </w:r>
      <w:r w:rsidR="00A92625" w:rsidRPr="00A92625">
        <w:rPr>
          <w:rFonts w:asciiTheme="majorHAnsi" w:hAnsiTheme="majorHAnsi"/>
        </w:rPr>
        <w:t>performance against th</w:t>
      </w:r>
      <w:r w:rsidR="00A92625">
        <w:rPr>
          <w:rFonts w:asciiTheme="majorHAnsi" w:hAnsiTheme="majorHAnsi"/>
        </w:rPr>
        <w:t xml:space="preserve">e </w:t>
      </w:r>
      <w:r w:rsidR="00A92625" w:rsidRPr="00A92625">
        <w:rPr>
          <w:rFonts w:asciiTheme="majorHAnsi" w:hAnsiTheme="majorHAnsi"/>
        </w:rPr>
        <w:t>target</w:t>
      </w:r>
      <w:r w:rsidR="00A92625">
        <w:rPr>
          <w:rFonts w:asciiTheme="majorHAnsi" w:hAnsiTheme="majorHAnsi"/>
        </w:rPr>
        <w:t xml:space="preserve">. </w:t>
      </w:r>
    </w:p>
    <w:p w:rsidR="00D73630" w:rsidRDefault="00D73630" w:rsidP="00EC517F">
      <w:pPr>
        <w:pStyle w:val="BodyText"/>
        <w:rPr>
          <w:rFonts w:asciiTheme="majorHAnsi" w:hAnsiTheme="majorHAnsi"/>
        </w:rPr>
      </w:pPr>
    </w:p>
    <w:p w:rsidR="008A1C96" w:rsidRPr="00402B0C" w:rsidRDefault="00EF792B" w:rsidP="00EC517F">
      <w:pPr>
        <w:pStyle w:val="BodyText"/>
        <w:rPr>
          <w:rFonts w:asciiTheme="majorHAnsi" w:hAnsiTheme="majorHAnsi"/>
        </w:rPr>
      </w:pPr>
      <w:r w:rsidRPr="00402B0C">
        <w:rPr>
          <w:rFonts w:asciiTheme="majorHAnsi" w:hAnsiTheme="majorHAnsi"/>
        </w:rPr>
        <w:t xml:space="preserve">A </w:t>
      </w:r>
      <w:r w:rsidR="00456F5E" w:rsidRPr="00402B0C">
        <w:rPr>
          <w:rFonts w:asciiTheme="majorHAnsi" w:hAnsiTheme="majorHAnsi"/>
        </w:rPr>
        <w:t xml:space="preserve">draft </w:t>
      </w:r>
      <w:r w:rsidRPr="00402B0C">
        <w:rPr>
          <w:rFonts w:asciiTheme="majorHAnsi" w:hAnsiTheme="majorHAnsi"/>
        </w:rPr>
        <w:t xml:space="preserve">form of </w:t>
      </w:r>
      <w:r w:rsidR="00456F5E" w:rsidRPr="00402B0C">
        <w:rPr>
          <w:rFonts w:asciiTheme="majorHAnsi" w:hAnsiTheme="majorHAnsi"/>
        </w:rPr>
        <w:t>contract</w:t>
      </w:r>
      <w:r w:rsidRPr="00402B0C">
        <w:rPr>
          <w:rFonts w:asciiTheme="majorHAnsi" w:hAnsiTheme="majorHAnsi"/>
        </w:rPr>
        <w:t xml:space="preserve"> will be included in</w:t>
      </w:r>
      <w:r w:rsidR="004E2620" w:rsidRPr="00402B0C">
        <w:rPr>
          <w:rFonts w:asciiTheme="majorHAnsi" w:hAnsiTheme="majorHAnsi"/>
        </w:rPr>
        <w:t xml:space="preserve"> the</w:t>
      </w:r>
      <w:r w:rsidR="009866AC">
        <w:rPr>
          <w:rFonts w:asciiTheme="majorHAnsi" w:hAnsiTheme="majorHAnsi"/>
        </w:rPr>
        <w:t xml:space="preserve"> </w:t>
      </w:r>
      <w:r w:rsidR="00D73630">
        <w:rPr>
          <w:rFonts w:asciiTheme="majorHAnsi" w:hAnsiTheme="majorHAnsi"/>
        </w:rPr>
        <w:t>a</w:t>
      </w:r>
      <w:r w:rsidR="004E2620" w:rsidRPr="00402B0C">
        <w:rPr>
          <w:rFonts w:asciiTheme="majorHAnsi" w:hAnsiTheme="majorHAnsi"/>
        </w:rPr>
        <w:t xml:space="preserve">pproach to </w:t>
      </w:r>
      <w:r w:rsidR="00D73630">
        <w:rPr>
          <w:rFonts w:asciiTheme="majorHAnsi" w:hAnsiTheme="majorHAnsi"/>
        </w:rPr>
        <w:t>m</w:t>
      </w:r>
      <w:r w:rsidR="004E2620" w:rsidRPr="00402B0C">
        <w:rPr>
          <w:rFonts w:asciiTheme="majorHAnsi" w:hAnsiTheme="majorHAnsi"/>
        </w:rPr>
        <w:t>arket</w:t>
      </w:r>
      <w:r w:rsidRPr="00402B0C">
        <w:rPr>
          <w:rFonts w:asciiTheme="majorHAnsi" w:hAnsiTheme="majorHAnsi"/>
        </w:rPr>
        <w:t xml:space="preserve"> documentation</w:t>
      </w:r>
      <w:r w:rsidR="00456F5E" w:rsidRPr="00402B0C">
        <w:rPr>
          <w:rFonts w:asciiTheme="majorHAnsi" w:hAnsiTheme="majorHAnsi"/>
        </w:rPr>
        <w:t>. This provides</w:t>
      </w:r>
      <w:r w:rsidR="004E2620" w:rsidRPr="00402B0C">
        <w:rPr>
          <w:rFonts w:asciiTheme="majorHAnsi" w:hAnsiTheme="majorHAnsi"/>
        </w:rPr>
        <w:t xml:space="preserve"> </w:t>
      </w:r>
      <w:r w:rsidRPr="00402B0C">
        <w:rPr>
          <w:rFonts w:asciiTheme="majorHAnsi" w:hAnsiTheme="majorHAnsi"/>
        </w:rPr>
        <w:t xml:space="preserve">potential suppliers an </w:t>
      </w:r>
      <w:r w:rsidR="00456F5E" w:rsidRPr="00402B0C">
        <w:rPr>
          <w:rFonts w:asciiTheme="majorHAnsi" w:hAnsiTheme="majorHAnsi"/>
        </w:rPr>
        <w:t xml:space="preserve">opportunity to </w:t>
      </w:r>
      <w:r w:rsidR="004E2620" w:rsidRPr="00402B0C">
        <w:rPr>
          <w:rFonts w:asciiTheme="majorHAnsi" w:hAnsiTheme="majorHAnsi"/>
        </w:rPr>
        <w:t xml:space="preserve">see what conditions </w:t>
      </w:r>
      <w:r w:rsidR="00456F5E" w:rsidRPr="00402B0C">
        <w:rPr>
          <w:rFonts w:asciiTheme="majorHAnsi" w:hAnsiTheme="majorHAnsi"/>
        </w:rPr>
        <w:t xml:space="preserve">will be </w:t>
      </w:r>
      <w:r w:rsidR="004E2620" w:rsidRPr="00402B0C">
        <w:rPr>
          <w:rFonts w:asciiTheme="majorHAnsi" w:hAnsiTheme="majorHAnsi"/>
        </w:rPr>
        <w:t xml:space="preserve">required </w:t>
      </w:r>
      <w:r w:rsidR="00456F5E" w:rsidRPr="00402B0C">
        <w:rPr>
          <w:rFonts w:asciiTheme="majorHAnsi" w:hAnsiTheme="majorHAnsi"/>
        </w:rPr>
        <w:t>under the contract</w:t>
      </w:r>
      <w:r w:rsidR="00E82ABA">
        <w:rPr>
          <w:rFonts w:asciiTheme="majorHAnsi" w:hAnsiTheme="majorHAnsi"/>
        </w:rPr>
        <w:t xml:space="preserve">. </w:t>
      </w:r>
    </w:p>
    <w:p w:rsidR="00EC517F" w:rsidRPr="00402B0C" w:rsidRDefault="00EF792B" w:rsidP="00EC517F">
      <w:pPr>
        <w:pStyle w:val="BodyText"/>
        <w:rPr>
          <w:rFonts w:asciiTheme="majorHAnsi" w:hAnsiTheme="majorHAnsi"/>
        </w:rPr>
      </w:pPr>
      <w:r w:rsidRPr="00402B0C">
        <w:rPr>
          <w:rFonts w:asciiTheme="majorHAnsi" w:hAnsiTheme="majorHAnsi"/>
        </w:rPr>
        <w:t>The procuring official may choose to incorporate the</w:t>
      </w:r>
      <w:r w:rsidR="000F2997" w:rsidRPr="00402B0C">
        <w:rPr>
          <w:rFonts w:asciiTheme="majorHAnsi" w:hAnsiTheme="majorHAnsi"/>
        </w:rPr>
        <w:t xml:space="preserve"> </w:t>
      </w:r>
      <w:hyperlink r:id="rId31" w:history="1">
        <w:r w:rsidR="000775AD" w:rsidRPr="00402B0C">
          <w:rPr>
            <w:rStyle w:val="Hyperlink"/>
            <w:rFonts w:asciiTheme="majorHAnsi" w:hAnsiTheme="majorHAnsi"/>
            <w:lang w:val="en-US"/>
          </w:rPr>
          <w:t>m</w:t>
        </w:r>
        <w:r w:rsidR="00EC517F" w:rsidRPr="00402B0C">
          <w:rPr>
            <w:rStyle w:val="Hyperlink"/>
            <w:rFonts w:asciiTheme="majorHAnsi" w:hAnsiTheme="majorHAnsi"/>
            <w:lang w:val="en-US"/>
          </w:rPr>
          <w:t>odel contract clauses</w:t>
        </w:r>
      </w:hyperlink>
      <w:r w:rsidR="00EC517F" w:rsidRPr="00402B0C">
        <w:rPr>
          <w:rFonts w:asciiTheme="majorHAnsi" w:hAnsiTheme="majorHAnsi"/>
          <w:lang w:val="en-US"/>
        </w:rPr>
        <w:t xml:space="preserve"> available on the </w:t>
      </w:r>
      <w:r w:rsidR="00EC517F" w:rsidRPr="00402B0C">
        <w:rPr>
          <w:rFonts w:asciiTheme="majorHAnsi" w:hAnsiTheme="majorHAnsi"/>
          <w:i/>
          <w:lang w:val="en-US"/>
        </w:rPr>
        <w:t>NIAA</w:t>
      </w:r>
      <w:r w:rsidR="00EC517F" w:rsidRPr="00402B0C">
        <w:rPr>
          <w:rFonts w:asciiTheme="majorHAnsi" w:hAnsiTheme="majorHAnsi"/>
          <w:lang w:val="en-US"/>
        </w:rPr>
        <w:t xml:space="preserve"> website.</w:t>
      </w:r>
    </w:p>
    <w:p w:rsidR="003E0B9C" w:rsidRPr="000B514E" w:rsidRDefault="009A47B6" w:rsidP="000B514E">
      <w:pPr>
        <w:pStyle w:val="Heading3"/>
      </w:pPr>
      <w:bookmarkStart w:id="41" w:name="_Toc43385064"/>
      <w:r>
        <w:t>5</w:t>
      </w:r>
      <w:r w:rsidR="000B514E" w:rsidRPr="000B514E">
        <w:t xml:space="preserve">.1 </w:t>
      </w:r>
      <w:r w:rsidR="003E0B9C" w:rsidRPr="000B514E">
        <w:t>Successful Tender</w:t>
      </w:r>
      <w:r w:rsidR="008F5D55">
        <w:t>er</w:t>
      </w:r>
      <w:r w:rsidR="003E0B9C" w:rsidRPr="000B514E">
        <w:t>s - Contract Negotiations</w:t>
      </w:r>
      <w:bookmarkEnd w:id="41"/>
      <w:r w:rsidR="003E0B9C" w:rsidRPr="000B514E">
        <w:t xml:space="preserve"> </w:t>
      </w:r>
    </w:p>
    <w:p w:rsidR="008A1C96" w:rsidRPr="008A1C96" w:rsidRDefault="009A47B6" w:rsidP="00402B0C">
      <w:pPr>
        <w:pStyle w:val="Heading4"/>
      </w:pPr>
      <w:r>
        <w:t>5</w:t>
      </w:r>
      <w:r w:rsidR="000B514E" w:rsidRPr="000B514E">
        <w:t xml:space="preserve">.1.1 </w:t>
      </w:r>
      <w:r w:rsidR="008212C7" w:rsidRPr="000B514E">
        <w:t>Agreeing and managing the mandatory minimum requirements</w:t>
      </w:r>
    </w:p>
    <w:p w:rsidR="008212C7" w:rsidRPr="008A1C96" w:rsidRDefault="00EF792B" w:rsidP="008A1C96">
      <w:pPr>
        <w:pStyle w:val="BodyText"/>
        <w:rPr>
          <w:rFonts w:asciiTheme="majorHAnsi" w:hAnsiTheme="majorHAnsi"/>
        </w:rPr>
      </w:pPr>
      <w:r w:rsidRPr="008A1C96">
        <w:rPr>
          <w:rFonts w:asciiTheme="majorHAnsi" w:hAnsiTheme="majorHAnsi"/>
        </w:rPr>
        <w:t>If you</w:t>
      </w:r>
      <w:r w:rsidR="00103275">
        <w:rPr>
          <w:rFonts w:asciiTheme="majorHAnsi" w:hAnsiTheme="majorHAnsi"/>
        </w:rPr>
        <w:t>r business</w:t>
      </w:r>
      <w:r w:rsidRPr="008A1C96">
        <w:rPr>
          <w:rFonts w:asciiTheme="majorHAnsi" w:hAnsiTheme="majorHAnsi"/>
        </w:rPr>
        <w:t xml:space="preserve"> </w:t>
      </w:r>
      <w:r w:rsidR="00A92625">
        <w:rPr>
          <w:rFonts w:asciiTheme="majorHAnsi" w:hAnsiTheme="majorHAnsi"/>
        </w:rPr>
        <w:t xml:space="preserve">is </w:t>
      </w:r>
      <w:r w:rsidRPr="008A1C96">
        <w:rPr>
          <w:rFonts w:asciiTheme="majorHAnsi" w:hAnsiTheme="majorHAnsi"/>
        </w:rPr>
        <w:t xml:space="preserve">awarded a contract </w:t>
      </w:r>
      <w:r w:rsidR="00103275">
        <w:rPr>
          <w:rFonts w:asciiTheme="majorHAnsi" w:hAnsiTheme="majorHAnsi"/>
        </w:rPr>
        <w:t xml:space="preserve">it </w:t>
      </w:r>
      <w:r w:rsidR="008212C7" w:rsidRPr="008A1C96">
        <w:rPr>
          <w:rFonts w:asciiTheme="majorHAnsi" w:hAnsiTheme="majorHAnsi"/>
        </w:rPr>
        <w:t xml:space="preserve">will work closely with the </w:t>
      </w:r>
      <w:r w:rsidR="000122CA" w:rsidRPr="008A1C96">
        <w:rPr>
          <w:rFonts w:asciiTheme="majorHAnsi" w:hAnsiTheme="majorHAnsi"/>
        </w:rPr>
        <w:t>procuring official and contract m</w:t>
      </w:r>
      <w:r w:rsidR="003C7E5E" w:rsidRPr="008A1C96">
        <w:rPr>
          <w:rFonts w:asciiTheme="majorHAnsi" w:hAnsiTheme="majorHAnsi"/>
        </w:rPr>
        <w:t>anager</w:t>
      </w:r>
      <w:r w:rsidR="008212C7" w:rsidRPr="008A1C96">
        <w:rPr>
          <w:rFonts w:asciiTheme="majorHAnsi" w:hAnsiTheme="majorHAnsi"/>
        </w:rPr>
        <w:t xml:space="preserve"> to agree and manage the contract, including the MMR targets.</w:t>
      </w:r>
    </w:p>
    <w:p w:rsidR="008212C7" w:rsidRPr="000B514E" w:rsidRDefault="009A47B6" w:rsidP="000B514E">
      <w:pPr>
        <w:pStyle w:val="Heading4"/>
      </w:pPr>
      <w:r>
        <w:t>5</w:t>
      </w:r>
      <w:r w:rsidR="000B514E" w:rsidRPr="000B514E">
        <w:t xml:space="preserve">.1.2 </w:t>
      </w:r>
      <w:r w:rsidR="008212C7" w:rsidRPr="000B514E">
        <w:t>Negotiating Indigenous participation targets</w:t>
      </w:r>
    </w:p>
    <w:p w:rsidR="001325AA" w:rsidRDefault="008212C7">
      <w:pPr>
        <w:rPr>
          <w:rFonts w:asciiTheme="majorHAnsi" w:eastAsiaTheme="majorEastAsia" w:hAnsiTheme="majorHAnsi" w:cstheme="majorBidi"/>
          <w:color w:val="DD7500" w:themeColor="accent4"/>
          <w:sz w:val="30"/>
          <w:szCs w:val="30"/>
        </w:rPr>
      </w:pPr>
      <w:r w:rsidRPr="00402B0C">
        <w:rPr>
          <w:rFonts w:asciiTheme="majorHAnsi" w:hAnsiTheme="majorHAnsi"/>
        </w:rPr>
        <w:t xml:space="preserve">Negotiation and agreement on </w:t>
      </w:r>
      <w:r w:rsidR="00A92625">
        <w:rPr>
          <w:rFonts w:asciiTheme="majorHAnsi" w:hAnsiTheme="majorHAnsi"/>
        </w:rPr>
        <w:t xml:space="preserve">an </w:t>
      </w:r>
      <w:r w:rsidRPr="00402B0C">
        <w:rPr>
          <w:rFonts w:asciiTheme="majorHAnsi" w:hAnsiTheme="majorHAnsi"/>
        </w:rPr>
        <w:t xml:space="preserve">appropriate MMR target will be part of the contract negotiation process with the </w:t>
      </w:r>
      <w:r w:rsidR="000122CA" w:rsidRPr="00402B0C">
        <w:rPr>
          <w:rFonts w:asciiTheme="majorHAnsi" w:hAnsiTheme="majorHAnsi"/>
        </w:rPr>
        <w:t>procuring of</w:t>
      </w:r>
      <w:r w:rsidR="003C7E5E" w:rsidRPr="00402B0C">
        <w:rPr>
          <w:rFonts w:asciiTheme="majorHAnsi" w:hAnsiTheme="majorHAnsi"/>
        </w:rPr>
        <w:t>ficial</w:t>
      </w:r>
      <w:r w:rsidRPr="00402B0C">
        <w:rPr>
          <w:rFonts w:asciiTheme="majorHAnsi" w:hAnsiTheme="majorHAnsi"/>
        </w:rPr>
        <w:t xml:space="preserve">. </w:t>
      </w:r>
      <w:r w:rsidR="00103275">
        <w:rPr>
          <w:rFonts w:asciiTheme="majorHAnsi" w:hAnsiTheme="majorHAnsi"/>
        </w:rPr>
        <w:t>The</w:t>
      </w:r>
      <w:r w:rsidRPr="00402B0C">
        <w:rPr>
          <w:rFonts w:asciiTheme="majorHAnsi" w:hAnsiTheme="majorHAnsi"/>
        </w:rPr>
        <w:t xml:space="preserve"> </w:t>
      </w:r>
      <w:r w:rsidR="00EF792B" w:rsidRPr="00402B0C">
        <w:rPr>
          <w:rFonts w:asciiTheme="majorHAnsi" w:hAnsiTheme="majorHAnsi"/>
        </w:rPr>
        <w:t xml:space="preserve">Indigenous Participation </w:t>
      </w:r>
      <w:r w:rsidRPr="00402B0C">
        <w:rPr>
          <w:rFonts w:asciiTheme="majorHAnsi" w:hAnsiTheme="majorHAnsi"/>
        </w:rPr>
        <w:t>Plan will provide a basis for these neg</w:t>
      </w:r>
      <w:r w:rsidR="00C9209F" w:rsidRPr="00402B0C">
        <w:rPr>
          <w:rFonts w:asciiTheme="majorHAnsi" w:hAnsiTheme="majorHAnsi"/>
        </w:rPr>
        <w:t xml:space="preserve">otiations, however your </w:t>
      </w:r>
      <w:r w:rsidR="009A0F89" w:rsidRPr="00402B0C">
        <w:rPr>
          <w:rFonts w:asciiTheme="majorHAnsi" w:hAnsiTheme="majorHAnsi"/>
        </w:rPr>
        <w:t>business</w:t>
      </w:r>
      <w:r w:rsidRPr="00402B0C">
        <w:rPr>
          <w:rFonts w:asciiTheme="majorHAnsi" w:hAnsiTheme="majorHAnsi"/>
        </w:rPr>
        <w:t xml:space="preserve"> or the </w:t>
      </w:r>
      <w:r w:rsidR="000122CA" w:rsidRPr="00402B0C">
        <w:rPr>
          <w:rFonts w:asciiTheme="majorHAnsi" w:hAnsiTheme="majorHAnsi"/>
        </w:rPr>
        <w:t>procuring o</w:t>
      </w:r>
      <w:r w:rsidR="003C7E5E" w:rsidRPr="00402B0C">
        <w:rPr>
          <w:rFonts w:asciiTheme="majorHAnsi" w:hAnsiTheme="majorHAnsi"/>
        </w:rPr>
        <w:t xml:space="preserve">fficial </w:t>
      </w:r>
      <w:r w:rsidRPr="00402B0C">
        <w:rPr>
          <w:rFonts w:asciiTheme="majorHAnsi" w:hAnsiTheme="majorHAnsi"/>
        </w:rPr>
        <w:t>may wish to negotiate changes to these targets (consistent with the IPP)</w:t>
      </w:r>
      <w:r w:rsidR="00A92625">
        <w:rPr>
          <w:rFonts w:asciiTheme="majorHAnsi" w:hAnsiTheme="majorHAnsi"/>
        </w:rPr>
        <w:t xml:space="preserve"> during the life of the contract</w:t>
      </w:r>
      <w:r w:rsidRPr="00402B0C">
        <w:rPr>
          <w:rFonts w:asciiTheme="majorHAnsi" w:hAnsiTheme="majorHAnsi"/>
        </w:rPr>
        <w:t>.</w:t>
      </w:r>
      <w:r w:rsidR="00EE1222" w:rsidDel="00EE1222">
        <w:rPr>
          <w:rFonts w:asciiTheme="majorHAnsi" w:hAnsiTheme="majorHAnsi"/>
        </w:rPr>
        <w:t xml:space="preserve"> </w:t>
      </w:r>
    </w:p>
    <w:p w:rsidR="009866AC" w:rsidRDefault="009866AC">
      <w:pPr>
        <w:rPr>
          <w:rFonts w:asciiTheme="majorHAnsi" w:eastAsiaTheme="majorEastAsia" w:hAnsiTheme="majorHAnsi" w:cstheme="majorBidi"/>
          <w:color w:val="DD7500" w:themeColor="accent4"/>
          <w:sz w:val="30"/>
          <w:szCs w:val="30"/>
        </w:rPr>
      </w:pPr>
      <w:bookmarkStart w:id="42" w:name="_Toc43385065"/>
      <w:r>
        <w:br w:type="page"/>
      </w:r>
    </w:p>
    <w:p w:rsidR="008F5D55" w:rsidRDefault="009A47B6">
      <w:pPr>
        <w:pStyle w:val="Heading3"/>
      </w:pPr>
      <w:r>
        <w:lastRenderedPageBreak/>
        <w:t>5</w:t>
      </w:r>
      <w:r w:rsidR="008F5D55">
        <w:t>.2</w:t>
      </w:r>
      <w:r w:rsidR="008F5D55">
        <w:tab/>
        <w:t>Reporting</w:t>
      </w:r>
      <w:r w:rsidR="002F74E5">
        <w:t xml:space="preserve"> progress</w:t>
      </w:r>
      <w:r w:rsidR="00C600E6">
        <w:t xml:space="preserve"> against t</w:t>
      </w:r>
      <w:r w:rsidR="008F5D55">
        <w:t>argets</w:t>
      </w:r>
      <w:bookmarkEnd w:id="42"/>
    </w:p>
    <w:tbl>
      <w:tblPr>
        <w:tblStyle w:val="NIAADefaultTableStyle"/>
        <w:tblW w:w="0" w:type="auto"/>
        <w:tblLook w:val="04A0" w:firstRow="1" w:lastRow="0" w:firstColumn="1" w:lastColumn="0" w:noHBand="0" w:noVBand="1"/>
      </w:tblPr>
      <w:tblGrid>
        <w:gridCol w:w="5102"/>
        <w:gridCol w:w="5102"/>
      </w:tblGrid>
      <w:tr w:rsidR="00B31183" w:rsidRPr="00A82FD7" w:rsidTr="00E07D66">
        <w:trPr>
          <w:cnfStyle w:val="100000000000" w:firstRow="1" w:lastRow="0" w:firstColumn="0" w:lastColumn="0" w:oddVBand="0" w:evenVBand="0" w:oddHBand="0" w:evenHBand="0" w:firstRowFirstColumn="0" w:firstRowLastColumn="0" w:lastRowFirstColumn="0" w:lastRowLastColumn="0"/>
        </w:trPr>
        <w:tc>
          <w:tcPr>
            <w:tcW w:w="5102" w:type="dxa"/>
          </w:tcPr>
          <w:p w:rsidR="00B31183" w:rsidRPr="00A82FD7" w:rsidRDefault="00B31183" w:rsidP="00E07D66">
            <w:pPr>
              <w:pStyle w:val="TableBody"/>
            </w:pPr>
            <w:r w:rsidRPr="00A82FD7">
              <w:t xml:space="preserve">Table </w:t>
            </w:r>
            <w:r w:rsidR="00D73630">
              <w:t>3</w:t>
            </w:r>
          </w:p>
          <w:p w:rsidR="00B31183" w:rsidRPr="00A82FD7" w:rsidRDefault="00B31183" w:rsidP="00E07D66">
            <w:pPr>
              <w:pStyle w:val="TableBody"/>
            </w:pPr>
            <w:r w:rsidRPr="00A82FD7">
              <w:t>Contract manager reporting obligations</w:t>
            </w:r>
          </w:p>
        </w:tc>
        <w:tc>
          <w:tcPr>
            <w:tcW w:w="5102" w:type="dxa"/>
          </w:tcPr>
          <w:p w:rsidR="00B31183" w:rsidRPr="00A82FD7" w:rsidRDefault="00B31183" w:rsidP="00E07D66">
            <w:pPr>
              <w:pStyle w:val="TableBody"/>
            </w:pPr>
          </w:p>
          <w:p w:rsidR="00B31183" w:rsidRPr="00A82FD7" w:rsidRDefault="00B31183" w:rsidP="00E07D66">
            <w:pPr>
              <w:pStyle w:val="TableBody"/>
            </w:pPr>
            <w:r w:rsidRPr="00A82FD7">
              <w:t>Supplier’s quarterly reporting obligations</w:t>
            </w:r>
          </w:p>
        </w:tc>
      </w:tr>
      <w:tr w:rsidR="00B31183" w:rsidRPr="00A82FD7" w:rsidTr="00E07D66">
        <w:trPr>
          <w:cnfStyle w:val="000000100000" w:firstRow="0" w:lastRow="0" w:firstColumn="0" w:lastColumn="0" w:oddVBand="0" w:evenVBand="0" w:oddHBand="1" w:evenHBand="0" w:firstRowFirstColumn="0" w:firstRowLastColumn="0" w:lastRowFirstColumn="0" w:lastRowLastColumn="0"/>
        </w:trPr>
        <w:tc>
          <w:tcPr>
            <w:tcW w:w="5102" w:type="dxa"/>
          </w:tcPr>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Agreed MMR targets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Reporting start date </w:t>
            </w:r>
          </w:p>
          <w:p w:rsidR="008275BA" w:rsidRPr="00A82FD7" w:rsidRDefault="008275BA" w:rsidP="008275BA">
            <w:pPr>
              <w:pStyle w:val="BulletedListlvl1"/>
              <w:numPr>
                <w:ilvl w:val="0"/>
                <w:numId w:val="2"/>
              </w:numPr>
              <w:ind w:left="566"/>
              <w:rPr>
                <w:rFonts w:asciiTheme="majorHAnsi" w:hAnsiTheme="majorHAnsi"/>
              </w:rPr>
            </w:pPr>
            <w:r w:rsidRPr="00A82FD7">
              <w:rPr>
                <w:rFonts w:asciiTheme="majorHAnsi" w:hAnsiTheme="majorHAnsi"/>
              </w:rPr>
              <w:t xml:space="preserve">Delivery postcode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Suppliers’ contact details</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Acknowledgement that the contract manager has reviewed the quarterly performance report</w:t>
            </w:r>
            <w:r w:rsidR="008275BA">
              <w:rPr>
                <w:rFonts w:asciiTheme="majorHAnsi" w:hAnsiTheme="majorHAnsi"/>
              </w:rPr>
              <w:t xml:space="preserve"> and optional comments.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Comments against the final performance report</w:t>
            </w:r>
          </w:p>
        </w:tc>
        <w:tc>
          <w:tcPr>
            <w:tcW w:w="5102" w:type="dxa"/>
          </w:tcPr>
          <w:p w:rsidR="00B31183" w:rsidRPr="00A82FD7" w:rsidRDefault="00B31183" w:rsidP="00E07D66">
            <w:pPr>
              <w:pStyle w:val="TableBody"/>
              <w:rPr>
                <w:rFonts w:asciiTheme="majorHAnsi" w:hAnsiTheme="majorHAnsi"/>
              </w:rPr>
            </w:pPr>
            <w:r w:rsidRPr="00A82FD7">
              <w:rPr>
                <w:rFonts w:asciiTheme="majorHAnsi" w:hAnsiTheme="majorHAnsi"/>
              </w:rPr>
              <w:t>Employment target:</w:t>
            </w:r>
            <w:r w:rsidR="002D14F6">
              <w:rPr>
                <w:rFonts w:asciiTheme="majorHAnsi" w:hAnsiTheme="majorHAnsi"/>
              </w:rPr>
              <w:t xml:space="preserve"> contract based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FTE total workforce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FTE Indigenous workforce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Subcontractors FTE total workforce</w:t>
            </w:r>
          </w:p>
          <w:p w:rsidR="00B31183"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Subcontractors FTE Indigenous workforce </w:t>
            </w:r>
          </w:p>
          <w:p w:rsidR="002D14F6" w:rsidRPr="00A82FD7" w:rsidRDefault="002D14F6" w:rsidP="002D14F6">
            <w:pPr>
              <w:pStyle w:val="TableBody"/>
              <w:rPr>
                <w:rFonts w:asciiTheme="majorHAnsi" w:hAnsiTheme="majorHAnsi"/>
              </w:rPr>
            </w:pPr>
            <w:r w:rsidRPr="00A82FD7">
              <w:rPr>
                <w:rFonts w:asciiTheme="majorHAnsi" w:hAnsiTheme="majorHAnsi"/>
              </w:rPr>
              <w:t>Employment target:</w:t>
            </w:r>
            <w:r>
              <w:rPr>
                <w:rFonts w:asciiTheme="majorHAnsi" w:hAnsiTheme="majorHAnsi"/>
              </w:rPr>
              <w:t xml:space="preserve"> organisation  based </w:t>
            </w:r>
          </w:p>
          <w:p w:rsidR="002D14F6" w:rsidRPr="00A82FD7" w:rsidRDefault="002D14F6" w:rsidP="002D14F6">
            <w:pPr>
              <w:pStyle w:val="BulletedListlvl1"/>
              <w:numPr>
                <w:ilvl w:val="0"/>
                <w:numId w:val="2"/>
              </w:numPr>
              <w:ind w:left="566"/>
              <w:rPr>
                <w:rFonts w:asciiTheme="majorHAnsi" w:hAnsiTheme="majorHAnsi"/>
              </w:rPr>
            </w:pPr>
            <w:r w:rsidRPr="00A82FD7">
              <w:rPr>
                <w:rFonts w:asciiTheme="majorHAnsi" w:hAnsiTheme="majorHAnsi"/>
              </w:rPr>
              <w:t xml:space="preserve">FTE total </w:t>
            </w:r>
            <w:r>
              <w:rPr>
                <w:rFonts w:asciiTheme="majorHAnsi" w:hAnsiTheme="majorHAnsi"/>
              </w:rPr>
              <w:t xml:space="preserve">Australian based </w:t>
            </w:r>
            <w:r w:rsidRPr="00A82FD7">
              <w:rPr>
                <w:rFonts w:asciiTheme="majorHAnsi" w:hAnsiTheme="majorHAnsi"/>
              </w:rPr>
              <w:t xml:space="preserve">workforce </w:t>
            </w:r>
          </w:p>
          <w:p w:rsidR="002D14F6" w:rsidRPr="00A82FD7" w:rsidRDefault="002D14F6" w:rsidP="002D14F6">
            <w:pPr>
              <w:pStyle w:val="BulletedListlvl1"/>
              <w:numPr>
                <w:ilvl w:val="0"/>
                <w:numId w:val="2"/>
              </w:numPr>
              <w:ind w:left="566"/>
              <w:rPr>
                <w:rFonts w:asciiTheme="majorHAnsi" w:hAnsiTheme="majorHAnsi"/>
              </w:rPr>
            </w:pPr>
            <w:r w:rsidRPr="00A82FD7">
              <w:rPr>
                <w:rFonts w:asciiTheme="majorHAnsi" w:hAnsiTheme="majorHAnsi"/>
              </w:rPr>
              <w:t>FTE</w:t>
            </w:r>
            <w:r>
              <w:rPr>
                <w:rFonts w:asciiTheme="majorHAnsi" w:hAnsiTheme="majorHAnsi"/>
              </w:rPr>
              <w:t xml:space="preserve"> total </w:t>
            </w:r>
            <w:r w:rsidRPr="00A82FD7">
              <w:rPr>
                <w:rFonts w:asciiTheme="majorHAnsi" w:hAnsiTheme="majorHAnsi"/>
              </w:rPr>
              <w:t xml:space="preserve">Indigenous workforce </w:t>
            </w:r>
          </w:p>
          <w:p w:rsidR="002D14F6" w:rsidRPr="00A82FD7" w:rsidRDefault="002D14F6" w:rsidP="00DC285F">
            <w:pPr>
              <w:pStyle w:val="BulletedListlvl1"/>
              <w:ind w:left="0" w:firstLine="0"/>
              <w:rPr>
                <w:rFonts w:asciiTheme="majorHAnsi" w:hAnsiTheme="majorHAnsi"/>
              </w:rPr>
            </w:pPr>
          </w:p>
        </w:tc>
      </w:tr>
      <w:tr w:rsidR="00B31183" w:rsidRPr="00A82FD7" w:rsidTr="00E07D66">
        <w:trPr>
          <w:cnfStyle w:val="000000010000" w:firstRow="0" w:lastRow="0" w:firstColumn="0" w:lastColumn="0" w:oddVBand="0" w:evenVBand="0" w:oddHBand="0" w:evenHBand="1" w:firstRowFirstColumn="0" w:firstRowLastColumn="0" w:lastRowFirstColumn="0" w:lastRowLastColumn="0"/>
        </w:trPr>
        <w:tc>
          <w:tcPr>
            <w:tcW w:w="5102" w:type="dxa"/>
          </w:tcPr>
          <w:p w:rsidR="00B31183" w:rsidRPr="00A82FD7" w:rsidRDefault="00B31183" w:rsidP="00E07D66">
            <w:pPr>
              <w:pStyle w:val="TableBody"/>
              <w:rPr>
                <w:rFonts w:asciiTheme="majorHAnsi" w:hAnsiTheme="majorHAnsi"/>
              </w:rPr>
            </w:pPr>
          </w:p>
        </w:tc>
        <w:tc>
          <w:tcPr>
            <w:tcW w:w="5102" w:type="dxa"/>
          </w:tcPr>
          <w:p w:rsidR="00B31183" w:rsidRPr="00A82FD7" w:rsidRDefault="00B31183" w:rsidP="00E07D66">
            <w:pPr>
              <w:pStyle w:val="TableBody"/>
              <w:rPr>
                <w:rFonts w:asciiTheme="majorHAnsi" w:hAnsiTheme="majorHAnsi"/>
              </w:rPr>
            </w:pPr>
            <w:r w:rsidRPr="00A82FD7">
              <w:rPr>
                <w:rFonts w:asciiTheme="majorHAnsi" w:hAnsiTheme="majorHAnsi"/>
              </w:rPr>
              <w:t>Supply-use target:</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Australian Business Number </w:t>
            </w:r>
            <w:r w:rsidR="002D14F6">
              <w:rPr>
                <w:rFonts w:asciiTheme="majorHAnsi" w:hAnsiTheme="majorHAnsi"/>
              </w:rPr>
              <w:t xml:space="preserve">or </w:t>
            </w:r>
            <w:r w:rsidRPr="00A82FD7">
              <w:rPr>
                <w:rFonts w:asciiTheme="majorHAnsi" w:hAnsiTheme="majorHAnsi"/>
              </w:rPr>
              <w:t>name of enterprise</w:t>
            </w:r>
            <w:r w:rsidR="002D14F6">
              <w:rPr>
                <w:rFonts w:asciiTheme="majorHAnsi" w:hAnsiTheme="majorHAnsi"/>
              </w:rPr>
              <w:t xml:space="preserve"> if no ABN exists.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 xml:space="preserve">Value of contract/purchase </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Date of contract/purchase</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Description of goods/service purchased</w:t>
            </w:r>
          </w:p>
          <w:p w:rsidR="00B31183" w:rsidRPr="00A82FD7" w:rsidRDefault="00B31183" w:rsidP="00B31183">
            <w:pPr>
              <w:pStyle w:val="BulletedListlvl1"/>
              <w:numPr>
                <w:ilvl w:val="0"/>
                <w:numId w:val="2"/>
              </w:numPr>
              <w:ind w:left="566"/>
              <w:rPr>
                <w:rFonts w:asciiTheme="majorHAnsi" w:hAnsiTheme="majorHAnsi"/>
              </w:rPr>
            </w:pPr>
            <w:r w:rsidRPr="00A82FD7">
              <w:rPr>
                <w:rFonts w:asciiTheme="majorHAnsi" w:hAnsiTheme="majorHAnsi"/>
              </w:rPr>
              <w:t>Whether the contract/purchase was awarded by the supplier or by a subcontractor within their supply chain (direct or indirect contract/purchase)</w:t>
            </w:r>
          </w:p>
        </w:tc>
      </w:tr>
    </w:tbl>
    <w:p w:rsidR="00B31183" w:rsidRDefault="00B31183" w:rsidP="001325AA">
      <w:pPr>
        <w:pStyle w:val="BodyText"/>
      </w:pPr>
    </w:p>
    <w:p w:rsidR="00B31183" w:rsidRPr="00A82FD7" w:rsidRDefault="00B31183" w:rsidP="00B31183">
      <w:pPr>
        <w:pStyle w:val="BodyText"/>
        <w:rPr>
          <w:rFonts w:asciiTheme="majorHAnsi" w:hAnsiTheme="majorHAnsi"/>
        </w:rPr>
      </w:pPr>
      <w:r w:rsidRPr="00A82FD7">
        <w:rPr>
          <w:rFonts w:asciiTheme="majorHAnsi" w:hAnsiTheme="majorHAnsi"/>
        </w:rPr>
        <w:t xml:space="preserve">The IPPRS will cross reference the ABN with Supply Nation and ORIC databases to confirm </w:t>
      </w:r>
      <w:r>
        <w:rPr>
          <w:rFonts w:asciiTheme="majorHAnsi" w:hAnsiTheme="majorHAnsi"/>
        </w:rPr>
        <w:t>a</w:t>
      </w:r>
      <w:r w:rsidRPr="00A82FD7">
        <w:rPr>
          <w:rFonts w:asciiTheme="majorHAnsi" w:hAnsiTheme="majorHAnsi"/>
        </w:rPr>
        <w:t xml:space="preserve"> business is verified as </w:t>
      </w:r>
      <w:r>
        <w:rPr>
          <w:rFonts w:asciiTheme="majorHAnsi" w:hAnsiTheme="majorHAnsi"/>
        </w:rPr>
        <w:t>I</w:t>
      </w:r>
      <w:r w:rsidRPr="00A82FD7">
        <w:rPr>
          <w:rFonts w:asciiTheme="majorHAnsi" w:hAnsiTheme="majorHAnsi"/>
        </w:rPr>
        <w:t xml:space="preserve">ndigenous owned.  </w:t>
      </w:r>
    </w:p>
    <w:p w:rsidR="00B31183" w:rsidRPr="00A82FD7" w:rsidRDefault="00B31183" w:rsidP="00B31183">
      <w:pPr>
        <w:pStyle w:val="BodyText"/>
        <w:rPr>
          <w:rFonts w:asciiTheme="majorHAnsi" w:hAnsiTheme="majorHAnsi"/>
        </w:rPr>
      </w:pPr>
      <w:r w:rsidRPr="00A82FD7">
        <w:rPr>
          <w:rFonts w:asciiTheme="majorHAnsi" w:hAnsiTheme="majorHAnsi"/>
        </w:rPr>
        <w:t xml:space="preserve">The IPPRS will issue a reminder to the supplier and contract manager </w:t>
      </w:r>
      <w:r>
        <w:rPr>
          <w:rFonts w:asciiTheme="majorHAnsi" w:hAnsiTheme="majorHAnsi"/>
        </w:rPr>
        <w:t xml:space="preserve">(as </w:t>
      </w:r>
      <w:r w:rsidRPr="00A82FD7">
        <w:rPr>
          <w:rFonts w:asciiTheme="majorHAnsi" w:hAnsiTheme="majorHAnsi"/>
        </w:rPr>
        <w:t>listed in the IPP</w:t>
      </w:r>
      <w:r>
        <w:rPr>
          <w:rFonts w:asciiTheme="majorHAnsi" w:hAnsiTheme="majorHAnsi"/>
        </w:rPr>
        <w:t xml:space="preserve">RS) </w:t>
      </w:r>
      <w:r w:rsidRPr="00A82FD7">
        <w:rPr>
          <w:rFonts w:asciiTheme="majorHAnsi" w:hAnsiTheme="majorHAnsi"/>
        </w:rPr>
        <w:t>by email when reports are due. Please ensure that the contact details of the person</w:t>
      </w:r>
      <w:r w:rsidR="00225331">
        <w:rPr>
          <w:rFonts w:asciiTheme="majorHAnsi" w:hAnsiTheme="majorHAnsi"/>
        </w:rPr>
        <w:t xml:space="preserve"> or area in your organisation</w:t>
      </w:r>
      <w:r w:rsidRPr="00A82FD7">
        <w:rPr>
          <w:rFonts w:asciiTheme="majorHAnsi" w:hAnsiTheme="majorHAnsi"/>
        </w:rPr>
        <w:t xml:space="preserve"> responsible for reporting are kept up-to-date in the IPPRS. </w:t>
      </w:r>
    </w:p>
    <w:p w:rsidR="008212C7" w:rsidRPr="000B514E" w:rsidRDefault="009A47B6">
      <w:pPr>
        <w:pStyle w:val="Heading4"/>
      </w:pPr>
      <w:r>
        <w:t>5</w:t>
      </w:r>
      <w:r w:rsidR="000B514E" w:rsidRPr="000B514E">
        <w:t>.</w:t>
      </w:r>
      <w:r w:rsidR="002F74E5">
        <w:t>2</w:t>
      </w:r>
      <w:r w:rsidR="000B514E" w:rsidRPr="000B514E">
        <w:t>.</w:t>
      </w:r>
      <w:r w:rsidR="00BA64A4">
        <w:t>1</w:t>
      </w:r>
      <w:r w:rsidR="000B514E" w:rsidRPr="000B514E">
        <w:t xml:space="preserve"> </w:t>
      </w:r>
      <w:r w:rsidR="008212C7" w:rsidRPr="000B514E">
        <w:t xml:space="preserve">Reporting </w:t>
      </w:r>
    </w:p>
    <w:p w:rsidR="001850E0" w:rsidRPr="00402B0C" w:rsidRDefault="008212C7" w:rsidP="008212C7">
      <w:pPr>
        <w:spacing w:line="276" w:lineRule="auto"/>
        <w:rPr>
          <w:rFonts w:asciiTheme="majorHAnsi" w:hAnsiTheme="majorHAnsi"/>
        </w:rPr>
      </w:pPr>
      <w:r w:rsidRPr="00402B0C">
        <w:rPr>
          <w:rFonts w:asciiTheme="majorHAnsi" w:hAnsiTheme="majorHAnsi"/>
        </w:rPr>
        <w:t>Y</w:t>
      </w:r>
      <w:r w:rsidR="00C9209F" w:rsidRPr="00402B0C">
        <w:rPr>
          <w:rFonts w:asciiTheme="majorHAnsi" w:hAnsiTheme="majorHAnsi"/>
        </w:rPr>
        <w:t xml:space="preserve">our </w:t>
      </w:r>
      <w:r w:rsidR="009A0F89" w:rsidRPr="00402B0C">
        <w:rPr>
          <w:rFonts w:asciiTheme="majorHAnsi" w:hAnsiTheme="majorHAnsi"/>
        </w:rPr>
        <w:t>business</w:t>
      </w:r>
      <w:r w:rsidRPr="00402B0C">
        <w:rPr>
          <w:rFonts w:asciiTheme="majorHAnsi" w:hAnsiTheme="majorHAnsi"/>
        </w:rPr>
        <w:t xml:space="preserve"> is required to provide the </w:t>
      </w:r>
      <w:r w:rsidR="008A1C96" w:rsidRPr="00402B0C">
        <w:rPr>
          <w:rFonts w:asciiTheme="majorHAnsi" w:hAnsiTheme="majorHAnsi"/>
        </w:rPr>
        <w:t xml:space="preserve">contract manager </w:t>
      </w:r>
      <w:r w:rsidRPr="00402B0C">
        <w:rPr>
          <w:rFonts w:asciiTheme="majorHAnsi" w:hAnsiTheme="majorHAnsi"/>
        </w:rPr>
        <w:t xml:space="preserve">with quarterly progress reports on Indigenous workforce and supply chain outcomes via the IPPRS for the term of contract. </w:t>
      </w:r>
    </w:p>
    <w:p w:rsidR="008212C7" w:rsidRPr="00402B0C" w:rsidRDefault="008212C7" w:rsidP="008212C7">
      <w:pPr>
        <w:spacing w:line="276" w:lineRule="auto"/>
        <w:rPr>
          <w:rFonts w:asciiTheme="majorHAnsi" w:hAnsiTheme="majorHAnsi"/>
        </w:rPr>
      </w:pPr>
      <w:r w:rsidRPr="00402B0C">
        <w:rPr>
          <w:rFonts w:asciiTheme="majorHAnsi" w:hAnsiTheme="majorHAnsi"/>
        </w:rPr>
        <w:t xml:space="preserve">Quarterly reporting dates are listed in the contract and built into the system. </w:t>
      </w:r>
      <w:r w:rsidR="008C5B45" w:rsidRPr="00402B0C">
        <w:rPr>
          <w:rFonts w:asciiTheme="majorHAnsi" w:hAnsiTheme="majorHAnsi"/>
        </w:rPr>
        <w:t>The IPPRS will also send</w:t>
      </w:r>
      <w:r w:rsidRPr="00402B0C">
        <w:rPr>
          <w:rFonts w:asciiTheme="majorHAnsi" w:hAnsiTheme="majorHAnsi"/>
        </w:rPr>
        <w:t xml:space="preserve"> reminders one week prior to these reports being due. It is important that the contact details within the system are kept updated. </w:t>
      </w:r>
    </w:p>
    <w:p w:rsidR="008212C7" w:rsidRPr="00402B0C" w:rsidRDefault="00C9209F" w:rsidP="008212C7">
      <w:pPr>
        <w:spacing w:line="276" w:lineRule="auto"/>
        <w:rPr>
          <w:rFonts w:asciiTheme="majorHAnsi" w:hAnsiTheme="majorHAnsi"/>
        </w:rPr>
      </w:pPr>
      <w:r w:rsidRPr="00402B0C">
        <w:rPr>
          <w:rFonts w:asciiTheme="majorHAnsi" w:hAnsiTheme="majorHAnsi"/>
        </w:rPr>
        <w:t xml:space="preserve">Your </w:t>
      </w:r>
      <w:r w:rsidR="009A0F89" w:rsidRPr="00402B0C">
        <w:rPr>
          <w:rFonts w:asciiTheme="majorHAnsi" w:hAnsiTheme="majorHAnsi"/>
        </w:rPr>
        <w:t>business</w:t>
      </w:r>
      <w:r w:rsidR="008212C7" w:rsidRPr="00402B0C">
        <w:rPr>
          <w:rFonts w:asciiTheme="majorHAnsi" w:hAnsiTheme="majorHAnsi"/>
        </w:rPr>
        <w:t xml:space="preserve"> is required to report on the following information:</w:t>
      </w:r>
    </w:p>
    <w:p w:rsidR="008212C7" w:rsidRPr="00402B0C" w:rsidRDefault="008212C7" w:rsidP="008212C7">
      <w:pPr>
        <w:numPr>
          <w:ilvl w:val="0"/>
          <w:numId w:val="25"/>
        </w:numPr>
        <w:spacing w:line="276" w:lineRule="auto"/>
        <w:rPr>
          <w:rFonts w:asciiTheme="majorHAnsi" w:hAnsiTheme="majorHAnsi"/>
        </w:rPr>
      </w:pPr>
      <w:r w:rsidRPr="00402B0C">
        <w:rPr>
          <w:rFonts w:asciiTheme="majorHAnsi" w:hAnsiTheme="majorHAnsi"/>
        </w:rPr>
        <w:t>details of subcontracts or purchases made with Indigenous businesses during the quarter;</w:t>
      </w:r>
    </w:p>
    <w:p w:rsidR="008212C7" w:rsidRPr="00402B0C" w:rsidRDefault="008212C7" w:rsidP="008212C7">
      <w:pPr>
        <w:numPr>
          <w:ilvl w:val="0"/>
          <w:numId w:val="25"/>
        </w:numPr>
        <w:spacing w:line="276" w:lineRule="auto"/>
        <w:rPr>
          <w:rFonts w:asciiTheme="majorHAnsi" w:hAnsiTheme="majorHAnsi"/>
        </w:rPr>
      </w:pPr>
      <w:r w:rsidRPr="00402B0C">
        <w:rPr>
          <w:rFonts w:asciiTheme="majorHAnsi" w:hAnsiTheme="majorHAnsi"/>
        </w:rPr>
        <w:t>total full-time equivalent workforce for the quarter; and</w:t>
      </w:r>
    </w:p>
    <w:p w:rsidR="008212C7" w:rsidRPr="00402B0C" w:rsidRDefault="008212C7" w:rsidP="008212C7">
      <w:pPr>
        <w:numPr>
          <w:ilvl w:val="0"/>
          <w:numId w:val="25"/>
        </w:numPr>
        <w:spacing w:line="276" w:lineRule="auto"/>
        <w:rPr>
          <w:rFonts w:asciiTheme="majorHAnsi" w:hAnsiTheme="majorHAnsi"/>
        </w:rPr>
      </w:pPr>
      <w:r w:rsidRPr="00402B0C">
        <w:rPr>
          <w:rFonts w:asciiTheme="majorHAnsi" w:hAnsiTheme="majorHAnsi"/>
        </w:rPr>
        <w:t>total full-time equivalent Indigenous workforce for the quarter.</w:t>
      </w:r>
    </w:p>
    <w:p w:rsidR="008212C7" w:rsidRPr="00402B0C" w:rsidRDefault="006E5FBB" w:rsidP="008212C7">
      <w:pPr>
        <w:spacing w:line="276" w:lineRule="auto"/>
        <w:rPr>
          <w:rFonts w:asciiTheme="majorHAnsi" w:hAnsiTheme="majorHAnsi"/>
        </w:rPr>
      </w:pPr>
      <w:r>
        <w:rPr>
          <w:rFonts w:asciiTheme="majorHAnsi" w:hAnsiTheme="majorHAnsi"/>
        </w:rPr>
        <w:t>It</w:t>
      </w:r>
      <w:r w:rsidR="008212C7" w:rsidRPr="00402B0C">
        <w:rPr>
          <w:rFonts w:asciiTheme="majorHAnsi" w:hAnsiTheme="majorHAnsi"/>
        </w:rPr>
        <w:t xml:space="preserve"> may also report on the full-time equivalent Indigenous workforce of any subcontractors for the quarter.</w:t>
      </w:r>
    </w:p>
    <w:p w:rsidR="008212C7" w:rsidRPr="00402B0C" w:rsidRDefault="008212C7" w:rsidP="008212C7">
      <w:pPr>
        <w:spacing w:line="276" w:lineRule="auto"/>
        <w:rPr>
          <w:rFonts w:asciiTheme="majorHAnsi" w:hAnsiTheme="majorHAnsi"/>
        </w:rPr>
      </w:pPr>
      <w:r w:rsidRPr="00402B0C">
        <w:rPr>
          <w:rFonts w:asciiTheme="majorHAnsi" w:hAnsiTheme="majorHAnsi"/>
        </w:rPr>
        <w:t xml:space="preserve">It is recommended that </w:t>
      </w:r>
      <w:r w:rsidR="006E5FBB">
        <w:rPr>
          <w:rFonts w:asciiTheme="majorHAnsi" w:hAnsiTheme="majorHAnsi"/>
        </w:rPr>
        <w:t>the</w:t>
      </w:r>
      <w:r w:rsidRPr="00402B0C">
        <w:rPr>
          <w:rFonts w:asciiTheme="majorHAnsi" w:hAnsiTheme="majorHAnsi"/>
        </w:rPr>
        <w:t xml:space="preserve"> inclu</w:t>
      </w:r>
      <w:r w:rsidR="006E5FBB">
        <w:rPr>
          <w:rFonts w:asciiTheme="majorHAnsi" w:hAnsiTheme="majorHAnsi"/>
        </w:rPr>
        <w:t>sion of</w:t>
      </w:r>
      <w:r w:rsidRPr="00402B0C">
        <w:rPr>
          <w:rFonts w:asciiTheme="majorHAnsi" w:hAnsiTheme="majorHAnsi"/>
        </w:rPr>
        <w:t xml:space="preserve"> both employment and supplier use data in quarterly reporting, regardless of wh</w:t>
      </w:r>
      <w:r w:rsidR="00C9209F" w:rsidRPr="00402B0C">
        <w:rPr>
          <w:rFonts w:asciiTheme="majorHAnsi" w:hAnsiTheme="majorHAnsi"/>
        </w:rPr>
        <w:t xml:space="preserve">ether your </w:t>
      </w:r>
      <w:r w:rsidR="009A0F89" w:rsidRPr="00402B0C">
        <w:rPr>
          <w:rFonts w:asciiTheme="majorHAnsi" w:hAnsiTheme="majorHAnsi"/>
        </w:rPr>
        <w:t>business</w:t>
      </w:r>
      <w:r w:rsidRPr="00402B0C">
        <w:rPr>
          <w:rFonts w:asciiTheme="majorHAnsi" w:hAnsiTheme="majorHAnsi"/>
        </w:rPr>
        <w:t xml:space="preserve"> has an Indigenous employment target or a supplier use target. This will allow a straightfor</w:t>
      </w:r>
      <w:r w:rsidR="00C9209F" w:rsidRPr="00402B0C">
        <w:rPr>
          <w:rFonts w:asciiTheme="majorHAnsi" w:hAnsiTheme="majorHAnsi"/>
        </w:rPr>
        <w:t xml:space="preserve">ward transition if your </w:t>
      </w:r>
      <w:r w:rsidR="009A0F89" w:rsidRPr="00402B0C">
        <w:rPr>
          <w:rFonts w:asciiTheme="majorHAnsi" w:hAnsiTheme="majorHAnsi"/>
        </w:rPr>
        <w:t>business</w:t>
      </w:r>
      <w:r w:rsidRPr="00402B0C">
        <w:rPr>
          <w:rFonts w:asciiTheme="majorHAnsi" w:hAnsiTheme="majorHAnsi"/>
        </w:rPr>
        <w:t xml:space="preserve"> adopts a revised target during the term of the contract.</w:t>
      </w:r>
    </w:p>
    <w:p w:rsidR="008212C7" w:rsidRPr="00402B0C" w:rsidRDefault="008212C7" w:rsidP="008212C7">
      <w:pPr>
        <w:spacing w:line="276" w:lineRule="auto"/>
        <w:rPr>
          <w:rFonts w:asciiTheme="majorHAnsi" w:hAnsiTheme="majorHAnsi"/>
        </w:rPr>
      </w:pPr>
      <w:r w:rsidRPr="00402B0C">
        <w:rPr>
          <w:rFonts w:asciiTheme="majorHAnsi" w:hAnsiTheme="majorHAnsi"/>
        </w:rPr>
        <w:lastRenderedPageBreak/>
        <w:t xml:space="preserve">The IPPRS cross matches Indigenous businesses identified in your reporting with the Supply Nation and Office for the Registrar of Indigenous Corporations (ORIC) databases as part of compliance checks. </w:t>
      </w:r>
    </w:p>
    <w:p w:rsidR="002F74E5" w:rsidRPr="007E54D8" w:rsidRDefault="009A47B6" w:rsidP="00F45F22">
      <w:pPr>
        <w:pStyle w:val="Heading4"/>
      </w:pPr>
      <w:r>
        <w:t>5</w:t>
      </w:r>
      <w:r w:rsidR="00F45F22" w:rsidRPr="007E54D8">
        <w:t>.2.</w:t>
      </w:r>
      <w:r w:rsidR="00BA64A4">
        <w:t>2</w:t>
      </w:r>
      <w:r w:rsidR="002F74E5" w:rsidRPr="007E54D8">
        <w:t xml:space="preserve"> Reporting against employment targets (contract-based MMR)</w:t>
      </w:r>
    </w:p>
    <w:p w:rsidR="002F74E5" w:rsidRPr="007E54D8" w:rsidRDefault="00103275" w:rsidP="002F74E5">
      <w:pPr>
        <w:pStyle w:val="BodyText"/>
        <w:rPr>
          <w:rFonts w:asciiTheme="majorHAnsi" w:hAnsiTheme="majorHAnsi"/>
        </w:rPr>
      </w:pPr>
      <w:r w:rsidRPr="005F0EA6">
        <w:rPr>
          <w:rFonts w:asciiTheme="majorHAnsi" w:hAnsiTheme="majorHAnsi"/>
        </w:rPr>
        <w:t>P</w:t>
      </w:r>
      <w:r w:rsidR="002F74E5" w:rsidRPr="007E54D8">
        <w:rPr>
          <w:rFonts w:asciiTheme="majorHAnsi" w:hAnsiTheme="majorHAnsi"/>
        </w:rPr>
        <w:t xml:space="preserve">rogress against contract based MMR employment targets is calculated using the average number of hours an Indigenous person has worked to deliver on the contract. To calculate the average, suppliers report quarterly on the total number of Indigenous FTE deployed on the contract and the total number of FTE deployed on the contract for that quarter. </w:t>
      </w:r>
    </w:p>
    <w:p w:rsidR="00DC285F" w:rsidRPr="00DC285F" w:rsidRDefault="002F74E5" w:rsidP="00DC285F">
      <w:pPr>
        <w:pStyle w:val="BodyText"/>
        <w:rPr>
          <w:rFonts w:asciiTheme="majorHAnsi" w:hAnsiTheme="majorHAnsi"/>
        </w:rPr>
      </w:pPr>
      <w:r w:rsidRPr="006F7C43">
        <w:rPr>
          <w:rFonts w:asciiTheme="majorHAnsi" w:hAnsiTheme="majorHAnsi"/>
        </w:rPr>
        <w:t xml:space="preserve">A supplier’s final performance against employment targets at the end of the contract term is calculated using the total number of Indigenous FTE and the total number of FTE reported by the supplier each quarter and dividing the total by the number of quarters within the reporting period. </w:t>
      </w:r>
    </w:p>
    <w:p w:rsidR="002F74E5" w:rsidRPr="007E54D8" w:rsidRDefault="009A47B6" w:rsidP="002F74E5">
      <w:pPr>
        <w:pStyle w:val="Heading4"/>
      </w:pPr>
      <w:r>
        <w:t>5</w:t>
      </w:r>
      <w:r w:rsidR="00F45F22" w:rsidRPr="007E54D8">
        <w:t>.2.</w:t>
      </w:r>
      <w:r w:rsidR="00BA64A4">
        <w:t>3</w:t>
      </w:r>
      <w:r w:rsidR="002F74E5" w:rsidRPr="007E54D8">
        <w:t xml:space="preserve"> Subcontractors’ workforces </w:t>
      </w:r>
    </w:p>
    <w:p w:rsidR="002F74E5" w:rsidRDefault="00103275" w:rsidP="002F74E5">
      <w:pPr>
        <w:pStyle w:val="BodyText"/>
        <w:rPr>
          <w:rFonts w:asciiTheme="majorHAnsi" w:hAnsiTheme="majorHAnsi"/>
        </w:rPr>
      </w:pPr>
      <w:r w:rsidRPr="005F0EA6">
        <w:rPr>
          <w:rFonts w:asciiTheme="majorHAnsi" w:hAnsiTheme="majorHAnsi"/>
        </w:rPr>
        <w:t xml:space="preserve">For a contract-based target, </w:t>
      </w:r>
      <w:r w:rsidR="002F74E5" w:rsidRPr="007E54D8">
        <w:rPr>
          <w:rFonts w:asciiTheme="majorHAnsi" w:hAnsiTheme="majorHAnsi"/>
        </w:rPr>
        <w:t>supplier</w:t>
      </w:r>
      <w:r w:rsidRPr="005F0EA6">
        <w:rPr>
          <w:rFonts w:asciiTheme="majorHAnsi" w:hAnsiTheme="majorHAnsi"/>
        </w:rPr>
        <w:t>s</w:t>
      </w:r>
      <w:r w:rsidR="002F74E5" w:rsidRPr="007E54D8">
        <w:rPr>
          <w:rFonts w:asciiTheme="majorHAnsi" w:hAnsiTheme="majorHAnsi"/>
        </w:rPr>
        <w:t xml:space="preserve"> may choose to report the total number of Indigenous FTE and the total number of FTE employed by sub-contractors on the contract each quarter. This data is added to the contractor’s totals before determining the weighted average of Indigenous FTE as a percentage of all FTE for the period.</w:t>
      </w:r>
    </w:p>
    <w:p w:rsidR="002F74E5" w:rsidRPr="00E610B2" w:rsidRDefault="002F74E5" w:rsidP="002F74E5">
      <w:pPr>
        <w:pStyle w:val="BodyText"/>
        <w:rPr>
          <w:rFonts w:asciiTheme="majorHAnsi" w:hAnsiTheme="majorHAnsi"/>
        </w:rPr>
      </w:pPr>
      <w:r w:rsidRPr="00E610B2">
        <w:rPr>
          <w:rFonts w:asciiTheme="majorHAnsi" w:hAnsiTheme="majorHAnsi"/>
        </w:rPr>
        <w:t xml:space="preserve">To determine whether the MMR target has been met at the end of the term of the contract, the IPPRS will calculate the weighted average FTE by adding the total number of Indigenous FTE and the total number of FTE reported by the supplier each quarter and dividing by the number of quarters within the reporting period to find the weighted average. </w:t>
      </w:r>
    </w:p>
    <w:p w:rsidR="002F74E5" w:rsidRPr="007E54D8" w:rsidRDefault="009A47B6" w:rsidP="00DC285F">
      <w:pPr>
        <w:pStyle w:val="Heading4"/>
        <w:tabs>
          <w:tab w:val="left" w:pos="7590"/>
        </w:tabs>
      </w:pPr>
      <w:r w:rsidRPr="00DC285F">
        <w:t>5</w:t>
      </w:r>
      <w:r w:rsidR="00F45F22" w:rsidRPr="00DC285F">
        <w:t>.2.</w:t>
      </w:r>
      <w:r w:rsidR="00BA64A4" w:rsidRPr="00DC285F">
        <w:t>4</w:t>
      </w:r>
      <w:r w:rsidR="002F74E5" w:rsidRPr="00DC285F">
        <w:t xml:space="preserve"> Employment targets (organisation</w:t>
      </w:r>
      <w:r w:rsidR="002F74E5" w:rsidRPr="007E54D8">
        <w:t>-based MMR)</w:t>
      </w:r>
      <w:r w:rsidR="007970EE">
        <w:tab/>
      </w:r>
    </w:p>
    <w:p w:rsidR="002F74E5" w:rsidRPr="007E54D8" w:rsidRDefault="002F74E5" w:rsidP="002F74E5">
      <w:pPr>
        <w:pStyle w:val="BodyText"/>
        <w:rPr>
          <w:rFonts w:asciiTheme="majorHAnsi" w:hAnsiTheme="majorHAnsi"/>
        </w:rPr>
      </w:pPr>
      <w:r w:rsidRPr="007E54D8">
        <w:rPr>
          <w:rFonts w:asciiTheme="majorHAnsi" w:hAnsiTheme="majorHAnsi"/>
        </w:rPr>
        <w:t xml:space="preserve">A supplier’s progress against organisation-based MMR employment targets is calculated using the average number of hours an Indigenous person has worked to deliver on the contract.  To calculate the weighted average, suppliers report quarterly on the total number of Indigenous FTE employed by the organisation and the total number of FTE employed by the organisation in Australia each quarter. </w:t>
      </w:r>
    </w:p>
    <w:p w:rsidR="002F74E5" w:rsidRPr="007E54D8" w:rsidRDefault="002F74E5" w:rsidP="002F74E5">
      <w:pPr>
        <w:pStyle w:val="BodyText"/>
        <w:rPr>
          <w:rFonts w:asciiTheme="majorHAnsi" w:hAnsiTheme="majorHAnsi"/>
        </w:rPr>
      </w:pPr>
      <w:r w:rsidRPr="007E54D8">
        <w:rPr>
          <w:rFonts w:asciiTheme="majorHAnsi" w:hAnsiTheme="majorHAnsi"/>
        </w:rPr>
        <w:t xml:space="preserve">At the </w:t>
      </w:r>
      <w:r w:rsidR="00F45F22" w:rsidRPr="007E54D8">
        <w:rPr>
          <w:rFonts w:asciiTheme="majorHAnsi" w:hAnsiTheme="majorHAnsi"/>
        </w:rPr>
        <w:t>end of the initial term the IPP</w:t>
      </w:r>
      <w:r w:rsidRPr="007E54D8">
        <w:rPr>
          <w:rFonts w:asciiTheme="majorHAnsi" w:hAnsiTheme="majorHAnsi"/>
        </w:rPr>
        <w:t xml:space="preserve">RS will calculate the weighted average FTE by adding the total number of Indigenous FTE and the total number of FTE reported by the supplier each quarter and dividing by the number of quarters over the initial term to find the weighted average.  </w:t>
      </w:r>
    </w:p>
    <w:p w:rsidR="002F74E5" w:rsidRPr="007E54D8" w:rsidRDefault="00F45F22" w:rsidP="002F74E5">
      <w:pPr>
        <w:pStyle w:val="BodyText"/>
        <w:rPr>
          <w:rFonts w:asciiTheme="majorHAnsi" w:hAnsiTheme="majorHAnsi"/>
        </w:rPr>
      </w:pPr>
      <w:r w:rsidRPr="007E54D8">
        <w:rPr>
          <w:rFonts w:asciiTheme="majorHAnsi" w:hAnsiTheme="majorHAnsi"/>
        </w:rPr>
        <w:t>Where a</w:t>
      </w:r>
      <w:r w:rsidR="002F74E5" w:rsidRPr="007E54D8">
        <w:rPr>
          <w:rFonts w:asciiTheme="majorHAnsi" w:hAnsiTheme="majorHAnsi"/>
        </w:rPr>
        <w:t xml:space="preserve"> supplier has multiple contracts that contain organisation based MMR contracts (that contain different start and end dates) the supplier will only need to report once each quarter. The IPPRS will use the date ranges of the quarterly report and the start and end date of associated contracts to allocate the workforce data accordingly. This is important as each contract is assessed against the average weighted FTE employed over the term of each individual contract. </w:t>
      </w:r>
    </w:p>
    <w:p w:rsidR="002F74E5" w:rsidRPr="007E54D8" w:rsidRDefault="009A47B6" w:rsidP="002F74E5">
      <w:pPr>
        <w:pStyle w:val="Heading4"/>
      </w:pPr>
      <w:r>
        <w:t>5</w:t>
      </w:r>
      <w:r w:rsidR="00F45F22" w:rsidRPr="007E54D8">
        <w:t>.2.</w:t>
      </w:r>
      <w:r w:rsidR="00BA64A4">
        <w:t>5</w:t>
      </w:r>
      <w:r w:rsidR="002F74E5" w:rsidRPr="007E54D8">
        <w:t xml:space="preserve"> Supply-use targets (contract-based MMR) </w:t>
      </w:r>
    </w:p>
    <w:p w:rsidR="002F74E5" w:rsidRPr="007E54D8" w:rsidRDefault="002F74E5" w:rsidP="002F74E5">
      <w:pPr>
        <w:pStyle w:val="BulletedListlvl1"/>
        <w:ind w:left="0" w:firstLine="0"/>
        <w:rPr>
          <w:rFonts w:asciiTheme="majorHAnsi" w:hAnsiTheme="majorHAnsi"/>
        </w:rPr>
      </w:pPr>
      <w:r w:rsidRPr="007E54D8">
        <w:rPr>
          <w:rFonts w:asciiTheme="majorHAnsi" w:hAnsiTheme="majorHAnsi"/>
        </w:rPr>
        <w:t>For</w:t>
      </w:r>
      <w:r w:rsidR="00F45F22" w:rsidRPr="007E54D8">
        <w:rPr>
          <w:rFonts w:asciiTheme="majorHAnsi" w:hAnsiTheme="majorHAnsi"/>
        </w:rPr>
        <w:t xml:space="preserve"> contract-based MMR targets, the </w:t>
      </w:r>
      <w:r w:rsidRPr="007E54D8">
        <w:rPr>
          <w:rFonts w:asciiTheme="majorHAnsi" w:hAnsiTheme="majorHAnsi"/>
        </w:rPr>
        <w:t>supplier may report any subcontract or purchase made with an Indigenous business that is directly related to delivery of the contract</w:t>
      </w:r>
      <w:r w:rsidR="00F45F22" w:rsidRPr="007E54D8">
        <w:rPr>
          <w:rFonts w:asciiTheme="majorHAnsi" w:hAnsiTheme="majorHAnsi"/>
        </w:rPr>
        <w:t>.</w:t>
      </w:r>
    </w:p>
    <w:p w:rsidR="002F74E5" w:rsidRPr="007E54D8" w:rsidRDefault="002F74E5" w:rsidP="002F74E5">
      <w:pPr>
        <w:pStyle w:val="BulletedListlvl1"/>
        <w:ind w:left="0" w:firstLine="0"/>
        <w:rPr>
          <w:rFonts w:asciiTheme="majorHAnsi" w:hAnsiTheme="majorHAnsi"/>
        </w:rPr>
      </w:pPr>
    </w:p>
    <w:p w:rsidR="00C600E6" w:rsidRPr="007E54D8" w:rsidRDefault="002F74E5" w:rsidP="002F74E5">
      <w:pPr>
        <w:pStyle w:val="BulletedListlvl1"/>
        <w:ind w:left="0" w:firstLine="0"/>
        <w:rPr>
          <w:rFonts w:asciiTheme="majorHAnsi" w:hAnsiTheme="majorHAnsi"/>
        </w:rPr>
      </w:pPr>
      <w:r w:rsidRPr="007E54D8">
        <w:rPr>
          <w:rFonts w:asciiTheme="majorHAnsi" w:hAnsiTheme="majorHAnsi"/>
        </w:rPr>
        <w:t>Each quarter the supplier will report the details of the Indigenous business that they have contracted with or purchased with that quarter through the IPPRS.</w:t>
      </w:r>
      <w:r w:rsidR="00C600E6">
        <w:rPr>
          <w:rFonts w:asciiTheme="majorHAnsi" w:hAnsiTheme="majorHAnsi"/>
        </w:rPr>
        <w:t xml:space="preserve"> This may include purchases and contracts with I</w:t>
      </w:r>
      <w:r w:rsidR="00C600E6" w:rsidRPr="00C600E6">
        <w:rPr>
          <w:rFonts w:asciiTheme="majorHAnsi" w:hAnsiTheme="majorHAnsi"/>
        </w:rPr>
        <w:t>ndigenous businesse</w:t>
      </w:r>
      <w:r w:rsidR="00C600E6">
        <w:rPr>
          <w:rFonts w:asciiTheme="majorHAnsi" w:hAnsiTheme="majorHAnsi"/>
        </w:rPr>
        <w:t>s undertaken by subcontractors engaged to deliver the contrac</w:t>
      </w:r>
      <w:r w:rsidR="00C600E6" w:rsidRPr="00C600E6">
        <w:rPr>
          <w:rFonts w:asciiTheme="majorHAnsi" w:hAnsiTheme="majorHAnsi"/>
        </w:rPr>
        <w:t>t.</w:t>
      </w:r>
      <w:r w:rsidRPr="007E54D8">
        <w:rPr>
          <w:rFonts w:asciiTheme="majorHAnsi" w:hAnsiTheme="majorHAnsi"/>
        </w:rPr>
        <w:t xml:space="preserve"> At the end of the contract term, the total value of contracts and purchases awarded to an Indigenous business will be measured as a percentage against the value of the contract to determine it the MMR target was met.  </w:t>
      </w:r>
    </w:p>
    <w:p w:rsidR="009866AC" w:rsidRDefault="009866AC">
      <w:pPr>
        <w:rPr>
          <w:rFonts w:asciiTheme="majorHAnsi" w:hAnsiTheme="majorHAnsi"/>
          <w:color w:val="DD7500" w:themeColor="accent4"/>
          <w:sz w:val="24"/>
          <w:szCs w:val="24"/>
        </w:rPr>
      </w:pPr>
      <w:r>
        <w:br w:type="page"/>
      </w:r>
    </w:p>
    <w:p w:rsidR="002F74E5" w:rsidRPr="007E54D8" w:rsidRDefault="009A47B6" w:rsidP="002F74E5">
      <w:pPr>
        <w:pStyle w:val="Heading4"/>
      </w:pPr>
      <w:r>
        <w:lastRenderedPageBreak/>
        <w:t>5</w:t>
      </w:r>
      <w:r w:rsidR="00F45F22" w:rsidRPr="007E54D8">
        <w:t>.2.</w:t>
      </w:r>
      <w:r w:rsidR="00BA64A4">
        <w:t>6</w:t>
      </w:r>
      <w:r w:rsidR="002F74E5" w:rsidRPr="007E54D8">
        <w:t xml:space="preserve"> Supply-use targets (organisation-based MMR) </w:t>
      </w:r>
    </w:p>
    <w:p w:rsidR="002F74E5" w:rsidRPr="007E54D8" w:rsidRDefault="002F74E5" w:rsidP="002F74E5">
      <w:pPr>
        <w:pStyle w:val="BulletedListlvl1"/>
        <w:ind w:left="0" w:firstLine="0"/>
        <w:rPr>
          <w:rFonts w:asciiTheme="majorHAnsi" w:hAnsiTheme="majorHAnsi"/>
        </w:rPr>
      </w:pPr>
      <w:r w:rsidRPr="007E54D8">
        <w:rPr>
          <w:rFonts w:asciiTheme="majorHAnsi" w:hAnsiTheme="majorHAnsi"/>
        </w:rPr>
        <w:t>For organisation-based MMR supply use targets the supplier reports each quarter the total value of their Australian supply chain and value of contracts awarded to Indigenous businesses.  The IPPRS measures</w:t>
      </w:r>
      <w:r w:rsidR="002E7996">
        <w:rPr>
          <w:rFonts w:asciiTheme="majorHAnsi" w:hAnsiTheme="majorHAnsi"/>
        </w:rPr>
        <w:t xml:space="preserve"> the Indigenous supply use as </w:t>
      </w:r>
      <w:r w:rsidRPr="007E54D8">
        <w:rPr>
          <w:rFonts w:asciiTheme="majorHAnsi" w:hAnsiTheme="majorHAnsi"/>
        </w:rPr>
        <w:t xml:space="preserve">a percentage against the organisation’s Australian supply chain.  </w:t>
      </w:r>
    </w:p>
    <w:p w:rsidR="002F74E5" w:rsidRPr="007E54D8" w:rsidRDefault="002F74E5" w:rsidP="002F74E5">
      <w:pPr>
        <w:pStyle w:val="BulletedListlvl1"/>
        <w:ind w:left="0" w:firstLine="0"/>
        <w:rPr>
          <w:rFonts w:asciiTheme="majorHAnsi" w:hAnsiTheme="majorHAnsi"/>
        </w:rPr>
      </w:pPr>
    </w:p>
    <w:p w:rsidR="002F74E5" w:rsidRDefault="002F74E5" w:rsidP="002F74E5">
      <w:pPr>
        <w:pStyle w:val="BodyText"/>
        <w:rPr>
          <w:rFonts w:asciiTheme="majorHAnsi" w:hAnsiTheme="majorHAnsi"/>
        </w:rPr>
      </w:pPr>
      <w:r w:rsidRPr="007E54D8">
        <w:rPr>
          <w:rFonts w:asciiTheme="majorHAnsi" w:hAnsiTheme="majorHAnsi"/>
        </w:rPr>
        <w:t>Where the supplier has multiple contracts that contain organisation based MMR contracts (that contain different start and end dates) the supplier will only need to report once each quarter. The IPPRS will use the date of the purchase and the start and end date of associated contracts to allocate the supply use data accordingly. This is important as each contract is assessed against the average value of Indigenous supply use against the value of the organisation’s total Australian supply chain over the term of that contract.</w:t>
      </w:r>
    </w:p>
    <w:p w:rsidR="008212C7" w:rsidRPr="008212C7" w:rsidRDefault="009A47B6" w:rsidP="00F45F22">
      <w:pPr>
        <w:pStyle w:val="Heading4"/>
      </w:pPr>
      <w:r>
        <w:t>5</w:t>
      </w:r>
      <w:r w:rsidR="000B514E">
        <w:t>.</w:t>
      </w:r>
      <w:r w:rsidR="00F45F22">
        <w:t>2.</w:t>
      </w:r>
      <w:r w:rsidR="00BA64A4">
        <w:t>7</w:t>
      </w:r>
      <w:r w:rsidR="008212C7" w:rsidRPr="008212C7">
        <w:t xml:space="preserve"> </w:t>
      </w:r>
      <w:r w:rsidR="00E176C1" w:rsidRPr="008212C7">
        <w:t>Compliance</w:t>
      </w:r>
      <w:r w:rsidR="008212C7" w:rsidRPr="008212C7">
        <w:t xml:space="preserve"> with MMR targets</w:t>
      </w:r>
    </w:p>
    <w:p w:rsidR="008212C7" w:rsidRPr="00402B0C" w:rsidRDefault="008212C7" w:rsidP="008212C7">
      <w:pPr>
        <w:spacing w:line="276" w:lineRule="auto"/>
        <w:rPr>
          <w:rFonts w:asciiTheme="majorHAnsi" w:hAnsiTheme="majorHAnsi"/>
        </w:rPr>
      </w:pPr>
      <w:r w:rsidRPr="00402B0C">
        <w:rPr>
          <w:rFonts w:asciiTheme="majorHAnsi" w:hAnsiTheme="majorHAnsi"/>
        </w:rPr>
        <w:t>At the end of the contract you</w:t>
      </w:r>
      <w:r w:rsidR="006E5FBB">
        <w:rPr>
          <w:rFonts w:asciiTheme="majorHAnsi" w:hAnsiTheme="majorHAnsi"/>
        </w:rPr>
        <w:t>r business</w:t>
      </w:r>
      <w:r w:rsidRPr="00402B0C">
        <w:rPr>
          <w:rFonts w:asciiTheme="majorHAnsi" w:hAnsiTheme="majorHAnsi"/>
        </w:rPr>
        <w:t xml:space="preserve"> must submit a final report against </w:t>
      </w:r>
      <w:r w:rsidR="006E5FBB">
        <w:rPr>
          <w:rFonts w:asciiTheme="majorHAnsi" w:hAnsiTheme="majorHAnsi"/>
        </w:rPr>
        <w:t xml:space="preserve">the </w:t>
      </w:r>
      <w:r w:rsidR="00AB7A3B" w:rsidRPr="00402B0C">
        <w:rPr>
          <w:rFonts w:asciiTheme="majorHAnsi" w:hAnsiTheme="majorHAnsi"/>
        </w:rPr>
        <w:t>Indigenous Participation</w:t>
      </w:r>
      <w:r w:rsidRPr="00402B0C">
        <w:rPr>
          <w:rFonts w:asciiTheme="majorHAnsi" w:hAnsiTheme="majorHAnsi"/>
        </w:rPr>
        <w:t xml:space="preserve"> Plan which identifies whether the </w:t>
      </w:r>
      <w:r w:rsidR="001850E0" w:rsidRPr="00402B0C">
        <w:rPr>
          <w:rFonts w:asciiTheme="majorHAnsi" w:hAnsiTheme="majorHAnsi"/>
        </w:rPr>
        <w:t>MMR</w:t>
      </w:r>
      <w:r w:rsidRPr="00402B0C">
        <w:rPr>
          <w:rFonts w:asciiTheme="majorHAnsi" w:hAnsiTheme="majorHAnsi"/>
        </w:rPr>
        <w:t xml:space="preserve"> have been met and whether the</w:t>
      </w:r>
      <w:r w:rsidR="00AB7A3B" w:rsidRPr="00402B0C">
        <w:rPr>
          <w:rFonts w:asciiTheme="majorHAnsi" w:hAnsiTheme="majorHAnsi"/>
        </w:rPr>
        <w:t xml:space="preserve"> Indigenous Participation</w:t>
      </w:r>
      <w:r w:rsidRPr="00402B0C">
        <w:rPr>
          <w:rFonts w:asciiTheme="majorHAnsi" w:hAnsiTheme="majorHAnsi"/>
        </w:rPr>
        <w:t xml:space="preserve"> Plan was complied with. </w:t>
      </w:r>
    </w:p>
    <w:p w:rsidR="008212C7" w:rsidRPr="00402B0C" w:rsidRDefault="008212C7" w:rsidP="008212C7">
      <w:pPr>
        <w:spacing w:line="276" w:lineRule="auto"/>
        <w:textAlignment w:val="baseline"/>
        <w:rPr>
          <w:rFonts w:asciiTheme="majorHAnsi" w:eastAsia="Times New Roman" w:hAnsiTheme="majorHAnsi" w:cstheme="minorHAnsi"/>
          <w:color w:val="1E1E1E"/>
          <w:spacing w:val="5"/>
          <w:bdr w:val="none" w:sz="0" w:space="0" w:color="auto" w:frame="1"/>
          <w:lang w:val="en" w:eastAsia="en-AU"/>
        </w:rPr>
      </w:pPr>
      <w:r w:rsidRPr="00402B0C">
        <w:rPr>
          <w:rFonts w:asciiTheme="majorHAnsi" w:eastAsia="Times New Roman" w:hAnsiTheme="majorHAnsi" w:cstheme="minorHAnsi"/>
          <w:color w:val="1E1E1E"/>
          <w:spacing w:val="5"/>
          <w:bdr w:val="none" w:sz="0" w:space="0" w:color="auto" w:frame="1"/>
          <w:lang w:val="en" w:eastAsia="en-AU"/>
        </w:rPr>
        <w:t>Final compliance with MMR targets is calculated once the contract has been completed and the final report has been submitted and assessed</w:t>
      </w:r>
      <w:r w:rsidR="00B72BE3">
        <w:rPr>
          <w:rFonts w:asciiTheme="majorHAnsi" w:eastAsia="Times New Roman" w:hAnsiTheme="majorHAnsi" w:cstheme="minorHAnsi"/>
          <w:color w:val="1E1E1E"/>
          <w:spacing w:val="5"/>
          <w:bdr w:val="none" w:sz="0" w:space="0" w:color="auto" w:frame="1"/>
          <w:lang w:val="en" w:eastAsia="en-AU"/>
        </w:rPr>
        <w:t xml:space="preserve"> via the IPPRS</w:t>
      </w:r>
      <w:r w:rsidRPr="00402B0C">
        <w:rPr>
          <w:rFonts w:asciiTheme="majorHAnsi" w:eastAsia="Times New Roman" w:hAnsiTheme="majorHAnsi" w:cstheme="minorHAnsi"/>
          <w:color w:val="1E1E1E"/>
          <w:spacing w:val="5"/>
          <w:bdr w:val="none" w:sz="0" w:space="0" w:color="auto" w:frame="1"/>
          <w:lang w:val="en" w:eastAsia="en-AU"/>
        </w:rPr>
        <w:t xml:space="preserve">. </w:t>
      </w:r>
    </w:p>
    <w:p w:rsidR="008212C7" w:rsidRPr="00E176C1" w:rsidRDefault="009A47B6" w:rsidP="000B514E">
      <w:pPr>
        <w:pStyle w:val="Heading4"/>
        <w:rPr>
          <w:bdr w:val="none" w:sz="0" w:space="0" w:color="auto" w:frame="1"/>
          <w:lang w:val="en" w:eastAsia="en-AU"/>
        </w:rPr>
      </w:pPr>
      <w:r>
        <w:rPr>
          <w:bdr w:val="none" w:sz="0" w:space="0" w:color="auto" w:frame="1"/>
          <w:lang w:val="en" w:eastAsia="en-AU"/>
        </w:rPr>
        <w:t>5</w:t>
      </w:r>
      <w:r w:rsidR="000B514E">
        <w:rPr>
          <w:bdr w:val="none" w:sz="0" w:space="0" w:color="auto" w:frame="1"/>
          <w:lang w:val="en" w:eastAsia="en-AU"/>
        </w:rPr>
        <w:t>.</w:t>
      </w:r>
      <w:r w:rsidR="006B2AB6">
        <w:rPr>
          <w:bdr w:val="none" w:sz="0" w:space="0" w:color="auto" w:frame="1"/>
          <w:lang w:val="en" w:eastAsia="en-AU"/>
        </w:rPr>
        <w:t>2</w:t>
      </w:r>
      <w:r w:rsidR="000B514E">
        <w:rPr>
          <w:bdr w:val="none" w:sz="0" w:space="0" w:color="auto" w:frame="1"/>
          <w:lang w:val="en" w:eastAsia="en-AU"/>
        </w:rPr>
        <w:t>.</w:t>
      </w:r>
      <w:r w:rsidR="00BA64A4">
        <w:rPr>
          <w:bdr w:val="none" w:sz="0" w:space="0" w:color="auto" w:frame="1"/>
          <w:lang w:val="en" w:eastAsia="en-AU"/>
        </w:rPr>
        <w:t>8</w:t>
      </w:r>
      <w:r w:rsidR="000B514E">
        <w:rPr>
          <w:bdr w:val="none" w:sz="0" w:space="0" w:color="auto" w:frame="1"/>
          <w:lang w:val="en" w:eastAsia="en-AU"/>
        </w:rPr>
        <w:t xml:space="preserve"> </w:t>
      </w:r>
      <w:r w:rsidR="008212C7" w:rsidRPr="00E176C1">
        <w:rPr>
          <w:bdr w:val="none" w:sz="0" w:space="0" w:color="auto" w:frame="1"/>
          <w:lang w:val="en" w:eastAsia="en-AU"/>
        </w:rPr>
        <w:t>Information on past performance</w:t>
      </w:r>
    </w:p>
    <w:p w:rsidR="008212C7" w:rsidRDefault="008212C7" w:rsidP="008212C7">
      <w:pPr>
        <w:spacing w:line="276" w:lineRule="auto"/>
        <w:rPr>
          <w:rFonts w:asciiTheme="majorHAnsi" w:hAnsiTheme="majorHAnsi"/>
          <w:lang w:val="en" w:eastAsia="en-AU"/>
        </w:rPr>
      </w:pPr>
      <w:r w:rsidRPr="00402B0C">
        <w:rPr>
          <w:rFonts w:asciiTheme="majorHAnsi" w:hAnsiTheme="majorHAnsi"/>
          <w:lang w:val="en" w:eastAsia="en-AU"/>
        </w:rPr>
        <w:t>A compliance rating for each completed MMR contra</w:t>
      </w:r>
      <w:r w:rsidR="00C9209F" w:rsidRPr="00402B0C">
        <w:rPr>
          <w:rFonts w:asciiTheme="majorHAnsi" w:hAnsiTheme="majorHAnsi"/>
          <w:lang w:val="en" w:eastAsia="en-AU"/>
        </w:rPr>
        <w:t xml:space="preserve">ct associated with your </w:t>
      </w:r>
      <w:r w:rsidR="009A0F89" w:rsidRPr="00402B0C">
        <w:rPr>
          <w:rFonts w:asciiTheme="majorHAnsi" w:hAnsiTheme="majorHAnsi"/>
          <w:lang w:val="en" w:eastAsia="en-AU"/>
        </w:rPr>
        <w:t>business</w:t>
      </w:r>
      <w:r w:rsidRPr="00402B0C">
        <w:rPr>
          <w:rFonts w:asciiTheme="majorHAnsi" w:hAnsiTheme="majorHAnsi"/>
          <w:lang w:val="en" w:eastAsia="en-AU"/>
        </w:rPr>
        <w:t xml:space="preserve"> is retained on the IPPRS. This information can only be viewed by Commonwealth </w:t>
      </w:r>
      <w:r w:rsidR="00EF792B" w:rsidRPr="00402B0C">
        <w:rPr>
          <w:rFonts w:asciiTheme="majorHAnsi" w:hAnsiTheme="majorHAnsi"/>
          <w:lang w:val="en" w:eastAsia="en-AU"/>
        </w:rPr>
        <w:t>entities</w:t>
      </w:r>
      <w:r w:rsidR="00AB7A3B" w:rsidRPr="00402B0C">
        <w:rPr>
          <w:rFonts w:asciiTheme="majorHAnsi" w:hAnsiTheme="majorHAnsi"/>
          <w:lang w:val="en" w:eastAsia="en-AU"/>
        </w:rPr>
        <w:t xml:space="preserve"> </w:t>
      </w:r>
      <w:r w:rsidRPr="00402B0C">
        <w:rPr>
          <w:rFonts w:asciiTheme="majorHAnsi" w:hAnsiTheme="majorHAnsi"/>
          <w:lang w:val="en" w:eastAsia="en-AU"/>
        </w:rPr>
        <w:t>for the purpose of contract management, aggregate IPP reporting and to support the assessment of future tender prop</w:t>
      </w:r>
      <w:r w:rsidR="00C9209F" w:rsidRPr="00402B0C">
        <w:rPr>
          <w:rFonts w:asciiTheme="majorHAnsi" w:hAnsiTheme="majorHAnsi"/>
          <w:lang w:val="en" w:eastAsia="en-AU"/>
        </w:rPr>
        <w:t xml:space="preserve">osals from your </w:t>
      </w:r>
      <w:r w:rsidR="009A0F89" w:rsidRPr="00402B0C">
        <w:rPr>
          <w:rFonts w:asciiTheme="majorHAnsi" w:hAnsiTheme="majorHAnsi"/>
          <w:lang w:val="en" w:eastAsia="en-AU"/>
        </w:rPr>
        <w:t>business</w:t>
      </w:r>
      <w:r w:rsidRPr="00402B0C">
        <w:rPr>
          <w:rFonts w:asciiTheme="majorHAnsi" w:hAnsiTheme="majorHAnsi"/>
          <w:lang w:val="en" w:eastAsia="en-AU"/>
        </w:rPr>
        <w:t xml:space="preserve">. </w:t>
      </w:r>
      <w:r w:rsidR="006E5FBB">
        <w:rPr>
          <w:rFonts w:asciiTheme="majorHAnsi" w:hAnsiTheme="majorHAnsi"/>
          <w:lang w:val="en" w:eastAsia="en-AU"/>
        </w:rPr>
        <w:t>C</w:t>
      </w:r>
      <w:r w:rsidRPr="00402B0C">
        <w:rPr>
          <w:rFonts w:asciiTheme="majorHAnsi" w:hAnsiTheme="majorHAnsi"/>
          <w:lang w:val="en" w:eastAsia="en-AU"/>
        </w:rPr>
        <w:t>ompliance infor</w:t>
      </w:r>
      <w:r w:rsidR="00C9209F" w:rsidRPr="00402B0C">
        <w:rPr>
          <w:rFonts w:asciiTheme="majorHAnsi" w:hAnsiTheme="majorHAnsi"/>
          <w:lang w:val="en" w:eastAsia="en-AU"/>
        </w:rPr>
        <w:t xml:space="preserve">mation relating to your </w:t>
      </w:r>
      <w:r w:rsidR="009A0F89" w:rsidRPr="00402B0C">
        <w:rPr>
          <w:rFonts w:asciiTheme="majorHAnsi" w:hAnsiTheme="majorHAnsi"/>
          <w:lang w:val="en" w:eastAsia="en-AU"/>
        </w:rPr>
        <w:t>business</w:t>
      </w:r>
      <w:r w:rsidRPr="00402B0C">
        <w:rPr>
          <w:rFonts w:asciiTheme="majorHAnsi" w:hAnsiTheme="majorHAnsi"/>
          <w:lang w:val="en" w:eastAsia="en-AU"/>
        </w:rPr>
        <w:t xml:space="preserve"> </w:t>
      </w:r>
      <w:r w:rsidR="006E5FBB">
        <w:rPr>
          <w:rFonts w:asciiTheme="majorHAnsi" w:hAnsiTheme="majorHAnsi"/>
          <w:lang w:val="en" w:eastAsia="en-AU"/>
        </w:rPr>
        <w:t xml:space="preserve">can be viewed </w:t>
      </w:r>
      <w:r w:rsidRPr="00402B0C">
        <w:rPr>
          <w:rFonts w:asciiTheme="majorHAnsi" w:hAnsiTheme="majorHAnsi"/>
          <w:lang w:val="en" w:eastAsia="en-AU"/>
        </w:rPr>
        <w:t>through the IPPRS.</w:t>
      </w:r>
    </w:p>
    <w:p w:rsidR="00BA64A4" w:rsidRPr="000B514E" w:rsidRDefault="00BA64A4" w:rsidP="00BA64A4">
      <w:pPr>
        <w:pStyle w:val="Heading4"/>
      </w:pPr>
      <w:r>
        <w:t>5.2.9</w:t>
      </w:r>
      <w:r w:rsidRPr="000B514E">
        <w:t xml:space="preserve"> Indigenous Procurement Policy Reporting Solution (IPPRS)</w:t>
      </w:r>
    </w:p>
    <w:p w:rsidR="00BA64A4" w:rsidRDefault="00BA64A4" w:rsidP="00BA64A4">
      <w:pPr>
        <w:spacing w:line="276" w:lineRule="auto"/>
        <w:rPr>
          <w:rFonts w:asciiTheme="majorHAnsi" w:hAnsiTheme="majorHAnsi"/>
        </w:rPr>
      </w:pPr>
      <w:r w:rsidRPr="00402B0C">
        <w:rPr>
          <w:rFonts w:asciiTheme="majorHAnsi" w:hAnsiTheme="majorHAnsi"/>
        </w:rPr>
        <w:t>The IPPRS is the central Commonwealth database used to record data on the IPP</w:t>
      </w:r>
      <w:r>
        <w:rPr>
          <w:rFonts w:asciiTheme="majorHAnsi" w:hAnsiTheme="majorHAnsi"/>
        </w:rPr>
        <w:t xml:space="preserve"> and managed by the NIAA</w:t>
      </w:r>
      <w:r w:rsidRPr="00402B0C">
        <w:rPr>
          <w:rFonts w:asciiTheme="majorHAnsi" w:hAnsiTheme="majorHAnsi"/>
        </w:rPr>
        <w:t xml:space="preserve">. </w:t>
      </w:r>
      <w:r>
        <w:rPr>
          <w:rFonts w:asciiTheme="majorHAnsi" w:hAnsiTheme="majorHAnsi"/>
        </w:rPr>
        <w:t xml:space="preserve"> S</w:t>
      </w:r>
      <w:r w:rsidRPr="00402B0C">
        <w:rPr>
          <w:rFonts w:asciiTheme="majorHAnsi" w:hAnsiTheme="majorHAnsi"/>
        </w:rPr>
        <w:t>upplier</w:t>
      </w:r>
      <w:r>
        <w:rPr>
          <w:rFonts w:asciiTheme="majorHAnsi" w:hAnsiTheme="majorHAnsi"/>
        </w:rPr>
        <w:t>s</w:t>
      </w:r>
      <w:r w:rsidRPr="00402B0C">
        <w:rPr>
          <w:rFonts w:asciiTheme="majorHAnsi" w:hAnsiTheme="majorHAnsi"/>
        </w:rPr>
        <w:t xml:space="preserve"> </w:t>
      </w:r>
      <w:r w:rsidR="00B72BE3">
        <w:rPr>
          <w:rFonts w:asciiTheme="majorHAnsi" w:hAnsiTheme="majorHAnsi"/>
        </w:rPr>
        <w:t xml:space="preserve">are </w:t>
      </w:r>
      <w:r w:rsidRPr="00402B0C">
        <w:rPr>
          <w:rFonts w:asciiTheme="majorHAnsi" w:hAnsiTheme="majorHAnsi"/>
        </w:rPr>
        <w:t xml:space="preserve">required to enter online progress reports against MMR targets into the IPPRS over the term of each contract. </w:t>
      </w:r>
    </w:p>
    <w:p w:rsidR="00BA64A4" w:rsidRPr="00402B0C" w:rsidRDefault="00BA64A4" w:rsidP="00BA64A4">
      <w:pPr>
        <w:spacing w:line="276" w:lineRule="auto"/>
        <w:rPr>
          <w:rFonts w:asciiTheme="majorHAnsi" w:hAnsiTheme="majorHAnsi"/>
        </w:rPr>
      </w:pPr>
      <w:r w:rsidRPr="00402B0C">
        <w:rPr>
          <w:rFonts w:asciiTheme="majorHAnsi" w:hAnsiTheme="majorHAnsi"/>
        </w:rPr>
        <w:t xml:space="preserve">The IPPRS also includes MMR ratings from completed contracts, which are used by procuring officials when assessing new submissions subject to MMR requirements. </w:t>
      </w:r>
    </w:p>
    <w:p w:rsidR="00BA64A4" w:rsidRDefault="00BA64A4" w:rsidP="00BA64A4">
      <w:pPr>
        <w:spacing w:line="276" w:lineRule="auto"/>
        <w:rPr>
          <w:rFonts w:asciiTheme="majorHAnsi" w:hAnsiTheme="majorHAnsi"/>
        </w:rPr>
      </w:pPr>
      <w:r w:rsidRPr="00402B0C">
        <w:rPr>
          <w:rFonts w:asciiTheme="majorHAnsi" w:hAnsiTheme="majorHAnsi"/>
        </w:rPr>
        <w:t xml:space="preserve">If your business does not already have access to the IPPRS, the procuring official will provide </w:t>
      </w:r>
      <w:r>
        <w:rPr>
          <w:rFonts w:asciiTheme="majorHAnsi" w:hAnsiTheme="majorHAnsi"/>
        </w:rPr>
        <w:t>your nominated contact</w:t>
      </w:r>
      <w:r w:rsidRPr="00402B0C">
        <w:rPr>
          <w:rFonts w:asciiTheme="majorHAnsi" w:hAnsiTheme="majorHAnsi"/>
        </w:rPr>
        <w:t xml:space="preserve"> with access to the system at no cost. The IPPRS is a Microsoft Dynamics 365 web application and is accessible via a compatible web browser and desktop operating system. A </w:t>
      </w:r>
      <w:hyperlink r:id="rId32" w:history="1">
        <w:r w:rsidRPr="00402B0C">
          <w:rPr>
            <w:rFonts w:asciiTheme="majorHAnsi" w:hAnsiTheme="majorHAnsi"/>
            <w:color w:val="0289C8" w:themeColor="hyperlink"/>
            <w:u w:val="single"/>
          </w:rPr>
          <w:t>welcome pack for industry contractors</w:t>
        </w:r>
      </w:hyperlink>
      <w:r w:rsidRPr="00402B0C">
        <w:rPr>
          <w:rFonts w:asciiTheme="majorHAnsi" w:hAnsiTheme="majorHAnsi"/>
          <w:color w:val="0289C8" w:themeColor="hyperlink"/>
          <w:u w:val="single"/>
        </w:rPr>
        <w:t xml:space="preserve"> (Guide 4.)</w:t>
      </w:r>
      <w:r w:rsidRPr="00402B0C">
        <w:rPr>
          <w:rFonts w:asciiTheme="majorHAnsi" w:hAnsiTheme="majorHAnsi"/>
        </w:rPr>
        <w:t xml:space="preserve"> is available on the NIAA website and provides information on using the IPPRS. </w:t>
      </w:r>
      <w:r>
        <w:rPr>
          <w:rFonts w:asciiTheme="majorHAnsi" w:hAnsiTheme="majorHAnsi"/>
        </w:rPr>
        <w:t xml:space="preserve"> </w:t>
      </w:r>
    </w:p>
    <w:p w:rsidR="00BA64A4" w:rsidRPr="00402B0C" w:rsidRDefault="00BA64A4" w:rsidP="00BA64A4">
      <w:pPr>
        <w:spacing w:line="276" w:lineRule="auto"/>
        <w:rPr>
          <w:rFonts w:asciiTheme="majorHAnsi" w:hAnsiTheme="majorHAnsi"/>
        </w:rPr>
      </w:pPr>
      <w:r w:rsidRPr="005F0EA6">
        <w:rPr>
          <w:rFonts w:asciiTheme="majorHAnsi" w:hAnsiTheme="majorHAnsi"/>
          <w:b/>
        </w:rPr>
        <w:t>Note:</w:t>
      </w:r>
      <w:r w:rsidRPr="005F0EA6">
        <w:rPr>
          <w:rFonts w:asciiTheme="majorHAnsi" w:hAnsiTheme="majorHAnsi"/>
        </w:rPr>
        <w:t xml:space="preserve"> </w:t>
      </w:r>
      <w:r w:rsidRPr="00F90C9A">
        <w:rPr>
          <w:rFonts w:asciiTheme="majorHAnsi" w:hAnsiTheme="majorHAnsi"/>
        </w:rPr>
        <w:t xml:space="preserve">Section </w:t>
      </w:r>
      <w:r>
        <w:rPr>
          <w:rFonts w:asciiTheme="majorHAnsi" w:hAnsiTheme="majorHAnsi"/>
        </w:rPr>
        <w:t xml:space="preserve">10.0 - </w:t>
      </w:r>
      <w:r w:rsidRPr="00F90C9A">
        <w:rPr>
          <w:rFonts w:asciiTheme="majorHAnsi" w:hAnsiTheme="majorHAnsi"/>
        </w:rPr>
        <w:t>Resources</w:t>
      </w:r>
      <w:r>
        <w:rPr>
          <w:rFonts w:asciiTheme="majorHAnsi" w:hAnsiTheme="majorHAnsi"/>
        </w:rPr>
        <w:t xml:space="preserve"> provides other useful links on accessing IPPRS.</w:t>
      </w:r>
    </w:p>
    <w:p w:rsidR="00F45F22" w:rsidRDefault="009A47B6" w:rsidP="005F0EA6">
      <w:pPr>
        <w:pStyle w:val="Heading2"/>
        <w:rPr>
          <w:bdr w:val="none" w:sz="0" w:space="0" w:color="auto" w:frame="1"/>
          <w:lang w:val="en" w:eastAsia="en-AU"/>
        </w:rPr>
      </w:pPr>
      <w:bookmarkStart w:id="43" w:name="_Toc43385066"/>
      <w:r>
        <w:rPr>
          <w:bdr w:val="none" w:sz="0" w:space="0" w:color="auto" w:frame="1"/>
          <w:lang w:val="en" w:eastAsia="en-AU"/>
        </w:rPr>
        <w:t>6</w:t>
      </w:r>
      <w:r w:rsidR="00F45F22">
        <w:rPr>
          <w:bdr w:val="none" w:sz="0" w:space="0" w:color="auto" w:frame="1"/>
          <w:lang w:val="en" w:eastAsia="en-AU"/>
        </w:rPr>
        <w:t>.0 Records Management</w:t>
      </w:r>
      <w:bookmarkEnd w:id="43"/>
    </w:p>
    <w:p w:rsidR="00A92625" w:rsidRDefault="00103275" w:rsidP="00F45F22">
      <w:pPr>
        <w:pStyle w:val="BodyText"/>
        <w:rPr>
          <w:rFonts w:asciiTheme="majorHAnsi" w:eastAsia="Times New Roman" w:hAnsiTheme="majorHAnsi" w:cstheme="minorHAnsi"/>
          <w:color w:val="1E1E1E"/>
          <w:spacing w:val="5"/>
          <w:bdr w:val="none" w:sz="0" w:space="0" w:color="auto" w:frame="1"/>
          <w:lang w:val="en" w:eastAsia="en-AU"/>
        </w:rPr>
      </w:pPr>
      <w:r>
        <w:rPr>
          <w:rFonts w:asciiTheme="majorHAnsi" w:eastAsia="Times New Roman" w:hAnsiTheme="majorHAnsi" w:cstheme="minorHAnsi"/>
          <w:color w:val="1E1E1E"/>
          <w:spacing w:val="5"/>
          <w:bdr w:val="none" w:sz="0" w:space="0" w:color="auto" w:frame="1"/>
          <w:lang w:val="en" w:eastAsia="en-AU"/>
        </w:rPr>
        <w:t>Suppliers</w:t>
      </w:r>
      <w:r w:rsidR="00F45F22" w:rsidRPr="00402B0C">
        <w:rPr>
          <w:rFonts w:asciiTheme="majorHAnsi" w:eastAsia="Times New Roman" w:hAnsiTheme="majorHAnsi" w:cstheme="minorHAnsi"/>
          <w:color w:val="1E1E1E"/>
          <w:spacing w:val="5"/>
          <w:bdr w:val="none" w:sz="0" w:space="0" w:color="auto" w:frame="1"/>
          <w:lang w:val="en" w:eastAsia="en-AU"/>
        </w:rPr>
        <w:t xml:space="preserve"> are expected to maintain internal records in accordance with records management requirements detailed in </w:t>
      </w:r>
      <w:r>
        <w:rPr>
          <w:rFonts w:asciiTheme="majorHAnsi" w:eastAsia="Times New Roman" w:hAnsiTheme="majorHAnsi" w:cstheme="minorHAnsi"/>
          <w:color w:val="1E1E1E"/>
          <w:spacing w:val="5"/>
          <w:bdr w:val="none" w:sz="0" w:space="0" w:color="auto" w:frame="1"/>
          <w:lang w:val="en" w:eastAsia="en-AU"/>
        </w:rPr>
        <w:t>their</w:t>
      </w:r>
      <w:r w:rsidR="00F45F22" w:rsidRPr="00402B0C">
        <w:rPr>
          <w:rFonts w:asciiTheme="majorHAnsi" w:eastAsia="Times New Roman" w:hAnsiTheme="majorHAnsi" w:cstheme="minorHAnsi"/>
          <w:color w:val="1E1E1E"/>
          <w:spacing w:val="5"/>
          <w:bdr w:val="none" w:sz="0" w:space="0" w:color="auto" w:frame="1"/>
          <w:lang w:val="en" w:eastAsia="en-AU"/>
        </w:rPr>
        <w:t xml:space="preserve"> contract. Such records </w:t>
      </w:r>
      <w:r w:rsidR="00A92625">
        <w:rPr>
          <w:rFonts w:asciiTheme="majorHAnsi" w:eastAsia="Times New Roman" w:hAnsiTheme="majorHAnsi" w:cstheme="minorHAnsi"/>
          <w:color w:val="1E1E1E"/>
          <w:spacing w:val="5"/>
          <w:bdr w:val="none" w:sz="0" w:space="0" w:color="auto" w:frame="1"/>
          <w:lang w:val="en" w:eastAsia="en-AU"/>
        </w:rPr>
        <w:t xml:space="preserve">must </w:t>
      </w:r>
      <w:r w:rsidR="00F45F22" w:rsidRPr="00402B0C">
        <w:rPr>
          <w:rFonts w:asciiTheme="majorHAnsi" w:eastAsia="Times New Roman" w:hAnsiTheme="majorHAnsi" w:cstheme="minorHAnsi"/>
          <w:color w:val="1E1E1E"/>
          <w:spacing w:val="5"/>
          <w:bdr w:val="none" w:sz="0" w:space="0" w:color="auto" w:frame="1"/>
          <w:lang w:val="en" w:eastAsia="en-AU"/>
        </w:rPr>
        <w:t>support claims relating to Indigenous employment and the use o</w:t>
      </w:r>
      <w:r>
        <w:rPr>
          <w:rFonts w:asciiTheme="majorHAnsi" w:eastAsia="Times New Roman" w:hAnsiTheme="majorHAnsi" w:cstheme="minorHAnsi"/>
          <w:color w:val="1E1E1E"/>
          <w:spacing w:val="5"/>
          <w:bdr w:val="none" w:sz="0" w:space="0" w:color="auto" w:frame="1"/>
          <w:lang w:val="en" w:eastAsia="en-AU"/>
        </w:rPr>
        <w:t xml:space="preserve">f Indigenous businesses in </w:t>
      </w:r>
      <w:r w:rsidR="00F45F22" w:rsidRPr="00402B0C">
        <w:rPr>
          <w:rFonts w:asciiTheme="majorHAnsi" w:eastAsia="Times New Roman" w:hAnsiTheme="majorHAnsi" w:cstheme="minorHAnsi"/>
          <w:color w:val="1E1E1E"/>
          <w:spacing w:val="5"/>
          <w:bdr w:val="none" w:sz="0" w:space="0" w:color="auto" w:frame="1"/>
          <w:lang w:val="en" w:eastAsia="en-AU"/>
        </w:rPr>
        <w:t>supply chain</w:t>
      </w:r>
      <w:r>
        <w:rPr>
          <w:rFonts w:asciiTheme="majorHAnsi" w:eastAsia="Times New Roman" w:hAnsiTheme="majorHAnsi" w:cstheme="minorHAnsi"/>
          <w:color w:val="1E1E1E"/>
          <w:spacing w:val="5"/>
          <w:bdr w:val="none" w:sz="0" w:space="0" w:color="auto" w:frame="1"/>
          <w:lang w:val="en" w:eastAsia="en-AU"/>
        </w:rPr>
        <w:t>s</w:t>
      </w:r>
      <w:r w:rsidR="00F45F22" w:rsidRPr="00402B0C">
        <w:rPr>
          <w:rFonts w:asciiTheme="majorHAnsi" w:eastAsia="Times New Roman" w:hAnsiTheme="majorHAnsi" w:cstheme="minorHAnsi"/>
          <w:color w:val="1E1E1E"/>
          <w:spacing w:val="5"/>
          <w:bdr w:val="none" w:sz="0" w:space="0" w:color="auto" w:frame="1"/>
          <w:lang w:val="en" w:eastAsia="en-AU"/>
        </w:rPr>
        <w:t xml:space="preserve">. </w:t>
      </w:r>
      <w:r w:rsidR="00F37D74">
        <w:rPr>
          <w:rFonts w:asciiTheme="majorHAnsi" w:eastAsia="Times New Roman" w:hAnsiTheme="majorHAnsi" w:cstheme="minorHAnsi"/>
          <w:color w:val="1E1E1E"/>
          <w:spacing w:val="5"/>
          <w:bdr w:val="none" w:sz="0" w:space="0" w:color="auto" w:frame="1"/>
          <w:lang w:val="en" w:eastAsia="en-AU"/>
        </w:rPr>
        <w:t>Agencies can request this documentation and/or audit it.</w:t>
      </w:r>
    </w:p>
    <w:p w:rsidR="00F45F22" w:rsidRPr="00C42194" w:rsidRDefault="00A92625" w:rsidP="00F45F22">
      <w:pPr>
        <w:pStyle w:val="BodyText"/>
        <w:rPr>
          <w:lang w:val="en" w:eastAsia="en-AU"/>
        </w:rPr>
      </w:pPr>
      <w:r>
        <w:rPr>
          <w:rFonts w:asciiTheme="majorHAnsi" w:eastAsia="Times New Roman" w:hAnsiTheme="majorHAnsi" w:cstheme="minorHAnsi"/>
          <w:color w:val="1E1E1E"/>
          <w:spacing w:val="5"/>
          <w:bdr w:val="none" w:sz="0" w:space="0" w:color="auto" w:frame="1"/>
          <w:lang w:val="en" w:eastAsia="en-AU"/>
        </w:rPr>
        <w:lastRenderedPageBreak/>
        <w:t>When reporting via the IPPRS the indigeneity of a businesses in confirmed via a data</w:t>
      </w:r>
      <w:r w:rsidR="00BA64A4">
        <w:rPr>
          <w:rFonts w:asciiTheme="majorHAnsi" w:eastAsia="Times New Roman" w:hAnsiTheme="majorHAnsi" w:cstheme="minorHAnsi"/>
          <w:color w:val="1E1E1E"/>
          <w:spacing w:val="5"/>
          <w:bdr w:val="none" w:sz="0" w:space="0" w:color="auto" w:frame="1"/>
          <w:lang w:val="en" w:eastAsia="en-AU"/>
        </w:rPr>
        <w:t xml:space="preserve"> </w:t>
      </w:r>
      <w:r>
        <w:rPr>
          <w:rFonts w:asciiTheme="majorHAnsi" w:eastAsia="Times New Roman" w:hAnsiTheme="majorHAnsi" w:cstheme="minorHAnsi"/>
          <w:color w:val="1E1E1E"/>
          <w:spacing w:val="5"/>
          <w:bdr w:val="none" w:sz="0" w:space="0" w:color="auto" w:frame="1"/>
          <w:lang w:val="en" w:eastAsia="en-AU"/>
        </w:rPr>
        <w:t xml:space="preserve">matching of the ABN with Supply Nation and ORICs database. </w:t>
      </w:r>
      <w:r w:rsidR="00103275">
        <w:rPr>
          <w:rFonts w:asciiTheme="majorHAnsi" w:eastAsia="Times New Roman" w:hAnsiTheme="majorHAnsi" w:cstheme="minorHAnsi"/>
          <w:color w:val="1E1E1E"/>
          <w:spacing w:val="5"/>
          <w:bdr w:val="none" w:sz="0" w:space="0" w:color="auto" w:frame="1"/>
          <w:lang w:val="en" w:eastAsia="en-AU"/>
        </w:rPr>
        <w:t>Suppliers</w:t>
      </w:r>
      <w:r w:rsidR="00F45F22" w:rsidRPr="00402B0C">
        <w:rPr>
          <w:rFonts w:asciiTheme="majorHAnsi" w:hAnsiTheme="majorHAnsi"/>
        </w:rPr>
        <w:t xml:space="preserve"> should maintain records of the indigeneity of businesses that are not verified as being registered with ORIC or with Supply Nation at the time </w:t>
      </w:r>
      <w:r w:rsidR="00103275">
        <w:rPr>
          <w:rFonts w:asciiTheme="majorHAnsi" w:hAnsiTheme="majorHAnsi"/>
        </w:rPr>
        <w:t>a</w:t>
      </w:r>
      <w:r w:rsidR="00F45F22" w:rsidRPr="00402B0C">
        <w:rPr>
          <w:rFonts w:asciiTheme="majorHAnsi" w:hAnsiTheme="majorHAnsi"/>
        </w:rPr>
        <w:t xml:space="preserve"> report was submitted.</w:t>
      </w:r>
    </w:p>
    <w:p w:rsidR="008212C7" w:rsidRPr="000B514E" w:rsidRDefault="009A47B6" w:rsidP="000B514E">
      <w:pPr>
        <w:pStyle w:val="Heading2"/>
      </w:pPr>
      <w:bookmarkStart w:id="44" w:name="_Toc43385067"/>
      <w:r>
        <w:t>7</w:t>
      </w:r>
      <w:r w:rsidR="00702C7A" w:rsidRPr="000B514E">
        <w:t>.</w:t>
      </w:r>
      <w:r w:rsidR="00031E27">
        <w:t>0</w:t>
      </w:r>
      <w:r w:rsidR="00031E27">
        <w:tab/>
      </w:r>
      <w:r w:rsidR="008212C7" w:rsidRPr="000B514E">
        <w:t>Achieving MMR targets - Indigenous employment</w:t>
      </w:r>
      <w:bookmarkEnd w:id="44"/>
    </w:p>
    <w:p w:rsidR="008212C7" w:rsidRDefault="00C9209F" w:rsidP="008212C7">
      <w:pPr>
        <w:spacing w:line="276" w:lineRule="auto"/>
        <w:rPr>
          <w:rFonts w:asciiTheme="majorHAnsi" w:hAnsiTheme="majorHAnsi"/>
          <w:lang w:val="en-US" w:eastAsia="en-AU"/>
        </w:rPr>
      </w:pPr>
      <w:r w:rsidRPr="00402B0C">
        <w:rPr>
          <w:rFonts w:asciiTheme="majorHAnsi" w:hAnsiTheme="majorHAnsi"/>
          <w:lang w:val="en-US" w:eastAsia="en-AU"/>
        </w:rPr>
        <w:t xml:space="preserve">If your </w:t>
      </w:r>
      <w:r w:rsidR="009A0F89" w:rsidRPr="00402B0C">
        <w:rPr>
          <w:rFonts w:asciiTheme="majorHAnsi" w:hAnsiTheme="majorHAnsi"/>
          <w:lang w:val="en-US" w:eastAsia="en-AU"/>
        </w:rPr>
        <w:t>business</w:t>
      </w:r>
      <w:r w:rsidR="008212C7" w:rsidRPr="00402B0C">
        <w:rPr>
          <w:rFonts w:asciiTheme="majorHAnsi" w:hAnsiTheme="majorHAnsi"/>
          <w:lang w:val="en-US" w:eastAsia="en-AU"/>
        </w:rPr>
        <w:t xml:space="preserve"> has agreed to Indigenous employment targets </w:t>
      </w:r>
      <w:r w:rsidR="00F37D74">
        <w:rPr>
          <w:rFonts w:asciiTheme="majorHAnsi" w:hAnsiTheme="majorHAnsi"/>
          <w:lang w:val="en-US" w:eastAsia="en-AU"/>
        </w:rPr>
        <w:t>you</w:t>
      </w:r>
      <w:r w:rsidR="00F37D74" w:rsidRPr="00402B0C">
        <w:rPr>
          <w:rFonts w:asciiTheme="majorHAnsi" w:hAnsiTheme="majorHAnsi"/>
          <w:lang w:val="en-US" w:eastAsia="en-AU"/>
        </w:rPr>
        <w:t xml:space="preserve"> </w:t>
      </w:r>
      <w:r w:rsidR="008212C7" w:rsidRPr="00402B0C">
        <w:rPr>
          <w:rFonts w:asciiTheme="majorHAnsi" w:hAnsiTheme="majorHAnsi"/>
          <w:lang w:val="en-US" w:eastAsia="en-AU"/>
        </w:rPr>
        <w:t xml:space="preserve">will likely need to recruit and retain Indigenous employees into your workforce. </w:t>
      </w:r>
    </w:p>
    <w:p w:rsidR="00AE57DB" w:rsidRPr="008212C7" w:rsidRDefault="00AE57DB" w:rsidP="00AE57DB">
      <w:pPr>
        <w:spacing w:line="276" w:lineRule="auto"/>
      </w:pPr>
      <w:r w:rsidRPr="00402B0C">
        <w:rPr>
          <w:rFonts w:asciiTheme="majorHAnsi" w:hAnsiTheme="majorHAnsi"/>
          <w:lang w:val="en-US" w:eastAsia="en-AU"/>
        </w:rPr>
        <w:t xml:space="preserve">Your business can access a range of support services and programs to assist in the recruitment of job-ready Indigenous employees and, if required, provide post-placement wrap-around support for your business and your employees. </w:t>
      </w:r>
      <w:r w:rsidR="00094BB0">
        <w:rPr>
          <w:rFonts w:asciiTheme="majorHAnsi" w:hAnsiTheme="majorHAnsi"/>
          <w:lang w:val="en-US" w:eastAsia="en-AU"/>
        </w:rPr>
        <w:t xml:space="preserve">These are outlined in section 7.1 </w:t>
      </w:r>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Developing a relationship with local Indigenous communities in the region(s) where the contract is to be delivered is a useful first step in the process to identify potential Indigenous employees. If yo</w:t>
      </w:r>
      <w:r w:rsidR="00C9209F" w:rsidRPr="00402B0C">
        <w:rPr>
          <w:rFonts w:asciiTheme="majorHAnsi" w:hAnsiTheme="majorHAnsi"/>
          <w:lang w:val="en-US" w:eastAsia="en-AU"/>
        </w:rPr>
        <w:t xml:space="preserve">ur </w:t>
      </w:r>
      <w:r w:rsidR="009A0F89" w:rsidRPr="00402B0C">
        <w:rPr>
          <w:rFonts w:asciiTheme="majorHAnsi" w:hAnsiTheme="majorHAnsi"/>
          <w:lang w:val="en-US" w:eastAsia="en-AU"/>
        </w:rPr>
        <w:t>business</w:t>
      </w:r>
      <w:r w:rsidR="00C9209F" w:rsidRPr="00402B0C">
        <w:rPr>
          <w:rFonts w:asciiTheme="majorHAnsi" w:hAnsiTheme="majorHAnsi"/>
          <w:lang w:val="en-US" w:eastAsia="en-AU"/>
        </w:rPr>
        <w:t xml:space="preserve"> </w:t>
      </w:r>
      <w:r w:rsidRPr="00402B0C">
        <w:rPr>
          <w:rFonts w:asciiTheme="majorHAnsi" w:hAnsiTheme="majorHAnsi"/>
          <w:lang w:val="en-US" w:eastAsia="en-AU"/>
        </w:rPr>
        <w:t>does not have existing relationships,</w:t>
      </w:r>
      <w:r w:rsidR="00F67BDC">
        <w:rPr>
          <w:rFonts w:asciiTheme="majorHAnsi" w:hAnsiTheme="majorHAnsi"/>
          <w:lang w:val="en-US" w:eastAsia="en-AU"/>
        </w:rPr>
        <w:t xml:space="preserve"> it</w:t>
      </w:r>
      <w:r w:rsidRPr="00402B0C">
        <w:rPr>
          <w:rFonts w:asciiTheme="majorHAnsi" w:hAnsiTheme="majorHAnsi"/>
          <w:lang w:val="en-US" w:eastAsia="en-AU"/>
        </w:rPr>
        <w:t xml:space="preserve"> could make contact with </w:t>
      </w:r>
      <w:r w:rsidR="009212F9" w:rsidRPr="00402B0C">
        <w:rPr>
          <w:rFonts w:asciiTheme="majorHAnsi" w:hAnsiTheme="majorHAnsi"/>
          <w:lang w:val="en-US" w:eastAsia="en-AU"/>
        </w:rPr>
        <w:t>a</w:t>
      </w:r>
      <w:r w:rsidRPr="00402B0C">
        <w:rPr>
          <w:rFonts w:asciiTheme="majorHAnsi" w:hAnsiTheme="majorHAnsi"/>
          <w:lang w:val="en-US" w:eastAsia="en-AU"/>
        </w:rPr>
        <w:t xml:space="preserve"> local employment services provider</w:t>
      </w:r>
      <w:r w:rsidR="00C600E6">
        <w:rPr>
          <w:rFonts w:asciiTheme="majorHAnsi" w:hAnsiTheme="majorHAnsi"/>
          <w:lang w:val="en-US" w:eastAsia="en-AU"/>
        </w:rPr>
        <w:t xml:space="preserve">, </w:t>
      </w:r>
      <w:r w:rsidR="00C600E6" w:rsidRPr="00402B0C">
        <w:rPr>
          <w:rFonts w:asciiTheme="majorHAnsi" w:hAnsiTheme="majorHAnsi"/>
          <w:lang w:val="en-US" w:eastAsia="en-AU"/>
        </w:rPr>
        <w:t>a</w:t>
      </w:r>
      <w:r w:rsidR="000B3A8E" w:rsidRPr="00402B0C">
        <w:rPr>
          <w:rFonts w:asciiTheme="majorHAnsi" w:hAnsiTheme="majorHAnsi"/>
          <w:lang w:val="en-US" w:eastAsia="en-AU"/>
        </w:rPr>
        <w:t xml:space="preserve"> local Indigenous land council, </w:t>
      </w:r>
      <w:r w:rsidRPr="00402B0C">
        <w:rPr>
          <w:rFonts w:asciiTheme="majorHAnsi" w:hAnsiTheme="majorHAnsi"/>
          <w:lang w:val="en-US" w:eastAsia="en-AU"/>
        </w:rPr>
        <w:t>or ot</w:t>
      </w:r>
      <w:r w:rsidR="00C9209F" w:rsidRPr="00402B0C">
        <w:rPr>
          <w:rFonts w:asciiTheme="majorHAnsi" w:hAnsiTheme="majorHAnsi"/>
          <w:lang w:val="en-US" w:eastAsia="en-AU"/>
        </w:rPr>
        <w:t>her Indigenous community organis</w:t>
      </w:r>
      <w:r w:rsidRPr="00402B0C">
        <w:rPr>
          <w:rFonts w:asciiTheme="majorHAnsi" w:hAnsiTheme="majorHAnsi"/>
          <w:lang w:val="en-US" w:eastAsia="en-AU"/>
        </w:rPr>
        <w:t>ation</w:t>
      </w:r>
      <w:r w:rsidR="00C7434B" w:rsidRPr="00402B0C">
        <w:rPr>
          <w:rFonts w:asciiTheme="majorHAnsi" w:hAnsiTheme="majorHAnsi"/>
          <w:lang w:val="en-US" w:eastAsia="en-AU"/>
        </w:rPr>
        <w:t>s</w:t>
      </w:r>
      <w:r w:rsidRPr="00402B0C">
        <w:rPr>
          <w:rFonts w:asciiTheme="majorHAnsi" w:hAnsiTheme="majorHAnsi"/>
          <w:lang w:val="en-US" w:eastAsia="en-AU"/>
        </w:rPr>
        <w:t xml:space="preserve">. </w:t>
      </w:r>
      <w:r w:rsidR="00AB7A3B" w:rsidRPr="00402B0C">
        <w:rPr>
          <w:rFonts w:asciiTheme="majorHAnsi" w:hAnsiTheme="majorHAnsi"/>
          <w:lang w:val="en-US" w:eastAsia="en-AU"/>
        </w:rPr>
        <w:t>The</w:t>
      </w:r>
      <w:r w:rsidR="009212F9" w:rsidRPr="00402B0C">
        <w:rPr>
          <w:rFonts w:asciiTheme="majorHAnsi" w:hAnsiTheme="majorHAnsi"/>
          <w:lang w:val="en-US" w:eastAsia="en-AU"/>
        </w:rPr>
        <w:t xml:space="preserve"> NIAA regional networks may also assist</w:t>
      </w:r>
      <w:r w:rsidR="009A47B6">
        <w:rPr>
          <w:rFonts w:asciiTheme="majorHAnsi" w:hAnsiTheme="majorHAnsi"/>
          <w:lang w:val="en-US" w:eastAsia="en-AU"/>
        </w:rPr>
        <w:t xml:space="preserve"> (refer to Section 10.0</w:t>
      </w:r>
      <w:r w:rsidR="00C02750">
        <w:rPr>
          <w:rFonts w:asciiTheme="majorHAnsi" w:hAnsiTheme="majorHAnsi"/>
          <w:lang w:val="en-US" w:eastAsia="en-AU"/>
        </w:rPr>
        <w:t xml:space="preserve"> – Resources)</w:t>
      </w:r>
      <w:r w:rsidR="009212F9" w:rsidRPr="00402B0C">
        <w:rPr>
          <w:rFonts w:asciiTheme="majorHAnsi" w:hAnsiTheme="majorHAnsi"/>
          <w:lang w:val="en-US" w:eastAsia="en-AU"/>
        </w:rPr>
        <w:t>.</w:t>
      </w:r>
    </w:p>
    <w:p w:rsidR="008212C7" w:rsidRPr="000B514E" w:rsidRDefault="009A47B6">
      <w:pPr>
        <w:pStyle w:val="Heading3"/>
        <w:rPr>
          <w:lang w:val="en-US" w:eastAsia="en-AU"/>
        </w:rPr>
      </w:pPr>
      <w:bookmarkStart w:id="45" w:name="_Toc43385068"/>
      <w:r>
        <w:rPr>
          <w:lang w:val="en-US" w:eastAsia="en-AU"/>
        </w:rPr>
        <w:t>7</w:t>
      </w:r>
      <w:r w:rsidR="000B514E">
        <w:rPr>
          <w:lang w:val="en-US" w:eastAsia="en-AU"/>
        </w:rPr>
        <w:t xml:space="preserve">.1 </w:t>
      </w:r>
      <w:r w:rsidR="008212C7" w:rsidRPr="000B514E">
        <w:rPr>
          <w:lang w:val="en-US" w:eastAsia="en-AU"/>
        </w:rPr>
        <w:t>Commonwealth employment services and post-placement support for Indigenous employees</w:t>
      </w:r>
      <w:bookmarkEnd w:id="45"/>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The Australian Government offers a range of services, at no additional cos</w:t>
      </w:r>
      <w:r w:rsidR="00C9209F" w:rsidRPr="00402B0C">
        <w:rPr>
          <w:rFonts w:asciiTheme="majorHAnsi" w:hAnsiTheme="majorHAnsi"/>
          <w:lang w:val="en-US" w:eastAsia="en-AU"/>
        </w:rPr>
        <w:t xml:space="preserve">t, that can assist </w:t>
      </w:r>
      <w:r w:rsidR="009A0F89" w:rsidRPr="00402B0C">
        <w:rPr>
          <w:rFonts w:asciiTheme="majorHAnsi" w:hAnsiTheme="majorHAnsi"/>
          <w:lang w:val="en-US" w:eastAsia="en-AU"/>
        </w:rPr>
        <w:t>business</w:t>
      </w:r>
      <w:r w:rsidR="00103275">
        <w:rPr>
          <w:rFonts w:asciiTheme="majorHAnsi" w:hAnsiTheme="majorHAnsi"/>
          <w:lang w:val="en-US" w:eastAsia="en-AU"/>
        </w:rPr>
        <w:t>es</w:t>
      </w:r>
      <w:r w:rsidRPr="00402B0C">
        <w:rPr>
          <w:rFonts w:asciiTheme="majorHAnsi" w:hAnsiTheme="majorHAnsi"/>
          <w:lang w:val="en-US" w:eastAsia="en-AU"/>
        </w:rPr>
        <w:t xml:space="preserve"> identify Indigenous employees and provide pre- and post-placement support to assist </w:t>
      </w:r>
      <w:r w:rsidR="00C02750">
        <w:rPr>
          <w:rFonts w:asciiTheme="majorHAnsi" w:hAnsiTheme="majorHAnsi"/>
          <w:lang w:val="en-US" w:eastAsia="en-AU"/>
        </w:rPr>
        <w:t>in</w:t>
      </w:r>
      <w:r w:rsidRPr="00402B0C">
        <w:rPr>
          <w:rFonts w:asciiTheme="majorHAnsi" w:hAnsiTheme="majorHAnsi"/>
          <w:lang w:val="en-US" w:eastAsia="en-AU"/>
        </w:rPr>
        <w:t xml:space="preserve"> the employee in settling into the job. These include:</w:t>
      </w:r>
    </w:p>
    <w:p w:rsidR="008212C7" w:rsidRPr="00402B0C" w:rsidRDefault="004E6E7B" w:rsidP="008212C7">
      <w:pPr>
        <w:spacing w:line="276" w:lineRule="auto"/>
        <w:rPr>
          <w:rFonts w:asciiTheme="majorHAnsi" w:hAnsiTheme="majorHAnsi"/>
          <w:lang w:val="en-US" w:eastAsia="en-AU"/>
        </w:rPr>
      </w:pPr>
      <w:hyperlink r:id="rId33" w:history="1">
        <w:r w:rsidR="008212C7" w:rsidRPr="005F0EA6">
          <w:rPr>
            <w:rStyle w:val="Hyperlink"/>
            <w:rFonts w:asciiTheme="majorHAnsi" w:hAnsiTheme="majorHAnsi"/>
            <w:lang w:val="en-US" w:eastAsia="en-AU"/>
          </w:rPr>
          <w:t>jobactive</w:t>
        </w:r>
      </w:hyperlink>
      <w:r w:rsidR="008212C7" w:rsidRPr="00402B0C">
        <w:rPr>
          <w:rFonts w:asciiTheme="majorHAnsi" w:hAnsiTheme="majorHAnsi"/>
          <w:lang w:val="en-US" w:eastAsia="en-AU"/>
        </w:rPr>
        <w:t xml:space="preserve"> is the Government’s recruitment service that helps connect employers with job seekers in 1,700 locations in metropolitan and regional areas. jobactive providers can offer a tailored recruitment ser</w:t>
      </w:r>
      <w:r w:rsidR="00C9209F" w:rsidRPr="00402B0C">
        <w:rPr>
          <w:rFonts w:asciiTheme="majorHAnsi" w:hAnsiTheme="majorHAnsi"/>
          <w:lang w:val="en-US" w:eastAsia="en-AU"/>
        </w:rPr>
        <w:t xml:space="preserve">vice at no cost to </w:t>
      </w:r>
      <w:r w:rsidR="009A0F89" w:rsidRPr="00402B0C">
        <w:rPr>
          <w:rFonts w:asciiTheme="majorHAnsi" w:hAnsiTheme="majorHAnsi"/>
          <w:lang w:val="en-US" w:eastAsia="en-AU"/>
        </w:rPr>
        <w:t>business</w:t>
      </w:r>
      <w:r w:rsidR="00103275">
        <w:rPr>
          <w:rFonts w:asciiTheme="majorHAnsi" w:hAnsiTheme="majorHAnsi"/>
          <w:lang w:val="en-US" w:eastAsia="en-AU"/>
        </w:rPr>
        <w:t>es</w:t>
      </w:r>
      <w:r w:rsidR="008212C7" w:rsidRPr="00402B0C">
        <w:rPr>
          <w:rFonts w:asciiTheme="majorHAnsi" w:hAnsiTheme="majorHAnsi"/>
          <w:lang w:val="en-US" w:eastAsia="en-AU"/>
        </w:rPr>
        <w:t>.</w:t>
      </w:r>
    </w:p>
    <w:p w:rsidR="008212C7" w:rsidRPr="00402B0C" w:rsidRDefault="004E6E7B" w:rsidP="008212C7">
      <w:pPr>
        <w:spacing w:line="276" w:lineRule="auto"/>
        <w:rPr>
          <w:rFonts w:asciiTheme="majorHAnsi" w:hAnsiTheme="majorHAnsi"/>
          <w:lang w:val="en-US" w:eastAsia="en-AU"/>
        </w:rPr>
      </w:pPr>
      <w:hyperlink r:id="rId34" w:history="1">
        <w:r w:rsidR="008212C7" w:rsidRPr="005F0EA6">
          <w:rPr>
            <w:rStyle w:val="Hyperlink"/>
            <w:rFonts w:asciiTheme="majorHAnsi" w:hAnsiTheme="majorHAnsi"/>
          </w:rPr>
          <w:t>Transition to Work</w:t>
        </w:r>
      </w:hyperlink>
      <w:r w:rsidR="008212C7" w:rsidRPr="00402B0C">
        <w:rPr>
          <w:rFonts w:asciiTheme="majorHAnsi" w:hAnsiTheme="majorHAnsi"/>
          <w:b/>
          <w:lang w:val="en-US" w:eastAsia="en-AU"/>
        </w:rPr>
        <w:t xml:space="preserve"> </w:t>
      </w:r>
      <w:r w:rsidR="008212C7" w:rsidRPr="00402B0C">
        <w:rPr>
          <w:rFonts w:asciiTheme="majorHAnsi" w:hAnsiTheme="majorHAnsi"/>
          <w:lang w:val="en-US" w:eastAsia="en-AU"/>
        </w:rPr>
        <w:t>provide intensive, pre-employment support to improve the work-readiness of young people and help them into work (including apprenticeships and traineeships) or education.</w:t>
      </w:r>
    </w:p>
    <w:p w:rsidR="008212C7" w:rsidRPr="00402B0C" w:rsidRDefault="004E6E7B" w:rsidP="008212C7">
      <w:pPr>
        <w:spacing w:line="276" w:lineRule="auto"/>
        <w:rPr>
          <w:rFonts w:asciiTheme="majorHAnsi" w:hAnsiTheme="majorHAnsi"/>
          <w:lang w:val="en-US" w:eastAsia="en-AU"/>
        </w:rPr>
      </w:pPr>
      <w:hyperlink r:id="rId35" w:history="1">
        <w:r w:rsidR="008212C7" w:rsidRPr="005F0EA6">
          <w:rPr>
            <w:rStyle w:val="Hyperlink"/>
            <w:rFonts w:asciiTheme="majorHAnsi" w:hAnsiTheme="majorHAnsi"/>
          </w:rPr>
          <w:t>Disability Employment Services</w:t>
        </w:r>
      </w:hyperlink>
      <w:r w:rsidR="008212C7" w:rsidRPr="00402B0C">
        <w:rPr>
          <w:rFonts w:asciiTheme="majorHAnsi" w:hAnsiTheme="majorHAnsi"/>
          <w:b/>
          <w:lang w:val="en-US" w:eastAsia="en-AU"/>
        </w:rPr>
        <w:t xml:space="preserve"> (DES) </w:t>
      </w:r>
      <w:r w:rsidR="008212C7" w:rsidRPr="00402B0C">
        <w:rPr>
          <w:rFonts w:asciiTheme="majorHAnsi" w:hAnsiTheme="majorHAnsi"/>
          <w:lang w:val="en-US" w:eastAsia="en-AU"/>
        </w:rPr>
        <w:t xml:space="preserve">helps people with disability, injury or health condition find work and keep a job. Assistance can include employment preparation, workplace modifications and ongoing support to help employers. </w:t>
      </w:r>
    </w:p>
    <w:p w:rsidR="008212C7" w:rsidRPr="00402B0C" w:rsidRDefault="004E6E7B" w:rsidP="008212C7">
      <w:pPr>
        <w:spacing w:line="276" w:lineRule="auto"/>
        <w:rPr>
          <w:rFonts w:asciiTheme="majorHAnsi" w:hAnsiTheme="majorHAnsi"/>
          <w:lang w:val="en-US" w:eastAsia="en-AU"/>
        </w:rPr>
      </w:pPr>
      <w:hyperlink r:id="rId36" w:history="1">
        <w:r w:rsidR="008212C7" w:rsidRPr="005F0EA6">
          <w:rPr>
            <w:rStyle w:val="Hyperlink"/>
            <w:rFonts w:asciiTheme="majorHAnsi" w:hAnsiTheme="majorHAnsi"/>
          </w:rPr>
          <w:t>Community Development Program</w:t>
        </w:r>
      </w:hyperlink>
      <w:r w:rsidR="008212C7" w:rsidRPr="00402B0C">
        <w:rPr>
          <w:rFonts w:asciiTheme="majorHAnsi" w:hAnsiTheme="majorHAnsi"/>
          <w:b/>
          <w:lang w:val="en-US" w:eastAsia="en-AU"/>
        </w:rPr>
        <w:t xml:space="preserve"> (CDP) </w:t>
      </w:r>
      <w:r w:rsidR="008212C7" w:rsidRPr="00402B0C">
        <w:rPr>
          <w:rFonts w:asciiTheme="majorHAnsi" w:hAnsiTheme="majorHAnsi"/>
          <w:lang w:val="en-US" w:eastAsia="en-AU"/>
        </w:rPr>
        <w:t>is the Government’s employment and community development service in remote Australia. CDP Providers can assist you</w:t>
      </w:r>
      <w:r w:rsidR="00103275">
        <w:rPr>
          <w:rFonts w:asciiTheme="majorHAnsi" w:hAnsiTheme="majorHAnsi"/>
          <w:lang w:val="en-US" w:eastAsia="en-AU"/>
        </w:rPr>
        <w:t>r business</w:t>
      </w:r>
      <w:r w:rsidR="008212C7" w:rsidRPr="00402B0C">
        <w:rPr>
          <w:rFonts w:asciiTheme="majorHAnsi" w:hAnsiTheme="majorHAnsi"/>
          <w:lang w:val="en-US" w:eastAsia="en-AU"/>
        </w:rPr>
        <w:t xml:space="preserve"> to recruit staff, including Indigenous Australians, across remote Australia.</w:t>
      </w: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622603" w:rsidRDefault="00622603" w:rsidP="008212C7">
      <w:pPr>
        <w:spacing w:line="276" w:lineRule="auto"/>
        <w:rPr>
          <w:rFonts w:asciiTheme="majorHAnsi" w:hAnsiTheme="majorHAnsi"/>
          <w:b/>
          <w:u w:val="single"/>
          <w:lang w:val="en-US" w:eastAsia="en-AU"/>
        </w:rPr>
      </w:pPr>
    </w:p>
    <w:p w:rsidR="008212C7" w:rsidRPr="005F0EA6" w:rsidRDefault="008212C7" w:rsidP="008212C7">
      <w:pPr>
        <w:spacing w:line="276" w:lineRule="auto"/>
        <w:rPr>
          <w:rFonts w:asciiTheme="majorHAnsi" w:hAnsiTheme="majorHAnsi"/>
          <w:b/>
          <w:u w:val="single"/>
          <w:lang w:val="en-US" w:eastAsia="en-AU"/>
        </w:rPr>
      </w:pPr>
      <w:r w:rsidRPr="005F0EA6">
        <w:rPr>
          <w:rFonts w:asciiTheme="majorHAnsi" w:hAnsiTheme="majorHAnsi"/>
          <w:b/>
          <w:u w:val="single"/>
          <w:lang w:val="en-US" w:eastAsia="en-AU"/>
        </w:rPr>
        <w:lastRenderedPageBreak/>
        <w:t>Indigenous specific services include:</w:t>
      </w:r>
    </w:p>
    <w:p w:rsidR="008212C7" w:rsidRPr="00402B0C" w:rsidRDefault="004E6E7B" w:rsidP="008212C7">
      <w:pPr>
        <w:spacing w:line="276" w:lineRule="auto"/>
        <w:rPr>
          <w:rFonts w:asciiTheme="majorHAnsi" w:eastAsia="Times New Roman" w:hAnsiTheme="majorHAnsi" w:cs="Calibri"/>
          <w:lang w:val="en-US" w:eastAsia="en-AU"/>
        </w:rPr>
      </w:pPr>
      <w:hyperlink r:id="rId37" w:history="1">
        <w:r w:rsidR="008212C7" w:rsidRPr="005F0EA6">
          <w:rPr>
            <w:rStyle w:val="Hyperlink"/>
            <w:rFonts w:asciiTheme="majorHAnsi" w:hAnsiTheme="majorHAnsi"/>
          </w:rPr>
          <w:t>Vocational Training and Employment Centres</w:t>
        </w:r>
      </w:hyperlink>
      <w:r w:rsidR="008212C7" w:rsidRPr="00402B0C">
        <w:rPr>
          <w:rFonts w:asciiTheme="majorHAnsi" w:eastAsia="Times New Roman" w:hAnsiTheme="majorHAnsi" w:cs="Calibri"/>
          <w:b/>
          <w:lang w:val="en-US" w:eastAsia="en-AU"/>
        </w:rPr>
        <w:t xml:space="preserve"> (VTECs) </w:t>
      </w:r>
      <w:r w:rsidR="008212C7" w:rsidRPr="00402B0C">
        <w:rPr>
          <w:rFonts w:asciiTheme="majorHAnsi" w:eastAsia="Times New Roman" w:hAnsiTheme="majorHAnsi" w:cs="Calibri"/>
          <w:lang w:val="en-US" w:eastAsia="en-AU"/>
        </w:rPr>
        <w:t>providers connect Indigenous job seekers with guaranteed jobs and bring together the support services necessary to prepare job seekers for long-term employment. VTEC was created to end training for training’s sake, with the key features of:</w:t>
      </w:r>
    </w:p>
    <w:p w:rsidR="008212C7" w:rsidRPr="00402B0C" w:rsidRDefault="008212C7" w:rsidP="008212C7">
      <w:pPr>
        <w:numPr>
          <w:ilvl w:val="0"/>
          <w:numId w:val="24"/>
        </w:numPr>
        <w:spacing w:line="276" w:lineRule="auto"/>
        <w:contextualSpacing/>
        <w:rPr>
          <w:rFonts w:asciiTheme="majorHAnsi" w:eastAsia="Times New Roman" w:hAnsiTheme="majorHAnsi" w:cs="Calibri"/>
          <w:lang w:val="en-US" w:eastAsia="en-AU"/>
        </w:rPr>
      </w:pPr>
      <w:r w:rsidRPr="00402B0C">
        <w:rPr>
          <w:rFonts w:asciiTheme="majorHAnsi" w:eastAsia="Times New Roman" w:hAnsiTheme="majorHAnsi" w:cs="Calibri"/>
          <w:lang w:val="en-US" w:eastAsia="en-AU"/>
        </w:rPr>
        <w:t>an opt-in model for job seekers and employers;</w:t>
      </w:r>
    </w:p>
    <w:p w:rsidR="008212C7" w:rsidRPr="00402B0C" w:rsidRDefault="008212C7" w:rsidP="008212C7">
      <w:pPr>
        <w:numPr>
          <w:ilvl w:val="0"/>
          <w:numId w:val="24"/>
        </w:numPr>
        <w:spacing w:line="276" w:lineRule="auto"/>
        <w:contextualSpacing/>
        <w:rPr>
          <w:rFonts w:asciiTheme="majorHAnsi" w:eastAsia="Times New Roman" w:hAnsiTheme="majorHAnsi" w:cs="Calibri"/>
          <w:lang w:val="en-US" w:eastAsia="en-AU"/>
        </w:rPr>
      </w:pPr>
      <w:r w:rsidRPr="00402B0C">
        <w:rPr>
          <w:rFonts w:asciiTheme="majorHAnsi" w:eastAsia="Times New Roman" w:hAnsiTheme="majorHAnsi" w:cs="Calibri"/>
          <w:lang w:val="en-US" w:eastAsia="en-AU"/>
        </w:rPr>
        <w:t xml:space="preserve">a guaranteed job before job-specific training starts; </w:t>
      </w:r>
    </w:p>
    <w:p w:rsidR="008212C7" w:rsidRPr="00402B0C" w:rsidRDefault="008212C7" w:rsidP="008212C7">
      <w:pPr>
        <w:numPr>
          <w:ilvl w:val="0"/>
          <w:numId w:val="24"/>
        </w:numPr>
        <w:spacing w:line="276" w:lineRule="auto"/>
        <w:contextualSpacing/>
        <w:rPr>
          <w:rFonts w:asciiTheme="majorHAnsi" w:eastAsia="Times New Roman" w:hAnsiTheme="majorHAnsi" w:cs="Calibri"/>
          <w:lang w:val="en-US" w:eastAsia="en-AU"/>
        </w:rPr>
      </w:pPr>
      <w:r w:rsidRPr="00402B0C">
        <w:rPr>
          <w:rFonts w:asciiTheme="majorHAnsi" w:eastAsia="Times New Roman" w:hAnsiTheme="majorHAnsi" w:cs="Calibri"/>
          <w:lang w:val="en-US" w:eastAsia="en-AU"/>
        </w:rPr>
        <w:t>mentoring on the job in the critical first 26 weeks of work; and</w:t>
      </w:r>
    </w:p>
    <w:p w:rsidR="008212C7" w:rsidRPr="00402B0C" w:rsidRDefault="008212C7" w:rsidP="008212C7">
      <w:pPr>
        <w:numPr>
          <w:ilvl w:val="0"/>
          <w:numId w:val="24"/>
        </w:numPr>
        <w:spacing w:line="276" w:lineRule="auto"/>
        <w:contextualSpacing/>
        <w:rPr>
          <w:rFonts w:asciiTheme="majorHAnsi" w:eastAsia="Times New Roman" w:hAnsiTheme="majorHAnsi" w:cs="Calibri"/>
          <w:lang w:val="en-US" w:eastAsia="en-AU"/>
        </w:rPr>
      </w:pPr>
      <w:r w:rsidRPr="00402B0C">
        <w:rPr>
          <w:rFonts w:asciiTheme="majorHAnsi" w:eastAsia="Times New Roman" w:hAnsiTheme="majorHAnsi" w:cs="Calibri"/>
          <w:lang w:val="en-US" w:eastAsia="en-AU"/>
        </w:rPr>
        <w:t>support for employers to build cultural competency.</w:t>
      </w:r>
    </w:p>
    <w:p w:rsidR="00702C7A" w:rsidRPr="00402B0C" w:rsidRDefault="00702C7A" w:rsidP="00702C7A">
      <w:pPr>
        <w:spacing w:line="276" w:lineRule="auto"/>
        <w:ind w:left="720"/>
        <w:contextualSpacing/>
        <w:rPr>
          <w:rFonts w:asciiTheme="majorHAnsi" w:eastAsia="Times New Roman" w:hAnsiTheme="majorHAnsi" w:cs="Calibri"/>
          <w:lang w:val="en-US" w:eastAsia="en-AU"/>
        </w:rPr>
      </w:pPr>
    </w:p>
    <w:p w:rsidR="008212C7" w:rsidRPr="00402B0C" w:rsidRDefault="004E6E7B" w:rsidP="008212C7">
      <w:pPr>
        <w:spacing w:line="276" w:lineRule="auto"/>
        <w:rPr>
          <w:rFonts w:asciiTheme="majorHAnsi" w:hAnsiTheme="majorHAnsi"/>
          <w:lang w:val="en-US" w:eastAsia="en-AU"/>
        </w:rPr>
      </w:pPr>
      <w:hyperlink r:id="rId38" w:history="1">
        <w:r w:rsidR="008212C7" w:rsidRPr="005F0EA6">
          <w:rPr>
            <w:rStyle w:val="Hyperlink"/>
            <w:rFonts w:asciiTheme="majorHAnsi" w:hAnsiTheme="majorHAnsi"/>
          </w:rPr>
          <w:t>Tailored Assistance and Employment Grants</w:t>
        </w:r>
      </w:hyperlink>
      <w:r w:rsidR="008212C7" w:rsidRPr="00402B0C">
        <w:rPr>
          <w:rFonts w:asciiTheme="majorHAnsi" w:hAnsiTheme="majorHAnsi"/>
          <w:b/>
          <w:lang w:val="en-US" w:eastAsia="en-AU"/>
        </w:rPr>
        <w:t xml:space="preserve"> (TAEG) </w:t>
      </w:r>
      <w:r w:rsidR="008212C7" w:rsidRPr="00402B0C">
        <w:rPr>
          <w:rFonts w:asciiTheme="majorHAnsi" w:hAnsiTheme="majorHAnsi"/>
          <w:lang w:val="en-US" w:eastAsia="en-AU"/>
        </w:rPr>
        <w:t>are available to provide funding support to for employers and service providers to connect working age Indigenous Australians with real and sustainable jobs, as well as assisting Indigenous school students to transition from education into sustainable employment. This can include support for employers to engage and retain Indigenous job seekers in ongoing jobs, including post-placement support.</w:t>
      </w:r>
      <w:r w:rsidR="008212C7" w:rsidRPr="00402B0C">
        <w:rPr>
          <w:rFonts w:asciiTheme="majorHAnsi" w:eastAsia="Times New Roman" w:hAnsiTheme="majorHAnsi" w:cs="Calibri"/>
          <w:lang w:val="en-US" w:eastAsia="en-AU"/>
        </w:rPr>
        <w:t xml:space="preserve"> </w:t>
      </w:r>
    </w:p>
    <w:p w:rsidR="008212C7" w:rsidRPr="00402B0C" w:rsidRDefault="004E6E7B" w:rsidP="008212C7">
      <w:pPr>
        <w:spacing w:line="276" w:lineRule="auto"/>
        <w:rPr>
          <w:rFonts w:asciiTheme="majorHAnsi" w:eastAsia="Times New Roman" w:hAnsiTheme="majorHAnsi" w:cs="Calibri"/>
          <w:lang w:val="en-US" w:eastAsia="en-AU"/>
        </w:rPr>
      </w:pPr>
      <w:hyperlink r:id="rId39" w:history="1">
        <w:r w:rsidR="008212C7" w:rsidRPr="005F0EA6">
          <w:rPr>
            <w:rStyle w:val="Hyperlink"/>
            <w:rFonts w:asciiTheme="majorHAnsi" w:hAnsiTheme="majorHAnsi"/>
          </w:rPr>
          <w:t>Employment Parity Initiative</w:t>
        </w:r>
      </w:hyperlink>
      <w:r w:rsidR="008212C7" w:rsidRPr="00402B0C">
        <w:rPr>
          <w:rFonts w:asciiTheme="majorHAnsi" w:hAnsiTheme="majorHAnsi"/>
          <w:b/>
          <w:lang w:val="en-US" w:eastAsia="en-AU"/>
        </w:rPr>
        <w:t xml:space="preserve"> (EPI) - </w:t>
      </w:r>
      <w:r w:rsidR="008212C7" w:rsidRPr="00402B0C">
        <w:rPr>
          <w:rFonts w:asciiTheme="majorHAnsi" w:hAnsiTheme="majorHAnsi"/>
          <w:lang w:val="en-US" w:eastAsia="en-AU"/>
        </w:rPr>
        <w:t xml:space="preserve">the aim of EPI is to increase Indigenous employment in large companies to reflect the proportion of the Indigenous population nationally (approximately 3 per cent). EPI provider contracts are flexible, long-term arrangements that provide employers with funding certainty to do what is needed to attract and retain Indigenous employees. This includes vocational and non-vocational training, mentoring and additional on-the-job support. </w:t>
      </w:r>
    </w:p>
    <w:p w:rsidR="008212C7" w:rsidRPr="000B514E" w:rsidRDefault="009A47B6" w:rsidP="000B514E">
      <w:pPr>
        <w:pStyle w:val="Heading3"/>
        <w:rPr>
          <w:lang w:val="en-US" w:eastAsia="en-AU"/>
        </w:rPr>
      </w:pPr>
      <w:bookmarkStart w:id="46" w:name="_Toc43385069"/>
      <w:r>
        <w:rPr>
          <w:lang w:val="en-US" w:eastAsia="en-AU"/>
        </w:rPr>
        <w:t>7</w:t>
      </w:r>
      <w:r w:rsidR="000B514E">
        <w:rPr>
          <w:lang w:val="en-US" w:eastAsia="en-AU"/>
        </w:rPr>
        <w:t xml:space="preserve">.2 </w:t>
      </w:r>
      <w:r w:rsidR="008212C7" w:rsidRPr="000B514E">
        <w:rPr>
          <w:lang w:val="en-US" w:eastAsia="en-AU"/>
        </w:rPr>
        <w:t>State and territory government employment programs and services</w:t>
      </w:r>
      <w:bookmarkEnd w:id="46"/>
    </w:p>
    <w:p w:rsidR="008212C7" w:rsidRPr="00402B0C" w:rsidRDefault="008212C7" w:rsidP="008212C7">
      <w:pPr>
        <w:rPr>
          <w:rFonts w:asciiTheme="majorHAnsi" w:hAnsiTheme="majorHAnsi"/>
          <w:lang w:val="en-US" w:eastAsia="en-AU"/>
        </w:rPr>
      </w:pPr>
      <w:r w:rsidRPr="00402B0C">
        <w:rPr>
          <w:rFonts w:asciiTheme="majorHAnsi" w:hAnsiTheme="majorHAnsi"/>
          <w:lang w:val="en-US" w:eastAsia="en-AU"/>
        </w:rPr>
        <w:t>State and territory governments may offer a range of programs and s</w:t>
      </w:r>
      <w:r w:rsidR="00C9209F" w:rsidRPr="00402B0C">
        <w:rPr>
          <w:rFonts w:asciiTheme="majorHAnsi" w:hAnsiTheme="majorHAnsi"/>
          <w:lang w:val="en-US" w:eastAsia="en-AU"/>
        </w:rPr>
        <w:t xml:space="preserve">ervices to assist your </w:t>
      </w:r>
      <w:r w:rsidR="009A0F89" w:rsidRPr="00402B0C">
        <w:rPr>
          <w:rFonts w:asciiTheme="majorHAnsi" w:hAnsiTheme="majorHAnsi"/>
          <w:lang w:val="en-US" w:eastAsia="en-AU"/>
        </w:rPr>
        <w:t>business</w:t>
      </w:r>
      <w:r w:rsidR="00C9209F" w:rsidRPr="00402B0C">
        <w:rPr>
          <w:rFonts w:asciiTheme="majorHAnsi" w:hAnsiTheme="majorHAnsi"/>
          <w:lang w:val="en-US" w:eastAsia="en-AU"/>
        </w:rPr>
        <w:t xml:space="preserve"> </w:t>
      </w:r>
      <w:r w:rsidRPr="00402B0C">
        <w:rPr>
          <w:rFonts w:asciiTheme="majorHAnsi" w:hAnsiTheme="majorHAnsi"/>
          <w:lang w:val="en-US" w:eastAsia="en-AU"/>
        </w:rPr>
        <w:t>to employ and r</w:t>
      </w:r>
      <w:r w:rsidR="00C9209F" w:rsidRPr="00402B0C">
        <w:rPr>
          <w:rFonts w:asciiTheme="majorHAnsi" w:hAnsiTheme="majorHAnsi"/>
          <w:lang w:val="en-US" w:eastAsia="en-AU"/>
        </w:rPr>
        <w:t>etain employees</w:t>
      </w:r>
      <w:r w:rsidRPr="00402B0C">
        <w:rPr>
          <w:rFonts w:asciiTheme="majorHAnsi" w:hAnsiTheme="majorHAnsi"/>
          <w:lang w:val="en-US" w:eastAsia="en-AU"/>
        </w:rPr>
        <w:t>, including Indigenous employees. You</w:t>
      </w:r>
      <w:r w:rsidR="00C02750">
        <w:rPr>
          <w:rFonts w:asciiTheme="majorHAnsi" w:hAnsiTheme="majorHAnsi"/>
          <w:lang w:val="en-US" w:eastAsia="en-AU"/>
        </w:rPr>
        <w:t>r business</w:t>
      </w:r>
      <w:r w:rsidRPr="00402B0C">
        <w:rPr>
          <w:rFonts w:asciiTheme="majorHAnsi" w:hAnsiTheme="majorHAnsi"/>
          <w:lang w:val="en-US" w:eastAsia="en-AU"/>
        </w:rPr>
        <w:t xml:space="preserve"> can learn more about these programs by contacting the agency with responsibility for </w:t>
      </w:r>
      <w:r w:rsidR="00C9209F" w:rsidRPr="00402B0C">
        <w:rPr>
          <w:rFonts w:asciiTheme="majorHAnsi" w:hAnsiTheme="majorHAnsi"/>
          <w:lang w:val="en-US" w:eastAsia="en-AU"/>
        </w:rPr>
        <w:t>business</w:t>
      </w:r>
      <w:r w:rsidRPr="00402B0C">
        <w:rPr>
          <w:rFonts w:asciiTheme="majorHAnsi" w:hAnsiTheme="majorHAnsi"/>
          <w:lang w:val="en-US" w:eastAsia="en-AU"/>
        </w:rPr>
        <w:t xml:space="preserve"> support in your state or territory.</w:t>
      </w:r>
    </w:p>
    <w:p w:rsidR="008212C7" w:rsidRPr="000B514E" w:rsidRDefault="009A47B6" w:rsidP="000B514E">
      <w:pPr>
        <w:pStyle w:val="Heading3"/>
      </w:pPr>
      <w:bookmarkStart w:id="47" w:name="_Toc43385070"/>
      <w:r>
        <w:t>7</w:t>
      </w:r>
      <w:r w:rsidR="000B514E" w:rsidRPr="000B514E">
        <w:t xml:space="preserve">.3 </w:t>
      </w:r>
      <w:r w:rsidR="008212C7" w:rsidRPr="000B514E">
        <w:t>Apprentice</w:t>
      </w:r>
      <w:r w:rsidR="0074345A">
        <w:t>ships and Group Training Organis</w:t>
      </w:r>
      <w:r w:rsidR="008212C7" w:rsidRPr="000B514E">
        <w:t>ations</w:t>
      </w:r>
      <w:bookmarkEnd w:id="47"/>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Depending on the goods or services to be provided</w:t>
      </w:r>
      <w:r w:rsidR="005674AD" w:rsidRPr="00402B0C">
        <w:rPr>
          <w:rFonts w:asciiTheme="majorHAnsi" w:hAnsiTheme="majorHAnsi"/>
          <w:lang w:val="en-US" w:eastAsia="en-AU"/>
        </w:rPr>
        <w:t>,</w:t>
      </w:r>
      <w:r w:rsidR="00C9209F" w:rsidRPr="00402B0C">
        <w:rPr>
          <w:rFonts w:asciiTheme="majorHAnsi" w:hAnsiTheme="majorHAnsi"/>
          <w:lang w:val="en-US" w:eastAsia="en-AU"/>
        </w:rPr>
        <w:t xml:space="preserve"> your </w:t>
      </w:r>
      <w:r w:rsidR="009A0F89" w:rsidRPr="00402B0C">
        <w:rPr>
          <w:rFonts w:asciiTheme="majorHAnsi" w:hAnsiTheme="majorHAnsi"/>
          <w:lang w:val="en-US" w:eastAsia="en-AU"/>
        </w:rPr>
        <w:t>business</w:t>
      </w:r>
      <w:r w:rsidR="00C9209F" w:rsidRPr="00402B0C">
        <w:rPr>
          <w:rFonts w:asciiTheme="majorHAnsi" w:hAnsiTheme="majorHAnsi"/>
          <w:lang w:val="en-US" w:eastAsia="en-AU"/>
        </w:rPr>
        <w:t xml:space="preserve"> </w:t>
      </w:r>
      <w:r w:rsidRPr="00402B0C">
        <w:rPr>
          <w:rFonts w:asciiTheme="majorHAnsi" w:hAnsiTheme="majorHAnsi"/>
          <w:lang w:val="en-US" w:eastAsia="en-AU"/>
        </w:rPr>
        <w:t>could consider hiring an Indigenous apprentice as part of building your Indigenous workforce. If you</w:t>
      </w:r>
      <w:r w:rsidR="00C02750">
        <w:rPr>
          <w:rFonts w:asciiTheme="majorHAnsi" w:hAnsiTheme="majorHAnsi"/>
          <w:lang w:val="en-US" w:eastAsia="en-AU"/>
        </w:rPr>
        <w:t>r business chooses to</w:t>
      </w:r>
      <w:r w:rsidRPr="00402B0C">
        <w:rPr>
          <w:rFonts w:asciiTheme="majorHAnsi" w:hAnsiTheme="majorHAnsi"/>
          <w:lang w:val="en-US" w:eastAsia="en-AU"/>
        </w:rPr>
        <w:t xml:space="preserve"> hire an apprentice</w:t>
      </w:r>
      <w:r w:rsidR="00094BB0">
        <w:rPr>
          <w:rFonts w:asciiTheme="majorHAnsi" w:hAnsiTheme="majorHAnsi"/>
          <w:lang w:val="en-US" w:eastAsia="en-AU"/>
        </w:rPr>
        <w:t xml:space="preserve"> your business</w:t>
      </w:r>
      <w:r w:rsidRPr="00402B0C">
        <w:rPr>
          <w:rFonts w:asciiTheme="majorHAnsi" w:hAnsiTheme="majorHAnsi"/>
          <w:lang w:val="en-US" w:eastAsia="en-AU"/>
        </w:rPr>
        <w:t xml:space="preserve"> may be eligible for a range of incentives (subject to eligibility criteria, waiting periods and time limits). Advice and assistance with recruiting, training and retaining apprentices is available from your </w:t>
      </w:r>
      <w:r w:rsidRPr="005F0EA6">
        <w:rPr>
          <w:rFonts w:asciiTheme="majorHAnsi" w:hAnsiTheme="majorHAnsi"/>
          <w:i/>
          <w:lang w:val="en-US" w:eastAsia="en-AU"/>
        </w:rPr>
        <w:t>local</w:t>
      </w:r>
      <w:r w:rsidRPr="00402B0C">
        <w:rPr>
          <w:rFonts w:asciiTheme="majorHAnsi" w:hAnsiTheme="majorHAnsi"/>
          <w:lang w:val="en-US" w:eastAsia="en-AU"/>
        </w:rPr>
        <w:t xml:space="preserve"> Australian Apprenticeship Support Network provider. </w:t>
      </w:r>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You</w:t>
      </w:r>
      <w:r w:rsidR="00103275">
        <w:rPr>
          <w:rFonts w:asciiTheme="majorHAnsi" w:hAnsiTheme="majorHAnsi"/>
          <w:lang w:val="en-US" w:eastAsia="en-AU"/>
        </w:rPr>
        <w:t>r business</w:t>
      </w:r>
      <w:r w:rsidRPr="00402B0C">
        <w:rPr>
          <w:rFonts w:asciiTheme="majorHAnsi" w:hAnsiTheme="majorHAnsi"/>
          <w:lang w:val="en-US" w:eastAsia="en-AU"/>
        </w:rPr>
        <w:t xml:space="preserve"> could consider hosting an apprentice or trainee provided through a Group Training Organi</w:t>
      </w:r>
      <w:r w:rsidR="00395A76" w:rsidRPr="00402B0C">
        <w:rPr>
          <w:rFonts w:asciiTheme="majorHAnsi" w:hAnsiTheme="majorHAnsi"/>
          <w:lang w:val="en-US" w:eastAsia="en-AU"/>
        </w:rPr>
        <w:t>s</w:t>
      </w:r>
      <w:r w:rsidRPr="00402B0C">
        <w:rPr>
          <w:rFonts w:asciiTheme="majorHAnsi" w:hAnsiTheme="majorHAnsi"/>
          <w:lang w:val="en-US" w:eastAsia="en-AU"/>
        </w:rPr>
        <w:t>ation</w:t>
      </w:r>
      <w:r w:rsidR="009A0F89" w:rsidRPr="00402B0C">
        <w:rPr>
          <w:rFonts w:asciiTheme="majorHAnsi" w:hAnsiTheme="majorHAnsi"/>
          <w:lang w:val="en-US" w:eastAsia="en-AU"/>
        </w:rPr>
        <w:t>s</w:t>
      </w:r>
      <w:r w:rsidRPr="00402B0C">
        <w:rPr>
          <w:rFonts w:asciiTheme="majorHAnsi" w:hAnsiTheme="majorHAnsi"/>
          <w:lang w:val="en-US" w:eastAsia="en-AU"/>
        </w:rPr>
        <w:t>. These</w:t>
      </w:r>
      <w:r w:rsidR="006F4DF4" w:rsidRPr="00402B0C">
        <w:rPr>
          <w:rFonts w:asciiTheme="majorHAnsi" w:hAnsiTheme="majorHAnsi"/>
          <w:lang w:val="en-US" w:eastAsia="en-AU"/>
        </w:rPr>
        <w:t xml:space="preserve"> organis</w:t>
      </w:r>
      <w:r w:rsidRPr="00402B0C">
        <w:rPr>
          <w:rFonts w:asciiTheme="majorHAnsi" w:hAnsiTheme="majorHAnsi"/>
          <w:lang w:val="en-US" w:eastAsia="en-AU"/>
        </w:rPr>
        <w:t xml:space="preserve">ations employ apprentices and trainees and place them with host for an agreed placement period. Placement periods can vary in length, from weeks, months or years. Host employers pay service charges to the Group Training </w:t>
      </w:r>
      <w:r w:rsidR="0065239F" w:rsidRPr="00402B0C">
        <w:rPr>
          <w:rFonts w:asciiTheme="majorHAnsi" w:hAnsiTheme="majorHAnsi"/>
          <w:lang w:val="en-US" w:eastAsia="en-AU"/>
        </w:rPr>
        <w:t xml:space="preserve">Organisation </w:t>
      </w:r>
      <w:r w:rsidRPr="00402B0C">
        <w:rPr>
          <w:rFonts w:asciiTheme="majorHAnsi" w:hAnsiTheme="majorHAnsi"/>
          <w:lang w:val="en-US" w:eastAsia="en-AU"/>
        </w:rPr>
        <w:t xml:space="preserve">for the period of the placement. Group training can be helpful for small and medium sized businesses that lack the resources to manage an apprentice or are unable to provide the full on the job training required for an apprenticeship.  </w:t>
      </w:r>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P</w:t>
      </w:r>
      <w:r w:rsidRPr="00402B0C">
        <w:rPr>
          <w:rFonts w:asciiTheme="majorHAnsi" w:hAnsiTheme="majorHAnsi"/>
        </w:rPr>
        <w:t xml:space="preserve">lacement of an Indigenous apprentice or trainee into your workforce, </w:t>
      </w:r>
      <w:r w:rsidR="00395A76" w:rsidRPr="00402B0C">
        <w:rPr>
          <w:rFonts w:asciiTheme="majorHAnsi" w:hAnsiTheme="majorHAnsi"/>
        </w:rPr>
        <w:t>through a Group Training Organis</w:t>
      </w:r>
      <w:r w:rsidRPr="00402B0C">
        <w:rPr>
          <w:rFonts w:asciiTheme="majorHAnsi" w:hAnsiTheme="majorHAnsi"/>
        </w:rPr>
        <w:t xml:space="preserve">ation, can contribute to an organization-based employment target under the </w:t>
      </w:r>
      <w:r w:rsidR="009E0BC2" w:rsidRPr="00402B0C">
        <w:rPr>
          <w:rFonts w:asciiTheme="majorHAnsi" w:hAnsiTheme="majorHAnsi"/>
        </w:rPr>
        <w:t>MMR</w:t>
      </w:r>
      <w:r w:rsidRPr="00402B0C">
        <w:rPr>
          <w:rFonts w:asciiTheme="majorHAnsi" w:hAnsiTheme="majorHAnsi"/>
        </w:rPr>
        <w:t xml:space="preserve"> If the trainee is supporting the delivery of the Commonwealth contract, then the placement can contribute to a contract-based employment target.</w:t>
      </w:r>
    </w:p>
    <w:p w:rsidR="008212C7" w:rsidRPr="00402B0C" w:rsidRDefault="008212C7" w:rsidP="008212C7">
      <w:pPr>
        <w:spacing w:line="276" w:lineRule="auto"/>
        <w:rPr>
          <w:rFonts w:asciiTheme="majorHAnsi" w:hAnsiTheme="majorHAnsi"/>
        </w:rPr>
      </w:pPr>
      <w:r w:rsidRPr="00402B0C">
        <w:rPr>
          <w:rFonts w:asciiTheme="majorHAnsi" w:hAnsiTheme="majorHAnsi"/>
        </w:rPr>
        <w:t xml:space="preserve">Any trainee must be engaged through a </w:t>
      </w:r>
      <w:hyperlink r:id="rId40" w:history="1">
        <w:r w:rsidRPr="00402B0C">
          <w:rPr>
            <w:rStyle w:val="Hyperlink"/>
            <w:rFonts w:asciiTheme="majorHAnsi" w:hAnsiTheme="majorHAnsi"/>
          </w:rPr>
          <w:t>nationally r</w:t>
        </w:r>
        <w:r w:rsidR="00890686" w:rsidRPr="00402B0C">
          <w:rPr>
            <w:rStyle w:val="Hyperlink"/>
            <w:rFonts w:asciiTheme="majorHAnsi" w:hAnsiTheme="majorHAnsi"/>
          </w:rPr>
          <w:t>egistered Group Training Organis</w:t>
        </w:r>
        <w:r w:rsidRPr="00402B0C">
          <w:rPr>
            <w:rStyle w:val="Hyperlink"/>
            <w:rFonts w:asciiTheme="majorHAnsi" w:hAnsiTheme="majorHAnsi"/>
          </w:rPr>
          <w:t>ation</w:t>
        </w:r>
      </w:hyperlink>
      <w:r w:rsidRPr="00402B0C">
        <w:rPr>
          <w:rFonts w:asciiTheme="majorHAnsi" w:hAnsiTheme="majorHAnsi"/>
        </w:rPr>
        <w:t xml:space="preserve"> </w:t>
      </w:r>
    </w:p>
    <w:p w:rsidR="008212C7" w:rsidRPr="000B514E" w:rsidRDefault="009A47B6" w:rsidP="000B514E">
      <w:pPr>
        <w:pStyle w:val="Heading3"/>
      </w:pPr>
      <w:bookmarkStart w:id="48" w:name="_Toc43385071"/>
      <w:r>
        <w:lastRenderedPageBreak/>
        <w:t>7</w:t>
      </w:r>
      <w:r w:rsidR="000B514E" w:rsidRPr="000B514E">
        <w:t>.</w:t>
      </w:r>
      <w:r w:rsidR="000B514E">
        <w:t>4</w:t>
      </w:r>
      <w:r w:rsidR="000B514E" w:rsidRPr="000B514E">
        <w:t xml:space="preserve"> </w:t>
      </w:r>
      <w:r w:rsidR="008212C7" w:rsidRPr="000B514E">
        <w:t>Compliance with anti-discrimination legislation</w:t>
      </w:r>
      <w:bookmarkEnd w:id="48"/>
    </w:p>
    <w:p w:rsidR="008212C7" w:rsidRPr="00402B0C" w:rsidRDefault="008212C7" w:rsidP="008212C7">
      <w:pPr>
        <w:spacing w:line="276" w:lineRule="auto"/>
        <w:textAlignment w:val="center"/>
        <w:rPr>
          <w:rFonts w:asciiTheme="majorHAnsi" w:eastAsia="Times New Roman" w:hAnsiTheme="majorHAnsi" w:cs="Calibri"/>
          <w:lang w:val="en-US" w:eastAsia="en-AU"/>
        </w:rPr>
      </w:pPr>
      <w:r w:rsidRPr="00402B0C">
        <w:rPr>
          <w:rFonts w:asciiTheme="majorHAnsi" w:eastAsia="Times New Roman" w:hAnsiTheme="majorHAnsi" w:cs="Calibri"/>
          <w:lang w:val="en-US" w:eastAsia="en-AU"/>
        </w:rPr>
        <w:t xml:space="preserve">To support compliance with MMRs your business may need to adopt a recruitment strategy to increase the representation of Indigenous Australians in your workforce. Employers may be concerned about breaching anti-discrimination laws when explicitly recruiting Indigenous Australians, however these laws include ‘special measures’ provisions to support access to opportunities for disadvantaged racial groups. The </w:t>
      </w:r>
      <w:hyperlink r:id="rId41" w:history="1">
        <w:r w:rsidRPr="005F0EA6">
          <w:rPr>
            <w:rFonts w:asciiTheme="majorHAnsi" w:eastAsia="Times New Roman" w:hAnsiTheme="majorHAnsi" w:cs="Calibri"/>
            <w:color w:val="0289C8" w:themeColor="hyperlink"/>
            <w:u w:val="single"/>
            <w:lang w:val="en-US" w:eastAsia="en-AU"/>
          </w:rPr>
          <w:t>Australian Human Rights Commission</w:t>
        </w:r>
      </w:hyperlink>
      <w:r w:rsidRPr="00402B0C">
        <w:rPr>
          <w:rFonts w:asciiTheme="majorHAnsi" w:eastAsia="Times New Roman" w:hAnsiTheme="majorHAnsi" w:cs="Calibri"/>
          <w:i/>
          <w:lang w:val="en-US" w:eastAsia="en-AU"/>
        </w:rPr>
        <w:t xml:space="preserve"> </w:t>
      </w:r>
      <w:r w:rsidRPr="00402B0C">
        <w:rPr>
          <w:rFonts w:asciiTheme="majorHAnsi" w:eastAsia="Times New Roman" w:hAnsiTheme="majorHAnsi" w:cs="Calibri"/>
          <w:lang w:val="en-US" w:eastAsia="en-AU"/>
        </w:rPr>
        <w:t xml:space="preserve">has published advice on complying with Commonwealth, state and territory anti-discrimination laws.  </w:t>
      </w:r>
    </w:p>
    <w:p w:rsidR="008212C7" w:rsidRPr="000B514E" w:rsidRDefault="009A47B6" w:rsidP="000B514E">
      <w:pPr>
        <w:pStyle w:val="Heading3"/>
      </w:pPr>
      <w:bookmarkStart w:id="49" w:name="_Toc43385072"/>
      <w:r>
        <w:t>7</w:t>
      </w:r>
      <w:r w:rsidR="000B514E" w:rsidRPr="000B514E">
        <w:t>.</w:t>
      </w:r>
      <w:r w:rsidR="000B514E">
        <w:t>5</w:t>
      </w:r>
      <w:r w:rsidR="000B514E" w:rsidRPr="000B514E">
        <w:t xml:space="preserve"> </w:t>
      </w:r>
      <w:r w:rsidR="008212C7" w:rsidRPr="000B514E">
        <w:t>Verification of Indigeneity</w:t>
      </w:r>
      <w:bookmarkEnd w:id="49"/>
    </w:p>
    <w:p w:rsidR="008212C7" w:rsidRPr="00402B0C" w:rsidRDefault="008212C7" w:rsidP="008212C7">
      <w:pPr>
        <w:rPr>
          <w:rFonts w:asciiTheme="majorHAnsi" w:hAnsiTheme="majorHAnsi"/>
          <w:lang w:val="en-US" w:eastAsia="en-AU"/>
        </w:rPr>
      </w:pPr>
      <w:r w:rsidRPr="00402B0C">
        <w:rPr>
          <w:rFonts w:asciiTheme="majorHAnsi" w:hAnsiTheme="majorHAnsi"/>
          <w:lang w:val="en-US" w:eastAsia="en-AU"/>
        </w:rPr>
        <w:t xml:space="preserve">Your business should take reasonable steps to verify whether a potential employee is an Aboriginal and/or Torres Strait Islander person. Reasonable steps could involve providing employees with an opportunity to indicate their Indigeneity, in writing, as part of employment commencement paperwork. In providing such a statement, employees should </w:t>
      </w:r>
      <w:r w:rsidR="00094BB0">
        <w:rPr>
          <w:rFonts w:asciiTheme="majorHAnsi" w:hAnsiTheme="majorHAnsi"/>
          <w:lang w:val="en-US" w:eastAsia="en-AU"/>
        </w:rPr>
        <w:t>be notified of possible consequences for providing a f</w:t>
      </w:r>
      <w:r w:rsidRPr="00402B0C">
        <w:rPr>
          <w:rFonts w:asciiTheme="majorHAnsi" w:hAnsiTheme="majorHAnsi"/>
          <w:lang w:val="en-US" w:eastAsia="en-AU"/>
        </w:rPr>
        <w:t>alse statement</w:t>
      </w:r>
      <w:r w:rsidR="00094BB0">
        <w:rPr>
          <w:rFonts w:asciiTheme="majorHAnsi" w:hAnsiTheme="majorHAnsi"/>
          <w:lang w:val="en-US" w:eastAsia="en-AU"/>
        </w:rPr>
        <w:t>.</w:t>
      </w:r>
    </w:p>
    <w:p w:rsidR="008212C7" w:rsidRPr="00702C7A" w:rsidRDefault="009A47B6" w:rsidP="000B514E">
      <w:pPr>
        <w:pStyle w:val="Heading2"/>
      </w:pPr>
      <w:bookmarkStart w:id="50" w:name="_Toc43385073"/>
      <w:r>
        <w:t>8</w:t>
      </w:r>
      <w:r w:rsidR="00702C7A">
        <w:t>.</w:t>
      </w:r>
      <w:r w:rsidR="00031E27">
        <w:t>0</w:t>
      </w:r>
      <w:r w:rsidR="00031E27">
        <w:tab/>
      </w:r>
      <w:r w:rsidR="008212C7" w:rsidRPr="00702C7A">
        <w:t>Achieving</w:t>
      </w:r>
      <w:r w:rsidR="00C02750">
        <w:t xml:space="preserve"> </w:t>
      </w:r>
      <w:r>
        <w:t xml:space="preserve">MMR targets - Indigenous supply </w:t>
      </w:r>
      <w:r w:rsidR="008212C7" w:rsidRPr="00702C7A">
        <w:t>chain</w:t>
      </w:r>
      <w:bookmarkEnd w:id="50"/>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 xml:space="preserve">If your business has agreed to Indigenous supplier targets </w:t>
      </w:r>
      <w:r w:rsidR="00F37D74">
        <w:rPr>
          <w:rFonts w:asciiTheme="majorHAnsi" w:hAnsiTheme="majorHAnsi"/>
          <w:lang w:val="en-US" w:eastAsia="en-AU"/>
        </w:rPr>
        <w:t>you</w:t>
      </w:r>
      <w:r w:rsidR="00F37D74" w:rsidRPr="00402B0C">
        <w:rPr>
          <w:rFonts w:asciiTheme="majorHAnsi" w:hAnsiTheme="majorHAnsi"/>
          <w:lang w:val="en-US" w:eastAsia="en-AU"/>
        </w:rPr>
        <w:t xml:space="preserve"> </w:t>
      </w:r>
      <w:r w:rsidRPr="00402B0C">
        <w:rPr>
          <w:rFonts w:asciiTheme="majorHAnsi" w:hAnsiTheme="majorHAnsi"/>
          <w:lang w:val="en-US" w:eastAsia="en-AU"/>
        </w:rPr>
        <w:t>will likely need to increase the number of Indigenous business</w:t>
      </w:r>
      <w:r w:rsidR="00DC285F">
        <w:rPr>
          <w:rFonts w:asciiTheme="majorHAnsi" w:hAnsiTheme="majorHAnsi"/>
          <w:lang w:val="en-US" w:eastAsia="en-AU"/>
        </w:rPr>
        <w:t>es</w:t>
      </w:r>
      <w:r w:rsidR="00094BB0">
        <w:rPr>
          <w:rFonts w:asciiTheme="majorHAnsi" w:hAnsiTheme="majorHAnsi"/>
          <w:lang w:val="en-US" w:eastAsia="en-AU"/>
        </w:rPr>
        <w:t xml:space="preserve"> that you</w:t>
      </w:r>
      <w:r w:rsidR="00DC285F">
        <w:rPr>
          <w:rFonts w:asciiTheme="majorHAnsi" w:hAnsiTheme="majorHAnsi"/>
          <w:lang w:val="en-US" w:eastAsia="en-AU"/>
        </w:rPr>
        <w:t>r businesses</w:t>
      </w:r>
      <w:r w:rsidR="00094BB0">
        <w:rPr>
          <w:rFonts w:asciiTheme="majorHAnsi" w:hAnsiTheme="majorHAnsi"/>
          <w:lang w:val="en-US" w:eastAsia="en-AU"/>
        </w:rPr>
        <w:t xml:space="preserve"> contract</w:t>
      </w:r>
      <w:r w:rsidR="00DC285F">
        <w:rPr>
          <w:rFonts w:asciiTheme="majorHAnsi" w:hAnsiTheme="majorHAnsi"/>
          <w:lang w:val="en-US" w:eastAsia="en-AU"/>
        </w:rPr>
        <w:t>s</w:t>
      </w:r>
      <w:r w:rsidR="00094BB0">
        <w:rPr>
          <w:rFonts w:asciiTheme="majorHAnsi" w:hAnsiTheme="majorHAnsi"/>
          <w:lang w:val="en-US" w:eastAsia="en-AU"/>
        </w:rPr>
        <w:t xml:space="preserve"> with or purchase</w:t>
      </w:r>
      <w:r w:rsidR="00DC285F">
        <w:rPr>
          <w:rFonts w:asciiTheme="majorHAnsi" w:hAnsiTheme="majorHAnsi"/>
          <w:lang w:val="en-US" w:eastAsia="en-AU"/>
        </w:rPr>
        <w:t xml:space="preserve">s </w:t>
      </w:r>
      <w:r w:rsidR="00094BB0">
        <w:rPr>
          <w:rFonts w:asciiTheme="majorHAnsi" w:hAnsiTheme="majorHAnsi"/>
          <w:lang w:val="en-US" w:eastAsia="en-AU"/>
        </w:rPr>
        <w:t xml:space="preserve">from. </w:t>
      </w:r>
      <w:r w:rsidRPr="00402B0C">
        <w:rPr>
          <w:rFonts w:asciiTheme="majorHAnsi" w:hAnsiTheme="majorHAnsi"/>
          <w:lang w:val="en-US" w:eastAsia="en-AU"/>
        </w:rPr>
        <w:t xml:space="preserve"> </w:t>
      </w:r>
    </w:p>
    <w:p w:rsidR="008212C7" w:rsidRPr="00402B0C" w:rsidRDefault="008212C7" w:rsidP="008212C7">
      <w:pPr>
        <w:spacing w:line="276" w:lineRule="auto"/>
        <w:rPr>
          <w:rFonts w:asciiTheme="majorHAnsi" w:hAnsiTheme="majorHAnsi"/>
          <w:lang w:val="en-US" w:eastAsia="en-AU"/>
        </w:rPr>
      </w:pPr>
      <w:r w:rsidRPr="00402B0C">
        <w:rPr>
          <w:rFonts w:asciiTheme="majorHAnsi" w:hAnsiTheme="majorHAnsi"/>
          <w:lang w:val="en-US" w:eastAsia="en-AU"/>
        </w:rPr>
        <w:t>For contract-based targets, you</w:t>
      </w:r>
      <w:r w:rsidR="00720915">
        <w:rPr>
          <w:rFonts w:asciiTheme="majorHAnsi" w:hAnsiTheme="majorHAnsi"/>
          <w:lang w:val="en-US" w:eastAsia="en-AU"/>
        </w:rPr>
        <w:t>r business</w:t>
      </w:r>
      <w:r w:rsidRPr="00402B0C">
        <w:rPr>
          <w:rFonts w:asciiTheme="majorHAnsi" w:hAnsiTheme="majorHAnsi"/>
          <w:lang w:val="en-US" w:eastAsia="en-AU"/>
        </w:rPr>
        <w:t xml:space="preserve"> can count </w:t>
      </w:r>
      <w:r w:rsidR="00094BB0">
        <w:rPr>
          <w:rFonts w:asciiTheme="majorHAnsi" w:hAnsiTheme="majorHAnsi"/>
          <w:lang w:val="en-US" w:eastAsia="en-AU"/>
        </w:rPr>
        <w:t>purchases and c</w:t>
      </w:r>
      <w:r w:rsidRPr="00402B0C">
        <w:rPr>
          <w:rFonts w:asciiTheme="majorHAnsi" w:hAnsiTheme="majorHAnsi"/>
          <w:lang w:val="en-US" w:eastAsia="en-AU"/>
        </w:rPr>
        <w:t xml:space="preserve">ontracts that your subcontractors have made with Indigenous businesses toward your Indigenous supplier use target, to the extent these subcontracts relate to the delivery of the contract. This can be achieved by including appropriate Indigenous supplier use targets and reporting requirements in your contracts with subcontractors. </w:t>
      </w:r>
    </w:p>
    <w:p w:rsidR="003E0B9C" w:rsidRPr="000B514E" w:rsidRDefault="009A47B6" w:rsidP="000B514E">
      <w:pPr>
        <w:pStyle w:val="Heading3"/>
      </w:pPr>
      <w:bookmarkStart w:id="51" w:name="_Toc43385074"/>
      <w:r>
        <w:t>8</w:t>
      </w:r>
      <w:r w:rsidR="000B514E" w:rsidRPr="000B514E">
        <w:t xml:space="preserve">.1 </w:t>
      </w:r>
      <w:r w:rsidR="003E0B9C" w:rsidRPr="000B514E">
        <w:t>Indigenous businesses</w:t>
      </w:r>
      <w:bookmarkEnd w:id="51"/>
    </w:p>
    <w:p w:rsidR="008212C7" w:rsidRPr="00402B0C" w:rsidRDefault="008212C7" w:rsidP="008212C7">
      <w:pPr>
        <w:spacing w:line="276" w:lineRule="auto"/>
        <w:rPr>
          <w:rFonts w:asciiTheme="majorHAnsi" w:hAnsiTheme="majorHAnsi"/>
        </w:rPr>
      </w:pPr>
      <w:r w:rsidRPr="00402B0C">
        <w:rPr>
          <w:rFonts w:asciiTheme="majorHAnsi" w:hAnsiTheme="majorHAnsi"/>
        </w:rPr>
        <w:t>A useful way to identify Indigenous businesses is to refer to the</w:t>
      </w:r>
      <w:r w:rsidRPr="00402B0C">
        <w:rPr>
          <w:rFonts w:asciiTheme="majorHAnsi" w:hAnsiTheme="majorHAnsi"/>
          <w:b/>
        </w:rPr>
        <w:t xml:space="preserve"> </w:t>
      </w:r>
      <w:hyperlink r:id="rId42" w:history="1">
        <w:r w:rsidRPr="005F0EA6">
          <w:rPr>
            <w:rStyle w:val="Hyperlink"/>
            <w:rFonts w:asciiTheme="majorHAnsi" w:hAnsiTheme="majorHAnsi"/>
          </w:rPr>
          <w:t>Indigenous</w:t>
        </w:r>
        <w:r w:rsidRPr="00402B0C">
          <w:rPr>
            <w:rStyle w:val="Hyperlink"/>
            <w:rFonts w:asciiTheme="majorHAnsi" w:hAnsiTheme="majorHAnsi"/>
            <w:b/>
          </w:rPr>
          <w:t xml:space="preserve"> </w:t>
        </w:r>
        <w:r w:rsidRPr="005F0EA6">
          <w:rPr>
            <w:rStyle w:val="Hyperlink"/>
            <w:rFonts w:asciiTheme="majorHAnsi" w:hAnsiTheme="majorHAnsi"/>
          </w:rPr>
          <w:t>Business</w:t>
        </w:r>
        <w:r w:rsidRPr="00402B0C">
          <w:rPr>
            <w:rStyle w:val="Hyperlink"/>
            <w:rFonts w:asciiTheme="majorHAnsi" w:hAnsiTheme="majorHAnsi"/>
            <w:b/>
          </w:rPr>
          <w:t xml:space="preserve"> </w:t>
        </w:r>
        <w:r w:rsidRPr="005F0EA6">
          <w:rPr>
            <w:rStyle w:val="Hyperlink"/>
            <w:rFonts w:asciiTheme="majorHAnsi" w:hAnsiTheme="majorHAnsi"/>
          </w:rPr>
          <w:t>Direct</w:t>
        </w:r>
      </w:hyperlink>
      <w:r w:rsidRPr="00402B0C">
        <w:rPr>
          <w:rFonts w:asciiTheme="majorHAnsi" w:hAnsiTheme="majorHAnsi"/>
        </w:rPr>
        <w:t xml:space="preserve"> business directory</w:t>
      </w:r>
      <w:r w:rsidR="0062445C" w:rsidRPr="00402B0C">
        <w:rPr>
          <w:rFonts w:asciiTheme="majorHAnsi" w:hAnsiTheme="majorHAnsi"/>
        </w:rPr>
        <w:t>.</w:t>
      </w:r>
      <w:r w:rsidRPr="00402B0C">
        <w:rPr>
          <w:rFonts w:asciiTheme="majorHAnsi" w:hAnsiTheme="majorHAnsi"/>
        </w:rPr>
        <w:t xml:space="preserve"> Th</w:t>
      </w:r>
      <w:r w:rsidR="00EF792B" w:rsidRPr="00402B0C">
        <w:rPr>
          <w:rFonts w:asciiTheme="majorHAnsi" w:hAnsiTheme="majorHAnsi"/>
        </w:rPr>
        <w:t xml:space="preserve">is is a </w:t>
      </w:r>
      <w:r w:rsidRPr="00402B0C">
        <w:rPr>
          <w:rFonts w:asciiTheme="majorHAnsi" w:hAnsiTheme="majorHAnsi"/>
        </w:rPr>
        <w:t>fr</w:t>
      </w:r>
      <w:r w:rsidR="00E176C1" w:rsidRPr="00402B0C">
        <w:rPr>
          <w:rFonts w:asciiTheme="majorHAnsi" w:hAnsiTheme="majorHAnsi"/>
        </w:rPr>
        <w:t xml:space="preserve">ee service, funded by the NIAA </w:t>
      </w:r>
      <w:r w:rsidRPr="00402B0C">
        <w:rPr>
          <w:rFonts w:asciiTheme="majorHAnsi" w:hAnsiTheme="majorHAnsi"/>
        </w:rPr>
        <w:t>that provides ver</w:t>
      </w:r>
      <w:r w:rsidR="00734EEB" w:rsidRPr="00402B0C">
        <w:rPr>
          <w:rFonts w:asciiTheme="majorHAnsi" w:hAnsiTheme="majorHAnsi"/>
        </w:rPr>
        <w:t>ified details of more than 2000</w:t>
      </w:r>
      <w:r w:rsidRPr="00402B0C">
        <w:rPr>
          <w:rFonts w:asciiTheme="majorHAnsi" w:hAnsiTheme="majorHAnsi"/>
        </w:rPr>
        <w:t xml:space="preserve"> Indigenous businesses across a broad range of industry sectors.</w:t>
      </w:r>
    </w:p>
    <w:p w:rsidR="008212C7" w:rsidRPr="00402B0C" w:rsidRDefault="008212C7" w:rsidP="008212C7">
      <w:pPr>
        <w:spacing w:line="276" w:lineRule="auto"/>
        <w:rPr>
          <w:rFonts w:asciiTheme="majorHAnsi" w:hAnsiTheme="majorHAnsi"/>
        </w:rPr>
      </w:pPr>
      <w:r w:rsidRPr="00402B0C">
        <w:rPr>
          <w:rFonts w:asciiTheme="majorHAnsi" w:hAnsiTheme="majorHAnsi"/>
        </w:rPr>
        <w:t>Your business could also consider paying to become a member of Supply Nation. Supply Natio</w:t>
      </w:r>
      <w:r w:rsidR="00234950" w:rsidRPr="00402B0C">
        <w:rPr>
          <w:rFonts w:asciiTheme="majorHAnsi" w:hAnsiTheme="majorHAnsi"/>
        </w:rPr>
        <w:t>n offers member organis</w:t>
      </w:r>
      <w:r w:rsidRPr="00402B0C">
        <w:rPr>
          <w:rFonts w:asciiTheme="majorHAnsi" w:hAnsiTheme="majorHAnsi"/>
        </w:rPr>
        <w:t>ations a range of benefits including a dedicated relationship manager and provide introductions to Indigenous businesses.</w:t>
      </w:r>
    </w:p>
    <w:p w:rsidR="00F90C9A" w:rsidRDefault="0035383D" w:rsidP="0035383D">
      <w:pPr>
        <w:rPr>
          <w:rFonts w:asciiTheme="majorHAnsi" w:hAnsiTheme="majorHAnsi"/>
          <w:color w:val="auto"/>
        </w:rPr>
      </w:pPr>
      <w:r w:rsidRPr="00402B0C">
        <w:rPr>
          <w:rFonts w:asciiTheme="majorHAnsi" w:hAnsiTheme="majorHAnsi"/>
          <w:color w:val="auto"/>
        </w:rPr>
        <w:t>You</w:t>
      </w:r>
      <w:r w:rsidR="00720915">
        <w:rPr>
          <w:rFonts w:asciiTheme="majorHAnsi" w:hAnsiTheme="majorHAnsi"/>
          <w:color w:val="auto"/>
        </w:rPr>
        <w:t>r business</w:t>
      </w:r>
      <w:r w:rsidRPr="00402B0C">
        <w:rPr>
          <w:rFonts w:asciiTheme="majorHAnsi" w:hAnsiTheme="majorHAnsi"/>
          <w:color w:val="auto"/>
        </w:rPr>
        <w:t xml:space="preserve"> could contact an </w:t>
      </w:r>
      <w:r w:rsidRPr="00402B0C">
        <w:rPr>
          <w:rFonts w:asciiTheme="majorHAnsi" w:hAnsiTheme="majorHAnsi"/>
          <w:b/>
          <w:color w:val="auto"/>
        </w:rPr>
        <w:t>Indigenous Business and Employment Hub</w:t>
      </w:r>
      <w:r w:rsidRPr="00402B0C">
        <w:rPr>
          <w:rFonts w:asciiTheme="majorHAnsi" w:hAnsiTheme="majorHAnsi"/>
          <w:color w:val="auto"/>
        </w:rPr>
        <w:t xml:space="preserve">, funded by the NIAA under the Indigenous Business Sector Strategy, to see if they can assist in identifying Indigenous businesses that might suit your procurement needs. </w:t>
      </w:r>
    </w:p>
    <w:p w:rsidR="00F90C9A" w:rsidRDefault="0035383D" w:rsidP="0035383D">
      <w:pPr>
        <w:rPr>
          <w:rFonts w:asciiTheme="majorHAnsi" w:hAnsiTheme="majorHAnsi"/>
          <w:color w:val="auto"/>
        </w:rPr>
      </w:pPr>
      <w:r w:rsidRPr="00402B0C">
        <w:rPr>
          <w:rFonts w:asciiTheme="majorHAnsi" w:hAnsiTheme="majorHAnsi"/>
          <w:color w:val="auto"/>
        </w:rPr>
        <w:t xml:space="preserve">There are two Hub locations; </w:t>
      </w:r>
    </w:p>
    <w:p w:rsidR="00F90C9A" w:rsidRDefault="0035383D" w:rsidP="005F0EA6">
      <w:pPr>
        <w:pStyle w:val="ListParagraph"/>
        <w:numPr>
          <w:ilvl w:val="0"/>
          <w:numId w:val="55"/>
        </w:numPr>
        <w:rPr>
          <w:rFonts w:asciiTheme="majorHAnsi" w:hAnsiTheme="majorHAnsi"/>
          <w:color w:val="auto"/>
        </w:rPr>
      </w:pPr>
      <w:r w:rsidRPr="005F0EA6">
        <w:rPr>
          <w:rFonts w:asciiTheme="majorHAnsi" w:hAnsiTheme="majorHAnsi"/>
          <w:color w:val="auto"/>
        </w:rPr>
        <w:t xml:space="preserve">the </w:t>
      </w:r>
      <w:hyperlink r:id="rId43" w:history="1">
        <w:r w:rsidRPr="00F90C9A">
          <w:rPr>
            <w:rStyle w:val="Hyperlink"/>
            <w:rFonts w:asciiTheme="majorHAnsi" w:hAnsiTheme="majorHAnsi"/>
            <w:color w:val="00B0F0"/>
          </w:rPr>
          <w:t>NSW Indigenous Business and Employment Hub</w:t>
        </w:r>
      </w:hyperlink>
      <w:r w:rsidRPr="005F0EA6">
        <w:rPr>
          <w:rFonts w:asciiTheme="majorHAnsi" w:hAnsiTheme="majorHAnsi"/>
          <w:color w:val="auto"/>
        </w:rPr>
        <w:t xml:space="preserve"> located in Liverpool Western Sydney which is delivered by the NSW Aboriginal Land Council</w:t>
      </w:r>
      <w:r w:rsidR="00F90C9A">
        <w:rPr>
          <w:rFonts w:asciiTheme="majorHAnsi" w:hAnsiTheme="majorHAnsi"/>
          <w:color w:val="auto"/>
        </w:rPr>
        <w:t>;</w:t>
      </w:r>
      <w:r w:rsidRPr="005F0EA6">
        <w:rPr>
          <w:rFonts w:asciiTheme="majorHAnsi" w:hAnsiTheme="majorHAnsi"/>
          <w:color w:val="auto"/>
        </w:rPr>
        <w:t xml:space="preserve"> and </w:t>
      </w:r>
    </w:p>
    <w:p w:rsidR="0035383D" w:rsidRPr="005F0EA6" w:rsidRDefault="0035383D" w:rsidP="005F0EA6">
      <w:pPr>
        <w:pStyle w:val="ListParagraph"/>
        <w:numPr>
          <w:ilvl w:val="0"/>
          <w:numId w:val="55"/>
        </w:numPr>
        <w:rPr>
          <w:rFonts w:asciiTheme="majorHAnsi" w:hAnsiTheme="majorHAnsi"/>
          <w:color w:val="auto"/>
        </w:rPr>
      </w:pPr>
      <w:r w:rsidRPr="005F0EA6">
        <w:rPr>
          <w:rFonts w:asciiTheme="majorHAnsi" w:hAnsiTheme="majorHAnsi"/>
          <w:color w:val="auto"/>
        </w:rPr>
        <w:t xml:space="preserve">the </w:t>
      </w:r>
      <w:hyperlink r:id="rId44" w:history="1">
        <w:r w:rsidRPr="00F90C9A">
          <w:rPr>
            <w:rStyle w:val="Hyperlink"/>
            <w:rFonts w:asciiTheme="majorHAnsi" w:hAnsiTheme="majorHAnsi"/>
            <w:color w:val="00B0F0"/>
          </w:rPr>
          <w:t>WA Indigenous Business and Employment Hub</w:t>
        </w:r>
      </w:hyperlink>
      <w:r w:rsidRPr="005F0EA6">
        <w:rPr>
          <w:rFonts w:asciiTheme="majorHAnsi" w:hAnsiTheme="majorHAnsi"/>
          <w:color w:val="auto"/>
        </w:rPr>
        <w:t xml:space="preserve"> located in Burwood Perth which is delivered by the Wirrpanda Foundation.</w:t>
      </w:r>
    </w:p>
    <w:p w:rsidR="008212C7" w:rsidRPr="00402B0C" w:rsidRDefault="008212C7" w:rsidP="008212C7">
      <w:pPr>
        <w:spacing w:line="276" w:lineRule="auto"/>
        <w:rPr>
          <w:rFonts w:asciiTheme="majorHAnsi" w:hAnsiTheme="majorHAnsi"/>
        </w:rPr>
      </w:pPr>
      <w:r w:rsidRPr="00402B0C">
        <w:rPr>
          <w:rFonts w:asciiTheme="majorHAnsi" w:hAnsiTheme="majorHAnsi"/>
        </w:rPr>
        <w:t>You</w:t>
      </w:r>
      <w:r w:rsidR="00720915">
        <w:rPr>
          <w:rFonts w:asciiTheme="majorHAnsi" w:hAnsiTheme="majorHAnsi"/>
        </w:rPr>
        <w:t>r business</w:t>
      </w:r>
      <w:r w:rsidRPr="00402B0C">
        <w:rPr>
          <w:rFonts w:asciiTheme="majorHAnsi" w:hAnsiTheme="majorHAnsi"/>
        </w:rPr>
        <w:t xml:space="preserve"> could also consider attending an </w:t>
      </w:r>
      <w:r w:rsidRPr="00402B0C">
        <w:rPr>
          <w:rFonts w:asciiTheme="majorHAnsi" w:hAnsiTheme="majorHAnsi"/>
          <w:b/>
        </w:rPr>
        <w:t xml:space="preserve">Indigenous Business Trade Fair. </w:t>
      </w:r>
      <w:r w:rsidRPr="00402B0C">
        <w:rPr>
          <w:rFonts w:asciiTheme="majorHAnsi" w:hAnsiTheme="majorHAnsi"/>
        </w:rPr>
        <w:t xml:space="preserve">NIAA funds Supply Nation </w:t>
      </w:r>
      <w:r w:rsidR="009212F9" w:rsidRPr="00402B0C">
        <w:rPr>
          <w:rFonts w:asciiTheme="majorHAnsi" w:hAnsiTheme="majorHAnsi"/>
        </w:rPr>
        <w:t xml:space="preserve">to host trade fairs </w:t>
      </w:r>
      <w:r w:rsidRPr="00402B0C">
        <w:rPr>
          <w:rFonts w:asciiTheme="majorHAnsi" w:hAnsiTheme="majorHAnsi"/>
        </w:rPr>
        <w:t xml:space="preserve">annually in metropolitan and regional areas across Australia. This provides a useful opportunity to meet Indigenous business owners with the aim of making commercial connections. </w:t>
      </w:r>
    </w:p>
    <w:p w:rsidR="008212C7" w:rsidRPr="00402B0C" w:rsidRDefault="008212C7" w:rsidP="008212C7">
      <w:pPr>
        <w:spacing w:line="276" w:lineRule="auto"/>
        <w:rPr>
          <w:rFonts w:asciiTheme="majorHAnsi" w:hAnsiTheme="majorHAnsi"/>
        </w:rPr>
      </w:pPr>
      <w:r w:rsidRPr="00402B0C">
        <w:rPr>
          <w:rFonts w:asciiTheme="majorHAnsi" w:hAnsiTheme="majorHAnsi"/>
          <w:b/>
        </w:rPr>
        <w:lastRenderedPageBreak/>
        <w:t>Indigenous Chambers of Commerce</w:t>
      </w:r>
      <w:r w:rsidRPr="00402B0C">
        <w:rPr>
          <w:rFonts w:asciiTheme="majorHAnsi" w:hAnsiTheme="majorHAnsi"/>
        </w:rPr>
        <w:t xml:space="preserve"> are another useful source of information and connections with Indigenous businesses that could potentially be integrated into your supply chain. A list of local Indigenous Chambers of Commerce is provided in the Resources section. </w:t>
      </w:r>
    </w:p>
    <w:p w:rsidR="007979D1" w:rsidRDefault="009A47B6" w:rsidP="005F0EA6">
      <w:pPr>
        <w:pStyle w:val="Heading2"/>
      </w:pPr>
      <w:bookmarkStart w:id="52" w:name="_Toc43385075"/>
      <w:r>
        <w:t>9</w:t>
      </w:r>
      <w:r w:rsidR="007979D1">
        <w:t>.0</w:t>
      </w:r>
      <w:r w:rsidR="00031E27">
        <w:tab/>
      </w:r>
      <w:r w:rsidR="007979D1">
        <w:t>Contract variations</w:t>
      </w:r>
      <w:bookmarkEnd w:id="52"/>
    </w:p>
    <w:p w:rsidR="007979D1" w:rsidRPr="00A82FD7" w:rsidRDefault="007979D1" w:rsidP="007979D1">
      <w:pPr>
        <w:pStyle w:val="BodyText"/>
        <w:rPr>
          <w:rFonts w:asciiTheme="majorHAnsi" w:hAnsiTheme="majorHAnsi"/>
        </w:rPr>
      </w:pPr>
      <w:r w:rsidRPr="00A82FD7">
        <w:rPr>
          <w:rFonts w:asciiTheme="majorHAnsi" w:hAnsiTheme="majorHAnsi"/>
        </w:rPr>
        <w:t xml:space="preserve">During the term of a contract, </w:t>
      </w:r>
      <w:r>
        <w:rPr>
          <w:rFonts w:asciiTheme="majorHAnsi" w:hAnsiTheme="majorHAnsi"/>
        </w:rPr>
        <w:t>you</w:t>
      </w:r>
      <w:r w:rsidR="00720915">
        <w:rPr>
          <w:rFonts w:asciiTheme="majorHAnsi" w:hAnsiTheme="majorHAnsi"/>
        </w:rPr>
        <w:t>r business</w:t>
      </w:r>
      <w:r w:rsidRPr="00A82FD7">
        <w:rPr>
          <w:rFonts w:asciiTheme="majorHAnsi" w:hAnsiTheme="majorHAnsi"/>
        </w:rPr>
        <w:t xml:space="preserve"> may identify the need to adopt a different</w:t>
      </w:r>
      <w:r>
        <w:rPr>
          <w:rFonts w:asciiTheme="majorHAnsi" w:hAnsiTheme="majorHAnsi"/>
        </w:rPr>
        <w:t xml:space="preserve"> approach to meeting the MMR.  The contract manager</w:t>
      </w:r>
      <w:r w:rsidRPr="00A82FD7">
        <w:rPr>
          <w:rFonts w:asciiTheme="majorHAnsi" w:hAnsiTheme="majorHAnsi"/>
        </w:rPr>
        <w:t xml:space="preserve"> may agree to revise the targets in </w:t>
      </w:r>
      <w:r w:rsidR="00052CC9">
        <w:rPr>
          <w:rFonts w:asciiTheme="majorHAnsi" w:hAnsiTheme="majorHAnsi"/>
        </w:rPr>
        <w:t xml:space="preserve">the </w:t>
      </w:r>
      <w:r w:rsidRPr="00A82FD7">
        <w:rPr>
          <w:rFonts w:asciiTheme="majorHAnsi" w:hAnsiTheme="majorHAnsi"/>
        </w:rPr>
        <w:t xml:space="preserve">Indigenous Participation Plan at any time during the term of the contract providing any changes are consistent with the MMR. </w:t>
      </w:r>
    </w:p>
    <w:p w:rsidR="007979D1" w:rsidRDefault="007979D1" w:rsidP="007979D1">
      <w:pPr>
        <w:spacing w:line="276" w:lineRule="auto"/>
        <w:rPr>
          <w:rFonts w:asciiTheme="majorHAnsi" w:hAnsiTheme="majorHAnsi"/>
        </w:rPr>
      </w:pPr>
      <w:r>
        <w:rPr>
          <w:rFonts w:asciiTheme="majorHAnsi" w:hAnsiTheme="majorHAnsi"/>
        </w:rPr>
        <w:t xml:space="preserve">The </w:t>
      </w:r>
      <w:r w:rsidRPr="00A82FD7">
        <w:rPr>
          <w:rFonts w:asciiTheme="majorHAnsi" w:hAnsiTheme="majorHAnsi"/>
        </w:rPr>
        <w:t xml:space="preserve">contract manager, </w:t>
      </w:r>
      <w:r>
        <w:rPr>
          <w:rFonts w:asciiTheme="majorHAnsi" w:hAnsiTheme="majorHAnsi"/>
        </w:rPr>
        <w:t xml:space="preserve">will ensure that </w:t>
      </w:r>
      <w:r w:rsidRPr="00A82FD7">
        <w:rPr>
          <w:rFonts w:asciiTheme="majorHAnsi" w:hAnsiTheme="majorHAnsi"/>
        </w:rPr>
        <w:t xml:space="preserve">new targets are reflected in a revised Indigenous Participation Plan in the varied contract and MMR targets are updated within the IPPRS. </w:t>
      </w:r>
      <w:r>
        <w:rPr>
          <w:rFonts w:asciiTheme="majorHAnsi" w:hAnsiTheme="majorHAnsi"/>
        </w:rPr>
        <w:t xml:space="preserve">Changes must be </w:t>
      </w:r>
      <w:r w:rsidRPr="00A82FD7">
        <w:rPr>
          <w:rFonts w:asciiTheme="majorHAnsi" w:hAnsiTheme="majorHAnsi"/>
        </w:rPr>
        <w:t>agreed by both parties in writing and are carried out in accordance with the terms and conditions of the contract.</w:t>
      </w:r>
    </w:p>
    <w:p w:rsidR="00031E27" w:rsidRDefault="00031E27">
      <w:pPr>
        <w:rPr>
          <w:rFonts w:asciiTheme="majorHAnsi" w:eastAsiaTheme="majorEastAsia" w:hAnsiTheme="majorHAnsi" w:cstheme="majorBidi"/>
          <w:b/>
          <w:color w:val="DD7500" w:themeColor="accent4"/>
          <w:sz w:val="40"/>
          <w:szCs w:val="40"/>
        </w:rPr>
      </w:pPr>
      <w:r>
        <w:br w:type="page"/>
      </w:r>
    </w:p>
    <w:p w:rsidR="000B046E" w:rsidRDefault="009A47B6" w:rsidP="000B046E">
      <w:pPr>
        <w:pStyle w:val="Heading2"/>
      </w:pPr>
      <w:bookmarkStart w:id="53" w:name="_Toc42696505"/>
      <w:bookmarkStart w:id="54" w:name="_Toc43385076"/>
      <w:r>
        <w:lastRenderedPageBreak/>
        <w:t>10</w:t>
      </w:r>
      <w:r w:rsidR="004506A4">
        <w:t>.0</w:t>
      </w:r>
      <w:r w:rsidR="00F45F22">
        <w:t xml:space="preserve"> </w:t>
      </w:r>
      <w:r w:rsidR="000B046E">
        <w:t>Resources</w:t>
      </w:r>
      <w:bookmarkEnd w:id="53"/>
      <w:bookmarkEnd w:id="54"/>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 xml:space="preserve">Australian Bureau of Statistics </w:t>
      </w:r>
      <w:r w:rsidRPr="004A5957">
        <w:rPr>
          <w:rFonts w:asciiTheme="majorHAnsi" w:hAnsiTheme="majorHAnsi"/>
        </w:rPr>
        <w:tab/>
      </w:r>
      <w:r w:rsidRPr="004A5957">
        <w:rPr>
          <w:rFonts w:asciiTheme="majorHAnsi" w:hAnsiTheme="majorHAnsi"/>
        </w:rPr>
        <w:tab/>
      </w:r>
    </w:p>
    <w:p w:rsidR="000B046E" w:rsidRPr="004A5957" w:rsidRDefault="004E6E7B" w:rsidP="000B046E">
      <w:pPr>
        <w:pStyle w:val="BodyText"/>
        <w:ind w:left="720"/>
        <w:rPr>
          <w:rFonts w:asciiTheme="majorHAnsi" w:hAnsiTheme="majorHAnsi"/>
        </w:rPr>
      </w:pPr>
      <w:hyperlink r:id="rId45" w:history="1">
        <w:r w:rsidR="000B046E" w:rsidRPr="004A5957">
          <w:rPr>
            <w:rStyle w:val="Hyperlink"/>
            <w:rFonts w:asciiTheme="majorHAnsi" w:hAnsiTheme="majorHAnsi"/>
          </w:rPr>
          <w:t>https://www.abs.gov.au/websitedbs/D3310114.nsf/Home/2016%20search%20by%20geography</w:t>
        </w:r>
      </w:hyperlink>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NIAA Regional Office Network</w:t>
      </w:r>
      <w:r w:rsidRPr="004A5957">
        <w:rPr>
          <w:rFonts w:asciiTheme="majorHAnsi" w:hAnsiTheme="majorHAnsi"/>
        </w:rPr>
        <w:tab/>
      </w:r>
      <w:r w:rsidRPr="004A5957">
        <w:rPr>
          <w:rFonts w:asciiTheme="majorHAnsi" w:hAnsiTheme="majorHAnsi"/>
        </w:rPr>
        <w:tab/>
      </w:r>
    </w:p>
    <w:p w:rsidR="000B046E" w:rsidRPr="004A5957" w:rsidRDefault="004E6E7B" w:rsidP="000B046E">
      <w:pPr>
        <w:pStyle w:val="BodyText"/>
        <w:ind w:left="720"/>
        <w:rPr>
          <w:rFonts w:asciiTheme="majorHAnsi" w:hAnsiTheme="majorHAnsi"/>
        </w:rPr>
      </w:pPr>
      <w:hyperlink r:id="rId46" w:history="1">
        <w:r w:rsidR="000B046E" w:rsidRPr="004A5957">
          <w:rPr>
            <w:rStyle w:val="Hyperlink"/>
            <w:rFonts w:asciiTheme="majorHAnsi" w:hAnsiTheme="majorHAnsi"/>
          </w:rPr>
          <w:t>https://www.niaa.gov.au/contact-us/regional-network-addresses</w:t>
        </w:r>
      </w:hyperlink>
    </w:p>
    <w:p w:rsidR="001659A3" w:rsidRPr="00B763B7" w:rsidRDefault="001659A3" w:rsidP="001659A3">
      <w:pPr>
        <w:pStyle w:val="BodyText"/>
        <w:numPr>
          <w:ilvl w:val="0"/>
          <w:numId w:val="52"/>
        </w:numPr>
        <w:rPr>
          <w:rFonts w:asciiTheme="majorHAnsi" w:hAnsiTheme="majorHAnsi"/>
        </w:rPr>
      </w:pPr>
      <w:r w:rsidRPr="00B763B7">
        <w:rPr>
          <w:rFonts w:asciiTheme="majorHAnsi" w:hAnsiTheme="majorHAnsi"/>
        </w:rPr>
        <w:t>Australian Human Rights Commission</w:t>
      </w:r>
    </w:p>
    <w:p w:rsidR="001659A3" w:rsidRPr="00B763B7" w:rsidRDefault="004E6E7B" w:rsidP="001659A3">
      <w:pPr>
        <w:pStyle w:val="BodyText"/>
        <w:ind w:left="720"/>
        <w:rPr>
          <w:rFonts w:asciiTheme="majorHAnsi" w:hAnsiTheme="majorHAnsi"/>
        </w:rPr>
      </w:pPr>
      <w:hyperlink r:id="rId47" w:history="1">
        <w:r w:rsidR="001659A3" w:rsidRPr="00B763B7">
          <w:rPr>
            <w:rStyle w:val="Hyperlink"/>
            <w:rFonts w:asciiTheme="majorHAnsi" w:hAnsiTheme="majorHAnsi"/>
          </w:rPr>
          <w:t>https://humanrights.gov.au/our-work/aboriginal-and-torres-strait-islander-social-justice/publications/targeted-recruitment</w:t>
        </w:r>
      </w:hyperlink>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Indigenous Procurement Policy</w:t>
      </w:r>
    </w:p>
    <w:p w:rsidR="000B046E" w:rsidRPr="004A5957" w:rsidRDefault="004E6E7B" w:rsidP="000B046E">
      <w:pPr>
        <w:pStyle w:val="BodyText"/>
        <w:ind w:left="720"/>
        <w:rPr>
          <w:rFonts w:asciiTheme="majorHAnsi" w:hAnsiTheme="majorHAnsi"/>
        </w:rPr>
      </w:pPr>
      <w:hyperlink r:id="rId48" w:history="1">
        <w:r w:rsidR="000B046E" w:rsidRPr="004A5957">
          <w:rPr>
            <w:rStyle w:val="Hyperlink"/>
            <w:rFonts w:asciiTheme="majorHAnsi" w:hAnsiTheme="majorHAnsi"/>
          </w:rPr>
          <w:t>https://www.niaa.gov.au/resource-centre/indigenous-affairs/commonwealth-indigenous-procurement-policy</w:t>
        </w:r>
      </w:hyperlink>
    </w:p>
    <w:p w:rsidR="004F3B95" w:rsidRDefault="004F3B95" w:rsidP="000B046E">
      <w:pPr>
        <w:pStyle w:val="BodyText"/>
        <w:numPr>
          <w:ilvl w:val="0"/>
          <w:numId w:val="52"/>
        </w:numPr>
        <w:rPr>
          <w:rFonts w:asciiTheme="majorHAnsi" w:hAnsiTheme="majorHAnsi"/>
        </w:rPr>
      </w:pPr>
      <w:r>
        <w:rPr>
          <w:rFonts w:asciiTheme="majorHAnsi" w:hAnsiTheme="majorHAnsi"/>
        </w:rPr>
        <w:t xml:space="preserve">Guide 4 </w:t>
      </w:r>
      <w:r w:rsidR="00FF2FFB">
        <w:rPr>
          <w:rFonts w:asciiTheme="majorHAnsi" w:hAnsiTheme="majorHAnsi"/>
        </w:rPr>
        <w:t xml:space="preserve">- </w:t>
      </w:r>
      <w:r>
        <w:rPr>
          <w:rFonts w:asciiTheme="majorHAnsi" w:hAnsiTheme="majorHAnsi"/>
        </w:rPr>
        <w:t>Welcome pack for Industry Contractors</w:t>
      </w:r>
    </w:p>
    <w:p w:rsidR="004F3B95" w:rsidRDefault="004E6E7B" w:rsidP="00402B0C">
      <w:pPr>
        <w:pStyle w:val="BodyText"/>
        <w:ind w:left="720"/>
        <w:rPr>
          <w:rFonts w:asciiTheme="majorHAnsi" w:hAnsiTheme="majorHAnsi"/>
        </w:rPr>
      </w:pPr>
      <w:hyperlink r:id="rId49" w:history="1">
        <w:r w:rsidR="004F3B95" w:rsidRPr="00BA0029">
          <w:rPr>
            <w:rStyle w:val="Hyperlink"/>
            <w:rFonts w:asciiTheme="majorHAnsi" w:hAnsiTheme="majorHAnsi"/>
          </w:rPr>
          <w:t>https://www.niaa.gov.au/resource-centre/indigenous-affairs/welcome-pack-industry-contractors</w:t>
        </w:r>
      </w:hyperlink>
    </w:p>
    <w:p w:rsidR="000B046E" w:rsidRPr="004A5957" w:rsidRDefault="000B046E" w:rsidP="00402B0C">
      <w:pPr>
        <w:pStyle w:val="BodyText"/>
        <w:numPr>
          <w:ilvl w:val="0"/>
          <w:numId w:val="52"/>
        </w:numPr>
        <w:rPr>
          <w:rFonts w:asciiTheme="majorHAnsi" w:hAnsiTheme="majorHAnsi"/>
        </w:rPr>
      </w:pPr>
      <w:r w:rsidRPr="004A5957">
        <w:rPr>
          <w:rFonts w:asciiTheme="majorHAnsi" w:hAnsiTheme="majorHAnsi"/>
        </w:rPr>
        <w:t xml:space="preserve">How to use the IPPRS </w:t>
      </w:r>
    </w:p>
    <w:p w:rsidR="000B046E" w:rsidRPr="004A5957" w:rsidRDefault="004E6E7B" w:rsidP="000B046E">
      <w:pPr>
        <w:pStyle w:val="BodyText"/>
        <w:ind w:firstLine="720"/>
        <w:rPr>
          <w:rFonts w:asciiTheme="majorHAnsi" w:hAnsiTheme="majorHAnsi"/>
        </w:rPr>
      </w:pPr>
      <w:hyperlink r:id="rId50" w:history="1">
        <w:r w:rsidR="000B046E" w:rsidRPr="004A5957">
          <w:rPr>
            <w:rStyle w:val="Hyperlink"/>
            <w:rFonts w:asciiTheme="majorHAnsi" w:hAnsiTheme="majorHAnsi"/>
          </w:rPr>
          <w:t>https://www.niaa.gov.au/ipprs</w:t>
        </w:r>
      </w:hyperlink>
    </w:p>
    <w:p w:rsidR="00FF2FFB" w:rsidRPr="004A5957" w:rsidRDefault="00FF2FFB" w:rsidP="00FF2FFB">
      <w:pPr>
        <w:pStyle w:val="BodyText"/>
        <w:numPr>
          <w:ilvl w:val="0"/>
          <w:numId w:val="52"/>
        </w:numPr>
        <w:rPr>
          <w:rFonts w:asciiTheme="majorHAnsi" w:hAnsiTheme="majorHAnsi"/>
        </w:rPr>
      </w:pPr>
      <w:r>
        <w:rPr>
          <w:rFonts w:asciiTheme="majorHAnsi" w:hAnsiTheme="majorHAnsi"/>
        </w:rPr>
        <w:t xml:space="preserve">Guide 5 - </w:t>
      </w:r>
      <w:r w:rsidRPr="004A5957">
        <w:rPr>
          <w:rFonts w:asciiTheme="majorHAnsi" w:hAnsiTheme="majorHAnsi"/>
        </w:rPr>
        <w:t>NIAA Model Clauses</w:t>
      </w:r>
    </w:p>
    <w:p w:rsidR="00FF2FFB" w:rsidRPr="004A5957" w:rsidRDefault="004E6E7B" w:rsidP="00FF2FFB">
      <w:pPr>
        <w:pStyle w:val="BodyText"/>
        <w:ind w:left="720"/>
        <w:rPr>
          <w:rFonts w:asciiTheme="majorHAnsi" w:hAnsiTheme="majorHAnsi"/>
        </w:rPr>
      </w:pPr>
      <w:hyperlink r:id="rId51" w:history="1">
        <w:r w:rsidR="00FF2FFB" w:rsidRPr="004F3B95">
          <w:rPr>
            <w:rStyle w:val="Hyperlink"/>
            <w:rFonts w:asciiTheme="majorHAnsi" w:hAnsiTheme="majorHAnsi"/>
          </w:rPr>
          <w:t>https://www.niaa.gov.au/resource-centre/indigenous-affairs/indigenous-procurement-policy-model-clauses</w:t>
        </w:r>
      </w:hyperlink>
    </w:p>
    <w:p w:rsidR="005A51E1" w:rsidRDefault="005A51E1" w:rsidP="000B046E">
      <w:pPr>
        <w:pStyle w:val="BodyText"/>
        <w:numPr>
          <w:ilvl w:val="0"/>
          <w:numId w:val="52"/>
        </w:numPr>
        <w:rPr>
          <w:rFonts w:asciiTheme="majorHAnsi" w:hAnsiTheme="majorHAnsi"/>
        </w:rPr>
      </w:pPr>
      <w:r>
        <w:rPr>
          <w:rFonts w:asciiTheme="majorHAnsi" w:hAnsiTheme="majorHAnsi"/>
        </w:rPr>
        <w:t xml:space="preserve">IPPRS Contractor Portal </w:t>
      </w:r>
    </w:p>
    <w:p w:rsidR="005A51E1" w:rsidRDefault="004E6E7B" w:rsidP="005F0EA6">
      <w:pPr>
        <w:pStyle w:val="BodyText"/>
        <w:ind w:left="720"/>
        <w:rPr>
          <w:rFonts w:asciiTheme="majorHAnsi" w:hAnsiTheme="majorHAnsi"/>
        </w:rPr>
      </w:pPr>
      <w:hyperlink r:id="rId52" w:history="1">
        <w:r w:rsidR="005A51E1" w:rsidRPr="00207F97">
          <w:rPr>
            <w:rStyle w:val="Hyperlink"/>
            <w:rFonts w:asciiTheme="majorHAnsi" w:hAnsiTheme="majorHAnsi"/>
          </w:rPr>
          <w:t>https://www.niaa.gov.au/ippcp</w:t>
        </w:r>
      </w:hyperlink>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RIPP Map data</w:t>
      </w:r>
    </w:p>
    <w:p w:rsidR="000B046E" w:rsidRPr="004A5957" w:rsidRDefault="004E6E7B" w:rsidP="000B046E">
      <w:pPr>
        <w:pStyle w:val="BodyText"/>
        <w:ind w:left="720"/>
        <w:rPr>
          <w:rFonts w:asciiTheme="majorHAnsi" w:hAnsiTheme="majorHAnsi"/>
        </w:rPr>
      </w:pPr>
      <w:hyperlink r:id="rId53" w:history="1">
        <w:r w:rsidR="000B046E" w:rsidRPr="004A5957">
          <w:rPr>
            <w:rStyle w:val="Hyperlink"/>
            <w:rFonts w:asciiTheme="majorHAnsi" w:hAnsiTheme="majorHAnsi"/>
          </w:rPr>
          <w:t>https://www.niaa.gov.au/resource-centre/indigenous-affairs/ripp-map-data</w:t>
        </w:r>
      </w:hyperlink>
    </w:p>
    <w:p w:rsidR="001659A3" w:rsidRPr="001659A3" w:rsidRDefault="001659A3" w:rsidP="000B046E">
      <w:pPr>
        <w:pStyle w:val="BodyText"/>
        <w:numPr>
          <w:ilvl w:val="0"/>
          <w:numId w:val="52"/>
        </w:numPr>
        <w:rPr>
          <w:rFonts w:asciiTheme="majorHAnsi" w:hAnsiTheme="majorHAnsi"/>
        </w:rPr>
      </w:pPr>
      <w:r w:rsidRPr="00402B0C">
        <w:rPr>
          <w:rFonts w:asciiTheme="majorHAnsi" w:hAnsiTheme="majorHAnsi"/>
          <w:color w:val="1E1E1E"/>
          <w:spacing w:val="5"/>
          <w:bdr w:val="none" w:sz="0" w:space="0" w:color="auto" w:frame="1"/>
          <w:lang w:val="en"/>
        </w:rPr>
        <w:t>The United Nations standard products and services code (UNSPSC)</w:t>
      </w:r>
    </w:p>
    <w:p w:rsidR="001659A3" w:rsidRDefault="004E6E7B" w:rsidP="00402B0C">
      <w:pPr>
        <w:pStyle w:val="BodyText"/>
        <w:ind w:left="720"/>
        <w:rPr>
          <w:rFonts w:asciiTheme="majorHAnsi" w:hAnsiTheme="majorHAnsi"/>
        </w:rPr>
      </w:pPr>
      <w:hyperlink r:id="rId54" w:history="1">
        <w:r w:rsidR="001659A3" w:rsidRPr="00BA0029">
          <w:rPr>
            <w:rStyle w:val="Hyperlink"/>
            <w:rFonts w:asciiTheme="majorHAnsi" w:hAnsiTheme="majorHAnsi"/>
          </w:rPr>
          <w:t>https://www.niaa.gov.au/resource-centre/indigenous-affairs/united-nations-standard-products-and-service-codes</w:t>
        </w:r>
      </w:hyperlink>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 xml:space="preserve">Department of Finance – </w:t>
      </w:r>
      <w:r>
        <w:rPr>
          <w:rFonts w:asciiTheme="majorHAnsi" w:hAnsiTheme="majorHAnsi"/>
        </w:rPr>
        <w:t>Selling to Government</w:t>
      </w:r>
      <w:r w:rsidRPr="004A5957">
        <w:rPr>
          <w:rFonts w:asciiTheme="majorHAnsi" w:hAnsiTheme="majorHAnsi"/>
        </w:rPr>
        <w:t xml:space="preserve"> </w:t>
      </w:r>
    </w:p>
    <w:p w:rsidR="000B046E" w:rsidRDefault="004E6E7B" w:rsidP="00180176">
      <w:pPr>
        <w:pStyle w:val="BodyText"/>
        <w:ind w:left="720"/>
        <w:rPr>
          <w:rFonts w:asciiTheme="majorHAnsi" w:hAnsiTheme="majorHAnsi"/>
        </w:rPr>
      </w:pPr>
      <w:hyperlink r:id="rId55" w:history="1">
        <w:r w:rsidR="000B046E" w:rsidRPr="00D20C4E">
          <w:rPr>
            <w:rStyle w:val="Hyperlink"/>
            <w:rFonts w:asciiTheme="majorHAnsi" w:hAnsiTheme="majorHAnsi"/>
          </w:rPr>
          <w:t>https://www.finance.gov.au/business/selling-government-procurement</w:t>
        </w:r>
      </w:hyperlink>
    </w:p>
    <w:p w:rsidR="000B046E" w:rsidRPr="004A5957" w:rsidRDefault="000B046E" w:rsidP="000B046E">
      <w:pPr>
        <w:pStyle w:val="BodyText"/>
        <w:numPr>
          <w:ilvl w:val="0"/>
          <w:numId w:val="52"/>
        </w:numPr>
        <w:rPr>
          <w:rFonts w:asciiTheme="majorHAnsi" w:hAnsiTheme="majorHAnsi"/>
        </w:rPr>
      </w:pPr>
      <w:r w:rsidRPr="004A5957">
        <w:rPr>
          <w:rFonts w:asciiTheme="majorHAnsi" w:hAnsiTheme="majorHAnsi"/>
        </w:rPr>
        <w:t>Commonwealth Procurement Rules</w:t>
      </w:r>
    </w:p>
    <w:p w:rsidR="000B046E" w:rsidRPr="004A5957" w:rsidRDefault="004E6E7B" w:rsidP="000B046E">
      <w:pPr>
        <w:pStyle w:val="BodyText"/>
        <w:ind w:left="720"/>
        <w:rPr>
          <w:rFonts w:asciiTheme="majorHAnsi" w:hAnsiTheme="majorHAnsi"/>
        </w:rPr>
      </w:pPr>
      <w:hyperlink r:id="rId56" w:history="1">
        <w:r w:rsidR="000B046E" w:rsidRPr="004A5957">
          <w:rPr>
            <w:rStyle w:val="Hyperlink"/>
            <w:rFonts w:asciiTheme="majorHAnsi" w:hAnsiTheme="majorHAnsi"/>
          </w:rPr>
          <w:t>https://www.finance.gov.au/government/procurement/commonwealth-procurement-rules</w:t>
        </w:r>
      </w:hyperlink>
    </w:p>
    <w:p w:rsidR="0008456B" w:rsidRDefault="0008456B" w:rsidP="0008456B">
      <w:pPr>
        <w:pStyle w:val="BodyText"/>
        <w:numPr>
          <w:ilvl w:val="0"/>
          <w:numId w:val="52"/>
        </w:numPr>
        <w:ind w:left="709"/>
        <w:rPr>
          <w:rFonts w:asciiTheme="majorHAnsi" w:hAnsiTheme="majorHAnsi"/>
        </w:rPr>
      </w:pPr>
      <w:r>
        <w:rPr>
          <w:rFonts w:asciiTheme="majorHAnsi" w:hAnsiTheme="majorHAnsi"/>
        </w:rPr>
        <w:t>ORIC – Registered Corporations database</w:t>
      </w:r>
    </w:p>
    <w:p w:rsidR="0008456B" w:rsidRDefault="004E6E7B" w:rsidP="00402B0C">
      <w:pPr>
        <w:pStyle w:val="BodyText"/>
        <w:ind w:left="709"/>
        <w:rPr>
          <w:rFonts w:asciiTheme="majorHAnsi" w:hAnsiTheme="majorHAnsi"/>
        </w:rPr>
      </w:pPr>
      <w:hyperlink r:id="rId57" w:history="1">
        <w:r w:rsidR="0008456B" w:rsidRPr="00A140D5">
          <w:rPr>
            <w:rStyle w:val="Hyperlink"/>
            <w:rFonts w:asciiTheme="majorHAnsi" w:hAnsiTheme="majorHAnsi"/>
          </w:rPr>
          <w:t>https://register.oric.gov.au/PrintCorporationSearch.aspx?state=SA</w:t>
        </w:r>
      </w:hyperlink>
    </w:p>
    <w:p w:rsidR="0008456B" w:rsidRDefault="007F07E5" w:rsidP="0008456B">
      <w:pPr>
        <w:pStyle w:val="BodyText"/>
        <w:numPr>
          <w:ilvl w:val="0"/>
          <w:numId w:val="52"/>
        </w:numPr>
        <w:ind w:left="709"/>
        <w:rPr>
          <w:rFonts w:asciiTheme="majorHAnsi" w:hAnsiTheme="majorHAnsi"/>
        </w:rPr>
      </w:pPr>
      <w:r>
        <w:rPr>
          <w:rFonts w:asciiTheme="majorHAnsi" w:hAnsiTheme="majorHAnsi"/>
        </w:rPr>
        <w:t xml:space="preserve">Indigenous </w:t>
      </w:r>
      <w:r w:rsidR="0008456B">
        <w:rPr>
          <w:rFonts w:asciiTheme="majorHAnsi" w:hAnsiTheme="majorHAnsi"/>
        </w:rPr>
        <w:t>Land and Sea Corporation</w:t>
      </w:r>
    </w:p>
    <w:p w:rsidR="0008456B" w:rsidRDefault="004E6E7B" w:rsidP="00402B0C">
      <w:pPr>
        <w:pStyle w:val="BodyText"/>
        <w:ind w:left="709"/>
        <w:rPr>
          <w:rFonts w:asciiTheme="majorHAnsi" w:hAnsiTheme="majorHAnsi"/>
        </w:rPr>
      </w:pPr>
      <w:hyperlink r:id="rId58" w:history="1">
        <w:r w:rsidR="0008456B" w:rsidRPr="006C0FD5">
          <w:rPr>
            <w:rStyle w:val="Hyperlink"/>
            <w:rFonts w:asciiTheme="majorHAnsi" w:hAnsiTheme="majorHAnsi"/>
          </w:rPr>
          <w:t>https://www.ilsc.gov.au/</w:t>
        </w:r>
      </w:hyperlink>
    </w:p>
    <w:p w:rsidR="0008456B" w:rsidRPr="006C0FD5" w:rsidRDefault="0008456B" w:rsidP="0008456B">
      <w:pPr>
        <w:pStyle w:val="BodyText"/>
        <w:numPr>
          <w:ilvl w:val="0"/>
          <w:numId w:val="52"/>
        </w:numPr>
        <w:ind w:left="709"/>
        <w:rPr>
          <w:rFonts w:asciiTheme="majorHAnsi" w:hAnsiTheme="majorHAnsi"/>
        </w:rPr>
      </w:pPr>
      <w:r>
        <w:rPr>
          <w:rFonts w:asciiTheme="majorHAnsi" w:hAnsiTheme="majorHAnsi"/>
        </w:rPr>
        <w:t>Aboriginal Land Councils</w:t>
      </w:r>
    </w:p>
    <w:p w:rsidR="0008456B" w:rsidRPr="006C0FD5" w:rsidRDefault="004E6E7B" w:rsidP="00402B0C">
      <w:pPr>
        <w:pStyle w:val="BodyText"/>
        <w:ind w:left="709"/>
        <w:rPr>
          <w:rFonts w:asciiTheme="majorHAnsi" w:hAnsiTheme="majorHAnsi"/>
        </w:rPr>
      </w:pPr>
      <w:hyperlink r:id="rId59" w:history="1">
        <w:r w:rsidR="0008456B" w:rsidRPr="006C0FD5">
          <w:rPr>
            <w:rStyle w:val="Hyperlink"/>
            <w:rFonts w:asciiTheme="majorHAnsi" w:hAnsiTheme="majorHAnsi"/>
          </w:rPr>
          <w:t>https://www.creativespirits.info/aboriginalculture/selfdetermination/aboriginal-land-councils</w:t>
        </w:r>
      </w:hyperlink>
    </w:p>
    <w:p w:rsidR="0008456B" w:rsidRDefault="0008456B" w:rsidP="0008456B">
      <w:pPr>
        <w:pStyle w:val="BodyText"/>
        <w:numPr>
          <w:ilvl w:val="0"/>
          <w:numId w:val="52"/>
        </w:numPr>
        <w:ind w:left="709"/>
        <w:rPr>
          <w:rFonts w:asciiTheme="majorHAnsi" w:hAnsiTheme="majorHAnsi"/>
        </w:rPr>
      </w:pPr>
      <w:r>
        <w:rPr>
          <w:rFonts w:asciiTheme="majorHAnsi" w:hAnsiTheme="majorHAnsi"/>
        </w:rPr>
        <w:t>Supply Nation  - Indigenous Business Directory</w:t>
      </w:r>
    </w:p>
    <w:p w:rsidR="0008456B" w:rsidRPr="006C0FD5" w:rsidRDefault="004E6E7B" w:rsidP="00402B0C">
      <w:pPr>
        <w:pStyle w:val="BodyText"/>
        <w:ind w:left="709"/>
        <w:rPr>
          <w:rFonts w:asciiTheme="majorHAnsi" w:hAnsiTheme="majorHAnsi"/>
        </w:rPr>
      </w:pPr>
      <w:hyperlink r:id="rId60" w:history="1">
        <w:r w:rsidR="0008456B" w:rsidRPr="006C0FD5">
          <w:rPr>
            <w:rStyle w:val="Hyperlink"/>
            <w:rFonts w:asciiTheme="majorHAnsi" w:hAnsiTheme="majorHAnsi"/>
          </w:rPr>
          <w:t>https://supplynation.org.au/</w:t>
        </w:r>
      </w:hyperlink>
    </w:p>
    <w:p w:rsidR="0008456B" w:rsidRDefault="0008456B" w:rsidP="0008456B">
      <w:pPr>
        <w:pStyle w:val="BodyText"/>
        <w:numPr>
          <w:ilvl w:val="0"/>
          <w:numId w:val="52"/>
        </w:numPr>
        <w:ind w:left="709"/>
        <w:rPr>
          <w:rFonts w:asciiTheme="majorHAnsi" w:hAnsiTheme="majorHAnsi"/>
        </w:rPr>
      </w:pPr>
      <w:r>
        <w:rPr>
          <w:rFonts w:asciiTheme="majorHAnsi" w:hAnsiTheme="majorHAnsi"/>
        </w:rPr>
        <w:t>Indigenous media outlet resource</w:t>
      </w:r>
    </w:p>
    <w:p w:rsidR="0008456B" w:rsidRPr="008D6490" w:rsidRDefault="004E6E7B" w:rsidP="00402B0C">
      <w:pPr>
        <w:pStyle w:val="BodyText"/>
        <w:ind w:left="709"/>
        <w:rPr>
          <w:rFonts w:asciiTheme="majorHAnsi" w:hAnsiTheme="majorHAnsi"/>
        </w:rPr>
      </w:pPr>
      <w:hyperlink r:id="rId61" w:history="1">
        <w:r w:rsidR="0008456B" w:rsidRPr="008D6490">
          <w:rPr>
            <w:rStyle w:val="Hyperlink"/>
            <w:rFonts w:asciiTheme="majorHAnsi" w:hAnsiTheme="majorHAnsi"/>
          </w:rPr>
          <w:t>https://www.creativespirits.info/resources/newspapers-magazines</w:t>
        </w:r>
      </w:hyperlink>
    </w:p>
    <w:p w:rsidR="0008456B" w:rsidRPr="00E05427" w:rsidRDefault="0008456B" w:rsidP="0008456B">
      <w:pPr>
        <w:pStyle w:val="BodyText"/>
        <w:numPr>
          <w:ilvl w:val="0"/>
          <w:numId w:val="52"/>
        </w:numPr>
        <w:ind w:left="709"/>
        <w:rPr>
          <w:rFonts w:asciiTheme="majorHAnsi" w:hAnsiTheme="majorHAnsi"/>
        </w:rPr>
      </w:pPr>
      <w:r w:rsidRPr="00E05427">
        <w:rPr>
          <w:rFonts w:asciiTheme="majorHAnsi" w:hAnsiTheme="majorHAnsi"/>
        </w:rPr>
        <w:t>Reconciliation Australia</w:t>
      </w:r>
    </w:p>
    <w:p w:rsidR="0008456B" w:rsidRPr="00E05427" w:rsidRDefault="004E6E7B" w:rsidP="00402B0C">
      <w:pPr>
        <w:pStyle w:val="BodyText"/>
        <w:ind w:left="709"/>
        <w:rPr>
          <w:rFonts w:asciiTheme="majorHAnsi" w:hAnsiTheme="majorHAnsi"/>
        </w:rPr>
      </w:pPr>
      <w:hyperlink r:id="rId62" w:history="1">
        <w:r w:rsidR="0008456B" w:rsidRPr="00E05427">
          <w:rPr>
            <w:rStyle w:val="Hyperlink"/>
            <w:rFonts w:asciiTheme="majorHAnsi" w:hAnsiTheme="majorHAnsi"/>
          </w:rPr>
          <w:t>https://www.reconciliation.org.au/</w:t>
        </w:r>
      </w:hyperlink>
    </w:p>
    <w:p w:rsidR="00736ABF" w:rsidRPr="00402B0C" w:rsidRDefault="0008456B" w:rsidP="00402B0C">
      <w:pPr>
        <w:pStyle w:val="BodyText"/>
        <w:numPr>
          <w:ilvl w:val="0"/>
          <w:numId w:val="52"/>
        </w:numPr>
        <w:rPr>
          <w:color w:val="auto"/>
        </w:rPr>
      </w:pPr>
      <w:r w:rsidRPr="00402B0C">
        <w:rPr>
          <w:rFonts w:asciiTheme="majorHAnsi" w:hAnsiTheme="majorHAnsi"/>
          <w:color w:val="auto"/>
        </w:rPr>
        <w:t>NSW Indigenous Business and Employment Hub</w:t>
      </w:r>
    </w:p>
    <w:p w:rsidR="0008456B" w:rsidRPr="00402B0C" w:rsidRDefault="004E6E7B" w:rsidP="00402B0C">
      <w:pPr>
        <w:pStyle w:val="BodyText"/>
        <w:ind w:left="720"/>
        <w:rPr>
          <w:rFonts w:asciiTheme="majorHAnsi" w:hAnsiTheme="majorHAnsi"/>
        </w:rPr>
      </w:pPr>
      <w:hyperlink r:id="rId63" w:history="1">
        <w:r w:rsidR="0008456B" w:rsidRPr="00402B0C">
          <w:rPr>
            <w:rStyle w:val="Hyperlink"/>
            <w:rFonts w:asciiTheme="majorHAnsi" w:hAnsiTheme="majorHAnsi"/>
          </w:rPr>
          <w:t>http://alc.org.au/economic-development/yarpahub.aspx</w:t>
        </w:r>
      </w:hyperlink>
    </w:p>
    <w:p w:rsidR="0008456B" w:rsidRPr="00402B0C" w:rsidRDefault="0008456B" w:rsidP="00402B0C">
      <w:pPr>
        <w:pStyle w:val="BodyText"/>
        <w:numPr>
          <w:ilvl w:val="0"/>
          <w:numId w:val="52"/>
        </w:numPr>
        <w:rPr>
          <w:color w:val="auto"/>
        </w:rPr>
      </w:pPr>
      <w:r w:rsidRPr="00402B0C">
        <w:rPr>
          <w:rFonts w:asciiTheme="majorHAnsi" w:hAnsiTheme="majorHAnsi"/>
          <w:color w:val="auto"/>
        </w:rPr>
        <w:t>WA Indigenous Business and Employment Hub</w:t>
      </w:r>
    </w:p>
    <w:p w:rsidR="0008456B" w:rsidRPr="00402B0C" w:rsidRDefault="004E6E7B" w:rsidP="00402B0C">
      <w:pPr>
        <w:pStyle w:val="BodyText"/>
        <w:ind w:left="720"/>
        <w:rPr>
          <w:rFonts w:asciiTheme="majorHAnsi" w:hAnsiTheme="majorHAnsi"/>
        </w:rPr>
      </w:pPr>
      <w:hyperlink r:id="rId64" w:history="1">
        <w:r w:rsidR="0008456B" w:rsidRPr="00402B0C">
          <w:rPr>
            <w:rStyle w:val="Hyperlink"/>
            <w:rFonts w:asciiTheme="majorHAnsi" w:hAnsiTheme="majorHAnsi"/>
          </w:rPr>
          <w:t>https://www.wf.org.au/programs/programs-employment/242-wirra-hub</w:t>
        </w:r>
      </w:hyperlink>
    </w:p>
    <w:p w:rsidR="0008456B" w:rsidRPr="00402B0C" w:rsidRDefault="0008456B" w:rsidP="00402B0C">
      <w:pPr>
        <w:pStyle w:val="BodyText"/>
        <w:numPr>
          <w:ilvl w:val="0"/>
          <w:numId w:val="52"/>
        </w:numPr>
        <w:rPr>
          <w:rFonts w:asciiTheme="majorHAnsi" w:hAnsiTheme="majorHAnsi"/>
        </w:rPr>
      </w:pPr>
      <w:r w:rsidRPr="00402B0C">
        <w:rPr>
          <w:rFonts w:asciiTheme="majorHAnsi" w:hAnsiTheme="majorHAnsi"/>
        </w:rPr>
        <w:t>Australian Apprenticeships</w:t>
      </w:r>
    </w:p>
    <w:p w:rsidR="001659A3" w:rsidRDefault="004E6E7B" w:rsidP="00402B0C">
      <w:pPr>
        <w:pStyle w:val="BodyText"/>
        <w:ind w:left="720"/>
        <w:rPr>
          <w:rFonts w:asciiTheme="majorHAnsi" w:hAnsiTheme="majorHAnsi"/>
        </w:rPr>
      </w:pPr>
      <w:hyperlink r:id="rId65" w:history="1">
        <w:r w:rsidR="0008456B" w:rsidRPr="00402B0C">
          <w:rPr>
            <w:rStyle w:val="Hyperlink"/>
            <w:rFonts w:asciiTheme="majorHAnsi" w:hAnsiTheme="majorHAnsi"/>
          </w:rPr>
          <w:t>https://www.australianapprenticeships.gov.au/search-gto</w:t>
        </w:r>
      </w:hyperlink>
    </w:p>
    <w:p w:rsidR="001659A3" w:rsidRPr="004A5957" w:rsidRDefault="001659A3" w:rsidP="001659A3">
      <w:pPr>
        <w:pStyle w:val="BodyText"/>
        <w:numPr>
          <w:ilvl w:val="0"/>
          <w:numId w:val="52"/>
        </w:numPr>
        <w:rPr>
          <w:rFonts w:asciiTheme="majorHAnsi" w:hAnsiTheme="majorHAnsi"/>
        </w:rPr>
      </w:pPr>
      <w:r w:rsidRPr="004A5957">
        <w:rPr>
          <w:rFonts w:asciiTheme="majorHAnsi" w:hAnsiTheme="majorHAnsi"/>
        </w:rPr>
        <w:t>Community Development program</w:t>
      </w:r>
      <w:r w:rsidRPr="004A5957">
        <w:rPr>
          <w:rFonts w:asciiTheme="majorHAnsi" w:hAnsiTheme="majorHAnsi"/>
        </w:rPr>
        <w:tab/>
      </w:r>
    </w:p>
    <w:p w:rsidR="001659A3" w:rsidRPr="004A5957" w:rsidRDefault="004E6E7B" w:rsidP="001659A3">
      <w:pPr>
        <w:pStyle w:val="BodyText"/>
        <w:ind w:left="360" w:firstLine="360"/>
        <w:rPr>
          <w:rFonts w:asciiTheme="majorHAnsi" w:hAnsiTheme="majorHAnsi"/>
        </w:rPr>
      </w:pPr>
      <w:hyperlink r:id="rId66" w:history="1">
        <w:r w:rsidR="001659A3" w:rsidRPr="004A5957">
          <w:rPr>
            <w:rStyle w:val="Hyperlink"/>
            <w:rFonts w:asciiTheme="majorHAnsi" w:hAnsiTheme="majorHAnsi"/>
          </w:rPr>
          <w:t>https://www.niaa.gov.au/indigenous-affairs/employment/cdp</w:t>
        </w:r>
      </w:hyperlink>
    </w:p>
    <w:p w:rsidR="004F3B95" w:rsidRDefault="004F3B95" w:rsidP="004F3B95">
      <w:pPr>
        <w:pStyle w:val="BodyText"/>
        <w:numPr>
          <w:ilvl w:val="0"/>
          <w:numId w:val="52"/>
        </w:numPr>
        <w:ind w:left="709"/>
        <w:rPr>
          <w:rFonts w:asciiTheme="majorHAnsi" w:hAnsiTheme="majorHAnsi"/>
        </w:rPr>
      </w:pPr>
      <w:r>
        <w:rPr>
          <w:rFonts w:asciiTheme="majorHAnsi" w:hAnsiTheme="majorHAnsi"/>
        </w:rPr>
        <w:t>Job Search – Service Providers</w:t>
      </w:r>
    </w:p>
    <w:p w:rsidR="004F3B95" w:rsidRDefault="004E6E7B" w:rsidP="004F3B95">
      <w:pPr>
        <w:pStyle w:val="BodyText"/>
        <w:ind w:left="709"/>
        <w:rPr>
          <w:rFonts w:asciiTheme="majorHAnsi" w:hAnsiTheme="majorHAnsi"/>
        </w:rPr>
      </w:pPr>
      <w:hyperlink r:id="rId67" w:history="1">
        <w:r w:rsidR="004F3B95" w:rsidRPr="00A140D5">
          <w:rPr>
            <w:rStyle w:val="Hyperlink"/>
            <w:rFonts w:asciiTheme="majorHAnsi" w:hAnsiTheme="majorHAnsi"/>
          </w:rPr>
          <w:t>https://jobsearch.gov.au/serviceproviders</w:t>
        </w:r>
      </w:hyperlink>
    </w:p>
    <w:p w:rsidR="0008456B" w:rsidRPr="00402B0C" w:rsidRDefault="0008456B" w:rsidP="00402B0C">
      <w:pPr>
        <w:pStyle w:val="BodyText"/>
        <w:numPr>
          <w:ilvl w:val="0"/>
          <w:numId w:val="52"/>
        </w:numPr>
        <w:rPr>
          <w:rFonts w:asciiTheme="majorHAnsi" w:hAnsiTheme="majorHAnsi"/>
        </w:rPr>
      </w:pPr>
      <w:r w:rsidRPr="00402B0C">
        <w:rPr>
          <w:rFonts w:asciiTheme="majorHAnsi" w:hAnsiTheme="majorHAnsi"/>
        </w:rPr>
        <w:t>Jobactive</w:t>
      </w:r>
    </w:p>
    <w:p w:rsidR="0008456B" w:rsidRPr="00402B0C" w:rsidRDefault="004E6E7B" w:rsidP="00402B0C">
      <w:pPr>
        <w:pStyle w:val="BodyText"/>
        <w:ind w:left="720"/>
        <w:rPr>
          <w:rFonts w:asciiTheme="majorHAnsi" w:hAnsiTheme="majorHAnsi"/>
        </w:rPr>
      </w:pPr>
      <w:hyperlink r:id="rId68" w:history="1">
        <w:r w:rsidR="0008456B" w:rsidRPr="00402B0C">
          <w:rPr>
            <w:rStyle w:val="Hyperlink"/>
            <w:rFonts w:asciiTheme="majorHAnsi" w:hAnsiTheme="majorHAnsi"/>
          </w:rPr>
          <w:t>https://jobsearch.gov.au/</w:t>
        </w:r>
      </w:hyperlink>
    </w:p>
    <w:p w:rsidR="0008456B" w:rsidRPr="00402B0C" w:rsidRDefault="0008456B" w:rsidP="00402B0C">
      <w:pPr>
        <w:pStyle w:val="BodyText"/>
        <w:numPr>
          <w:ilvl w:val="0"/>
          <w:numId w:val="52"/>
        </w:numPr>
        <w:rPr>
          <w:rFonts w:asciiTheme="majorHAnsi" w:hAnsiTheme="majorHAnsi"/>
        </w:rPr>
      </w:pPr>
      <w:r w:rsidRPr="00402B0C">
        <w:rPr>
          <w:rFonts w:asciiTheme="majorHAnsi" w:hAnsiTheme="majorHAnsi"/>
        </w:rPr>
        <w:t>Transition to Work</w:t>
      </w:r>
    </w:p>
    <w:p w:rsidR="0008456B" w:rsidRPr="00402B0C" w:rsidRDefault="004E6E7B" w:rsidP="00402B0C">
      <w:pPr>
        <w:pStyle w:val="BodyText"/>
        <w:ind w:left="720"/>
        <w:rPr>
          <w:rFonts w:asciiTheme="majorHAnsi" w:hAnsiTheme="majorHAnsi"/>
        </w:rPr>
      </w:pPr>
      <w:hyperlink r:id="rId69" w:history="1">
        <w:r w:rsidR="0008456B" w:rsidRPr="00402B0C">
          <w:rPr>
            <w:rStyle w:val="Hyperlink"/>
            <w:rFonts w:asciiTheme="majorHAnsi" w:hAnsiTheme="majorHAnsi"/>
          </w:rPr>
          <w:t>https://jobsearch.gov.au/transition-to-work</w:t>
        </w:r>
      </w:hyperlink>
    </w:p>
    <w:p w:rsidR="0008456B" w:rsidRDefault="0008456B" w:rsidP="00402B0C">
      <w:pPr>
        <w:pStyle w:val="BodyText"/>
        <w:numPr>
          <w:ilvl w:val="0"/>
          <w:numId w:val="52"/>
        </w:numPr>
        <w:rPr>
          <w:rFonts w:asciiTheme="majorHAnsi" w:hAnsiTheme="majorHAnsi"/>
        </w:rPr>
      </w:pPr>
      <w:r>
        <w:rPr>
          <w:rFonts w:asciiTheme="majorHAnsi" w:hAnsiTheme="majorHAnsi"/>
        </w:rPr>
        <w:t>Disability Employment Services</w:t>
      </w:r>
    </w:p>
    <w:p w:rsidR="0008456B" w:rsidRDefault="004E6E7B" w:rsidP="00402B0C">
      <w:pPr>
        <w:pStyle w:val="BodyText"/>
        <w:ind w:left="720"/>
        <w:rPr>
          <w:rFonts w:asciiTheme="majorHAnsi" w:hAnsiTheme="majorHAnsi"/>
        </w:rPr>
      </w:pPr>
      <w:hyperlink r:id="rId70" w:history="1">
        <w:r w:rsidR="0008456B" w:rsidRPr="00402B0C">
          <w:rPr>
            <w:rStyle w:val="Hyperlink"/>
            <w:rFonts w:asciiTheme="majorHAnsi" w:hAnsiTheme="majorHAnsi"/>
          </w:rPr>
          <w:t>https://www.dss.gov.au/our-responsibilities/disability-and-carers/programmes-services/disability-employment-services</w:t>
        </w:r>
      </w:hyperlink>
    </w:p>
    <w:p w:rsidR="0008456B" w:rsidRPr="00402B0C" w:rsidRDefault="007A1CC5" w:rsidP="00402B0C">
      <w:pPr>
        <w:pStyle w:val="BodyText"/>
        <w:numPr>
          <w:ilvl w:val="0"/>
          <w:numId w:val="52"/>
        </w:numPr>
        <w:rPr>
          <w:rFonts w:asciiTheme="majorHAnsi" w:hAnsiTheme="majorHAnsi"/>
        </w:rPr>
      </w:pPr>
      <w:r>
        <w:rPr>
          <w:rFonts w:asciiTheme="majorHAnsi" w:hAnsiTheme="majorHAnsi"/>
        </w:rPr>
        <w:t>Tailored Assistance Employment Grants</w:t>
      </w:r>
    </w:p>
    <w:p w:rsidR="0008456B" w:rsidRDefault="004E6E7B" w:rsidP="00402B0C">
      <w:pPr>
        <w:pStyle w:val="BodyText"/>
        <w:ind w:left="720"/>
        <w:rPr>
          <w:rFonts w:asciiTheme="majorHAnsi" w:hAnsiTheme="majorHAnsi"/>
        </w:rPr>
      </w:pPr>
      <w:hyperlink r:id="rId71" w:history="1">
        <w:r w:rsidR="007A1CC5" w:rsidRPr="00402B0C">
          <w:rPr>
            <w:rStyle w:val="Hyperlink"/>
            <w:rFonts w:asciiTheme="majorHAnsi" w:hAnsiTheme="majorHAnsi"/>
          </w:rPr>
          <w:t>https://www.niaa.gov.au/indigenous-affairs/employment/tailored-assistance-employment-grants</w:t>
        </w:r>
      </w:hyperlink>
    </w:p>
    <w:p w:rsidR="007A1CC5" w:rsidRPr="00402B0C" w:rsidRDefault="007A1CC5" w:rsidP="00402B0C">
      <w:pPr>
        <w:pStyle w:val="BodyText"/>
        <w:numPr>
          <w:ilvl w:val="0"/>
          <w:numId w:val="52"/>
        </w:numPr>
        <w:rPr>
          <w:rFonts w:asciiTheme="majorHAnsi" w:hAnsiTheme="majorHAnsi"/>
        </w:rPr>
      </w:pPr>
      <w:r>
        <w:rPr>
          <w:rFonts w:asciiTheme="majorHAnsi" w:hAnsiTheme="majorHAnsi"/>
        </w:rPr>
        <w:t>Employment Parity Initiative</w:t>
      </w:r>
    </w:p>
    <w:p w:rsidR="0008456B" w:rsidRPr="00402B0C" w:rsidRDefault="004E6E7B" w:rsidP="00402B0C">
      <w:pPr>
        <w:pStyle w:val="BodyText"/>
        <w:ind w:left="720"/>
        <w:rPr>
          <w:rFonts w:asciiTheme="majorHAnsi" w:hAnsiTheme="majorHAnsi"/>
        </w:rPr>
      </w:pPr>
      <w:hyperlink r:id="rId72" w:history="1">
        <w:r w:rsidR="007A1CC5" w:rsidRPr="00402B0C">
          <w:rPr>
            <w:rStyle w:val="Hyperlink"/>
            <w:rFonts w:asciiTheme="majorHAnsi" w:hAnsiTheme="majorHAnsi"/>
          </w:rPr>
          <w:t>https://www.niaa.gov.au/indigenous-affairs/employment/employment-parity-initiative</w:t>
        </w:r>
      </w:hyperlink>
    </w:p>
    <w:p w:rsidR="001659A3" w:rsidRDefault="001659A3" w:rsidP="00402B0C">
      <w:pPr>
        <w:pStyle w:val="BodyText"/>
        <w:numPr>
          <w:ilvl w:val="0"/>
          <w:numId w:val="52"/>
        </w:numPr>
        <w:rPr>
          <w:rFonts w:asciiTheme="majorHAnsi" w:hAnsiTheme="majorHAnsi"/>
        </w:rPr>
      </w:pPr>
      <w:r>
        <w:rPr>
          <w:rFonts w:asciiTheme="majorHAnsi" w:hAnsiTheme="majorHAnsi"/>
        </w:rPr>
        <w:t xml:space="preserve">Parentsnext </w:t>
      </w:r>
    </w:p>
    <w:p w:rsidR="001659A3" w:rsidRPr="00402B0C" w:rsidRDefault="004E6E7B" w:rsidP="00402B0C">
      <w:pPr>
        <w:pStyle w:val="BodyText"/>
        <w:ind w:left="360" w:firstLine="360"/>
        <w:rPr>
          <w:rFonts w:asciiTheme="majorHAnsi" w:hAnsiTheme="majorHAnsi"/>
        </w:rPr>
      </w:pPr>
      <w:hyperlink r:id="rId73" w:history="1">
        <w:r w:rsidR="001659A3" w:rsidRPr="00402B0C">
          <w:rPr>
            <w:rStyle w:val="Hyperlink"/>
            <w:rFonts w:asciiTheme="majorHAnsi" w:hAnsiTheme="majorHAnsi"/>
          </w:rPr>
          <w:t>https://www.employment.gov.au/parentsnext</w:t>
        </w:r>
      </w:hyperlink>
    </w:p>
    <w:p w:rsidR="00CB0AF1" w:rsidRDefault="00CB0AF1" w:rsidP="00CB0AF1">
      <w:pPr>
        <w:pStyle w:val="BodyText"/>
        <w:numPr>
          <w:ilvl w:val="0"/>
          <w:numId w:val="52"/>
        </w:numPr>
        <w:ind w:left="786"/>
        <w:rPr>
          <w:rFonts w:asciiTheme="majorHAnsi" w:hAnsiTheme="majorHAnsi"/>
        </w:rPr>
      </w:pPr>
      <w:r>
        <w:rPr>
          <w:rFonts w:asciiTheme="majorHAnsi" w:hAnsiTheme="majorHAnsi"/>
        </w:rPr>
        <w:t>NSW Indigenous Chamber of Commerce</w:t>
      </w:r>
    </w:p>
    <w:p w:rsidR="00CB0AF1" w:rsidRPr="009A7207" w:rsidRDefault="004E6E7B" w:rsidP="00CB0AF1">
      <w:pPr>
        <w:pStyle w:val="BodyText"/>
        <w:ind w:left="786"/>
        <w:rPr>
          <w:rFonts w:asciiTheme="majorHAnsi" w:hAnsiTheme="majorHAnsi"/>
        </w:rPr>
      </w:pPr>
      <w:hyperlink r:id="rId74" w:history="1">
        <w:r w:rsidR="00CB0AF1" w:rsidRPr="009A7207">
          <w:rPr>
            <w:rStyle w:val="Hyperlink"/>
            <w:rFonts w:asciiTheme="majorHAnsi" w:hAnsiTheme="majorHAnsi"/>
          </w:rPr>
          <w:t>https://nswicc.com.au/</w:t>
        </w:r>
      </w:hyperlink>
    </w:p>
    <w:p w:rsidR="00CB0AF1" w:rsidRDefault="007F07E5" w:rsidP="00CB0AF1">
      <w:pPr>
        <w:pStyle w:val="BodyText"/>
        <w:ind w:left="426"/>
        <w:rPr>
          <w:rFonts w:asciiTheme="majorHAnsi" w:hAnsiTheme="majorHAnsi"/>
        </w:rPr>
      </w:pPr>
      <w:r>
        <w:rPr>
          <w:rFonts w:asciiTheme="majorHAnsi" w:hAnsiTheme="majorHAnsi"/>
        </w:rPr>
        <w:t>31.</w:t>
      </w:r>
      <w:r w:rsidR="00CB0AF1">
        <w:rPr>
          <w:rFonts w:asciiTheme="majorHAnsi" w:hAnsiTheme="majorHAnsi"/>
        </w:rPr>
        <w:tab/>
        <w:t>South East Queensland Indigenous Chamber of Commerce</w:t>
      </w:r>
    </w:p>
    <w:p w:rsidR="00CB0AF1" w:rsidRPr="009A7207" w:rsidRDefault="00CB0AF1" w:rsidP="00CB0AF1">
      <w:pPr>
        <w:pStyle w:val="BodyText"/>
        <w:ind w:left="426"/>
        <w:rPr>
          <w:rFonts w:asciiTheme="majorHAnsi" w:hAnsiTheme="majorHAnsi"/>
        </w:rPr>
      </w:pPr>
      <w:r w:rsidRPr="009A7207">
        <w:rPr>
          <w:rFonts w:asciiTheme="majorHAnsi" w:hAnsiTheme="majorHAnsi"/>
        </w:rPr>
        <w:tab/>
      </w:r>
      <w:hyperlink r:id="rId75" w:history="1">
        <w:r w:rsidRPr="009A7207">
          <w:rPr>
            <w:rStyle w:val="Hyperlink"/>
            <w:rFonts w:asciiTheme="majorHAnsi" w:hAnsiTheme="majorHAnsi"/>
          </w:rPr>
          <w:t>http://seqicc.com.au/</w:t>
        </w:r>
      </w:hyperlink>
    </w:p>
    <w:p w:rsidR="00CB0AF1" w:rsidRDefault="00CB0AF1" w:rsidP="006F7C43">
      <w:pPr>
        <w:pStyle w:val="BodyText"/>
        <w:numPr>
          <w:ilvl w:val="0"/>
          <w:numId w:val="58"/>
        </w:numPr>
        <w:rPr>
          <w:rFonts w:asciiTheme="majorHAnsi" w:hAnsiTheme="majorHAnsi"/>
        </w:rPr>
      </w:pPr>
      <w:r>
        <w:rPr>
          <w:rFonts w:asciiTheme="majorHAnsi" w:hAnsiTheme="majorHAnsi"/>
        </w:rPr>
        <w:t>Kinaway Chamber of Commerce – Victoria</w:t>
      </w:r>
    </w:p>
    <w:p w:rsidR="00CB0AF1" w:rsidRPr="009A7207" w:rsidRDefault="004E6E7B" w:rsidP="00CB0AF1">
      <w:pPr>
        <w:pStyle w:val="BodyText"/>
        <w:ind w:left="426" w:firstLine="294"/>
        <w:rPr>
          <w:rFonts w:asciiTheme="majorHAnsi" w:hAnsiTheme="majorHAnsi"/>
        </w:rPr>
      </w:pPr>
      <w:hyperlink r:id="rId76" w:history="1">
        <w:r w:rsidR="00CB0AF1" w:rsidRPr="009A7207">
          <w:rPr>
            <w:rStyle w:val="Hyperlink"/>
            <w:rFonts w:asciiTheme="majorHAnsi" w:hAnsiTheme="majorHAnsi"/>
          </w:rPr>
          <w:t>https://kinaway.com.au/</w:t>
        </w:r>
      </w:hyperlink>
    </w:p>
    <w:p w:rsidR="00CB0AF1" w:rsidRDefault="00CB0AF1" w:rsidP="006F7C43">
      <w:pPr>
        <w:pStyle w:val="BodyText"/>
        <w:numPr>
          <w:ilvl w:val="0"/>
          <w:numId w:val="58"/>
        </w:numPr>
        <w:ind w:left="426" w:firstLine="0"/>
        <w:rPr>
          <w:rFonts w:asciiTheme="majorHAnsi" w:hAnsiTheme="majorHAnsi"/>
        </w:rPr>
      </w:pPr>
      <w:r>
        <w:rPr>
          <w:rFonts w:asciiTheme="majorHAnsi" w:hAnsiTheme="majorHAnsi"/>
        </w:rPr>
        <w:t xml:space="preserve"> Aboriginal Business Industry Chamber of South Australia</w:t>
      </w:r>
    </w:p>
    <w:p w:rsidR="00CB0AF1" w:rsidRPr="009A7207" w:rsidRDefault="004E6E7B" w:rsidP="00CB0AF1">
      <w:pPr>
        <w:pStyle w:val="BodyText"/>
        <w:ind w:left="426" w:firstLine="294"/>
        <w:rPr>
          <w:rFonts w:asciiTheme="majorHAnsi" w:hAnsiTheme="majorHAnsi"/>
        </w:rPr>
      </w:pPr>
      <w:hyperlink r:id="rId77" w:history="1">
        <w:r w:rsidR="00CB0AF1" w:rsidRPr="009A7207">
          <w:rPr>
            <w:rStyle w:val="Hyperlink"/>
            <w:rFonts w:asciiTheme="majorHAnsi" w:hAnsiTheme="majorHAnsi"/>
          </w:rPr>
          <w:t>https://abicsa.org.au/</w:t>
        </w:r>
      </w:hyperlink>
    </w:p>
    <w:p w:rsidR="00CB0AF1" w:rsidRDefault="00CB0AF1" w:rsidP="006F7C43">
      <w:pPr>
        <w:pStyle w:val="BodyText"/>
        <w:numPr>
          <w:ilvl w:val="0"/>
          <w:numId w:val="58"/>
        </w:numPr>
        <w:ind w:left="426" w:firstLine="0"/>
        <w:rPr>
          <w:rFonts w:asciiTheme="majorHAnsi" w:hAnsiTheme="majorHAnsi"/>
        </w:rPr>
      </w:pPr>
      <w:r>
        <w:rPr>
          <w:rFonts w:asciiTheme="majorHAnsi" w:hAnsiTheme="majorHAnsi"/>
        </w:rPr>
        <w:lastRenderedPageBreak/>
        <w:t xml:space="preserve"> Mandurah Hunter Indigenous Business Chamber</w:t>
      </w:r>
    </w:p>
    <w:p w:rsidR="00CB0AF1" w:rsidRPr="009A7207" w:rsidRDefault="004E6E7B" w:rsidP="00CB0AF1">
      <w:pPr>
        <w:pStyle w:val="BodyText"/>
        <w:ind w:firstLine="720"/>
        <w:rPr>
          <w:rFonts w:asciiTheme="majorHAnsi" w:hAnsiTheme="majorHAnsi"/>
        </w:rPr>
      </w:pPr>
      <w:hyperlink r:id="rId78" w:history="1">
        <w:r w:rsidR="00CB0AF1" w:rsidRPr="009A7207">
          <w:rPr>
            <w:rStyle w:val="Hyperlink"/>
            <w:rFonts w:asciiTheme="majorHAnsi" w:hAnsiTheme="majorHAnsi"/>
          </w:rPr>
          <w:t>http://www.mandurahhibc.com.au/</w:t>
        </w:r>
      </w:hyperlink>
    </w:p>
    <w:p w:rsidR="00CB0AF1" w:rsidRDefault="00CB0AF1" w:rsidP="006F7C43">
      <w:pPr>
        <w:pStyle w:val="BodyText"/>
        <w:numPr>
          <w:ilvl w:val="0"/>
          <w:numId w:val="58"/>
        </w:numPr>
        <w:ind w:left="426" w:firstLine="0"/>
        <w:rPr>
          <w:rFonts w:asciiTheme="majorHAnsi" w:hAnsiTheme="majorHAnsi"/>
        </w:rPr>
      </w:pPr>
      <w:r>
        <w:rPr>
          <w:rFonts w:asciiTheme="majorHAnsi" w:hAnsiTheme="majorHAnsi"/>
        </w:rPr>
        <w:t xml:space="preserve"> Aboriginal Business Directory WA</w:t>
      </w:r>
    </w:p>
    <w:p w:rsidR="00CB0AF1" w:rsidRDefault="004E6E7B" w:rsidP="00CB0AF1">
      <w:pPr>
        <w:pStyle w:val="BodyText"/>
        <w:ind w:firstLine="720"/>
        <w:rPr>
          <w:rFonts w:asciiTheme="majorHAnsi" w:hAnsiTheme="majorHAnsi"/>
        </w:rPr>
      </w:pPr>
      <w:hyperlink r:id="rId79" w:history="1">
        <w:r w:rsidR="00CB0AF1" w:rsidRPr="009A7207">
          <w:rPr>
            <w:rStyle w:val="Hyperlink"/>
            <w:rFonts w:asciiTheme="majorHAnsi" w:hAnsiTheme="majorHAnsi"/>
          </w:rPr>
          <w:t>http://abdwa.com.au/</w:t>
        </w:r>
      </w:hyperlink>
    </w:p>
    <w:p w:rsidR="00324E71" w:rsidRDefault="00324E71">
      <w:r>
        <w:br w:type="page"/>
      </w:r>
    </w:p>
    <w:p w:rsidR="005C28AF" w:rsidRDefault="00324E71" w:rsidP="00324E71">
      <w:pPr>
        <w:pStyle w:val="Title"/>
        <w:jc w:val="right"/>
      </w:pPr>
      <w:r>
        <w:lastRenderedPageBreak/>
        <w:t>Attachment A</w:t>
      </w:r>
    </w:p>
    <w:p w:rsidR="00324E71" w:rsidRDefault="00324E71" w:rsidP="00CB0AF1">
      <w:pPr>
        <w:pStyle w:val="BodyText"/>
      </w:pPr>
    </w:p>
    <w:p w:rsidR="00324E71" w:rsidRPr="00C508FA" w:rsidRDefault="00324E71" w:rsidP="00324E71">
      <w:pPr>
        <w:jc w:val="center"/>
        <w:rPr>
          <w:sz w:val="28"/>
          <w:szCs w:val="28"/>
        </w:rPr>
      </w:pPr>
      <w:r w:rsidRPr="00C508FA">
        <w:rPr>
          <w:sz w:val="28"/>
          <w:szCs w:val="28"/>
        </w:rPr>
        <w:t xml:space="preserve">Case Study One: Life cycle of a MMR with a </w:t>
      </w:r>
      <w:r w:rsidRPr="00C508FA">
        <w:rPr>
          <w:sz w:val="28"/>
          <w:szCs w:val="28"/>
          <w:u w:val="single"/>
        </w:rPr>
        <w:t>contract-based target</w:t>
      </w:r>
      <w:r w:rsidRPr="00C508FA">
        <w:rPr>
          <w:sz w:val="28"/>
          <w:szCs w:val="28"/>
        </w:rPr>
        <w:t>.</w:t>
      </w:r>
    </w:p>
    <w:p w:rsidR="00324E71" w:rsidRPr="00C42D48" w:rsidRDefault="00324E71" w:rsidP="00324E71">
      <w:pPr>
        <w:ind w:left="720"/>
        <w:rPr>
          <w:rFonts w:ascii="Century Gothic" w:hAnsi="Century Gothic" w:cstheme="minorHAnsi"/>
        </w:rPr>
      </w:pPr>
      <w:r w:rsidRPr="00C6725B">
        <w:rPr>
          <w:rFonts w:ascii="Century Gothic" w:hAnsi="Century Gothic" w:cstheme="minorHAnsi"/>
        </w:rPr>
        <w:t xml:space="preserve">The Department of Land and Wildlife Conservation </w:t>
      </w:r>
      <w:r>
        <w:rPr>
          <w:rFonts w:ascii="Century Gothic" w:hAnsi="Century Gothic" w:cstheme="minorHAnsi"/>
        </w:rPr>
        <w:t xml:space="preserve">(DLWC) seek to procure services to restore sand dunes in Bryon Bay </w:t>
      </w:r>
      <w:r w:rsidRPr="00C42D48">
        <w:rPr>
          <w:rFonts w:ascii="Century Gothic" w:hAnsi="Century Gothic" w:cstheme="minorHAnsi"/>
        </w:rPr>
        <w:t>estimated to be valued at $10</w:t>
      </w:r>
      <w:r>
        <w:rPr>
          <w:rFonts w:ascii="Century Gothic" w:hAnsi="Century Gothic" w:cstheme="minorHAnsi"/>
        </w:rPr>
        <w:t> </w:t>
      </w:r>
      <w:r w:rsidRPr="00C42D48">
        <w:rPr>
          <w:rFonts w:ascii="Century Gothic" w:hAnsi="Century Gothic" w:cstheme="minorHAnsi"/>
        </w:rPr>
        <w:t xml:space="preserve">million. </w:t>
      </w:r>
    </w:p>
    <w:p w:rsidR="00324E71" w:rsidRPr="00C42D48" w:rsidRDefault="00324E71" w:rsidP="00324E71">
      <w:pPr>
        <w:ind w:left="720"/>
        <w:rPr>
          <w:rFonts w:ascii="Century Gothic" w:hAnsi="Century Gothic" w:cstheme="minorHAnsi"/>
          <w:color w:val="333333"/>
          <w:shd w:val="clear" w:color="auto" w:fill="FFFFFF"/>
        </w:rPr>
      </w:pPr>
      <w:r w:rsidRPr="00C42D48">
        <w:rPr>
          <w:rFonts w:ascii="Century Gothic" w:hAnsi="Century Gothic" w:cstheme="minorHAnsi"/>
          <w:color w:val="333333"/>
          <w:shd w:val="clear" w:color="auto" w:fill="FFFFFF"/>
        </w:rPr>
        <w:t xml:space="preserve">As the procurement is valued at over $7.5 million and will be delivered wholly in Australia, </w:t>
      </w:r>
      <w:r>
        <w:rPr>
          <w:rFonts w:ascii="Century Gothic" w:hAnsi="Century Gothic" w:cstheme="minorHAnsi"/>
          <w:color w:val="333333"/>
          <w:shd w:val="clear" w:color="auto" w:fill="FFFFFF"/>
        </w:rPr>
        <w:t xml:space="preserve">it is </w:t>
      </w:r>
      <w:r w:rsidRPr="00C42D48">
        <w:rPr>
          <w:rFonts w:ascii="Century Gothic" w:hAnsi="Century Gothic" w:cstheme="minorHAnsi"/>
          <w:color w:val="333333"/>
          <w:shd w:val="clear" w:color="auto" w:fill="FFFFFF"/>
        </w:rPr>
        <w:t xml:space="preserve">likely </w:t>
      </w:r>
      <w:r>
        <w:rPr>
          <w:rFonts w:ascii="Century Gothic" w:hAnsi="Century Gothic" w:cstheme="minorHAnsi"/>
          <w:color w:val="333333"/>
          <w:shd w:val="clear" w:color="auto" w:fill="FFFFFF"/>
        </w:rPr>
        <w:t>to be s</w:t>
      </w:r>
      <w:r w:rsidRPr="00C42D48">
        <w:rPr>
          <w:rFonts w:ascii="Century Gothic" w:hAnsi="Century Gothic" w:cstheme="minorHAnsi"/>
          <w:color w:val="333333"/>
          <w:shd w:val="clear" w:color="auto" w:fill="FFFFFF"/>
        </w:rPr>
        <w:t xml:space="preserve">ubject to </w:t>
      </w:r>
      <w:r>
        <w:rPr>
          <w:rFonts w:ascii="Century Gothic" w:hAnsi="Century Gothic" w:cstheme="minorHAnsi"/>
          <w:color w:val="333333"/>
          <w:shd w:val="clear" w:color="auto" w:fill="FFFFFF"/>
        </w:rPr>
        <w:t xml:space="preserve">the </w:t>
      </w:r>
      <w:r w:rsidRPr="00C42D48">
        <w:rPr>
          <w:rFonts w:ascii="Century Gothic" w:hAnsi="Century Gothic" w:cstheme="minorHAnsi"/>
          <w:color w:val="333333"/>
          <w:shd w:val="clear" w:color="auto" w:fill="FFFFFF"/>
        </w:rPr>
        <w:t>MMR</w:t>
      </w:r>
      <w:r>
        <w:rPr>
          <w:rFonts w:ascii="Century Gothic" w:hAnsi="Century Gothic" w:cstheme="minorHAnsi"/>
          <w:color w:val="333333"/>
          <w:shd w:val="clear" w:color="auto" w:fill="FFFFFF"/>
        </w:rPr>
        <w:t xml:space="preserve">. </w:t>
      </w:r>
    </w:p>
    <w:p w:rsidR="00324E71" w:rsidRPr="00AB0AE7" w:rsidRDefault="00324E71" w:rsidP="00324E71">
      <w:pPr>
        <w:ind w:left="720"/>
        <w:rPr>
          <w:rFonts w:ascii="Century Gothic" w:hAnsi="Century Gothic" w:cstheme="minorHAnsi"/>
          <w:shd w:val="clear" w:color="auto" w:fill="FFFFFF"/>
        </w:rPr>
      </w:pPr>
      <w:r w:rsidRPr="00C42D48">
        <w:rPr>
          <w:rFonts w:ascii="Century Gothic" w:hAnsi="Century Gothic" w:cstheme="minorHAnsi"/>
        </w:rPr>
        <w:t xml:space="preserve">To confirm, the responsible procuring officer conducts a search of </w:t>
      </w:r>
      <w:r w:rsidRPr="00D65A56">
        <w:rPr>
          <w:rFonts w:ascii="Century Gothic" w:hAnsi="Century Gothic" w:cstheme="minorHAnsi"/>
          <w:i/>
        </w:rPr>
        <w:t>Erosion Control Services</w:t>
      </w:r>
      <w:r w:rsidRPr="00D65A56">
        <w:rPr>
          <w:rFonts w:ascii="Century Gothic" w:hAnsi="Century Gothic" w:cstheme="minorHAnsi"/>
        </w:rPr>
        <w:t xml:space="preserve"> </w:t>
      </w:r>
      <w:r w:rsidRPr="00AB0AE7">
        <w:rPr>
          <w:rFonts w:ascii="Century Gothic" w:hAnsi="Century Gothic" w:cstheme="minorHAnsi"/>
        </w:rPr>
        <w:t xml:space="preserve">on the UNSPSC website. The search produces a code of </w:t>
      </w:r>
      <w:r w:rsidRPr="00AB0AE7">
        <w:rPr>
          <w:rFonts w:ascii="Century Gothic" w:hAnsi="Century Gothic" w:cstheme="minorHAnsi"/>
          <w:shd w:val="clear" w:color="auto" w:fill="FFFFFF"/>
        </w:rPr>
        <w:t xml:space="preserve">70131503. </w:t>
      </w:r>
      <w:r w:rsidRPr="00C42D48">
        <w:rPr>
          <w:rFonts w:ascii="Century Gothic" w:hAnsi="Century Gothic" w:cstheme="minorHAnsi"/>
          <w:color w:val="333333"/>
          <w:shd w:val="clear" w:color="auto" w:fill="FFFFFF"/>
        </w:rPr>
        <w:t xml:space="preserve">The first two digits of that code – 70 – correspond with the broader industry category </w:t>
      </w:r>
      <w:r w:rsidRPr="00C42D48">
        <w:rPr>
          <w:rFonts w:ascii="Century Gothic" w:hAnsi="Century Gothic" w:cstheme="minorHAnsi"/>
          <w:i/>
          <w:color w:val="333333"/>
          <w:shd w:val="clear" w:color="auto" w:fill="FFFFFF"/>
        </w:rPr>
        <w:t>Farming, fishing, forestry and wildlife contracting services</w:t>
      </w:r>
      <w:r w:rsidRPr="00C42D48">
        <w:rPr>
          <w:rFonts w:ascii="Century Gothic" w:hAnsi="Century Gothic" w:cstheme="minorHAnsi"/>
          <w:color w:val="333333"/>
          <w:shd w:val="clear" w:color="auto" w:fill="FFFFFF"/>
        </w:rPr>
        <w:t xml:space="preserve">, </w:t>
      </w:r>
      <w:r w:rsidRPr="00AB0AE7">
        <w:rPr>
          <w:rFonts w:ascii="Century Gothic" w:hAnsi="Century Gothic" w:cstheme="minorHAnsi"/>
          <w:shd w:val="clear" w:color="auto" w:fill="FFFFFF"/>
        </w:rPr>
        <w:t xml:space="preserve">an industry category subject to the MMR. </w:t>
      </w:r>
    </w:p>
    <w:p w:rsidR="00324E71" w:rsidRPr="00C6725B" w:rsidRDefault="00324E71" w:rsidP="00324E71">
      <w:pPr>
        <w:ind w:left="720"/>
        <w:rPr>
          <w:rFonts w:ascii="Century Gothic" w:hAnsi="Century Gothic" w:cstheme="minorHAnsi"/>
        </w:rPr>
      </w:pPr>
      <w:r w:rsidRPr="00C42D48">
        <w:rPr>
          <w:rFonts w:ascii="Century Gothic" w:hAnsi="Century Gothic" w:cstheme="minorHAnsi"/>
        </w:rPr>
        <w:t>T</w:t>
      </w:r>
      <w:r>
        <w:rPr>
          <w:rFonts w:ascii="Century Gothic" w:hAnsi="Century Gothic" w:cstheme="minorHAnsi"/>
        </w:rPr>
        <w:t xml:space="preserve">he procuring officer searches the electronic </w:t>
      </w:r>
      <w:hyperlink r:id="rId80" w:history="1">
        <w:r w:rsidRPr="005B0CD3">
          <w:rPr>
            <w:rStyle w:val="Hyperlink"/>
            <w:rFonts w:ascii="Century Gothic" w:hAnsi="Century Gothic" w:cstheme="minorHAnsi"/>
          </w:rPr>
          <w:t>IPP interactive map</w:t>
        </w:r>
      </w:hyperlink>
      <w:r>
        <w:rPr>
          <w:rFonts w:ascii="Century Gothic" w:hAnsi="Century Gothic" w:cstheme="minorHAnsi"/>
        </w:rPr>
        <w:t xml:space="preserve"> and confirms that Byron Bay, the delivery location, is not defined as a remote location and therefore the higher MMR remote targets do not need to apply. </w:t>
      </w:r>
    </w:p>
    <w:p w:rsidR="00324E71" w:rsidRDefault="00324E71" w:rsidP="00324E71">
      <w:pPr>
        <w:ind w:left="720"/>
        <w:rPr>
          <w:rFonts w:ascii="Century Gothic" w:hAnsi="Century Gothic" w:cstheme="minorHAnsi"/>
        </w:rPr>
      </w:pPr>
      <w:r>
        <w:rPr>
          <w:rFonts w:ascii="Century Gothic" w:hAnsi="Century Gothic" w:cstheme="minorHAnsi"/>
        </w:rPr>
        <w:t>DLWC i</w:t>
      </w:r>
      <w:r w:rsidRPr="00C6725B">
        <w:rPr>
          <w:rFonts w:ascii="Century Gothic" w:hAnsi="Century Gothic" w:cstheme="minorHAnsi"/>
        </w:rPr>
        <w:t xml:space="preserve">ssues an approach to market </w:t>
      </w:r>
      <w:r>
        <w:rPr>
          <w:rFonts w:ascii="Century Gothic" w:hAnsi="Century Gothic" w:cstheme="minorHAnsi"/>
        </w:rPr>
        <w:t xml:space="preserve">(ATM) </w:t>
      </w:r>
      <w:r w:rsidRPr="00C6725B">
        <w:rPr>
          <w:rFonts w:ascii="Century Gothic" w:hAnsi="Century Gothic" w:cstheme="minorHAnsi"/>
        </w:rPr>
        <w:t xml:space="preserve">inviting potential suppliers to participate in </w:t>
      </w:r>
      <w:r>
        <w:rPr>
          <w:rFonts w:ascii="Century Gothic" w:hAnsi="Century Gothic" w:cstheme="minorHAnsi"/>
        </w:rPr>
        <w:t xml:space="preserve">the </w:t>
      </w:r>
      <w:r w:rsidRPr="00C6725B">
        <w:rPr>
          <w:rFonts w:ascii="Century Gothic" w:hAnsi="Century Gothic" w:cstheme="minorHAnsi"/>
        </w:rPr>
        <w:t>procurement</w:t>
      </w:r>
      <w:r>
        <w:rPr>
          <w:rFonts w:ascii="Century Gothic" w:hAnsi="Century Gothic" w:cstheme="minorHAnsi"/>
        </w:rPr>
        <w:t xml:space="preserve">. The ATM includes the MMR model clauses that require tenderers to submit an Indigenous Participation Plan. The DLWC tender documents include the requirement for the evaluation panel to consider tenders’ past performance against the MMR and the draft contract (included in the ATM) includes MMR model clauses that require the successful tender to report quarterly against the MMR via the Commonwealth’s IPPRS. </w:t>
      </w:r>
    </w:p>
    <w:p w:rsidR="00324E71" w:rsidRPr="00C6725B" w:rsidRDefault="00324E71" w:rsidP="00324E71">
      <w:pPr>
        <w:ind w:left="720"/>
        <w:rPr>
          <w:rFonts w:ascii="Century Gothic" w:hAnsi="Century Gothic" w:cstheme="minorHAnsi"/>
        </w:rPr>
      </w:pPr>
      <w:r>
        <w:rPr>
          <w:rFonts w:ascii="Century Gothic" w:hAnsi="Century Gothic" w:cstheme="minorHAnsi"/>
        </w:rPr>
        <w:t>Roberto, o</w:t>
      </w:r>
      <w:r w:rsidRPr="00C6725B">
        <w:rPr>
          <w:rFonts w:ascii="Century Gothic" w:hAnsi="Century Gothic" w:cstheme="minorHAnsi"/>
        </w:rPr>
        <w:t>wner-manager</w:t>
      </w:r>
      <w:r>
        <w:rPr>
          <w:rFonts w:ascii="Century Gothic" w:hAnsi="Century Gothic" w:cstheme="minorHAnsi"/>
        </w:rPr>
        <w:t xml:space="preserve"> of Erosion Be Gone</w:t>
      </w:r>
      <w:r w:rsidRPr="00C6725B">
        <w:rPr>
          <w:rFonts w:ascii="Century Gothic" w:hAnsi="Century Gothic" w:cstheme="minorHAnsi"/>
        </w:rPr>
        <w:t xml:space="preserve">, </w:t>
      </w:r>
      <w:r>
        <w:rPr>
          <w:rFonts w:ascii="Century Gothic" w:hAnsi="Century Gothic" w:cstheme="minorHAnsi"/>
        </w:rPr>
        <w:t xml:space="preserve">is registered to receive AusTender alerts. Roberto reviews the ATM documentation. Roberto determines his company </w:t>
      </w:r>
      <w:r w:rsidRPr="00C6725B">
        <w:rPr>
          <w:rFonts w:ascii="Century Gothic" w:hAnsi="Century Gothic" w:cstheme="minorHAnsi"/>
        </w:rPr>
        <w:t xml:space="preserve">can meet a </w:t>
      </w:r>
      <w:r>
        <w:rPr>
          <w:rFonts w:ascii="Century Gothic" w:hAnsi="Century Gothic" w:cstheme="minorHAnsi"/>
        </w:rPr>
        <w:t xml:space="preserve">MMR </w:t>
      </w:r>
      <w:r w:rsidRPr="00C6725B">
        <w:rPr>
          <w:rFonts w:ascii="Century Gothic" w:hAnsi="Century Gothic" w:cstheme="minorHAnsi"/>
        </w:rPr>
        <w:t xml:space="preserve">contract-based target of 4 per cent, comprising 1 per cent employment and 3 per cent supply-use. </w:t>
      </w:r>
    </w:p>
    <w:p w:rsidR="00324E71" w:rsidRDefault="00324E71" w:rsidP="00324E71">
      <w:pPr>
        <w:ind w:left="720"/>
        <w:rPr>
          <w:rFonts w:ascii="Century Gothic" w:hAnsi="Century Gothic" w:cstheme="minorHAnsi"/>
        </w:rPr>
      </w:pPr>
      <w:r>
        <w:rPr>
          <w:rFonts w:ascii="Century Gothic" w:hAnsi="Century Gothic" w:cstheme="minorHAnsi"/>
        </w:rPr>
        <w:t xml:space="preserve">Since Roberto plans to quote $11 million, the 3 per cent supply use target will require Roberto to use Indigenous businesses to deliver at least </w:t>
      </w:r>
      <w:r w:rsidRPr="00C6725B">
        <w:rPr>
          <w:rFonts w:ascii="Century Gothic" w:hAnsi="Century Gothic" w:cstheme="minorHAnsi"/>
        </w:rPr>
        <w:t xml:space="preserve">$330,000 </w:t>
      </w:r>
      <w:r>
        <w:rPr>
          <w:rFonts w:ascii="Century Gothic" w:hAnsi="Century Gothic" w:cstheme="minorHAnsi"/>
        </w:rPr>
        <w:t>of the project.</w:t>
      </w:r>
    </w:p>
    <w:p w:rsidR="00324E71" w:rsidRDefault="00324E71" w:rsidP="00324E71">
      <w:pPr>
        <w:ind w:left="720"/>
        <w:rPr>
          <w:rFonts w:ascii="Century Gothic" w:hAnsi="Century Gothic" w:cstheme="minorHAnsi"/>
        </w:rPr>
      </w:pPr>
      <w:r>
        <w:rPr>
          <w:rFonts w:ascii="Century Gothic" w:hAnsi="Century Gothic" w:cstheme="minorHAnsi"/>
        </w:rPr>
        <w:t xml:space="preserve">Roberto has an existing relationship with a business that he knows is at least 50% Indigenous owned that he will use to supply landscaping equipment.  Roberto uses the Supply Nation directory to identify two other businesses that he confirms can provide the required specialist vehicle and signage for the project. </w:t>
      </w:r>
    </w:p>
    <w:p w:rsidR="00324E71" w:rsidRDefault="00324E71" w:rsidP="00324E71">
      <w:pPr>
        <w:ind w:left="720"/>
        <w:rPr>
          <w:rFonts w:ascii="Century Gothic" w:hAnsi="Century Gothic" w:cstheme="minorHAnsi"/>
        </w:rPr>
      </w:pPr>
      <w:r>
        <w:rPr>
          <w:rFonts w:ascii="Century Gothic" w:hAnsi="Century Gothic" w:cstheme="minorHAnsi"/>
        </w:rPr>
        <w:t xml:space="preserve">Roberto calculates that he will require two additional staff to deliver on the project at Byron Bay. He searches for employment service providers on </w:t>
      </w:r>
      <w:hyperlink r:id="rId81" w:history="1">
        <w:r w:rsidRPr="00AB0AE7">
          <w:rPr>
            <w:rFonts w:ascii="Century Gothic" w:hAnsi="Century Gothic" w:cstheme="minorHAnsi"/>
          </w:rPr>
          <w:t>https://jobsearch.gov.au/serviceproviders</w:t>
        </w:r>
      </w:hyperlink>
      <w:r>
        <w:rPr>
          <w:rFonts w:ascii="Century Gothic" w:hAnsi="Century Gothic" w:cstheme="minorHAnsi"/>
        </w:rPr>
        <w:t xml:space="preserve"> to identify the local employment service providers. Based on a conversation with the local provider he is confident he can recruit at least one employee that identifies as Aboriginal to work on the project. </w:t>
      </w:r>
    </w:p>
    <w:p w:rsidR="00324E71" w:rsidRPr="00C6725B" w:rsidRDefault="00324E71" w:rsidP="00324E71">
      <w:pPr>
        <w:ind w:left="720"/>
        <w:rPr>
          <w:rFonts w:ascii="Century Gothic" w:hAnsi="Century Gothic" w:cstheme="minorHAnsi"/>
        </w:rPr>
      </w:pPr>
      <w:r>
        <w:rPr>
          <w:rFonts w:ascii="Century Gothic" w:hAnsi="Century Gothic" w:cstheme="minorHAnsi"/>
        </w:rPr>
        <w:t>Roberto</w:t>
      </w:r>
      <w:r w:rsidRPr="00C6725B">
        <w:rPr>
          <w:rFonts w:ascii="Century Gothic" w:hAnsi="Century Gothic" w:cstheme="minorHAnsi"/>
        </w:rPr>
        <w:t xml:space="preserve"> includes these details in the Indigenous Participation Plan </w:t>
      </w:r>
      <w:r>
        <w:rPr>
          <w:rFonts w:ascii="Century Gothic" w:hAnsi="Century Gothic" w:cstheme="minorHAnsi"/>
        </w:rPr>
        <w:t xml:space="preserve">as part of the </w:t>
      </w:r>
      <w:r w:rsidRPr="00C6725B">
        <w:rPr>
          <w:rFonts w:ascii="Century Gothic" w:hAnsi="Century Gothic" w:cstheme="minorHAnsi"/>
        </w:rPr>
        <w:t>tender submission</w:t>
      </w:r>
      <w:r>
        <w:rPr>
          <w:rFonts w:ascii="Century Gothic" w:hAnsi="Century Gothic" w:cstheme="minorHAnsi"/>
        </w:rPr>
        <w:t xml:space="preserve"> alongside the current rates of Erosion Be Gone Indigenous employment and supply use. Roberto declares that Erosion Be Gone has never been subject to the MMR before and therefore does not have any past performance information to include. </w:t>
      </w:r>
    </w:p>
    <w:p w:rsidR="00324E71" w:rsidRDefault="00324E71" w:rsidP="00324E71">
      <w:pPr>
        <w:ind w:left="720"/>
        <w:rPr>
          <w:rFonts w:ascii="Century Gothic" w:hAnsi="Century Gothic" w:cstheme="minorHAnsi"/>
        </w:rPr>
      </w:pPr>
      <w:r>
        <w:rPr>
          <w:rFonts w:ascii="Century Gothic" w:hAnsi="Century Gothic" w:cstheme="minorHAnsi"/>
        </w:rPr>
        <w:t xml:space="preserve">The DLWC tender evaluation panel searches the IPPRS to confirm if tenders have previously been subject to the MMR. The panel considers strategies to meet MMR targets outlined in the Indigenous Participation Plans.  It is confirmed Erosion Be Gone has not been subject to the MMR before. The panel forms the view that Erosion Be Gone’s Indigenous Participation Plan has a clear strategy to connect with Indigenous businesses and job seekers. </w:t>
      </w:r>
    </w:p>
    <w:p w:rsidR="00324E71" w:rsidRDefault="00324E71" w:rsidP="00324E71">
      <w:pPr>
        <w:ind w:left="720"/>
        <w:rPr>
          <w:rFonts w:ascii="Century Gothic" w:hAnsi="Century Gothic" w:cstheme="minorHAnsi"/>
        </w:rPr>
      </w:pPr>
      <w:r>
        <w:rPr>
          <w:rFonts w:ascii="Century Gothic" w:hAnsi="Century Gothic" w:cstheme="minorHAnsi"/>
        </w:rPr>
        <w:lastRenderedPageBreak/>
        <w:t xml:space="preserve">Erosion Be Gone is assessed as the preferred supplier (having regard to the tender evaluation criteria and overall value for money assessment) and </w:t>
      </w:r>
      <w:r w:rsidRPr="00C6725B">
        <w:rPr>
          <w:rFonts w:ascii="Century Gothic" w:hAnsi="Century Gothic" w:cstheme="minorHAnsi"/>
        </w:rPr>
        <w:t xml:space="preserve">enters </w:t>
      </w:r>
      <w:r>
        <w:rPr>
          <w:rFonts w:ascii="Century Gothic" w:hAnsi="Century Gothic" w:cstheme="minorHAnsi"/>
        </w:rPr>
        <w:t>into a contract. DLWC publishes a contract notice on AusTender.</w:t>
      </w:r>
    </w:p>
    <w:p w:rsidR="00324E71" w:rsidRDefault="00324E71" w:rsidP="00324E71">
      <w:pPr>
        <w:ind w:left="720"/>
        <w:rPr>
          <w:rFonts w:ascii="Century Gothic" w:hAnsi="Century Gothic" w:cstheme="minorHAnsi"/>
        </w:rPr>
      </w:pPr>
      <w:r>
        <w:rPr>
          <w:rFonts w:ascii="Century Gothic" w:hAnsi="Century Gothic" w:cstheme="minorHAnsi"/>
        </w:rPr>
        <w:t xml:space="preserve">The IPPRS identifies (through data-matching with AusTender) DLWC has awarded a contract likely subject to the MMR and emails an alert to the DLWC portfolio contact. </w:t>
      </w:r>
    </w:p>
    <w:p w:rsidR="00324E71" w:rsidRDefault="00324E71" w:rsidP="00324E71">
      <w:pPr>
        <w:ind w:left="720"/>
        <w:rPr>
          <w:rFonts w:ascii="Century Gothic" w:hAnsi="Century Gothic" w:cstheme="minorHAnsi"/>
        </w:rPr>
      </w:pPr>
      <w:r>
        <w:rPr>
          <w:rFonts w:ascii="Century Gothic" w:hAnsi="Century Gothic" w:cstheme="minorHAnsi"/>
        </w:rPr>
        <w:t xml:space="preserve">The portfolio contact identifies the relevant contract manager who confirms that the contract is subject to the MMR.  The contract manager enters the MMR targets included in the contract and the postcode for the delivery location into the system. The contract manager also enters the relevant email address for Erosion Be Gone – ideally the email address will allow for potential turnover or absence with the contracted firm so the company continues to comply. The IPPRS sends Erosion Be Gone an email to initiate quarterly reporting. </w:t>
      </w:r>
    </w:p>
    <w:p w:rsidR="00324E71" w:rsidRDefault="00324E71" w:rsidP="00324E71">
      <w:pPr>
        <w:ind w:left="720"/>
        <w:rPr>
          <w:rFonts w:ascii="Century Gothic" w:hAnsi="Century Gothic" w:cstheme="minorHAnsi"/>
        </w:rPr>
      </w:pPr>
      <w:r>
        <w:rPr>
          <w:rFonts w:ascii="Century Gothic" w:hAnsi="Century Gothic" w:cstheme="minorHAnsi"/>
        </w:rPr>
        <w:t xml:space="preserve">Each quarter Erosion Be Gone receives an email from the IPPRS reminding them to report. For each report, Roberto enters the total number of FTE working on the dune regeneration project and the total number of FTE that identify as indigenous working on the project. </w:t>
      </w:r>
    </w:p>
    <w:p w:rsidR="00324E71" w:rsidRDefault="00324E71" w:rsidP="00324E71">
      <w:pPr>
        <w:ind w:left="720"/>
        <w:rPr>
          <w:rFonts w:ascii="Century Gothic" w:hAnsi="Century Gothic" w:cstheme="minorHAnsi"/>
        </w:rPr>
      </w:pPr>
      <w:r>
        <w:rPr>
          <w:rFonts w:ascii="Century Gothic" w:hAnsi="Century Gothic" w:cstheme="minorHAnsi"/>
        </w:rPr>
        <w:t xml:space="preserve">Roberto also enters the ABN of the Indigenous businesses that he as engaged in the delivery of the project alongside the value of the purchase/contract, date of purchase and a brief description of the purchase. The IPPRS data matches the ABN with Supply Nation and ORIC to confirm these businesses are verified as at least 50 per cent Indigenous owned. For Indigenous businesses not registered with Supply Nation or ORIC, Erosion Be Gone is required to maintain documents confirming they have made appropriate checks to confirm the businesses are at least 50 per cent Indigenous owned.  </w:t>
      </w:r>
    </w:p>
    <w:p w:rsidR="00324E71" w:rsidRDefault="00324E71" w:rsidP="00324E71">
      <w:pPr>
        <w:ind w:left="720"/>
        <w:rPr>
          <w:rFonts w:ascii="Century Gothic" w:hAnsi="Century Gothic" w:cstheme="minorHAnsi"/>
        </w:rPr>
      </w:pPr>
      <w:r>
        <w:rPr>
          <w:rFonts w:ascii="Century Gothic" w:hAnsi="Century Gothic" w:cstheme="minorHAnsi"/>
        </w:rPr>
        <w:t xml:space="preserve">The DLWC contract manager receives an email from the IPPRS after Roberto has submitted a quarterly report. The contract manager is required to review the report, acknowledge receipt of the report in the system and may make any comments for Erosion Be Gone’s attention. </w:t>
      </w:r>
    </w:p>
    <w:p w:rsidR="00324E71" w:rsidRDefault="00324E71" w:rsidP="00324E71">
      <w:pPr>
        <w:ind w:left="720"/>
        <w:rPr>
          <w:rFonts w:ascii="Century Gothic" w:hAnsi="Century Gothic" w:cstheme="minorHAnsi"/>
        </w:rPr>
      </w:pPr>
      <w:r w:rsidRPr="00C6725B">
        <w:rPr>
          <w:rFonts w:ascii="Century Gothic" w:hAnsi="Century Gothic" w:cstheme="minorHAnsi"/>
        </w:rPr>
        <w:t xml:space="preserve">In fulfilling </w:t>
      </w:r>
      <w:r>
        <w:rPr>
          <w:rFonts w:ascii="Century Gothic" w:hAnsi="Century Gothic" w:cstheme="minorHAnsi"/>
        </w:rPr>
        <w:t xml:space="preserve">its reporting </w:t>
      </w:r>
      <w:r w:rsidRPr="00C6725B">
        <w:rPr>
          <w:rFonts w:ascii="Century Gothic" w:hAnsi="Century Gothic" w:cstheme="minorHAnsi"/>
        </w:rPr>
        <w:t>obligation</w:t>
      </w:r>
      <w:r>
        <w:rPr>
          <w:rFonts w:ascii="Century Gothic" w:hAnsi="Century Gothic" w:cstheme="minorHAnsi"/>
        </w:rPr>
        <w:t>s, Erosion Be Gone</w:t>
      </w:r>
      <w:r w:rsidRPr="00C6725B">
        <w:rPr>
          <w:rFonts w:ascii="Century Gothic" w:hAnsi="Century Gothic" w:cstheme="minorHAnsi"/>
        </w:rPr>
        <w:t xml:space="preserve"> is able to track progress and make early adjustments to ensure his company’s performance </w:t>
      </w:r>
      <w:r>
        <w:rPr>
          <w:rFonts w:ascii="Century Gothic" w:hAnsi="Century Gothic" w:cstheme="minorHAnsi"/>
        </w:rPr>
        <w:t xml:space="preserve">remains on track. During the life of the contract, Roberto may seek a contract variation to change the employment and supply use combination of the MMR target. In considering the request the DLWC contract manager confirm if the proposed change complies with the MMR.  </w:t>
      </w:r>
      <w:r w:rsidRPr="00C6725B">
        <w:rPr>
          <w:rFonts w:ascii="Century Gothic" w:hAnsi="Century Gothic" w:cstheme="minorHAnsi"/>
        </w:rPr>
        <w:t xml:space="preserve">At the </w:t>
      </w:r>
      <w:r>
        <w:rPr>
          <w:rFonts w:ascii="Century Gothic" w:hAnsi="Century Gothic" w:cstheme="minorHAnsi"/>
        </w:rPr>
        <w:t xml:space="preserve">end of the </w:t>
      </w:r>
      <w:r w:rsidRPr="00C6725B">
        <w:rPr>
          <w:rFonts w:ascii="Century Gothic" w:hAnsi="Century Gothic" w:cstheme="minorHAnsi"/>
        </w:rPr>
        <w:t>contract</w:t>
      </w:r>
      <w:r>
        <w:rPr>
          <w:rFonts w:ascii="Century Gothic" w:hAnsi="Century Gothic" w:cstheme="minorHAnsi"/>
        </w:rPr>
        <w:t>,</w:t>
      </w:r>
      <w:r w:rsidRPr="00C6725B">
        <w:rPr>
          <w:rFonts w:ascii="Century Gothic" w:hAnsi="Century Gothic" w:cstheme="minorHAnsi"/>
        </w:rPr>
        <w:t xml:space="preserve"> Erosion Be Gone’s final performance against its MMR target </w:t>
      </w:r>
      <w:r>
        <w:rPr>
          <w:rFonts w:ascii="Century Gothic" w:hAnsi="Century Gothic" w:cstheme="minorHAnsi"/>
        </w:rPr>
        <w:t xml:space="preserve">is </w:t>
      </w:r>
      <w:r w:rsidRPr="00C6725B">
        <w:rPr>
          <w:rFonts w:ascii="Century Gothic" w:hAnsi="Century Gothic" w:cstheme="minorHAnsi"/>
        </w:rPr>
        <w:t>calculated by the IPPRS.</w:t>
      </w:r>
      <w:r>
        <w:rPr>
          <w:rFonts w:ascii="Century Gothic" w:hAnsi="Century Gothic" w:cstheme="minorHAnsi"/>
        </w:rPr>
        <w:t xml:space="preserve"> </w:t>
      </w:r>
      <w:r w:rsidRPr="00C6725B">
        <w:rPr>
          <w:rFonts w:ascii="Century Gothic" w:hAnsi="Century Gothic" w:cstheme="minorHAnsi"/>
        </w:rPr>
        <w:t xml:space="preserve"> </w:t>
      </w:r>
    </w:p>
    <w:p w:rsidR="00324E71" w:rsidRPr="00C6725B" w:rsidRDefault="00324E71" w:rsidP="00324E71">
      <w:pPr>
        <w:ind w:left="720"/>
        <w:rPr>
          <w:rFonts w:ascii="Century Gothic" w:hAnsi="Century Gothic" w:cstheme="minorHAnsi"/>
        </w:rPr>
      </w:pPr>
      <w:r>
        <w:rPr>
          <w:rFonts w:ascii="Century Gothic" w:hAnsi="Century Gothic" w:cstheme="minorHAnsi"/>
        </w:rPr>
        <w:t xml:space="preserve">This performance history will be accessed by evaluation panels when Erosion Be Gone tenders for other contracts subject to the MMR. </w:t>
      </w:r>
    </w:p>
    <w:p w:rsidR="00324E71" w:rsidRPr="00C508FA" w:rsidRDefault="00324E71" w:rsidP="00324E71">
      <w:pPr>
        <w:jc w:val="center"/>
        <w:rPr>
          <w:sz w:val="28"/>
          <w:szCs w:val="28"/>
          <w:u w:val="single"/>
        </w:rPr>
      </w:pPr>
      <w:r>
        <w:br w:type="page"/>
      </w:r>
      <w:r w:rsidRPr="00C508FA">
        <w:rPr>
          <w:sz w:val="28"/>
          <w:szCs w:val="28"/>
        </w:rPr>
        <w:lastRenderedPageBreak/>
        <w:t xml:space="preserve">Case Study Two:  Life cycle of a MMR with an </w:t>
      </w:r>
      <w:r w:rsidRPr="00C508FA">
        <w:rPr>
          <w:sz w:val="28"/>
          <w:szCs w:val="28"/>
          <w:u w:val="single"/>
        </w:rPr>
        <w:t>organisation-based target</w:t>
      </w:r>
    </w:p>
    <w:p w:rsidR="00324E71" w:rsidRDefault="00324E71" w:rsidP="00324E71">
      <w:pPr>
        <w:ind w:left="720"/>
        <w:rPr>
          <w:rFonts w:ascii="Century Gothic" w:hAnsi="Century Gothic" w:cstheme="minorHAnsi"/>
        </w:rPr>
      </w:pPr>
      <w:r w:rsidRPr="00C6725B">
        <w:rPr>
          <w:rFonts w:ascii="Century Gothic" w:hAnsi="Century Gothic" w:cstheme="minorHAnsi"/>
        </w:rPr>
        <w:t xml:space="preserve">The </w:t>
      </w:r>
      <w:r>
        <w:rPr>
          <w:rFonts w:ascii="Century Gothic" w:hAnsi="Century Gothic" w:cstheme="minorHAnsi"/>
        </w:rPr>
        <w:t xml:space="preserve">Department of Hydro-Energy (DHE), based in Canberra, seeks </w:t>
      </w:r>
      <w:r w:rsidRPr="00C6725B">
        <w:rPr>
          <w:rFonts w:ascii="Century Gothic" w:hAnsi="Century Gothic" w:cstheme="minorHAnsi"/>
        </w:rPr>
        <w:t xml:space="preserve">a </w:t>
      </w:r>
      <w:r>
        <w:rPr>
          <w:rFonts w:ascii="Century Gothic" w:hAnsi="Century Gothic" w:cstheme="minorHAnsi"/>
        </w:rPr>
        <w:t xml:space="preserve">feasibility study to upgrade a dam in the Cairns water catchment area. DHE estimate the procurement is valued at $20 million. </w:t>
      </w:r>
    </w:p>
    <w:p w:rsidR="00324E71" w:rsidRPr="0049357C" w:rsidRDefault="00324E71" w:rsidP="00324E71">
      <w:pPr>
        <w:ind w:left="720"/>
        <w:rPr>
          <w:rFonts w:ascii="Century Gothic" w:hAnsi="Century Gothic" w:cstheme="minorHAnsi"/>
        </w:rPr>
      </w:pPr>
      <w:r w:rsidRPr="0049357C">
        <w:rPr>
          <w:rFonts w:ascii="Century Gothic" w:hAnsi="Century Gothic" w:cstheme="minorHAnsi"/>
        </w:rPr>
        <w:t xml:space="preserve">As the procurement is valued over $7.5 million and delivered wholly in Australia it is likely subject to the MMR. </w:t>
      </w:r>
    </w:p>
    <w:p w:rsidR="00324E71" w:rsidRPr="0049357C" w:rsidRDefault="00324E71" w:rsidP="00324E71">
      <w:pPr>
        <w:ind w:left="720"/>
        <w:rPr>
          <w:rFonts w:ascii="Century Gothic" w:hAnsi="Century Gothic" w:cstheme="minorHAnsi"/>
        </w:rPr>
      </w:pPr>
      <w:r w:rsidRPr="00D65A56">
        <w:rPr>
          <w:rFonts w:ascii="Century Gothic" w:hAnsi="Century Gothic" w:cstheme="minorHAnsi"/>
        </w:rPr>
        <w:t>A</w:t>
      </w:r>
      <w:r w:rsidRPr="00C6725B">
        <w:rPr>
          <w:rFonts w:ascii="Century Gothic" w:hAnsi="Century Gothic" w:cstheme="minorHAnsi"/>
        </w:rPr>
        <w:t xml:space="preserve"> search </w:t>
      </w:r>
      <w:r>
        <w:rPr>
          <w:rFonts w:ascii="Century Gothic" w:hAnsi="Century Gothic" w:cstheme="minorHAnsi"/>
        </w:rPr>
        <w:t xml:space="preserve">for </w:t>
      </w:r>
      <w:r w:rsidRPr="0049357C">
        <w:rPr>
          <w:rFonts w:ascii="Century Gothic" w:hAnsi="Century Gothic" w:cstheme="minorHAnsi"/>
        </w:rPr>
        <w:t>Dam Engineering</w:t>
      </w:r>
      <w:r>
        <w:rPr>
          <w:rFonts w:ascii="Century Gothic" w:hAnsi="Century Gothic" w:cstheme="minorHAnsi"/>
        </w:rPr>
        <w:t xml:space="preserve"> on the USPSC website produces a </w:t>
      </w:r>
      <w:r w:rsidRPr="00C6725B">
        <w:rPr>
          <w:rFonts w:ascii="Century Gothic" w:hAnsi="Century Gothic" w:cstheme="minorHAnsi"/>
        </w:rPr>
        <w:t xml:space="preserve">code of </w:t>
      </w:r>
      <w:r w:rsidRPr="0049357C">
        <w:rPr>
          <w:rFonts w:ascii="Century Gothic" w:hAnsi="Century Gothic" w:cstheme="minorHAnsi"/>
        </w:rPr>
        <w:t xml:space="preserve">81101507. The first two digits of that code – 81 – correspond with the broader industry category Engineering and Research and Technology Based Services, an industry sector subject to the MMR. </w:t>
      </w:r>
    </w:p>
    <w:p w:rsidR="00324E71" w:rsidRDefault="00324E71" w:rsidP="00324E71">
      <w:pPr>
        <w:ind w:left="720"/>
        <w:rPr>
          <w:rFonts w:ascii="Century Gothic" w:hAnsi="Century Gothic" w:cstheme="minorHAnsi"/>
        </w:rPr>
      </w:pPr>
      <w:r>
        <w:rPr>
          <w:rFonts w:ascii="Century Gothic" w:hAnsi="Century Gothic" w:cstheme="minorHAnsi"/>
        </w:rPr>
        <w:t xml:space="preserve">The procuring officer searches the electronic </w:t>
      </w:r>
      <w:hyperlink r:id="rId82" w:history="1">
        <w:r w:rsidRPr="005B0CD3">
          <w:rPr>
            <w:rStyle w:val="Hyperlink"/>
            <w:rFonts w:ascii="Century Gothic" w:hAnsi="Century Gothic" w:cstheme="minorHAnsi"/>
          </w:rPr>
          <w:t>IPP interactive map</w:t>
        </w:r>
      </w:hyperlink>
      <w:r>
        <w:rPr>
          <w:rFonts w:ascii="Century Gothic" w:hAnsi="Century Gothic" w:cstheme="minorHAnsi"/>
        </w:rPr>
        <w:t xml:space="preserve"> and confirms Canberra, the delivery location is not defined as a remote location and the higher remote MMR targets will not need to be applied.  </w:t>
      </w:r>
    </w:p>
    <w:p w:rsidR="00324E71" w:rsidRPr="00C6725B" w:rsidRDefault="00324E71" w:rsidP="00324E71">
      <w:pPr>
        <w:ind w:left="720"/>
        <w:rPr>
          <w:rFonts w:ascii="Century Gothic" w:hAnsi="Century Gothic" w:cstheme="minorHAnsi"/>
        </w:rPr>
      </w:pPr>
      <w:r>
        <w:rPr>
          <w:rFonts w:ascii="Century Gothic" w:hAnsi="Century Gothic" w:cstheme="minorHAnsi"/>
        </w:rPr>
        <w:t>DHE i</w:t>
      </w:r>
      <w:r w:rsidRPr="00C6725B">
        <w:rPr>
          <w:rFonts w:ascii="Century Gothic" w:hAnsi="Century Gothic" w:cstheme="minorHAnsi"/>
        </w:rPr>
        <w:t>ssues an</w:t>
      </w:r>
      <w:r>
        <w:rPr>
          <w:rFonts w:ascii="Century Gothic" w:hAnsi="Century Gothic" w:cstheme="minorHAnsi"/>
        </w:rPr>
        <w:t xml:space="preserve"> ATM</w:t>
      </w:r>
      <w:r w:rsidRPr="00C6725B">
        <w:rPr>
          <w:rFonts w:ascii="Century Gothic" w:hAnsi="Century Gothic" w:cstheme="minorHAnsi"/>
        </w:rPr>
        <w:t xml:space="preserve"> </w:t>
      </w:r>
      <w:r>
        <w:rPr>
          <w:rFonts w:ascii="Century Gothic" w:hAnsi="Century Gothic" w:cstheme="minorHAnsi"/>
        </w:rPr>
        <w:t xml:space="preserve">that includes model clauses requiring the inclusion of an Indigenous Participation Plan in the tender submission. The DHE tender evaluation document includes the requirement to consider tenderers’ past performance against the MMR and the draft contract (included in the ATM) includes model clauses requiring quarterly reporting against the MMR targets via the IPPRS. </w:t>
      </w:r>
    </w:p>
    <w:p w:rsidR="00324E71" w:rsidRPr="00C6725B" w:rsidRDefault="00324E71" w:rsidP="00324E71">
      <w:pPr>
        <w:ind w:left="720"/>
        <w:rPr>
          <w:rFonts w:ascii="Century Gothic" w:hAnsi="Century Gothic" w:cstheme="minorHAnsi"/>
        </w:rPr>
      </w:pPr>
      <w:r>
        <w:rPr>
          <w:rFonts w:ascii="Century Gothic" w:hAnsi="Century Gothic" w:cstheme="minorHAnsi"/>
        </w:rPr>
        <w:t>O</w:t>
      </w:r>
      <w:r w:rsidRPr="00C6725B">
        <w:rPr>
          <w:rFonts w:ascii="Century Gothic" w:hAnsi="Century Gothic" w:cstheme="minorHAnsi"/>
        </w:rPr>
        <w:t xml:space="preserve">wner-manager, </w:t>
      </w:r>
      <w:r>
        <w:rPr>
          <w:rFonts w:ascii="Century Gothic" w:hAnsi="Century Gothic" w:cstheme="minorHAnsi"/>
        </w:rPr>
        <w:t xml:space="preserve">Sunita is registered to receive alerts via AusTender. Sunita reviews the ATM and </w:t>
      </w:r>
      <w:r w:rsidRPr="00C6725B">
        <w:rPr>
          <w:rFonts w:ascii="Century Gothic" w:hAnsi="Century Gothic" w:cstheme="minorHAnsi"/>
        </w:rPr>
        <w:t>determines that h</w:t>
      </w:r>
      <w:r>
        <w:rPr>
          <w:rFonts w:ascii="Century Gothic" w:hAnsi="Century Gothic" w:cstheme="minorHAnsi"/>
        </w:rPr>
        <w:t xml:space="preserve">er </w:t>
      </w:r>
      <w:r w:rsidRPr="00C6725B">
        <w:rPr>
          <w:rFonts w:ascii="Century Gothic" w:hAnsi="Century Gothic" w:cstheme="minorHAnsi"/>
        </w:rPr>
        <w:t xml:space="preserve">company, </w:t>
      </w:r>
      <w:r>
        <w:rPr>
          <w:rFonts w:ascii="Century Gothic" w:hAnsi="Century Gothic" w:cstheme="minorHAnsi"/>
        </w:rPr>
        <w:t>JJ Engineering can meet an organisation-based MMR target of 3</w:t>
      </w:r>
      <w:r w:rsidRPr="00C6725B">
        <w:rPr>
          <w:rFonts w:ascii="Century Gothic" w:hAnsi="Century Gothic" w:cstheme="minorHAnsi"/>
        </w:rPr>
        <w:t xml:space="preserve"> per cent, comprising</w:t>
      </w:r>
      <w:r>
        <w:rPr>
          <w:rFonts w:ascii="Century Gothic" w:hAnsi="Century Gothic" w:cstheme="minorHAnsi"/>
        </w:rPr>
        <w:t xml:space="preserve"> 2 per cent employment and 1</w:t>
      </w:r>
      <w:r w:rsidRPr="00C6725B">
        <w:rPr>
          <w:rFonts w:ascii="Century Gothic" w:hAnsi="Century Gothic" w:cstheme="minorHAnsi"/>
        </w:rPr>
        <w:t xml:space="preserve"> per cent supply-use. </w:t>
      </w:r>
      <w:r>
        <w:rPr>
          <w:rFonts w:ascii="Century Gothic" w:hAnsi="Century Gothic" w:cstheme="minorHAnsi"/>
        </w:rPr>
        <w:t xml:space="preserve">JJ Engineering has an active contract with the </w:t>
      </w:r>
      <w:r w:rsidRPr="00C6725B">
        <w:rPr>
          <w:rFonts w:ascii="Century Gothic" w:hAnsi="Century Gothic" w:cstheme="minorHAnsi"/>
        </w:rPr>
        <w:t xml:space="preserve">Department of Land and Wildlife Conservation </w:t>
      </w:r>
      <w:r>
        <w:rPr>
          <w:rFonts w:ascii="Century Gothic" w:hAnsi="Century Gothic" w:cstheme="minorHAnsi"/>
        </w:rPr>
        <w:t xml:space="preserve">(DLWC) that also contains a 3 per cent organisation based MMR target. </w:t>
      </w:r>
    </w:p>
    <w:p w:rsidR="00324E71" w:rsidRPr="00C6725B" w:rsidRDefault="00324E71" w:rsidP="00324E71">
      <w:pPr>
        <w:ind w:left="720"/>
        <w:rPr>
          <w:rFonts w:ascii="Century Gothic" w:hAnsi="Century Gothic" w:cstheme="minorHAnsi"/>
        </w:rPr>
      </w:pPr>
      <w:r>
        <w:rPr>
          <w:rFonts w:ascii="Century Gothic" w:hAnsi="Century Gothic" w:cstheme="minorHAnsi"/>
        </w:rPr>
        <w:t>Sunita includes these details in the I</w:t>
      </w:r>
      <w:r w:rsidRPr="00C6725B">
        <w:rPr>
          <w:rFonts w:ascii="Century Gothic" w:hAnsi="Century Gothic" w:cstheme="minorHAnsi"/>
        </w:rPr>
        <w:t xml:space="preserve">ndigenous Participation Plan </w:t>
      </w:r>
      <w:r>
        <w:rPr>
          <w:rFonts w:ascii="Century Gothic" w:hAnsi="Century Gothic" w:cstheme="minorHAnsi"/>
        </w:rPr>
        <w:t xml:space="preserve">in the </w:t>
      </w:r>
      <w:r w:rsidRPr="00C6725B">
        <w:rPr>
          <w:rFonts w:ascii="Century Gothic" w:hAnsi="Century Gothic" w:cstheme="minorHAnsi"/>
        </w:rPr>
        <w:t>tender submission</w:t>
      </w:r>
      <w:r>
        <w:rPr>
          <w:rFonts w:ascii="Century Gothic" w:hAnsi="Century Gothic" w:cstheme="minorHAnsi"/>
        </w:rPr>
        <w:t xml:space="preserve">, along with details of JJ Engineering’s current rate of Indigenous employment and supply use. Sunita also declares that JJ Engineering has been subject to, and complied with, the MMR in the past and is currently subject to an organisation based MMR target through a contract with DLWC. </w:t>
      </w:r>
    </w:p>
    <w:p w:rsidR="00324E71" w:rsidRDefault="00324E71" w:rsidP="00324E71">
      <w:pPr>
        <w:ind w:left="720"/>
        <w:rPr>
          <w:rFonts w:ascii="Century Gothic" w:hAnsi="Century Gothic" w:cstheme="minorHAnsi"/>
        </w:rPr>
      </w:pPr>
      <w:r>
        <w:rPr>
          <w:rFonts w:ascii="Century Gothic" w:hAnsi="Century Gothic" w:cstheme="minorHAnsi"/>
        </w:rPr>
        <w:t xml:space="preserve">The DHE tender evaluation panel searches the IPPRS to confirm if tenders have previously been subject to the MMR.  DHE confirms that JJ Engineering has previously complied with the MMR and is currently reporting against an organisation based MMR target contained in a DLWC contract. DHE also considered whether or not the strategy outlined in JJ Engineering’s Indigenous Participation Plan is likely to support the achievement of the MMR over the life of the DHE contract.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t xml:space="preserve">JJ Engineering becomes the preferred supplier and enters a contract with DHE. DHE publishes a notice of this contract on AusTender. </w:t>
      </w:r>
    </w:p>
    <w:p w:rsidR="00324E71" w:rsidRDefault="00324E71" w:rsidP="00324E71">
      <w:pPr>
        <w:ind w:left="720"/>
        <w:rPr>
          <w:rFonts w:ascii="Century Gothic" w:hAnsi="Century Gothic" w:cstheme="minorHAnsi"/>
        </w:rPr>
      </w:pPr>
      <w:r>
        <w:rPr>
          <w:rFonts w:ascii="Century Gothic" w:hAnsi="Century Gothic" w:cstheme="minorHAnsi"/>
        </w:rPr>
        <w:t xml:space="preserve">The IPPRS identifies (through data-matching with AusTender) DHE has awarded a contract likely subject to the MMR and emails an alert to the Portfolio contact.  The Portfolio contact identifies the relevant contract manager. The contact manager confirms that the MMR applies to the contract and enters the organisation based MMR target, the delivery postcode and Sunita’s email address into the IPPRS. Sunita receives an email from the IPPRS to initiate quarterly reporting.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t>The contract requires Sunita</w:t>
      </w:r>
      <w:r w:rsidRPr="009137C3">
        <w:rPr>
          <w:rFonts w:ascii="Century Gothic" w:hAnsi="Century Gothic" w:cstheme="minorHAnsi"/>
        </w:rPr>
        <w:t xml:space="preserve"> </w:t>
      </w:r>
      <w:r>
        <w:rPr>
          <w:rFonts w:ascii="Century Gothic" w:hAnsi="Century Gothic" w:cstheme="minorHAnsi"/>
        </w:rPr>
        <w:t>to report JJ Engineering’s performance against the</w:t>
      </w:r>
      <w:r w:rsidRPr="009137C3">
        <w:rPr>
          <w:rFonts w:ascii="Century Gothic" w:hAnsi="Century Gothic" w:cstheme="minorHAnsi"/>
        </w:rPr>
        <w:t xml:space="preserve"> organisation-based target in the IPPRS </w:t>
      </w:r>
      <w:r w:rsidRPr="0049357C">
        <w:rPr>
          <w:rFonts w:ascii="Century Gothic" w:hAnsi="Century Gothic" w:cstheme="minorHAnsi"/>
        </w:rPr>
        <w:t>at least quarterly</w:t>
      </w:r>
      <w:r w:rsidRPr="009137C3">
        <w:rPr>
          <w:rFonts w:ascii="Century Gothic" w:hAnsi="Century Gothic" w:cstheme="minorHAnsi"/>
        </w:rPr>
        <w:t>.</w:t>
      </w:r>
      <w:r>
        <w:rPr>
          <w:rFonts w:ascii="Century Gothic" w:hAnsi="Century Gothic" w:cstheme="minorHAnsi"/>
        </w:rPr>
        <w:t xml:space="preserve"> However, suppliers are able to report more frequently against </w:t>
      </w:r>
      <w:r w:rsidRPr="0049357C">
        <w:rPr>
          <w:rFonts w:ascii="Century Gothic" w:hAnsi="Century Gothic" w:cstheme="minorHAnsi"/>
        </w:rPr>
        <w:t xml:space="preserve">organisation-based MMR targets. </w:t>
      </w:r>
      <w:r>
        <w:rPr>
          <w:rFonts w:ascii="Century Gothic" w:hAnsi="Century Gothic" w:cstheme="minorHAnsi"/>
        </w:rPr>
        <w:t>Sunita has previously decided to report against the DWLC contract monthly as this aligns with other reporting requirement in her organisation.</w:t>
      </w:r>
      <w:r w:rsidRPr="00C44B50">
        <w:rPr>
          <w:rFonts w:ascii="Century Gothic" w:hAnsi="Century Gothic" w:cstheme="minorHAnsi"/>
        </w:rPr>
        <w:t xml:space="preserve"> </w:t>
      </w:r>
      <w:r>
        <w:rPr>
          <w:rFonts w:ascii="Century Gothic" w:hAnsi="Century Gothic" w:cstheme="minorHAnsi"/>
        </w:rPr>
        <w:t xml:space="preserve">Sunita will only need to submit one report each month to meet the requirement of both contracts.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t xml:space="preserve">The IPPRS emails Sunita an alert when the report is due.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t xml:space="preserve">Sunita reports JJ Engineering’s total FTE for their Australian based operations for that month and the total Indigenous FTE employed as part of JJ Engineering’s Australian based operations for that month.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lastRenderedPageBreak/>
        <w:t xml:space="preserve">Sunita also reports the total Australian based supply chain spend for JJ Engineering for that month and all purchases and contracts JJ Engineering made with an Indigenous business that month.  </w:t>
      </w:r>
    </w:p>
    <w:p w:rsidR="00324E71" w:rsidRPr="0049357C" w:rsidRDefault="00324E71" w:rsidP="00324E71">
      <w:pPr>
        <w:tabs>
          <w:tab w:val="left" w:pos="7616"/>
        </w:tabs>
        <w:ind w:left="720"/>
        <w:rPr>
          <w:rFonts w:ascii="Century Gothic" w:hAnsi="Century Gothic" w:cstheme="minorHAnsi"/>
        </w:rPr>
      </w:pPr>
      <w:r>
        <w:rPr>
          <w:rFonts w:ascii="Century Gothic" w:hAnsi="Century Gothic" w:cstheme="minorHAnsi"/>
        </w:rPr>
        <w:t xml:space="preserve">The IPPRS uses the information to calculate performance to date against the DLWC and the DHE contracts. Sunita is able to </w:t>
      </w:r>
      <w:r w:rsidRPr="00C6725B">
        <w:rPr>
          <w:rFonts w:ascii="Century Gothic" w:hAnsi="Century Gothic" w:cstheme="minorHAnsi"/>
        </w:rPr>
        <w:t>track</w:t>
      </w:r>
      <w:r>
        <w:rPr>
          <w:rFonts w:ascii="Century Gothic" w:hAnsi="Century Gothic" w:cstheme="minorHAnsi"/>
        </w:rPr>
        <w:t xml:space="preserve"> her </w:t>
      </w:r>
      <w:r w:rsidRPr="00C6725B">
        <w:rPr>
          <w:rFonts w:ascii="Century Gothic" w:hAnsi="Century Gothic" w:cstheme="minorHAnsi"/>
        </w:rPr>
        <w:t xml:space="preserve">progress </w:t>
      </w:r>
      <w:r>
        <w:rPr>
          <w:rFonts w:ascii="Century Gothic" w:hAnsi="Century Gothic" w:cstheme="minorHAnsi"/>
        </w:rPr>
        <w:t xml:space="preserve">against both contacts </w:t>
      </w:r>
      <w:r w:rsidRPr="00C6725B">
        <w:rPr>
          <w:rFonts w:ascii="Century Gothic" w:hAnsi="Century Gothic" w:cstheme="minorHAnsi"/>
        </w:rPr>
        <w:t xml:space="preserve">and make early adjustments to ensure </w:t>
      </w:r>
      <w:r>
        <w:rPr>
          <w:rFonts w:ascii="Century Gothic" w:hAnsi="Century Gothic" w:cstheme="minorHAnsi"/>
        </w:rPr>
        <w:t>her</w:t>
      </w:r>
      <w:r w:rsidRPr="00C6725B">
        <w:rPr>
          <w:rFonts w:ascii="Century Gothic" w:hAnsi="Century Gothic" w:cstheme="minorHAnsi"/>
        </w:rPr>
        <w:t xml:space="preserve"> company’s performance remains on track.</w:t>
      </w:r>
      <w:r w:rsidRPr="0049357C">
        <w:rPr>
          <w:rFonts w:ascii="Century Gothic" w:hAnsi="Century Gothic" w:cstheme="minorHAnsi"/>
        </w:rPr>
        <w:t xml:space="preserve"> </w:t>
      </w:r>
    </w:p>
    <w:p w:rsidR="00324E71" w:rsidRDefault="00324E71" w:rsidP="00324E71">
      <w:pPr>
        <w:tabs>
          <w:tab w:val="left" w:pos="7616"/>
        </w:tabs>
        <w:ind w:left="720"/>
        <w:rPr>
          <w:rFonts w:ascii="Century Gothic" w:hAnsi="Century Gothic" w:cstheme="minorHAnsi"/>
        </w:rPr>
      </w:pPr>
      <w:r>
        <w:rPr>
          <w:rFonts w:ascii="Century Gothic" w:hAnsi="Century Gothic" w:cstheme="minorHAnsi"/>
        </w:rPr>
        <w:t>The DHE</w:t>
      </w:r>
      <w:r w:rsidRPr="009137C3">
        <w:rPr>
          <w:rFonts w:ascii="Century Gothic" w:hAnsi="Century Gothic" w:cstheme="minorHAnsi"/>
        </w:rPr>
        <w:t xml:space="preserve"> </w:t>
      </w:r>
      <w:r>
        <w:rPr>
          <w:rFonts w:ascii="Century Gothic" w:hAnsi="Century Gothic" w:cstheme="minorHAnsi"/>
        </w:rPr>
        <w:t xml:space="preserve">and the DLWC </w:t>
      </w:r>
      <w:r w:rsidRPr="009137C3">
        <w:rPr>
          <w:rFonts w:ascii="Century Gothic" w:hAnsi="Century Gothic" w:cstheme="minorHAnsi"/>
        </w:rPr>
        <w:t>contract</w:t>
      </w:r>
      <w:r>
        <w:rPr>
          <w:rFonts w:ascii="Century Gothic" w:hAnsi="Century Gothic" w:cstheme="minorHAnsi"/>
        </w:rPr>
        <w:t xml:space="preserve"> managers </w:t>
      </w:r>
      <w:r w:rsidRPr="009137C3">
        <w:rPr>
          <w:rFonts w:ascii="Century Gothic" w:hAnsi="Century Gothic" w:cstheme="minorHAnsi"/>
        </w:rPr>
        <w:t xml:space="preserve">receive an email </w:t>
      </w:r>
      <w:r>
        <w:rPr>
          <w:rFonts w:ascii="Century Gothic" w:hAnsi="Century Gothic" w:cstheme="minorHAnsi"/>
        </w:rPr>
        <w:t xml:space="preserve">when Sunita submits the report and are able to review the reports and make comments in the system. </w:t>
      </w:r>
    </w:p>
    <w:p w:rsidR="00324E71" w:rsidRPr="0049357C" w:rsidRDefault="00324E71" w:rsidP="00324E71">
      <w:pPr>
        <w:tabs>
          <w:tab w:val="left" w:pos="7616"/>
        </w:tabs>
        <w:ind w:left="720"/>
        <w:rPr>
          <w:rFonts w:ascii="Century Gothic" w:hAnsi="Century Gothic" w:cstheme="minorHAnsi"/>
        </w:rPr>
      </w:pPr>
      <w:r w:rsidRPr="00C6725B">
        <w:rPr>
          <w:rFonts w:ascii="Century Gothic" w:hAnsi="Century Gothic" w:cstheme="minorHAnsi"/>
        </w:rPr>
        <w:t>At the</w:t>
      </w:r>
      <w:r>
        <w:rPr>
          <w:rFonts w:ascii="Century Gothic" w:hAnsi="Century Gothic" w:cstheme="minorHAnsi"/>
        </w:rPr>
        <w:t xml:space="preserve"> end of the DHE contract end, JJ Engineering’s</w:t>
      </w:r>
      <w:r w:rsidRPr="00C6725B">
        <w:rPr>
          <w:rFonts w:ascii="Century Gothic" w:hAnsi="Century Gothic" w:cstheme="minorHAnsi"/>
        </w:rPr>
        <w:t xml:space="preserve"> final performance against its MMR target </w:t>
      </w:r>
      <w:r>
        <w:rPr>
          <w:rFonts w:ascii="Century Gothic" w:hAnsi="Century Gothic" w:cstheme="minorHAnsi"/>
        </w:rPr>
        <w:t xml:space="preserve">is </w:t>
      </w:r>
      <w:r w:rsidRPr="00C6725B">
        <w:rPr>
          <w:rFonts w:ascii="Century Gothic" w:hAnsi="Century Gothic" w:cstheme="minorHAnsi"/>
        </w:rPr>
        <w:t>calculated by the IPPRS. This information</w:t>
      </w:r>
      <w:r>
        <w:rPr>
          <w:rFonts w:ascii="Century Gothic" w:hAnsi="Century Gothic" w:cstheme="minorHAnsi"/>
        </w:rPr>
        <w:t xml:space="preserve"> is available to other Commonwealth officials required to consider the JJ Engineering’s past performance in tender evaluations. </w:t>
      </w:r>
      <w:r w:rsidRPr="0049357C">
        <w:rPr>
          <w:rFonts w:ascii="Century Gothic" w:hAnsi="Century Gothic" w:cstheme="minorHAnsi"/>
        </w:rPr>
        <w:t xml:space="preserve"> </w:t>
      </w:r>
    </w:p>
    <w:p w:rsidR="00324E71" w:rsidRDefault="00324E71" w:rsidP="00324E71"/>
    <w:p w:rsidR="00324E71" w:rsidRPr="002B6E94" w:rsidRDefault="00324E71" w:rsidP="00CB0AF1">
      <w:pPr>
        <w:pStyle w:val="BodyText"/>
      </w:pPr>
    </w:p>
    <w:sectPr w:rsidR="00324E71" w:rsidRPr="002B6E94" w:rsidSect="006F7C43">
      <w:headerReference w:type="even" r:id="rId83"/>
      <w:headerReference w:type="default" r:id="rId84"/>
      <w:footerReference w:type="even" r:id="rId85"/>
      <w:footerReference w:type="default" r:id="rId86"/>
      <w:headerReference w:type="first" r:id="rId87"/>
      <w:footerReference w:type="first" r:id="rId88"/>
      <w:pgSz w:w="11906" w:h="16838"/>
      <w:pgMar w:top="1418" w:right="851" w:bottom="1418" w:left="709"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FF" w:rsidRDefault="006D7CFF" w:rsidP="00B95533">
      <w:pPr>
        <w:spacing w:after="0" w:line="240" w:lineRule="auto"/>
      </w:pPr>
      <w:r>
        <w:separator/>
      </w:r>
    </w:p>
  </w:endnote>
  <w:endnote w:type="continuationSeparator" w:id="0">
    <w:p w:rsidR="006D7CFF" w:rsidRDefault="006D7CFF" w:rsidP="00B95533">
      <w:pPr>
        <w:spacing w:after="0" w:line="240" w:lineRule="auto"/>
      </w:pPr>
      <w:r>
        <w:continuationSeparator/>
      </w:r>
    </w:p>
  </w:endnote>
  <w:endnote w:type="continuationNotice" w:id="1">
    <w:p w:rsidR="006D7CFF" w:rsidRDefault="006D7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A0" w:rsidRDefault="00AB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02" w:rsidRPr="00B87E45" w:rsidRDefault="00CF5502" w:rsidP="001007B9">
    <w:pPr>
      <w:pStyle w:val="ProtectiveMarking"/>
    </w:pPr>
  </w:p>
  <w:p w:rsidR="00CF5502" w:rsidRPr="00073D52" w:rsidRDefault="00CF5502" w:rsidP="001007B9">
    <w:pPr>
      <w:pStyle w:val="Footerline"/>
    </w:pPr>
    <w:r>
      <w:rPr>
        <w:lang w:eastAsia="en-AU"/>
      </w:rPr>
      <mc:AlternateContent>
        <mc:Choice Requires="wps">
          <w:drawing>
            <wp:anchor distT="0" distB="0" distL="114300" distR="114300" simplePos="0" relativeHeight="251656704" behindDoc="0" locked="0" layoutInCell="1" allowOverlap="1" wp14:anchorId="424AF3FB" wp14:editId="507EC969">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C9809" id="Straight Connector 15"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5680" behindDoc="0" locked="1" layoutInCell="1" allowOverlap="1" wp14:anchorId="2B01AA32" wp14:editId="79EB0CF6">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CF5502" w:rsidRPr="00825B23" w:rsidRDefault="00CF5502"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4E6E7B">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01AA32" id="_x0000_t202" coordsize="21600,21600" o:spt="202" path="m,l,21600r21600,l21600,xe">
              <v:stroke joinstyle="miter"/>
              <v:path gradientshapeok="t" o:connecttype="rect"/>
            </v:shapetype>
            <v:shape id="Text Box 2" o:spid="_x0000_s1028" type="#_x0000_t202" style="position:absolute;margin-left:483.65pt;margin-top:783.5pt;width:26.15pt;height:57.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KpAgIAAOQ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ml3FWcWDO3o&#10;WY6RvceRVWk8gws1RT05iosjPVNophrcI4ofgVm868Fu5K33OPQSWmpvnjKLs9QJJySQ9fAZWyoD&#10;24gZaOy8SbOjaTBCpzXtT6tJrQh6vLio5uWCM0Gut9XV5WVeXQH1Mdn5ED9KNCwZDfe0+QwOu8cQ&#10;UzNQH0NSLYsPSuu8fW3Z0PB3i2qRE848RkUSp1am4ddl+ia5JI4fbJuTIyg92VRA2wPpxHNiHMf1&#10;SIFpEmts90Tf4yRC+mnI6NH/4mwgATY8/NyCl5zpT5ZGmNR6NPzRWB8NsIJSGy6i52y63MWs64nd&#10;LQ23U5n4S+1DdySlPI+D7JNWz+856uXnXP0G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Kly0qkCAgAA5AMAAA4A&#10;AAAAAAAAAAAAAAAALgIAAGRycy9lMm9Eb2MueG1sUEsBAi0AFAAGAAgAAAAhAHdSoYniAAAADgEA&#10;AA8AAAAAAAAAAAAAAAAAXAQAAGRycy9kb3ducmV2LnhtbFBLBQYAAAAABAAEAPMAAABrBQAAAAA=&#10;" filled="f" stroked="f">
              <v:textbox inset="0,0,0,0">
                <w:txbxContent>
                  <w:p w:rsidR="00CF5502" w:rsidRPr="00825B23" w:rsidRDefault="00CF5502"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4E6E7B">
                      <w:rPr>
                        <w:noProof/>
                      </w:rPr>
                      <w:t>1</w:t>
                    </w:r>
                    <w:r w:rsidRPr="00825B23">
                      <w:rPr>
                        <w:b/>
                        <w:noProof/>
                      </w:rPr>
                      <w:fldChar w:fldCharType="end"/>
                    </w:r>
                  </w:p>
                </w:txbxContent>
              </v:textbox>
              <w10:wrap anchorx="margin" anchory="page"/>
              <w10:anchorlock/>
            </v:shape>
          </w:pict>
        </mc:Fallback>
      </mc:AlternateContent>
    </w:r>
  </w:p>
  <w:p w:rsidR="00CF5502" w:rsidRPr="00825B23" w:rsidRDefault="00CF5502" w:rsidP="00F62B0B">
    <w:pPr>
      <w:pStyle w:val="Footer"/>
      <w:rPr>
        <w:b/>
      </w:rPr>
    </w:pPr>
    <w:r>
      <w:t>NIAA</w:t>
    </w:r>
    <w:r w:rsidRPr="00825B23">
      <w:t xml:space="preserve"> | </w:t>
    </w:r>
    <w:sdt>
      <w:sdtPr>
        <w:rPr>
          <w:b/>
        </w:rPr>
        <w:alias w:val="Section Name"/>
        <w:tag w:val="SectionName"/>
        <w:id w:val="-143119011"/>
        <w:placeholder>
          <w:docPart w:val="AFD2ADE5D5634C579305F0C46FB2BD14"/>
        </w:placeholder>
        <w:dataBinding w:xpath="/root[1]/SectionName[1]" w:storeItemID="{F533AE62-A212-4B26-92DA-A3B336E8AE06}"/>
        <w:text/>
      </w:sdtPr>
      <w:sdtEndPr/>
      <w:sdtContent>
        <w:r>
          <w:rPr>
            <w:b/>
          </w:rPr>
          <w:t>Guide 2 | Suppliers</w:t>
        </w:r>
      </w:sdtContent>
    </w:sdt>
    <w:r w:rsidRPr="00825B23">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rsidR="00CF5502" w:rsidRPr="00B87E45" w:rsidRDefault="00CF5502" w:rsidP="00917F95">
        <w:pPr>
          <w:pStyle w:val="ProtectiveMarking"/>
        </w:pPr>
        <w:r>
          <w:t xml:space="preserve">     </w:t>
        </w:r>
      </w:p>
    </w:sdtContent>
  </w:sdt>
  <w:p w:rsidR="00CF5502" w:rsidRPr="00073D52" w:rsidRDefault="00CF5502" w:rsidP="00917F95">
    <w:pPr>
      <w:pStyle w:val="Footerline"/>
    </w:pPr>
  </w:p>
  <w:p w:rsidR="00CF5502" w:rsidRPr="00195BA8" w:rsidRDefault="00CF5502" w:rsidP="00F62B0B">
    <w:pPr>
      <w:pStyle w:val="Footer"/>
    </w:pPr>
    <w:r w:rsidRPr="005A0DE7">
      <w:t xml:space="preserve">PM&amp;C | </w:t>
    </w:r>
    <w:sdt>
      <w:sdtPr>
        <w:rPr>
          <w:caps/>
        </w:rPr>
        <w:alias w:val="Section Name"/>
        <w:tag w:val="SectionName"/>
        <w:id w:val="1145160186"/>
        <w:placeholder>
          <w:docPart w:val="6DD8806ADB6C42D8921B21EEFCFAFF99"/>
        </w:placeholder>
        <w:dataBinding w:xpath="/root[1]/SectionName[1]" w:storeItemID="{F533AE62-A212-4B26-92DA-A3B336E8AE06}"/>
        <w:text/>
      </w:sdtPr>
      <w:sdtEndPr/>
      <w:sdtContent>
        <w:r>
          <w:rPr>
            <w:caps/>
          </w:rPr>
          <w:t>Guide 2 | Suppliers</w:t>
        </w:r>
      </w:sdtContent>
    </w:sdt>
    <w:r w:rsidRPr="005A0DE7">
      <w:t xml:space="preserve"> | </w:t>
    </w:r>
    <w:sdt>
      <w:sdtPr>
        <w:rPr>
          <w:b/>
          <w:caps/>
        </w:rPr>
        <w:alias w:val="Document Heading"/>
        <w:tag w:val="DH"/>
        <w:id w:val="124899436"/>
        <w:placeholder>
          <w:docPart w:val="3EBDB57F0F5744B2AE153DB3B369BB14"/>
        </w:placeholder>
        <w:showingPlcHdr/>
        <w:dataBinding w:xpath="/root[1]/DH[1]" w:storeItemID="{F533AE62-A212-4B26-92DA-A3B336E8AE06}"/>
        <w:text/>
      </w:sdtPr>
      <w:sdtEndPr/>
      <w:sdtContent>
        <w:r w:rsidRPr="005A0DE7">
          <w:t>[Document Heading]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FF" w:rsidRPr="003A7E73" w:rsidRDefault="006D7CFF" w:rsidP="00B95533">
      <w:pPr>
        <w:spacing w:after="0" w:line="240" w:lineRule="auto"/>
        <w:rPr>
          <w:color w:val="BEA887" w:themeColor="accent2"/>
        </w:rPr>
      </w:pPr>
      <w:r w:rsidRPr="003A7E73">
        <w:rPr>
          <w:color w:val="BEA887" w:themeColor="accent2"/>
        </w:rPr>
        <w:separator/>
      </w:r>
    </w:p>
  </w:footnote>
  <w:footnote w:type="continuationSeparator" w:id="0">
    <w:p w:rsidR="006D7CFF" w:rsidRPr="003A7E73" w:rsidRDefault="006D7CFF" w:rsidP="00B95533">
      <w:pPr>
        <w:spacing w:after="0" w:line="240" w:lineRule="auto"/>
        <w:rPr>
          <w:color w:val="BEA887" w:themeColor="accent2"/>
        </w:rPr>
      </w:pPr>
      <w:r w:rsidRPr="003A7E73">
        <w:rPr>
          <w:color w:val="BEA887" w:themeColor="accent2"/>
        </w:rPr>
        <w:continuationSeparator/>
      </w:r>
    </w:p>
  </w:footnote>
  <w:footnote w:type="continuationNotice" w:id="1">
    <w:p w:rsidR="006D7CFF" w:rsidRDefault="006D7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A0" w:rsidRDefault="00AB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02" w:rsidRDefault="00CF5502" w:rsidP="003C7E5E">
    <w:pPr>
      <w:pStyle w:val="ProtectiveMarking"/>
    </w:pPr>
  </w:p>
  <w:p w:rsidR="00CF5502" w:rsidRPr="00753174" w:rsidRDefault="00CF5502" w:rsidP="00753174">
    <w:pPr>
      <w:pStyle w:val="Header"/>
    </w:pPr>
    <w:r>
      <w:rPr>
        <w:noProof/>
        <w:lang w:eastAsia="en-AU"/>
      </w:rPr>
      <w:drawing>
        <wp:anchor distT="0" distB="0" distL="114300" distR="114300" simplePos="0" relativeHeight="251658752" behindDoc="0" locked="1" layoutInCell="1" allowOverlap="1" wp14:anchorId="2024448E" wp14:editId="2A66BC1A">
          <wp:simplePos x="0" y="0"/>
          <wp:positionH relativeFrom="margin">
            <wp:align>left</wp:align>
          </wp:positionH>
          <wp:positionV relativeFrom="page">
            <wp:posOffset>629920</wp:posOffset>
          </wp:positionV>
          <wp:extent cx="6480000" cy="187200"/>
          <wp:effectExtent l="0" t="0" r="0" b="3810"/>
          <wp:wrapNone/>
          <wp:docPr id="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5502" w:rsidRPr="00753174" w:rsidRDefault="00CF5502" w:rsidP="0075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showingPlcHdr/>
      <w:dataBinding w:xpath="/root[1]/Classification[1]" w:storeItemID="{F533AE62-A212-4B26-92DA-A3B336E8AE06}"/>
      <w:text/>
    </w:sdtPr>
    <w:sdtEndPr/>
    <w:sdtContent>
      <w:p w:rsidR="00CF5502" w:rsidRPr="00B87E45" w:rsidRDefault="00CF5502" w:rsidP="00663EAD">
        <w:pPr>
          <w:pStyle w:val="ProtectiveMarking"/>
        </w:pPr>
        <w:r>
          <w:t xml:space="preserve">     </w:t>
        </w:r>
      </w:p>
    </w:sdtContent>
  </w:sdt>
  <w:p w:rsidR="00CF5502" w:rsidRPr="00073D52" w:rsidRDefault="00CF5502" w:rsidP="00663EAD">
    <w:pPr>
      <w:pStyle w:val="Footerline"/>
    </w:pPr>
  </w:p>
  <w:p w:rsidR="00CF5502" w:rsidRDefault="00CF5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F55"/>
    <w:multiLevelType w:val="hybridMultilevel"/>
    <w:tmpl w:val="2C02C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C6B67"/>
    <w:multiLevelType w:val="hybridMultilevel"/>
    <w:tmpl w:val="418E3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3706B"/>
    <w:multiLevelType w:val="multilevel"/>
    <w:tmpl w:val="FB2EA114"/>
    <w:lvl w:ilvl="0">
      <w:start w:val="1"/>
      <w:numFmt w:val="decimal"/>
      <w:lvlText w:val="%1."/>
      <w:lvlJc w:val="left"/>
      <w:pPr>
        <w:ind w:left="283" w:hanging="283"/>
      </w:pPr>
      <w:rPr>
        <w:rFonts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 w15:restartNumberingAfterBreak="0">
    <w:nsid w:val="08851351"/>
    <w:multiLevelType w:val="hybridMultilevel"/>
    <w:tmpl w:val="8D6C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63B6C"/>
    <w:multiLevelType w:val="hybridMultilevel"/>
    <w:tmpl w:val="7EB0934E"/>
    <w:lvl w:ilvl="0" w:tplc="0C09000F">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CCA639D"/>
    <w:multiLevelType w:val="hybridMultilevel"/>
    <w:tmpl w:val="949E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5719A"/>
    <w:multiLevelType w:val="multilevel"/>
    <w:tmpl w:val="EBAE208A"/>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8D4E76"/>
    <w:multiLevelType w:val="multilevel"/>
    <w:tmpl w:val="72D282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1DD66353"/>
    <w:multiLevelType w:val="multilevel"/>
    <w:tmpl w:val="3EC459E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1F6F256F"/>
    <w:multiLevelType w:val="hybridMultilevel"/>
    <w:tmpl w:val="80467A3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565DF"/>
    <w:multiLevelType w:val="hybridMultilevel"/>
    <w:tmpl w:val="C17C4B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C6A59"/>
    <w:multiLevelType w:val="hybridMultilevel"/>
    <w:tmpl w:val="B90807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8F60D1"/>
    <w:multiLevelType w:val="hybridMultilevel"/>
    <w:tmpl w:val="D38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76739"/>
    <w:multiLevelType w:val="hybridMultilevel"/>
    <w:tmpl w:val="8150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44AD4"/>
    <w:multiLevelType w:val="hybridMultilevel"/>
    <w:tmpl w:val="BF8E60A0"/>
    <w:lvl w:ilvl="0" w:tplc="0C090013">
      <w:start w:val="1"/>
      <w:numFmt w:val="upp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2F1182B"/>
    <w:multiLevelType w:val="multilevel"/>
    <w:tmpl w:val="CAB62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384158A6"/>
    <w:multiLevelType w:val="multilevel"/>
    <w:tmpl w:val="552E4F68"/>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8D62A36"/>
    <w:multiLevelType w:val="multilevel"/>
    <w:tmpl w:val="4D60C602"/>
    <w:lvl w:ilvl="0">
      <w:start w:val="4"/>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3B683244"/>
    <w:multiLevelType w:val="multilevel"/>
    <w:tmpl w:val="3858DD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841D80"/>
    <w:multiLevelType w:val="hybridMultilevel"/>
    <w:tmpl w:val="5434D1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07C8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153740"/>
    <w:multiLevelType w:val="multilevel"/>
    <w:tmpl w:val="A894E500"/>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6C2923"/>
    <w:multiLevelType w:val="hybridMultilevel"/>
    <w:tmpl w:val="D1E4D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7C7671"/>
    <w:multiLevelType w:val="multilevel"/>
    <w:tmpl w:val="3EC459E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6" w15:restartNumberingAfterBreak="0">
    <w:nsid w:val="476A0107"/>
    <w:multiLevelType w:val="multilevel"/>
    <w:tmpl w:val="074AF12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7" w15:restartNumberingAfterBreak="0">
    <w:nsid w:val="47721E32"/>
    <w:multiLevelType w:val="hybridMultilevel"/>
    <w:tmpl w:val="65C6DB62"/>
    <w:lvl w:ilvl="0" w:tplc="0C09000F">
      <w:start w:val="2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7DF6B72"/>
    <w:multiLevelType w:val="hybridMultilevel"/>
    <w:tmpl w:val="E21CE0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835B77"/>
    <w:multiLevelType w:val="hybridMultilevel"/>
    <w:tmpl w:val="913E7A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346D25"/>
    <w:multiLevelType w:val="hybridMultilevel"/>
    <w:tmpl w:val="13E0EF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834475"/>
    <w:multiLevelType w:val="hybridMultilevel"/>
    <w:tmpl w:val="1D9AE9A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1BF5F8C"/>
    <w:multiLevelType w:val="hybridMultilevel"/>
    <w:tmpl w:val="72105BE6"/>
    <w:lvl w:ilvl="0" w:tplc="61C4EFE2">
      <w:start w:val="1"/>
      <w:numFmt w:val="lowerLetter"/>
      <w:lvlText w:val="%1)"/>
      <w:lvlJc w:val="left"/>
      <w:pPr>
        <w:ind w:left="1080" w:hanging="720"/>
      </w:pPr>
      <w:rPr>
        <w:rFonts w:eastAsiaTheme="minorHAnsi" w:cstheme="minorBidi"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E97F44"/>
    <w:multiLevelType w:val="hybridMultilevel"/>
    <w:tmpl w:val="9B7C6E8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F5A62"/>
    <w:multiLevelType w:val="hybridMultilevel"/>
    <w:tmpl w:val="80B403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B3362D"/>
    <w:multiLevelType w:val="hybridMultilevel"/>
    <w:tmpl w:val="309C396C"/>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1271A8"/>
    <w:multiLevelType w:val="multilevel"/>
    <w:tmpl w:val="099ADCB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7" w15:restartNumberingAfterBreak="0">
    <w:nsid w:val="595F4BF3"/>
    <w:multiLevelType w:val="multilevel"/>
    <w:tmpl w:val="DB44397A"/>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BB92421"/>
    <w:multiLevelType w:val="hybridMultilevel"/>
    <w:tmpl w:val="7CAE8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C87079"/>
    <w:multiLevelType w:val="multilevel"/>
    <w:tmpl w:val="2856D2F2"/>
    <w:lvl w:ilvl="0">
      <w:start w:val="7"/>
      <w:numFmt w:val="decimal"/>
      <w:lvlText w:val="%1"/>
      <w:lvlJc w:val="left"/>
      <w:pPr>
        <w:ind w:left="360" w:hanging="360"/>
      </w:pPr>
      <w:rPr>
        <w:rFonts w:eastAsiaTheme="minorHAnsi" w:cstheme="minorBidi" w:hint="default"/>
        <w:b w:val="0"/>
        <w:sz w:val="24"/>
      </w:rPr>
    </w:lvl>
    <w:lvl w:ilvl="1">
      <w:start w:val="1"/>
      <w:numFmt w:val="decimal"/>
      <w:lvlText w:val="%1.%2"/>
      <w:lvlJc w:val="left"/>
      <w:pPr>
        <w:ind w:left="720" w:hanging="720"/>
      </w:pPr>
      <w:rPr>
        <w:rFonts w:eastAsiaTheme="minorHAnsi" w:cstheme="minorBidi" w:hint="default"/>
        <w:b w:val="0"/>
        <w:sz w:val="24"/>
      </w:rPr>
    </w:lvl>
    <w:lvl w:ilvl="2">
      <w:start w:val="1"/>
      <w:numFmt w:val="decimal"/>
      <w:lvlText w:val="%1.%2.%3"/>
      <w:lvlJc w:val="left"/>
      <w:pPr>
        <w:ind w:left="1080" w:hanging="1080"/>
      </w:pPr>
      <w:rPr>
        <w:rFonts w:eastAsiaTheme="minorHAnsi" w:cstheme="minorBidi" w:hint="default"/>
        <w:b w:val="0"/>
        <w:sz w:val="24"/>
      </w:rPr>
    </w:lvl>
    <w:lvl w:ilvl="3">
      <w:start w:val="1"/>
      <w:numFmt w:val="decimal"/>
      <w:lvlText w:val="%1.%2.%3.%4"/>
      <w:lvlJc w:val="left"/>
      <w:pPr>
        <w:ind w:left="1440" w:hanging="1440"/>
      </w:pPr>
      <w:rPr>
        <w:rFonts w:eastAsiaTheme="minorHAnsi" w:cstheme="minorBidi" w:hint="default"/>
        <w:b w:val="0"/>
        <w:sz w:val="24"/>
      </w:rPr>
    </w:lvl>
    <w:lvl w:ilvl="4">
      <w:start w:val="1"/>
      <w:numFmt w:val="decimal"/>
      <w:lvlText w:val="%1.%2.%3.%4.%5"/>
      <w:lvlJc w:val="left"/>
      <w:pPr>
        <w:ind w:left="1800" w:hanging="1800"/>
      </w:pPr>
      <w:rPr>
        <w:rFonts w:eastAsiaTheme="minorHAnsi" w:cstheme="minorBidi" w:hint="default"/>
        <w:b w:val="0"/>
        <w:sz w:val="24"/>
      </w:rPr>
    </w:lvl>
    <w:lvl w:ilvl="5">
      <w:start w:val="1"/>
      <w:numFmt w:val="decimal"/>
      <w:lvlText w:val="%1.%2.%3.%4.%5.%6"/>
      <w:lvlJc w:val="left"/>
      <w:pPr>
        <w:ind w:left="2160" w:hanging="2160"/>
      </w:pPr>
      <w:rPr>
        <w:rFonts w:eastAsiaTheme="minorHAnsi" w:cstheme="minorBidi" w:hint="default"/>
        <w:b w:val="0"/>
        <w:sz w:val="24"/>
      </w:rPr>
    </w:lvl>
    <w:lvl w:ilvl="6">
      <w:start w:val="1"/>
      <w:numFmt w:val="decimal"/>
      <w:lvlText w:val="%1.%2.%3.%4.%5.%6.%7"/>
      <w:lvlJc w:val="left"/>
      <w:pPr>
        <w:ind w:left="2520" w:hanging="2520"/>
      </w:pPr>
      <w:rPr>
        <w:rFonts w:eastAsiaTheme="minorHAnsi" w:cstheme="minorBidi" w:hint="default"/>
        <w:b w:val="0"/>
        <w:sz w:val="24"/>
      </w:rPr>
    </w:lvl>
    <w:lvl w:ilvl="7">
      <w:start w:val="1"/>
      <w:numFmt w:val="decimal"/>
      <w:lvlText w:val="%1.%2.%3.%4.%5.%6.%7.%8"/>
      <w:lvlJc w:val="left"/>
      <w:pPr>
        <w:ind w:left="2880" w:hanging="2880"/>
      </w:pPr>
      <w:rPr>
        <w:rFonts w:eastAsiaTheme="minorHAnsi" w:cstheme="minorBidi" w:hint="default"/>
        <w:b w:val="0"/>
        <w:sz w:val="24"/>
      </w:rPr>
    </w:lvl>
    <w:lvl w:ilvl="8">
      <w:start w:val="1"/>
      <w:numFmt w:val="decimal"/>
      <w:lvlText w:val="%1.%2.%3.%4.%5.%6.%7.%8.%9"/>
      <w:lvlJc w:val="left"/>
      <w:pPr>
        <w:ind w:left="3240" w:hanging="3240"/>
      </w:pPr>
      <w:rPr>
        <w:rFonts w:eastAsiaTheme="minorHAnsi" w:cstheme="minorBidi" w:hint="default"/>
        <w:b w:val="0"/>
        <w:sz w:val="24"/>
      </w:rPr>
    </w:lvl>
  </w:abstractNum>
  <w:abstractNum w:abstractNumId="4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1" w15:restartNumberingAfterBreak="0">
    <w:nsid w:val="5F865A67"/>
    <w:multiLevelType w:val="hybridMultilevel"/>
    <w:tmpl w:val="913E7A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8F21F8"/>
    <w:multiLevelType w:val="multilevel"/>
    <w:tmpl w:val="3EC459E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3" w15:restartNumberingAfterBreak="0">
    <w:nsid w:val="60AF5C29"/>
    <w:multiLevelType w:val="multilevel"/>
    <w:tmpl w:val="099ADCBC"/>
    <w:lvl w:ilvl="0">
      <w:start w:val="1"/>
      <w:numFmt w:val="bullet"/>
      <w:lvlText w:val=""/>
      <w:lvlJc w:val="left"/>
      <w:pPr>
        <w:ind w:left="283"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4" w15:restartNumberingAfterBreak="0">
    <w:nsid w:val="62093E16"/>
    <w:multiLevelType w:val="hybridMultilevel"/>
    <w:tmpl w:val="19C883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64667B9D"/>
    <w:multiLevelType w:val="hybridMultilevel"/>
    <w:tmpl w:val="1C8C8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ED38DA"/>
    <w:multiLevelType w:val="multilevel"/>
    <w:tmpl w:val="86DC2DB8"/>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6CB53B0C"/>
    <w:multiLevelType w:val="multilevel"/>
    <w:tmpl w:val="E006F4F4"/>
    <w:lvl w:ilvl="0">
      <w:start w:val="5"/>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021004C"/>
    <w:multiLevelType w:val="hybridMultilevel"/>
    <w:tmpl w:val="1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E000E0"/>
    <w:multiLevelType w:val="multilevel"/>
    <w:tmpl w:val="73E6D3F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8620" w:hanging="965"/>
        <w:jc w:val="right"/>
      </w:pPr>
      <w:rPr>
        <w:rFonts w:ascii="Arial" w:eastAsia="Arial" w:hAnsi="Arial" w:hint="default"/>
        <w:b/>
        <w:bCs/>
        <w:sz w:val="24"/>
        <w:szCs w:val="24"/>
      </w:rPr>
    </w:lvl>
    <w:lvl w:ilvl="2">
      <w:start w:val="1"/>
      <w:numFmt w:val="upperRoman"/>
      <w:lvlText w:val="%3."/>
      <w:lvlJc w:val="right"/>
      <w:pPr>
        <w:ind w:left="2162" w:hanging="963"/>
      </w:pPr>
      <w:rPr>
        <w:rFonts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50" w15:restartNumberingAfterBreak="0">
    <w:nsid w:val="72131377"/>
    <w:multiLevelType w:val="hybridMultilevel"/>
    <w:tmpl w:val="D468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C5527E"/>
    <w:multiLevelType w:val="multilevel"/>
    <w:tmpl w:val="DEE491E0"/>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5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4" w15:restartNumberingAfterBreak="0">
    <w:nsid w:val="771D5849"/>
    <w:multiLevelType w:val="multilevel"/>
    <w:tmpl w:val="550ABC04"/>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5" w15:restartNumberingAfterBreak="0">
    <w:nsid w:val="77E9758A"/>
    <w:multiLevelType w:val="multilevel"/>
    <w:tmpl w:val="3F60C2DC"/>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862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num w:numId="1">
    <w:abstractNumId w:val="40"/>
  </w:num>
  <w:num w:numId="2">
    <w:abstractNumId w:val="42"/>
  </w:num>
  <w:num w:numId="3">
    <w:abstractNumId w:val="1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
    <w:abstractNumId w:val="5"/>
  </w:num>
  <w:num w:numId="5">
    <w:abstractNumId w:val="53"/>
  </w:num>
  <w:num w:numId="6">
    <w:abstractNumId w:val="52"/>
  </w:num>
  <w:num w:numId="7">
    <w:abstractNumId w:val="48"/>
  </w:num>
  <w:num w:numId="8">
    <w:abstractNumId w:val="15"/>
  </w:num>
  <w:num w:numId="9">
    <w:abstractNumId w:val="3"/>
  </w:num>
  <w:num w:numId="10">
    <w:abstractNumId w:val="35"/>
  </w:num>
  <w:num w:numId="11">
    <w:abstractNumId w:val="31"/>
  </w:num>
  <w:num w:numId="12">
    <w:abstractNumId w:val="45"/>
  </w:num>
  <w:num w:numId="13">
    <w:abstractNumId w:val="26"/>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36"/>
  </w:num>
  <w:num w:numId="17">
    <w:abstractNumId w:val="22"/>
  </w:num>
  <w:num w:numId="18">
    <w:abstractNumId w:val="34"/>
  </w:num>
  <w:num w:numId="19">
    <w:abstractNumId w:val="29"/>
  </w:num>
  <w:num w:numId="20">
    <w:abstractNumId w:val="30"/>
  </w:num>
  <w:num w:numId="21">
    <w:abstractNumId w:val="11"/>
  </w:num>
  <w:num w:numId="22">
    <w:abstractNumId w:val="50"/>
  </w:num>
  <w:num w:numId="23">
    <w:abstractNumId w:val="44"/>
  </w:num>
  <w:num w:numId="24">
    <w:abstractNumId w:val="14"/>
  </w:num>
  <w:num w:numId="25">
    <w:abstractNumId w:val="1"/>
  </w:num>
  <w:num w:numId="26">
    <w:abstractNumId w:val="41"/>
  </w:num>
  <w:num w:numId="27">
    <w:abstractNumId w:val="42"/>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
    <w:abstractNumId w:val="10"/>
  </w:num>
  <w:num w:numId="29">
    <w:abstractNumId w:val="24"/>
  </w:num>
  <w:num w:numId="30">
    <w:abstractNumId w:val="55"/>
  </w:num>
  <w:num w:numId="31">
    <w:abstractNumId w:val="33"/>
  </w:num>
  <w:num w:numId="32">
    <w:abstractNumId w:val="0"/>
  </w:num>
  <w:num w:numId="33">
    <w:abstractNumId w:val="2"/>
  </w:num>
  <w:num w:numId="34">
    <w:abstractNumId w:val="12"/>
  </w:num>
  <w:num w:numId="35">
    <w:abstractNumId w:val="21"/>
  </w:num>
  <w:num w:numId="36">
    <w:abstractNumId w:val="32"/>
  </w:num>
  <w:num w:numId="37">
    <w:abstractNumId w:val="25"/>
  </w:num>
  <w:num w:numId="38">
    <w:abstractNumId w:val="9"/>
  </w:num>
  <w:num w:numId="39">
    <w:abstractNumId w:val="49"/>
  </w:num>
  <w:num w:numId="40">
    <w:abstractNumId w:val="18"/>
  </w:num>
  <w:num w:numId="41">
    <w:abstractNumId w:val="19"/>
  </w:num>
  <w:num w:numId="42">
    <w:abstractNumId w:val="54"/>
  </w:num>
  <w:num w:numId="43">
    <w:abstractNumId w:val="46"/>
  </w:num>
  <w:num w:numId="44">
    <w:abstractNumId w:val="20"/>
  </w:num>
  <w:num w:numId="45">
    <w:abstractNumId w:val="23"/>
  </w:num>
  <w:num w:numId="46">
    <w:abstractNumId w:val="47"/>
  </w:num>
  <w:num w:numId="47">
    <w:abstractNumId w:val="51"/>
  </w:num>
  <w:num w:numId="48">
    <w:abstractNumId w:val="37"/>
  </w:num>
  <w:num w:numId="49">
    <w:abstractNumId w:val="7"/>
  </w:num>
  <w:num w:numId="50">
    <w:abstractNumId w:val="39"/>
  </w:num>
  <w:num w:numId="51">
    <w:abstractNumId w:val="38"/>
  </w:num>
  <w:num w:numId="52">
    <w:abstractNumId w:val="28"/>
  </w:num>
  <w:num w:numId="53">
    <w:abstractNumId w:val="8"/>
  </w:num>
  <w:num w:numId="54">
    <w:abstractNumId w:val="16"/>
  </w:num>
  <w:num w:numId="55">
    <w:abstractNumId w:val="6"/>
  </w:num>
  <w:num w:numId="56">
    <w:abstractNumId w:val="13"/>
  </w:num>
  <w:num w:numId="57">
    <w:abstractNumId w:val="27"/>
  </w:num>
  <w:num w:numId="58">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07"/>
    <w:rsid w:val="00002F73"/>
    <w:rsid w:val="00004DA2"/>
    <w:rsid w:val="00005D66"/>
    <w:rsid w:val="00006406"/>
    <w:rsid w:val="000103A7"/>
    <w:rsid w:val="000122CA"/>
    <w:rsid w:val="00014F31"/>
    <w:rsid w:val="0001611A"/>
    <w:rsid w:val="0001616B"/>
    <w:rsid w:val="00017DA3"/>
    <w:rsid w:val="0002068D"/>
    <w:rsid w:val="00023AC4"/>
    <w:rsid w:val="00027143"/>
    <w:rsid w:val="000304B2"/>
    <w:rsid w:val="00031B5C"/>
    <w:rsid w:val="00031E27"/>
    <w:rsid w:val="00034FEC"/>
    <w:rsid w:val="00035873"/>
    <w:rsid w:val="0003644B"/>
    <w:rsid w:val="0003765C"/>
    <w:rsid w:val="000405EB"/>
    <w:rsid w:val="00042E89"/>
    <w:rsid w:val="00044BF9"/>
    <w:rsid w:val="000468F9"/>
    <w:rsid w:val="000503A6"/>
    <w:rsid w:val="00050B0E"/>
    <w:rsid w:val="00051FCE"/>
    <w:rsid w:val="00052CC9"/>
    <w:rsid w:val="00053CD9"/>
    <w:rsid w:val="00056750"/>
    <w:rsid w:val="00060AAC"/>
    <w:rsid w:val="00061282"/>
    <w:rsid w:val="00061B98"/>
    <w:rsid w:val="00063034"/>
    <w:rsid w:val="00064DE8"/>
    <w:rsid w:val="00066F81"/>
    <w:rsid w:val="00073D52"/>
    <w:rsid w:val="000748E7"/>
    <w:rsid w:val="00076A5A"/>
    <w:rsid w:val="00076AD1"/>
    <w:rsid w:val="000775AD"/>
    <w:rsid w:val="000803CA"/>
    <w:rsid w:val="00081D44"/>
    <w:rsid w:val="00082F04"/>
    <w:rsid w:val="0008456B"/>
    <w:rsid w:val="00087632"/>
    <w:rsid w:val="00091BCD"/>
    <w:rsid w:val="0009265A"/>
    <w:rsid w:val="00094BB0"/>
    <w:rsid w:val="00095BF3"/>
    <w:rsid w:val="000968DF"/>
    <w:rsid w:val="000A08CA"/>
    <w:rsid w:val="000A0E4C"/>
    <w:rsid w:val="000A15B0"/>
    <w:rsid w:val="000A3C17"/>
    <w:rsid w:val="000B046E"/>
    <w:rsid w:val="000B1D1F"/>
    <w:rsid w:val="000B3A8E"/>
    <w:rsid w:val="000B514E"/>
    <w:rsid w:val="000C28CA"/>
    <w:rsid w:val="000C2A00"/>
    <w:rsid w:val="000D766E"/>
    <w:rsid w:val="000E699D"/>
    <w:rsid w:val="000F0FEF"/>
    <w:rsid w:val="000F23B0"/>
    <w:rsid w:val="000F2997"/>
    <w:rsid w:val="000F4249"/>
    <w:rsid w:val="001007B9"/>
    <w:rsid w:val="00102CF7"/>
    <w:rsid w:val="00103275"/>
    <w:rsid w:val="001047E3"/>
    <w:rsid w:val="00105ECB"/>
    <w:rsid w:val="001134DD"/>
    <w:rsid w:val="001135AE"/>
    <w:rsid w:val="001210C5"/>
    <w:rsid w:val="00121AF3"/>
    <w:rsid w:val="00131315"/>
    <w:rsid w:val="00132268"/>
    <w:rsid w:val="001325AA"/>
    <w:rsid w:val="001327D5"/>
    <w:rsid w:val="00134C83"/>
    <w:rsid w:val="001471D7"/>
    <w:rsid w:val="0015537B"/>
    <w:rsid w:val="0015777B"/>
    <w:rsid w:val="001621ED"/>
    <w:rsid w:val="0016491C"/>
    <w:rsid w:val="00164FA2"/>
    <w:rsid w:val="001659A3"/>
    <w:rsid w:val="00165D82"/>
    <w:rsid w:val="001727AF"/>
    <w:rsid w:val="00172ADD"/>
    <w:rsid w:val="00176EA5"/>
    <w:rsid w:val="00177611"/>
    <w:rsid w:val="0017798C"/>
    <w:rsid w:val="00180176"/>
    <w:rsid w:val="001809C6"/>
    <w:rsid w:val="00181BE0"/>
    <w:rsid w:val="00183905"/>
    <w:rsid w:val="0018454F"/>
    <w:rsid w:val="001850CB"/>
    <w:rsid w:val="001850E0"/>
    <w:rsid w:val="00185AD3"/>
    <w:rsid w:val="00186051"/>
    <w:rsid w:val="00195BA8"/>
    <w:rsid w:val="00197640"/>
    <w:rsid w:val="001A2F86"/>
    <w:rsid w:val="001A5E3D"/>
    <w:rsid w:val="001A6337"/>
    <w:rsid w:val="001A66AD"/>
    <w:rsid w:val="001B0144"/>
    <w:rsid w:val="001B0A59"/>
    <w:rsid w:val="001B10ED"/>
    <w:rsid w:val="001B22B6"/>
    <w:rsid w:val="001B49F0"/>
    <w:rsid w:val="001C2CAA"/>
    <w:rsid w:val="001D18E3"/>
    <w:rsid w:val="001D283B"/>
    <w:rsid w:val="001D412E"/>
    <w:rsid w:val="001D4FCB"/>
    <w:rsid w:val="001D6A3F"/>
    <w:rsid w:val="001F16A8"/>
    <w:rsid w:val="001F3722"/>
    <w:rsid w:val="001F3FF5"/>
    <w:rsid w:val="001F44A5"/>
    <w:rsid w:val="001F738E"/>
    <w:rsid w:val="001F73B1"/>
    <w:rsid w:val="0020076A"/>
    <w:rsid w:val="00203B54"/>
    <w:rsid w:val="00204F16"/>
    <w:rsid w:val="0020677B"/>
    <w:rsid w:val="0021247A"/>
    <w:rsid w:val="00216A61"/>
    <w:rsid w:val="002209C6"/>
    <w:rsid w:val="00225331"/>
    <w:rsid w:val="00226FED"/>
    <w:rsid w:val="00227321"/>
    <w:rsid w:val="00230192"/>
    <w:rsid w:val="00231B22"/>
    <w:rsid w:val="0023294E"/>
    <w:rsid w:val="00234950"/>
    <w:rsid w:val="00240E1F"/>
    <w:rsid w:val="00247BAD"/>
    <w:rsid w:val="00252F38"/>
    <w:rsid w:val="002533CA"/>
    <w:rsid w:val="002547FB"/>
    <w:rsid w:val="00257B95"/>
    <w:rsid w:val="0026422A"/>
    <w:rsid w:val="002671E6"/>
    <w:rsid w:val="00276222"/>
    <w:rsid w:val="00276588"/>
    <w:rsid w:val="002773D4"/>
    <w:rsid w:val="0027769C"/>
    <w:rsid w:val="00280780"/>
    <w:rsid w:val="002811E7"/>
    <w:rsid w:val="00283121"/>
    <w:rsid w:val="00284710"/>
    <w:rsid w:val="0029213E"/>
    <w:rsid w:val="00292C64"/>
    <w:rsid w:val="00292F5F"/>
    <w:rsid w:val="00294D1D"/>
    <w:rsid w:val="002955DD"/>
    <w:rsid w:val="002964F5"/>
    <w:rsid w:val="002A0289"/>
    <w:rsid w:val="002A371E"/>
    <w:rsid w:val="002B4B0A"/>
    <w:rsid w:val="002B5F9F"/>
    <w:rsid w:val="002B6C46"/>
    <w:rsid w:val="002B6E94"/>
    <w:rsid w:val="002B7D35"/>
    <w:rsid w:val="002C1F76"/>
    <w:rsid w:val="002C5F5B"/>
    <w:rsid w:val="002C6252"/>
    <w:rsid w:val="002C777D"/>
    <w:rsid w:val="002D14F6"/>
    <w:rsid w:val="002D3993"/>
    <w:rsid w:val="002D40B1"/>
    <w:rsid w:val="002D45CD"/>
    <w:rsid w:val="002D4677"/>
    <w:rsid w:val="002D54CD"/>
    <w:rsid w:val="002D75F9"/>
    <w:rsid w:val="002E07AC"/>
    <w:rsid w:val="002E6AA1"/>
    <w:rsid w:val="002E7996"/>
    <w:rsid w:val="002F0420"/>
    <w:rsid w:val="002F0EB1"/>
    <w:rsid w:val="002F57C6"/>
    <w:rsid w:val="002F74E5"/>
    <w:rsid w:val="00305CBB"/>
    <w:rsid w:val="0030654B"/>
    <w:rsid w:val="00307A69"/>
    <w:rsid w:val="00312E4A"/>
    <w:rsid w:val="0031546F"/>
    <w:rsid w:val="00316B0D"/>
    <w:rsid w:val="003218DC"/>
    <w:rsid w:val="00324E71"/>
    <w:rsid w:val="003300DB"/>
    <w:rsid w:val="0033088D"/>
    <w:rsid w:val="003318B6"/>
    <w:rsid w:val="00335425"/>
    <w:rsid w:val="00337EDD"/>
    <w:rsid w:val="0034333D"/>
    <w:rsid w:val="003438EB"/>
    <w:rsid w:val="00343B84"/>
    <w:rsid w:val="00343D35"/>
    <w:rsid w:val="003500C6"/>
    <w:rsid w:val="00350969"/>
    <w:rsid w:val="0035383D"/>
    <w:rsid w:val="00357467"/>
    <w:rsid w:val="00363AE5"/>
    <w:rsid w:val="003848EF"/>
    <w:rsid w:val="00385B65"/>
    <w:rsid w:val="00390CB3"/>
    <w:rsid w:val="00391929"/>
    <w:rsid w:val="00393F43"/>
    <w:rsid w:val="00393FBE"/>
    <w:rsid w:val="00395A76"/>
    <w:rsid w:val="003A1107"/>
    <w:rsid w:val="003A3E57"/>
    <w:rsid w:val="003A4E52"/>
    <w:rsid w:val="003A7E73"/>
    <w:rsid w:val="003C2199"/>
    <w:rsid w:val="003C32A8"/>
    <w:rsid w:val="003C6961"/>
    <w:rsid w:val="003C7E5E"/>
    <w:rsid w:val="003D21A3"/>
    <w:rsid w:val="003D2AFF"/>
    <w:rsid w:val="003D6AFF"/>
    <w:rsid w:val="003E0B9C"/>
    <w:rsid w:val="003E6B8B"/>
    <w:rsid w:val="003E7EAE"/>
    <w:rsid w:val="003F017E"/>
    <w:rsid w:val="003F17BC"/>
    <w:rsid w:val="003F1A1E"/>
    <w:rsid w:val="003F1AA7"/>
    <w:rsid w:val="003F5B9A"/>
    <w:rsid w:val="003F7E70"/>
    <w:rsid w:val="00402B0C"/>
    <w:rsid w:val="004110F9"/>
    <w:rsid w:val="00413EC9"/>
    <w:rsid w:val="00417967"/>
    <w:rsid w:val="00420B5E"/>
    <w:rsid w:val="004234FA"/>
    <w:rsid w:val="00423E92"/>
    <w:rsid w:val="00427BDD"/>
    <w:rsid w:val="00430A9A"/>
    <w:rsid w:val="0043324D"/>
    <w:rsid w:val="00436156"/>
    <w:rsid w:val="004366AE"/>
    <w:rsid w:val="004400AF"/>
    <w:rsid w:val="00440992"/>
    <w:rsid w:val="004409A8"/>
    <w:rsid w:val="0044371A"/>
    <w:rsid w:val="004438B1"/>
    <w:rsid w:val="0044484F"/>
    <w:rsid w:val="00446182"/>
    <w:rsid w:val="004506A4"/>
    <w:rsid w:val="00450C5C"/>
    <w:rsid w:val="00452D8D"/>
    <w:rsid w:val="00453842"/>
    <w:rsid w:val="00454696"/>
    <w:rsid w:val="00454C85"/>
    <w:rsid w:val="00456F5E"/>
    <w:rsid w:val="004574FD"/>
    <w:rsid w:val="004616FF"/>
    <w:rsid w:val="00464B42"/>
    <w:rsid w:val="00475844"/>
    <w:rsid w:val="004759ED"/>
    <w:rsid w:val="00486B0F"/>
    <w:rsid w:val="00487076"/>
    <w:rsid w:val="00491328"/>
    <w:rsid w:val="00492C0E"/>
    <w:rsid w:val="004957BB"/>
    <w:rsid w:val="00495944"/>
    <w:rsid w:val="004A14B4"/>
    <w:rsid w:val="004A1911"/>
    <w:rsid w:val="004A4775"/>
    <w:rsid w:val="004A651C"/>
    <w:rsid w:val="004A6670"/>
    <w:rsid w:val="004B2ACC"/>
    <w:rsid w:val="004B2CB0"/>
    <w:rsid w:val="004B718D"/>
    <w:rsid w:val="004B7B8B"/>
    <w:rsid w:val="004C151C"/>
    <w:rsid w:val="004C2B43"/>
    <w:rsid w:val="004C2D79"/>
    <w:rsid w:val="004C36A0"/>
    <w:rsid w:val="004C6518"/>
    <w:rsid w:val="004D24EB"/>
    <w:rsid w:val="004D316A"/>
    <w:rsid w:val="004D3DE9"/>
    <w:rsid w:val="004D6C45"/>
    <w:rsid w:val="004E07BC"/>
    <w:rsid w:val="004E2620"/>
    <w:rsid w:val="004E3167"/>
    <w:rsid w:val="004E6E7B"/>
    <w:rsid w:val="004E7FBD"/>
    <w:rsid w:val="004F3B95"/>
    <w:rsid w:val="004F73E8"/>
    <w:rsid w:val="005042F3"/>
    <w:rsid w:val="0050580C"/>
    <w:rsid w:val="005108E3"/>
    <w:rsid w:val="0051743E"/>
    <w:rsid w:val="00517796"/>
    <w:rsid w:val="00523958"/>
    <w:rsid w:val="0053048E"/>
    <w:rsid w:val="00534478"/>
    <w:rsid w:val="0053561F"/>
    <w:rsid w:val="0053794A"/>
    <w:rsid w:val="005400C8"/>
    <w:rsid w:val="00543E44"/>
    <w:rsid w:val="00543FDE"/>
    <w:rsid w:val="005458C1"/>
    <w:rsid w:val="00546B85"/>
    <w:rsid w:val="005518B0"/>
    <w:rsid w:val="00552277"/>
    <w:rsid w:val="00555BD1"/>
    <w:rsid w:val="00560A22"/>
    <w:rsid w:val="005674AD"/>
    <w:rsid w:val="00574F28"/>
    <w:rsid w:val="00580469"/>
    <w:rsid w:val="0058793B"/>
    <w:rsid w:val="00596015"/>
    <w:rsid w:val="00597438"/>
    <w:rsid w:val="005A0DE7"/>
    <w:rsid w:val="005A0F30"/>
    <w:rsid w:val="005A51E1"/>
    <w:rsid w:val="005A7F19"/>
    <w:rsid w:val="005B241C"/>
    <w:rsid w:val="005B27D0"/>
    <w:rsid w:val="005B61DB"/>
    <w:rsid w:val="005C068E"/>
    <w:rsid w:val="005C23B9"/>
    <w:rsid w:val="005C28AF"/>
    <w:rsid w:val="005C2D97"/>
    <w:rsid w:val="005C3E68"/>
    <w:rsid w:val="005C4AB3"/>
    <w:rsid w:val="005C737E"/>
    <w:rsid w:val="005C7655"/>
    <w:rsid w:val="005C7C79"/>
    <w:rsid w:val="005D2D7A"/>
    <w:rsid w:val="005D4395"/>
    <w:rsid w:val="005D57A4"/>
    <w:rsid w:val="005E2740"/>
    <w:rsid w:val="005E423F"/>
    <w:rsid w:val="005F0EA6"/>
    <w:rsid w:val="005F3055"/>
    <w:rsid w:val="005F3D48"/>
    <w:rsid w:val="005F6395"/>
    <w:rsid w:val="005F79CC"/>
    <w:rsid w:val="00600E72"/>
    <w:rsid w:val="00601B15"/>
    <w:rsid w:val="00603FC1"/>
    <w:rsid w:val="0061381E"/>
    <w:rsid w:val="006159CC"/>
    <w:rsid w:val="006173D0"/>
    <w:rsid w:val="006201D7"/>
    <w:rsid w:val="00622603"/>
    <w:rsid w:val="0062445C"/>
    <w:rsid w:val="00625CEF"/>
    <w:rsid w:val="00626CA4"/>
    <w:rsid w:val="006423C4"/>
    <w:rsid w:val="006427AA"/>
    <w:rsid w:val="006429D7"/>
    <w:rsid w:val="00644726"/>
    <w:rsid w:val="0065239F"/>
    <w:rsid w:val="00657D2D"/>
    <w:rsid w:val="00663EAD"/>
    <w:rsid w:val="006719C9"/>
    <w:rsid w:val="006720AF"/>
    <w:rsid w:val="00675B34"/>
    <w:rsid w:val="00685BF1"/>
    <w:rsid w:val="00687E7A"/>
    <w:rsid w:val="00692A65"/>
    <w:rsid w:val="006A131D"/>
    <w:rsid w:val="006A1C99"/>
    <w:rsid w:val="006A2795"/>
    <w:rsid w:val="006A3C90"/>
    <w:rsid w:val="006A5EAD"/>
    <w:rsid w:val="006B089B"/>
    <w:rsid w:val="006B2AB6"/>
    <w:rsid w:val="006B3301"/>
    <w:rsid w:val="006B56FC"/>
    <w:rsid w:val="006C0869"/>
    <w:rsid w:val="006C7B63"/>
    <w:rsid w:val="006C7FC3"/>
    <w:rsid w:val="006D2ECC"/>
    <w:rsid w:val="006D7CFF"/>
    <w:rsid w:val="006D7EF0"/>
    <w:rsid w:val="006E086B"/>
    <w:rsid w:val="006E25B8"/>
    <w:rsid w:val="006E350F"/>
    <w:rsid w:val="006E38C8"/>
    <w:rsid w:val="006E5FBB"/>
    <w:rsid w:val="006F4DF4"/>
    <w:rsid w:val="006F7C43"/>
    <w:rsid w:val="0070165C"/>
    <w:rsid w:val="00702219"/>
    <w:rsid w:val="007027F7"/>
    <w:rsid w:val="00702C7A"/>
    <w:rsid w:val="0070579E"/>
    <w:rsid w:val="00711B7B"/>
    <w:rsid w:val="00713E5D"/>
    <w:rsid w:val="00714C42"/>
    <w:rsid w:val="00714E79"/>
    <w:rsid w:val="00715D8C"/>
    <w:rsid w:val="00720915"/>
    <w:rsid w:val="00720A8F"/>
    <w:rsid w:val="007239F8"/>
    <w:rsid w:val="00723A15"/>
    <w:rsid w:val="00733EA2"/>
    <w:rsid w:val="00734EEB"/>
    <w:rsid w:val="00736ABF"/>
    <w:rsid w:val="0074345A"/>
    <w:rsid w:val="0074731F"/>
    <w:rsid w:val="007524E6"/>
    <w:rsid w:val="00753174"/>
    <w:rsid w:val="00753B4D"/>
    <w:rsid w:val="00754949"/>
    <w:rsid w:val="00760038"/>
    <w:rsid w:val="00764437"/>
    <w:rsid w:val="007660B9"/>
    <w:rsid w:val="00766A08"/>
    <w:rsid w:val="00766F1B"/>
    <w:rsid w:val="00771310"/>
    <w:rsid w:val="00772B7E"/>
    <w:rsid w:val="00773AC7"/>
    <w:rsid w:val="00780982"/>
    <w:rsid w:val="00780AC4"/>
    <w:rsid w:val="0078134D"/>
    <w:rsid w:val="0078172B"/>
    <w:rsid w:val="00781797"/>
    <w:rsid w:val="007844E9"/>
    <w:rsid w:val="00785A3E"/>
    <w:rsid w:val="0079110A"/>
    <w:rsid w:val="00791316"/>
    <w:rsid w:val="00794021"/>
    <w:rsid w:val="007956C4"/>
    <w:rsid w:val="007970EE"/>
    <w:rsid w:val="0079768E"/>
    <w:rsid w:val="007979D1"/>
    <w:rsid w:val="007A09D6"/>
    <w:rsid w:val="007A1CC5"/>
    <w:rsid w:val="007A27C5"/>
    <w:rsid w:val="007A51BA"/>
    <w:rsid w:val="007A52E1"/>
    <w:rsid w:val="007A7274"/>
    <w:rsid w:val="007A737C"/>
    <w:rsid w:val="007B28B8"/>
    <w:rsid w:val="007B7B99"/>
    <w:rsid w:val="007C131D"/>
    <w:rsid w:val="007C3F60"/>
    <w:rsid w:val="007D401C"/>
    <w:rsid w:val="007D55C0"/>
    <w:rsid w:val="007D680C"/>
    <w:rsid w:val="007E54D8"/>
    <w:rsid w:val="007E5900"/>
    <w:rsid w:val="007E62C9"/>
    <w:rsid w:val="007F07E5"/>
    <w:rsid w:val="007F2558"/>
    <w:rsid w:val="007F5695"/>
    <w:rsid w:val="007F5D33"/>
    <w:rsid w:val="007F5DE8"/>
    <w:rsid w:val="007F6150"/>
    <w:rsid w:val="007F67DA"/>
    <w:rsid w:val="007F7EB6"/>
    <w:rsid w:val="007F7FED"/>
    <w:rsid w:val="008006F6"/>
    <w:rsid w:val="008051C4"/>
    <w:rsid w:val="00805B42"/>
    <w:rsid w:val="00806393"/>
    <w:rsid w:val="00806C62"/>
    <w:rsid w:val="00812DAD"/>
    <w:rsid w:val="0081512D"/>
    <w:rsid w:val="00820E0F"/>
    <w:rsid w:val="008212C7"/>
    <w:rsid w:val="00821DCD"/>
    <w:rsid w:val="00825B23"/>
    <w:rsid w:val="008275B9"/>
    <w:rsid w:val="008275BA"/>
    <w:rsid w:val="0083261D"/>
    <w:rsid w:val="00832D89"/>
    <w:rsid w:val="00840865"/>
    <w:rsid w:val="00841D41"/>
    <w:rsid w:val="008436AB"/>
    <w:rsid w:val="00844739"/>
    <w:rsid w:val="0084486B"/>
    <w:rsid w:val="00855A7A"/>
    <w:rsid w:val="008606BC"/>
    <w:rsid w:val="0086151D"/>
    <w:rsid w:val="0086223D"/>
    <w:rsid w:val="008678C1"/>
    <w:rsid w:val="00871182"/>
    <w:rsid w:val="00873DED"/>
    <w:rsid w:val="00877425"/>
    <w:rsid w:val="008777F4"/>
    <w:rsid w:val="00880786"/>
    <w:rsid w:val="00886003"/>
    <w:rsid w:val="00890686"/>
    <w:rsid w:val="008A1C96"/>
    <w:rsid w:val="008A3854"/>
    <w:rsid w:val="008A444A"/>
    <w:rsid w:val="008A78E3"/>
    <w:rsid w:val="008B493F"/>
    <w:rsid w:val="008C115E"/>
    <w:rsid w:val="008C5B45"/>
    <w:rsid w:val="008C72DD"/>
    <w:rsid w:val="008D0504"/>
    <w:rsid w:val="008D1256"/>
    <w:rsid w:val="008D12C3"/>
    <w:rsid w:val="008D1DDB"/>
    <w:rsid w:val="008D275A"/>
    <w:rsid w:val="008D6C37"/>
    <w:rsid w:val="008E1E07"/>
    <w:rsid w:val="008F5D06"/>
    <w:rsid w:val="008F5D55"/>
    <w:rsid w:val="008F6747"/>
    <w:rsid w:val="008F773B"/>
    <w:rsid w:val="008F78F2"/>
    <w:rsid w:val="008F7DFB"/>
    <w:rsid w:val="00900A13"/>
    <w:rsid w:val="00901B27"/>
    <w:rsid w:val="00902CAC"/>
    <w:rsid w:val="009036CA"/>
    <w:rsid w:val="00913AEC"/>
    <w:rsid w:val="00917F95"/>
    <w:rsid w:val="009212F9"/>
    <w:rsid w:val="00922488"/>
    <w:rsid w:val="0092351C"/>
    <w:rsid w:val="00923EDF"/>
    <w:rsid w:val="00924C3B"/>
    <w:rsid w:val="00927963"/>
    <w:rsid w:val="00935103"/>
    <w:rsid w:val="00937178"/>
    <w:rsid w:val="00937D35"/>
    <w:rsid w:val="0094688C"/>
    <w:rsid w:val="0095497F"/>
    <w:rsid w:val="00963FB3"/>
    <w:rsid w:val="00972CA0"/>
    <w:rsid w:val="00973BE2"/>
    <w:rsid w:val="00983A23"/>
    <w:rsid w:val="009866AC"/>
    <w:rsid w:val="009909D5"/>
    <w:rsid w:val="00993B67"/>
    <w:rsid w:val="009959E0"/>
    <w:rsid w:val="00996919"/>
    <w:rsid w:val="00996BEA"/>
    <w:rsid w:val="009A0F89"/>
    <w:rsid w:val="009A33FB"/>
    <w:rsid w:val="009A4713"/>
    <w:rsid w:val="009A47B6"/>
    <w:rsid w:val="009A531E"/>
    <w:rsid w:val="009B0525"/>
    <w:rsid w:val="009B12D9"/>
    <w:rsid w:val="009B1A44"/>
    <w:rsid w:val="009B4379"/>
    <w:rsid w:val="009B4DE9"/>
    <w:rsid w:val="009C309F"/>
    <w:rsid w:val="009C361E"/>
    <w:rsid w:val="009D3A46"/>
    <w:rsid w:val="009D7030"/>
    <w:rsid w:val="009E0BC2"/>
    <w:rsid w:val="009E5834"/>
    <w:rsid w:val="009E6C33"/>
    <w:rsid w:val="009E75FA"/>
    <w:rsid w:val="009E7C58"/>
    <w:rsid w:val="009F3BE1"/>
    <w:rsid w:val="009F43AC"/>
    <w:rsid w:val="009F751D"/>
    <w:rsid w:val="009F765F"/>
    <w:rsid w:val="00A00796"/>
    <w:rsid w:val="00A00EF2"/>
    <w:rsid w:val="00A0338E"/>
    <w:rsid w:val="00A03680"/>
    <w:rsid w:val="00A069F9"/>
    <w:rsid w:val="00A12A22"/>
    <w:rsid w:val="00A173EC"/>
    <w:rsid w:val="00A205EF"/>
    <w:rsid w:val="00A237B8"/>
    <w:rsid w:val="00A2397F"/>
    <w:rsid w:val="00A27173"/>
    <w:rsid w:val="00A30A75"/>
    <w:rsid w:val="00A42C57"/>
    <w:rsid w:val="00A477E6"/>
    <w:rsid w:val="00A47C07"/>
    <w:rsid w:val="00A52DB0"/>
    <w:rsid w:val="00A53616"/>
    <w:rsid w:val="00A53B73"/>
    <w:rsid w:val="00A569A1"/>
    <w:rsid w:val="00A60F01"/>
    <w:rsid w:val="00A61711"/>
    <w:rsid w:val="00A6191E"/>
    <w:rsid w:val="00A62F19"/>
    <w:rsid w:val="00A71A5E"/>
    <w:rsid w:val="00A80863"/>
    <w:rsid w:val="00A81616"/>
    <w:rsid w:val="00A8365E"/>
    <w:rsid w:val="00A85EA7"/>
    <w:rsid w:val="00A90933"/>
    <w:rsid w:val="00A91CDF"/>
    <w:rsid w:val="00A92625"/>
    <w:rsid w:val="00A932B0"/>
    <w:rsid w:val="00A9488D"/>
    <w:rsid w:val="00AA586A"/>
    <w:rsid w:val="00AA5BB2"/>
    <w:rsid w:val="00AA75B9"/>
    <w:rsid w:val="00AB0FA0"/>
    <w:rsid w:val="00AB350C"/>
    <w:rsid w:val="00AB3C78"/>
    <w:rsid w:val="00AB7A3B"/>
    <w:rsid w:val="00AC1AA3"/>
    <w:rsid w:val="00AC47D2"/>
    <w:rsid w:val="00AC62BD"/>
    <w:rsid w:val="00AD68D0"/>
    <w:rsid w:val="00AE0C66"/>
    <w:rsid w:val="00AE0E38"/>
    <w:rsid w:val="00AE14B0"/>
    <w:rsid w:val="00AE297B"/>
    <w:rsid w:val="00AE3BA3"/>
    <w:rsid w:val="00AE57DB"/>
    <w:rsid w:val="00AE58D5"/>
    <w:rsid w:val="00AE6686"/>
    <w:rsid w:val="00AF0A70"/>
    <w:rsid w:val="00AF41CC"/>
    <w:rsid w:val="00AF49E5"/>
    <w:rsid w:val="00AF5937"/>
    <w:rsid w:val="00B059FA"/>
    <w:rsid w:val="00B06546"/>
    <w:rsid w:val="00B16660"/>
    <w:rsid w:val="00B23ADE"/>
    <w:rsid w:val="00B2427C"/>
    <w:rsid w:val="00B24918"/>
    <w:rsid w:val="00B24D0A"/>
    <w:rsid w:val="00B310BD"/>
    <w:rsid w:val="00B31183"/>
    <w:rsid w:val="00B3317D"/>
    <w:rsid w:val="00B34D2C"/>
    <w:rsid w:val="00B3505A"/>
    <w:rsid w:val="00B36583"/>
    <w:rsid w:val="00B4038F"/>
    <w:rsid w:val="00B42AA2"/>
    <w:rsid w:val="00B455C1"/>
    <w:rsid w:val="00B53058"/>
    <w:rsid w:val="00B65897"/>
    <w:rsid w:val="00B701ED"/>
    <w:rsid w:val="00B72BE3"/>
    <w:rsid w:val="00B806A0"/>
    <w:rsid w:val="00B87E45"/>
    <w:rsid w:val="00B95533"/>
    <w:rsid w:val="00BA0126"/>
    <w:rsid w:val="00BA64A4"/>
    <w:rsid w:val="00BB00FD"/>
    <w:rsid w:val="00BB1D52"/>
    <w:rsid w:val="00BB1FFF"/>
    <w:rsid w:val="00BB3F5B"/>
    <w:rsid w:val="00BC10A5"/>
    <w:rsid w:val="00BC1972"/>
    <w:rsid w:val="00BC24CA"/>
    <w:rsid w:val="00BD113A"/>
    <w:rsid w:val="00BD3C47"/>
    <w:rsid w:val="00BD3C65"/>
    <w:rsid w:val="00BD3DA8"/>
    <w:rsid w:val="00BD45D5"/>
    <w:rsid w:val="00BE04EE"/>
    <w:rsid w:val="00BE5C7B"/>
    <w:rsid w:val="00BF1F22"/>
    <w:rsid w:val="00BF3BB8"/>
    <w:rsid w:val="00BF3BE8"/>
    <w:rsid w:val="00C00697"/>
    <w:rsid w:val="00C0095A"/>
    <w:rsid w:val="00C02750"/>
    <w:rsid w:val="00C05CA4"/>
    <w:rsid w:val="00C15539"/>
    <w:rsid w:val="00C15BFB"/>
    <w:rsid w:val="00C226B2"/>
    <w:rsid w:val="00C25406"/>
    <w:rsid w:val="00C2634A"/>
    <w:rsid w:val="00C27FB0"/>
    <w:rsid w:val="00C30829"/>
    <w:rsid w:val="00C311F6"/>
    <w:rsid w:val="00C32877"/>
    <w:rsid w:val="00C368A2"/>
    <w:rsid w:val="00C40E9A"/>
    <w:rsid w:val="00C443E8"/>
    <w:rsid w:val="00C454D3"/>
    <w:rsid w:val="00C45F1B"/>
    <w:rsid w:val="00C51C42"/>
    <w:rsid w:val="00C5731D"/>
    <w:rsid w:val="00C600E6"/>
    <w:rsid w:val="00C66A73"/>
    <w:rsid w:val="00C67AA6"/>
    <w:rsid w:val="00C7434B"/>
    <w:rsid w:val="00C77DE1"/>
    <w:rsid w:val="00C80CAE"/>
    <w:rsid w:val="00C82845"/>
    <w:rsid w:val="00C82EEB"/>
    <w:rsid w:val="00C83B33"/>
    <w:rsid w:val="00C83D33"/>
    <w:rsid w:val="00C86F22"/>
    <w:rsid w:val="00C9209F"/>
    <w:rsid w:val="00C933C9"/>
    <w:rsid w:val="00C95B7E"/>
    <w:rsid w:val="00C9650F"/>
    <w:rsid w:val="00C9741E"/>
    <w:rsid w:val="00CA13A5"/>
    <w:rsid w:val="00CA271B"/>
    <w:rsid w:val="00CA3384"/>
    <w:rsid w:val="00CA33C7"/>
    <w:rsid w:val="00CB0AF1"/>
    <w:rsid w:val="00CB2C58"/>
    <w:rsid w:val="00CB38A3"/>
    <w:rsid w:val="00CB3DD2"/>
    <w:rsid w:val="00CD1669"/>
    <w:rsid w:val="00CD1C08"/>
    <w:rsid w:val="00CD4EC9"/>
    <w:rsid w:val="00CD69C2"/>
    <w:rsid w:val="00CD730D"/>
    <w:rsid w:val="00CE1635"/>
    <w:rsid w:val="00CE3221"/>
    <w:rsid w:val="00CF0D33"/>
    <w:rsid w:val="00CF5502"/>
    <w:rsid w:val="00CF7819"/>
    <w:rsid w:val="00D01E41"/>
    <w:rsid w:val="00D05736"/>
    <w:rsid w:val="00D062F0"/>
    <w:rsid w:val="00D07245"/>
    <w:rsid w:val="00D10534"/>
    <w:rsid w:val="00D10BD7"/>
    <w:rsid w:val="00D149BC"/>
    <w:rsid w:val="00D14B44"/>
    <w:rsid w:val="00D17C60"/>
    <w:rsid w:val="00D17E94"/>
    <w:rsid w:val="00D21E6C"/>
    <w:rsid w:val="00D24DA0"/>
    <w:rsid w:val="00D259A6"/>
    <w:rsid w:val="00D26C2F"/>
    <w:rsid w:val="00D30407"/>
    <w:rsid w:val="00D35AC2"/>
    <w:rsid w:val="00D40AAA"/>
    <w:rsid w:val="00D44C6E"/>
    <w:rsid w:val="00D4602A"/>
    <w:rsid w:val="00D4643A"/>
    <w:rsid w:val="00D47D9F"/>
    <w:rsid w:val="00D52159"/>
    <w:rsid w:val="00D530BB"/>
    <w:rsid w:val="00D54CE5"/>
    <w:rsid w:val="00D6052F"/>
    <w:rsid w:val="00D611A9"/>
    <w:rsid w:val="00D621F3"/>
    <w:rsid w:val="00D656F7"/>
    <w:rsid w:val="00D73630"/>
    <w:rsid w:val="00D74955"/>
    <w:rsid w:val="00D74F32"/>
    <w:rsid w:val="00D75A39"/>
    <w:rsid w:val="00D76FFB"/>
    <w:rsid w:val="00D9012E"/>
    <w:rsid w:val="00D903B9"/>
    <w:rsid w:val="00D90897"/>
    <w:rsid w:val="00D95E07"/>
    <w:rsid w:val="00DA3036"/>
    <w:rsid w:val="00DB015B"/>
    <w:rsid w:val="00DB5E67"/>
    <w:rsid w:val="00DB5E92"/>
    <w:rsid w:val="00DB6F16"/>
    <w:rsid w:val="00DC0929"/>
    <w:rsid w:val="00DC118B"/>
    <w:rsid w:val="00DC285F"/>
    <w:rsid w:val="00DC31CB"/>
    <w:rsid w:val="00DC4D56"/>
    <w:rsid w:val="00DC5758"/>
    <w:rsid w:val="00DD3648"/>
    <w:rsid w:val="00DD4167"/>
    <w:rsid w:val="00DD4DE7"/>
    <w:rsid w:val="00DE02EB"/>
    <w:rsid w:val="00DE193D"/>
    <w:rsid w:val="00DE6866"/>
    <w:rsid w:val="00DE710F"/>
    <w:rsid w:val="00DE7EED"/>
    <w:rsid w:val="00DF12BD"/>
    <w:rsid w:val="00DF18AC"/>
    <w:rsid w:val="00DF31CE"/>
    <w:rsid w:val="00DF7F19"/>
    <w:rsid w:val="00E004E2"/>
    <w:rsid w:val="00E019E0"/>
    <w:rsid w:val="00E02409"/>
    <w:rsid w:val="00E02E5D"/>
    <w:rsid w:val="00E044D0"/>
    <w:rsid w:val="00E0770E"/>
    <w:rsid w:val="00E07D66"/>
    <w:rsid w:val="00E149F4"/>
    <w:rsid w:val="00E14B90"/>
    <w:rsid w:val="00E176C1"/>
    <w:rsid w:val="00E23385"/>
    <w:rsid w:val="00E23B18"/>
    <w:rsid w:val="00E25940"/>
    <w:rsid w:val="00E26322"/>
    <w:rsid w:val="00E401B3"/>
    <w:rsid w:val="00E47CAB"/>
    <w:rsid w:val="00E526FE"/>
    <w:rsid w:val="00E5435B"/>
    <w:rsid w:val="00E570EC"/>
    <w:rsid w:val="00E578B7"/>
    <w:rsid w:val="00E57D90"/>
    <w:rsid w:val="00E610B2"/>
    <w:rsid w:val="00E73199"/>
    <w:rsid w:val="00E7329A"/>
    <w:rsid w:val="00E76451"/>
    <w:rsid w:val="00E8016F"/>
    <w:rsid w:val="00E80E52"/>
    <w:rsid w:val="00E816CE"/>
    <w:rsid w:val="00E82ABA"/>
    <w:rsid w:val="00E86D88"/>
    <w:rsid w:val="00E86ECD"/>
    <w:rsid w:val="00E90FB5"/>
    <w:rsid w:val="00E96244"/>
    <w:rsid w:val="00E97A7F"/>
    <w:rsid w:val="00EA0688"/>
    <w:rsid w:val="00EA12B8"/>
    <w:rsid w:val="00EB0BC6"/>
    <w:rsid w:val="00EB1379"/>
    <w:rsid w:val="00EB7F56"/>
    <w:rsid w:val="00EC0059"/>
    <w:rsid w:val="00EC4DEF"/>
    <w:rsid w:val="00EC517F"/>
    <w:rsid w:val="00ED0CB2"/>
    <w:rsid w:val="00ED334F"/>
    <w:rsid w:val="00ED58CC"/>
    <w:rsid w:val="00EE1222"/>
    <w:rsid w:val="00EE1DD7"/>
    <w:rsid w:val="00EE6151"/>
    <w:rsid w:val="00EF125F"/>
    <w:rsid w:val="00EF6170"/>
    <w:rsid w:val="00EF792B"/>
    <w:rsid w:val="00F017E0"/>
    <w:rsid w:val="00F02EBA"/>
    <w:rsid w:val="00F03B20"/>
    <w:rsid w:val="00F065A0"/>
    <w:rsid w:val="00F1246E"/>
    <w:rsid w:val="00F12FAA"/>
    <w:rsid w:val="00F21C70"/>
    <w:rsid w:val="00F23F13"/>
    <w:rsid w:val="00F27CBE"/>
    <w:rsid w:val="00F31D7A"/>
    <w:rsid w:val="00F363AC"/>
    <w:rsid w:val="00F37D74"/>
    <w:rsid w:val="00F4121E"/>
    <w:rsid w:val="00F41635"/>
    <w:rsid w:val="00F4277B"/>
    <w:rsid w:val="00F45DB4"/>
    <w:rsid w:val="00F45F22"/>
    <w:rsid w:val="00F46D66"/>
    <w:rsid w:val="00F4704F"/>
    <w:rsid w:val="00F515D6"/>
    <w:rsid w:val="00F56D27"/>
    <w:rsid w:val="00F57EC9"/>
    <w:rsid w:val="00F624FF"/>
    <w:rsid w:val="00F62B0B"/>
    <w:rsid w:val="00F64717"/>
    <w:rsid w:val="00F67BDC"/>
    <w:rsid w:val="00F7682E"/>
    <w:rsid w:val="00F85411"/>
    <w:rsid w:val="00F87E1C"/>
    <w:rsid w:val="00F90C9A"/>
    <w:rsid w:val="00F9344F"/>
    <w:rsid w:val="00FA1E63"/>
    <w:rsid w:val="00FA4B05"/>
    <w:rsid w:val="00FA7186"/>
    <w:rsid w:val="00FA7DB7"/>
    <w:rsid w:val="00FB3C96"/>
    <w:rsid w:val="00FB5286"/>
    <w:rsid w:val="00FC1DA0"/>
    <w:rsid w:val="00FC5756"/>
    <w:rsid w:val="00FC6197"/>
    <w:rsid w:val="00FC6D94"/>
    <w:rsid w:val="00FE09D3"/>
    <w:rsid w:val="00FE2634"/>
    <w:rsid w:val="00FE4F32"/>
    <w:rsid w:val="00FE6A0D"/>
    <w:rsid w:val="00FE7253"/>
    <w:rsid w:val="00FF0B10"/>
    <w:rsid w:val="00FF2FFB"/>
    <w:rsid w:val="00FF5A98"/>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List Paragraph1,List Paragraph11,Bullet point,List Paragraph Number,Bulleted Para,NFP GP Bulleted List,bullet point list,L,Bullet points,Content descriptions,Bullet Point,List Paragraph2,List Paragraph111,F5 List Paragraph"/>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6"/>
      </w:numPr>
      <w:spacing w:after="0"/>
      <w:contextualSpacing w:val="0"/>
    </w:pPr>
  </w:style>
  <w:style w:type="paragraph" w:customStyle="1" w:styleId="BulletedListlvl1">
    <w:name w:val="Bulleted List lvl1"/>
    <w:uiPriority w:val="10"/>
    <w:qFormat/>
    <w:rsid w:val="0086151D"/>
    <w:pPr>
      <w:spacing w:after="0"/>
      <w:ind w:left="283" w:hanging="283"/>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ind w:left="1134" w:hanging="397"/>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3"/>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4"/>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5"/>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ind w:left="1701" w:hanging="283"/>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character" w:styleId="Hyperlink">
    <w:name w:val="Hyperlink"/>
    <w:basedOn w:val="DefaultParagraphFont"/>
    <w:uiPriority w:val="99"/>
    <w:unhideWhenUsed/>
    <w:rsid w:val="004E7FBD"/>
    <w:rPr>
      <w:color w:val="0289C8" w:themeColor="hyperlink"/>
      <w:u w:val="single"/>
    </w:rPr>
  </w:style>
  <w:style w:type="character" w:styleId="CommentReference">
    <w:name w:val="annotation reference"/>
    <w:basedOn w:val="DefaultParagraphFont"/>
    <w:uiPriority w:val="99"/>
    <w:semiHidden/>
    <w:unhideWhenUsed/>
    <w:rsid w:val="00183905"/>
    <w:rPr>
      <w:sz w:val="16"/>
      <w:szCs w:val="16"/>
    </w:rPr>
  </w:style>
  <w:style w:type="paragraph" w:styleId="CommentText">
    <w:name w:val="annotation text"/>
    <w:basedOn w:val="Normal"/>
    <w:link w:val="CommentTextChar"/>
    <w:uiPriority w:val="99"/>
    <w:unhideWhenUsed/>
    <w:rsid w:val="00183905"/>
    <w:pPr>
      <w:spacing w:line="240" w:lineRule="auto"/>
    </w:pPr>
  </w:style>
  <w:style w:type="character" w:customStyle="1" w:styleId="CommentTextChar">
    <w:name w:val="Comment Text Char"/>
    <w:basedOn w:val="DefaultParagraphFont"/>
    <w:link w:val="CommentText"/>
    <w:uiPriority w:val="99"/>
    <w:rsid w:val="00183905"/>
  </w:style>
  <w:style w:type="paragraph" w:styleId="CommentSubject">
    <w:name w:val="annotation subject"/>
    <w:basedOn w:val="CommentText"/>
    <w:next w:val="CommentText"/>
    <w:link w:val="CommentSubjectChar"/>
    <w:uiPriority w:val="99"/>
    <w:semiHidden/>
    <w:unhideWhenUsed/>
    <w:rsid w:val="00183905"/>
    <w:rPr>
      <w:b/>
      <w:bCs/>
    </w:rPr>
  </w:style>
  <w:style w:type="character" w:customStyle="1" w:styleId="CommentSubjectChar">
    <w:name w:val="Comment Subject Char"/>
    <w:basedOn w:val="CommentTextChar"/>
    <w:link w:val="CommentSubject"/>
    <w:uiPriority w:val="99"/>
    <w:semiHidden/>
    <w:rsid w:val="00183905"/>
    <w:rPr>
      <w:b/>
      <w:bCs/>
    </w:rPr>
  </w:style>
  <w:style w:type="character" w:customStyle="1" w:styleId="ListParagraphChar">
    <w:name w:val="List Paragraph Char"/>
    <w:aliases w:val="Recommendation Char,List Paragraph1 Char,List Paragraph11 Char,Bullet point Char,List Paragraph Number Char,Bulleted Para Char,NFP GP Bulleted List Char,bullet point list Char,L Char,Bullet points Char,Content descriptions Char"/>
    <w:basedOn w:val="DefaultParagraphFont"/>
    <w:link w:val="ListParagraph"/>
    <w:uiPriority w:val="34"/>
    <w:qFormat/>
    <w:locked/>
    <w:rsid w:val="002F0420"/>
  </w:style>
  <w:style w:type="paragraph" w:styleId="Revision">
    <w:name w:val="Revision"/>
    <w:hidden/>
    <w:uiPriority w:val="99"/>
    <w:semiHidden/>
    <w:rsid w:val="009E6C33"/>
    <w:pPr>
      <w:spacing w:after="0" w:line="240" w:lineRule="auto"/>
    </w:pPr>
  </w:style>
  <w:style w:type="character" w:styleId="Strong">
    <w:name w:val="Strong"/>
    <w:basedOn w:val="DefaultParagraphFont"/>
    <w:uiPriority w:val="22"/>
    <w:qFormat/>
    <w:rsid w:val="001327D5"/>
    <w:rPr>
      <w:b/>
      <w:bCs/>
      <w:sz w:val="24"/>
      <w:szCs w:val="24"/>
      <w:bdr w:val="none" w:sz="0" w:space="0" w:color="auto" w:frame="1"/>
      <w:vertAlign w:val="baseline"/>
    </w:rPr>
  </w:style>
  <w:style w:type="paragraph" w:styleId="TOCHeading">
    <w:name w:val="TOC Heading"/>
    <w:basedOn w:val="Heading1"/>
    <w:next w:val="Normal"/>
    <w:uiPriority w:val="39"/>
    <w:unhideWhenUsed/>
    <w:qFormat/>
    <w:rsid w:val="00CA13A5"/>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031E27"/>
    <w:pPr>
      <w:tabs>
        <w:tab w:val="right" w:leader="dot" w:pos="10336"/>
      </w:tabs>
      <w:spacing w:after="100"/>
    </w:pPr>
  </w:style>
  <w:style w:type="paragraph" w:styleId="TOC3">
    <w:name w:val="toc 3"/>
    <w:basedOn w:val="Normal"/>
    <w:next w:val="Normal"/>
    <w:autoRedefine/>
    <w:uiPriority w:val="39"/>
    <w:unhideWhenUsed/>
    <w:rsid w:val="00B42AA2"/>
    <w:pPr>
      <w:tabs>
        <w:tab w:val="right" w:leader="dot" w:pos="10336"/>
      </w:tabs>
      <w:spacing w:after="100"/>
      <w:ind w:left="400"/>
    </w:pPr>
  </w:style>
  <w:style w:type="paragraph" w:styleId="TOC2">
    <w:name w:val="toc 2"/>
    <w:basedOn w:val="Normal"/>
    <w:next w:val="Normal"/>
    <w:autoRedefine/>
    <w:uiPriority w:val="39"/>
    <w:unhideWhenUsed/>
    <w:rsid w:val="00F45F22"/>
    <w:pPr>
      <w:tabs>
        <w:tab w:val="left" w:pos="880"/>
        <w:tab w:val="right" w:leader="dot" w:pos="10336"/>
      </w:tabs>
      <w:spacing w:after="100"/>
      <w:ind w:left="200"/>
    </w:pPr>
  </w:style>
  <w:style w:type="paragraph" w:styleId="NormalWeb">
    <w:name w:val="Normal (Web)"/>
    <w:basedOn w:val="Normal"/>
    <w:uiPriority w:val="99"/>
    <w:semiHidden/>
    <w:unhideWhenUsed/>
    <w:rsid w:val="00601B15"/>
    <w:pPr>
      <w:spacing w:after="0" w:line="240" w:lineRule="auto"/>
      <w:textAlignment w:val="baseline"/>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6D2ECC"/>
    <w:rPr>
      <w:color w:val="0289C8" w:themeColor="followedHyperlink"/>
      <w:u w:val="single"/>
    </w:rPr>
  </w:style>
  <w:style w:type="table" w:styleId="GridTable5Dark-Accent5">
    <w:name w:val="Grid Table 5 Dark Accent 5"/>
    <w:basedOn w:val="TableNormal"/>
    <w:uiPriority w:val="50"/>
    <w:rsid w:val="001F73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customStyle="1" w:styleId="NIAADefaultTableStyle1">
    <w:name w:val="NIAA Default Table Style1"/>
    <w:basedOn w:val="TableNormal"/>
    <w:uiPriority w:val="99"/>
    <w:rsid w:val="000775AD"/>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1404">
      <w:bodyDiv w:val="1"/>
      <w:marLeft w:val="0"/>
      <w:marRight w:val="0"/>
      <w:marTop w:val="0"/>
      <w:marBottom w:val="0"/>
      <w:divBdr>
        <w:top w:val="none" w:sz="0" w:space="0" w:color="auto"/>
        <w:left w:val="none" w:sz="0" w:space="0" w:color="auto"/>
        <w:bottom w:val="none" w:sz="0" w:space="0" w:color="auto"/>
        <w:right w:val="none" w:sz="0" w:space="0" w:color="auto"/>
      </w:divBdr>
    </w:div>
    <w:div w:id="18283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aa.gov.au/resource-centre/indigenous-affairs/commonwealth-indigenous-procurement-policy" TargetMode="External"/><Relationship Id="rId18" Type="http://schemas.microsoft.com/office/2007/relationships/diagramDrawing" Target="diagrams/drawing1.xml"/><Relationship Id="rId26" Type="http://schemas.openxmlformats.org/officeDocument/2006/relationships/hyperlink" Target="https://www.niaa.gov.au/resource-centre/indigenous-affairs/indigenous-procurement-policy-model-clauses" TargetMode="External"/><Relationship Id="rId39" Type="http://schemas.openxmlformats.org/officeDocument/2006/relationships/hyperlink" Target="https://www.niaa.gov.au/indigenous-affairs/employment/employment-parity-initiative" TargetMode="External"/><Relationship Id="rId21" Type="http://schemas.openxmlformats.org/officeDocument/2006/relationships/hyperlink" Target="http://www.finance.gov.au/resource-management/governance/agor/" TargetMode="External"/><Relationship Id="rId34" Type="http://schemas.openxmlformats.org/officeDocument/2006/relationships/hyperlink" Target="https://jobsearch.gov.au/transition-to-work" TargetMode="External"/><Relationship Id="rId42" Type="http://schemas.openxmlformats.org/officeDocument/2006/relationships/hyperlink" Target="https://supplynation.org.au/" TargetMode="External"/><Relationship Id="rId47" Type="http://schemas.openxmlformats.org/officeDocument/2006/relationships/hyperlink" Target="https://humanrights.gov.au/our-work/aboriginal-and-torres-strait-islander-social-justice/publications/targeted-recruitment" TargetMode="External"/><Relationship Id="rId50" Type="http://schemas.openxmlformats.org/officeDocument/2006/relationships/hyperlink" Target="https://www.niaa.gov.au/ipprs" TargetMode="External"/><Relationship Id="rId55" Type="http://schemas.openxmlformats.org/officeDocument/2006/relationships/hyperlink" Target="https://www.finance.gov.au/business/selling-government-procurement" TargetMode="External"/><Relationship Id="rId63" Type="http://schemas.openxmlformats.org/officeDocument/2006/relationships/hyperlink" Target="http://alc.org.au/economic-development/yarpahub.aspx" TargetMode="External"/><Relationship Id="rId68" Type="http://schemas.openxmlformats.org/officeDocument/2006/relationships/hyperlink" Target="https://jobsearch.gov.au/" TargetMode="External"/><Relationship Id="rId76" Type="http://schemas.openxmlformats.org/officeDocument/2006/relationships/hyperlink" Target="https://kinaway.com.au/"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niaa.gov.au/indigenous-affairs/employment/tailored-assistance-employment-grants"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www.niaa.gov.au/indigenous-affairs/employment/cdp" TargetMode="External"/><Relationship Id="rId11" Type="http://schemas.openxmlformats.org/officeDocument/2006/relationships/endnotes" Target="endnotes.xml"/><Relationship Id="rId24" Type="http://schemas.openxmlformats.org/officeDocument/2006/relationships/hyperlink" Target="http://www.niaa.gov.au/resource-centre/indigenous-affairs/ripp-map-data" TargetMode="External"/><Relationship Id="rId32" Type="http://schemas.openxmlformats.org/officeDocument/2006/relationships/hyperlink" Target="https://www.niaa.gov.au/resource-centre/indigenous-affairs/welcome-pack-industry-contractors" TargetMode="External"/><Relationship Id="rId37" Type="http://schemas.openxmlformats.org/officeDocument/2006/relationships/hyperlink" Target="https://www.niaa.gov.au/indigenous-affairs/employment/vocational-training-and-employment-centres-vtecs" TargetMode="External"/><Relationship Id="rId40" Type="http://schemas.openxmlformats.org/officeDocument/2006/relationships/hyperlink" Target="https://www.australianapprenticeships.gov.au/search-gto" TargetMode="External"/><Relationship Id="rId45" Type="http://schemas.openxmlformats.org/officeDocument/2006/relationships/hyperlink" Target="https://www.abs.gov.au/websitedbs/D3310114.nsf/Home/2016%20search%20by%20geography" TargetMode="External"/><Relationship Id="rId53" Type="http://schemas.openxmlformats.org/officeDocument/2006/relationships/hyperlink" Target="https://www.niaa.gov.au/resource-centre/indigenous-affairs/ripp-map-data" TargetMode="External"/><Relationship Id="rId58" Type="http://schemas.openxmlformats.org/officeDocument/2006/relationships/hyperlink" Target="https://www.ilsc.gov.au/" TargetMode="External"/><Relationship Id="rId66" Type="http://schemas.openxmlformats.org/officeDocument/2006/relationships/hyperlink" Target="https://www.niaa.gov.au/indigenous-affairs/employment/cdp" TargetMode="External"/><Relationship Id="rId74" Type="http://schemas.openxmlformats.org/officeDocument/2006/relationships/hyperlink" Target="https://nswicc.com.au/" TargetMode="External"/><Relationship Id="rId79" Type="http://schemas.openxmlformats.org/officeDocument/2006/relationships/hyperlink" Target="http://abdwa.com.au/" TargetMode="External"/><Relationship Id="rId87"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creativespirits.info/resources/newspapers-magazines" TargetMode="External"/><Relationship Id="rId82" Type="http://schemas.openxmlformats.org/officeDocument/2006/relationships/hyperlink" Target="https://www.niaa.gov.au/resource-centre/indigenous-affairs/ripp-map-data" TargetMode="External"/><Relationship Id="rId90" Type="http://schemas.openxmlformats.org/officeDocument/2006/relationships/glossaryDocument" Target="glossary/document.xml"/><Relationship Id="rId19" Type="http://schemas.openxmlformats.org/officeDocument/2006/relationships/hyperlink" Target="https://www.finance.gov.au/government/procurement/whole-australian-government-procurement" TargetMode="External"/><Relationship Id="rId14" Type="http://schemas.openxmlformats.org/officeDocument/2006/relationships/diagramData" Target="diagrams/data1.xml"/><Relationship Id="rId22" Type="http://schemas.openxmlformats.org/officeDocument/2006/relationships/hyperlink" Target="http://www.niaa.gov.au/resource-centre/indigenous-affairs/united-nations-standard-products-and-service-codes" TargetMode="External"/><Relationship Id="rId27" Type="http://schemas.openxmlformats.org/officeDocument/2006/relationships/hyperlink" Target="https://jobsearch.gov.au/serviceproviders" TargetMode="External"/><Relationship Id="rId30" Type="http://schemas.openxmlformats.org/officeDocument/2006/relationships/hyperlink" Target="https://www.creativespirits.info/aboriginalculture/selfdetermination/aboriginal-land-councils" TargetMode="External"/><Relationship Id="rId35" Type="http://schemas.openxmlformats.org/officeDocument/2006/relationships/hyperlink" Target="https://www.dss.gov.au/our-responsibilities/disability-and-carers/programmes-services/disability-employment-services" TargetMode="External"/><Relationship Id="rId43" Type="http://schemas.openxmlformats.org/officeDocument/2006/relationships/hyperlink" Target="http://alc.org.au/economic-development/yarpahub.aspx" TargetMode="External"/><Relationship Id="rId48" Type="http://schemas.openxmlformats.org/officeDocument/2006/relationships/hyperlink" Target="https://www.niaa.gov.au/resource-centre/indigenous-affairs/commonwealth-indigenous-procurement-policy" TargetMode="External"/><Relationship Id="rId56" Type="http://schemas.openxmlformats.org/officeDocument/2006/relationships/hyperlink" Target="https://www.finance.gov.au/government/procurement/commonwealth-procurement-rules" TargetMode="External"/><Relationship Id="rId64" Type="http://schemas.openxmlformats.org/officeDocument/2006/relationships/hyperlink" Target="https://www.wf.org.au/programs/programs-employment/242-wirra-hub" TargetMode="External"/><Relationship Id="rId69" Type="http://schemas.openxmlformats.org/officeDocument/2006/relationships/hyperlink" Target="https://jobsearch.gov.au/transition-to-work" TargetMode="External"/><Relationship Id="rId77" Type="http://schemas.openxmlformats.org/officeDocument/2006/relationships/hyperlink" Target="https://abicsa.org.au/" TargetMode="External"/><Relationship Id="rId8" Type="http://schemas.openxmlformats.org/officeDocument/2006/relationships/settings" Target="settings.xml"/><Relationship Id="rId51" Type="http://schemas.openxmlformats.org/officeDocument/2006/relationships/hyperlink" Target="https://www.niaa.gov.au/resource-centre/indigenous-affairs/indigenous-procurement-policy-model-clauses" TargetMode="External"/><Relationship Id="rId72" Type="http://schemas.openxmlformats.org/officeDocument/2006/relationships/hyperlink" Target="https://www.niaa.gov.au/indigenous-affairs/employment/employment-parity-initiative" TargetMode="External"/><Relationship Id="rId80" Type="http://schemas.openxmlformats.org/officeDocument/2006/relationships/hyperlink" Target="https://www.niaa.gov.au/resource-centre/indigenous-affairs/ripp-map-data"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www.finance.gov.au/business/selling-government-procurement" TargetMode="External"/><Relationship Id="rId33" Type="http://schemas.openxmlformats.org/officeDocument/2006/relationships/hyperlink" Target="https://jobsearch.gov.au/" TargetMode="External"/><Relationship Id="rId38" Type="http://schemas.openxmlformats.org/officeDocument/2006/relationships/hyperlink" Target="https://www.niaa.gov.au/indigenous-affairs/employment/tailored-assistance-employment-grants" TargetMode="External"/><Relationship Id="rId46" Type="http://schemas.openxmlformats.org/officeDocument/2006/relationships/hyperlink" Target="https://www.niaa.gov.au/contact-us/regional-network-addresses" TargetMode="External"/><Relationship Id="rId59" Type="http://schemas.openxmlformats.org/officeDocument/2006/relationships/hyperlink" Target="https://www.creativespirits.info/aboriginalculture/selfdetermination/aboriginal-land-councils" TargetMode="External"/><Relationship Id="rId67" Type="http://schemas.openxmlformats.org/officeDocument/2006/relationships/hyperlink" Target="https://jobsearch.gov.au/serviceproviders" TargetMode="External"/><Relationship Id="rId20" Type="http://schemas.openxmlformats.org/officeDocument/2006/relationships/hyperlink" Target="mailto:indigenous.procurement@niaa.gov.au" TargetMode="External"/><Relationship Id="rId41" Type="http://schemas.openxmlformats.org/officeDocument/2006/relationships/hyperlink" Target="https://www.humanrights.gov.au/our-work/aboriginal-and-torres-strait-islander-social-justice/publications/targeted-recruitment" TargetMode="External"/><Relationship Id="rId54" Type="http://schemas.openxmlformats.org/officeDocument/2006/relationships/hyperlink" Target="https://www.niaa.gov.au/resource-centre/indigenous-affairs/united-nations-standard-products-and-service-codes" TargetMode="External"/><Relationship Id="rId62" Type="http://schemas.openxmlformats.org/officeDocument/2006/relationships/hyperlink" Target="https://www.reconciliation.org.au/" TargetMode="External"/><Relationship Id="rId70" Type="http://schemas.openxmlformats.org/officeDocument/2006/relationships/hyperlink" Target="https://www.dss.gov.au/our-responsibilities/disability-and-carers/programmes-services/disability-employment-services" TargetMode="External"/><Relationship Id="rId75" Type="http://schemas.openxmlformats.org/officeDocument/2006/relationships/hyperlink" Target="http://seqicc.com.au/"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2.png"/><Relationship Id="rId28" Type="http://schemas.openxmlformats.org/officeDocument/2006/relationships/hyperlink" Target="https://register.oric.gov.au/PrintCorporationSearch.aspx?state=SA" TargetMode="External"/><Relationship Id="rId36" Type="http://schemas.openxmlformats.org/officeDocument/2006/relationships/hyperlink" Target="https://www.niaa.gov.au/indigenous-affairs/employment/cdp" TargetMode="External"/><Relationship Id="rId49" Type="http://schemas.openxmlformats.org/officeDocument/2006/relationships/hyperlink" Target="https://www.niaa.gov.au/resource-centre/indigenous-affairs/welcome-pack-industry-contractors" TargetMode="External"/><Relationship Id="rId57" Type="http://schemas.openxmlformats.org/officeDocument/2006/relationships/hyperlink" Target="https://register.oric.gov.au/PrintCorporationSearch.aspx?state=SA" TargetMode="External"/><Relationship Id="rId10" Type="http://schemas.openxmlformats.org/officeDocument/2006/relationships/footnotes" Target="footnotes.xml"/><Relationship Id="rId31" Type="http://schemas.openxmlformats.org/officeDocument/2006/relationships/hyperlink" Target="https://www.niaa.gov.au/resource-centre/indigenous-affairs/indigenous-procurement-policy-model-clauses" TargetMode="External"/><Relationship Id="rId44" Type="http://schemas.openxmlformats.org/officeDocument/2006/relationships/hyperlink" Target="https://www.wf.org.au/programs/programs-employment/242-wirra-hub" TargetMode="External"/><Relationship Id="rId52" Type="http://schemas.openxmlformats.org/officeDocument/2006/relationships/hyperlink" Target="https://www.niaa.gov.au/ippcp" TargetMode="External"/><Relationship Id="rId60" Type="http://schemas.openxmlformats.org/officeDocument/2006/relationships/hyperlink" Target="https://supplynation.org.au/" TargetMode="External"/><Relationship Id="rId65" Type="http://schemas.openxmlformats.org/officeDocument/2006/relationships/hyperlink" Target="https://www.australianapprenticeships.gov.au/search-gto" TargetMode="External"/><Relationship Id="rId73" Type="http://schemas.openxmlformats.org/officeDocument/2006/relationships/hyperlink" Target="https://www.employment.gov.au/parentsnext" TargetMode="External"/><Relationship Id="rId78" Type="http://schemas.openxmlformats.org/officeDocument/2006/relationships/hyperlink" Target="http://www.mandurahhibc.com.au/" TargetMode="External"/><Relationship Id="rId81" Type="http://schemas.openxmlformats.org/officeDocument/2006/relationships/hyperlink" Target="https://jobsearch.gov.au/serviceproviders"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9805A-938C-4326-976C-888ACD4D5D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D98D5215-AD39-471A-BAA7-127F51D23B73}">
      <dgm:prSet phldrT="[Text]"/>
      <dgm:spPr>
        <a:xfrm>
          <a:off x="3577931" y="862130"/>
          <a:ext cx="1460003" cy="730001"/>
        </a:xfrm>
      </dgm:spPr>
      <dgm:t>
        <a:bodyPr/>
        <a:lstStyle/>
        <a:p>
          <a:r>
            <a:rPr lang="en-US">
              <a:latin typeface="Calibri"/>
              <a:ea typeface="+mn-ea"/>
              <a:cs typeface="+mn-cs"/>
            </a:rPr>
            <a:t> Guide One  </a:t>
          </a:r>
        </a:p>
        <a:p>
          <a:r>
            <a:rPr lang="en-US">
              <a:latin typeface="Calibri"/>
              <a:ea typeface="+mn-ea"/>
              <a:cs typeface="+mn-cs"/>
            </a:rPr>
            <a:t>Procuring officials and contract managers</a:t>
          </a:r>
        </a:p>
      </dgm:t>
    </dgm:pt>
    <dgm:pt modelId="{4A4B4A48-61FB-4467-91FF-C888CC7BEFA0}" type="parTrans" cxnId="{935E1EBC-5040-4096-A33B-A874E97198ED}">
      <dgm:prSet/>
      <dgm:spPr/>
      <dgm:t>
        <a:bodyPr/>
        <a:lstStyle/>
        <a:p>
          <a:endParaRPr lang="en-US"/>
        </a:p>
      </dgm:t>
    </dgm:pt>
    <dgm:pt modelId="{1D6B628E-8BB5-41CD-84FE-736D20D4A2E6}" type="sibTrans" cxnId="{935E1EBC-5040-4096-A33B-A874E97198ED}">
      <dgm:prSet/>
      <dgm:spPr/>
      <dgm:t>
        <a:bodyPr/>
        <a:lstStyle/>
        <a:p>
          <a:endParaRPr lang="en-US"/>
        </a:p>
      </dgm:t>
    </dgm:pt>
    <dgm:pt modelId="{10CB5D49-A460-47B0-A66F-268CB07A9DCD}">
      <dgm:prSet phldrT="[Text]"/>
      <dgm:spPr>
        <a:xfrm>
          <a:off x="998692" y="2235662"/>
          <a:ext cx="1460003" cy="730001"/>
        </a:xfrm>
        <a:prstGeom prst="roundRect">
          <a:avLst/>
        </a:prstGeom>
        <a:solidFill>
          <a:schemeClr val="accent2">
            <a:lumMod val="75000"/>
          </a:schemeClr>
        </a:solidFill>
      </dgm:spPr>
      <dgm:t>
        <a:bodyPr/>
        <a:lstStyle/>
        <a:p>
          <a:r>
            <a:rPr lang="en-US">
              <a:latin typeface="Calibri"/>
              <a:ea typeface="+mn-ea"/>
              <a:cs typeface="+mn-cs"/>
            </a:rPr>
            <a:t>Guide Two  </a:t>
          </a:r>
        </a:p>
        <a:p>
          <a:r>
            <a:rPr lang="en-US">
              <a:latin typeface="Calibri"/>
              <a:ea typeface="+mn-ea"/>
              <a:cs typeface="+mn-cs"/>
            </a:rPr>
            <a:t>Suppliers</a:t>
          </a:r>
        </a:p>
      </dgm:t>
    </dgm:pt>
    <dgm:pt modelId="{27F94A79-C59A-47F8-86D4-AFF8A2269D8A}" type="parTrans" cxnId="{610E4769-800D-4348-AE53-CF44661735EE}">
      <dgm:prSet/>
      <dgm:spPr/>
      <dgm:t>
        <a:bodyPr/>
        <a:lstStyle/>
        <a:p>
          <a:endParaRPr lang="en-US"/>
        </a:p>
      </dgm:t>
    </dgm:pt>
    <dgm:pt modelId="{2914F1B8-B784-4C94-B9AA-36EFFE6DFA89}" type="sibTrans" cxnId="{610E4769-800D-4348-AE53-CF44661735EE}">
      <dgm:prSet/>
      <dgm:spPr/>
      <dgm:t>
        <a:bodyPr/>
        <a:lstStyle/>
        <a:p>
          <a:endParaRPr lang="en-US"/>
        </a:p>
      </dgm:t>
    </dgm:pt>
    <dgm:pt modelId="{120B663E-CAF4-4C05-A360-FB0A5ECAD80C}">
      <dgm:prSet phldrT="[Text]"/>
      <dgm:spPr>
        <a:xfrm>
          <a:off x="715159" y="943771"/>
          <a:ext cx="1460003" cy="730001"/>
        </a:xfrm>
        <a:prstGeom prst="roundRect">
          <a:avLst/>
        </a:prstGeom>
      </dgm:spPr>
      <dgm:t>
        <a:bodyPr/>
        <a:lstStyle/>
        <a:p>
          <a:r>
            <a:rPr lang="en-US">
              <a:latin typeface="Calibri"/>
              <a:ea typeface="+mn-ea"/>
              <a:cs typeface="+mn-cs"/>
            </a:rPr>
            <a:t>Guide Four </a:t>
          </a:r>
        </a:p>
        <a:p>
          <a:r>
            <a:rPr lang="en-US">
              <a:latin typeface="Calibri"/>
              <a:ea typeface="+mn-ea"/>
              <a:cs typeface="+mn-cs"/>
            </a:rPr>
            <a:t>How to use the IPP Reporting Solution </a:t>
          </a:r>
        </a:p>
      </dgm:t>
    </dgm:pt>
    <dgm:pt modelId="{50BFA100-75FB-4BC2-95A9-B91056121207}" type="parTrans" cxnId="{68B3999D-FA90-43B7-B30D-17617DF45957}">
      <dgm:prSet/>
      <dgm:spPr/>
      <dgm:t>
        <a:bodyPr/>
        <a:lstStyle/>
        <a:p>
          <a:endParaRPr lang="en-US"/>
        </a:p>
      </dgm:t>
    </dgm:pt>
    <dgm:pt modelId="{86CAA13E-556D-4C53-A296-959E0E28194A}" type="sibTrans" cxnId="{68B3999D-FA90-43B7-B30D-17617DF45957}">
      <dgm:prSet/>
      <dgm:spPr/>
      <dgm:t>
        <a:bodyPr/>
        <a:lstStyle/>
        <a:p>
          <a:endParaRPr lang="en-US"/>
        </a:p>
      </dgm:t>
    </dgm:pt>
    <dgm:pt modelId="{58573704-6EB6-487C-8842-5DA9E7E5C048}">
      <dgm:prSet phldrT="[Text]"/>
      <dgm:spPr>
        <a:xfrm>
          <a:off x="998692" y="2235662"/>
          <a:ext cx="1460003" cy="730001"/>
        </a:xfrm>
      </dgm:spPr>
      <dgm:t>
        <a:bodyPr/>
        <a:lstStyle/>
        <a:p>
          <a:r>
            <a:rPr lang="en-US">
              <a:latin typeface="Calibri"/>
              <a:ea typeface="+mn-ea"/>
              <a:cs typeface="+mn-cs"/>
            </a:rPr>
            <a:t>Guide Three  </a:t>
          </a:r>
        </a:p>
        <a:p>
          <a:r>
            <a:rPr lang="en-US">
              <a:latin typeface="Calibri"/>
              <a:ea typeface="+mn-ea"/>
              <a:cs typeface="+mn-cs"/>
            </a:rPr>
            <a:t>Indigenous businesses</a:t>
          </a:r>
        </a:p>
      </dgm:t>
    </dgm:pt>
    <dgm:pt modelId="{9621CF69-A0B5-420A-871D-5E44FB88E7ED}" type="parTrans" cxnId="{6B7D4BE1-44F2-4EC2-85AC-066CB01EF23A}">
      <dgm:prSet/>
      <dgm:spPr/>
      <dgm:t>
        <a:bodyPr/>
        <a:lstStyle/>
        <a:p>
          <a:endParaRPr lang="en-US"/>
        </a:p>
      </dgm:t>
    </dgm:pt>
    <dgm:pt modelId="{F33A1F0A-8455-4D53-9968-158BBE1DAD87}" type="sibTrans" cxnId="{6B7D4BE1-44F2-4EC2-85AC-066CB01EF23A}">
      <dgm:prSet/>
      <dgm:spPr/>
      <dgm:t>
        <a:bodyPr/>
        <a:lstStyle/>
        <a:p>
          <a:endParaRPr lang="en-US"/>
        </a:p>
      </dgm:t>
    </dgm:pt>
    <dgm:pt modelId="{E4DC8F7B-4409-4AA1-8135-8B1F61E51459}">
      <dgm:prSet phldrT="[Text]"/>
      <dgm:spPr>
        <a:xfrm>
          <a:off x="715159" y="943771"/>
          <a:ext cx="1460003" cy="730001"/>
        </a:xfrm>
      </dgm:spPr>
      <dgm:t>
        <a:bodyPr/>
        <a:lstStyle/>
        <a:p>
          <a:r>
            <a:rPr lang="en-US">
              <a:latin typeface="Calibri"/>
              <a:ea typeface="+mn-ea"/>
              <a:cs typeface="+mn-cs"/>
            </a:rPr>
            <a:t>Guide Five</a:t>
          </a:r>
        </a:p>
        <a:p>
          <a:r>
            <a:rPr lang="en-US">
              <a:latin typeface="Calibri"/>
              <a:ea typeface="+mn-ea"/>
              <a:cs typeface="+mn-cs"/>
            </a:rPr>
            <a:t>Model Clauses</a:t>
          </a:r>
        </a:p>
      </dgm:t>
    </dgm:pt>
    <dgm:pt modelId="{8AADE027-81D3-459F-A21E-D6A5D61177D8}" type="parTrans" cxnId="{A94D6996-C569-4117-AF26-6BB4232EBFCF}">
      <dgm:prSet/>
      <dgm:spPr/>
      <dgm:t>
        <a:bodyPr/>
        <a:lstStyle/>
        <a:p>
          <a:endParaRPr lang="en-US"/>
        </a:p>
      </dgm:t>
    </dgm:pt>
    <dgm:pt modelId="{5DDF9A9D-CFB4-492C-BF61-F21C070C267F}" type="sibTrans" cxnId="{A94D6996-C569-4117-AF26-6BB4232EBFCF}">
      <dgm:prSet/>
      <dgm:spPr/>
      <dgm:t>
        <a:bodyPr/>
        <a:lstStyle/>
        <a:p>
          <a:endParaRPr lang="en-US"/>
        </a:p>
      </dgm:t>
    </dgm:pt>
    <dgm:pt modelId="{59D4B4E1-2B52-494D-8FE5-11814291173E}" type="pres">
      <dgm:prSet presAssocID="{0689805A-938C-4326-976C-888ACD4D5DDD}" presName="Name0" presStyleCnt="0">
        <dgm:presLayoutVars>
          <dgm:dir/>
          <dgm:resizeHandles val="exact"/>
        </dgm:presLayoutVars>
      </dgm:prSet>
      <dgm:spPr/>
      <dgm:t>
        <a:bodyPr/>
        <a:lstStyle/>
        <a:p>
          <a:endParaRPr lang="en-US"/>
        </a:p>
      </dgm:t>
    </dgm:pt>
    <dgm:pt modelId="{E30F4276-C982-4C4F-B20A-11F6D4D45A7B}" type="pres">
      <dgm:prSet presAssocID="{0689805A-938C-4326-976C-888ACD4D5DDD}" presName="cycle" presStyleCnt="0"/>
      <dgm:spPr/>
      <dgm:t>
        <a:bodyPr/>
        <a:lstStyle/>
        <a:p>
          <a:endParaRPr lang="en-US"/>
        </a:p>
      </dgm:t>
    </dgm:pt>
    <dgm:pt modelId="{397BEDA2-3085-433E-B7F7-3E6E67FFC9E4}" type="pres">
      <dgm:prSet presAssocID="{D98D5215-AD39-471A-BAA7-127F51D23B73}" presName="nodeFirstNode" presStyleLbl="node1" presStyleIdx="0" presStyleCnt="5" custScaleX="109647" custScaleY="89383">
        <dgm:presLayoutVars>
          <dgm:bulletEnabled val="1"/>
        </dgm:presLayoutVars>
      </dgm:prSet>
      <dgm:spPr>
        <a:prstGeom prst="roundRect">
          <a:avLst/>
        </a:prstGeom>
      </dgm:spPr>
      <dgm:t>
        <a:bodyPr/>
        <a:lstStyle/>
        <a:p>
          <a:endParaRPr lang="en-US"/>
        </a:p>
      </dgm:t>
    </dgm:pt>
    <dgm:pt modelId="{8A718670-6B99-47B7-8B0D-8AD5ADB4078B}" type="pres">
      <dgm:prSet presAssocID="{1D6B628E-8BB5-41CD-84FE-736D20D4A2E6}" presName="sibTransFirstNode" presStyleLbl="bgShp" presStyleIdx="0" presStyleCnt="1" custLinFactNeighborX="3422" custLinFactNeighborY="5059"/>
      <dgm:spPr/>
      <dgm:t>
        <a:bodyPr/>
        <a:lstStyle/>
        <a:p>
          <a:endParaRPr lang="en-US"/>
        </a:p>
      </dgm:t>
    </dgm:pt>
    <dgm:pt modelId="{48CA1E23-70A2-46BA-8B32-6002D93C323C}" type="pres">
      <dgm:prSet presAssocID="{10CB5D49-A460-47B0-A66F-268CB07A9DCD}" presName="nodeFollowingNodes" presStyleLbl="node1" presStyleIdx="1" presStyleCnt="5" custScaleX="119057" custScaleY="92162" custRadScaleRad="95622" custRadScaleInc="-2153">
        <dgm:presLayoutVars>
          <dgm:bulletEnabled val="1"/>
        </dgm:presLayoutVars>
      </dgm:prSet>
      <dgm:spPr/>
      <dgm:t>
        <a:bodyPr/>
        <a:lstStyle/>
        <a:p>
          <a:endParaRPr lang="en-US"/>
        </a:p>
      </dgm:t>
    </dgm:pt>
    <dgm:pt modelId="{8EEC7D07-4029-4A1C-BA29-A3D114DEFA6A}" type="pres">
      <dgm:prSet presAssocID="{120B663E-CAF4-4C05-A360-FB0A5ECAD80C}" presName="nodeFollowingNodes" presStyleLbl="node1" presStyleIdx="2" presStyleCnt="5" custScaleX="125695" custScaleY="88661" custRadScaleRad="81724" custRadScaleInc="163859">
        <dgm:presLayoutVars>
          <dgm:bulletEnabled val="1"/>
        </dgm:presLayoutVars>
      </dgm:prSet>
      <dgm:spPr/>
      <dgm:t>
        <a:bodyPr/>
        <a:lstStyle/>
        <a:p>
          <a:endParaRPr lang="en-US"/>
        </a:p>
      </dgm:t>
    </dgm:pt>
    <dgm:pt modelId="{A9F63C37-AEC4-423F-9CA2-424299DDE128}" type="pres">
      <dgm:prSet presAssocID="{58573704-6EB6-487C-8842-5DA9E7E5C048}" presName="nodeFollowingNodes" presStyleLbl="node1" presStyleIdx="3" presStyleCnt="5" custScaleX="114399" custScaleY="95805" custRadScaleRad="104616" custRadScaleInc="-176533">
        <dgm:presLayoutVars>
          <dgm:bulletEnabled val="1"/>
        </dgm:presLayoutVars>
      </dgm:prSet>
      <dgm:spPr>
        <a:prstGeom prst="roundRect">
          <a:avLst/>
        </a:prstGeom>
      </dgm:spPr>
      <dgm:t>
        <a:bodyPr/>
        <a:lstStyle/>
        <a:p>
          <a:endParaRPr lang="en-US"/>
        </a:p>
      </dgm:t>
    </dgm:pt>
    <dgm:pt modelId="{1641C589-27C8-415D-A822-60CE6875E3BA}" type="pres">
      <dgm:prSet presAssocID="{E4DC8F7B-4409-4AA1-8135-8B1F61E51459}" presName="nodeFollowingNodes" presStyleLbl="node1" presStyleIdx="4" presStyleCnt="5" custScaleX="130003" custScaleY="95219" custRadScaleRad="83386" custRadScaleInc="5104">
        <dgm:presLayoutVars>
          <dgm:bulletEnabled val="1"/>
        </dgm:presLayoutVars>
      </dgm:prSet>
      <dgm:spPr>
        <a:prstGeom prst="roundRect">
          <a:avLst/>
        </a:prstGeom>
      </dgm:spPr>
      <dgm:t>
        <a:bodyPr/>
        <a:lstStyle/>
        <a:p>
          <a:endParaRPr lang="en-US"/>
        </a:p>
      </dgm:t>
    </dgm:pt>
  </dgm:ptLst>
  <dgm:cxnLst>
    <dgm:cxn modelId="{59474664-0B4D-4BE8-95A5-A9C90F3C3996}" type="presOf" srcId="{58573704-6EB6-487C-8842-5DA9E7E5C048}" destId="{A9F63C37-AEC4-423F-9CA2-424299DDE128}" srcOrd="0" destOrd="0" presId="urn:microsoft.com/office/officeart/2005/8/layout/cycle3"/>
    <dgm:cxn modelId="{3E89048B-6DB7-4304-B5FA-C41EB7E97D27}" type="presOf" srcId="{1D6B628E-8BB5-41CD-84FE-736D20D4A2E6}" destId="{8A718670-6B99-47B7-8B0D-8AD5ADB4078B}" srcOrd="0" destOrd="0" presId="urn:microsoft.com/office/officeart/2005/8/layout/cycle3"/>
    <dgm:cxn modelId="{A94D6996-C569-4117-AF26-6BB4232EBFCF}" srcId="{0689805A-938C-4326-976C-888ACD4D5DDD}" destId="{E4DC8F7B-4409-4AA1-8135-8B1F61E51459}" srcOrd="4" destOrd="0" parTransId="{8AADE027-81D3-459F-A21E-D6A5D61177D8}" sibTransId="{5DDF9A9D-CFB4-492C-BF61-F21C070C267F}"/>
    <dgm:cxn modelId="{935E1EBC-5040-4096-A33B-A874E97198ED}" srcId="{0689805A-938C-4326-976C-888ACD4D5DDD}" destId="{D98D5215-AD39-471A-BAA7-127F51D23B73}" srcOrd="0" destOrd="0" parTransId="{4A4B4A48-61FB-4467-91FF-C888CC7BEFA0}" sibTransId="{1D6B628E-8BB5-41CD-84FE-736D20D4A2E6}"/>
    <dgm:cxn modelId="{610E4769-800D-4348-AE53-CF44661735EE}" srcId="{0689805A-938C-4326-976C-888ACD4D5DDD}" destId="{10CB5D49-A460-47B0-A66F-268CB07A9DCD}" srcOrd="1" destOrd="0" parTransId="{27F94A79-C59A-47F8-86D4-AFF8A2269D8A}" sibTransId="{2914F1B8-B784-4C94-B9AA-36EFFE6DFA89}"/>
    <dgm:cxn modelId="{BC006D69-5032-4529-9306-4B35A823565F}" type="presOf" srcId="{E4DC8F7B-4409-4AA1-8135-8B1F61E51459}" destId="{1641C589-27C8-415D-A822-60CE6875E3BA}" srcOrd="0" destOrd="0" presId="urn:microsoft.com/office/officeart/2005/8/layout/cycle3"/>
    <dgm:cxn modelId="{ACD30226-653B-4BF3-8FB1-89EF7EF886EE}" type="presOf" srcId="{0689805A-938C-4326-976C-888ACD4D5DDD}" destId="{59D4B4E1-2B52-494D-8FE5-11814291173E}" srcOrd="0" destOrd="0" presId="urn:microsoft.com/office/officeart/2005/8/layout/cycle3"/>
    <dgm:cxn modelId="{6B7D4BE1-44F2-4EC2-85AC-066CB01EF23A}" srcId="{0689805A-938C-4326-976C-888ACD4D5DDD}" destId="{58573704-6EB6-487C-8842-5DA9E7E5C048}" srcOrd="3" destOrd="0" parTransId="{9621CF69-A0B5-420A-871D-5E44FB88E7ED}" sibTransId="{F33A1F0A-8455-4D53-9968-158BBE1DAD87}"/>
    <dgm:cxn modelId="{6414B575-C505-4C79-8237-2CA2FF0D39DF}" type="presOf" srcId="{D98D5215-AD39-471A-BAA7-127F51D23B73}" destId="{397BEDA2-3085-433E-B7F7-3E6E67FFC9E4}" srcOrd="0" destOrd="0" presId="urn:microsoft.com/office/officeart/2005/8/layout/cycle3"/>
    <dgm:cxn modelId="{ECE4518C-EE8A-4F8C-9D9D-9402C7A3284E}" type="presOf" srcId="{10CB5D49-A460-47B0-A66F-268CB07A9DCD}" destId="{48CA1E23-70A2-46BA-8B32-6002D93C323C}" srcOrd="0" destOrd="0" presId="urn:microsoft.com/office/officeart/2005/8/layout/cycle3"/>
    <dgm:cxn modelId="{2F1FE40C-F9C5-470D-B5E9-FC851C0DAC1E}" type="presOf" srcId="{120B663E-CAF4-4C05-A360-FB0A5ECAD80C}" destId="{8EEC7D07-4029-4A1C-BA29-A3D114DEFA6A}" srcOrd="0" destOrd="0" presId="urn:microsoft.com/office/officeart/2005/8/layout/cycle3"/>
    <dgm:cxn modelId="{68B3999D-FA90-43B7-B30D-17617DF45957}" srcId="{0689805A-938C-4326-976C-888ACD4D5DDD}" destId="{120B663E-CAF4-4C05-A360-FB0A5ECAD80C}" srcOrd="2" destOrd="0" parTransId="{50BFA100-75FB-4BC2-95A9-B91056121207}" sibTransId="{86CAA13E-556D-4C53-A296-959E0E28194A}"/>
    <dgm:cxn modelId="{84C4EF3B-9D5B-4B23-8E86-4E21E3738723}" type="presParOf" srcId="{59D4B4E1-2B52-494D-8FE5-11814291173E}" destId="{E30F4276-C982-4C4F-B20A-11F6D4D45A7B}" srcOrd="0" destOrd="0" presId="urn:microsoft.com/office/officeart/2005/8/layout/cycle3"/>
    <dgm:cxn modelId="{DC32685C-1D1B-4D6F-9670-EB4AD2F300B0}" type="presParOf" srcId="{E30F4276-C982-4C4F-B20A-11F6D4D45A7B}" destId="{397BEDA2-3085-433E-B7F7-3E6E67FFC9E4}" srcOrd="0" destOrd="0" presId="urn:microsoft.com/office/officeart/2005/8/layout/cycle3"/>
    <dgm:cxn modelId="{E6EF6566-9C41-443A-92C9-F25FB7C0A3A6}" type="presParOf" srcId="{E30F4276-C982-4C4F-B20A-11F6D4D45A7B}" destId="{8A718670-6B99-47B7-8B0D-8AD5ADB4078B}" srcOrd="1" destOrd="0" presId="urn:microsoft.com/office/officeart/2005/8/layout/cycle3"/>
    <dgm:cxn modelId="{6B3ED46F-245B-4A63-8639-AC1B4AA88AE1}" type="presParOf" srcId="{E30F4276-C982-4C4F-B20A-11F6D4D45A7B}" destId="{48CA1E23-70A2-46BA-8B32-6002D93C323C}" srcOrd="2" destOrd="0" presId="urn:microsoft.com/office/officeart/2005/8/layout/cycle3"/>
    <dgm:cxn modelId="{249864D7-6118-4867-9FBF-AF3DDDDEB79B}" type="presParOf" srcId="{E30F4276-C982-4C4F-B20A-11F6D4D45A7B}" destId="{8EEC7D07-4029-4A1C-BA29-A3D114DEFA6A}" srcOrd="3" destOrd="0" presId="urn:microsoft.com/office/officeart/2005/8/layout/cycle3"/>
    <dgm:cxn modelId="{8A0DAAAF-0D5F-42A0-97C6-9CEE708F2376}" type="presParOf" srcId="{E30F4276-C982-4C4F-B20A-11F6D4D45A7B}" destId="{A9F63C37-AEC4-423F-9CA2-424299DDE128}" srcOrd="4" destOrd="0" presId="urn:microsoft.com/office/officeart/2005/8/layout/cycle3"/>
    <dgm:cxn modelId="{B65AFA07-43DA-4B65-8716-6A2E868E758D}" type="presParOf" srcId="{E30F4276-C982-4C4F-B20A-11F6D4D45A7B}" destId="{1641C589-27C8-415D-A822-60CE6875E3BA}"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18670-6B99-47B7-8B0D-8AD5ADB4078B}">
      <dsp:nvSpPr>
        <dsp:cNvPr id="0" name=""/>
        <dsp:cNvSpPr/>
      </dsp:nvSpPr>
      <dsp:spPr>
        <a:xfrm>
          <a:off x="1292402" y="87837"/>
          <a:ext cx="3200546" cy="3200546"/>
        </a:xfrm>
        <a:prstGeom prst="circularArrow">
          <a:avLst>
            <a:gd name="adj1" fmla="val 5544"/>
            <a:gd name="adj2" fmla="val 330680"/>
            <a:gd name="adj3" fmla="val 13615885"/>
            <a:gd name="adj4" fmla="val 17484153"/>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7BEDA2-3085-433E-B7F7-3E6E67FFC9E4}">
      <dsp:nvSpPr>
        <dsp:cNvPr id="0" name=""/>
        <dsp:cNvSpPr/>
      </dsp:nvSpPr>
      <dsp:spPr>
        <a:xfrm>
          <a:off x="1982727" y="27722"/>
          <a:ext cx="1600850" cy="6524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 Guide One  </a:t>
          </a:r>
        </a:p>
        <a:p>
          <a:pPr lvl="0" algn="ctr" defTabSz="444500">
            <a:lnSpc>
              <a:spcPct val="90000"/>
            </a:lnSpc>
            <a:spcBef>
              <a:spcPct val="0"/>
            </a:spcBef>
            <a:spcAft>
              <a:spcPct val="35000"/>
            </a:spcAft>
          </a:pPr>
          <a:r>
            <a:rPr lang="en-US" sz="1000" kern="1200">
              <a:latin typeface="Calibri"/>
              <a:ea typeface="+mn-ea"/>
              <a:cs typeface="+mn-cs"/>
            </a:rPr>
            <a:t>Procuring officials and contract managers</a:t>
          </a:r>
        </a:p>
      </dsp:txBody>
      <dsp:txXfrm>
        <a:off x="2014579" y="59574"/>
        <a:ext cx="1537146" cy="588793"/>
      </dsp:txXfrm>
    </dsp:sp>
    <dsp:sp modelId="{48CA1E23-70A2-46BA-8B32-6002D93C323C}">
      <dsp:nvSpPr>
        <dsp:cNvPr id="0" name=""/>
        <dsp:cNvSpPr/>
      </dsp:nvSpPr>
      <dsp:spPr>
        <a:xfrm>
          <a:off x="3145837" y="951244"/>
          <a:ext cx="1738236" cy="672784"/>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Guide Two  </a:t>
          </a:r>
        </a:p>
        <a:p>
          <a:pPr lvl="0" algn="ctr" defTabSz="444500">
            <a:lnSpc>
              <a:spcPct val="90000"/>
            </a:lnSpc>
            <a:spcBef>
              <a:spcPct val="0"/>
            </a:spcBef>
            <a:spcAft>
              <a:spcPct val="35000"/>
            </a:spcAft>
          </a:pPr>
          <a:r>
            <a:rPr lang="en-US" sz="1000" kern="1200">
              <a:latin typeface="Calibri"/>
              <a:ea typeface="+mn-ea"/>
              <a:cs typeface="+mn-cs"/>
            </a:rPr>
            <a:t>Suppliers</a:t>
          </a:r>
        </a:p>
      </dsp:txBody>
      <dsp:txXfrm>
        <a:off x="3178680" y="984087"/>
        <a:ext cx="1672550" cy="607098"/>
      </dsp:txXfrm>
    </dsp:sp>
    <dsp:sp modelId="{8EEC7D07-4029-4A1C-BA29-A3D114DEFA6A}">
      <dsp:nvSpPr>
        <dsp:cNvPr id="0" name=""/>
        <dsp:cNvSpPr/>
      </dsp:nvSpPr>
      <dsp:spPr>
        <a:xfrm>
          <a:off x="877869" y="1913416"/>
          <a:ext cx="1835151" cy="6472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Guide Four </a:t>
          </a:r>
        </a:p>
        <a:p>
          <a:pPr lvl="0" algn="ctr" defTabSz="444500">
            <a:lnSpc>
              <a:spcPct val="90000"/>
            </a:lnSpc>
            <a:spcBef>
              <a:spcPct val="0"/>
            </a:spcBef>
            <a:spcAft>
              <a:spcPct val="35000"/>
            </a:spcAft>
          </a:pPr>
          <a:r>
            <a:rPr lang="en-US" sz="1000" kern="1200">
              <a:latin typeface="Calibri"/>
              <a:ea typeface="+mn-ea"/>
              <a:cs typeface="+mn-cs"/>
            </a:rPr>
            <a:t>How to use the IPP Reporting Solution </a:t>
          </a:r>
        </a:p>
      </dsp:txBody>
      <dsp:txXfrm>
        <a:off x="909464" y="1945011"/>
        <a:ext cx="1771961" cy="584037"/>
      </dsp:txXfrm>
    </dsp:sp>
    <dsp:sp modelId="{A9F63C37-AEC4-423F-9CA2-424299DDE128}">
      <dsp:nvSpPr>
        <dsp:cNvPr id="0" name=""/>
        <dsp:cNvSpPr/>
      </dsp:nvSpPr>
      <dsp:spPr>
        <a:xfrm>
          <a:off x="3289083" y="1859348"/>
          <a:ext cx="1670229" cy="699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Guide Three  </a:t>
          </a:r>
        </a:p>
        <a:p>
          <a:pPr lvl="0" algn="ctr" defTabSz="444500">
            <a:lnSpc>
              <a:spcPct val="90000"/>
            </a:lnSpc>
            <a:spcBef>
              <a:spcPct val="0"/>
            </a:spcBef>
            <a:spcAft>
              <a:spcPct val="35000"/>
            </a:spcAft>
          </a:pPr>
          <a:r>
            <a:rPr lang="en-US" sz="1000" kern="1200">
              <a:latin typeface="Calibri"/>
              <a:ea typeface="+mn-ea"/>
              <a:cs typeface="+mn-cs"/>
            </a:rPr>
            <a:t>Indigenous businesses</a:t>
          </a:r>
        </a:p>
      </dsp:txBody>
      <dsp:txXfrm>
        <a:off x="3323224" y="1893489"/>
        <a:ext cx="1601947" cy="631096"/>
      </dsp:txXfrm>
    </dsp:sp>
    <dsp:sp modelId="{1641C589-27C8-415D-A822-60CE6875E3BA}">
      <dsp:nvSpPr>
        <dsp:cNvPr id="0" name=""/>
        <dsp:cNvSpPr/>
      </dsp:nvSpPr>
      <dsp:spPr>
        <a:xfrm>
          <a:off x="772080" y="962250"/>
          <a:ext cx="1898048" cy="6951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Guide Five</a:t>
          </a:r>
        </a:p>
        <a:p>
          <a:pPr lvl="0" algn="ctr" defTabSz="444500">
            <a:lnSpc>
              <a:spcPct val="90000"/>
            </a:lnSpc>
            <a:spcBef>
              <a:spcPct val="0"/>
            </a:spcBef>
            <a:spcAft>
              <a:spcPct val="35000"/>
            </a:spcAft>
          </a:pPr>
          <a:r>
            <a:rPr lang="en-US" sz="1000" kern="1200">
              <a:latin typeface="Calibri"/>
              <a:ea typeface="+mn-ea"/>
              <a:cs typeface="+mn-cs"/>
            </a:rPr>
            <a:t>Model Clauses</a:t>
          </a:r>
        </a:p>
      </dsp:txBody>
      <dsp:txXfrm>
        <a:off x="806012" y="996182"/>
        <a:ext cx="1830184" cy="62723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D2ADE5D5634C579305F0C46FB2BD14"/>
        <w:category>
          <w:name w:val="General"/>
          <w:gallery w:val="placeholder"/>
        </w:category>
        <w:types>
          <w:type w:val="bbPlcHdr"/>
        </w:types>
        <w:behaviors>
          <w:behavior w:val="content"/>
        </w:behaviors>
        <w:guid w:val="{46BF5819-FB47-4689-97B1-0C3A993386ED}"/>
      </w:docPartPr>
      <w:docPartBody>
        <w:p w:rsidR="0068385F" w:rsidRDefault="00354FEE">
          <w:pPr>
            <w:pStyle w:val="AFD2ADE5D5634C579305F0C46FB2BD14"/>
          </w:pPr>
          <w:r w:rsidRPr="00BC24CA">
            <w:rPr>
              <w:sz w:val="16"/>
              <w:szCs w:val="16"/>
            </w:rPr>
            <w:t>[Section Name]</w:t>
          </w:r>
        </w:p>
      </w:docPartBody>
    </w:docPart>
    <w:docPart>
      <w:docPartPr>
        <w:name w:val="6DD8806ADB6C42D8921B21EEFCFAFF99"/>
        <w:category>
          <w:name w:val="General"/>
          <w:gallery w:val="placeholder"/>
        </w:category>
        <w:types>
          <w:type w:val="bbPlcHdr"/>
        </w:types>
        <w:behaviors>
          <w:behavior w:val="content"/>
        </w:behaviors>
        <w:guid w:val="{53EF588B-5C8E-45D3-AE49-F405AEB5C122}"/>
      </w:docPartPr>
      <w:docPartBody>
        <w:p w:rsidR="00CC02FA" w:rsidRDefault="00CC02FA" w:rsidP="00CC02FA">
          <w:pPr>
            <w:pStyle w:val="6DD8806ADB6C42D8921B21EEFCFAFF99"/>
          </w:pPr>
          <w:r w:rsidRPr="005A0DE7">
            <w:rPr>
              <w:color w:val="5B9BD5" w:themeColor="accent1"/>
              <w:sz w:val="16"/>
              <w:szCs w:val="16"/>
            </w:rPr>
            <w:t>[Section Name]</w:t>
          </w:r>
        </w:p>
      </w:docPartBody>
    </w:docPart>
    <w:docPart>
      <w:docPartPr>
        <w:name w:val="3EBDB57F0F5744B2AE153DB3B369BB14"/>
        <w:category>
          <w:name w:val="General"/>
          <w:gallery w:val="placeholder"/>
        </w:category>
        <w:types>
          <w:type w:val="bbPlcHdr"/>
        </w:types>
        <w:behaviors>
          <w:behavior w:val="content"/>
        </w:behaviors>
        <w:guid w:val="{0B944E6B-316A-4A53-A7D3-B1DD349AC32E}"/>
      </w:docPartPr>
      <w:docPartBody>
        <w:p w:rsidR="00CC02FA" w:rsidRDefault="00CC02FA" w:rsidP="00CC02FA">
          <w:pPr>
            <w:pStyle w:val="3EBDB57F0F5744B2AE153DB3B369BB14"/>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EE"/>
    <w:rsid w:val="00027622"/>
    <w:rsid w:val="00063AC7"/>
    <w:rsid w:val="000C344F"/>
    <w:rsid w:val="00222591"/>
    <w:rsid w:val="00283A83"/>
    <w:rsid w:val="002B2532"/>
    <w:rsid w:val="002E2386"/>
    <w:rsid w:val="00354FEE"/>
    <w:rsid w:val="003D5766"/>
    <w:rsid w:val="003D7EB7"/>
    <w:rsid w:val="003F389D"/>
    <w:rsid w:val="00425867"/>
    <w:rsid w:val="00452963"/>
    <w:rsid w:val="00456703"/>
    <w:rsid w:val="00472B1F"/>
    <w:rsid w:val="004D7C6A"/>
    <w:rsid w:val="00507983"/>
    <w:rsid w:val="00515639"/>
    <w:rsid w:val="00553109"/>
    <w:rsid w:val="005943A4"/>
    <w:rsid w:val="005B5EA4"/>
    <w:rsid w:val="0068385F"/>
    <w:rsid w:val="006B1EB1"/>
    <w:rsid w:val="00771E76"/>
    <w:rsid w:val="008D386A"/>
    <w:rsid w:val="008F1635"/>
    <w:rsid w:val="00986414"/>
    <w:rsid w:val="00AE7D03"/>
    <w:rsid w:val="00AF3AC3"/>
    <w:rsid w:val="00B77017"/>
    <w:rsid w:val="00C875B3"/>
    <w:rsid w:val="00CC02FA"/>
    <w:rsid w:val="00D4035D"/>
    <w:rsid w:val="00D55B2C"/>
    <w:rsid w:val="00D61AD0"/>
    <w:rsid w:val="00D636E0"/>
    <w:rsid w:val="00DA3504"/>
    <w:rsid w:val="00E01832"/>
    <w:rsid w:val="00E8038C"/>
    <w:rsid w:val="00F90494"/>
    <w:rsid w:val="00FC7D93"/>
    <w:rsid w:val="00FD6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2ADE5D5634C579305F0C46FB2BD14">
    <w:name w:val="AFD2ADE5D5634C579305F0C46FB2BD14"/>
  </w:style>
  <w:style w:type="paragraph" w:customStyle="1" w:styleId="64ECB1877BB14627B8D594D18508B5F6">
    <w:name w:val="64ECB1877BB14627B8D594D18508B5F6"/>
  </w:style>
  <w:style w:type="paragraph" w:customStyle="1" w:styleId="084810F9D0D84F70BC13374EB6E30B7E">
    <w:name w:val="084810F9D0D84F70BC13374EB6E30B7E"/>
  </w:style>
  <w:style w:type="paragraph" w:customStyle="1" w:styleId="72096C4C56D84A97AAC18B09E80B2A42">
    <w:name w:val="72096C4C56D84A97AAC18B09E80B2A42"/>
  </w:style>
  <w:style w:type="paragraph" w:customStyle="1" w:styleId="6DD8806ADB6C42D8921B21EEFCFAFF99">
    <w:name w:val="6DD8806ADB6C42D8921B21EEFCFAFF99"/>
    <w:rsid w:val="00CC02FA"/>
  </w:style>
  <w:style w:type="paragraph" w:customStyle="1" w:styleId="3EBDB57F0F5744B2AE153DB3B369BB14">
    <w:name w:val="3EBDB57F0F5744B2AE153DB3B369BB14"/>
    <w:rsid w:val="00CC0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DOC20-192347</ShareHubID>
    <TaxCatchAll xmlns="166541c0-0594-4e6a-9105-c24d4b6de6f7">
      <Value>29</Value>
      <Value>57</Value>
      <Value>28</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s>
    </hc4a8f51d7584793bcee84017ea96cb3>
    <PMCNotes xmlns="166541c0-0594-4e6a-9105-c24d4b6de6f7"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Guide 2 | Suppliers</SectionName>
  <DH/>
  <Byline>A guide for TeBusinesses – Guide 3</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D778E480-692A-468D-836A-F2E2A34D1B1A}">
  <ds:schemaRefs>
    <ds:schemaRef ds:uri="http://purl.org/dc/elements/1.1/"/>
    <ds:schemaRef ds:uri="http://schemas.microsoft.com/office/2006/metadata/properties"/>
    <ds:schemaRef ds:uri="http://purl.org/dc/terms/"/>
    <ds:schemaRef ds:uri="166541c0-0594-4e6a-9105-c24d4b6de6f7"/>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85f9fda-bd71-4433-b331-92feb9553089"/>
    <ds:schemaRef ds:uri="http://www.w3.org/XML/1998/namespace"/>
  </ds:schemaRefs>
</ds:datastoreItem>
</file>

<file path=customXml/itemProps2.xml><?xml version="1.0" encoding="utf-8"?>
<ds:datastoreItem xmlns:ds="http://schemas.openxmlformats.org/officeDocument/2006/customXml" ds:itemID="{31A3B108-C42F-48AA-8307-08F6BBF8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393A978E-04F0-47EF-ADC4-CD7F1BE188AF}">
  <ds:schemaRefs>
    <ds:schemaRef ds:uri="http://schemas.microsoft.com/sharepoint/v3/contenttype/forms"/>
  </ds:schemaRefs>
</ds:datastoreItem>
</file>

<file path=customXml/itemProps5.xml><?xml version="1.0" encoding="utf-8"?>
<ds:datastoreItem xmlns:ds="http://schemas.openxmlformats.org/officeDocument/2006/customXml" ds:itemID="{74863454-B0BC-4EBD-A612-BEF02581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11106</Words>
  <Characters>63306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Guide 2: Potential Suppliers</vt:lpstr>
    </vt:vector>
  </TitlesOfParts>
  <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2: Potential Suppliers</dc:title>
  <dc:subject/>
  <dc:creator/>
  <cp:keywords/>
  <dc:description/>
  <cp:lastModifiedBy/>
  <cp:revision>1</cp:revision>
  <dcterms:created xsi:type="dcterms:W3CDTF">2020-08-03T01:22:00Z</dcterms:created>
  <dcterms:modified xsi:type="dcterms:W3CDTF">2020-08-03T02:48:00Z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29;#Training|2f396fb6-baad-479d-8254-1550153bbe31;#28;#ORIC|d151c637-14dd-4e1a-a8c5-ebf2e3d90de4</vt:lpwstr>
  </property>
  <property fmtid="{D5CDD505-2E9C-101B-9397-08002B2CF9AE}" pid="5" name="PMC.ESearch.TagGeneratedTime">
    <vt:lpwstr>2020-07-14T11:33:36</vt:lpwstr>
  </property>
  <property fmtid="{D5CDD505-2E9C-101B-9397-08002B2CF9AE}" pid="6" name="HPRMSecurityCaveat">
    <vt:lpwstr/>
  </property>
</Properties>
</file>