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DDB29" w14:textId="6592B5D3" w:rsidR="006E59BA" w:rsidRPr="0052541C" w:rsidRDefault="002148FC" w:rsidP="0052541C">
      <w:pPr>
        <w:pStyle w:val="Heading1"/>
      </w:pPr>
      <w:sdt>
        <w:sdtPr>
          <w:alias w:val="Classification"/>
          <w:tag w:val="Classification"/>
          <w:id w:val="-521240474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8B374C" w:rsidRPr="0052541C">
            <w:t xml:space="preserve">     </w:t>
          </w:r>
        </w:sdtContent>
      </w:sdt>
      <w:r w:rsidR="0040648D" w:rsidRPr="0052541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E4CFA57" wp14:editId="6A2CD5B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2AA901ED2B3C473AAB66EF1E022B44E7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74FFEB13" w14:textId="77777777" w:rsidR="0040648D" w:rsidRPr="00C91A83" w:rsidRDefault="004C0446" w:rsidP="0040648D">
                                <w:pPr>
                                  <w:pStyle w:val="SectionNameRev"/>
                                </w:pPr>
                                <w:r>
                                  <w:t xml:space="preserve">Indigenous Procurement Policy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CFA5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0;margin-top:0;width:595.1pt;height:65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2AA901ED2B3C473AAB66EF1E022B44E7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74FFEB13" w14:textId="77777777" w:rsidR="0040648D" w:rsidRPr="00C91A83" w:rsidRDefault="004C0446" w:rsidP="0040648D">
                          <w:pPr>
                            <w:pStyle w:val="SectionNameRev"/>
                          </w:pPr>
                          <w:r>
                            <w:t xml:space="preserve">Indigenous Procurement Policy 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E59BA" w:rsidRPr="0052541C">
        <w:t>Mandatory Minimum Indigenous Participation Requirements (MMR</w:t>
      </w:r>
      <w:r w:rsidR="00112C5D" w:rsidRPr="0052541C">
        <w:t>s</w:t>
      </w:r>
      <w:r w:rsidR="006E59BA" w:rsidRPr="0052541C">
        <w:t>)</w:t>
      </w:r>
    </w:p>
    <w:p w14:paraId="088D88B8" w14:textId="77777777" w:rsidR="006E59BA" w:rsidRPr="0052541C" w:rsidRDefault="006E59BA" w:rsidP="0052541C">
      <w:pPr>
        <w:pStyle w:val="Heading2"/>
      </w:pPr>
      <w:r w:rsidRPr="0052541C">
        <w:t>Indigenous Procurement Policy</w:t>
      </w:r>
    </w:p>
    <w:p w14:paraId="38C29FA2" w14:textId="5BFBC82B" w:rsidR="002E1604" w:rsidRPr="00C15B7C" w:rsidRDefault="00D367D9" w:rsidP="006E59BA">
      <w:pPr>
        <w:pStyle w:val="BodyText"/>
        <w:widowControl w:val="0"/>
        <w:tabs>
          <w:tab w:val="left" w:pos="681"/>
        </w:tabs>
        <w:spacing w:before="128" w:after="0" w:line="240" w:lineRule="auto"/>
        <w:rPr>
          <w:rFonts w:ascii="Century Gothic"/>
          <w:b/>
          <w:color w:val="1A2C39"/>
        </w:rPr>
        <w:sectPr w:rsidR="002E1604" w:rsidRPr="00C15B7C" w:rsidSect="001E42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59" w:right="851" w:bottom="1701" w:left="851" w:header="567" w:footer="57" w:gutter="0"/>
          <w:cols w:space="708"/>
          <w:titlePg/>
          <w:docGrid w:linePitch="360"/>
        </w:sectPr>
      </w:pPr>
      <w:r>
        <w:rPr>
          <w:rFonts w:asciiTheme="majorHAnsi" w:hAnsiTheme="majorHAnsi"/>
          <w:b/>
        </w:rPr>
        <w:t xml:space="preserve">The Australian Government </w:t>
      </w:r>
      <w:r w:rsidR="00DD7A56">
        <w:rPr>
          <w:rFonts w:asciiTheme="majorHAnsi" w:hAnsiTheme="majorHAnsi"/>
          <w:b/>
        </w:rPr>
        <w:t xml:space="preserve">sets </w:t>
      </w:r>
      <w:r w:rsidR="00DD7A56" w:rsidRPr="00C15B7C">
        <w:rPr>
          <w:rFonts w:asciiTheme="majorHAnsi" w:hAnsiTheme="majorHAnsi"/>
          <w:b/>
        </w:rPr>
        <w:t>mandatory minimum requirements</w:t>
      </w:r>
      <w:r w:rsidR="00DD7A56">
        <w:rPr>
          <w:rFonts w:asciiTheme="majorHAnsi" w:hAnsiTheme="majorHAnsi"/>
          <w:b/>
        </w:rPr>
        <w:t xml:space="preserve"> to s</w:t>
      </w:r>
      <w:r w:rsidR="004F0FD3">
        <w:rPr>
          <w:rFonts w:asciiTheme="majorHAnsi" w:hAnsiTheme="majorHAnsi"/>
          <w:b/>
        </w:rPr>
        <w:t>upport</w:t>
      </w:r>
      <w:r>
        <w:rPr>
          <w:rFonts w:asciiTheme="majorHAnsi" w:hAnsiTheme="majorHAnsi"/>
          <w:b/>
        </w:rPr>
        <w:t xml:space="preserve"> Indigenous participation in the delivery of high</w:t>
      </w:r>
      <w:r w:rsidR="00DD7A56">
        <w:rPr>
          <w:rFonts w:asciiTheme="majorHAnsi" w:hAnsiTheme="majorHAnsi"/>
          <w:b/>
        </w:rPr>
        <w:t>-value Commonwealth contracts</w:t>
      </w:r>
      <w:r w:rsidR="00B872AD" w:rsidRPr="00C15B7C">
        <w:rPr>
          <w:rFonts w:asciiTheme="majorHAnsi" w:hAnsiTheme="majorHAnsi"/>
          <w:b/>
        </w:rPr>
        <w:t xml:space="preserve">. </w:t>
      </w:r>
    </w:p>
    <w:p w14:paraId="5EFA0775" w14:textId="1B1FF9BF" w:rsidR="00F03C90" w:rsidRPr="0052541C" w:rsidRDefault="00F03C90" w:rsidP="0052541C">
      <w:pPr>
        <w:pStyle w:val="Heading3"/>
      </w:pPr>
      <w:r w:rsidRPr="0052541C">
        <w:t>What are MMRs?</w:t>
      </w:r>
    </w:p>
    <w:p w14:paraId="1D72EAD0" w14:textId="6B13B883" w:rsidR="002E1604" w:rsidRDefault="00F03C90" w:rsidP="00F03C90">
      <w:pPr>
        <w:pStyle w:val="BodyText"/>
        <w:widowControl w:val="0"/>
        <w:tabs>
          <w:tab w:val="left" w:pos="681"/>
        </w:tabs>
        <w:spacing w:before="128" w:after="0" w:line="240" w:lineRule="auto"/>
        <w:rPr>
          <w:rFonts w:ascii="Century Gothic"/>
          <w:color w:val="1A2C39"/>
        </w:rPr>
      </w:pPr>
      <w:r w:rsidRPr="002E476F">
        <w:rPr>
          <w:rFonts w:ascii="Century Gothic"/>
          <w:color w:val="1A2C39"/>
        </w:rPr>
        <w:t>MMR</w:t>
      </w:r>
      <w:r>
        <w:rPr>
          <w:rFonts w:ascii="Century Gothic"/>
          <w:color w:val="1A2C39"/>
        </w:rPr>
        <w:t xml:space="preserve">s are targets for Indigenous employment and supply use that are included in </w:t>
      </w:r>
      <w:r w:rsidR="00744405">
        <w:rPr>
          <w:rFonts w:ascii="Century Gothic"/>
          <w:color w:val="1A2C39"/>
        </w:rPr>
        <w:t xml:space="preserve">all </w:t>
      </w:r>
      <w:r>
        <w:rPr>
          <w:rFonts w:ascii="Century Gothic"/>
          <w:color w:val="1A2C39"/>
        </w:rPr>
        <w:t xml:space="preserve">Commonwealth </w:t>
      </w:r>
      <w:r w:rsidR="00744405">
        <w:rPr>
          <w:rFonts w:ascii="Century Gothic"/>
          <w:color w:val="1A2C39"/>
        </w:rPr>
        <w:t>procurement</w:t>
      </w:r>
      <w:r w:rsidR="00D367D9">
        <w:rPr>
          <w:rFonts w:ascii="Century Gothic"/>
          <w:color w:val="1A2C39"/>
        </w:rPr>
        <w:t xml:space="preserve"> </w:t>
      </w:r>
      <w:r>
        <w:rPr>
          <w:rFonts w:ascii="Century Gothic"/>
          <w:color w:val="1A2C39"/>
        </w:rPr>
        <w:t xml:space="preserve">contracts </w:t>
      </w:r>
      <w:r w:rsidR="00D367D9">
        <w:rPr>
          <w:rFonts w:ascii="Century Gothic"/>
          <w:color w:val="1A2C39"/>
        </w:rPr>
        <w:t xml:space="preserve">that </w:t>
      </w:r>
      <w:r>
        <w:rPr>
          <w:rFonts w:ascii="Century Gothic"/>
          <w:color w:val="1A2C39"/>
        </w:rPr>
        <w:t>are</w:t>
      </w:r>
      <w:r w:rsidR="00744405">
        <w:rPr>
          <w:rFonts w:ascii="Century Gothic"/>
          <w:color w:val="1A2C39"/>
        </w:rPr>
        <w:t>:</w:t>
      </w:r>
    </w:p>
    <w:p w14:paraId="5CA6E2AF" w14:textId="6E9A688E" w:rsidR="00744405" w:rsidRDefault="00F03C90" w:rsidP="00E101B6">
      <w:pPr>
        <w:pStyle w:val="BodyText"/>
        <w:widowControl w:val="0"/>
        <w:numPr>
          <w:ilvl w:val="0"/>
          <w:numId w:val="28"/>
        </w:numPr>
        <w:tabs>
          <w:tab w:val="left" w:pos="426"/>
        </w:tabs>
        <w:spacing w:before="128" w:after="0" w:line="240" w:lineRule="auto"/>
        <w:ind w:left="426"/>
        <w:rPr>
          <w:rFonts w:ascii="Century Gothic"/>
          <w:color w:val="1A2C39"/>
        </w:rPr>
      </w:pPr>
      <w:r>
        <w:rPr>
          <w:rFonts w:ascii="Century Gothic"/>
          <w:color w:val="1A2C39"/>
        </w:rPr>
        <w:t xml:space="preserve">wholly </w:t>
      </w:r>
      <w:r w:rsidR="00744405">
        <w:rPr>
          <w:rFonts w:ascii="Century Gothic"/>
          <w:color w:val="1A2C39"/>
        </w:rPr>
        <w:t xml:space="preserve">delivered in Australia; </w:t>
      </w:r>
    </w:p>
    <w:p w14:paraId="09534B77" w14:textId="34AA103D" w:rsidR="00744405" w:rsidRDefault="00F03C90" w:rsidP="00E101B6">
      <w:pPr>
        <w:pStyle w:val="BodyText"/>
        <w:widowControl w:val="0"/>
        <w:numPr>
          <w:ilvl w:val="0"/>
          <w:numId w:val="28"/>
        </w:numPr>
        <w:tabs>
          <w:tab w:val="left" w:pos="426"/>
        </w:tabs>
        <w:spacing w:before="128" w:after="0" w:line="240" w:lineRule="auto"/>
        <w:ind w:left="426"/>
        <w:rPr>
          <w:rFonts w:ascii="Century Gothic"/>
          <w:color w:val="1A2C39"/>
        </w:rPr>
      </w:pPr>
      <w:r>
        <w:rPr>
          <w:rFonts w:ascii="Century Gothic"/>
          <w:color w:val="1A2C39"/>
        </w:rPr>
        <w:t xml:space="preserve">valued </w:t>
      </w:r>
      <w:r w:rsidR="00744405">
        <w:rPr>
          <w:rFonts w:ascii="Century Gothic"/>
          <w:color w:val="1A2C39"/>
        </w:rPr>
        <w:t xml:space="preserve">at $7.5 million (GST inclusive) or more; and </w:t>
      </w:r>
    </w:p>
    <w:p w14:paraId="5B82B952" w14:textId="7B3DC95A" w:rsidR="00744405" w:rsidRDefault="00F03C90" w:rsidP="00E101B6">
      <w:pPr>
        <w:pStyle w:val="BodyText"/>
        <w:widowControl w:val="0"/>
        <w:numPr>
          <w:ilvl w:val="0"/>
          <w:numId w:val="28"/>
        </w:numPr>
        <w:tabs>
          <w:tab w:val="left" w:pos="426"/>
        </w:tabs>
        <w:spacing w:before="128" w:after="0" w:line="240" w:lineRule="auto"/>
        <w:ind w:left="426"/>
        <w:rPr>
          <w:rFonts w:ascii="Century Gothic"/>
          <w:color w:val="1A2C39"/>
        </w:rPr>
      </w:pPr>
      <w:proofErr w:type="gramStart"/>
      <w:r>
        <w:rPr>
          <w:rFonts w:ascii="Century Gothic"/>
          <w:color w:val="1A2C39"/>
        </w:rPr>
        <w:t>where</w:t>
      </w:r>
      <w:proofErr w:type="gramEnd"/>
      <w:r>
        <w:rPr>
          <w:rFonts w:ascii="Century Gothic"/>
          <w:color w:val="1A2C39"/>
        </w:rPr>
        <w:t xml:space="preserve"> </w:t>
      </w:r>
      <w:r w:rsidR="00744405">
        <w:rPr>
          <w:rFonts w:ascii="Century Gothic"/>
          <w:color w:val="1A2C39"/>
        </w:rPr>
        <w:t xml:space="preserve">more than half of the value of the contract is being spent in one or more of nineteen specified industry sectors. </w:t>
      </w:r>
    </w:p>
    <w:p w14:paraId="112F8FFC" w14:textId="77777777" w:rsidR="002E1604" w:rsidRPr="00B872AD" w:rsidRDefault="002E1604" w:rsidP="0073372E">
      <w:pPr>
        <w:pStyle w:val="BodyText"/>
        <w:widowControl w:val="0"/>
        <w:tabs>
          <w:tab w:val="left" w:pos="681"/>
        </w:tabs>
        <w:spacing w:before="128" w:after="0" w:line="240" w:lineRule="auto"/>
        <w:outlineLvl w:val="2"/>
        <w:rPr>
          <w:rFonts w:asciiTheme="majorHAnsi" w:hAnsiTheme="majorHAnsi"/>
          <w:b/>
          <w:color w:val="25303B" w:themeColor="accent1"/>
          <w:sz w:val="32"/>
          <w:szCs w:val="32"/>
        </w:rPr>
      </w:pPr>
      <w:r w:rsidRPr="0052541C">
        <w:rPr>
          <w:rStyle w:val="Heading3Char"/>
        </w:rPr>
        <w:t>When don’t they apply?</w:t>
      </w:r>
      <w:r w:rsidR="00B872AD">
        <w:rPr>
          <w:rFonts w:asciiTheme="majorHAnsi" w:hAnsiTheme="majorHAnsi"/>
          <w:b/>
          <w:color w:val="25303B" w:themeColor="accent1"/>
          <w:sz w:val="32"/>
          <w:szCs w:val="32"/>
        </w:rPr>
        <w:br/>
      </w:r>
      <w:r w:rsidR="00B872AD" w:rsidRPr="007436F8">
        <w:rPr>
          <w:rFonts w:ascii="Century Gothic"/>
          <w:color w:val="1A2C39"/>
        </w:rPr>
        <w:t xml:space="preserve">MMRs </w:t>
      </w:r>
      <w:r w:rsidR="00B872AD" w:rsidRPr="00AD5C4C">
        <w:rPr>
          <w:rFonts w:ascii="Century Gothic"/>
          <w:color w:val="1A2C39"/>
        </w:rPr>
        <w:t>do not</w:t>
      </w:r>
      <w:r w:rsidR="00B872AD" w:rsidRPr="007436F8">
        <w:rPr>
          <w:rFonts w:ascii="Century Gothic"/>
          <w:color w:val="1A2C39"/>
        </w:rPr>
        <w:t xml:space="preserve"> app</w:t>
      </w:r>
      <w:r w:rsidR="00B872AD">
        <w:rPr>
          <w:rFonts w:ascii="Century Gothic"/>
          <w:color w:val="1A2C39"/>
        </w:rPr>
        <w:t xml:space="preserve">ly to: </w:t>
      </w:r>
    </w:p>
    <w:p w14:paraId="68B36334" w14:textId="0D681F4A" w:rsidR="00B872AD" w:rsidRDefault="00B872AD" w:rsidP="00E101B6">
      <w:pPr>
        <w:pStyle w:val="BodyText"/>
        <w:widowControl w:val="0"/>
        <w:numPr>
          <w:ilvl w:val="0"/>
          <w:numId w:val="28"/>
        </w:numPr>
        <w:tabs>
          <w:tab w:val="left" w:pos="426"/>
        </w:tabs>
        <w:spacing w:before="128" w:after="0" w:line="240" w:lineRule="auto"/>
        <w:ind w:left="426"/>
        <w:rPr>
          <w:rFonts w:ascii="Century Gothic"/>
          <w:color w:val="1A2C39"/>
        </w:rPr>
      </w:pPr>
      <w:r>
        <w:rPr>
          <w:rFonts w:ascii="Century Gothic"/>
          <w:color w:val="1A2C39"/>
        </w:rPr>
        <w:t>Contracts relating to international peace and security, human health, essential security interests and national treasures;</w:t>
      </w:r>
      <w:r w:rsidR="007436F8">
        <w:rPr>
          <w:rFonts w:ascii="Century Gothic"/>
          <w:color w:val="1A2C39"/>
        </w:rPr>
        <w:t xml:space="preserve"> and</w:t>
      </w:r>
    </w:p>
    <w:p w14:paraId="44F1A59F" w14:textId="072C7C04" w:rsidR="00B872AD" w:rsidRDefault="00F828E6" w:rsidP="00E101B6">
      <w:pPr>
        <w:pStyle w:val="BodyText"/>
        <w:widowControl w:val="0"/>
        <w:numPr>
          <w:ilvl w:val="0"/>
          <w:numId w:val="28"/>
        </w:numPr>
        <w:tabs>
          <w:tab w:val="left" w:pos="426"/>
        </w:tabs>
        <w:spacing w:before="128" w:after="0" w:line="240" w:lineRule="auto"/>
        <w:ind w:left="426"/>
        <w:rPr>
          <w:rFonts w:ascii="Century Gothic"/>
          <w:color w:val="1A2C39"/>
        </w:rPr>
      </w:pPr>
      <w:r>
        <w:rPr>
          <w:rFonts w:ascii="Century Gothic"/>
          <w:color w:val="1A2C39"/>
        </w:rPr>
        <w:t xml:space="preserve">Some industry sub categories, </w:t>
      </w:r>
      <w:r w:rsidR="004F0FD3">
        <w:rPr>
          <w:rFonts w:ascii="Century Gothic"/>
          <w:color w:val="1A2C39"/>
        </w:rPr>
        <w:t>including financial and defence services (</w:t>
      </w:r>
      <w:r w:rsidR="007436F8">
        <w:rPr>
          <w:rFonts w:ascii="Century Gothic"/>
          <w:color w:val="1A2C39"/>
        </w:rPr>
        <w:t xml:space="preserve">a </w:t>
      </w:r>
      <w:r w:rsidR="004F0FD3">
        <w:rPr>
          <w:rFonts w:ascii="Century Gothic"/>
          <w:color w:val="1A2C39"/>
        </w:rPr>
        <w:t xml:space="preserve">full list </w:t>
      </w:r>
      <w:r w:rsidR="007436F8">
        <w:rPr>
          <w:rFonts w:ascii="Century Gothic"/>
          <w:color w:val="1A2C39"/>
        </w:rPr>
        <w:t>is contained</w:t>
      </w:r>
      <w:r w:rsidR="004F0FD3">
        <w:rPr>
          <w:rFonts w:ascii="Century Gothic"/>
          <w:color w:val="1A2C39"/>
        </w:rPr>
        <w:t xml:space="preserve"> in </w:t>
      </w:r>
      <w:r w:rsidR="00B872AD">
        <w:rPr>
          <w:rFonts w:ascii="Century Gothic"/>
          <w:color w:val="1A2C39"/>
        </w:rPr>
        <w:t>Appendix B</w:t>
      </w:r>
      <w:r w:rsidR="004F0FD3">
        <w:rPr>
          <w:rFonts w:ascii="Century Gothic"/>
          <w:color w:val="1A2C39"/>
        </w:rPr>
        <w:t xml:space="preserve"> of the IPP </w:t>
      </w:r>
      <w:r w:rsidR="0091350C">
        <w:rPr>
          <w:rFonts w:ascii="Century Gothic"/>
          <w:color w:val="1A2C39"/>
        </w:rPr>
        <w:t>policy</w:t>
      </w:r>
      <w:r w:rsidR="004F0FD3">
        <w:rPr>
          <w:rFonts w:ascii="Century Gothic"/>
          <w:color w:val="1A2C39"/>
        </w:rPr>
        <w:t>)</w:t>
      </w:r>
      <w:r w:rsidR="007436F8">
        <w:rPr>
          <w:rFonts w:ascii="Century Gothic"/>
          <w:color w:val="1A2C39"/>
        </w:rPr>
        <w:t>.</w:t>
      </w:r>
    </w:p>
    <w:p w14:paraId="00D3B1F6" w14:textId="509E472C" w:rsidR="00F03C90" w:rsidRPr="002E476F" w:rsidRDefault="00F03C90" w:rsidP="0052541C">
      <w:pPr>
        <w:pStyle w:val="Heading3"/>
      </w:pPr>
      <w:r w:rsidRPr="002E476F">
        <w:t>What are the targets?</w:t>
      </w:r>
    </w:p>
    <w:p w14:paraId="7187766E" w14:textId="1D65E73F" w:rsidR="00F03C90" w:rsidRDefault="00F03C90" w:rsidP="00E101B6">
      <w:pPr>
        <w:pStyle w:val="BodyText"/>
        <w:widowControl w:val="0"/>
        <w:tabs>
          <w:tab w:val="left" w:pos="681"/>
        </w:tabs>
        <w:spacing w:before="128" w:after="0" w:line="240" w:lineRule="auto"/>
        <w:rPr>
          <w:rFonts w:ascii="Century Gothic"/>
          <w:color w:val="1A2C39"/>
        </w:rPr>
      </w:pPr>
      <w:r>
        <w:rPr>
          <w:rFonts w:ascii="Century Gothic"/>
          <w:color w:val="1A2C39"/>
        </w:rPr>
        <w:t>Generally the target is 4% Indigenous participation, or higher in remote areas.</w:t>
      </w:r>
    </w:p>
    <w:p w14:paraId="500632A9" w14:textId="604C7D84" w:rsidR="00F03C90" w:rsidRDefault="00F03C90" w:rsidP="002E476F">
      <w:pPr>
        <w:pStyle w:val="NormalWeb"/>
        <w:spacing w:before="128" w:beforeAutospacing="0" w:after="0" w:afterAutospacing="0"/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</w:pPr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The application of the target is flexible. Suppliers can </w:t>
      </w:r>
      <w:proofErr w:type="spellStart"/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shoose</w:t>
      </w:r>
      <w:proofErr w:type="spellEnd"/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 to se</w:t>
      </w:r>
      <w:r w:rsidR="00E101B6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t their target</w:t>
      </w:r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 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against</w:t>
      </w:r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 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employment</w:t>
      </w:r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, </w:t>
      </w:r>
      <w:r w:rsidR="00E101B6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supply use</w:t>
      </w:r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 or a combination of the two.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 </w:t>
      </w:r>
    </w:p>
    <w:p w14:paraId="3659BFF5" w14:textId="12BD9BF4" w:rsidR="00F03C90" w:rsidRPr="00E101B6" w:rsidRDefault="00F03C90" w:rsidP="002E476F">
      <w:pPr>
        <w:pStyle w:val="NormalWeb"/>
        <w:spacing w:before="128" w:beforeAutospacing="0" w:after="0" w:afterAutospacing="0"/>
        <w:rPr>
          <w:rFonts w:ascii="Century Gothic"/>
          <w:color w:val="1A2C39"/>
        </w:rPr>
      </w:pPr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They can also c</w:t>
      </w:r>
      <w:r w:rsidR="00A96083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h</w:t>
      </w:r>
      <w:bookmarkStart w:id="0" w:name="_GoBack"/>
      <w:bookmarkEnd w:id="0"/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oose to 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set </w:t>
      </w:r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the target 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against the</w:t>
      </w:r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 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contract itself (including sub-contractors engaged by the supplier)</w:t>
      </w:r>
      <w:r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, or their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 organisations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’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 Australian footprint.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>  </w:t>
      </w:r>
      <w:r w:rsidRPr="002E476F">
        <w:rPr>
          <w:rFonts w:ascii="Century Gothic" w:eastAsiaTheme="minorHAnsi" w:hAnsiTheme="minorHAnsi" w:cstheme="minorBidi"/>
          <w:color w:val="1A2C39"/>
          <w:sz w:val="20"/>
          <w:szCs w:val="20"/>
          <w:lang w:eastAsia="en-US"/>
        </w:rPr>
        <w:t xml:space="preserve"> </w:t>
      </w:r>
    </w:p>
    <w:p w14:paraId="16646DAC" w14:textId="7209D891" w:rsidR="0050340F" w:rsidRPr="00497EAD" w:rsidRDefault="0061408D" w:rsidP="0073372E">
      <w:pPr>
        <w:pStyle w:val="BodyText"/>
        <w:widowControl w:val="0"/>
        <w:tabs>
          <w:tab w:val="left" w:pos="681"/>
        </w:tabs>
        <w:spacing w:before="128" w:after="0" w:line="240" w:lineRule="auto"/>
        <w:outlineLvl w:val="2"/>
        <w:rPr>
          <w:rFonts w:ascii="Century Gothic"/>
          <w:color w:val="1A2C39"/>
        </w:rPr>
      </w:pPr>
      <w:r w:rsidRPr="0052541C">
        <w:rPr>
          <w:rStyle w:val="Heading3Char"/>
        </w:rPr>
        <w:t>Why are the MMRs important?</w:t>
      </w:r>
      <w:r w:rsidR="00497EAD">
        <w:rPr>
          <w:rFonts w:asciiTheme="majorHAnsi" w:hAnsiTheme="majorHAnsi"/>
          <w:b/>
          <w:color w:val="25303B" w:themeColor="accent1"/>
          <w:sz w:val="32"/>
          <w:szCs w:val="32"/>
        </w:rPr>
        <w:br/>
      </w:r>
      <w:r>
        <w:rPr>
          <w:rFonts w:ascii="Century Gothic"/>
          <w:color w:val="1A2C39"/>
        </w:rPr>
        <w:t>The MMRs create Indigenous employment and subcontracting opportunities</w:t>
      </w:r>
      <w:r w:rsidR="002F2F0D">
        <w:rPr>
          <w:rFonts w:ascii="Century Gothic"/>
          <w:color w:val="1A2C39"/>
        </w:rPr>
        <w:t>. Smaller Indigenous business</w:t>
      </w:r>
      <w:r w:rsidR="00F828E6">
        <w:rPr>
          <w:rFonts w:ascii="Century Gothic"/>
          <w:color w:val="1A2C39"/>
        </w:rPr>
        <w:t>es</w:t>
      </w:r>
      <w:r w:rsidR="002F2F0D">
        <w:rPr>
          <w:rFonts w:ascii="Century Gothic"/>
          <w:color w:val="1A2C39"/>
        </w:rPr>
        <w:t xml:space="preserve"> may not have the capacity to tender for large contracts directly so the MMRs ensure that Commonwealth suppliers are looking to engage the</w:t>
      </w:r>
      <w:r w:rsidR="00112C5D">
        <w:rPr>
          <w:rFonts w:ascii="Century Gothic"/>
          <w:color w:val="1A2C39"/>
        </w:rPr>
        <w:t>m in their own supply chains. Through its role as a purchaser, the Commonwealth is influencing private sector practices.</w:t>
      </w:r>
      <w:r>
        <w:rPr>
          <w:rFonts w:ascii="Century Gothic"/>
          <w:color w:val="1A2C39"/>
        </w:rPr>
        <w:t xml:space="preserve"> </w:t>
      </w:r>
      <w:r w:rsidR="00112C5D">
        <w:rPr>
          <w:rFonts w:ascii="Century Gothic"/>
          <w:color w:val="1A2C39"/>
        </w:rPr>
        <w:t>Ultimately,</w:t>
      </w:r>
      <w:r>
        <w:rPr>
          <w:rFonts w:ascii="Century Gothic"/>
          <w:color w:val="1A2C39"/>
        </w:rPr>
        <w:t xml:space="preserve"> </w:t>
      </w:r>
      <w:r w:rsidR="002F2F0D" w:rsidRPr="002E476F">
        <w:rPr>
          <w:rFonts w:ascii="Century Gothic"/>
          <w:color w:val="1A2C39"/>
        </w:rPr>
        <w:t xml:space="preserve">every significant Commonwealth </w:t>
      </w:r>
      <w:r w:rsidR="00112C5D">
        <w:rPr>
          <w:rFonts w:ascii="Century Gothic"/>
          <w:color w:val="1A2C39"/>
        </w:rPr>
        <w:t>s</w:t>
      </w:r>
      <w:r w:rsidR="002F2F0D" w:rsidRPr="002E476F">
        <w:rPr>
          <w:rFonts w:ascii="Century Gothic"/>
          <w:color w:val="1A2C39"/>
        </w:rPr>
        <w:t xml:space="preserve">upplier </w:t>
      </w:r>
      <w:r w:rsidR="00112C5D">
        <w:rPr>
          <w:rFonts w:ascii="Century Gothic"/>
          <w:color w:val="1A2C39"/>
        </w:rPr>
        <w:t>should have a</w:t>
      </w:r>
      <w:r w:rsidR="002F2F0D" w:rsidRPr="002E476F">
        <w:rPr>
          <w:rFonts w:ascii="Century Gothic"/>
          <w:color w:val="1A2C39"/>
        </w:rPr>
        <w:t xml:space="preserve"> clearly articulated and measurable approach to employing Indigenous Australians and using Indigenous businesses.</w:t>
      </w:r>
      <w:r w:rsidR="002F2F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D6DAAB" w14:textId="77777777" w:rsidR="0073372E" w:rsidRDefault="007755A0" w:rsidP="0073372E">
      <w:pPr>
        <w:pStyle w:val="BodyText"/>
        <w:widowControl w:val="0"/>
        <w:tabs>
          <w:tab w:val="left" w:pos="681"/>
        </w:tabs>
        <w:spacing w:before="128" w:after="0" w:line="240" w:lineRule="auto"/>
        <w:outlineLvl w:val="2"/>
        <w:rPr>
          <w:rStyle w:val="Heading3Char"/>
        </w:rPr>
      </w:pPr>
      <w:r w:rsidRPr="0073372E">
        <w:rPr>
          <w:rStyle w:val="Heading3Char"/>
        </w:rPr>
        <w:t xml:space="preserve">Compliance </w:t>
      </w:r>
    </w:p>
    <w:p w14:paraId="432026B2" w14:textId="12EB6F5E" w:rsidR="00F03C90" w:rsidRDefault="007755A0" w:rsidP="0073372E">
      <w:pPr>
        <w:pStyle w:val="BodyText"/>
        <w:widowControl w:val="0"/>
        <w:tabs>
          <w:tab w:val="left" w:pos="681"/>
        </w:tabs>
        <w:spacing w:before="128" w:after="0" w:line="240" w:lineRule="auto"/>
        <w:rPr>
          <w:rFonts w:ascii="Century Gothic"/>
          <w:color w:val="1A2C39"/>
        </w:rPr>
      </w:pPr>
      <w:r>
        <w:rPr>
          <w:rFonts w:ascii="Century Gothic"/>
          <w:color w:val="1A2C39"/>
        </w:rPr>
        <w:t>Commonwealth entities are required to manage MMR within each stage of the procurement process</w:t>
      </w:r>
      <w:r w:rsidR="00CE745B">
        <w:rPr>
          <w:rFonts w:ascii="Century Gothic"/>
          <w:color w:val="1A2C39"/>
        </w:rPr>
        <w:t xml:space="preserve"> and </w:t>
      </w:r>
      <w:r w:rsidR="0083330D">
        <w:rPr>
          <w:rFonts w:ascii="Century Gothic"/>
          <w:color w:val="1A2C39"/>
        </w:rPr>
        <w:t xml:space="preserve">determine </w:t>
      </w:r>
      <w:r w:rsidR="0055374C">
        <w:rPr>
          <w:rFonts w:ascii="Century Gothic"/>
          <w:color w:val="1A2C39"/>
        </w:rPr>
        <w:t>whether the supplier has met the MMR</w:t>
      </w:r>
      <w:r w:rsidR="00E101B6">
        <w:rPr>
          <w:rFonts w:ascii="Century Gothic"/>
          <w:color w:val="1A2C39"/>
        </w:rPr>
        <w:t>s</w:t>
      </w:r>
      <w:r w:rsidR="0055374C">
        <w:rPr>
          <w:rFonts w:ascii="Century Gothic"/>
          <w:color w:val="1A2C39"/>
        </w:rPr>
        <w:t xml:space="preserve"> </w:t>
      </w:r>
      <w:r>
        <w:rPr>
          <w:rFonts w:ascii="Century Gothic"/>
          <w:color w:val="1A2C39"/>
        </w:rPr>
        <w:t xml:space="preserve">at the end of the contract. </w:t>
      </w:r>
    </w:p>
    <w:p w14:paraId="2932BEC5" w14:textId="0E3EF3EF" w:rsidR="00F03C90" w:rsidRDefault="008852F4" w:rsidP="002E476F">
      <w:pPr>
        <w:pStyle w:val="BodyText"/>
        <w:widowControl w:val="0"/>
        <w:tabs>
          <w:tab w:val="left" w:pos="426"/>
        </w:tabs>
        <w:spacing w:before="128" w:after="0" w:line="240" w:lineRule="auto"/>
        <w:rPr>
          <w:rFonts w:ascii="Century Gothic"/>
          <w:color w:val="1A2C39"/>
        </w:rPr>
      </w:pPr>
      <w:r w:rsidRPr="00F03C90">
        <w:rPr>
          <w:rFonts w:ascii="Century Gothic"/>
          <w:b/>
          <w:color w:val="1A2C39"/>
        </w:rPr>
        <w:t>Approach to m</w:t>
      </w:r>
      <w:r w:rsidR="007755A0" w:rsidRPr="00F03C90">
        <w:rPr>
          <w:rFonts w:ascii="Century Gothic"/>
          <w:b/>
          <w:color w:val="1A2C39"/>
        </w:rPr>
        <w:t xml:space="preserve">arket </w:t>
      </w:r>
      <w:r w:rsidR="00F828E6">
        <w:rPr>
          <w:rFonts w:ascii="Century Gothic"/>
          <w:b/>
          <w:color w:val="1A2C39"/>
        </w:rPr>
        <w:t>documents</w:t>
      </w:r>
      <w:r w:rsidR="00F828E6" w:rsidRPr="00F03C90">
        <w:rPr>
          <w:rFonts w:ascii="Century Gothic"/>
          <w:b/>
          <w:color w:val="1A2C39"/>
        </w:rPr>
        <w:t xml:space="preserve"> </w:t>
      </w:r>
      <w:r w:rsidR="007755A0" w:rsidRPr="002E476F">
        <w:rPr>
          <w:rFonts w:ascii="Century Gothic"/>
          <w:b/>
          <w:color w:val="1A2C39"/>
        </w:rPr>
        <w:t>–</w:t>
      </w:r>
      <w:r w:rsidR="007755A0">
        <w:rPr>
          <w:rFonts w:ascii="Century Gothic"/>
          <w:color w:val="1A2C39"/>
        </w:rPr>
        <w:t xml:space="preserve"> require tenderers to </w:t>
      </w:r>
      <w:r w:rsidR="00C74264">
        <w:rPr>
          <w:rFonts w:ascii="Century Gothic"/>
          <w:color w:val="1A2C39"/>
        </w:rPr>
        <w:t>d</w:t>
      </w:r>
      <w:r w:rsidR="00C62900">
        <w:rPr>
          <w:rFonts w:ascii="Century Gothic"/>
          <w:color w:val="1A2C39"/>
        </w:rPr>
        <w:t>evelop an Indigenous Participat</w:t>
      </w:r>
      <w:r w:rsidR="00C74264">
        <w:rPr>
          <w:rFonts w:ascii="Century Gothic"/>
          <w:color w:val="1A2C39"/>
        </w:rPr>
        <w:t>i</w:t>
      </w:r>
      <w:r w:rsidR="00C62900">
        <w:rPr>
          <w:rFonts w:ascii="Century Gothic"/>
          <w:color w:val="1A2C39"/>
        </w:rPr>
        <w:t>o</w:t>
      </w:r>
      <w:r w:rsidR="00C74264">
        <w:rPr>
          <w:rFonts w:ascii="Century Gothic"/>
          <w:color w:val="1A2C39"/>
        </w:rPr>
        <w:t xml:space="preserve">n Plan and </w:t>
      </w:r>
      <w:r w:rsidR="007755A0">
        <w:rPr>
          <w:rFonts w:ascii="Century Gothic"/>
          <w:color w:val="1A2C39"/>
        </w:rPr>
        <w:t xml:space="preserve">declare their level of compliance with any past contracts that included MMRs. </w:t>
      </w:r>
    </w:p>
    <w:p w14:paraId="0F4329DD" w14:textId="2020CA54" w:rsidR="00E101B6" w:rsidRPr="002E476F" w:rsidRDefault="008852F4" w:rsidP="002E476F">
      <w:pPr>
        <w:pStyle w:val="BodyText"/>
        <w:widowControl w:val="0"/>
        <w:tabs>
          <w:tab w:val="left" w:pos="426"/>
        </w:tabs>
        <w:spacing w:before="128" w:after="0" w:line="240" w:lineRule="auto"/>
        <w:rPr>
          <w:rFonts w:ascii="Century Gothic"/>
          <w:b/>
          <w:color w:val="1A2C39"/>
        </w:rPr>
      </w:pPr>
      <w:r w:rsidRPr="00F03C90">
        <w:rPr>
          <w:rFonts w:ascii="Century Gothic"/>
          <w:b/>
          <w:color w:val="1A2C39"/>
        </w:rPr>
        <w:t>Tender e</w:t>
      </w:r>
      <w:r w:rsidR="007755A0" w:rsidRPr="00F03C90">
        <w:rPr>
          <w:rFonts w:ascii="Century Gothic"/>
          <w:b/>
          <w:color w:val="1A2C39"/>
        </w:rPr>
        <w:t>valuation</w:t>
      </w:r>
      <w:r w:rsidR="007755A0" w:rsidRPr="002E476F">
        <w:rPr>
          <w:rFonts w:ascii="Century Gothic"/>
          <w:b/>
          <w:color w:val="1A2C39"/>
        </w:rPr>
        <w:t xml:space="preserve"> </w:t>
      </w:r>
      <w:r w:rsidR="007755A0" w:rsidRPr="00E101B6">
        <w:rPr>
          <w:rFonts w:ascii="Century Gothic"/>
          <w:color w:val="1A2C39"/>
        </w:rPr>
        <w:t>–</w:t>
      </w:r>
      <w:r w:rsidR="007755A0" w:rsidRPr="00E101B6">
        <w:rPr>
          <w:rFonts w:ascii="Century Gothic"/>
          <w:color w:val="1A2C39"/>
        </w:rPr>
        <w:t xml:space="preserve"> Commonwealth entities must</w:t>
      </w:r>
      <w:r w:rsidR="00C74264" w:rsidRPr="00E101B6">
        <w:rPr>
          <w:rFonts w:ascii="Century Gothic"/>
          <w:color w:val="1A2C39"/>
        </w:rPr>
        <w:t>:</w:t>
      </w:r>
      <w:r w:rsidR="007755A0" w:rsidRPr="00E101B6">
        <w:rPr>
          <w:rFonts w:ascii="Century Gothic"/>
          <w:color w:val="1A2C39"/>
        </w:rPr>
        <w:t xml:space="preserve"> consider past </w:t>
      </w:r>
      <w:r w:rsidR="00C74264" w:rsidRPr="00E101B6">
        <w:rPr>
          <w:rFonts w:ascii="Century Gothic"/>
          <w:color w:val="1A2C39"/>
        </w:rPr>
        <w:t xml:space="preserve">MMR </w:t>
      </w:r>
      <w:r w:rsidR="007755A0" w:rsidRPr="00E101B6">
        <w:rPr>
          <w:rFonts w:ascii="Century Gothic"/>
          <w:color w:val="1A2C39"/>
        </w:rPr>
        <w:t>compliance; plans to increase Indigenous participation</w:t>
      </w:r>
      <w:r w:rsidR="00C74264" w:rsidRPr="00E101B6">
        <w:rPr>
          <w:rFonts w:ascii="Century Gothic"/>
          <w:color w:val="1A2C39"/>
        </w:rPr>
        <w:t xml:space="preserve"> and; ability to achieve significant Indigenous participation outcomes for contracts with a remote component</w:t>
      </w:r>
      <w:r w:rsidR="007755A0" w:rsidRPr="00E101B6">
        <w:rPr>
          <w:rFonts w:ascii="Century Gothic"/>
          <w:color w:val="1A2C39"/>
        </w:rPr>
        <w:t>.</w:t>
      </w:r>
      <w:r w:rsidR="009A34A7" w:rsidRPr="002E476F">
        <w:rPr>
          <w:rFonts w:ascii="Century Gothic"/>
          <w:b/>
          <w:color w:val="1A2C39"/>
        </w:rPr>
        <w:t xml:space="preserve"> </w:t>
      </w:r>
    </w:p>
    <w:p w14:paraId="5E0790C7" w14:textId="2F28B0D5" w:rsidR="00E101B6" w:rsidRPr="002E476F" w:rsidRDefault="00F828E6" w:rsidP="002E476F">
      <w:pPr>
        <w:pStyle w:val="BodyText"/>
        <w:widowControl w:val="0"/>
        <w:tabs>
          <w:tab w:val="left" w:pos="426"/>
        </w:tabs>
        <w:spacing w:before="128" w:after="0" w:line="240" w:lineRule="auto"/>
        <w:rPr>
          <w:rFonts w:ascii="Century Gothic"/>
          <w:b/>
          <w:color w:val="1A2C39"/>
        </w:rPr>
      </w:pPr>
      <w:r>
        <w:rPr>
          <w:rFonts w:ascii="Century Gothic"/>
          <w:b/>
          <w:color w:val="1A2C39"/>
        </w:rPr>
        <w:t>Track</w:t>
      </w:r>
      <w:r w:rsidR="009A34A7" w:rsidRPr="00E101B6">
        <w:rPr>
          <w:rFonts w:ascii="Century Gothic"/>
          <w:b/>
          <w:color w:val="1A2C39"/>
        </w:rPr>
        <w:t xml:space="preserve"> performance against targets</w:t>
      </w:r>
      <w:r w:rsidR="009A34A7" w:rsidRPr="002E476F">
        <w:rPr>
          <w:rFonts w:ascii="Century Gothic"/>
          <w:b/>
          <w:color w:val="1A2C39"/>
        </w:rPr>
        <w:t xml:space="preserve"> </w:t>
      </w:r>
      <w:r w:rsidR="00F11D7A" w:rsidRPr="002E476F">
        <w:rPr>
          <w:rFonts w:ascii="Century Gothic"/>
          <w:b/>
          <w:color w:val="1A2C39"/>
        </w:rPr>
        <w:t>–</w:t>
      </w:r>
      <w:r w:rsidR="009A34A7" w:rsidRPr="002E476F">
        <w:rPr>
          <w:rFonts w:ascii="Century Gothic"/>
          <w:b/>
          <w:color w:val="1A2C39"/>
        </w:rPr>
        <w:t xml:space="preserve"> </w:t>
      </w:r>
      <w:r w:rsidR="008852F4" w:rsidRPr="00E101B6">
        <w:rPr>
          <w:rFonts w:ascii="Century Gothic"/>
          <w:color w:val="1A2C39"/>
        </w:rPr>
        <w:t>Suppliers are required to report progress against Indigenous Participation Plan</w:t>
      </w:r>
      <w:r w:rsidR="00C74264" w:rsidRPr="00E101B6">
        <w:rPr>
          <w:rFonts w:ascii="Century Gothic"/>
          <w:color w:val="1A2C39"/>
        </w:rPr>
        <w:t>s</w:t>
      </w:r>
      <w:r w:rsidR="008852F4" w:rsidRPr="00E101B6">
        <w:rPr>
          <w:rFonts w:ascii="Century Gothic"/>
          <w:color w:val="1A2C39"/>
        </w:rPr>
        <w:t xml:space="preserve"> quarterly. </w:t>
      </w:r>
      <w:proofErr w:type="gramStart"/>
      <w:r w:rsidR="008852F4" w:rsidRPr="00E101B6">
        <w:rPr>
          <w:rFonts w:ascii="Century Gothic"/>
          <w:color w:val="1A2C39"/>
        </w:rPr>
        <w:t>S</w:t>
      </w:r>
      <w:r w:rsidR="00F11D7A" w:rsidRPr="00E101B6">
        <w:rPr>
          <w:rFonts w:ascii="Century Gothic"/>
          <w:color w:val="1A2C39"/>
        </w:rPr>
        <w:t>uppliers</w:t>
      </w:r>
      <w:proofErr w:type="gramEnd"/>
      <w:r w:rsidR="00F11D7A" w:rsidRPr="00E101B6">
        <w:rPr>
          <w:rFonts w:ascii="Century Gothic"/>
          <w:color w:val="1A2C39"/>
        </w:rPr>
        <w:t xml:space="preserve"> performance will be evaluated at the end of the contract</w:t>
      </w:r>
      <w:r w:rsidR="00112C5D" w:rsidRPr="00E101B6">
        <w:rPr>
          <w:rFonts w:ascii="Century Gothic"/>
          <w:color w:val="1A2C39"/>
        </w:rPr>
        <w:t>.</w:t>
      </w:r>
    </w:p>
    <w:p w14:paraId="670BBC12" w14:textId="7DAC6FBB" w:rsidR="008852F4" w:rsidRDefault="008852F4" w:rsidP="008852F4">
      <w:pPr>
        <w:pStyle w:val="BodyText"/>
        <w:widowControl w:val="0"/>
        <w:tabs>
          <w:tab w:val="left" w:pos="681"/>
        </w:tabs>
        <w:spacing w:before="128" w:after="0" w:line="240" w:lineRule="auto"/>
        <w:rPr>
          <w:rFonts w:ascii="Century Gothic"/>
          <w:color w:val="1A2C39"/>
        </w:rPr>
        <w:sectPr w:rsidR="008852F4" w:rsidSect="002E1604">
          <w:type w:val="continuous"/>
          <w:pgSz w:w="11906" w:h="16838"/>
          <w:pgMar w:top="1559" w:right="851" w:bottom="1701" w:left="851" w:header="567" w:footer="57" w:gutter="0"/>
          <w:cols w:num="2" w:space="708"/>
          <w:titlePg/>
          <w:docGrid w:linePitch="360"/>
        </w:sectPr>
      </w:pPr>
    </w:p>
    <w:p w14:paraId="18CD41E6" w14:textId="65E49FBC" w:rsidR="00FA3DD9" w:rsidRPr="008852F4" w:rsidRDefault="00FA3DD9" w:rsidP="00E101B6">
      <w:pPr>
        <w:pStyle w:val="BodyText"/>
        <w:jc w:val="center"/>
        <w:rPr>
          <w:rFonts w:ascii="Century Gothic"/>
          <w:color w:val="1A2C39"/>
        </w:rPr>
        <w:sectPr w:rsidR="00FA3DD9" w:rsidRPr="008852F4" w:rsidSect="00FA3DD9">
          <w:type w:val="continuous"/>
          <w:pgSz w:w="11906" w:h="16838"/>
          <w:pgMar w:top="1559" w:right="851" w:bottom="1701" w:left="851" w:header="567" w:footer="57" w:gutter="0"/>
          <w:cols w:space="708"/>
          <w:titlePg/>
          <w:docGrid w:linePitch="360"/>
        </w:sectPr>
      </w:pPr>
      <w:r w:rsidRPr="00036016">
        <w:rPr>
          <w:rFonts w:ascii="Century Gothic"/>
          <w:b/>
          <w:color w:val="DD7500" w:themeColor="accent4"/>
          <w:sz w:val="28"/>
          <w:szCs w:val="28"/>
        </w:rPr>
        <w:t>More information on the M</w:t>
      </w:r>
      <w:r w:rsidR="00873405">
        <w:rPr>
          <w:rFonts w:ascii="Century Gothic"/>
          <w:b/>
          <w:color w:val="DD7500" w:themeColor="accent4"/>
          <w:sz w:val="28"/>
          <w:szCs w:val="28"/>
        </w:rPr>
        <w:t>MR</w:t>
      </w:r>
      <w:r w:rsidRPr="00036016">
        <w:rPr>
          <w:rFonts w:ascii="Century Gothic"/>
          <w:b/>
          <w:color w:val="DD7500" w:themeColor="accent4"/>
          <w:sz w:val="28"/>
          <w:szCs w:val="28"/>
        </w:rPr>
        <w:t xml:space="preserve"> visit</w:t>
      </w:r>
      <w:r w:rsidRPr="00036016">
        <w:rPr>
          <w:rFonts w:ascii="Century Gothic"/>
          <w:color w:val="DD7500" w:themeColor="accent4"/>
          <w:sz w:val="28"/>
          <w:szCs w:val="28"/>
        </w:rPr>
        <w:t xml:space="preserve"> </w:t>
      </w:r>
      <w:r w:rsidRPr="00497EAD">
        <w:rPr>
          <w:rFonts w:ascii="Century Gothic"/>
          <w:b/>
          <w:color w:val="DD7500" w:themeColor="accent4"/>
          <w:sz w:val="28"/>
          <w:szCs w:val="28"/>
        </w:rPr>
        <w:t>www.niaa.gov.au/ip</w:t>
      </w:r>
      <w:r w:rsidR="001D3116" w:rsidRPr="00497EAD">
        <w:rPr>
          <w:rFonts w:ascii="Century Gothic"/>
          <w:b/>
          <w:color w:val="DD7500" w:themeColor="accent4"/>
          <w:sz w:val="28"/>
          <w:szCs w:val="28"/>
        </w:rPr>
        <w:t>p</w:t>
      </w:r>
    </w:p>
    <w:p w14:paraId="1565D299" w14:textId="77777777" w:rsidR="008852F4" w:rsidRPr="007755A0" w:rsidRDefault="008852F4">
      <w:pPr>
        <w:pStyle w:val="BodyText"/>
        <w:widowControl w:val="0"/>
        <w:tabs>
          <w:tab w:val="left" w:pos="681"/>
        </w:tabs>
        <w:spacing w:before="128" w:after="0" w:line="240" w:lineRule="auto"/>
        <w:rPr>
          <w:rFonts w:ascii="Century Gothic"/>
          <w:b/>
          <w:color w:val="1A2C39"/>
        </w:rPr>
      </w:pPr>
    </w:p>
    <w:sectPr w:rsidR="008852F4" w:rsidRPr="007755A0" w:rsidSect="008852F4">
      <w:type w:val="continuous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A81CC" w14:textId="77777777" w:rsidR="002148FC" w:rsidRDefault="002148FC" w:rsidP="00B95533">
      <w:pPr>
        <w:spacing w:after="0" w:line="240" w:lineRule="auto"/>
      </w:pPr>
      <w:r>
        <w:separator/>
      </w:r>
    </w:p>
  </w:endnote>
  <w:endnote w:type="continuationSeparator" w:id="0">
    <w:p w14:paraId="457083E9" w14:textId="77777777" w:rsidR="002148FC" w:rsidRDefault="002148FC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2F215" w14:textId="77777777" w:rsidR="00D44E78" w:rsidRDefault="00D44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showingPlcHdr/>
      <w:dataBinding w:xpath="/root[1]/Classification[1]" w:storeItemID="{F533AE62-A212-4B26-92DA-A3B336E8AE06}"/>
      <w:text/>
    </w:sdtPr>
    <w:sdtEndPr/>
    <w:sdtContent>
      <w:p w14:paraId="6BF0722A" w14:textId="77777777" w:rsidR="009672EB" w:rsidRPr="00B87E45" w:rsidRDefault="008B374C" w:rsidP="001007B9">
        <w:pPr>
          <w:pStyle w:val="ProtectiveMarking"/>
        </w:pPr>
        <w:r>
          <w:t xml:space="preserve">     </w:t>
        </w:r>
      </w:p>
    </w:sdtContent>
  </w:sdt>
  <w:p w14:paraId="0258A2A9" w14:textId="109E05FE" w:rsidR="009672EB" w:rsidRPr="00A477A0" w:rsidRDefault="009672EB" w:rsidP="00F651C4">
    <w:pPr>
      <w:pStyle w:val="Footerline"/>
      <w:rPr>
        <w:color w:val="014463" w:themeColor="text2"/>
      </w:rPr>
    </w:pP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56192" behindDoc="0" locked="1" layoutInCell="1" allowOverlap="1" wp14:anchorId="6DBA713E" wp14:editId="1958A99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95408" w14:textId="504A1FE0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52541C">
                            <w:rPr>
                              <w:noProof/>
                              <w:color w:val="25303B" w:themeColor="accent1"/>
                            </w:rPr>
                            <w:t>1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A71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42595408" w14:textId="504A1FE0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52541C">
                      <w:rPr>
                        <w:noProof/>
                        <w:color w:val="25303B" w:themeColor="accent1"/>
                      </w:rPr>
                      <w:t>1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D64CD8B" w14:textId="4B76DBBA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2AA901ED2B3C473AAB66EF1E022B44E7"/>
        </w:placeholder>
        <w:dataBinding w:xpath="/root[1]/SectionName[1]" w:storeItemID="{F533AE62-A212-4B26-92DA-A3B336E8AE06}"/>
        <w:text/>
      </w:sdtPr>
      <w:sdtEndPr/>
      <w:sdtContent>
        <w:r w:rsidR="004C0446">
          <w:rPr>
            <w:color w:val="25303B" w:themeColor="accent1"/>
          </w:rPr>
          <w:t xml:space="preserve">Indigenous Procurement Policy </w:t>
        </w:r>
      </w:sdtContent>
    </w:sdt>
    <w:r w:rsidRPr="0040648D">
      <w:rPr>
        <w:color w:val="25303B" w:themeColor="accent1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A7D8" w14:textId="77777777" w:rsidR="009672EB" w:rsidRPr="00F651C4" w:rsidRDefault="009672EB" w:rsidP="00497EAD">
    <w:pPr>
      <w:pStyle w:val="ProtectiveMarking"/>
      <w:jc w:val="left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30E6D85" wp14:editId="7B8C58E9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E823CC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7135CC74" w14:textId="07AAB229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23BDB6E" wp14:editId="5D5DDD4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BE038" w14:textId="56463E3F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A96083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BDB6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018BE038" w14:textId="56463E3F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A96083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4C0446">
          <w:rPr>
            <w:color w:val="25303B" w:themeColor="accent1"/>
          </w:rPr>
          <w:t xml:space="preserve">Indigenous Procurement Policy </w:t>
        </w:r>
      </w:sdtContent>
    </w:sdt>
    <w:r w:rsidRPr="0040648D">
      <w:rPr>
        <w:color w:val="25303B" w:themeColor="accent1"/>
      </w:rPr>
      <w:t xml:space="preserve"> |</w:t>
    </w:r>
    <w:r w:rsidR="00BE2221">
      <w:rPr>
        <w:color w:val="25303B" w:themeColor="accent1"/>
      </w:rPr>
      <w:t xml:space="preserve"> Mandatory Minimum Indigenous Participation Requirements (MMR)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CF26A" w14:textId="77777777" w:rsidR="002148FC" w:rsidRPr="007A6FC6" w:rsidRDefault="002148FC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6BDF7709" w14:textId="77777777" w:rsidR="002148FC" w:rsidRPr="007A6FC6" w:rsidRDefault="002148FC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FFC7" w14:textId="77777777" w:rsidR="00D44E78" w:rsidRDefault="00D44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2DCE" w14:textId="77777777" w:rsidR="006564EA" w:rsidRDefault="002148FC" w:rsidP="00510499">
    <w:pPr>
      <w:pStyle w:val="ProtectiveMarking"/>
    </w:pPr>
    <w:sdt>
      <w:sdtPr>
        <w:alias w:val="Classification"/>
        <w:tag w:val="Classification"/>
        <w:id w:val="405574941"/>
        <w:showingPlcHdr/>
        <w:dataBinding w:xpath="/root[1]/Classification[1]" w:storeItemID="{F533AE62-A212-4B26-92DA-A3B336E8AE06}"/>
        <w:text/>
      </w:sdtPr>
      <w:sdtEndPr/>
      <w:sdtContent>
        <w:r w:rsidR="008B374C">
          <w:t xml:space="preserve">     </w:t>
        </w:r>
      </w:sdtContent>
    </w:sdt>
  </w:p>
  <w:p w14:paraId="4B74339E" w14:textId="627DE691" w:rsidR="006564EA" w:rsidRDefault="006564EA">
    <w:pPr>
      <w:pStyle w:val="Header"/>
    </w:pPr>
  </w:p>
  <w:p w14:paraId="43ED10EF" w14:textId="77777777" w:rsidR="006564EA" w:rsidRDefault="006564EA">
    <w:pPr>
      <w:pStyle w:val="Header"/>
    </w:pPr>
  </w:p>
  <w:p w14:paraId="78AF872C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81E2C" w14:textId="77777777" w:rsidR="009672EB" w:rsidRDefault="00BE446D">
    <w:pPr>
      <w:pStyle w:val="Header"/>
    </w:pP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5D3B4A3F" wp14:editId="1EA305E7">
          <wp:simplePos x="0" y="0"/>
          <wp:positionH relativeFrom="page">
            <wp:posOffset>535305</wp:posOffset>
          </wp:positionH>
          <wp:positionV relativeFrom="page">
            <wp:posOffset>257175</wp:posOffset>
          </wp:positionV>
          <wp:extent cx="2118360" cy="640080"/>
          <wp:effectExtent l="0" t="0" r="0" b="7620"/>
          <wp:wrapNone/>
          <wp:docPr id="2" name="Graphic 19" descr="Australian Government |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7304AF5D" wp14:editId="20D5B351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F74A8" id="Straight Connector 4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4955CA12" wp14:editId="7B35FEC9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73106" w14:textId="77777777" w:rsidR="00BE446D" w:rsidRPr="00661E36" w:rsidRDefault="00BE446D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</w:pPr>
                          <w:r w:rsidRPr="00661E36"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5CA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BmnHlB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3D973106" w14:textId="77777777" w:rsidR="00BE446D" w:rsidRPr="00661E36" w:rsidRDefault="00BE446D" w:rsidP="009672EB">
                    <w:pPr>
                      <w:spacing w:after="0" w:line="240" w:lineRule="auto"/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</w:pPr>
                    <w:r w:rsidRPr="00661E36"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617C5496" wp14:editId="22637C6C">
          <wp:simplePos x="0" y="0"/>
          <wp:positionH relativeFrom="page">
            <wp:posOffset>3016885</wp:posOffset>
          </wp:positionH>
          <wp:positionV relativeFrom="page">
            <wp:posOffset>291465</wp:posOffset>
          </wp:positionV>
          <wp:extent cx="1580400" cy="518400"/>
          <wp:effectExtent l="0" t="0" r="1270" b="0"/>
          <wp:wrapNone/>
          <wp:docPr id="3" name="Graphic 16" descr="NI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38B527C6" wp14:editId="7B5E87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4" name="Graphic 11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46A43337"/>
    <w:multiLevelType w:val="hybridMultilevel"/>
    <w:tmpl w:val="26307C1C"/>
    <w:lvl w:ilvl="0" w:tplc="A2DA1DF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6050399A"/>
    <w:multiLevelType w:val="hybridMultilevel"/>
    <w:tmpl w:val="C09EE1B2"/>
    <w:lvl w:ilvl="0" w:tplc="87623A2A"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5"/>
  </w:num>
  <w:num w:numId="20">
    <w:abstractNumId w:val="11"/>
  </w:num>
  <w:num w:numId="21">
    <w:abstractNumId w:val="0"/>
  </w:num>
  <w:num w:numId="22">
    <w:abstractNumId w:val="9"/>
  </w:num>
  <w:num w:numId="23">
    <w:abstractNumId w:val="9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4C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3CD9"/>
    <w:rsid w:val="00057B46"/>
    <w:rsid w:val="00063034"/>
    <w:rsid w:val="00067136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B10F4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117E5"/>
    <w:rsid w:val="00112C5D"/>
    <w:rsid w:val="00126FA2"/>
    <w:rsid w:val="00131315"/>
    <w:rsid w:val="00132268"/>
    <w:rsid w:val="001336C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0B15"/>
    <w:rsid w:val="001953CF"/>
    <w:rsid w:val="00195BA8"/>
    <w:rsid w:val="001A1957"/>
    <w:rsid w:val="001A2F86"/>
    <w:rsid w:val="001A4AF3"/>
    <w:rsid w:val="001B0144"/>
    <w:rsid w:val="001B10ED"/>
    <w:rsid w:val="001C2FC8"/>
    <w:rsid w:val="001D283B"/>
    <w:rsid w:val="001D3116"/>
    <w:rsid w:val="001D313E"/>
    <w:rsid w:val="001E4245"/>
    <w:rsid w:val="001F0654"/>
    <w:rsid w:val="001F3722"/>
    <w:rsid w:val="001F738E"/>
    <w:rsid w:val="0020007C"/>
    <w:rsid w:val="0021247A"/>
    <w:rsid w:val="002148FC"/>
    <w:rsid w:val="00220145"/>
    <w:rsid w:val="002229A5"/>
    <w:rsid w:val="002317BD"/>
    <w:rsid w:val="00231B22"/>
    <w:rsid w:val="00234705"/>
    <w:rsid w:val="00237365"/>
    <w:rsid w:val="00237858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2F9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1604"/>
    <w:rsid w:val="002E476F"/>
    <w:rsid w:val="002E6AA1"/>
    <w:rsid w:val="002E6EA9"/>
    <w:rsid w:val="002F2F0D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57154"/>
    <w:rsid w:val="00363AE5"/>
    <w:rsid w:val="003848EF"/>
    <w:rsid w:val="00385B65"/>
    <w:rsid w:val="00391929"/>
    <w:rsid w:val="00397539"/>
    <w:rsid w:val="003A3E57"/>
    <w:rsid w:val="003B629A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713FA"/>
    <w:rsid w:val="004759ED"/>
    <w:rsid w:val="004945F7"/>
    <w:rsid w:val="004957BB"/>
    <w:rsid w:val="00497EAD"/>
    <w:rsid w:val="00497F14"/>
    <w:rsid w:val="004B2CB0"/>
    <w:rsid w:val="004B7B8B"/>
    <w:rsid w:val="004C0446"/>
    <w:rsid w:val="004C18F6"/>
    <w:rsid w:val="004C6518"/>
    <w:rsid w:val="004D0B40"/>
    <w:rsid w:val="004D24EB"/>
    <w:rsid w:val="004D688C"/>
    <w:rsid w:val="004D7E25"/>
    <w:rsid w:val="004E58AE"/>
    <w:rsid w:val="004F0FD3"/>
    <w:rsid w:val="004F20A9"/>
    <w:rsid w:val="004F73E8"/>
    <w:rsid w:val="0050340F"/>
    <w:rsid w:val="0051316F"/>
    <w:rsid w:val="00523958"/>
    <w:rsid w:val="0052541C"/>
    <w:rsid w:val="0053301E"/>
    <w:rsid w:val="005370B2"/>
    <w:rsid w:val="005400C8"/>
    <w:rsid w:val="00543E44"/>
    <w:rsid w:val="00543FDE"/>
    <w:rsid w:val="00552F1C"/>
    <w:rsid w:val="0055374C"/>
    <w:rsid w:val="00562166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92E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408D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64EA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67C3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59BA"/>
    <w:rsid w:val="006E70FF"/>
    <w:rsid w:val="006F173B"/>
    <w:rsid w:val="00711110"/>
    <w:rsid w:val="00714E79"/>
    <w:rsid w:val="007239F8"/>
    <w:rsid w:val="0073372E"/>
    <w:rsid w:val="007436F8"/>
    <w:rsid w:val="00744405"/>
    <w:rsid w:val="00753B4D"/>
    <w:rsid w:val="00754949"/>
    <w:rsid w:val="007660B9"/>
    <w:rsid w:val="007755A0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330D"/>
    <w:rsid w:val="0083503B"/>
    <w:rsid w:val="00840865"/>
    <w:rsid w:val="00841D41"/>
    <w:rsid w:val="00842629"/>
    <w:rsid w:val="008436AB"/>
    <w:rsid w:val="00844739"/>
    <w:rsid w:val="0084486B"/>
    <w:rsid w:val="0086151D"/>
    <w:rsid w:val="0086672B"/>
    <w:rsid w:val="008668C0"/>
    <w:rsid w:val="008678C1"/>
    <w:rsid w:val="00873405"/>
    <w:rsid w:val="00873DED"/>
    <w:rsid w:val="00874BD7"/>
    <w:rsid w:val="00875B07"/>
    <w:rsid w:val="00877425"/>
    <w:rsid w:val="008777F4"/>
    <w:rsid w:val="00880786"/>
    <w:rsid w:val="008852F4"/>
    <w:rsid w:val="008A6759"/>
    <w:rsid w:val="008B13B1"/>
    <w:rsid w:val="008B374C"/>
    <w:rsid w:val="008B493F"/>
    <w:rsid w:val="008C115E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350C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34A7"/>
    <w:rsid w:val="009A5056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4937"/>
    <w:rsid w:val="00A66C34"/>
    <w:rsid w:val="00A714CE"/>
    <w:rsid w:val="00A73CFD"/>
    <w:rsid w:val="00A77E87"/>
    <w:rsid w:val="00A80863"/>
    <w:rsid w:val="00A81616"/>
    <w:rsid w:val="00A8365E"/>
    <w:rsid w:val="00A9488D"/>
    <w:rsid w:val="00A94E35"/>
    <w:rsid w:val="00A95355"/>
    <w:rsid w:val="00A96083"/>
    <w:rsid w:val="00AB350C"/>
    <w:rsid w:val="00AB3C78"/>
    <w:rsid w:val="00AC1AA3"/>
    <w:rsid w:val="00AC4EB2"/>
    <w:rsid w:val="00AC7F21"/>
    <w:rsid w:val="00AD0F94"/>
    <w:rsid w:val="00AD5C4C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03CA"/>
    <w:rsid w:val="00B24D0A"/>
    <w:rsid w:val="00B3317D"/>
    <w:rsid w:val="00B36583"/>
    <w:rsid w:val="00B37705"/>
    <w:rsid w:val="00B455C1"/>
    <w:rsid w:val="00B53058"/>
    <w:rsid w:val="00B83B2F"/>
    <w:rsid w:val="00B872AD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2221"/>
    <w:rsid w:val="00BE446D"/>
    <w:rsid w:val="00BE64F3"/>
    <w:rsid w:val="00C00697"/>
    <w:rsid w:val="00C0095A"/>
    <w:rsid w:val="00C15B7C"/>
    <w:rsid w:val="00C358D9"/>
    <w:rsid w:val="00C464A7"/>
    <w:rsid w:val="00C511C3"/>
    <w:rsid w:val="00C51C42"/>
    <w:rsid w:val="00C52329"/>
    <w:rsid w:val="00C57F4E"/>
    <w:rsid w:val="00C62900"/>
    <w:rsid w:val="00C66A73"/>
    <w:rsid w:val="00C67AA6"/>
    <w:rsid w:val="00C74264"/>
    <w:rsid w:val="00C76497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4E42"/>
    <w:rsid w:val="00CC6B7E"/>
    <w:rsid w:val="00CD730D"/>
    <w:rsid w:val="00CE1635"/>
    <w:rsid w:val="00CE745B"/>
    <w:rsid w:val="00CF0D33"/>
    <w:rsid w:val="00CF7819"/>
    <w:rsid w:val="00D171A8"/>
    <w:rsid w:val="00D367D9"/>
    <w:rsid w:val="00D44E7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A5609"/>
    <w:rsid w:val="00DA56D1"/>
    <w:rsid w:val="00DB015B"/>
    <w:rsid w:val="00DB20CE"/>
    <w:rsid w:val="00DB35E7"/>
    <w:rsid w:val="00DB5E67"/>
    <w:rsid w:val="00DB6F16"/>
    <w:rsid w:val="00DC3380"/>
    <w:rsid w:val="00DD3A53"/>
    <w:rsid w:val="00DD6C35"/>
    <w:rsid w:val="00DD7A56"/>
    <w:rsid w:val="00DE193D"/>
    <w:rsid w:val="00DE710F"/>
    <w:rsid w:val="00DE7EED"/>
    <w:rsid w:val="00E02E5D"/>
    <w:rsid w:val="00E101B6"/>
    <w:rsid w:val="00E14B90"/>
    <w:rsid w:val="00E23ABD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C7112"/>
    <w:rsid w:val="00ED0CB2"/>
    <w:rsid w:val="00ED334F"/>
    <w:rsid w:val="00ED33B0"/>
    <w:rsid w:val="00EE08F2"/>
    <w:rsid w:val="00EE1DD7"/>
    <w:rsid w:val="00EE76B9"/>
    <w:rsid w:val="00EF0D34"/>
    <w:rsid w:val="00EF125F"/>
    <w:rsid w:val="00EF2497"/>
    <w:rsid w:val="00EF38A6"/>
    <w:rsid w:val="00F017E0"/>
    <w:rsid w:val="00F03B20"/>
    <w:rsid w:val="00F03C90"/>
    <w:rsid w:val="00F065A0"/>
    <w:rsid w:val="00F11D7A"/>
    <w:rsid w:val="00F21C70"/>
    <w:rsid w:val="00F26D11"/>
    <w:rsid w:val="00F27CBE"/>
    <w:rsid w:val="00F4121E"/>
    <w:rsid w:val="00F4212B"/>
    <w:rsid w:val="00F46D66"/>
    <w:rsid w:val="00F4704F"/>
    <w:rsid w:val="00F50EE3"/>
    <w:rsid w:val="00F61102"/>
    <w:rsid w:val="00F651C4"/>
    <w:rsid w:val="00F7682E"/>
    <w:rsid w:val="00F828E6"/>
    <w:rsid w:val="00F92C57"/>
    <w:rsid w:val="00F92C6E"/>
    <w:rsid w:val="00F9344F"/>
    <w:rsid w:val="00F97B14"/>
    <w:rsid w:val="00FA3DD9"/>
    <w:rsid w:val="00FB20C4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B93C6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ProtectiveMarking"/>
    <w:next w:val="BodyText"/>
    <w:link w:val="Heading1Char"/>
    <w:uiPriority w:val="9"/>
    <w:qFormat/>
    <w:rsid w:val="0052541C"/>
    <w:pPr>
      <w:outlineLvl w:val="0"/>
    </w:pPr>
    <w:rPr>
      <w:b/>
      <w:caps w:val="0"/>
      <w:noProof w:val="0"/>
      <w:color w:val="25303B" w:themeColor="accent1"/>
      <w:sz w:val="44"/>
      <w:szCs w:val="44"/>
    </w:rPr>
  </w:style>
  <w:style w:type="paragraph" w:styleId="Heading2">
    <w:name w:val="heading 2"/>
    <w:basedOn w:val="Caption"/>
    <w:next w:val="BodyText"/>
    <w:link w:val="Heading2Char"/>
    <w:uiPriority w:val="9"/>
    <w:unhideWhenUsed/>
    <w:qFormat/>
    <w:rsid w:val="0052541C"/>
    <w:pPr>
      <w:numPr>
        <w:ilvl w:val="1"/>
      </w:numPr>
      <w:ind w:left="851" w:hanging="851"/>
      <w:jc w:val="center"/>
      <w:outlineLvl w:val="1"/>
    </w:pPr>
    <w:rPr>
      <w:sz w:val="32"/>
      <w:szCs w:val="32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52541C"/>
    <w:pPr>
      <w:widowControl w:val="0"/>
      <w:tabs>
        <w:tab w:val="left" w:pos="681"/>
      </w:tabs>
      <w:spacing w:before="128" w:after="0" w:line="240" w:lineRule="auto"/>
      <w:outlineLvl w:val="2"/>
    </w:pPr>
    <w:rPr>
      <w:rFonts w:asciiTheme="majorHAnsi" w:hAnsiTheme="majorHAnsi"/>
      <w:b/>
      <w:color w:val="25303B" w:themeColor="accent1"/>
      <w:sz w:val="32"/>
      <w:szCs w:val="32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52541C"/>
    <w:rPr>
      <w:rFonts w:asciiTheme="majorHAnsi" w:hAnsiTheme="majorHAnsi"/>
      <w:b/>
      <w:color w:val="25303B" w:themeColor="accent1"/>
      <w:sz w:val="44"/>
      <w:szCs w:val="44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2541C"/>
    <w:rPr>
      <w:rFonts w:asciiTheme="majorHAnsi" w:hAnsiTheme="majorHAnsi"/>
      <w:b/>
      <w:iCs/>
      <w:color w:val="00948D" w:themeColor="accent3"/>
      <w:sz w:val="32"/>
      <w:szCs w:val="32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541C"/>
    <w:rPr>
      <w:rFonts w:asciiTheme="majorHAnsi" w:hAnsiTheme="majorHAnsi"/>
      <w:b/>
      <w:color w:val="25303B" w:themeColor="accent1"/>
      <w:sz w:val="32"/>
      <w:szCs w:val="32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6E59BA"/>
    <w:rPr>
      <w:color w:val="0289C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0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F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FD3"/>
    <w:rPr>
      <w:b/>
      <w:bCs/>
    </w:rPr>
  </w:style>
  <w:style w:type="paragraph" w:styleId="NormalWeb">
    <w:name w:val="Normal (Web)"/>
    <w:basedOn w:val="Normal"/>
    <w:uiPriority w:val="99"/>
    <w:unhideWhenUsed/>
    <w:rsid w:val="00F0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A901ED2B3C473AAB66EF1E022B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A18B-EA81-489B-937B-F4E18B850DC4}"/>
      </w:docPartPr>
      <w:docPartBody>
        <w:p w:rsidR="003F2D0F" w:rsidRDefault="0059355C">
          <w:pPr>
            <w:pStyle w:val="2AA901ED2B3C473AAB66EF1E022B44E7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C"/>
    <w:rsid w:val="00201948"/>
    <w:rsid w:val="0026073F"/>
    <w:rsid w:val="003F2D0F"/>
    <w:rsid w:val="0059355C"/>
    <w:rsid w:val="008A44DF"/>
    <w:rsid w:val="00902716"/>
    <w:rsid w:val="00B501CC"/>
    <w:rsid w:val="00CB1052"/>
    <w:rsid w:val="00CD1C8B"/>
    <w:rsid w:val="00E63BDD"/>
    <w:rsid w:val="00EB104E"/>
    <w:rsid w:val="00EE775C"/>
    <w:rsid w:val="00FB6733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2AA901ED2B3C473AAB66EF1E022B44E7">
    <w:name w:val="2AA901ED2B3C473AAB66EF1E022B4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/>
  <Classification/>
  <DLM/>
  <SectionName>Indigenous Procurement Policy </SectionName>
  <DH/>
  <Bylin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EBC62876-3681-4964-95C6-5E807759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2022-06-03T03:12:00Z</dcterms:created>
  <dcterms:modified xsi:type="dcterms:W3CDTF">2022-06-03T04:44:00Z</dcterms:modified>
</cp:coreProperties>
</file>