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3B15C" w14:textId="77777777" w:rsidR="00E578B7" w:rsidRPr="000947E0" w:rsidRDefault="00504D60" w:rsidP="000D0F98">
      <w:pPr>
        <w:pStyle w:val="Title"/>
        <w:jc w:val="center"/>
        <w:rPr>
          <w:sz w:val="48"/>
          <w:szCs w:val="48"/>
        </w:rPr>
      </w:pPr>
      <w:bookmarkStart w:id="0" w:name="_GoBack"/>
      <w:r w:rsidRPr="000947E0">
        <w:rPr>
          <w:sz w:val="48"/>
          <w:szCs w:val="48"/>
        </w:rPr>
        <w:t>Mandatory Set</w:t>
      </w:r>
      <w:r w:rsidR="00F81671" w:rsidRPr="000947E0">
        <w:rPr>
          <w:sz w:val="48"/>
          <w:szCs w:val="48"/>
        </w:rPr>
        <w:t xml:space="preserve"> </w:t>
      </w:r>
      <w:r w:rsidR="002D4E92" w:rsidRPr="000947E0">
        <w:rPr>
          <w:sz w:val="48"/>
          <w:szCs w:val="48"/>
        </w:rPr>
        <w:t>Aside (MSA)</w:t>
      </w:r>
      <w:bookmarkEnd w:id="0"/>
    </w:p>
    <w:p w14:paraId="1273B15D" w14:textId="77777777" w:rsidR="002D7026" w:rsidRPr="00D8768A" w:rsidRDefault="002D4E92" w:rsidP="00D8768A">
      <w:pPr>
        <w:pStyle w:val="Heading2"/>
      </w:pPr>
      <w:r w:rsidRPr="00D8768A">
        <w:t>Indigenous Procurement Policy</w:t>
      </w:r>
    </w:p>
    <w:p w14:paraId="1273B15F" w14:textId="7A57F086" w:rsidR="00504D60" w:rsidRDefault="002D7026" w:rsidP="00B20479">
      <w:pPr>
        <w:pStyle w:val="Caption"/>
        <w:tabs>
          <w:tab w:val="clear" w:pos="851"/>
          <w:tab w:val="left" w:pos="0"/>
        </w:tabs>
        <w:ind w:left="0" w:firstLine="0"/>
        <w:jc w:val="center"/>
        <w:rPr>
          <w:rFonts w:ascii="Century Gothic"/>
          <w:color w:val="1A2C39"/>
        </w:rPr>
      </w:pPr>
      <w:r w:rsidRPr="002D7026">
        <w:rPr>
          <w:rFonts w:ascii="Century Gothic"/>
          <w:color w:val="1A2C39"/>
        </w:rPr>
        <w:t>The Mandatory Set-Aside (MSA) provide</w:t>
      </w:r>
      <w:r w:rsidR="0093055C">
        <w:rPr>
          <w:rFonts w:ascii="Century Gothic"/>
          <w:color w:val="1A2C39"/>
        </w:rPr>
        <w:t>s</w:t>
      </w:r>
      <w:r w:rsidRPr="002D7026">
        <w:rPr>
          <w:rFonts w:ascii="Century Gothic"/>
          <w:color w:val="1A2C39"/>
        </w:rPr>
        <w:t xml:space="preserve"> Indigenous </w:t>
      </w:r>
      <w:r w:rsidR="0093055C">
        <w:rPr>
          <w:rFonts w:ascii="Century Gothic"/>
          <w:color w:val="1A2C39"/>
        </w:rPr>
        <w:t>small and medium businesses</w:t>
      </w:r>
      <w:r w:rsidR="0093055C" w:rsidRPr="002D7026">
        <w:rPr>
          <w:rFonts w:ascii="Century Gothic"/>
          <w:color w:val="1A2C39"/>
        </w:rPr>
        <w:t xml:space="preserve"> </w:t>
      </w:r>
      <w:r w:rsidRPr="002D7026">
        <w:rPr>
          <w:rFonts w:ascii="Century Gothic"/>
          <w:color w:val="1A2C39"/>
        </w:rPr>
        <w:t xml:space="preserve">with the opportunity to demonstrate value for money before </w:t>
      </w:r>
      <w:r w:rsidR="0093055C">
        <w:rPr>
          <w:rFonts w:ascii="Century Gothic"/>
          <w:color w:val="1A2C39"/>
        </w:rPr>
        <w:t xml:space="preserve">the Commonwealth Government </w:t>
      </w:r>
      <w:r w:rsidRPr="002D7026">
        <w:rPr>
          <w:rFonts w:ascii="Century Gothic"/>
          <w:color w:val="1A2C39"/>
        </w:rPr>
        <w:t>approach</w:t>
      </w:r>
      <w:r w:rsidR="0093055C">
        <w:rPr>
          <w:rFonts w:ascii="Century Gothic"/>
          <w:color w:val="1A2C39"/>
        </w:rPr>
        <w:t>es</w:t>
      </w:r>
      <w:r w:rsidRPr="002D7026">
        <w:rPr>
          <w:rFonts w:ascii="Century Gothic"/>
          <w:color w:val="1A2C39"/>
        </w:rPr>
        <w:t xml:space="preserve"> the market.</w:t>
      </w:r>
    </w:p>
    <w:p w14:paraId="288C5C67" w14:textId="358F1CC0" w:rsidR="00B20479" w:rsidRDefault="00B20479" w:rsidP="00B20479"/>
    <w:p w14:paraId="4E4EBDF4" w14:textId="77777777" w:rsidR="0093055C" w:rsidRPr="00B20479" w:rsidRDefault="0093055C" w:rsidP="00B20479">
      <w:pPr>
        <w:sectPr w:rsidR="0093055C" w:rsidRPr="00B20479" w:rsidSect="00504D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559" w:right="851" w:bottom="1701" w:left="851" w:header="567" w:footer="57" w:gutter="0"/>
          <w:cols w:space="708"/>
          <w:titlePg/>
          <w:docGrid w:linePitch="360"/>
        </w:sectPr>
      </w:pPr>
    </w:p>
    <w:p w14:paraId="684737F5" w14:textId="3B18F338" w:rsidR="00B20479" w:rsidRPr="00D8768A" w:rsidRDefault="00B20479" w:rsidP="00D8768A">
      <w:pPr>
        <w:pStyle w:val="Heading3"/>
      </w:pPr>
      <w:r w:rsidRPr="00D8768A">
        <w:t>What is the MSA?</w:t>
      </w:r>
    </w:p>
    <w:p w14:paraId="56F66DE7" w14:textId="5AD20F3E" w:rsidR="00B20479" w:rsidRDefault="000D6DAC" w:rsidP="000D6DAC">
      <w:pPr>
        <w:pStyle w:val="BodyText"/>
        <w:rPr>
          <w:rFonts w:ascii="Century Gothic"/>
          <w:color w:val="1A2C39"/>
        </w:rPr>
      </w:pPr>
      <w:r>
        <w:rPr>
          <w:rFonts w:ascii="Century Gothic"/>
          <w:color w:val="1A2C39"/>
        </w:rPr>
        <w:t>Commonwealth p</w:t>
      </w:r>
      <w:r w:rsidR="00B20479">
        <w:rPr>
          <w:rFonts w:ascii="Century Gothic"/>
          <w:color w:val="1A2C39"/>
        </w:rPr>
        <w:t xml:space="preserve">rocuring officials must first determine whether there is an Indigenous </w:t>
      </w:r>
      <w:r w:rsidR="0093055C">
        <w:rPr>
          <w:rFonts w:ascii="Century Gothic"/>
          <w:color w:val="1A2C39"/>
        </w:rPr>
        <w:t xml:space="preserve">small or medium enterprise (SME) </w:t>
      </w:r>
      <w:r w:rsidR="00B20479">
        <w:rPr>
          <w:rFonts w:ascii="Century Gothic"/>
          <w:color w:val="1A2C39"/>
        </w:rPr>
        <w:t xml:space="preserve">that could deliver the required goods or service on a value for money basis.  </w:t>
      </w:r>
      <w:r>
        <w:rPr>
          <w:rFonts w:ascii="Century Gothic"/>
          <w:color w:val="1A2C39"/>
        </w:rPr>
        <w:t>They must</w:t>
      </w:r>
      <w:r w:rsidR="00B20479">
        <w:rPr>
          <w:rFonts w:ascii="Century Gothic"/>
          <w:color w:val="1A2C39"/>
        </w:rPr>
        <w:t xml:space="preserve"> do this before </w:t>
      </w:r>
      <w:r w:rsidR="0093055C">
        <w:rPr>
          <w:rFonts w:ascii="Century Gothic"/>
          <w:color w:val="1A2C39"/>
        </w:rPr>
        <w:t xml:space="preserve">going to market or using an existing </w:t>
      </w:r>
      <w:r w:rsidR="00B20479">
        <w:rPr>
          <w:rFonts w:ascii="Century Gothic"/>
          <w:color w:val="1A2C39"/>
        </w:rPr>
        <w:t xml:space="preserve">panel arrangement (coordinated procurement arrangements are the only exception). </w:t>
      </w:r>
    </w:p>
    <w:p w14:paraId="1273B160" w14:textId="77777777" w:rsidR="00504D60" w:rsidRPr="006734B9" w:rsidRDefault="00950DEC" w:rsidP="00D8768A">
      <w:pPr>
        <w:pStyle w:val="Heading3"/>
        <w:rPr>
          <w:rFonts w:ascii="Century Gothic"/>
          <w:color w:val="1A2C39"/>
        </w:rPr>
      </w:pPr>
      <w:r>
        <w:t>When does the MSA apply?</w:t>
      </w:r>
    </w:p>
    <w:p w14:paraId="1273B161" w14:textId="77777777" w:rsidR="006734B9" w:rsidRDefault="00950DEC" w:rsidP="006734B9">
      <w:pPr>
        <w:pStyle w:val="BodyText"/>
        <w:rPr>
          <w:rFonts w:ascii="Century Gothic"/>
          <w:color w:val="1A2C39"/>
        </w:rPr>
      </w:pPr>
      <w:r>
        <w:rPr>
          <w:rFonts w:ascii="Century Gothic"/>
          <w:color w:val="1A2C39"/>
        </w:rPr>
        <w:t xml:space="preserve">The MSA applies to: </w:t>
      </w:r>
    </w:p>
    <w:p w14:paraId="1273B162" w14:textId="4A8E8604" w:rsidR="00950DEC" w:rsidRDefault="00B20479" w:rsidP="00950DEC">
      <w:pPr>
        <w:pStyle w:val="BodyText"/>
        <w:numPr>
          <w:ilvl w:val="0"/>
          <w:numId w:val="34"/>
        </w:numPr>
        <w:rPr>
          <w:rFonts w:ascii="Century Gothic"/>
          <w:color w:val="1A2C39"/>
        </w:rPr>
      </w:pPr>
      <w:r>
        <w:rPr>
          <w:rFonts w:ascii="Century Gothic"/>
          <w:color w:val="1A2C39"/>
        </w:rPr>
        <w:t>a</w:t>
      </w:r>
      <w:r w:rsidR="00950DEC">
        <w:rPr>
          <w:rFonts w:ascii="Century Gothic"/>
          <w:color w:val="1A2C39"/>
        </w:rPr>
        <w:t>ll remote procurements; and</w:t>
      </w:r>
    </w:p>
    <w:p w14:paraId="1273B163" w14:textId="36DAF19E" w:rsidR="00950DEC" w:rsidRDefault="00B20479" w:rsidP="00950DEC">
      <w:pPr>
        <w:pStyle w:val="BodyText"/>
        <w:numPr>
          <w:ilvl w:val="0"/>
          <w:numId w:val="34"/>
        </w:numPr>
        <w:rPr>
          <w:rFonts w:ascii="Century Gothic"/>
          <w:color w:val="1A2C39"/>
        </w:rPr>
      </w:pPr>
      <w:proofErr w:type="gramStart"/>
      <w:r>
        <w:rPr>
          <w:rFonts w:ascii="Century Gothic"/>
          <w:color w:val="1A2C39"/>
        </w:rPr>
        <w:t>a</w:t>
      </w:r>
      <w:r w:rsidR="00950DEC">
        <w:rPr>
          <w:rFonts w:ascii="Century Gothic"/>
          <w:color w:val="1A2C39"/>
        </w:rPr>
        <w:t>ll</w:t>
      </w:r>
      <w:proofErr w:type="gramEnd"/>
      <w:r w:rsidR="00950DEC">
        <w:rPr>
          <w:rFonts w:ascii="Century Gothic"/>
          <w:color w:val="1A2C39"/>
        </w:rPr>
        <w:t xml:space="preserve"> other procurement wholly delivered in Australia where the estimated value of the procurement is between $80,000 - $200,000 (GST inclusive).</w:t>
      </w:r>
    </w:p>
    <w:p w14:paraId="1273B164" w14:textId="77777777" w:rsidR="006734B9" w:rsidRDefault="00950DEC" w:rsidP="00D8768A">
      <w:pPr>
        <w:pStyle w:val="Heading3"/>
      </w:pPr>
      <w:r>
        <w:t>When doesn’t the MSA apply?</w:t>
      </w:r>
    </w:p>
    <w:p w14:paraId="1273B165" w14:textId="77777777" w:rsidR="00950DEC" w:rsidRDefault="00950DEC" w:rsidP="00950DEC">
      <w:pPr>
        <w:pStyle w:val="BodyText"/>
        <w:rPr>
          <w:rFonts w:ascii="Century Gothic"/>
          <w:color w:val="1A2C39"/>
        </w:rPr>
      </w:pPr>
      <w:r>
        <w:rPr>
          <w:rFonts w:ascii="Century Gothic"/>
          <w:color w:val="1A2C39"/>
        </w:rPr>
        <w:t xml:space="preserve">The MSA does not apply to: </w:t>
      </w:r>
    </w:p>
    <w:p w14:paraId="1273B166" w14:textId="206A3CA6" w:rsidR="00950DEC" w:rsidRDefault="00B20479" w:rsidP="00950DEC">
      <w:pPr>
        <w:pStyle w:val="BodyText"/>
        <w:numPr>
          <w:ilvl w:val="0"/>
          <w:numId w:val="34"/>
        </w:numPr>
        <w:rPr>
          <w:rFonts w:ascii="Century Gothic"/>
          <w:color w:val="1A2C39"/>
        </w:rPr>
      </w:pPr>
      <w:r>
        <w:rPr>
          <w:rFonts w:ascii="Century Gothic"/>
          <w:color w:val="1A2C39"/>
        </w:rPr>
        <w:t>p</w:t>
      </w:r>
      <w:r w:rsidR="00950DEC">
        <w:rPr>
          <w:rFonts w:ascii="Century Gothic"/>
          <w:color w:val="1A2C39"/>
        </w:rPr>
        <w:t xml:space="preserve">rocurements </w:t>
      </w:r>
      <w:r>
        <w:rPr>
          <w:rFonts w:ascii="Century Gothic"/>
          <w:color w:val="1A2C39"/>
        </w:rPr>
        <w:t>which are otherwise exempt from</w:t>
      </w:r>
      <w:r w:rsidR="00950DEC">
        <w:rPr>
          <w:rFonts w:ascii="Century Gothic"/>
          <w:color w:val="1A2C39"/>
        </w:rPr>
        <w:t xml:space="preserve"> </w:t>
      </w:r>
      <w:r>
        <w:rPr>
          <w:rFonts w:ascii="Century Gothic"/>
          <w:color w:val="1A2C39"/>
        </w:rPr>
        <w:t xml:space="preserve">Division 2 of </w:t>
      </w:r>
      <w:r w:rsidR="00950DEC">
        <w:rPr>
          <w:rFonts w:ascii="Century Gothic"/>
          <w:color w:val="1A2C39"/>
        </w:rPr>
        <w:t>t</w:t>
      </w:r>
      <w:r>
        <w:rPr>
          <w:rFonts w:ascii="Century Gothic"/>
          <w:color w:val="1A2C39"/>
        </w:rPr>
        <w:t>he Commonwealth Procurement Rule</w:t>
      </w:r>
      <w:r w:rsidR="00950DEC">
        <w:rPr>
          <w:rFonts w:ascii="Century Gothic"/>
          <w:color w:val="1A2C39"/>
        </w:rPr>
        <w:t>s (CPRs);</w:t>
      </w:r>
      <w:r>
        <w:rPr>
          <w:rFonts w:ascii="Century Gothic"/>
          <w:color w:val="1A2C39"/>
        </w:rPr>
        <w:t xml:space="preserve"> and</w:t>
      </w:r>
    </w:p>
    <w:p w14:paraId="1273B167" w14:textId="27A4D036" w:rsidR="00950DEC" w:rsidRDefault="00B20479" w:rsidP="00D8768A">
      <w:pPr>
        <w:pStyle w:val="BodyText"/>
        <w:numPr>
          <w:ilvl w:val="0"/>
          <w:numId w:val="34"/>
        </w:numPr>
        <w:spacing w:after="360"/>
        <w:ind w:left="714" w:hanging="357"/>
        <w:rPr>
          <w:rFonts w:ascii="Century Gothic"/>
          <w:color w:val="1A2C39"/>
        </w:rPr>
      </w:pPr>
      <w:proofErr w:type="gramStart"/>
      <w:r>
        <w:rPr>
          <w:rFonts w:ascii="Century Gothic"/>
          <w:color w:val="1A2C39"/>
        </w:rPr>
        <w:t>p</w:t>
      </w:r>
      <w:r w:rsidR="00950DEC">
        <w:rPr>
          <w:rFonts w:ascii="Century Gothic"/>
          <w:color w:val="1A2C39"/>
        </w:rPr>
        <w:t>rocurements</w:t>
      </w:r>
      <w:proofErr w:type="gramEnd"/>
      <w:r w:rsidR="00950DEC">
        <w:rPr>
          <w:rFonts w:ascii="Century Gothic"/>
          <w:color w:val="1A2C39"/>
        </w:rPr>
        <w:t xml:space="preserve"> made through a mandated coordinated procurement ar</w:t>
      </w:r>
      <w:r>
        <w:rPr>
          <w:rFonts w:ascii="Century Gothic"/>
          <w:color w:val="1A2C39"/>
        </w:rPr>
        <w:t>rangement.</w:t>
      </w:r>
    </w:p>
    <w:p w14:paraId="1273B169" w14:textId="668B86CB" w:rsidR="00504D60" w:rsidRPr="00950DEC" w:rsidRDefault="002D7026" w:rsidP="00D8768A">
      <w:pPr>
        <w:pStyle w:val="Heading3"/>
        <w:rPr>
          <w:rFonts w:ascii="Century Gothic"/>
          <w:color w:val="1A2C39"/>
        </w:rPr>
      </w:pPr>
      <w:r>
        <w:t xml:space="preserve">Remote </w:t>
      </w:r>
      <w:r w:rsidR="000D6DAC">
        <w:t>procurements</w:t>
      </w:r>
    </w:p>
    <w:p w14:paraId="1273B16A" w14:textId="5FBB13BB" w:rsidR="00504D60" w:rsidRDefault="00CD145A" w:rsidP="00463C25">
      <w:pPr>
        <w:pStyle w:val="BodyText"/>
        <w:rPr>
          <w:rFonts w:ascii="Century Gothic"/>
          <w:color w:val="1A2C39"/>
        </w:rPr>
      </w:pPr>
      <w:r>
        <w:rPr>
          <w:rFonts w:ascii="Century Gothic"/>
          <w:color w:val="1A2C39"/>
        </w:rPr>
        <w:t>To determine whether a contract will be a remote procurement t</w:t>
      </w:r>
      <w:r w:rsidR="002D7026">
        <w:rPr>
          <w:rFonts w:ascii="Century Gothic"/>
          <w:color w:val="1A2C39"/>
        </w:rPr>
        <w:t>he procuring official need</w:t>
      </w:r>
      <w:r w:rsidR="0093055C">
        <w:rPr>
          <w:rFonts w:ascii="Century Gothic"/>
          <w:color w:val="1A2C39"/>
        </w:rPr>
        <w:t>s</w:t>
      </w:r>
      <w:r w:rsidR="002D7026">
        <w:rPr>
          <w:rFonts w:ascii="Century Gothic"/>
          <w:color w:val="1A2C39"/>
        </w:rPr>
        <w:t xml:space="preserve"> to identify whether the delivery point(s) for the majority of the goods and services (by value) is in a remote area. </w:t>
      </w:r>
      <w:r>
        <w:rPr>
          <w:rFonts w:ascii="Century Gothic"/>
          <w:color w:val="1A2C39"/>
        </w:rPr>
        <w:t>To assist, a</w:t>
      </w:r>
      <w:r w:rsidR="002D7026">
        <w:rPr>
          <w:rFonts w:ascii="Century Gothic"/>
          <w:color w:val="1A2C39"/>
        </w:rPr>
        <w:t xml:space="preserve"> detailed map is available at </w:t>
      </w:r>
      <w:hyperlink r:id="rId15" w:history="1">
        <w:r w:rsidR="002D7026" w:rsidRPr="00AA18CF">
          <w:rPr>
            <w:rStyle w:val="Hyperlink"/>
            <w:rFonts w:ascii="Century Gothic"/>
          </w:rPr>
          <w:t>www.niaa.gov.au/ipp</w:t>
        </w:r>
      </w:hyperlink>
      <w:r w:rsidR="002D7026">
        <w:rPr>
          <w:rFonts w:ascii="Century Gothic"/>
          <w:color w:val="1A2C39"/>
        </w:rPr>
        <w:t xml:space="preserve">. </w:t>
      </w:r>
      <w:r w:rsidR="00B20479">
        <w:rPr>
          <w:rFonts w:ascii="Century Gothic"/>
          <w:color w:val="1A2C39"/>
        </w:rPr>
        <w:t xml:space="preserve">For the purposes of the IPP, the definition of </w:t>
      </w:r>
      <w:r w:rsidR="00B20479">
        <w:rPr>
          <w:rFonts w:ascii="Century Gothic"/>
          <w:color w:val="1A2C39"/>
        </w:rPr>
        <w:t>‘</w:t>
      </w:r>
      <w:r w:rsidR="00B20479">
        <w:rPr>
          <w:rFonts w:ascii="Century Gothic"/>
          <w:color w:val="1A2C39"/>
        </w:rPr>
        <w:t>remote</w:t>
      </w:r>
      <w:r w:rsidR="00B20479">
        <w:rPr>
          <w:rFonts w:ascii="Century Gothic"/>
          <w:color w:val="1A2C39"/>
        </w:rPr>
        <w:t>’</w:t>
      </w:r>
      <w:r w:rsidR="00B20479">
        <w:rPr>
          <w:rFonts w:ascii="Century Gothic"/>
          <w:color w:val="1A2C39"/>
        </w:rPr>
        <w:t xml:space="preserve"> includes the following regional centres: </w:t>
      </w:r>
      <w:r w:rsidR="00B20479" w:rsidRPr="00B20479">
        <w:rPr>
          <w:rFonts w:ascii="Century Gothic"/>
          <w:color w:val="1A2C39"/>
        </w:rPr>
        <w:t>Darwin, Alice Springs, Geraldton, Kalgoorlie, Esperance, Whyalla, Port Augusta, Port Lincoln, Mt Isa and Broome.</w:t>
      </w:r>
    </w:p>
    <w:p w14:paraId="64EF9C1E" w14:textId="14D01ED0" w:rsidR="00B20479" w:rsidRPr="00950DEC" w:rsidRDefault="00B20479" w:rsidP="00D8768A">
      <w:pPr>
        <w:pStyle w:val="Heading3"/>
        <w:rPr>
          <w:rFonts w:ascii="Century Gothic"/>
          <w:color w:val="1A2C39"/>
        </w:rPr>
      </w:pPr>
      <w:r>
        <w:t>Appling the MSA in practice</w:t>
      </w:r>
    </w:p>
    <w:p w14:paraId="1273B16E" w14:textId="574511C6" w:rsidR="00F81671" w:rsidRDefault="00B20479" w:rsidP="00B20479">
      <w:pPr>
        <w:pStyle w:val="BodyText"/>
        <w:rPr>
          <w:rFonts w:ascii="Century Gothic"/>
          <w:color w:val="1A2C39"/>
        </w:rPr>
      </w:pPr>
      <w:r>
        <w:rPr>
          <w:rFonts w:ascii="Century Gothic"/>
          <w:color w:val="1A2C39"/>
        </w:rPr>
        <w:t xml:space="preserve"> </w:t>
      </w:r>
      <w:r w:rsidR="00F81671">
        <w:rPr>
          <w:rFonts w:ascii="Century Gothic"/>
          <w:color w:val="1A2C39"/>
        </w:rPr>
        <w:t xml:space="preserve">To satisfy the MSA requirement: </w:t>
      </w:r>
    </w:p>
    <w:p w14:paraId="1273B16F" w14:textId="77777777" w:rsidR="00F81671" w:rsidRDefault="00F81671" w:rsidP="00F81671">
      <w:pPr>
        <w:pStyle w:val="BodyText"/>
        <w:numPr>
          <w:ilvl w:val="0"/>
          <w:numId w:val="34"/>
        </w:numPr>
        <w:rPr>
          <w:rFonts w:ascii="Century Gothic"/>
          <w:color w:val="1A2C39"/>
        </w:rPr>
      </w:pPr>
      <w:r>
        <w:rPr>
          <w:rFonts w:ascii="Century Gothic"/>
          <w:color w:val="1A2C39"/>
        </w:rPr>
        <w:t>Procuring official</w:t>
      </w:r>
      <w:r w:rsidR="00637A3D">
        <w:rPr>
          <w:rFonts w:ascii="Century Gothic"/>
          <w:color w:val="1A2C39"/>
        </w:rPr>
        <w:t>s</w:t>
      </w:r>
      <w:r>
        <w:rPr>
          <w:rFonts w:ascii="Century Gothic"/>
          <w:color w:val="1A2C39"/>
        </w:rPr>
        <w:t xml:space="preserve"> must conduct a search for suitable Indigenous SMEs on Supply Nation</w:t>
      </w:r>
      <w:r>
        <w:rPr>
          <w:rFonts w:ascii="Century Gothic"/>
          <w:color w:val="1A2C39"/>
        </w:rPr>
        <w:t>’</w:t>
      </w:r>
      <w:r>
        <w:rPr>
          <w:rFonts w:ascii="Century Gothic"/>
          <w:color w:val="1A2C39"/>
        </w:rPr>
        <w:t xml:space="preserve">s Indigenous Business Direct. </w:t>
      </w:r>
    </w:p>
    <w:p w14:paraId="1273B170" w14:textId="77777777" w:rsidR="00F81671" w:rsidRDefault="00F81671" w:rsidP="00F81671">
      <w:pPr>
        <w:pStyle w:val="BodyText"/>
        <w:numPr>
          <w:ilvl w:val="0"/>
          <w:numId w:val="34"/>
        </w:numPr>
        <w:rPr>
          <w:rFonts w:ascii="Century Gothic"/>
          <w:color w:val="1A2C39"/>
        </w:rPr>
      </w:pPr>
      <w:r w:rsidRPr="00F81671">
        <w:rPr>
          <w:rFonts w:ascii="Century Gothic"/>
          <w:color w:val="1A2C39"/>
        </w:rPr>
        <w:t xml:space="preserve">If a suitable Indigenous SME is identified and value for money is determined, the procuring official must purchase the required goods or service from the Indigenous SME. </w:t>
      </w:r>
      <w:r w:rsidR="00950DEC" w:rsidRPr="00F81671">
        <w:rPr>
          <w:rFonts w:ascii="Century Gothic"/>
          <w:color w:val="1A2C39"/>
        </w:rPr>
        <w:t xml:space="preserve"> </w:t>
      </w:r>
    </w:p>
    <w:p w14:paraId="449A02B7" w14:textId="244A1109" w:rsidR="0093055C" w:rsidRDefault="00F81671" w:rsidP="008D437D">
      <w:pPr>
        <w:pStyle w:val="BodyText"/>
        <w:rPr>
          <w:rFonts w:ascii="Century Gothic"/>
          <w:color w:val="1A2C39"/>
        </w:rPr>
      </w:pPr>
      <w:r>
        <w:rPr>
          <w:rFonts w:ascii="Century Gothic"/>
          <w:color w:val="1A2C39"/>
        </w:rPr>
        <w:t>If no suitable Indigenous SME is identified, the procuring official</w:t>
      </w:r>
      <w:r w:rsidR="000D6DAC">
        <w:rPr>
          <w:rFonts w:ascii="Century Gothic"/>
          <w:color w:val="1A2C39"/>
        </w:rPr>
        <w:t xml:space="preserve"> must</w:t>
      </w:r>
      <w:r>
        <w:rPr>
          <w:rFonts w:ascii="Century Gothic"/>
          <w:color w:val="1A2C39"/>
        </w:rPr>
        <w:t xml:space="preserve"> document </w:t>
      </w:r>
      <w:r w:rsidR="001D0F21">
        <w:rPr>
          <w:rFonts w:ascii="Century Gothic"/>
          <w:color w:val="1A2C39"/>
        </w:rPr>
        <w:t xml:space="preserve">the </w:t>
      </w:r>
      <w:r>
        <w:rPr>
          <w:rFonts w:ascii="Century Gothic"/>
          <w:color w:val="1A2C39"/>
        </w:rPr>
        <w:t xml:space="preserve">outcome of </w:t>
      </w:r>
      <w:r w:rsidR="001D0F21">
        <w:rPr>
          <w:rFonts w:ascii="Century Gothic"/>
          <w:color w:val="1A2C39"/>
        </w:rPr>
        <w:t xml:space="preserve">the </w:t>
      </w:r>
      <w:r>
        <w:rPr>
          <w:rFonts w:ascii="Century Gothic"/>
          <w:color w:val="1A2C39"/>
        </w:rPr>
        <w:t xml:space="preserve">search and </w:t>
      </w:r>
      <w:r w:rsidR="001D0F21">
        <w:rPr>
          <w:rFonts w:ascii="Century Gothic"/>
          <w:color w:val="1A2C39"/>
        </w:rPr>
        <w:t xml:space="preserve">then </w:t>
      </w:r>
      <w:r>
        <w:rPr>
          <w:rFonts w:ascii="Century Gothic"/>
          <w:color w:val="1A2C39"/>
        </w:rPr>
        <w:t>follow ordinary procurement practices.</w:t>
      </w:r>
    </w:p>
    <w:p w14:paraId="1273B174" w14:textId="0A50D860" w:rsidR="00463C25" w:rsidRDefault="00F81671" w:rsidP="008D437D">
      <w:pPr>
        <w:pStyle w:val="BodyText"/>
        <w:rPr>
          <w:rFonts w:ascii="Century Gothic"/>
          <w:b/>
          <w:color w:val="DD7500" w:themeColor="accent4"/>
          <w:sz w:val="28"/>
          <w:szCs w:val="28"/>
        </w:rPr>
        <w:sectPr w:rsidR="00463C25" w:rsidSect="00504D60">
          <w:type w:val="continuous"/>
          <w:pgSz w:w="11906" w:h="16838"/>
          <w:pgMar w:top="1559" w:right="851" w:bottom="1701" w:left="851" w:header="567" w:footer="57" w:gutter="0"/>
          <w:cols w:num="2" w:space="708"/>
          <w:titlePg/>
          <w:docGrid w:linePitch="360"/>
        </w:sectPr>
      </w:pPr>
      <w:r>
        <w:rPr>
          <w:rFonts w:ascii="Century Gothic"/>
          <w:color w:val="1A2C39"/>
        </w:rPr>
        <w:t xml:space="preserve"> </w:t>
      </w:r>
    </w:p>
    <w:p w14:paraId="6D3F1438" w14:textId="77777777" w:rsidR="0093055C" w:rsidRDefault="0093055C" w:rsidP="005A298B">
      <w:pPr>
        <w:pStyle w:val="BodyText"/>
        <w:rPr>
          <w:rFonts w:ascii="Century Gothic"/>
          <w:b/>
          <w:color w:val="DD7500" w:themeColor="accent4"/>
          <w:sz w:val="28"/>
          <w:szCs w:val="28"/>
        </w:rPr>
      </w:pPr>
    </w:p>
    <w:p w14:paraId="1273B175" w14:textId="2EC59703" w:rsidR="00504D60" w:rsidRPr="00036016" w:rsidRDefault="00950DEC" w:rsidP="00463C25">
      <w:pPr>
        <w:pStyle w:val="BodyText"/>
        <w:jc w:val="center"/>
        <w:rPr>
          <w:rFonts w:ascii="Century Gothic"/>
          <w:color w:val="1A2C39"/>
          <w:sz w:val="28"/>
          <w:szCs w:val="28"/>
        </w:rPr>
      </w:pPr>
      <w:r w:rsidRPr="00036016">
        <w:rPr>
          <w:rFonts w:ascii="Century Gothic"/>
          <w:b/>
          <w:color w:val="DD7500" w:themeColor="accent4"/>
          <w:sz w:val="28"/>
          <w:szCs w:val="28"/>
        </w:rPr>
        <w:t>More information on the MSA visit</w:t>
      </w:r>
      <w:r w:rsidRPr="00036016">
        <w:rPr>
          <w:rFonts w:ascii="Century Gothic"/>
          <w:color w:val="DD7500" w:themeColor="accent4"/>
          <w:sz w:val="28"/>
          <w:szCs w:val="28"/>
        </w:rPr>
        <w:t xml:space="preserve"> </w:t>
      </w:r>
      <w:hyperlink r:id="rId16" w:history="1">
        <w:r w:rsidRPr="00036016">
          <w:rPr>
            <w:rStyle w:val="Hyperlink"/>
            <w:rFonts w:ascii="Century Gothic"/>
            <w:b/>
            <w:sz w:val="28"/>
            <w:szCs w:val="28"/>
          </w:rPr>
          <w:t>www.niaa.gov.au/ipp</w:t>
        </w:r>
      </w:hyperlink>
      <w:r w:rsidRPr="00036016">
        <w:rPr>
          <w:rFonts w:ascii="Century Gothic"/>
          <w:b/>
          <w:color w:val="1A2C39"/>
          <w:sz w:val="28"/>
          <w:szCs w:val="28"/>
        </w:rPr>
        <w:t>.</w:t>
      </w:r>
    </w:p>
    <w:p w14:paraId="1273B176" w14:textId="5FC2FE1E" w:rsidR="00463C25" w:rsidRDefault="00463C25" w:rsidP="00B20479">
      <w:pPr>
        <w:pStyle w:val="BulletedListlvl1"/>
        <w:numPr>
          <w:ilvl w:val="0"/>
          <w:numId w:val="0"/>
        </w:numPr>
        <w:ind w:left="567" w:hanging="283"/>
        <w:rPr>
          <w:rFonts w:ascii="Century Gothic"/>
          <w:color w:val="1A2C39"/>
        </w:rPr>
        <w:sectPr w:rsidR="00463C25" w:rsidSect="00463C25">
          <w:type w:val="continuous"/>
          <w:pgSz w:w="11906" w:h="16838"/>
          <w:pgMar w:top="1559" w:right="851" w:bottom="1701" w:left="851" w:header="567" w:footer="57" w:gutter="0"/>
          <w:cols w:space="708"/>
          <w:titlePg/>
          <w:docGrid w:linePitch="360"/>
        </w:sectPr>
      </w:pPr>
    </w:p>
    <w:p w14:paraId="1273B188" w14:textId="77777777" w:rsidR="00504D60" w:rsidRDefault="00504D60" w:rsidP="001063B0">
      <w:pPr>
        <w:pStyle w:val="BulletedListlvl1"/>
        <w:numPr>
          <w:ilvl w:val="0"/>
          <w:numId w:val="0"/>
        </w:numPr>
        <w:ind w:left="567"/>
        <w:rPr>
          <w:rFonts w:ascii="Century Gothic"/>
          <w:color w:val="1A2C39"/>
        </w:rPr>
      </w:pPr>
    </w:p>
    <w:sectPr w:rsidR="00504D60" w:rsidSect="00504D60">
      <w:type w:val="continuous"/>
      <w:pgSz w:w="11906" w:h="16838"/>
      <w:pgMar w:top="1559" w:right="851" w:bottom="1701" w:left="851" w:header="567" w:footer="5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AD352" w14:textId="77777777" w:rsidR="003A36F3" w:rsidRDefault="003A36F3" w:rsidP="00B95533">
      <w:pPr>
        <w:spacing w:after="0" w:line="240" w:lineRule="auto"/>
      </w:pPr>
      <w:r>
        <w:separator/>
      </w:r>
    </w:p>
  </w:endnote>
  <w:endnote w:type="continuationSeparator" w:id="0">
    <w:p w14:paraId="0BF12679" w14:textId="77777777" w:rsidR="003A36F3" w:rsidRDefault="003A36F3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A500" w14:textId="77777777" w:rsidR="00731EEF" w:rsidRDefault="00731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showingPlcHdr/>
      <w:dataBinding w:xpath="/root[1]/Classification[1]" w:storeItemID="{F533AE62-A212-4B26-92DA-A3B336E8AE06}"/>
      <w:text/>
    </w:sdtPr>
    <w:sdtEndPr/>
    <w:sdtContent>
      <w:p w14:paraId="1273B192" w14:textId="77777777" w:rsidR="009672EB" w:rsidRPr="00B87E45" w:rsidRDefault="00F81671" w:rsidP="001007B9">
        <w:pPr>
          <w:pStyle w:val="ProtectiveMarking"/>
        </w:pPr>
        <w:r>
          <w:t xml:space="preserve">     </w:t>
        </w:r>
      </w:p>
    </w:sdtContent>
  </w:sdt>
  <w:p w14:paraId="1273B193" w14:textId="48FF063A" w:rsidR="009672EB" w:rsidRPr="00A477A0" w:rsidRDefault="009672EB" w:rsidP="00F651C4">
    <w:pPr>
      <w:pStyle w:val="Footerline"/>
      <w:rPr>
        <w:color w:val="014463" w:themeColor="text2"/>
      </w:rPr>
    </w:pP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1273B19D" wp14:editId="250D191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3B1AE" w14:textId="49FC36E8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731EEF">
                            <w:rPr>
                              <w:noProof/>
                              <w:color w:val="25303B" w:themeColor="accent1"/>
                            </w:rPr>
                            <w:t>1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3B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1273B1AE" w14:textId="49FC36E8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731EEF">
                      <w:rPr>
                        <w:noProof/>
                        <w:color w:val="25303B" w:themeColor="accent1"/>
                      </w:rPr>
                      <w:t>1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273B194" w14:textId="5E94DB81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C989C38FFA1548D2B6CE83D291A7FF88"/>
        </w:placeholder>
        <w:dataBinding w:xpath="/root[1]/SectionName[1]" w:storeItemID="{F533AE62-A212-4B26-92DA-A3B336E8AE06}"/>
        <w:text/>
      </w:sdtPr>
      <w:sdtEndPr/>
      <w:sdtContent>
        <w:r w:rsidR="00E316A2">
          <w:rPr>
            <w:color w:val="25303B" w:themeColor="accent1"/>
          </w:rPr>
          <w:t>Indigenous Procurement Policy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731EEF">
      <w:rPr>
        <w:noProof/>
        <w:color w:val="25303B" w:themeColor="accent1"/>
      </w:rPr>
      <w:t>Mandatory Set Aside (MSA)</w:t>
    </w:r>
    <w:r w:rsidRPr="0040648D">
      <w:rPr>
        <w:color w:val="25303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showingPlcHdr/>
      <w:dataBinding w:xpath="/root[1]/Classification[1]" w:storeItemID="{F533AE62-A212-4B26-92DA-A3B336E8AE06}"/>
      <w:text/>
    </w:sdtPr>
    <w:sdtEndPr/>
    <w:sdtContent>
      <w:p w14:paraId="1273B196" w14:textId="3B92861C" w:rsidR="009672EB" w:rsidRPr="00B87E45" w:rsidRDefault="00B20479" w:rsidP="00917F95">
        <w:pPr>
          <w:pStyle w:val="ProtectiveMarking"/>
        </w:pPr>
        <w:r>
          <w:t xml:space="preserve">     </w:t>
        </w:r>
      </w:p>
    </w:sdtContent>
  </w:sdt>
  <w:p w14:paraId="1273B197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273B1A9" wp14:editId="1273B1AA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EAD0D3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1273B198" w14:textId="27A15AD9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1273B1AB" wp14:editId="1273B1A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3B1B0" w14:textId="1908100C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731EEF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3B1A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1273B1B0" w14:textId="1908100C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731EEF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E316A2">
          <w:rPr>
            <w:color w:val="25303B" w:themeColor="accent1"/>
          </w:rPr>
          <w:t>Indigenous Procurement Policy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731EEF">
      <w:rPr>
        <w:noProof/>
        <w:color w:val="25303B" w:themeColor="accent1"/>
      </w:rPr>
      <w:t>Mandatory Set Aside (MSA)</w:t>
    </w:r>
    <w:r w:rsidRPr="0040648D">
      <w:rPr>
        <w:color w:val="25303B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B5F15" w14:textId="77777777" w:rsidR="003A36F3" w:rsidRPr="007A6FC6" w:rsidRDefault="003A36F3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30BD15CF" w14:textId="77777777" w:rsidR="003A36F3" w:rsidRPr="007A6FC6" w:rsidRDefault="003A36F3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B32E" w14:textId="77777777" w:rsidR="00731EEF" w:rsidRDefault="00731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3B18F" w14:textId="77777777" w:rsidR="009672EB" w:rsidRDefault="003A36F3" w:rsidP="009672EB">
    <w:pPr>
      <w:pStyle w:val="ProtectiveMarking"/>
    </w:pPr>
    <w:sdt>
      <w:sdtPr>
        <w:alias w:val="Classification"/>
        <w:tag w:val="Classification"/>
        <w:id w:val="1456145015"/>
        <w:showingPlcHdr/>
        <w:dataBinding w:xpath="/root[1]/Classification[1]" w:storeItemID="{F533AE62-A212-4B26-92DA-A3B336E8AE06}"/>
        <w:text/>
      </w:sdtPr>
      <w:sdtEndPr/>
      <w:sdtContent>
        <w:r w:rsidR="00F81671">
          <w:t xml:space="preserve">     </w:t>
        </w:r>
      </w:sdtContent>
    </w:sdt>
  </w:p>
  <w:p w14:paraId="1273B190" w14:textId="09C83131" w:rsidR="009672EB" w:rsidRDefault="009672EB">
    <w:pPr>
      <w:pStyle w:val="Header"/>
    </w:pPr>
  </w:p>
  <w:p w14:paraId="1273B191" w14:textId="77777777" w:rsidR="009672EB" w:rsidRDefault="0096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3B195" w14:textId="77777777" w:rsidR="009672EB" w:rsidRDefault="000756F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1273B19F" wp14:editId="1273B1A0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42C9EF" id="Straight Connector 4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19680" behindDoc="0" locked="1" layoutInCell="1" allowOverlap="1" wp14:anchorId="1273B1A1" wp14:editId="1273B1A2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3B1AF" w14:textId="77777777" w:rsidR="000756F7" w:rsidRPr="00143288" w:rsidRDefault="000756F7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BCBCBC" w:themeColor="background2" w:themeShade="E6"/>
                              <w:sz w:val="16"/>
                              <w:szCs w:val="16"/>
                            </w:rPr>
                          </w:pPr>
                          <w:r w:rsidRPr="00143288">
                            <w:rPr>
                              <w:i/>
                              <w:iCs/>
                              <w:color w:val="BCBCBC" w:themeColor="background2" w:themeShade="E6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3B1A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90.8pt;width:243.8pt;height:11.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EnCgIAAPEDAAAOAAAAZHJzL2Uyb0RvYy54bWysU9tu2zAMfR+wfxD0vthJk6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" filled="f" stroked="f">
              <v:textbox inset="15mm,0,0,0">
                <w:txbxContent>
                  <w:p w14:paraId="1273B1AF" w14:textId="77777777" w:rsidR="000756F7" w:rsidRPr="00143288" w:rsidRDefault="000756F7" w:rsidP="009672EB">
                    <w:pPr>
                      <w:spacing w:after="0" w:line="240" w:lineRule="auto"/>
                      <w:rPr>
                        <w:i/>
                        <w:iCs/>
                        <w:color w:val="BCBCBC" w:themeColor="background2" w:themeShade="E6"/>
                        <w:sz w:val="16"/>
                        <w:szCs w:val="16"/>
                      </w:rPr>
                    </w:pPr>
                    <w:r w:rsidRPr="00143288">
                      <w:rPr>
                        <w:i/>
                        <w:iCs/>
                        <w:color w:val="BCBCBC" w:themeColor="background2" w:themeShade="E6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18656" behindDoc="0" locked="1" layoutInCell="1" allowOverlap="1" wp14:anchorId="1273B1A3" wp14:editId="54E16A1D">
          <wp:simplePos x="0" y="0"/>
          <wp:positionH relativeFrom="page">
            <wp:posOffset>3020060</wp:posOffset>
          </wp:positionH>
          <wp:positionV relativeFrom="page">
            <wp:posOffset>292735</wp:posOffset>
          </wp:positionV>
          <wp:extent cx="1580400" cy="518400"/>
          <wp:effectExtent l="0" t="0" r="1270" b="0"/>
          <wp:wrapNone/>
          <wp:docPr id="11" name="Graphic 16" descr="NI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17632" behindDoc="0" locked="0" layoutInCell="1" allowOverlap="1" wp14:anchorId="1273B1A5" wp14:editId="4E05F816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13" name="Graphic 19" descr="Australian Government |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16608" behindDoc="0" locked="1" layoutInCell="1" allowOverlap="1" wp14:anchorId="1273B1A7" wp14:editId="39B55B1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14" name="Graphic 11" descr="Header bann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8562" r="-1" b="-1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4649AF"/>
    <w:multiLevelType w:val="hybridMultilevel"/>
    <w:tmpl w:val="E8F6AE60"/>
    <w:lvl w:ilvl="0" w:tplc="3AC2A1A2">
      <w:start w:val="1"/>
      <w:numFmt w:val="lowerLetter"/>
      <w:lvlText w:val="%1."/>
      <w:lvlJc w:val="left"/>
      <w:pPr>
        <w:ind w:left="1587" w:hanging="341"/>
      </w:pPr>
      <w:rPr>
        <w:rFonts w:ascii="Century Gothic" w:eastAsia="Century Gothic" w:hAnsi="Century Gothic" w:hint="default"/>
        <w:color w:val="2C3945"/>
        <w:spacing w:val="-1"/>
        <w:w w:val="99"/>
        <w:sz w:val="20"/>
        <w:szCs w:val="20"/>
      </w:rPr>
    </w:lvl>
    <w:lvl w:ilvl="1" w:tplc="2E5A9940">
      <w:start w:val="1"/>
      <w:numFmt w:val="bullet"/>
      <w:lvlText w:val="•"/>
      <w:lvlJc w:val="left"/>
      <w:pPr>
        <w:ind w:left="2445" w:hanging="341"/>
      </w:pPr>
      <w:rPr>
        <w:rFonts w:hint="default"/>
      </w:rPr>
    </w:lvl>
    <w:lvl w:ilvl="2" w:tplc="D7207BB2">
      <w:start w:val="1"/>
      <w:numFmt w:val="bullet"/>
      <w:lvlText w:val="•"/>
      <w:lvlJc w:val="left"/>
      <w:pPr>
        <w:ind w:left="3303" w:hanging="341"/>
      </w:pPr>
      <w:rPr>
        <w:rFonts w:hint="default"/>
      </w:rPr>
    </w:lvl>
    <w:lvl w:ilvl="3" w:tplc="E05A7456">
      <w:start w:val="1"/>
      <w:numFmt w:val="bullet"/>
      <w:lvlText w:val="•"/>
      <w:lvlJc w:val="left"/>
      <w:pPr>
        <w:ind w:left="4161" w:hanging="341"/>
      </w:pPr>
      <w:rPr>
        <w:rFonts w:hint="default"/>
      </w:rPr>
    </w:lvl>
    <w:lvl w:ilvl="4" w:tplc="942A7DA6">
      <w:start w:val="1"/>
      <w:numFmt w:val="bullet"/>
      <w:lvlText w:val="•"/>
      <w:lvlJc w:val="left"/>
      <w:pPr>
        <w:ind w:left="5018" w:hanging="341"/>
      </w:pPr>
      <w:rPr>
        <w:rFonts w:hint="default"/>
      </w:rPr>
    </w:lvl>
    <w:lvl w:ilvl="5" w:tplc="E7C86DA6">
      <w:start w:val="1"/>
      <w:numFmt w:val="bullet"/>
      <w:lvlText w:val="•"/>
      <w:lvlJc w:val="left"/>
      <w:pPr>
        <w:ind w:left="5876" w:hanging="341"/>
      </w:pPr>
      <w:rPr>
        <w:rFonts w:hint="default"/>
      </w:rPr>
    </w:lvl>
    <w:lvl w:ilvl="6" w:tplc="09CC1DD6">
      <w:start w:val="1"/>
      <w:numFmt w:val="bullet"/>
      <w:lvlText w:val="•"/>
      <w:lvlJc w:val="left"/>
      <w:pPr>
        <w:ind w:left="6734" w:hanging="341"/>
      </w:pPr>
      <w:rPr>
        <w:rFonts w:hint="default"/>
      </w:rPr>
    </w:lvl>
    <w:lvl w:ilvl="7" w:tplc="1B7EF1A6">
      <w:start w:val="1"/>
      <w:numFmt w:val="bullet"/>
      <w:lvlText w:val="•"/>
      <w:lvlJc w:val="left"/>
      <w:pPr>
        <w:ind w:left="7592" w:hanging="341"/>
      </w:pPr>
      <w:rPr>
        <w:rFonts w:hint="default"/>
      </w:rPr>
    </w:lvl>
    <w:lvl w:ilvl="8" w:tplc="2886ED4C">
      <w:start w:val="1"/>
      <w:numFmt w:val="bullet"/>
      <w:lvlText w:val="•"/>
      <w:lvlJc w:val="left"/>
      <w:pPr>
        <w:ind w:left="8449" w:hanging="341"/>
      </w:pPr>
      <w:rPr>
        <w:rFonts w:hint="default"/>
      </w:rPr>
    </w:lvl>
  </w:abstractNum>
  <w:abstractNum w:abstractNumId="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3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517C7"/>
    <w:multiLevelType w:val="hybridMultilevel"/>
    <w:tmpl w:val="A7948378"/>
    <w:lvl w:ilvl="0" w:tplc="24A408FA">
      <w:start w:val="3"/>
      <w:numFmt w:val="decimal"/>
      <w:lvlText w:val="%1"/>
      <w:lvlJc w:val="left"/>
      <w:pPr>
        <w:ind w:left="1399" w:hanging="323"/>
      </w:pPr>
      <w:rPr>
        <w:rFonts w:ascii="Century Gothic" w:eastAsia="Century Gothic" w:hAnsi="Century Gothic" w:hint="default"/>
        <w:color w:val="4E5560"/>
        <w:sz w:val="14"/>
        <w:szCs w:val="14"/>
      </w:rPr>
    </w:lvl>
    <w:lvl w:ilvl="1" w:tplc="BD3082EA">
      <w:start w:val="1"/>
      <w:numFmt w:val="bullet"/>
      <w:lvlText w:val="•"/>
      <w:lvlJc w:val="left"/>
      <w:pPr>
        <w:ind w:left="2276" w:hanging="323"/>
      </w:pPr>
      <w:rPr>
        <w:rFonts w:hint="default"/>
      </w:rPr>
    </w:lvl>
    <w:lvl w:ilvl="2" w:tplc="D82EE5DE">
      <w:start w:val="1"/>
      <w:numFmt w:val="bullet"/>
      <w:lvlText w:val="•"/>
      <w:lvlJc w:val="left"/>
      <w:pPr>
        <w:ind w:left="3152" w:hanging="323"/>
      </w:pPr>
      <w:rPr>
        <w:rFonts w:hint="default"/>
      </w:rPr>
    </w:lvl>
    <w:lvl w:ilvl="3" w:tplc="041AA80C">
      <w:start w:val="1"/>
      <w:numFmt w:val="bullet"/>
      <w:lvlText w:val="•"/>
      <w:lvlJc w:val="left"/>
      <w:pPr>
        <w:ind w:left="4029" w:hanging="323"/>
      </w:pPr>
      <w:rPr>
        <w:rFonts w:hint="default"/>
      </w:rPr>
    </w:lvl>
    <w:lvl w:ilvl="4" w:tplc="598CC81E">
      <w:start w:val="1"/>
      <w:numFmt w:val="bullet"/>
      <w:lvlText w:val="•"/>
      <w:lvlJc w:val="left"/>
      <w:pPr>
        <w:ind w:left="4906" w:hanging="323"/>
      </w:pPr>
      <w:rPr>
        <w:rFonts w:hint="default"/>
      </w:rPr>
    </w:lvl>
    <w:lvl w:ilvl="5" w:tplc="C3B488D6">
      <w:start w:val="1"/>
      <w:numFmt w:val="bullet"/>
      <w:lvlText w:val="•"/>
      <w:lvlJc w:val="left"/>
      <w:pPr>
        <w:ind w:left="5782" w:hanging="323"/>
      </w:pPr>
      <w:rPr>
        <w:rFonts w:hint="default"/>
      </w:rPr>
    </w:lvl>
    <w:lvl w:ilvl="6" w:tplc="FC4453AE">
      <w:start w:val="1"/>
      <w:numFmt w:val="bullet"/>
      <w:lvlText w:val="•"/>
      <w:lvlJc w:val="left"/>
      <w:pPr>
        <w:ind w:left="6659" w:hanging="323"/>
      </w:pPr>
      <w:rPr>
        <w:rFonts w:hint="default"/>
      </w:rPr>
    </w:lvl>
    <w:lvl w:ilvl="7" w:tplc="A9A4A9F2">
      <w:start w:val="1"/>
      <w:numFmt w:val="bullet"/>
      <w:lvlText w:val="•"/>
      <w:lvlJc w:val="left"/>
      <w:pPr>
        <w:ind w:left="7535" w:hanging="323"/>
      </w:pPr>
      <w:rPr>
        <w:rFonts w:hint="default"/>
      </w:rPr>
    </w:lvl>
    <w:lvl w:ilvl="8" w:tplc="2AAEA0EA">
      <w:start w:val="1"/>
      <w:numFmt w:val="bullet"/>
      <w:lvlText w:val="•"/>
      <w:lvlJc w:val="left"/>
      <w:pPr>
        <w:ind w:left="8412" w:hanging="323"/>
      </w:pPr>
      <w:rPr>
        <w:rFonts w:hint="default"/>
      </w:rPr>
    </w:lvl>
  </w:abstractNum>
  <w:abstractNum w:abstractNumId="5" w15:restartNumberingAfterBreak="0">
    <w:nsid w:val="2C8D4AC3"/>
    <w:multiLevelType w:val="hybridMultilevel"/>
    <w:tmpl w:val="B0089FFC"/>
    <w:lvl w:ilvl="0" w:tplc="74C8A93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20FC3"/>
    <w:multiLevelType w:val="hybridMultilevel"/>
    <w:tmpl w:val="AC28198A"/>
    <w:lvl w:ilvl="0" w:tplc="09345FF6">
      <w:start w:val="1"/>
      <w:numFmt w:val="lowerLetter"/>
      <w:lvlText w:val="%1."/>
      <w:lvlJc w:val="left"/>
      <w:pPr>
        <w:ind w:left="1587" w:hanging="341"/>
      </w:pPr>
      <w:rPr>
        <w:rFonts w:ascii="Century Gothic" w:eastAsia="Century Gothic" w:hAnsi="Century Gothic" w:hint="default"/>
        <w:color w:val="2C3945"/>
        <w:spacing w:val="-1"/>
        <w:w w:val="99"/>
        <w:sz w:val="20"/>
        <w:szCs w:val="20"/>
      </w:rPr>
    </w:lvl>
    <w:lvl w:ilvl="1" w:tplc="BA76CAF2">
      <w:start w:val="1"/>
      <w:numFmt w:val="bullet"/>
      <w:lvlText w:val="•"/>
      <w:lvlJc w:val="left"/>
      <w:pPr>
        <w:ind w:left="2445" w:hanging="341"/>
      </w:pPr>
      <w:rPr>
        <w:rFonts w:hint="default"/>
      </w:rPr>
    </w:lvl>
    <w:lvl w:ilvl="2" w:tplc="372C1C98">
      <w:start w:val="1"/>
      <w:numFmt w:val="bullet"/>
      <w:lvlText w:val="•"/>
      <w:lvlJc w:val="left"/>
      <w:pPr>
        <w:ind w:left="3303" w:hanging="341"/>
      </w:pPr>
      <w:rPr>
        <w:rFonts w:hint="default"/>
      </w:rPr>
    </w:lvl>
    <w:lvl w:ilvl="3" w:tplc="5EB4B53A">
      <w:start w:val="1"/>
      <w:numFmt w:val="bullet"/>
      <w:lvlText w:val="•"/>
      <w:lvlJc w:val="left"/>
      <w:pPr>
        <w:ind w:left="4161" w:hanging="341"/>
      </w:pPr>
      <w:rPr>
        <w:rFonts w:hint="default"/>
      </w:rPr>
    </w:lvl>
    <w:lvl w:ilvl="4" w:tplc="105E4FD2">
      <w:start w:val="1"/>
      <w:numFmt w:val="bullet"/>
      <w:lvlText w:val="•"/>
      <w:lvlJc w:val="left"/>
      <w:pPr>
        <w:ind w:left="5018" w:hanging="341"/>
      </w:pPr>
      <w:rPr>
        <w:rFonts w:hint="default"/>
      </w:rPr>
    </w:lvl>
    <w:lvl w:ilvl="5" w:tplc="BF9A2F56">
      <w:start w:val="1"/>
      <w:numFmt w:val="bullet"/>
      <w:lvlText w:val="•"/>
      <w:lvlJc w:val="left"/>
      <w:pPr>
        <w:ind w:left="5876" w:hanging="341"/>
      </w:pPr>
      <w:rPr>
        <w:rFonts w:hint="default"/>
      </w:rPr>
    </w:lvl>
    <w:lvl w:ilvl="6" w:tplc="7B5014FC">
      <w:start w:val="1"/>
      <w:numFmt w:val="bullet"/>
      <w:lvlText w:val="•"/>
      <w:lvlJc w:val="left"/>
      <w:pPr>
        <w:ind w:left="6734" w:hanging="341"/>
      </w:pPr>
      <w:rPr>
        <w:rFonts w:hint="default"/>
      </w:rPr>
    </w:lvl>
    <w:lvl w:ilvl="7" w:tplc="89202BA2">
      <w:start w:val="1"/>
      <w:numFmt w:val="bullet"/>
      <w:lvlText w:val="•"/>
      <w:lvlJc w:val="left"/>
      <w:pPr>
        <w:ind w:left="7592" w:hanging="341"/>
      </w:pPr>
      <w:rPr>
        <w:rFonts w:hint="default"/>
      </w:rPr>
    </w:lvl>
    <w:lvl w:ilvl="8" w:tplc="726CF2C8">
      <w:start w:val="1"/>
      <w:numFmt w:val="bullet"/>
      <w:lvlText w:val="•"/>
      <w:lvlJc w:val="left"/>
      <w:pPr>
        <w:ind w:left="8449" w:hanging="341"/>
      </w:pPr>
      <w:rPr>
        <w:rFonts w:hint="default"/>
      </w:rPr>
    </w:lvl>
  </w:abstractNum>
  <w:abstractNum w:abstractNumId="7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8" w15:restartNumberingAfterBreak="0">
    <w:nsid w:val="474C6453"/>
    <w:multiLevelType w:val="hybridMultilevel"/>
    <w:tmpl w:val="AA6806CC"/>
    <w:lvl w:ilvl="0" w:tplc="6F3E169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0" w15:restartNumberingAfterBreak="0">
    <w:nsid w:val="5E372CBB"/>
    <w:multiLevelType w:val="multilevel"/>
    <w:tmpl w:val="56A6B15A"/>
    <w:lvl w:ilvl="0">
      <w:start w:val="3"/>
      <w:numFmt w:val="decimal"/>
      <w:lvlText w:val="%1"/>
      <w:lvlJc w:val="left"/>
      <w:pPr>
        <w:ind w:left="158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7" w:hanging="567"/>
        <w:jc w:val="right"/>
      </w:pPr>
      <w:rPr>
        <w:rFonts w:ascii="Century Gothic" w:eastAsia="Century Gothic" w:hAnsi="Century Gothic" w:hint="default"/>
        <w:b/>
        <w:bCs/>
        <w:color w:val="E89958"/>
        <w:w w:val="99"/>
        <w:sz w:val="32"/>
        <w:szCs w:val="32"/>
      </w:rPr>
    </w:lvl>
    <w:lvl w:ilvl="2">
      <w:start w:val="1"/>
      <w:numFmt w:val="lowerLetter"/>
      <w:lvlText w:val="%3."/>
      <w:lvlJc w:val="left"/>
      <w:pPr>
        <w:ind w:left="680" w:hanging="341"/>
      </w:pPr>
      <w:rPr>
        <w:rFonts w:ascii="Century Gothic" w:eastAsia="Century Gothic" w:hAnsi="Century Gothic" w:hint="default"/>
        <w:color w:val="2C3945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907" w:hanging="227"/>
      </w:pPr>
      <w:rPr>
        <w:rFonts w:ascii="Century Gothic" w:eastAsia="Century Gothic" w:hAnsi="Century Gothic" w:hint="default"/>
        <w:b/>
        <w:bCs/>
        <w:color w:val="1A2C39"/>
        <w:sz w:val="20"/>
        <w:szCs w:val="20"/>
      </w:rPr>
    </w:lvl>
    <w:lvl w:ilvl="4">
      <w:start w:val="1"/>
      <w:numFmt w:val="bullet"/>
      <w:lvlText w:val="•"/>
      <w:lvlJc w:val="left"/>
      <w:pPr>
        <w:ind w:left="3632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227"/>
      </w:pPr>
      <w:rPr>
        <w:rFonts w:hint="default"/>
      </w:rPr>
    </w:lvl>
  </w:abstractNum>
  <w:abstractNum w:abstractNumId="11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3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4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4"/>
  </w:num>
  <w:num w:numId="5">
    <w:abstractNumId w:val="12"/>
  </w:num>
  <w:num w:numId="6">
    <w:abstractNumId w:val="11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7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7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7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7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12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12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7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7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9"/>
  </w:num>
  <w:num w:numId="20">
    <w:abstractNumId w:val="15"/>
  </w:num>
  <w:num w:numId="21">
    <w:abstractNumId w:val="0"/>
  </w:num>
  <w:num w:numId="22">
    <w:abstractNumId w:val="13"/>
  </w:num>
  <w:num w:numId="23">
    <w:abstractNumId w:val="13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7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7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7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6"/>
  </w:num>
  <w:num w:numId="28">
    <w:abstractNumId w:val="8"/>
  </w:num>
  <w:num w:numId="29">
    <w:abstractNumId w:val="4"/>
  </w:num>
  <w:num w:numId="30">
    <w:abstractNumId w:val="1"/>
  </w:num>
  <w:num w:numId="31">
    <w:abstractNumId w:val="10"/>
  </w:num>
  <w:num w:numId="32">
    <w:abstractNumId w:val="12"/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3F"/>
    <w:rsid w:val="00002F73"/>
    <w:rsid w:val="00005EC8"/>
    <w:rsid w:val="00007EB1"/>
    <w:rsid w:val="00014206"/>
    <w:rsid w:val="000230F3"/>
    <w:rsid w:val="00023AC4"/>
    <w:rsid w:val="000304B2"/>
    <w:rsid w:val="00031B5C"/>
    <w:rsid w:val="000335BB"/>
    <w:rsid w:val="00034193"/>
    <w:rsid w:val="00034FEC"/>
    <w:rsid w:val="00036016"/>
    <w:rsid w:val="000407C0"/>
    <w:rsid w:val="0004082F"/>
    <w:rsid w:val="00042E89"/>
    <w:rsid w:val="00044BF9"/>
    <w:rsid w:val="000503A6"/>
    <w:rsid w:val="00053CD9"/>
    <w:rsid w:val="00057B46"/>
    <w:rsid w:val="00060031"/>
    <w:rsid w:val="00063034"/>
    <w:rsid w:val="00073D52"/>
    <w:rsid w:val="000756F7"/>
    <w:rsid w:val="00076AD1"/>
    <w:rsid w:val="000803CA"/>
    <w:rsid w:val="00091BCD"/>
    <w:rsid w:val="0009265A"/>
    <w:rsid w:val="000947E0"/>
    <w:rsid w:val="00094B02"/>
    <w:rsid w:val="0009590F"/>
    <w:rsid w:val="00095BF3"/>
    <w:rsid w:val="000A041E"/>
    <w:rsid w:val="000A08CA"/>
    <w:rsid w:val="000A0E4C"/>
    <w:rsid w:val="000D0F98"/>
    <w:rsid w:val="000D106A"/>
    <w:rsid w:val="000D113F"/>
    <w:rsid w:val="000D6DAC"/>
    <w:rsid w:val="000E0AD5"/>
    <w:rsid w:val="000E351D"/>
    <w:rsid w:val="000E60F7"/>
    <w:rsid w:val="000F1B86"/>
    <w:rsid w:val="000F23B0"/>
    <w:rsid w:val="000F5917"/>
    <w:rsid w:val="001007B9"/>
    <w:rsid w:val="00105ECB"/>
    <w:rsid w:val="001063B0"/>
    <w:rsid w:val="001205C8"/>
    <w:rsid w:val="00125AE0"/>
    <w:rsid w:val="00131315"/>
    <w:rsid w:val="00132268"/>
    <w:rsid w:val="001336CF"/>
    <w:rsid w:val="00143288"/>
    <w:rsid w:val="001465D6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C2FC8"/>
    <w:rsid w:val="001D0F21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4705"/>
    <w:rsid w:val="00237365"/>
    <w:rsid w:val="00237DBB"/>
    <w:rsid w:val="00250BE6"/>
    <w:rsid w:val="00252F38"/>
    <w:rsid w:val="00260C56"/>
    <w:rsid w:val="00264A5E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B3681"/>
    <w:rsid w:val="002B4B0A"/>
    <w:rsid w:val="002C0866"/>
    <w:rsid w:val="002C5F5B"/>
    <w:rsid w:val="002C777D"/>
    <w:rsid w:val="002D40B1"/>
    <w:rsid w:val="002D45CD"/>
    <w:rsid w:val="002D4E92"/>
    <w:rsid w:val="002D7026"/>
    <w:rsid w:val="002D75F9"/>
    <w:rsid w:val="002E07AC"/>
    <w:rsid w:val="002E6AA1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55315"/>
    <w:rsid w:val="00363AE5"/>
    <w:rsid w:val="003848EF"/>
    <w:rsid w:val="00385B65"/>
    <w:rsid w:val="00391929"/>
    <w:rsid w:val="003A36F3"/>
    <w:rsid w:val="003A3E57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4CEB"/>
    <w:rsid w:val="004163FA"/>
    <w:rsid w:val="00423E92"/>
    <w:rsid w:val="004257F1"/>
    <w:rsid w:val="004366AE"/>
    <w:rsid w:val="0044371A"/>
    <w:rsid w:val="00454696"/>
    <w:rsid w:val="004616FF"/>
    <w:rsid w:val="00463C25"/>
    <w:rsid w:val="00467A4B"/>
    <w:rsid w:val="004759ED"/>
    <w:rsid w:val="004945F7"/>
    <w:rsid w:val="004957BB"/>
    <w:rsid w:val="00497F14"/>
    <w:rsid w:val="004A1A4F"/>
    <w:rsid w:val="004B2CB0"/>
    <w:rsid w:val="004B7B8B"/>
    <w:rsid w:val="004C18F6"/>
    <w:rsid w:val="004C35E2"/>
    <w:rsid w:val="004C6518"/>
    <w:rsid w:val="004D0B40"/>
    <w:rsid w:val="004D24EB"/>
    <w:rsid w:val="004D4AA7"/>
    <w:rsid w:val="004D688C"/>
    <w:rsid w:val="004E58AE"/>
    <w:rsid w:val="004F20A9"/>
    <w:rsid w:val="004F73E8"/>
    <w:rsid w:val="005037FC"/>
    <w:rsid w:val="00504D60"/>
    <w:rsid w:val="0051316F"/>
    <w:rsid w:val="00523958"/>
    <w:rsid w:val="00531520"/>
    <w:rsid w:val="0053301E"/>
    <w:rsid w:val="005370B2"/>
    <w:rsid w:val="005400C8"/>
    <w:rsid w:val="00543E44"/>
    <w:rsid w:val="00543FDE"/>
    <w:rsid w:val="00552F1C"/>
    <w:rsid w:val="00562166"/>
    <w:rsid w:val="005654A0"/>
    <w:rsid w:val="00574F28"/>
    <w:rsid w:val="00576C8D"/>
    <w:rsid w:val="0058793B"/>
    <w:rsid w:val="005917FA"/>
    <w:rsid w:val="00596D03"/>
    <w:rsid w:val="005A0DE7"/>
    <w:rsid w:val="005A298B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E7B51"/>
    <w:rsid w:val="005F3D48"/>
    <w:rsid w:val="005F79CC"/>
    <w:rsid w:val="00602577"/>
    <w:rsid w:val="00603EA6"/>
    <w:rsid w:val="00603FC1"/>
    <w:rsid w:val="0061381E"/>
    <w:rsid w:val="006151E8"/>
    <w:rsid w:val="006159CC"/>
    <w:rsid w:val="006173D0"/>
    <w:rsid w:val="006201D7"/>
    <w:rsid w:val="006208C6"/>
    <w:rsid w:val="006267BF"/>
    <w:rsid w:val="00626CA4"/>
    <w:rsid w:val="0062796C"/>
    <w:rsid w:val="00637A3D"/>
    <w:rsid w:val="006427AA"/>
    <w:rsid w:val="006429D7"/>
    <w:rsid w:val="006454DC"/>
    <w:rsid w:val="00657D2D"/>
    <w:rsid w:val="00661E36"/>
    <w:rsid w:val="00663EAD"/>
    <w:rsid w:val="006674FC"/>
    <w:rsid w:val="006719C9"/>
    <w:rsid w:val="006734B9"/>
    <w:rsid w:val="00675B34"/>
    <w:rsid w:val="00682080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31EEF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C5DA1"/>
    <w:rsid w:val="007D680C"/>
    <w:rsid w:val="007F6118"/>
    <w:rsid w:val="007F7FED"/>
    <w:rsid w:val="008051C4"/>
    <w:rsid w:val="00805B42"/>
    <w:rsid w:val="00806393"/>
    <w:rsid w:val="0081512D"/>
    <w:rsid w:val="00816393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1EF0"/>
    <w:rsid w:val="00873DED"/>
    <w:rsid w:val="00877425"/>
    <w:rsid w:val="008777F4"/>
    <w:rsid w:val="00880786"/>
    <w:rsid w:val="008A6759"/>
    <w:rsid w:val="008B13B1"/>
    <w:rsid w:val="008B493F"/>
    <w:rsid w:val="008C115E"/>
    <w:rsid w:val="008C6C5C"/>
    <w:rsid w:val="008D0504"/>
    <w:rsid w:val="008D1256"/>
    <w:rsid w:val="008D275A"/>
    <w:rsid w:val="008D437D"/>
    <w:rsid w:val="008E109E"/>
    <w:rsid w:val="008E66E6"/>
    <w:rsid w:val="008F112A"/>
    <w:rsid w:val="00900D4B"/>
    <w:rsid w:val="009014BC"/>
    <w:rsid w:val="00902CAC"/>
    <w:rsid w:val="009036CA"/>
    <w:rsid w:val="009166D6"/>
    <w:rsid w:val="00917F95"/>
    <w:rsid w:val="00923EDF"/>
    <w:rsid w:val="0093055C"/>
    <w:rsid w:val="00935AD4"/>
    <w:rsid w:val="00937CE1"/>
    <w:rsid w:val="0094513B"/>
    <w:rsid w:val="0094688C"/>
    <w:rsid w:val="00950DEC"/>
    <w:rsid w:val="00963FB3"/>
    <w:rsid w:val="009672EB"/>
    <w:rsid w:val="009713F9"/>
    <w:rsid w:val="00973090"/>
    <w:rsid w:val="0099436F"/>
    <w:rsid w:val="009959E0"/>
    <w:rsid w:val="00996BEA"/>
    <w:rsid w:val="009A33FB"/>
    <w:rsid w:val="009A5056"/>
    <w:rsid w:val="009B1A44"/>
    <w:rsid w:val="009B300F"/>
    <w:rsid w:val="009B4379"/>
    <w:rsid w:val="009C62E4"/>
    <w:rsid w:val="009D161E"/>
    <w:rsid w:val="009F6276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AA3"/>
    <w:rsid w:val="00AC4EB2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077FF"/>
    <w:rsid w:val="00B13055"/>
    <w:rsid w:val="00B20479"/>
    <w:rsid w:val="00B24D0A"/>
    <w:rsid w:val="00B3317D"/>
    <w:rsid w:val="00B36583"/>
    <w:rsid w:val="00B37705"/>
    <w:rsid w:val="00B455C1"/>
    <w:rsid w:val="00B53058"/>
    <w:rsid w:val="00B83B2F"/>
    <w:rsid w:val="00B84990"/>
    <w:rsid w:val="00B87E45"/>
    <w:rsid w:val="00B935ED"/>
    <w:rsid w:val="00B95533"/>
    <w:rsid w:val="00BB0F68"/>
    <w:rsid w:val="00BB1FFF"/>
    <w:rsid w:val="00BB2567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0538B"/>
    <w:rsid w:val="00C241A5"/>
    <w:rsid w:val="00C372E2"/>
    <w:rsid w:val="00C464A7"/>
    <w:rsid w:val="00C511C3"/>
    <w:rsid w:val="00C51C42"/>
    <w:rsid w:val="00C52329"/>
    <w:rsid w:val="00C5771B"/>
    <w:rsid w:val="00C57F4E"/>
    <w:rsid w:val="00C66A73"/>
    <w:rsid w:val="00C67AA6"/>
    <w:rsid w:val="00C80CAE"/>
    <w:rsid w:val="00C86AD9"/>
    <w:rsid w:val="00C86F22"/>
    <w:rsid w:val="00C91A83"/>
    <w:rsid w:val="00C9650F"/>
    <w:rsid w:val="00C9741E"/>
    <w:rsid w:val="00CA129C"/>
    <w:rsid w:val="00CA33C7"/>
    <w:rsid w:val="00CB2C58"/>
    <w:rsid w:val="00CB38A3"/>
    <w:rsid w:val="00CB3B70"/>
    <w:rsid w:val="00CC1475"/>
    <w:rsid w:val="00CC6B7E"/>
    <w:rsid w:val="00CD145A"/>
    <w:rsid w:val="00CD730D"/>
    <w:rsid w:val="00CE1635"/>
    <w:rsid w:val="00CF0D33"/>
    <w:rsid w:val="00CF7819"/>
    <w:rsid w:val="00D171A8"/>
    <w:rsid w:val="00D41A54"/>
    <w:rsid w:val="00D4602A"/>
    <w:rsid w:val="00D4643A"/>
    <w:rsid w:val="00D46EB7"/>
    <w:rsid w:val="00D52159"/>
    <w:rsid w:val="00D544F9"/>
    <w:rsid w:val="00D54C52"/>
    <w:rsid w:val="00D54CE5"/>
    <w:rsid w:val="00D55E22"/>
    <w:rsid w:val="00D611A9"/>
    <w:rsid w:val="00D620F7"/>
    <w:rsid w:val="00D621F3"/>
    <w:rsid w:val="00D8768A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03D29"/>
    <w:rsid w:val="00E14B90"/>
    <w:rsid w:val="00E23B18"/>
    <w:rsid w:val="00E316A2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F0BD4"/>
    <w:rsid w:val="00EF125F"/>
    <w:rsid w:val="00EF2497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651C4"/>
    <w:rsid w:val="00F7682E"/>
    <w:rsid w:val="00F81671"/>
    <w:rsid w:val="00F92C57"/>
    <w:rsid w:val="00F9344F"/>
    <w:rsid w:val="00F97B14"/>
    <w:rsid w:val="00FB20C4"/>
    <w:rsid w:val="00FB3C96"/>
    <w:rsid w:val="00FB523F"/>
    <w:rsid w:val="00FB60EF"/>
    <w:rsid w:val="00FC3D4F"/>
    <w:rsid w:val="00FC49FB"/>
    <w:rsid w:val="00FC5756"/>
    <w:rsid w:val="00FD659E"/>
    <w:rsid w:val="00FE6A0D"/>
    <w:rsid w:val="00FE7253"/>
    <w:rsid w:val="00FF2D8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3B159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6F173B"/>
    <w:pPr>
      <w:keepNext/>
      <w:keepLines/>
      <w:outlineLvl w:val="0"/>
    </w:pPr>
    <w:rPr>
      <w:rFonts w:asciiTheme="majorHAnsi" w:hAnsiTheme="majorHAnsi"/>
      <w:b/>
      <w:color w:val="DD7500" w:themeColor="accent4"/>
      <w:sz w:val="60"/>
      <w:szCs w:val="60"/>
    </w:rPr>
  </w:style>
  <w:style w:type="paragraph" w:styleId="Heading2">
    <w:name w:val="heading 2"/>
    <w:basedOn w:val="Caption"/>
    <w:next w:val="BodyText"/>
    <w:link w:val="Heading2Char"/>
    <w:uiPriority w:val="9"/>
    <w:unhideWhenUsed/>
    <w:qFormat/>
    <w:rsid w:val="00D8768A"/>
    <w:pPr>
      <w:jc w:val="center"/>
      <w:outlineLvl w:val="1"/>
    </w:pPr>
    <w:rPr>
      <w:sz w:val="32"/>
      <w:szCs w:val="32"/>
    </w:rPr>
  </w:style>
  <w:style w:type="paragraph" w:styleId="Heading3">
    <w:name w:val="heading 3"/>
    <w:basedOn w:val="BulletedListlvl1"/>
    <w:next w:val="BodyText"/>
    <w:link w:val="Heading3Char"/>
    <w:uiPriority w:val="9"/>
    <w:unhideWhenUsed/>
    <w:qFormat/>
    <w:rsid w:val="00D8768A"/>
    <w:pPr>
      <w:numPr>
        <w:numId w:val="0"/>
      </w:numPr>
      <w:outlineLvl w:val="2"/>
    </w:pPr>
    <w:rPr>
      <w:rFonts w:asciiTheme="majorHAnsi" w:hAnsiTheme="majorHAnsi"/>
      <w:b/>
      <w:iCs/>
      <w:color w:val="00948D" w:themeColor="accent3"/>
      <w:sz w:val="32"/>
      <w:szCs w:val="32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6F173B"/>
    <w:pPr>
      <w:spacing w:before="240"/>
      <w:outlineLvl w:val="3"/>
    </w:pPr>
    <w:rPr>
      <w:rFonts w:asciiTheme="majorHAnsi" w:hAnsiTheme="majorHAnsi"/>
      <w:color w:val="DD7500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6F173B"/>
    <w:rPr>
      <w:rFonts w:asciiTheme="majorHAnsi" w:hAnsiTheme="majorHAnsi"/>
      <w:b/>
      <w:color w:val="DD7500" w:themeColor="accent4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8768A"/>
    <w:rPr>
      <w:rFonts w:asciiTheme="majorHAnsi" w:hAnsiTheme="majorHAnsi"/>
      <w:b/>
      <w:iCs/>
      <w:color w:val="00948D" w:themeColor="accent3"/>
      <w:sz w:val="32"/>
      <w:szCs w:val="32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8768A"/>
    <w:rPr>
      <w:rFonts w:asciiTheme="majorHAnsi" w:hAnsiTheme="majorHAnsi"/>
      <w:b/>
      <w:iCs/>
      <w:color w:val="00948D" w:themeColor="accent3"/>
      <w:sz w:val="32"/>
      <w:szCs w:val="32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F173B"/>
    <w:rPr>
      <w:rFonts w:asciiTheme="majorHAnsi" w:hAnsiTheme="majorHAnsi"/>
      <w:color w:val="DD7500" w:themeColor="accent4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6F173B"/>
  </w:style>
  <w:style w:type="character" w:customStyle="1" w:styleId="TitleChar">
    <w:name w:val="Title Char"/>
    <w:basedOn w:val="DefaultParagraphFont"/>
    <w:link w:val="Title"/>
    <w:rsid w:val="006F173B"/>
    <w:rPr>
      <w:rFonts w:asciiTheme="majorHAnsi" w:hAnsiTheme="majorHAnsi"/>
      <w:b/>
      <w:color w:val="DD7500" w:themeColor="accent4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6F173B"/>
    <w:pPr>
      <w:numPr>
        <w:ilvl w:val="1"/>
      </w:numPr>
      <w:spacing w:before="120" w:after="360"/>
    </w:pPr>
    <w:rPr>
      <w:rFonts w:asciiTheme="majorHAnsi" w:eastAsiaTheme="minorEastAsia" w:hAnsiTheme="majorHAnsi"/>
      <w:color w:val="DD7500" w:themeColor="accent4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6F173B"/>
    <w:rPr>
      <w:rFonts w:asciiTheme="majorHAnsi" w:eastAsiaTheme="minorEastAsia" w:hAnsiTheme="majorHAnsi"/>
      <w:color w:val="DD7500" w:themeColor="accent4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1465D6"/>
    <w:rPr>
      <w:color w:val="0289C8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1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niaa.gov.au/ip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niaa.gov.au/ipp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89C38FFA1548D2B6CE83D291A7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1E034-75C7-42D3-8A1F-912331980699}"/>
      </w:docPartPr>
      <w:docPartBody>
        <w:p w:rsidR="00C1171E" w:rsidRDefault="006F127D">
          <w:pPr>
            <w:pStyle w:val="C989C38FFA1548D2B6CE83D291A7FF88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7D"/>
    <w:rsid w:val="0002085F"/>
    <w:rsid w:val="00042FE5"/>
    <w:rsid w:val="00372D61"/>
    <w:rsid w:val="004766AB"/>
    <w:rsid w:val="00680462"/>
    <w:rsid w:val="006F127D"/>
    <w:rsid w:val="0077488E"/>
    <w:rsid w:val="007A75A2"/>
    <w:rsid w:val="00810EDD"/>
    <w:rsid w:val="00C1171E"/>
    <w:rsid w:val="00D5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C989C38FFA1548D2B6CE83D291A7FF88">
    <w:name w:val="C989C38FFA1548D2B6CE83D291A7F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Name/>
  <Classification/>
  <DLM/>
  <SectionName>Indigenous Procurement Policy</SectionName>
  <DH/>
  <Bylin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D3F80D6D-5FC8-4923-8A00-200FA806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2022-06-03T03:15:00Z</dcterms:created>
  <dcterms:modified xsi:type="dcterms:W3CDTF">2022-06-03T03:15:00Z</dcterms:modified>
</cp:coreProperties>
</file>