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1BF4" w14:textId="77777777" w:rsidR="006B0488" w:rsidRPr="00EC1CC7" w:rsidRDefault="005C5038" w:rsidP="00EC1CC7">
      <w:pPr>
        <w:pStyle w:val="ProtectiveMarking"/>
        <w:rPr>
          <w:caps w:val="0"/>
          <w:noProof w:val="0"/>
          <w:color w:val="191919" w:themeColor="text1" w:themeTint="E6"/>
        </w:rPr>
      </w:pPr>
      <w:sdt>
        <w:sdtPr>
          <w:alias w:val="Classification"/>
          <w:tag w:val="Classification"/>
          <w:id w:val="-521240474"/>
          <w:showingPlcHdr/>
          <w:dataBinding w:xpath="/root[1]/Classification[1]" w:storeItemID="{F533AE62-A212-4B26-92DA-A3B336E8AE06}"/>
          <w:dropDownList w:lastValue="">
            <w:listItem w:displayText="Choose Classification" w:value="Choose Classification"/>
            <w:listItem w:value="None"/>
            <w:listItem w:displayText="UNOFFICIAL" w:value="UNOFFICIAL"/>
            <w:listItem w:displayText="OFFICIAL" w:value="OFFICIAL"/>
            <w:listItem w:displayText="OFFICIAL: SENSITIVE" w:value="OFFICIAL: SENSITIVE"/>
            <w:listItem w:displayText="PROTECTED" w:value="PROTECTED"/>
            <w:listItem w:displayText="SECRET" w:value="SECRET"/>
            <w:listItem w:displayText="TOP SECRET AND CODEWORD" w:value="TOP SECRET AND CODEWORD"/>
          </w:dropDownList>
        </w:sdtPr>
        <w:sdtEndPr/>
        <w:sdtContent>
          <w:r w:rsidR="00FF6C17">
            <w:t xml:space="preserve">     </w:t>
          </w:r>
        </w:sdtContent>
      </w:sdt>
      <w:r w:rsidR="0040648D">
        <w:rPr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1E781FE" wp14:editId="5972D92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A91866B5B46741EBBD00B9E1C3DD1B2F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14:paraId="13E40F75" w14:textId="77777777" w:rsidR="0040648D" w:rsidRPr="00C91A83" w:rsidRDefault="00A667C2" w:rsidP="0040648D">
                                <w:pPr>
                                  <w:pStyle w:val="SectionNameRev"/>
                                </w:pPr>
                                <w:r>
                                  <w:t>Indigenous Procurement Policy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81F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A91866B5B46741EBBD00B9E1C3DD1B2F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14:paraId="13E40F75" w14:textId="77777777" w:rsidR="0040648D" w:rsidRPr="00C91A83" w:rsidRDefault="00A667C2" w:rsidP="0040648D">
                          <w:pPr>
                            <w:pStyle w:val="SectionNameRev"/>
                          </w:pPr>
                          <w:r>
                            <w:t>Indigenous Procurement Policy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6909FF5D" w14:textId="77777777" w:rsidR="00EC1CC7" w:rsidRDefault="00EC1CC7" w:rsidP="00FF6C17">
      <w:pPr>
        <w:pStyle w:val="Title"/>
        <w:jc w:val="center"/>
        <w:rPr>
          <w:color w:val="00948D" w:themeColor="accent3"/>
          <w:sz w:val="52"/>
          <w:szCs w:val="52"/>
        </w:rPr>
        <w:sectPr w:rsidR="00EC1CC7" w:rsidSect="00FF6C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</w:p>
    <w:p w14:paraId="3F969516" w14:textId="77777777" w:rsidR="00FF6C17" w:rsidRPr="00771258" w:rsidRDefault="00FF6C17" w:rsidP="00FF6C17">
      <w:pPr>
        <w:pStyle w:val="Title"/>
        <w:jc w:val="center"/>
        <w:rPr>
          <w:color w:val="00948D" w:themeColor="accent3"/>
          <w:sz w:val="48"/>
          <w:szCs w:val="48"/>
        </w:rPr>
      </w:pPr>
      <w:r w:rsidRPr="00771258">
        <w:rPr>
          <w:color w:val="00948D" w:themeColor="accent3"/>
          <w:sz w:val="48"/>
          <w:szCs w:val="48"/>
        </w:rPr>
        <w:t>Indigenous Procurement Policy (IPP)</w:t>
      </w:r>
    </w:p>
    <w:p w14:paraId="0EE241F7" w14:textId="6A2BDB44" w:rsidR="00F10D8B" w:rsidRDefault="00FF6C17" w:rsidP="00F10D8B">
      <w:pPr>
        <w:pStyle w:val="BodyText"/>
        <w:rPr>
          <w:rFonts w:ascii="Century Gothic"/>
          <w:b/>
          <w:color w:val="1A2C39"/>
        </w:rPr>
      </w:pPr>
      <w:r w:rsidRPr="00FF6C17">
        <w:rPr>
          <w:rFonts w:ascii="Century Gothic"/>
          <w:b/>
          <w:color w:val="1A2C39"/>
        </w:rPr>
        <w:t xml:space="preserve">The IPP </w:t>
      </w:r>
      <w:r w:rsidR="00D851C8">
        <w:rPr>
          <w:rFonts w:ascii="Century Gothic"/>
          <w:b/>
          <w:color w:val="1A2C39"/>
        </w:rPr>
        <w:t xml:space="preserve">stimulates </w:t>
      </w:r>
      <w:r w:rsidRPr="00FF6C17">
        <w:rPr>
          <w:rFonts w:ascii="Century Gothic"/>
          <w:b/>
          <w:color w:val="1A2C39"/>
        </w:rPr>
        <w:t xml:space="preserve">Indigenous entrepreneurship and </w:t>
      </w:r>
      <w:r w:rsidR="006A302A">
        <w:rPr>
          <w:rFonts w:ascii="Century Gothic"/>
          <w:b/>
          <w:color w:val="1A2C39"/>
        </w:rPr>
        <w:t>business</w:t>
      </w:r>
      <w:r w:rsidR="006A302A" w:rsidRPr="00FF6C17">
        <w:rPr>
          <w:rFonts w:ascii="Century Gothic"/>
          <w:b/>
          <w:color w:val="1A2C39"/>
        </w:rPr>
        <w:t xml:space="preserve"> </w:t>
      </w:r>
      <w:r w:rsidRPr="00FF6C17">
        <w:rPr>
          <w:rFonts w:ascii="Century Gothic"/>
          <w:b/>
          <w:color w:val="1A2C39"/>
        </w:rPr>
        <w:t xml:space="preserve">development, providing </w:t>
      </w:r>
      <w:r w:rsidR="00445D38">
        <w:rPr>
          <w:rFonts w:ascii="Century Gothic"/>
          <w:b/>
          <w:color w:val="1A2C39"/>
        </w:rPr>
        <w:t xml:space="preserve">Aboriginal and Torres Strait Islander peoples </w:t>
      </w:r>
      <w:r w:rsidRPr="00FF6C17">
        <w:rPr>
          <w:rFonts w:ascii="Century Gothic"/>
          <w:b/>
          <w:color w:val="1A2C39"/>
        </w:rPr>
        <w:t>with more opportunities to participate in the economy</w:t>
      </w:r>
      <w:r w:rsidR="00D851C8">
        <w:rPr>
          <w:rFonts w:ascii="Century Gothic"/>
          <w:b/>
          <w:color w:val="1A2C39"/>
        </w:rPr>
        <w:t xml:space="preserve">. </w:t>
      </w:r>
      <w:r w:rsidR="00D851C8" w:rsidRPr="00F10D8B">
        <w:rPr>
          <w:rFonts w:ascii="Century Gothic"/>
          <w:b/>
          <w:color w:val="1A2C39"/>
        </w:rPr>
        <w:t>Since 2015, the IPP has generated more than $</w:t>
      </w:r>
      <w:r w:rsidR="0077609F">
        <w:rPr>
          <w:rFonts w:ascii="Century Gothic"/>
          <w:b/>
          <w:color w:val="1A2C39"/>
        </w:rPr>
        <w:t>5</w:t>
      </w:r>
      <w:r w:rsidR="00D851C8" w:rsidRPr="00F10D8B">
        <w:rPr>
          <w:rFonts w:ascii="Century Gothic"/>
          <w:b/>
          <w:color w:val="1A2C39"/>
        </w:rPr>
        <w:t xml:space="preserve"> billion in economic activity for</w:t>
      </w:r>
      <w:r w:rsidR="00E20081">
        <w:rPr>
          <w:rFonts w:ascii="Century Gothic"/>
          <w:b/>
          <w:color w:val="1A2C39"/>
        </w:rPr>
        <w:t xml:space="preserve"> the Indigenous business sector.</w:t>
      </w:r>
    </w:p>
    <w:p w14:paraId="2F87AB27" w14:textId="77777777" w:rsidR="00DD1122" w:rsidRPr="00F10D8B" w:rsidRDefault="00DD1122" w:rsidP="00F10D8B">
      <w:pPr>
        <w:pStyle w:val="BodyText"/>
        <w:rPr>
          <w:rFonts w:ascii="Century Gothic"/>
          <w:b/>
          <w:color w:val="1A2C39"/>
        </w:rPr>
        <w:sectPr w:rsidR="00DD1122" w:rsidRPr="00F10D8B" w:rsidSect="00EC1CC7">
          <w:type w:val="continuous"/>
          <w:pgSz w:w="11906" w:h="16838"/>
          <w:pgMar w:top="1559" w:right="851" w:bottom="1701" w:left="851" w:header="567" w:footer="57" w:gutter="0"/>
          <w:cols w:space="708"/>
          <w:titlePg/>
          <w:docGrid w:linePitch="360"/>
        </w:sectPr>
      </w:pPr>
    </w:p>
    <w:p w14:paraId="15D38839" w14:textId="0720B7A6" w:rsidR="00F10D8B" w:rsidRPr="0079782A" w:rsidRDefault="00F10D8B" w:rsidP="0079782A">
      <w:pPr>
        <w:pStyle w:val="Heading2"/>
      </w:pPr>
      <w:r w:rsidRPr="0079782A">
        <w:t xml:space="preserve">Policy </w:t>
      </w:r>
      <w:r w:rsidR="00DD1122" w:rsidRPr="0079782A">
        <w:t>c</w:t>
      </w:r>
      <w:r w:rsidRPr="0079782A">
        <w:t>ontext</w:t>
      </w:r>
    </w:p>
    <w:p w14:paraId="6F1DA894" w14:textId="6B5CB429" w:rsidR="00F10D8B" w:rsidRPr="00F10D8B" w:rsidRDefault="00F10D8B" w:rsidP="00F10D8B">
      <w:pPr>
        <w:pStyle w:val="BodyText"/>
        <w:spacing w:before="160" w:line="254" w:lineRule="auto"/>
        <w:ind w:right="723"/>
        <w:rPr>
          <w:rFonts w:ascii="Century Gothic" w:eastAsiaTheme="majorEastAsia" w:hAnsiTheme="majorHAnsi" w:cstheme="majorBidi"/>
          <w:b/>
          <w:color w:val="1A2C39"/>
          <w:spacing w:val="-1"/>
          <w:szCs w:val="40"/>
        </w:rPr>
      </w:pPr>
      <w:r w:rsidRPr="00BC3A56">
        <w:rPr>
          <w:rFonts w:ascii="Century Gothic"/>
          <w:color w:val="1A2C39"/>
          <w:spacing w:val="-1"/>
        </w:rPr>
        <w:t>Non-corporate Commonwealth entities must comply with the IPP.</w:t>
      </w:r>
      <w:r>
        <w:rPr>
          <w:rFonts w:ascii="Century Gothic"/>
          <w:color w:val="1A2C39"/>
          <w:spacing w:val="-1"/>
        </w:rPr>
        <w:t xml:space="preserve"> </w:t>
      </w:r>
      <w:r w:rsidRPr="00F10D8B">
        <w:rPr>
          <w:rFonts w:ascii="Century Gothic"/>
          <w:color w:val="1A2C39"/>
          <w:spacing w:val="-1"/>
        </w:rPr>
        <w:t>The IPP is a Procurement-Connected Policy</w:t>
      </w:r>
      <w:r>
        <w:rPr>
          <w:rFonts w:ascii="Century Gothic"/>
          <w:color w:val="1A2C39"/>
          <w:spacing w:val="-1"/>
        </w:rPr>
        <w:t xml:space="preserve">, supporting </w:t>
      </w:r>
      <w:r w:rsidRPr="00F10D8B">
        <w:rPr>
          <w:rFonts w:ascii="Century Gothic"/>
          <w:color w:val="1A2C39"/>
          <w:spacing w:val="-1"/>
        </w:rPr>
        <w:t>government objectives through Commonwealth procurement activities.</w:t>
      </w:r>
      <w:r>
        <w:rPr>
          <w:color w:val="1A2C39"/>
          <w:spacing w:val="-1"/>
        </w:rPr>
        <w:t xml:space="preserve"> </w:t>
      </w:r>
    </w:p>
    <w:p w14:paraId="3BBEA027" w14:textId="139420FC" w:rsidR="00DD1122" w:rsidRDefault="00F10D8B" w:rsidP="002625D7">
      <w:pPr>
        <w:pStyle w:val="BodyText"/>
        <w:rPr>
          <w:rFonts w:ascii="Century Gothic" w:eastAsiaTheme="majorEastAsia" w:hAnsiTheme="majorHAnsi" w:cstheme="majorBidi"/>
          <w:color w:val="1A2C39"/>
          <w:szCs w:val="40"/>
        </w:rPr>
      </w:pPr>
      <w:r w:rsidRPr="00F10D8B">
        <w:rPr>
          <w:rFonts w:ascii="Century Gothic" w:eastAsiaTheme="majorEastAsia" w:hAnsiTheme="majorHAnsi" w:cstheme="majorBidi"/>
          <w:color w:val="1A2C39"/>
          <w:szCs w:val="40"/>
        </w:rPr>
        <w:t>The policy increases opportunities for Indigenous Australians to participa</w:t>
      </w:r>
      <w:r w:rsidR="00DD1122">
        <w:rPr>
          <w:rFonts w:ascii="Century Gothic" w:eastAsiaTheme="majorEastAsia" w:hAnsiTheme="majorHAnsi" w:cstheme="majorBidi"/>
          <w:color w:val="1A2C39"/>
          <w:szCs w:val="40"/>
        </w:rPr>
        <w:t>te in the economy in three ways:</w:t>
      </w:r>
    </w:p>
    <w:p w14:paraId="52A48521" w14:textId="77777777" w:rsidR="0079782A" w:rsidRDefault="002625D7" w:rsidP="0079782A">
      <w:pPr>
        <w:pStyle w:val="BodyText"/>
        <w:outlineLvl w:val="1"/>
        <w:rPr>
          <w:rFonts w:ascii="Century Gothic"/>
          <w:color w:val="1A2C39"/>
          <w:spacing w:val="-5"/>
        </w:rPr>
      </w:pPr>
      <w:r w:rsidRPr="0079782A">
        <w:rPr>
          <w:rStyle w:val="Heading2Char"/>
        </w:rPr>
        <w:t>Annual portfolio targets</w:t>
      </w:r>
      <w:r>
        <w:rPr>
          <w:rFonts w:ascii="Century Gothic"/>
          <w:color w:val="1A2C39"/>
          <w:spacing w:val="-5"/>
        </w:rPr>
        <w:t xml:space="preserve"> </w:t>
      </w:r>
    </w:p>
    <w:p w14:paraId="0E190F78" w14:textId="7C10C804" w:rsidR="00DD1122" w:rsidRDefault="002625D7" w:rsidP="0079782A">
      <w:pPr>
        <w:pStyle w:val="BodyText"/>
        <w:rPr>
          <w:rFonts w:ascii="Century Gothic"/>
          <w:color w:val="1A2C39"/>
          <w:spacing w:val="-1"/>
        </w:rPr>
      </w:pPr>
      <w:r w:rsidRPr="00F10D8B">
        <w:rPr>
          <w:rFonts w:ascii="Century Gothic"/>
          <w:b/>
          <w:color w:val="1A2C39"/>
          <w:spacing w:val="-5"/>
        </w:rPr>
        <w:t>1.</w:t>
      </w:r>
      <w:r>
        <w:rPr>
          <w:rFonts w:ascii="Century Gothic"/>
          <w:color w:val="1A2C39"/>
          <w:spacing w:val="-5"/>
        </w:rPr>
        <w:t xml:space="preserve"> </w:t>
      </w:r>
      <w:r w:rsidR="00730605">
        <w:rPr>
          <w:rFonts w:ascii="Century Gothic"/>
          <w:color w:val="1A2C39"/>
          <w:spacing w:val="-5"/>
        </w:rPr>
        <w:t>Each portfolio has a</w:t>
      </w:r>
      <w:r w:rsidRPr="00F10D8B">
        <w:rPr>
          <w:rFonts w:ascii="Century Gothic"/>
          <w:color w:val="1A2C39"/>
          <w:spacing w:val="-5"/>
        </w:rPr>
        <w:t xml:space="preserve">nnual targets </w:t>
      </w:r>
      <w:r w:rsidRPr="00F10D8B">
        <w:rPr>
          <w:rFonts w:ascii="Century Gothic"/>
          <w:color w:val="1A2C39"/>
        </w:rPr>
        <w:t>for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</w:rPr>
        <w:t>the</w:t>
      </w:r>
      <w:r w:rsidRPr="00F10D8B">
        <w:rPr>
          <w:rFonts w:ascii="Century Gothic"/>
          <w:color w:val="1A2C39"/>
          <w:spacing w:val="-5"/>
        </w:rPr>
        <w:t xml:space="preserve"> </w:t>
      </w:r>
      <w:r w:rsidRPr="00F10D8B">
        <w:rPr>
          <w:rFonts w:ascii="Century Gothic"/>
          <w:color w:val="1A2C39"/>
          <w:spacing w:val="-1"/>
        </w:rPr>
        <w:t>volume</w:t>
      </w:r>
      <w:r w:rsidRPr="00F10D8B">
        <w:rPr>
          <w:rFonts w:ascii="Century Gothic"/>
          <w:color w:val="1A2C39"/>
          <w:spacing w:val="-5"/>
        </w:rPr>
        <w:t xml:space="preserve"> </w:t>
      </w:r>
      <w:r w:rsidRPr="00F10D8B">
        <w:rPr>
          <w:rFonts w:ascii="Century Gothic"/>
          <w:color w:val="1A2C39"/>
          <w:spacing w:val="-1"/>
        </w:rPr>
        <w:t>and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  <w:spacing w:val="-1"/>
        </w:rPr>
        <w:t>value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</w:rPr>
        <w:t>of</w:t>
      </w:r>
      <w:r w:rsidRPr="00F10D8B">
        <w:rPr>
          <w:rFonts w:ascii="Century Gothic"/>
          <w:color w:val="1A2C39"/>
          <w:spacing w:val="-5"/>
        </w:rPr>
        <w:t xml:space="preserve"> </w:t>
      </w:r>
      <w:r w:rsidRPr="00F10D8B">
        <w:rPr>
          <w:rFonts w:ascii="Century Gothic"/>
          <w:color w:val="1A2C39"/>
        </w:rPr>
        <w:t>contracts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</w:rPr>
        <w:t>to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  <w:spacing w:val="-1"/>
        </w:rPr>
        <w:t>be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  <w:spacing w:val="-1"/>
        </w:rPr>
        <w:t>awarded</w:t>
      </w:r>
      <w:r w:rsidRPr="00F10D8B">
        <w:rPr>
          <w:rFonts w:ascii="Century Gothic"/>
          <w:color w:val="1A2C39"/>
          <w:spacing w:val="-4"/>
        </w:rPr>
        <w:t xml:space="preserve"> </w:t>
      </w:r>
      <w:r w:rsidRPr="00F10D8B">
        <w:rPr>
          <w:rFonts w:ascii="Century Gothic"/>
          <w:color w:val="1A2C39"/>
        </w:rPr>
        <w:t>to</w:t>
      </w:r>
      <w:r w:rsidRPr="00F10D8B">
        <w:rPr>
          <w:rFonts w:ascii="Century Gothic"/>
          <w:color w:val="1A2C39"/>
          <w:spacing w:val="-5"/>
        </w:rPr>
        <w:t xml:space="preserve"> </w:t>
      </w:r>
      <w:r w:rsidRPr="00F10D8B">
        <w:rPr>
          <w:rFonts w:ascii="Century Gothic"/>
          <w:color w:val="1A2C39"/>
          <w:spacing w:val="-1"/>
        </w:rPr>
        <w:t>Indigenous</w:t>
      </w:r>
      <w:r w:rsidRPr="00F10D8B">
        <w:rPr>
          <w:rFonts w:ascii="Century Gothic"/>
          <w:color w:val="1A2C39"/>
          <w:spacing w:val="25"/>
          <w:w w:val="99"/>
        </w:rPr>
        <w:t xml:space="preserve"> </w:t>
      </w:r>
      <w:r w:rsidRPr="00F10D8B">
        <w:rPr>
          <w:rFonts w:ascii="Century Gothic"/>
          <w:color w:val="1A2C39"/>
        </w:rPr>
        <w:t>enterprises</w:t>
      </w:r>
      <w:r w:rsidRPr="00327A17">
        <w:rPr>
          <w:rFonts w:ascii="Century Gothic"/>
          <w:color w:val="1A2C39"/>
          <w:spacing w:val="-1"/>
        </w:rPr>
        <w:t>.</w:t>
      </w:r>
      <w:r>
        <w:rPr>
          <w:rFonts w:ascii="Century Gothic"/>
          <w:color w:val="1A2C39"/>
          <w:spacing w:val="-1"/>
        </w:rPr>
        <w:t xml:space="preserve"> </w:t>
      </w:r>
      <w:r w:rsidR="00730605" w:rsidRPr="00E20081">
        <w:rPr>
          <w:rFonts w:ascii="Century Gothic"/>
          <w:color w:val="1A2C39"/>
          <w:spacing w:val="-1"/>
        </w:rPr>
        <w:t>These</w:t>
      </w:r>
      <w:r>
        <w:rPr>
          <w:rFonts w:ascii="Century Gothic"/>
          <w:color w:val="1A2C39"/>
          <w:spacing w:val="-1"/>
        </w:rPr>
        <w:t xml:space="preserve"> targets are calculated based on </w:t>
      </w:r>
      <w:r w:rsidR="002620CC">
        <w:rPr>
          <w:rFonts w:ascii="Century Gothic"/>
          <w:color w:val="1A2C39"/>
          <w:spacing w:val="-1"/>
        </w:rPr>
        <w:t>a percentage</w:t>
      </w:r>
      <w:r>
        <w:rPr>
          <w:rFonts w:ascii="Century Gothic"/>
          <w:color w:val="1A2C39"/>
          <w:spacing w:val="-1"/>
        </w:rPr>
        <w:t xml:space="preserve"> of the expected number and value of eligible procurements in the upcoming financial year. </w:t>
      </w:r>
      <w:r w:rsidR="007674E2">
        <w:rPr>
          <w:rFonts w:ascii="Century Gothic"/>
          <w:color w:val="1A2C39"/>
          <w:spacing w:val="-1"/>
        </w:rPr>
        <w:t xml:space="preserve">The volume target </w:t>
      </w:r>
      <w:r w:rsidR="00862223">
        <w:rPr>
          <w:rFonts w:ascii="Century Gothic"/>
          <w:color w:val="1A2C39"/>
          <w:spacing w:val="-1"/>
        </w:rPr>
        <w:t xml:space="preserve">is the equivalent of 3 per cent of eligible procurements awarded to Indigenous businesses each financial year. The value target is currently 1.5 per cent increasing </w:t>
      </w:r>
      <w:r w:rsidR="00DD1122">
        <w:rPr>
          <w:rFonts w:ascii="Century Gothic"/>
          <w:color w:val="1A2C39"/>
          <w:spacing w:val="-1"/>
        </w:rPr>
        <w:t xml:space="preserve">incrementally to 3 per cent by </w:t>
      </w:r>
      <w:r w:rsidR="00862223">
        <w:rPr>
          <w:rFonts w:ascii="Century Gothic"/>
          <w:color w:val="1A2C39"/>
          <w:spacing w:val="-1"/>
        </w:rPr>
        <w:t>2027-28.</w:t>
      </w:r>
    </w:p>
    <w:p w14:paraId="7AA58503" w14:textId="77777777" w:rsidR="00DD1122" w:rsidRDefault="002625D7" w:rsidP="0079782A">
      <w:pPr>
        <w:pStyle w:val="Heading2"/>
      </w:pPr>
      <w:r w:rsidRPr="00F10D8B">
        <w:t>Mandatory Set Aside</w:t>
      </w:r>
      <w:r w:rsidRPr="00FF6C17">
        <w:t xml:space="preserve"> </w:t>
      </w:r>
    </w:p>
    <w:p w14:paraId="28AAF76E" w14:textId="06515E91" w:rsidR="007632FD" w:rsidRPr="00DD1122" w:rsidRDefault="00F10D8B" w:rsidP="002625D7">
      <w:pPr>
        <w:pStyle w:val="BodyText"/>
        <w:rPr>
          <w:rFonts w:ascii="Century Gothic" w:eastAsiaTheme="majorEastAsia" w:hAnsiTheme="majorHAnsi" w:cstheme="majorBidi"/>
          <w:color w:val="1A2C39"/>
          <w:szCs w:val="40"/>
        </w:rPr>
      </w:pPr>
      <w:r w:rsidRPr="00F10D8B">
        <w:rPr>
          <w:rFonts w:ascii="Century Gothic"/>
          <w:b/>
          <w:color w:val="1A2C39"/>
        </w:rPr>
        <w:t>2.</w:t>
      </w:r>
      <w:r w:rsidR="002625D7" w:rsidRPr="00FF6C17">
        <w:rPr>
          <w:rFonts w:ascii="Century Gothic"/>
          <w:color w:val="1A2C39"/>
        </w:rPr>
        <w:t xml:space="preserve"> </w:t>
      </w:r>
      <w:r w:rsidR="00327A17" w:rsidRPr="00F10D8B">
        <w:rPr>
          <w:rFonts w:ascii="Century Gothic"/>
          <w:color w:val="1A2C39"/>
        </w:rPr>
        <w:t>The</w:t>
      </w:r>
      <w:r w:rsidR="002625D7" w:rsidRPr="00FF6C17">
        <w:rPr>
          <w:rFonts w:ascii="Century Gothic"/>
          <w:color w:val="1A2C39"/>
        </w:rPr>
        <w:t xml:space="preserve"> mandatory set aside</w:t>
      </w:r>
      <w:r w:rsidR="002625D7">
        <w:rPr>
          <w:rFonts w:ascii="Century Gothic"/>
          <w:i/>
          <w:color w:val="1A2C39"/>
          <w:spacing w:val="-7"/>
        </w:rPr>
        <w:t xml:space="preserve"> </w:t>
      </w:r>
      <w:r w:rsidR="002625D7" w:rsidRPr="00FF6C17">
        <w:rPr>
          <w:rFonts w:ascii="Century Gothic"/>
          <w:color w:val="1A2C39"/>
          <w:spacing w:val="-7"/>
        </w:rPr>
        <w:t>(MSA)</w:t>
      </w:r>
      <w:r w:rsidR="002625D7">
        <w:rPr>
          <w:rFonts w:ascii="Century Gothic"/>
          <w:i/>
          <w:color w:val="1A2C39"/>
          <w:spacing w:val="-7"/>
        </w:rPr>
        <w:t xml:space="preserve"> </w:t>
      </w:r>
      <w:r w:rsidR="002625D7" w:rsidRPr="003C036F">
        <w:rPr>
          <w:rFonts w:ascii="Century Gothic"/>
          <w:color w:val="1A2C39"/>
          <w:spacing w:val="-1"/>
        </w:rPr>
        <w:t>provide</w:t>
      </w:r>
      <w:r w:rsidR="002625D7">
        <w:rPr>
          <w:rFonts w:ascii="Century Gothic"/>
          <w:color w:val="1A2C39"/>
          <w:spacing w:val="-1"/>
        </w:rPr>
        <w:t>s</w:t>
      </w:r>
      <w:r w:rsidR="002625D7" w:rsidRPr="003C036F">
        <w:rPr>
          <w:rFonts w:ascii="Century Gothic"/>
          <w:color w:val="1A2C39"/>
          <w:spacing w:val="-5"/>
        </w:rPr>
        <w:t xml:space="preserve"> </w:t>
      </w:r>
      <w:r w:rsidR="002625D7" w:rsidRPr="008910DD">
        <w:rPr>
          <w:rFonts w:ascii="Century Gothic"/>
          <w:color w:val="1A2C39"/>
          <w:spacing w:val="-1"/>
        </w:rPr>
        <w:t>Indigenous</w:t>
      </w:r>
      <w:r w:rsidR="002625D7" w:rsidRPr="008910DD">
        <w:rPr>
          <w:rFonts w:ascii="Century Gothic"/>
          <w:color w:val="1A2C39"/>
          <w:spacing w:val="-6"/>
        </w:rPr>
        <w:t xml:space="preserve"> </w:t>
      </w:r>
      <w:r w:rsidR="002625D7" w:rsidRPr="008910DD">
        <w:rPr>
          <w:rFonts w:ascii="Century Gothic"/>
          <w:color w:val="1A2C39"/>
        </w:rPr>
        <w:t>enterprises</w:t>
      </w:r>
      <w:r w:rsidR="002625D7" w:rsidRPr="003C036F">
        <w:rPr>
          <w:rFonts w:ascii="Century Gothic"/>
          <w:i/>
          <w:color w:val="1A2C39"/>
          <w:spacing w:val="-6"/>
        </w:rPr>
        <w:t xml:space="preserve"> </w:t>
      </w:r>
      <w:r w:rsidR="002625D7" w:rsidRPr="003C036F">
        <w:rPr>
          <w:rFonts w:ascii="Century Gothic"/>
          <w:color w:val="1A2C39"/>
        </w:rPr>
        <w:t>the</w:t>
      </w:r>
      <w:r w:rsidR="002625D7" w:rsidRPr="003C036F">
        <w:rPr>
          <w:rFonts w:ascii="Century Gothic"/>
          <w:color w:val="1A2C39"/>
          <w:spacing w:val="-6"/>
        </w:rPr>
        <w:t xml:space="preserve"> </w:t>
      </w:r>
      <w:r w:rsidR="002625D7" w:rsidRPr="003C036F">
        <w:rPr>
          <w:rFonts w:ascii="Century Gothic"/>
          <w:color w:val="1A2C39"/>
        </w:rPr>
        <w:t>opportunity</w:t>
      </w:r>
      <w:r w:rsidR="002625D7" w:rsidRPr="003C036F">
        <w:rPr>
          <w:rFonts w:ascii="Century Gothic"/>
          <w:color w:val="1A2C39"/>
          <w:spacing w:val="24"/>
          <w:w w:val="99"/>
        </w:rPr>
        <w:t xml:space="preserve"> </w:t>
      </w:r>
      <w:r w:rsidR="002625D7" w:rsidRPr="003C036F">
        <w:rPr>
          <w:rFonts w:ascii="Century Gothic"/>
          <w:color w:val="1A2C39"/>
        </w:rPr>
        <w:t>to</w:t>
      </w:r>
      <w:r w:rsidR="002625D7" w:rsidRPr="003C036F">
        <w:rPr>
          <w:rFonts w:ascii="Century Gothic"/>
          <w:color w:val="1A2C39"/>
          <w:spacing w:val="-6"/>
        </w:rPr>
        <w:t xml:space="preserve"> </w:t>
      </w:r>
      <w:r w:rsidR="002625D7" w:rsidRPr="003C036F">
        <w:rPr>
          <w:rFonts w:ascii="Century Gothic"/>
          <w:color w:val="1A2C39"/>
          <w:spacing w:val="-1"/>
        </w:rPr>
        <w:t>demonstrate</w:t>
      </w:r>
      <w:r w:rsidR="002625D7" w:rsidRPr="003C036F">
        <w:rPr>
          <w:rFonts w:ascii="Century Gothic"/>
          <w:color w:val="1A2C39"/>
          <w:spacing w:val="-5"/>
        </w:rPr>
        <w:t xml:space="preserve"> </w:t>
      </w:r>
      <w:r w:rsidR="002625D7" w:rsidRPr="003C036F">
        <w:rPr>
          <w:rFonts w:ascii="Century Gothic"/>
          <w:color w:val="1A2C39"/>
          <w:spacing w:val="-1"/>
        </w:rPr>
        <w:t>value</w:t>
      </w:r>
      <w:r w:rsidR="002625D7" w:rsidRPr="003C036F">
        <w:rPr>
          <w:rFonts w:ascii="Century Gothic"/>
          <w:color w:val="1A2C39"/>
          <w:spacing w:val="-6"/>
        </w:rPr>
        <w:t xml:space="preserve"> </w:t>
      </w:r>
      <w:r w:rsidR="002625D7" w:rsidRPr="003C036F">
        <w:rPr>
          <w:rFonts w:ascii="Century Gothic"/>
          <w:color w:val="1A2C39"/>
        </w:rPr>
        <w:t>for</w:t>
      </w:r>
      <w:r w:rsidR="002625D7" w:rsidRPr="003C036F">
        <w:rPr>
          <w:rFonts w:ascii="Century Gothic"/>
          <w:color w:val="1A2C39"/>
          <w:spacing w:val="-5"/>
        </w:rPr>
        <w:t xml:space="preserve"> </w:t>
      </w:r>
      <w:r w:rsidR="002625D7" w:rsidRPr="003C036F">
        <w:rPr>
          <w:rFonts w:ascii="Century Gothic"/>
          <w:color w:val="1A2C39"/>
        </w:rPr>
        <w:t>money</w:t>
      </w:r>
      <w:r w:rsidR="002625D7" w:rsidRPr="003C036F">
        <w:rPr>
          <w:rFonts w:ascii="Century Gothic"/>
          <w:color w:val="1A2C39"/>
          <w:spacing w:val="-7"/>
        </w:rPr>
        <w:t xml:space="preserve"> </w:t>
      </w:r>
      <w:r w:rsidR="002625D7" w:rsidRPr="003C036F">
        <w:rPr>
          <w:rFonts w:ascii="Century Gothic"/>
          <w:color w:val="1A2C39"/>
          <w:spacing w:val="-1"/>
          <w:u w:val="single" w:color="1A2C39"/>
        </w:rPr>
        <w:t>before</w:t>
      </w:r>
      <w:r w:rsidR="002625D7" w:rsidRPr="003C036F">
        <w:rPr>
          <w:rFonts w:ascii="Century Gothic"/>
          <w:color w:val="1A2C39"/>
          <w:spacing w:val="-5"/>
          <w:u w:val="single" w:color="1A2C39"/>
        </w:rPr>
        <w:t xml:space="preserve"> </w:t>
      </w:r>
      <w:r w:rsidR="002625D7" w:rsidRPr="003C036F">
        <w:rPr>
          <w:rFonts w:ascii="Century Gothic"/>
          <w:color w:val="1A2C39"/>
        </w:rPr>
        <w:t>a</w:t>
      </w:r>
      <w:r w:rsidR="002625D7" w:rsidRPr="003C036F">
        <w:rPr>
          <w:rFonts w:ascii="Century Gothic"/>
          <w:color w:val="1A2C39"/>
          <w:spacing w:val="-6"/>
        </w:rPr>
        <w:t xml:space="preserve"> </w:t>
      </w:r>
      <w:r w:rsidR="002625D7" w:rsidRPr="00A667C2">
        <w:rPr>
          <w:rFonts w:ascii="Century Gothic"/>
          <w:color w:val="1A2C39"/>
        </w:rPr>
        <w:t>general</w:t>
      </w:r>
      <w:r w:rsidR="002625D7" w:rsidRPr="00A667C2">
        <w:rPr>
          <w:rFonts w:ascii="Century Gothic"/>
          <w:color w:val="1A2C39"/>
          <w:spacing w:val="-7"/>
        </w:rPr>
        <w:t xml:space="preserve"> </w:t>
      </w:r>
      <w:r w:rsidR="002625D7" w:rsidRPr="00A667C2">
        <w:rPr>
          <w:rFonts w:ascii="Century Gothic"/>
          <w:color w:val="1A2C39"/>
          <w:spacing w:val="-1"/>
        </w:rPr>
        <w:t>approach</w:t>
      </w:r>
      <w:r w:rsidR="002625D7" w:rsidRPr="00A667C2">
        <w:rPr>
          <w:rFonts w:ascii="Century Gothic"/>
          <w:color w:val="1A2C39"/>
          <w:spacing w:val="-5"/>
        </w:rPr>
        <w:t xml:space="preserve"> </w:t>
      </w:r>
      <w:r w:rsidR="002625D7" w:rsidRPr="00A667C2">
        <w:rPr>
          <w:rFonts w:ascii="Century Gothic"/>
          <w:color w:val="1A2C39"/>
        </w:rPr>
        <w:t>to</w:t>
      </w:r>
      <w:r w:rsidR="002625D7" w:rsidRPr="00A667C2">
        <w:rPr>
          <w:rFonts w:ascii="Century Gothic"/>
          <w:color w:val="1A2C39"/>
          <w:spacing w:val="-5"/>
        </w:rPr>
        <w:t xml:space="preserve"> </w:t>
      </w:r>
      <w:r w:rsidR="002625D7" w:rsidRPr="00A667C2">
        <w:rPr>
          <w:rFonts w:ascii="Century Gothic"/>
          <w:color w:val="1A2C39"/>
          <w:spacing w:val="-1"/>
        </w:rPr>
        <w:t>market</w:t>
      </w:r>
      <w:r w:rsidR="002625D7" w:rsidRPr="003C036F">
        <w:rPr>
          <w:rFonts w:ascii="Century Gothic"/>
          <w:color w:val="1A2C39"/>
          <w:spacing w:val="-1"/>
        </w:rPr>
        <w:t>.</w:t>
      </w:r>
      <w:r w:rsidR="002625D7" w:rsidRPr="003C036F">
        <w:rPr>
          <w:rFonts w:ascii="Century Gothic"/>
          <w:color w:val="1A2C39"/>
          <w:spacing w:val="-6"/>
        </w:rPr>
        <w:t xml:space="preserve"> </w:t>
      </w:r>
      <w:r w:rsidR="002625D7" w:rsidRPr="00327A17">
        <w:rPr>
          <w:rFonts w:ascii="Century Gothic"/>
          <w:color w:val="1A2C39"/>
        </w:rPr>
        <w:t>The</w:t>
      </w:r>
      <w:r w:rsidR="002625D7" w:rsidRPr="00327A17">
        <w:rPr>
          <w:rFonts w:ascii="Century Gothic"/>
          <w:color w:val="1A2C39"/>
          <w:spacing w:val="-6"/>
        </w:rPr>
        <w:t xml:space="preserve"> </w:t>
      </w:r>
      <w:r w:rsidR="002625D7" w:rsidRPr="00327A17">
        <w:rPr>
          <w:rFonts w:ascii="Century Gothic"/>
          <w:color w:val="1A2C39"/>
        </w:rPr>
        <w:t>MSA</w:t>
      </w:r>
      <w:r w:rsidR="002625D7" w:rsidRPr="00F10D8B">
        <w:rPr>
          <w:rFonts w:ascii="Century Gothic"/>
          <w:color w:val="1A2C39"/>
          <w:spacing w:val="21"/>
          <w:w w:val="99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applies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</w:rPr>
        <w:t>to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all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procurements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delivered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in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</w:rPr>
        <w:t>remote</w:t>
      </w:r>
      <w:r w:rsidR="002625D7" w:rsidRPr="00F10D8B">
        <w:rPr>
          <w:rFonts w:ascii="Century Gothic"/>
          <w:color w:val="1A2C39"/>
          <w:spacing w:val="-4"/>
        </w:rPr>
        <w:t xml:space="preserve"> </w:t>
      </w:r>
      <w:r w:rsidR="002625D7" w:rsidRPr="00F10D8B">
        <w:rPr>
          <w:rFonts w:ascii="Century Gothic"/>
          <w:color w:val="1A2C39"/>
        </w:rPr>
        <w:t>Australia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and</w:t>
      </w:r>
      <w:r>
        <w:rPr>
          <w:rFonts w:ascii="Century Gothic"/>
          <w:color w:val="1A2C39"/>
          <w:spacing w:val="-3"/>
        </w:rPr>
        <w:br/>
      </w:r>
      <w:r w:rsidR="002625D7" w:rsidRPr="00F10D8B">
        <w:rPr>
          <w:rFonts w:ascii="Century Gothic"/>
          <w:color w:val="1A2C39"/>
        </w:rPr>
        <w:t>for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all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</w:rPr>
        <w:t>other</w:t>
      </w:r>
      <w:r w:rsidR="002625D7" w:rsidRPr="00F10D8B">
        <w:rPr>
          <w:rFonts w:ascii="Century Gothic"/>
          <w:color w:val="1A2C39"/>
          <w:spacing w:val="29"/>
          <w:w w:val="99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procurements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wholly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delivered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in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>
        <w:rPr>
          <w:rFonts w:ascii="Century Gothic"/>
          <w:color w:val="1A2C39"/>
        </w:rPr>
        <w:br/>
      </w:r>
      <w:r w:rsidR="002625D7" w:rsidRPr="00F10D8B">
        <w:rPr>
          <w:rFonts w:ascii="Century Gothic"/>
          <w:color w:val="1A2C39"/>
        </w:rPr>
        <w:t>Australia</w:t>
      </w:r>
      <w:r w:rsidR="002625D7" w:rsidRPr="00F10D8B">
        <w:rPr>
          <w:rFonts w:ascii="Century Gothic"/>
          <w:color w:val="1A2C39"/>
          <w:spacing w:val="-4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with</w:t>
      </w:r>
      <w:r w:rsidR="002625D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an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</w:rPr>
        <w:t>estimated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value</w:t>
      </w:r>
      <w:r w:rsidR="002625D7" w:rsidRPr="00F10D8B">
        <w:rPr>
          <w:rFonts w:ascii="Century Gothic"/>
          <w:color w:val="1A2C39"/>
          <w:spacing w:val="-3"/>
        </w:rPr>
        <w:t xml:space="preserve"> </w:t>
      </w:r>
      <w:r w:rsidR="00327A17">
        <w:rPr>
          <w:rFonts w:ascii="Century Gothic"/>
          <w:color w:val="1A2C39"/>
        </w:rPr>
        <w:t>between</w:t>
      </w:r>
      <w:r w:rsidR="00327A17" w:rsidRPr="00F10D8B">
        <w:rPr>
          <w:rFonts w:ascii="Century Gothic"/>
          <w:color w:val="1A2C39"/>
          <w:spacing w:val="-2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$80,000</w:t>
      </w:r>
      <w:r w:rsidR="002625D7" w:rsidRPr="00F10D8B">
        <w:rPr>
          <w:rFonts w:ascii="Century Gothic"/>
          <w:color w:val="1A2C39"/>
          <w:spacing w:val="27"/>
        </w:rPr>
        <w:t xml:space="preserve"> </w:t>
      </w:r>
      <w:r w:rsidR="00327A17">
        <w:rPr>
          <w:rFonts w:ascii="Century Gothic"/>
          <w:color w:val="1A2C39"/>
          <w:spacing w:val="27"/>
        </w:rPr>
        <w:t>and</w:t>
      </w:r>
      <w:r w:rsidR="002625D7" w:rsidRPr="00F10D8B">
        <w:rPr>
          <w:rFonts w:ascii="Century Gothic"/>
          <w:color w:val="1A2C39"/>
          <w:spacing w:val="-1"/>
        </w:rPr>
        <w:t xml:space="preserve"> $200,000 (GST</w:t>
      </w:r>
      <w:r w:rsidR="002625D7" w:rsidRPr="00F10D8B">
        <w:rPr>
          <w:rFonts w:ascii="Century Gothic"/>
          <w:color w:val="1A2C39"/>
        </w:rPr>
        <w:t xml:space="preserve"> </w:t>
      </w:r>
      <w:r w:rsidR="002625D7" w:rsidRPr="00F10D8B">
        <w:rPr>
          <w:rFonts w:ascii="Century Gothic"/>
          <w:color w:val="1A2C39"/>
          <w:spacing w:val="-1"/>
        </w:rPr>
        <w:t>inclusive)</w:t>
      </w:r>
      <w:r w:rsidR="002625D7" w:rsidRPr="00327A17">
        <w:rPr>
          <w:rFonts w:ascii="Century Gothic"/>
          <w:color w:val="1A2C39"/>
          <w:spacing w:val="-1"/>
        </w:rPr>
        <w:t>.</w:t>
      </w:r>
    </w:p>
    <w:p w14:paraId="41E2F8C0" w14:textId="77777777" w:rsidR="002625D7" w:rsidRDefault="002625D7" w:rsidP="0079782A">
      <w:pPr>
        <w:pStyle w:val="Heading2"/>
      </w:pPr>
      <w:r w:rsidRPr="002625D7">
        <w:t xml:space="preserve">Mandatory Minimum </w:t>
      </w:r>
      <w:bookmarkStart w:id="0" w:name="_GoBack"/>
      <w:bookmarkEnd w:id="0"/>
      <w:r w:rsidRPr="002625D7">
        <w:t xml:space="preserve">Requirements </w:t>
      </w:r>
    </w:p>
    <w:p w14:paraId="3B6DA3A9" w14:textId="77777777" w:rsidR="00AF7B63" w:rsidRPr="00F10D8B" w:rsidRDefault="002625D7" w:rsidP="002625D7">
      <w:pPr>
        <w:pStyle w:val="BodyText"/>
        <w:rPr>
          <w:rFonts w:ascii="Century Gothic" w:eastAsiaTheme="majorEastAsia" w:hAnsiTheme="majorHAnsi" w:cstheme="majorBidi"/>
          <w:color w:val="1A2C39"/>
          <w:szCs w:val="40"/>
        </w:rPr>
      </w:pPr>
      <w:r w:rsidRPr="002625D7">
        <w:rPr>
          <w:rFonts w:ascii="Century Gothic" w:eastAsiaTheme="majorEastAsia" w:hAnsiTheme="majorHAnsi" w:cstheme="majorBidi"/>
          <w:b/>
          <w:color w:val="1A2C39"/>
          <w:szCs w:val="40"/>
        </w:rPr>
        <w:t xml:space="preserve">3. </w:t>
      </w:r>
      <w:r w:rsidRPr="00F10D8B">
        <w:rPr>
          <w:rFonts w:ascii="Century Gothic" w:eastAsiaTheme="majorEastAsia" w:hAnsiTheme="majorHAnsi" w:cstheme="majorBidi"/>
          <w:color w:val="1A2C39"/>
          <w:szCs w:val="40"/>
        </w:rPr>
        <w:t xml:space="preserve">Indigenous participation targets </w:t>
      </w:r>
      <w:r w:rsidR="00327A17">
        <w:rPr>
          <w:rFonts w:ascii="Century Gothic" w:eastAsiaTheme="majorEastAsia" w:hAnsiTheme="majorHAnsi" w:cstheme="majorBidi"/>
          <w:color w:val="1A2C39"/>
          <w:szCs w:val="40"/>
        </w:rPr>
        <w:t>are</w:t>
      </w:r>
      <w:r w:rsidRPr="00F10D8B">
        <w:rPr>
          <w:rFonts w:ascii="Century Gothic" w:eastAsiaTheme="majorEastAsia" w:hAnsiTheme="majorHAnsi" w:cstheme="majorBidi"/>
          <w:color w:val="1A2C39"/>
          <w:szCs w:val="40"/>
        </w:rPr>
        <w:t xml:space="preserve"> mandated in contracts wholly delivered in Australia valued at $7.5 million or more in 19 specified industry categories, </w:t>
      </w:r>
      <w:r w:rsidRPr="00327A17">
        <w:rPr>
          <w:rFonts w:ascii="Century Gothic" w:eastAsiaTheme="majorEastAsia" w:hAnsiTheme="majorHAnsi" w:cstheme="majorBidi"/>
          <w:color w:val="1A2C39"/>
          <w:szCs w:val="40"/>
        </w:rPr>
        <w:t>known</w:t>
      </w:r>
      <w:r w:rsidRPr="002625D7">
        <w:rPr>
          <w:rFonts w:ascii="Century Gothic" w:eastAsiaTheme="majorEastAsia" w:hAnsiTheme="majorHAnsi" w:cstheme="majorBidi"/>
          <w:color w:val="1A2C39"/>
          <w:szCs w:val="40"/>
        </w:rPr>
        <w:t xml:space="preserve"> as the ‘mandatory minimum requirements’ </w:t>
      </w:r>
      <w:r w:rsidRPr="000B11E4">
        <w:rPr>
          <w:rFonts w:ascii="Century Gothic" w:eastAsiaTheme="majorEastAsia" w:hAnsiTheme="majorHAnsi" w:cstheme="majorBidi"/>
          <w:b/>
          <w:color w:val="1A2C39"/>
          <w:szCs w:val="40"/>
        </w:rPr>
        <w:t>(MMR)</w:t>
      </w:r>
      <w:r w:rsidRPr="002625D7">
        <w:rPr>
          <w:rFonts w:ascii="Century Gothic" w:eastAsiaTheme="majorEastAsia" w:hAnsiTheme="majorHAnsi" w:cstheme="majorBidi"/>
          <w:color w:val="1A2C39"/>
          <w:szCs w:val="40"/>
        </w:rPr>
        <w:t>.</w:t>
      </w:r>
      <w:r w:rsidRPr="002625D7">
        <w:rPr>
          <w:rFonts w:ascii="Century Gothic"/>
          <w:color w:val="1A2C39"/>
        </w:rPr>
        <w:t xml:space="preserve"> This includes a </w:t>
      </w:r>
      <w:r w:rsidR="00445D38">
        <w:rPr>
          <w:rFonts w:ascii="Century Gothic"/>
          <w:color w:val="1A2C39"/>
        </w:rPr>
        <w:t xml:space="preserve">requirement </w:t>
      </w:r>
      <w:r w:rsidRPr="002625D7">
        <w:rPr>
          <w:rFonts w:ascii="Century Gothic"/>
          <w:color w:val="1A2C39"/>
        </w:rPr>
        <w:t>that</w:t>
      </w:r>
      <w:r w:rsidRPr="003C036F">
        <w:rPr>
          <w:rFonts w:ascii="Century Gothic"/>
          <w:color w:val="1A2C39"/>
        </w:rPr>
        <w:t xml:space="preserve"> tender evaluations consider a tenderer</w:t>
      </w:r>
      <w:r w:rsidRPr="003C036F">
        <w:rPr>
          <w:rFonts w:ascii="Century Gothic"/>
          <w:color w:val="1A2C39"/>
        </w:rPr>
        <w:t>’</w:t>
      </w:r>
      <w:r w:rsidRPr="003C036F">
        <w:rPr>
          <w:rFonts w:ascii="Century Gothic"/>
          <w:color w:val="1A2C39"/>
        </w:rPr>
        <w:t>s past performance</w:t>
      </w:r>
      <w:r w:rsidR="00426008">
        <w:rPr>
          <w:rFonts w:ascii="Century Gothic"/>
          <w:color w:val="1A2C39"/>
        </w:rPr>
        <w:t xml:space="preserve"> against MMR targets.</w:t>
      </w:r>
      <w:r w:rsidRPr="003C036F">
        <w:rPr>
          <w:rFonts w:ascii="Century Gothic"/>
          <w:color w:val="1A2C39"/>
        </w:rPr>
        <w:t xml:space="preserve"> </w:t>
      </w:r>
    </w:p>
    <w:p w14:paraId="21EC9B7E" w14:textId="77777777" w:rsidR="0079782A" w:rsidRPr="0079782A" w:rsidRDefault="004105DC" w:rsidP="0079782A">
      <w:pPr>
        <w:pStyle w:val="Heading2"/>
        <w:rPr>
          <w:rStyle w:val="Heading2Char"/>
          <w:b/>
        </w:rPr>
      </w:pPr>
      <w:r w:rsidRPr="0079782A">
        <w:rPr>
          <w:rStyle w:val="Heading2Char"/>
          <w:b/>
        </w:rPr>
        <w:t>Why is the IPP so important?</w:t>
      </w:r>
    </w:p>
    <w:p w14:paraId="584C584E" w14:textId="52C37BF0" w:rsidR="00DD1122" w:rsidRDefault="000E6B18" w:rsidP="007632FD">
      <w:pPr>
        <w:pStyle w:val="BodyText"/>
        <w:rPr>
          <w:rFonts w:ascii="Century Gothic"/>
          <w:color w:val="1A2C39"/>
        </w:rPr>
      </w:pPr>
      <w:r>
        <w:rPr>
          <w:rFonts w:ascii="Century Gothic"/>
          <w:color w:val="1A2C39"/>
        </w:rPr>
        <w:t xml:space="preserve">The IPP has been a game changer. Since its inception in 2015, </w:t>
      </w:r>
      <w:r w:rsidR="008211ED">
        <w:rPr>
          <w:rFonts w:ascii="Century Gothic"/>
          <w:color w:val="1A2C39"/>
        </w:rPr>
        <w:t>the IPP has</w:t>
      </w:r>
      <w:r>
        <w:rPr>
          <w:rFonts w:ascii="Century Gothic"/>
          <w:color w:val="1A2C39"/>
        </w:rPr>
        <w:t xml:space="preserve"> generated over $5</w:t>
      </w:r>
      <w:r w:rsidR="00DD1122">
        <w:rPr>
          <w:rFonts w:ascii="Century Gothic"/>
          <w:color w:val="1A2C39"/>
        </w:rPr>
        <w:t> </w:t>
      </w:r>
      <w:r>
        <w:rPr>
          <w:rFonts w:ascii="Century Gothic"/>
          <w:color w:val="1A2C39"/>
        </w:rPr>
        <w:t>billion in Commonwealth contracts</w:t>
      </w:r>
      <w:r w:rsidR="007D5D69">
        <w:rPr>
          <w:rFonts w:ascii="Century Gothic"/>
          <w:color w:val="1A2C39"/>
        </w:rPr>
        <w:t xml:space="preserve"> f</w:t>
      </w:r>
      <w:r>
        <w:rPr>
          <w:rFonts w:ascii="Century Gothic"/>
          <w:color w:val="1A2C39"/>
        </w:rPr>
        <w:t>o</w:t>
      </w:r>
      <w:r w:rsidR="007D5D69">
        <w:rPr>
          <w:rFonts w:ascii="Century Gothic"/>
          <w:color w:val="1A2C39"/>
        </w:rPr>
        <w:t>r</w:t>
      </w:r>
      <w:r>
        <w:rPr>
          <w:rFonts w:ascii="Century Gothic"/>
          <w:color w:val="1A2C39"/>
        </w:rPr>
        <w:t xml:space="preserve"> Indigenous businesses. </w:t>
      </w:r>
      <w:r w:rsidR="007D5D69">
        <w:rPr>
          <w:rFonts w:ascii="Century Gothic"/>
          <w:color w:val="1A2C39"/>
        </w:rPr>
        <w:t>It</w:t>
      </w:r>
      <w:r w:rsidR="004105DC">
        <w:rPr>
          <w:rFonts w:ascii="Century Gothic"/>
          <w:color w:val="1A2C39"/>
        </w:rPr>
        <w:t xml:space="preserve"> </w:t>
      </w:r>
      <w:r w:rsidR="00B253AB">
        <w:rPr>
          <w:rFonts w:ascii="Century Gothic"/>
          <w:color w:val="1A2C39"/>
        </w:rPr>
        <w:t xml:space="preserve">continues to </w:t>
      </w:r>
      <w:r w:rsidR="004105DC">
        <w:rPr>
          <w:rFonts w:ascii="Century Gothic"/>
          <w:color w:val="1A2C39"/>
        </w:rPr>
        <w:t>create economic</w:t>
      </w:r>
      <w:r w:rsidR="0034129E">
        <w:rPr>
          <w:rFonts w:ascii="Century Gothic"/>
          <w:color w:val="1A2C39"/>
        </w:rPr>
        <w:t xml:space="preserve"> opportunities for Indigenous businesses, people and communities. </w:t>
      </w:r>
      <w:r w:rsidR="00DD1122">
        <w:rPr>
          <w:rFonts w:ascii="Century Gothic"/>
          <w:color w:val="1A2C39"/>
        </w:rPr>
        <w:t>Indigenous business are far more likely to employ Indigenous Australians than mainstream businesses.</w:t>
      </w:r>
    </w:p>
    <w:p w14:paraId="4868B493" w14:textId="76D158E6" w:rsidR="00426008" w:rsidRPr="007632FD" w:rsidRDefault="007632FD" w:rsidP="0079782A">
      <w:pPr>
        <w:pStyle w:val="Heading2"/>
      </w:pPr>
      <w:r w:rsidRPr="007632FD">
        <w:t xml:space="preserve">Reporting </w:t>
      </w:r>
    </w:p>
    <w:p w14:paraId="1EA2E84E" w14:textId="667C903A" w:rsidR="00DD1122" w:rsidRDefault="007632FD" w:rsidP="007632FD">
      <w:pPr>
        <w:pStyle w:val="BodyText"/>
        <w:rPr>
          <w:rFonts w:ascii="Century Gothic"/>
          <w:color w:val="1A2C39"/>
        </w:rPr>
      </w:pPr>
      <w:r w:rsidRPr="007632FD">
        <w:rPr>
          <w:rFonts w:ascii="Century Gothic"/>
          <w:color w:val="1A2C39"/>
        </w:rPr>
        <w:t>The NIAA is responsib</w:t>
      </w:r>
      <w:r>
        <w:rPr>
          <w:rFonts w:ascii="Century Gothic"/>
          <w:color w:val="1A2C39"/>
        </w:rPr>
        <w:t xml:space="preserve">le for </w:t>
      </w:r>
      <w:r w:rsidR="00DD1122">
        <w:rPr>
          <w:rFonts w:ascii="Century Gothic"/>
          <w:color w:val="1A2C39"/>
        </w:rPr>
        <w:t>administering the policy and publis</w:t>
      </w:r>
      <w:r>
        <w:rPr>
          <w:rFonts w:ascii="Century Gothic"/>
          <w:color w:val="1A2C39"/>
        </w:rPr>
        <w:t>h</w:t>
      </w:r>
      <w:r w:rsidR="00DD1122">
        <w:rPr>
          <w:rFonts w:ascii="Century Gothic"/>
          <w:color w:val="1A2C39"/>
        </w:rPr>
        <w:t>es</w:t>
      </w:r>
      <w:r>
        <w:rPr>
          <w:rFonts w:ascii="Century Gothic"/>
          <w:color w:val="1A2C39"/>
        </w:rPr>
        <w:t xml:space="preserve"> portfolio performance information. Portfolios are responsible for reporting on contracts with Indigenous businesses through the IPP Reporting Solution (IPPRS).  </w:t>
      </w:r>
    </w:p>
    <w:p w14:paraId="4B5A500D" w14:textId="77777777" w:rsidR="00DD1122" w:rsidRDefault="00DD1122" w:rsidP="007632FD">
      <w:pPr>
        <w:pStyle w:val="BodyText"/>
        <w:rPr>
          <w:rFonts w:ascii="Century Gothic"/>
          <w:color w:val="1A2C39"/>
        </w:rPr>
      </w:pPr>
    </w:p>
    <w:p w14:paraId="73E44D1B" w14:textId="269C0AE2" w:rsidR="002625D7" w:rsidRPr="007632FD" w:rsidRDefault="007632FD" w:rsidP="007632FD">
      <w:pPr>
        <w:pStyle w:val="BodyText"/>
        <w:rPr>
          <w:rFonts w:ascii="Century Gothic"/>
          <w:color w:val="1A2C39"/>
        </w:rPr>
        <w:sectPr w:rsidR="002625D7" w:rsidRPr="007632FD" w:rsidSect="00EC1CC7">
          <w:type w:val="continuous"/>
          <w:pgSz w:w="11906" w:h="16838"/>
          <w:pgMar w:top="1559" w:right="851" w:bottom="1701" w:left="851" w:header="567" w:footer="57" w:gutter="0"/>
          <w:cols w:num="2" w:space="708"/>
          <w:titlePg/>
          <w:docGrid w:linePitch="360"/>
        </w:sectPr>
      </w:pPr>
      <w:r>
        <w:rPr>
          <w:rFonts w:ascii="Century Gothic"/>
          <w:color w:val="1A2C39"/>
        </w:rPr>
        <w:t xml:space="preserve">  </w:t>
      </w:r>
    </w:p>
    <w:p w14:paraId="186EFF9E" w14:textId="77777777" w:rsidR="002625D7" w:rsidRPr="00036016" w:rsidRDefault="00F10D8B">
      <w:pPr>
        <w:pStyle w:val="BodyText"/>
        <w:jc w:val="center"/>
        <w:rPr>
          <w:rFonts w:ascii="Century Gothic"/>
          <w:color w:val="1A2C39"/>
          <w:sz w:val="28"/>
          <w:szCs w:val="28"/>
        </w:rPr>
      </w:pPr>
      <w:r>
        <w:rPr>
          <w:rFonts w:ascii="Century Gothic"/>
          <w:b/>
          <w:color w:val="DD7500" w:themeColor="accent4"/>
          <w:sz w:val="28"/>
          <w:szCs w:val="28"/>
        </w:rPr>
        <w:br/>
      </w:r>
      <w:r w:rsidR="002625D7" w:rsidRPr="00036016">
        <w:rPr>
          <w:rFonts w:ascii="Century Gothic"/>
          <w:b/>
          <w:color w:val="DD7500" w:themeColor="accent4"/>
          <w:sz w:val="28"/>
          <w:szCs w:val="28"/>
        </w:rPr>
        <w:t xml:space="preserve">More information on the </w:t>
      </w:r>
      <w:r w:rsidR="000E4DE2">
        <w:rPr>
          <w:rFonts w:ascii="Century Gothic"/>
          <w:b/>
          <w:color w:val="DD7500" w:themeColor="accent4"/>
          <w:sz w:val="28"/>
          <w:szCs w:val="28"/>
        </w:rPr>
        <w:t>IPP</w:t>
      </w:r>
      <w:r w:rsidR="002625D7" w:rsidRPr="00036016">
        <w:rPr>
          <w:rFonts w:ascii="Century Gothic"/>
          <w:b/>
          <w:color w:val="DD7500" w:themeColor="accent4"/>
          <w:sz w:val="28"/>
          <w:szCs w:val="28"/>
        </w:rPr>
        <w:t xml:space="preserve"> visit</w:t>
      </w:r>
      <w:r w:rsidR="002625D7" w:rsidRPr="00036016">
        <w:rPr>
          <w:rFonts w:ascii="Century Gothic"/>
          <w:color w:val="DD7500" w:themeColor="accent4"/>
          <w:sz w:val="28"/>
          <w:szCs w:val="28"/>
        </w:rPr>
        <w:t xml:space="preserve"> </w:t>
      </w:r>
      <w:hyperlink r:id="rId15" w:history="1">
        <w:r w:rsidR="002625D7" w:rsidRPr="00036016">
          <w:rPr>
            <w:rStyle w:val="Hyperlink"/>
            <w:rFonts w:ascii="Century Gothic"/>
            <w:b/>
            <w:sz w:val="28"/>
            <w:szCs w:val="28"/>
          </w:rPr>
          <w:t>www.niaa.gov.au/ipp</w:t>
        </w:r>
      </w:hyperlink>
      <w:r w:rsidR="002625D7" w:rsidRPr="00036016">
        <w:rPr>
          <w:rFonts w:ascii="Century Gothic"/>
          <w:b/>
          <w:color w:val="1A2C39"/>
          <w:sz w:val="28"/>
          <w:szCs w:val="28"/>
        </w:rPr>
        <w:t>.</w:t>
      </w:r>
    </w:p>
    <w:sectPr w:rsidR="002625D7" w:rsidRPr="00036016" w:rsidSect="002625D7">
      <w:type w:val="continuous"/>
      <w:pgSz w:w="11906" w:h="16838"/>
      <w:pgMar w:top="1559" w:right="851" w:bottom="993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3D73" w14:textId="77777777" w:rsidR="005C5038" w:rsidRDefault="005C5038" w:rsidP="00B95533">
      <w:pPr>
        <w:spacing w:after="0" w:line="240" w:lineRule="auto"/>
      </w:pPr>
      <w:r>
        <w:separator/>
      </w:r>
    </w:p>
  </w:endnote>
  <w:endnote w:type="continuationSeparator" w:id="0">
    <w:p w14:paraId="07414585" w14:textId="77777777" w:rsidR="005C5038" w:rsidRDefault="005C5038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3EA4" w14:textId="77777777" w:rsidR="00610D33" w:rsidRDefault="00610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showingPlcHdr/>
      <w:dataBinding w:xpath="/root[1]/Classification[1]" w:storeItemID="{F533AE62-A212-4B26-92DA-A3B336E8AE06}"/>
      <w:text/>
    </w:sdtPr>
    <w:sdtEndPr/>
    <w:sdtContent>
      <w:p w14:paraId="0C4BAF63" w14:textId="77777777" w:rsidR="009672EB" w:rsidRPr="00B87E45" w:rsidRDefault="00FF6C17" w:rsidP="001007B9">
        <w:pPr>
          <w:pStyle w:val="ProtectiveMarking"/>
        </w:pPr>
        <w:r>
          <w:t xml:space="preserve">     </w:t>
        </w:r>
      </w:p>
    </w:sdtContent>
  </w:sdt>
  <w:p w14:paraId="4E941CF7" w14:textId="4F9E3874" w:rsidR="009672EB" w:rsidRPr="00A477A0" w:rsidRDefault="009672EB" w:rsidP="00F651C4">
    <w:pPr>
      <w:pStyle w:val="Footerline"/>
      <w:rPr>
        <w:color w:val="014463" w:themeColor="text2"/>
      </w:rPr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7EC627EE" wp14:editId="339C45C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6E188" w14:textId="58C2D8A8"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BA209F">
                            <w:rPr>
                              <w:noProof/>
                              <w:color w:val="25303B" w:themeColor="accent1"/>
                            </w:rPr>
                            <w:t>1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2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6BB6E188" w14:textId="58C2D8A8"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BA209F">
                      <w:rPr>
                        <w:noProof/>
                        <w:color w:val="25303B" w:themeColor="accent1"/>
                      </w:rPr>
                      <w:t>1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61F719F6" w14:textId="372A5823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A91866B5B46741EBBD00B9E1C3DD1B2F"/>
        </w:placeholder>
        <w:dataBinding w:xpath="/root[1]/SectionName[1]" w:storeItemID="{F533AE62-A212-4B26-92DA-A3B336E8AE06}"/>
        <w:text/>
      </w:sdtPr>
      <w:sdtEndPr/>
      <w:sdtContent>
        <w:r w:rsidR="00A667C2">
          <w:rPr>
            <w:color w:val="25303B" w:themeColor="accent1"/>
          </w:rPr>
          <w:t>Indigenous Procurement Policy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197D870F" w14:textId="77777777" w:rsidR="009672EB" w:rsidRPr="00B87E45" w:rsidRDefault="00FF6C17" w:rsidP="00917F95">
        <w:pPr>
          <w:pStyle w:val="ProtectiveMarking"/>
        </w:pPr>
        <w:r>
          <w:t xml:space="preserve">     </w:t>
        </w:r>
      </w:p>
    </w:sdtContent>
  </w:sdt>
  <w:p w14:paraId="7FB30A22" w14:textId="77777777"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C74603B" wp14:editId="279CA355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E55A53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14:paraId="1298C9B1" w14:textId="5A4E5801"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3F32BCEF" wp14:editId="1886FA7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F8338" w14:textId="4248E013"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BA209F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2BCE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14:paraId="786F8338" w14:textId="4248E013"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BA209F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A667C2">
          <w:rPr>
            <w:color w:val="25303B" w:themeColor="accent1"/>
          </w:rPr>
          <w:t>Indigenous Procurement Policy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C825" w14:textId="77777777" w:rsidR="005C5038" w:rsidRPr="007A6FC6" w:rsidRDefault="005C503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63A87F4D" w14:textId="77777777" w:rsidR="005C5038" w:rsidRPr="007A6FC6" w:rsidRDefault="005C5038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CEAA" w14:textId="77777777" w:rsidR="00610D33" w:rsidRDefault="00610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E0F" w14:textId="77777777" w:rsidR="00EE76B9" w:rsidRDefault="005C5038" w:rsidP="00510499">
    <w:pPr>
      <w:pStyle w:val="ProtectiveMarking"/>
    </w:pPr>
    <w:sdt>
      <w:sdtPr>
        <w:alias w:val="Classification"/>
        <w:tag w:val="Classification"/>
        <w:id w:val="854456666"/>
        <w:showingPlcHdr/>
        <w:dataBinding w:xpath="/root[1]/Classification[1]" w:storeItemID="{F533AE62-A212-4B26-92DA-A3B336E8AE06}"/>
        <w:text/>
      </w:sdtPr>
      <w:sdtEndPr/>
      <w:sdtContent>
        <w:r w:rsidR="00FF6C17">
          <w:t xml:space="preserve">     </w:t>
        </w:r>
      </w:sdtContent>
    </w:sdt>
  </w:p>
  <w:p w14:paraId="40CF5626" w14:textId="1E46E7DF" w:rsidR="00EE76B9" w:rsidRDefault="00EE76B9">
    <w:pPr>
      <w:pStyle w:val="Header"/>
    </w:pPr>
  </w:p>
  <w:p w14:paraId="6D28BB54" w14:textId="77777777" w:rsidR="009672EB" w:rsidRDefault="0096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FC02" w14:textId="77777777" w:rsidR="009672EB" w:rsidRDefault="00FC6275">
    <w:pPr>
      <w:pStyle w:val="Header"/>
    </w:pP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25824" behindDoc="0" locked="0" layoutInCell="1" allowOverlap="1" wp14:anchorId="2327A43B" wp14:editId="0F298AC7">
          <wp:simplePos x="0" y="0"/>
          <wp:positionH relativeFrom="page">
            <wp:posOffset>535305</wp:posOffset>
          </wp:positionH>
          <wp:positionV relativeFrom="page">
            <wp:posOffset>257175</wp:posOffset>
          </wp:positionV>
          <wp:extent cx="2118360" cy="640080"/>
          <wp:effectExtent l="0" t="0" r="0" b="7620"/>
          <wp:wrapNone/>
          <wp:docPr id="2" name="Graphic 19" descr="Australian Government |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6064AEC9" wp14:editId="11924C4F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55" name="Straight Connecto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1BA722" id="Straight Connector 5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27872" behindDoc="0" locked="1" layoutInCell="1" allowOverlap="1" wp14:anchorId="34862CC5" wp14:editId="1A7052A4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27EBE" w14:textId="77777777" w:rsidR="00FC6275" w:rsidRPr="00602577" w:rsidRDefault="00FC6275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</w:pPr>
                          <w:r w:rsidRPr="00602577">
                            <w:rPr>
                              <w:i/>
                              <w:iCs/>
                              <w:color w:val="BCBCBC" w:themeColor="background2" w:themeShade="E6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62CC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" fillcolor="white [3212]" stroked="f">
              <v:textbox inset="15mm,0,0,0">
                <w:txbxContent>
                  <w:p w14:paraId="71827EBE" w14:textId="77777777" w:rsidR="00FC6275" w:rsidRPr="00602577" w:rsidRDefault="00FC6275" w:rsidP="009672EB">
                    <w:pPr>
                      <w:spacing w:after="0" w:line="240" w:lineRule="auto"/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</w:pPr>
                    <w:r w:rsidRPr="00602577">
                      <w:rPr>
                        <w:i/>
                        <w:iCs/>
                        <w:color w:val="BCBCBC" w:themeColor="background2" w:themeShade="E6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26848" behindDoc="0" locked="1" layoutInCell="1" allowOverlap="1" wp14:anchorId="621F2595" wp14:editId="2E17D17F">
          <wp:simplePos x="0" y="0"/>
          <wp:positionH relativeFrom="page">
            <wp:posOffset>3016885</wp:posOffset>
          </wp:positionH>
          <wp:positionV relativeFrom="page">
            <wp:posOffset>291465</wp:posOffset>
          </wp:positionV>
          <wp:extent cx="1580400" cy="518400"/>
          <wp:effectExtent l="0" t="0" r="1270" b="0"/>
          <wp:wrapNone/>
          <wp:docPr id="3" name="Graphic 16" descr="NIA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24800" behindDoc="0" locked="1" layoutInCell="1" allowOverlap="1" wp14:anchorId="569F9CE8" wp14:editId="7D5C55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48400" cy="1328400"/>
          <wp:effectExtent l="0" t="0" r="635" b="5715"/>
          <wp:wrapSquare wrapText="bothSides"/>
          <wp:docPr id="4" name="Graphic 11" descr="Header bann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7448400" cy="132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6B008EE"/>
    <w:multiLevelType w:val="hybridMultilevel"/>
    <w:tmpl w:val="E29ACAE4"/>
    <w:lvl w:ilvl="0" w:tplc="35E616E4">
      <w:start w:val="3"/>
      <w:numFmt w:val="decimal"/>
      <w:lvlText w:val="%1"/>
      <w:lvlJc w:val="left"/>
      <w:pPr>
        <w:ind w:left="360" w:hanging="360"/>
      </w:pPr>
      <w:rPr>
        <w:rFonts w:asciiTheme="majorHAnsi" w:hint="default"/>
        <w:b/>
        <w:color w:val="00948D" w:themeColor="accent3"/>
        <w:sz w:val="4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8" w15:restartNumberingAfterBreak="0">
    <w:nsid w:val="713A0726"/>
    <w:multiLevelType w:val="multilevel"/>
    <w:tmpl w:val="3F946E20"/>
    <w:lvl w:ilvl="0">
      <w:start w:val="1"/>
      <w:numFmt w:val="decimal"/>
      <w:lvlText w:val="%1"/>
      <w:lvlJc w:val="left"/>
      <w:pPr>
        <w:ind w:left="897" w:hanging="794"/>
      </w:pPr>
      <w:rPr>
        <w:rFonts w:ascii="Century Gothic" w:eastAsia="Century Gothic" w:hAnsi="Century Gothic" w:hint="default"/>
        <w:color w:val="B09B7D"/>
        <w:sz w:val="76"/>
        <w:szCs w:val="76"/>
      </w:rPr>
    </w:lvl>
    <w:lvl w:ilvl="1">
      <w:start w:val="2"/>
      <w:numFmt w:val="decimal"/>
      <w:lvlText w:val="%1.%2."/>
      <w:lvlJc w:val="left"/>
      <w:pPr>
        <w:ind w:left="1587" w:hanging="567"/>
        <w:jc w:val="right"/>
      </w:pPr>
      <w:rPr>
        <w:rFonts w:ascii="Century Gothic" w:eastAsia="Century Gothic" w:hAnsi="Century Gothic" w:hint="default"/>
        <w:b/>
        <w:bCs/>
        <w:color w:val="E89958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1587" w:hanging="341"/>
      </w:pPr>
      <w:rPr>
        <w:rFonts w:ascii="Century Gothic" w:eastAsia="Century Gothic" w:hAnsi="Century Gothic" w:hint="default"/>
        <w:color w:val="2C3945"/>
        <w:spacing w:val="-1"/>
        <w:sz w:val="20"/>
        <w:szCs w:val="20"/>
      </w:rPr>
    </w:lvl>
    <w:lvl w:ilvl="3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41"/>
      </w:pPr>
      <w:rPr>
        <w:rFonts w:hint="default"/>
      </w:rPr>
    </w:lvl>
  </w:abstractNum>
  <w:abstractNum w:abstractNumId="9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5"/>
  </w:num>
  <w:num w:numId="20">
    <w:abstractNumId w:val="11"/>
  </w:num>
  <w:num w:numId="21">
    <w:abstractNumId w:val="0"/>
  </w:num>
  <w:num w:numId="22">
    <w:abstractNumId w:val="9"/>
  </w:num>
  <w:num w:numId="23">
    <w:abstractNumId w:val="9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EC"/>
    <w:rsid w:val="00000E2D"/>
    <w:rsid w:val="00002F73"/>
    <w:rsid w:val="00007EB1"/>
    <w:rsid w:val="00014206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B11E4"/>
    <w:rsid w:val="000C29C5"/>
    <w:rsid w:val="000D106A"/>
    <w:rsid w:val="000D113F"/>
    <w:rsid w:val="000E351D"/>
    <w:rsid w:val="000E4DE2"/>
    <w:rsid w:val="000E60F7"/>
    <w:rsid w:val="000E6B18"/>
    <w:rsid w:val="000F1B86"/>
    <w:rsid w:val="000F23B0"/>
    <w:rsid w:val="000F5917"/>
    <w:rsid w:val="001007B9"/>
    <w:rsid w:val="00105ECB"/>
    <w:rsid w:val="00131315"/>
    <w:rsid w:val="00132268"/>
    <w:rsid w:val="001336CF"/>
    <w:rsid w:val="00143288"/>
    <w:rsid w:val="00151FD5"/>
    <w:rsid w:val="0015537B"/>
    <w:rsid w:val="0015726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95E75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02E44"/>
    <w:rsid w:val="0021247A"/>
    <w:rsid w:val="002229A5"/>
    <w:rsid w:val="002317BD"/>
    <w:rsid w:val="00231B22"/>
    <w:rsid w:val="00234705"/>
    <w:rsid w:val="00237365"/>
    <w:rsid w:val="00250BE6"/>
    <w:rsid w:val="00252F38"/>
    <w:rsid w:val="00260C56"/>
    <w:rsid w:val="002620CC"/>
    <w:rsid w:val="002625D7"/>
    <w:rsid w:val="00264A5E"/>
    <w:rsid w:val="00265FF3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A6ED4"/>
    <w:rsid w:val="002B4B0A"/>
    <w:rsid w:val="002C0866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3DEC"/>
    <w:rsid w:val="0031546F"/>
    <w:rsid w:val="00316B0D"/>
    <w:rsid w:val="00327A17"/>
    <w:rsid w:val="003300DB"/>
    <w:rsid w:val="0033088D"/>
    <w:rsid w:val="00335425"/>
    <w:rsid w:val="003371F0"/>
    <w:rsid w:val="0034129E"/>
    <w:rsid w:val="00345B55"/>
    <w:rsid w:val="003500C6"/>
    <w:rsid w:val="00363AE5"/>
    <w:rsid w:val="003848EF"/>
    <w:rsid w:val="00385B65"/>
    <w:rsid w:val="00391929"/>
    <w:rsid w:val="003A3E57"/>
    <w:rsid w:val="003C036F"/>
    <w:rsid w:val="003C6961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105DC"/>
    <w:rsid w:val="00414CEB"/>
    <w:rsid w:val="004163FA"/>
    <w:rsid w:val="00423E92"/>
    <w:rsid w:val="004257F1"/>
    <w:rsid w:val="00426008"/>
    <w:rsid w:val="00433922"/>
    <w:rsid w:val="004366AE"/>
    <w:rsid w:val="0044371A"/>
    <w:rsid w:val="00445D38"/>
    <w:rsid w:val="00454696"/>
    <w:rsid w:val="004616FF"/>
    <w:rsid w:val="004759ED"/>
    <w:rsid w:val="004945F7"/>
    <w:rsid w:val="004950AA"/>
    <w:rsid w:val="004957BB"/>
    <w:rsid w:val="00497F14"/>
    <w:rsid w:val="004B2CB0"/>
    <w:rsid w:val="004B7B8B"/>
    <w:rsid w:val="004C18F6"/>
    <w:rsid w:val="004C6518"/>
    <w:rsid w:val="004D0B40"/>
    <w:rsid w:val="004D24EB"/>
    <w:rsid w:val="004D57E4"/>
    <w:rsid w:val="004D688C"/>
    <w:rsid w:val="004E58AE"/>
    <w:rsid w:val="004F20A9"/>
    <w:rsid w:val="004F73E8"/>
    <w:rsid w:val="0051316F"/>
    <w:rsid w:val="00523958"/>
    <w:rsid w:val="00525EAF"/>
    <w:rsid w:val="005264F1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A7250"/>
    <w:rsid w:val="005B1F48"/>
    <w:rsid w:val="005B210C"/>
    <w:rsid w:val="005B241C"/>
    <w:rsid w:val="005B2520"/>
    <w:rsid w:val="005B27D0"/>
    <w:rsid w:val="005B57D8"/>
    <w:rsid w:val="005C5038"/>
    <w:rsid w:val="005C7655"/>
    <w:rsid w:val="005C7C79"/>
    <w:rsid w:val="005D1BC5"/>
    <w:rsid w:val="005D2D7A"/>
    <w:rsid w:val="005D7026"/>
    <w:rsid w:val="005F3D48"/>
    <w:rsid w:val="005F79CC"/>
    <w:rsid w:val="00602577"/>
    <w:rsid w:val="00603EA6"/>
    <w:rsid w:val="00603FC1"/>
    <w:rsid w:val="00610D33"/>
    <w:rsid w:val="0061381E"/>
    <w:rsid w:val="006159CC"/>
    <w:rsid w:val="006173D0"/>
    <w:rsid w:val="006201D7"/>
    <w:rsid w:val="006208C6"/>
    <w:rsid w:val="006267BF"/>
    <w:rsid w:val="00626CA4"/>
    <w:rsid w:val="0062796C"/>
    <w:rsid w:val="00633905"/>
    <w:rsid w:val="006427AA"/>
    <w:rsid w:val="006429D7"/>
    <w:rsid w:val="006454DC"/>
    <w:rsid w:val="00657D2D"/>
    <w:rsid w:val="00661E36"/>
    <w:rsid w:val="00663EAD"/>
    <w:rsid w:val="006674FC"/>
    <w:rsid w:val="006719C9"/>
    <w:rsid w:val="0067211D"/>
    <w:rsid w:val="00675B34"/>
    <w:rsid w:val="00675EDF"/>
    <w:rsid w:val="00682080"/>
    <w:rsid w:val="00684ABF"/>
    <w:rsid w:val="00685BF1"/>
    <w:rsid w:val="00692AE7"/>
    <w:rsid w:val="00697A16"/>
    <w:rsid w:val="00697F67"/>
    <w:rsid w:val="006A131D"/>
    <w:rsid w:val="006A2795"/>
    <w:rsid w:val="006A302A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30605"/>
    <w:rsid w:val="0073728B"/>
    <w:rsid w:val="00753B4D"/>
    <w:rsid w:val="00754949"/>
    <w:rsid w:val="007632FD"/>
    <w:rsid w:val="007660B9"/>
    <w:rsid w:val="007674E2"/>
    <w:rsid w:val="00771258"/>
    <w:rsid w:val="0077609F"/>
    <w:rsid w:val="00780AC4"/>
    <w:rsid w:val="00781797"/>
    <w:rsid w:val="007836C4"/>
    <w:rsid w:val="007956C4"/>
    <w:rsid w:val="0079782A"/>
    <w:rsid w:val="007A27C5"/>
    <w:rsid w:val="007A52E1"/>
    <w:rsid w:val="007A6FC6"/>
    <w:rsid w:val="007C0068"/>
    <w:rsid w:val="007C3F60"/>
    <w:rsid w:val="007D5D69"/>
    <w:rsid w:val="007D680C"/>
    <w:rsid w:val="007F7FED"/>
    <w:rsid w:val="008051C4"/>
    <w:rsid w:val="00805B42"/>
    <w:rsid w:val="00806393"/>
    <w:rsid w:val="0081512D"/>
    <w:rsid w:val="00817B50"/>
    <w:rsid w:val="00820E0F"/>
    <w:rsid w:val="008211ED"/>
    <w:rsid w:val="00825410"/>
    <w:rsid w:val="008275B9"/>
    <w:rsid w:val="0083261D"/>
    <w:rsid w:val="00832D89"/>
    <w:rsid w:val="0083503B"/>
    <w:rsid w:val="00840865"/>
    <w:rsid w:val="00841BBE"/>
    <w:rsid w:val="00841D41"/>
    <w:rsid w:val="008436AB"/>
    <w:rsid w:val="00844739"/>
    <w:rsid w:val="0084486B"/>
    <w:rsid w:val="0086151D"/>
    <w:rsid w:val="00862223"/>
    <w:rsid w:val="008629BC"/>
    <w:rsid w:val="0086672B"/>
    <w:rsid w:val="008668C0"/>
    <w:rsid w:val="008678C1"/>
    <w:rsid w:val="00873DED"/>
    <w:rsid w:val="00877425"/>
    <w:rsid w:val="008777F4"/>
    <w:rsid w:val="00880786"/>
    <w:rsid w:val="008910DD"/>
    <w:rsid w:val="008A6759"/>
    <w:rsid w:val="008B13B1"/>
    <w:rsid w:val="008B493F"/>
    <w:rsid w:val="008C115E"/>
    <w:rsid w:val="008D0504"/>
    <w:rsid w:val="008D1256"/>
    <w:rsid w:val="008D275A"/>
    <w:rsid w:val="008E109E"/>
    <w:rsid w:val="008E66E6"/>
    <w:rsid w:val="008F112A"/>
    <w:rsid w:val="008F29A9"/>
    <w:rsid w:val="00900D4B"/>
    <w:rsid w:val="009014BC"/>
    <w:rsid w:val="00902CAC"/>
    <w:rsid w:val="009036CA"/>
    <w:rsid w:val="00917F95"/>
    <w:rsid w:val="00923EDF"/>
    <w:rsid w:val="0092592A"/>
    <w:rsid w:val="00935AD4"/>
    <w:rsid w:val="00937CE1"/>
    <w:rsid w:val="0094513B"/>
    <w:rsid w:val="0094688C"/>
    <w:rsid w:val="00963FB3"/>
    <w:rsid w:val="009672EB"/>
    <w:rsid w:val="00973090"/>
    <w:rsid w:val="009839E7"/>
    <w:rsid w:val="0099436F"/>
    <w:rsid w:val="009959E0"/>
    <w:rsid w:val="00996BEA"/>
    <w:rsid w:val="009A11A0"/>
    <w:rsid w:val="009A33FB"/>
    <w:rsid w:val="009A5056"/>
    <w:rsid w:val="009A7A3D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37E61"/>
    <w:rsid w:val="00A477A0"/>
    <w:rsid w:val="00A47C07"/>
    <w:rsid w:val="00A50BDE"/>
    <w:rsid w:val="00A5524F"/>
    <w:rsid w:val="00A61711"/>
    <w:rsid w:val="00A62F19"/>
    <w:rsid w:val="00A63A3E"/>
    <w:rsid w:val="00A667C2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AF7B63"/>
    <w:rsid w:val="00B0259B"/>
    <w:rsid w:val="00B06546"/>
    <w:rsid w:val="00B13055"/>
    <w:rsid w:val="00B151CC"/>
    <w:rsid w:val="00B24D0A"/>
    <w:rsid w:val="00B253AB"/>
    <w:rsid w:val="00B3317D"/>
    <w:rsid w:val="00B36583"/>
    <w:rsid w:val="00B37705"/>
    <w:rsid w:val="00B455C1"/>
    <w:rsid w:val="00B53058"/>
    <w:rsid w:val="00B83B2F"/>
    <w:rsid w:val="00B87E45"/>
    <w:rsid w:val="00B95533"/>
    <w:rsid w:val="00BA209F"/>
    <w:rsid w:val="00BB0F68"/>
    <w:rsid w:val="00BB1FFF"/>
    <w:rsid w:val="00BB2567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22542"/>
    <w:rsid w:val="00C464A7"/>
    <w:rsid w:val="00C511C3"/>
    <w:rsid w:val="00C51C42"/>
    <w:rsid w:val="00C52329"/>
    <w:rsid w:val="00C57F4E"/>
    <w:rsid w:val="00C66A73"/>
    <w:rsid w:val="00C67AA6"/>
    <w:rsid w:val="00C80CAE"/>
    <w:rsid w:val="00C823CF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83679"/>
    <w:rsid w:val="00D851C8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1122"/>
    <w:rsid w:val="00DD6C35"/>
    <w:rsid w:val="00DE193D"/>
    <w:rsid w:val="00DE710F"/>
    <w:rsid w:val="00DE7EED"/>
    <w:rsid w:val="00E02E5D"/>
    <w:rsid w:val="00E14B90"/>
    <w:rsid w:val="00E20081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A19B4"/>
    <w:rsid w:val="00EB25EA"/>
    <w:rsid w:val="00EC0059"/>
    <w:rsid w:val="00EC1CC7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10D8B"/>
    <w:rsid w:val="00F1294A"/>
    <w:rsid w:val="00F21C70"/>
    <w:rsid w:val="00F21D2D"/>
    <w:rsid w:val="00F26D11"/>
    <w:rsid w:val="00F27CBE"/>
    <w:rsid w:val="00F4121E"/>
    <w:rsid w:val="00F4212B"/>
    <w:rsid w:val="00F46D66"/>
    <w:rsid w:val="00F4704F"/>
    <w:rsid w:val="00F50EE3"/>
    <w:rsid w:val="00F651C4"/>
    <w:rsid w:val="00F7682E"/>
    <w:rsid w:val="00F92C57"/>
    <w:rsid w:val="00F9344F"/>
    <w:rsid w:val="00F97B14"/>
    <w:rsid w:val="00FA3492"/>
    <w:rsid w:val="00FB20C4"/>
    <w:rsid w:val="00FB3C96"/>
    <w:rsid w:val="00FB60EF"/>
    <w:rsid w:val="00FC3D4F"/>
    <w:rsid w:val="00FC49FB"/>
    <w:rsid w:val="00FC5756"/>
    <w:rsid w:val="00FC6275"/>
    <w:rsid w:val="00FD659E"/>
    <w:rsid w:val="00FE6A0D"/>
    <w:rsid w:val="00FE7253"/>
    <w:rsid w:val="00FF2D86"/>
    <w:rsid w:val="00FF6000"/>
    <w:rsid w:val="00FF616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F2273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79782A"/>
    <w:pPr>
      <w:outlineLvl w:val="1"/>
    </w:pPr>
    <w:rPr>
      <w:rFonts w:asciiTheme="majorHAnsi" w:eastAsia="Times New Roman" w:hAnsiTheme="majorHAnsi" w:cs="Times New Roman"/>
      <w:b/>
      <w:color w:val="00948D" w:themeColor="accent3"/>
      <w:sz w:val="32"/>
      <w:szCs w:val="32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782A"/>
    <w:rPr>
      <w:rFonts w:asciiTheme="majorHAnsi" w:eastAsia="Times New Roman" w:hAnsiTheme="majorHAnsi" w:cs="Times New Roman"/>
      <w:b/>
      <w:color w:val="00948D" w:themeColor="accent3"/>
      <w:sz w:val="32"/>
      <w:szCs w:val="32"/>
      <w:lang w:val="en-US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8910DD"/>
    <w:rPr>
      <w:color w:val="0289C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3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105DC"/>
    <w:rPr>
      <w:color w:val="0289C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iaa.gov.au/ipp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866B5B46741EBBD00B9E1C3DD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C83E-7158-4F1C-9420-4176732C6FCD}"/>
      </w:docPartPr>
      <w:docPartBody>
        <w:p w:rsidR="00FF697F" w:rsidRDefault="001A2854">
          <w:pPr>
            <w:pStyle w:val="A91866B5B46741EBBD00B9E1C3DD1B2F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4"/>
    <w:rsid w:val="00100966"/>
    <w:rsid w:val="001A2854"/>
    <w:rsid w:val="002624A0"/>
    <w:rsid w:val="005E232D"/>
    <w:rsid w:val="006B106C"/>
    <w:rsid w:val="00A9645D"/>
    <w:rsid w:val="00BE08A5"/>
    <w:rsid w:val="00C6739A"/>
    <w:rsid w:val="00EC739B"/>
    <w:rsid w:val="00FC5354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A91866B5B46741EBBD00B9E1C3DD1B2F">
    <w:name w:val="A91866B5B46741EBBD00B9E1C3DD1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/>
  <DLM/>
  <SectionName>Indigenous Procurement Policy</SectionName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B791DA50-17CB-4450-AD3D-CE485AAB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2022-06-03T03:17:00Z</dcterms:created>
  <dcterms:modified xsi:type="dcterms:W3CDTF">2022-06-03T03:18:00Z</dcterms:modified>
</cp:coreProperties>
</file>