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83A6" w14:textId="6629EAC5" w:rsidR="001A221F" w:rsidRPr="005D09DC" w:rsidRDefault="00430BCF">
      <w:r>
        <w:rPr>
          <w:noProof/>
          <w:lang w:eastAsia="en-AU"/>
        </w:rPr>
        <w:drawing>
          <wp:inline distT="0" distB="0" distL="0" distR="0" wp14:anchorId="05A07E67" wp14:editId="67328DE8">
            <wp:extent cx="3733800" cy="1168400"/>
            <wp:effectExtent l="0" t="0" r="0" b="0"/>
            <wp:docPr id="3" name="Picture 3" descr="Inside Policy Logo - Teal writing with a teal artistic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side Policy Logo - Teal writing with a teal artistic brain"/>
                    <pic:cNvPicPr/>
                  </pic:nvPicPr>
                  <pic:blipFill>
                    <a:blip r:embed="rId12">
                      <a:extLst>
                        <a:ext uri="{28A0092B-C50C-407E-A947-70E740481C1C}">
                          <a14:useLocalDpi xmlns:a14="http://schemas.microsoft.com/office/drawing/2010/main" val="0"/>
                        </a:ext>
                      </a:extLst>
                    </a:blip>
                    <a:stretch>
                      <a:fillRect/>
                    </a:stretch>
                  </pic:blipFill>
                  <pic:spPr>
                    <a:xfrm>
                      <a:off x="0" y="0"/>
                      <a:ext cx="3733800" cy="1168400"/>
                    </a:xfrm>
                    <a:prstGeom prst="rect">
                      <a:avLst/>
                    </a:prstGeom>
                  </pic:spPr>
                </pic:pic>
              </a:graphicData>
            </a:graphic>
          </wp:inline>
        </w:drawing>
      </w:r>
    </w:p>
    <w:p w14:paraId="6DFE6A04" w14:textId="2F3FE008" w:rsidR="001A221F" w:rsidRPr="005D09DC" w:rsidRDefault="00BB634A">
      <w:r w:rsidRPr="005D09DC">
        <w:rPr>
          <w:noProof/>
          <w:lang w:eastAsia="en-AU"/>
        </w:rPr>
        <mc:AlternateContent>
          <mc:Choice Requires="wps">
            <w:drawing>
              <wp:inline distT="0" distB="0" distL="0" distR="0" wp14:anchorId="454A23EC" wp14:editId="21355362">
                <wp:extent cx="3676261" cy="2605405"/>
                <wp:effectExtent l="0" t="0" r="0" b="0"/>
                <wp:docPr id="34" name="Rectangle 34"/>
                <wp:cNvGraphicFramePr/>
                <a:graphic xmlns:a="http://schemas.openxmlformats.org/drawingml/2006/main">
                  <a:graphicData uri="http://schemas.microsoft.com/office/word/2010/wordprocessingShape">
                    <wps:wsp>
                      <wps:cNvSpPr/>
                      <wps:spPr>
                        <a:xfrm>
                          <a:off x="0" y="0"/>
                          <a:ext cx="3676261" cy="2605405"/>
                        </a:xfrm>
                        <a:prstGeom prst="rect">
                          <a:avLst/>
                        </a:prstGeom>
                        <a:noFill/>
                        <a:ln>
                          <a:noFill/>
                        </a:ln>
                      </wps:spPr>
                      <wps:txbx>
                        <w:txbxContent>
                          <w:p w14:paraId="3E28F1F5" w14:textId="77777777" w:rsidR="009D3D63" w:rsidRPr="00110D84" w:rsidRDefault="009D3D63" w:rsidP="00BB634A">
                            <w:pPr>
                              <w:spacing w:line="192" w:lineRule="auto"/>
                              <w:rPr>
                                <w:color w:val="000000" w:themeColor="text1"/>
                                <w:sz w:val="56"/>
                                <w:szCs w:val="56"/>
                              </w:rPr>
                            </w:pPr>
                            <w:r w:rsidRPr="00110D84">
                              <w:rPr>
                                <w:b/>
                                <w:bCs/>
                                <w:color w:val="000000" w:themeColor="text1"/>
                                <w:sz w:val="56"/>
                                <w:szCs w:val="56"/>
                                <w:lang w:val="en-US"/>
                              </w:rPr>
                              <w:t xml:space="preserve">The Indigenous Skills &amp; Employment Program </w:t>
                            </w:r>
                          </w:p>
                          <w:p w14:paraId="43D72317" w14:textId="77777777" w:rsidR="009D3D63" w:rsidRPr="00110D84" w:rsidRDefault="009D3D63" w:rsidP="00BB634A">
                            <w:pPr>
                              <w:rPr>
                                <w:b/>
                                <w:bCs/>
                                <w:color w:val="000000" w:themeColor="text1"/>
                                <w:sz w:val="48"/>
                                <w:szCs w:val="18"/>
                                <w:lang w:val="en-US"/>
                              </w:rPr>
                            </w:pPr>
                          </w:p>
                          <w:p w14:paraId="2F69F017" w14:textId="14506BF5" w:rsidR="009D3D63" w:rsidRPr="00110D84" w:rsidRDefault="009D3D63" w:rsidP="00BB634A">
                            <w:pPr>
                              <w:spacing w:line="192" w:lineRule="auto"/>
                              <w:rPr>
                                <w:b/>
                                <w:bCs/>
                                <w:color w:val="000000" w:themeColor="text1"/>
                                <w:sz w:val="48"/>
                                <w:szCs w:val="18"/>
                                <w:lang w:val="en-US"/>
                              </w:rPr>
                            </w:pPr>
                            <w:r w:rsidRPr="00110D84">
                              <w:rPr>
                                <w:b/>
                                <w:bCs/>
                                <w:color w:val="000000" w:themeColor="text1"/>
                                <w:sz w:val="48"/>
                                <w:szCs w:val="18"/>
                                <w:lang w:val="en-US"/>
                              </w:rPr>
                              <w:t xml:space="preserve">Consultation </w:t>
                            </w:r>
                            <w:r w:rsidR="005D09DC" w:rsidRPr="00110D84">
                              <w:rPr>
                                <w:b/>
                                <w:bCs/>
                                <w:color w:val="000000" w:themeColor="text1"/>
                                <w:sz w:val="48"/>
                                <w:szCs w:val="18"/>
                                <w:lang w:val="en-US"/>
                              </w:rPr>
                              <w:t xml:space="preserve">Outcomes Report </w:t>
                            </w:r>
                          </w:p>
                          <w:p w14:paraId="0E2C67D1" w14:textId="77777777" w:rsidR="009D3D63" w:rsidRPr="00110D84" w:rsidRDefault="009D3D63">
                            <w:pPr>
                              <w:rPr>
                                <w:color w:val="000000" w:themeColor="text1"/>
                              </w:rPr>
                            </w:pP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4A23EC" id="Rectangle 34" o:spid="_x0000_s1026" style="width:289.45pt;height:20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" filled="f" stroked="f">
                <v:textbox inset="2.53958mm,1.2694mm,2.53958mm,1.2694mm">
                  <w:txbxContent>
                    <w:p w14:paraId="3E28F1F5" w14:textId="77777777" w:rsidR="009D3D63" w:rsidRPr="00110D84" w:rsidRDefault="009D3D63" w:rsidP="00BB634A">
                      <w:pPr>
                        <w:spacing w:line="192" w:lineRule="auto"/>
                        <w:rPr>
                          <w:color w:val="000000" w:themeColor="text1"/>
                          <w:sz w:val="56"/>
                          <w:szCs w:val="56"/>
                        </w:rPr>
                      </w:pPr>
                      <w:r w:rsidRPr="00110D84">
                        <w:rPr>
                          <w:b/>
                          <w:bCs/>
                          <w:color w:val="000000" w:themeColor="text1"/>
                          <w:sz w:val="56"/>
                          <w:szCs w:val="56"/>
                          <w:lang w:val="en-US"/>
                        </w:rPr>
                        <w:t xml:space="preserve">The Indigenous Skills &amp; Employment Program </w:t>
                      </w:r>
                    </w:p>
                    <w:p w14:paraId="43D72317" w14:textId="77777777" w:rsidR="009D3D63" w:rsidRPr="00110D84" w:rsidRDefault="009D3D63" w:rsidP="00BB634A">
                      <w:pPr>
                        <w:rPr>
                          <w:b/>
                          <w:bCs/>
                          <w:color w:val="000000" w:themeColor="text1"/>
                          <w:sz w:val="48"/>
                          <w:szCs w:val="18"/>
                          <w:lang w:val="en-US"/>
                        </w:rPr>
                      </w:pPr>
                    </w:p>
                    <w:p w14:paraId="2F69F017" w14:textId="14506BF5" w:rsidR="009D3D63" w:rsidRPr="00110D84" w:rsidRDefault="009D3D63" w:rsidP="00BB634A">
                      <w:pPr>
                        <w:spacing w:line="192" w:lineRule="auto"/>
                        <w:rPr>
                          <w:b/>
                          <w:bCs/>
                          <w:color w:val="000000" w:themeColor="text1"/>
                          <w:sz w:val="48"/>
                          <w:szCs w:val="18"/>
                          <w:lang w:val="en-US"/>
                        </w:rPr>
                      </w:pPr>
                      <w:r w:rsidRPr="00110D84">
                        <w:rPr>
                          <w:b/>
                          <w:bCs/>
                          <w:color w:val="000000" w:themeColor="text1"/>
                          <w:sz w:val="48"/>
                          <w:szCs w:val="18"/>
                          <w:lang w:val="en-US"/>
                        </w:rPr>
                        <w:t xml:space="preserve">Consultation </w:t>
                      </w:r>
                      <w:r w:rsidR="005D09DC" w:rsidRPr="00110D84">
                        <w:rPr>
                          <w:b/>
                          <w:bCs/>
                          <w:color w:val="000000" w:themeColor="text1"/>
                          <w:sz w:val="48"/>
                          <w:szCs w:val="18"/>
                          <w:lang w:val="en-US"/>
                        </w:rPr>
                        <w:t xml:space="preserve">Outcomes Report </w:t>
                      </w:r>
                    </w:p>
                    <w:p w14:paraId="0E2C67D1" w14:textId="77777777" w:rsidR="009D3D63" w:rsidRPr="00110D84" w:rsidRDefault="009D3D63">
                      <w:pPr>
                        <w:rPr>
                          <w:color w:val="000000" w:themeColor="text1"/>
                        </w:rPr>
                      </w:pPr>
                    </w:p>
                  </w:txbxContent>
                </v:textbox>
                <w10:anchorlock/>
              </v:rect>
            </w:pict>
          </mc:Fallback>
        </mc:AlternateContent>
      </w:r>
      <w:bookmarkStart w:id="0" w:name="_GoBack"/>
      <w:bookmarkEnd w:id="0"/>
      <w:r w:rsidRPr="005D09DC">
        <w:rPr>
          <w:noProof/>
          <w:lang w:eastAsia="en-AU"/>
        </w:rPr>
        <mc:AlternateContent>
          <mc:Choice Requires="wps">
            <w:drawing>
              <wp:inline distT="0" distB="0" distL="0" distR="0" wp14:anchorId="6108EFAA" wp14:editId="042D38F6">
                <wp:extent cx="2550160" cy="330200"/>
                <wp:effectExtent l="0" t="0" r="0" b="0"/>
                <wp:docPr id="30" name="Rectangle 30"/>
                <wp:cNvGraphicFramePr/>
                <a:graphic xmlns:a="http://schemas.openxmlformats.org/drawingml/2006/main">
                  <a:graphicData uri="http://schemas.microsoft.com/office/word/2010/wordprocessingShape">
                    <wps:wsp>
                      <wps:cNvSpPr/>
                      <wps:spPr>
                        <a:xfrm>
                          <a:off x="0" y="0"/>
                          <a:ext cx="2550160" cy="330200"/>
                        </a:xfrm>
                        <a:prstGeom prst="rect">
                          <a:avLst/>
                        </a:prstGeom>
                        <a:noFill/>
                        <a:ln>
                          <a:noFill/>
                        </a:ln>
                      </wps:spPr>
                      <wps:txbx>
                        <w:txbxContent>
                          <w:p w14:paraId="46F077DF" w14:textId="3F3BBFB6" w:rsidR="009D3D63" w:rsidRPr="00110D84" w:rsidRDefault="008A258A">
                            <w:pPr>
                              <w:textDirection w:val="btLr"/>
                              <w:rPr>
                                <w:color w:val="000000" w:themeColor="text1"/>
                              </w:rPr>
                            </w:pPr>
                            <w:r w:rsidRPr="00110D84">
                              <w:rPr>
                                <w:color w:val="000000" w:themeColor="text1"/>
                                <w:sz w:val="28"/>
                              </w:rPr>
                              <w:t>26</w:t>
                            </w:r>
                            <w:r w:rsidR="009D3D63" w:rsidRPr="00110D84">
                              <w:rPr>
                                <w:color w:val="000000" w:themeColor="text1"/>
                                <w:sz w:val="28"/>
                              </w:rPr>
                              <w:t xml:space="preserve"> October 2021</w:t>
                            </w: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08EFAA" id="Rectangle 30" o:spid="_x0000_s1027" style="width:200.8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" filled="f" stroked="f">
                <v:textbox inset="2.53958mm,1.2694mm,2.53958mm,1.2694mm">
                  <w:txbxContent>
                    <w:p w14:paraId="46F077DF" w14:textId="3F3BBFB6" w:rsidR="009D3D63" w:rsidRPr="00110D84" w:rsidRDefault="008A258A">
                      <w:pPr>
                        <w:textDirection w:val="btLr"/>
                        <w:rPr>
                          <w:color w:val="000000" w:themeColor="text1"/>
                        </w:rPr>
                      </w:pPr>
                      <w:r w:rsidRPr="00110D84">
                        <w:rPr>
                          <w:color w:val="000000" w:themeColor="text1"/>
                          <w:sz w:val="28"/>
                        </w:rPr>
                        <w:t>26</w:t>
                      </w:r>
                      <w:r w:rsidR="009D3D63" w:rsidRPr="00110D84">
                        <w:rPr>
                          <w:color w:val="000000" w:themeColor="text1"/>
                          <w:sz w:val="28"/>
                        </w:rPr>
                        <w:t xml:space="preserve"> October 2021</w:t>
                      </w:r>
                    </w:p>
                  </w:txbxContent>
                </v:textbox>
                <w10:anchorlock/>
              </v:rect>
            </w:pict>
          </mc:Fallback>
        </mc:AlternateContent>
      </w:r>
      <w:r w:rsidRPr="005D09DC">
        <w:rPr>
          <w:noProof/>
          <w:lang w:eastAsia="en-AU"/>
        </w:rPr>
        <mc:AlternateContent>
          <mc:Choice Requires="wps">
            <w:drawing>
              <wp:inline distT="0" distB="0" distL="0" distR="0" wp14:anchorId="422EC960" wp14:editId="645841BC">
                <wp:extent cx="5215255" cy="953770"/>
                <wp:effectExtent l="0" t="0" r="0" b="0"/>
                <wp:docPr id="25" name="Rectangle 25" descr="Prepared by Inside Policy for&#10;the National Indigenous Australians Agency &#10;"/>
                <wp:cNvGraphicFramePr/>
                <a:graphic xmlns:a="http://schemas.openxmlformats.org/drawingml/2006/main">
                  <a:graphicData uri="http://schemas.microsoft.com/office/word/2010/wordprocessingShape">
                    <wps:wsp>
                      <wps:cNvSpPr/>
                      <wps:spPr>
                        <a:xfrm>
                          <a:off x="0" y="0"/>
                          <a:ext cx="5215255" cy="953770"/>
                        </a:xfrm>
                        <a:prstGeom prst="rect">
                          <a:avLst/>
                        </a:prstGeom>
                        <a:noFill/>
                        <a:ln>
                          <a:noFill/>
                        </a:ln>
                      </wps:spPr>
                      <wps:txbx>
                        <w:txbxContent>
                          <w:p w14:paraId="5CF8FD26" w14:textId="77777777" w:rsidR="009D3D63" w:rsidRPr="00110D84" w:rsidRDefault="009D3D63">
                            <w:pPr>
                              <w:textDirection w:val="btLr"/>
                              <w:rPr>
                                <w:color w:val="000000" w:themeColor="text1"/>
                              </w:rPr>
                            </w:pPr>
                            <w:r w:rsidRPr="00110D84">
                              <w:rPr>
                                <w:color w:val="000000" w:themeColor="text1"/>
                                <w:sz w:val="36"/>
                              </w:rPr>
                              <w:t>Prepared by Inside Policy for</w:t>
                            </w:r>
                          </w:p>
                          <w:p w14:paraId="571490BE" w14:textId="77777777" w:rsidR="009D3D63" w:rsidRPr="00110D84" w:rsidRDefault="009D3D63">
                            <w:pPr>
                              <w:textDirection w:val="btLr"/>
                              <w:rPr>
                                <w:color w:val="000000" w:themeColor="text1"/>
                              </w:rPr>
                            </w:pPr>
                            <w:r w:rsidRPr="00110D84">
                              <w:rPr>
                                <w:color w:val="000000" w:themeColor="text1"/>
                                <w:sz w:val="36"/>
                              </w:rPr>
                              <w:t xml:space="preserve">the National Indigenous Australians Agency </w:t>
                            </w: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2EC960" id="Rectangle 25" o:spid="_x0000_s1028" alt="Prepared by Inside Policy for&#10;the National Indigenous Australians Agency &#10;" style="width:410.65pt;height: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" filled="f" stroked="f">
                <v:textbox inset="2.53958mm,1.2694mm,2.53958mm,1.2694mm">
                  <w:txbxContent>
                    <w:p w14:paraId="5CF8FD26" w14:textId="77777777" w:rsidR="009D3D63" w:rsidRPr="00110D84" w:rsidRDefault="009D3D63">
                      <w:pPr>
                        <w:textDirection w:val="btLr"/>
                        <w:rPr>
                          <w:color w:val="000000" w:themeColor="text1"/>
                        </w:rPr>
                      </w:pPr>
                      <w:r w:rsidRPr="00110D84">
                        <w:rPr>
                          <w:color w:val="000000" w:themeColor="text1"/>
                          <w:sz w:val="36"/>
                        </w:rPr>
                        <w:t>Prepared by Inside Policy for</w:t>
                      </w:r>
                    </w:p>
                    <w:p w14:paraId="571490BE" w14:textId="77777777" w:rsidR="009D3D63" w:rsidRPr="00110D84" w:rsidRDefault="009D3D63">
                      <w:pPr>
                        <w:textDirection w:val="btLr"/>
                        <w:rPr>
                          <w:color w:val="000000" w:themeColor="text1"/>
                        </w:rPr>
                      </w:pPr>
                      <w:r w:rsidRPr="00110D84">
                        <w:rPr>
                          <w:color w:val="000000" w:themeColor="text1"/>
                          <w:sz w:val="36"/>
                        </w:rPr>
                        <w:t xml:space="preserve">the National Indigenous Australians Agency </w:t>
                      </w:r>
                    </w:p>
                  </w:txbxContent>
                </v:textbox>
                <w10:anchorlock/>
              </v:rect>
            </w:pict>
          </mc:Fallback>
        </mc:AlternateContent>
      </w:r>
      <w:r w:rsidR="00FB2E9C" w:rsidRPr="005D09DC">
        <w:br w:type="page"/>
      </w:r>
    </w:p>
    <w:p w14:paraId="54361F40" w14:textId="77777777" w:rsidR="001A221F" w:rsidRPr="005D09DC" w:rsidRDefault="00FB2E9C" w:rsidP="00FF3CC7">
      <w:pPr>
        <w:spacing w:before="120" w:after="120"/>
        <w:rPr>
          <w:b/>
          <w:bCs/>
          <w:color w:val="1E9995"/>
          <w:sz w:val="28"/>
          <w:szCs w:val="28"/>
        </w:rPr>
      </w:pPr>
      <w:r w:rsidRPr="005D09DC">
        <w:rPr>
          <w:b/>
          <w:bCs/>
          <w:color w:val="1E9995"/>
          <w:sz w:val="28"/>
          <w:szCs w:val="28"/>
        </w:rPr>
        <w:lastRenderedPageBreak/>
        <w:t>Disclaimer</w:t>
      </w:r>
    </w:p>
    <w:p w14:paraId="3B59C792" w14:textId="77777777" w:rsidR="001A221F" w:rsidRPr="005D09DC" w:rsidRDefault="00FB2E9C" w:rsidP="00981521">
      <w:r w:rsidRPr="005D09DC">
        <w:t xml:space="preserve">This report has been prepared by Inside Policy Pty Ltd on behalf of </w:t>
      </w:r>
      <w:r w:rsidR="00735A54" w:rsidRPr="005D09DC">
        <w:t xml:space="preserve">the National Indigenous Australians’ Agency (NIAA) </w:t>
      </w:r>
      <w:r w:rsidRPr="005D09DC">
        <w:t xml:space="preserve">for the sole use of </w:t>
      </w:r>
      <w:r w:rsidR="00735A54" w:rsidRPr="005D09DC">
        <w:t>NIAA</w:t>
      </w:r>
      <w:r w:rsidRPr="005D09DC">
        <w:t xml:space="preserve"> and for the purposes for which it was commissioned. The contents of this paper do not reflect the views of </w:t>
      </w:r>
      <w:r w:rsidR="00735A54" w:rsidRPr="005D09DC">
        <w:t>NIAA.</w:t>
      </w:r>
    </w:p>
    <w:p w14:paraId="7E4A0666" w14:textId="77777777" w:rsidR="001A221F" w:rsidRPr="005D09DC" w:rsidRDefault="00FB2E9C" w:rsidP="00FF3CC7">
      <w:pPr>
        <w:spacing w:before="120" w:after="120"/>
        <w:rPr>
          <w:b/>
          <w:bCs/>
          <w:color w:val="1E9995"/>
          <w:sz w:val="28"/>
          <w:szCs w:val="28"/>
        </w:rPr>
      </w:pPr>
      <w:r w:rsidRPr="005D09DC">
        <w:rPr>
          <w:b/>
          <w:bCs/>
          <w:color w:val="1E9995"/>
          <w:sz w:val="28"/>
          <w:szCs w:val="28"/>
        </w:rPr>
        <w:t>Intellectual property</w:t>
      </w:r>
    </w:p>
    <w:p w14:paraId="78E47980" w14:textId="77777777" w:rsidR="001A221F" w:rsidRPr="005D09DC" w:rsidRDefault="00FB2E9C" w:rsidP="00BB634A">
      <w:pPr>
        <w:spacing w:after="120"/>
      </w:pPr>
      <w:r w:rsidRPr="005D09DC">
        <w:t xml:space="preserve">Inside Policy grants </w:t>
      </w:r>
      <w:r w:rsidR="00735A54" w:rsidRPr="005D09DC">
        <w:t>NIAA</w:t>
      </w:r>
      <w:r w:rsidRPr="005D09DC">
        <w:t xml:space="preserve"> a fee free, non-exclusive, irrevocable, world-wide licence to exercise the intellectual property rights in relation to this framework. The licence granted to </w:t>
      </w:r>
      <w:r w:rsidR="00735A54" w:rsidRPr="005D09DC">
        <w:t>NIAA</w:t>
      </w:r>
      <w:r w:rsidRPr="005D09DC">
        <w:t xml:space="preserve"> includes a right to sub-licence those rights, including to the public under an open access licence.</w:t>
      </w:r>
    </w:p>
    <w:p w14:paraId="70162CD7" w14:textId="77777777" w:rsidR="00BB634A" w:rsidRPr="005D09DC" w:rsidRDefault="00FB2E9C" w:rsidP="00BB634A">
      <w:pPr>
        <w:spacing w:after="120"/>
      </w:pPr>
      <w:r w:rsidRPr="005D09DC">
        <w:t xml:space="preserve">Inside Policy warrants that it is entitled to grant this licence; and that the provision of this report and its use by </w:t>
      </w:r>
      <w:r w:rsidR="00735A54" w:rsidRPr="005D09DC">
        <w:t>NIAA</w:t>
      </w:r>
      <w:r w:rsidRPr="005D09DC">
        <w:t xml:space="preserve"> will not infringe any third party’s intellectual property rights.</w:t>
      </w:r>
    </w:p>
    <w:p w14:paraId="1DC3325D" w14:textId="77777777" w:rsidR="00BB634A" w:rsidRPr="005D09DC" w:rsidRDefault="00BB634A" w:rsidP="00FF3CC7">
      <w:pPr>
        <w:spacing w:before="120" w:after="120"/>
        <w:rPr>
          <w:b/>
          <w:bCs/>
          <w:color w:val="1E9995"/>
          <w:sz w:val="28"/>
          <w:szCs w:val="28"/>
        </w:rPr>
      </w:pPr>
      <w:r w:rsidRPr="005D09DC">
        <w:rPr>
          <w:b/>
          <w:bCs/>
          <w:color w:val="1E9995"/>
          <w:sz w:val="28"/>
          <w:szCs w:val="28"/>
        </w:rPr>
        <w:t>Third-party reliance</w:t>
      </w:r>
    </w:p>
    <w:p w14:paraId="646FCFCE" w14:textId="77777777" w:rsidR="00BB634A" w:rsidRPr="005D09DC" w:rsidRDefault="00BB634A" w:rsidP="00BB634A">
      <w:pPr>
        <w:spacing w:after="120"/>
      </w:pPr>
      <w:r w:rsidRPr="005D09DC">
        <w:t xml:space="preserve">The information, statements and commentary contained in this Report (collectively, the </w:t>
      </w:r>
      <w:r w:rsidRPr="005D09DC">
        <w:rPr>
          <w:b/>
        </w:rPr>
        <w:t>“Information”</w:t>
      </w:r>
      <w:r w:rsidRPr="005D09DC">
        <w:t>) have been prepared by Inside Policy based on material publicly available, information provided by NIAA, consultations with stakeholders, written submissions to the ISEP Discussion Paper, and otherwise from sources indicated within this report.  Inside Policy has not sought to independently verify those sources unless otherwise noted within this Report.  Inside Policy does not give any guarantee, undertaking or warranty in relation to the accuracy, reliability or completeness of the Information contained in this Report, the assumptions made by the parties that provided the Information or any conclusions reached by those parties.</w:t>
      </w:r>
      <w:r w:rsidRPr="005D09DC">
        <w:rPr>
          <w:iCs/>
        </w:rPr>
        <w:t xml:space="preserve"> </w:t>
      </w:r>
      <w:r w:rsidRPr="005D09DC">
        <w:t>Inside Policy does not accept or assume any liability arising from any actions taken in response to this Report (including investment or strategic decisions made as a consequence of the Information contained in the report). </w:t>
      </w:r>
    </w:p>
    <w:p w14:paraId="3084109E" w14:textId="77777777" w:rsidR="00BB634A" w:rsidRPr="005D09DC" w:rsidRDefault="00BB634A" w:rsidP="00BB634A">
      <w:pPr>
        <w:spacing w:after="120"/>
      </w:pPr>
      <w:r w:rsidRPr="005D09DC">
        <w:t>Inside Policy does not accept or assume responsibility for any reliance that may be placed on this Report by any third-party.  Any reliance placed is that party’s sole responsibility. </w:t>
      </w:r>
    </w:p>
    <w:p w14:paraId="557E3DC3" w14:textId="77777777" w:rsidR="00BB634A" w:rsidRPr="005D09DC" w:rsidRDefault="00BB634A" w:rsidP="00BB634A">
      <w:pPr>
        <w:spacing w:before="120" w:after="120"/>
      </w:pPr>
    </w:p>
    <w:p w14:paraId="67143CCD" w14:textId="77777777" w:rsidR="001A221F" w:rsidRPr="005D09DC" w:rsidRDefault="00FB2E9C">
      <w:pPr>
        <w:spacing w:after="120"/>
      </w:pPr>
      <w:r w:rsidRPr="005D09DC">
        <w:br w:type="page"/>
      </w:r>
    </w:p>
    <w:p w14:paraId="0E6D71F2" w14:textId="77777777" w:rsidR="001A221F" w:rsidRPr="00110D84" w:rsidRDefault="00FB2E9C" w:rsidP="00981521">
      <w:pPr>
        <w:pStyle w:val="Heading1"/>
        <w:rPr>
          <w:color w:val="595959" w:themeColor="text1" w:themeTint="A6"/>
        </w:rPr>
      </w:pPr>
      <w:bookmarkStart w:id="1" w:name="_Toc85030944"/>
      <w:r w:rsidRPr="00110D84">
        <w:rPr>
          <w:color w:val="595959" w:themeColor="text1" w:themeTint="A6"/>
        </w:rPr>
        <w:t>Table of Contents</w:t>
      </w:r>
      <w:bookmarkEnd w:id="1"/>
    </w:p>
    <w:sdt>
      <w:sdtPr>
        <w:rPr>
          <w:rFonts w:ascii="Helvetica Neue" w:eastAsiaTheme="majorEastAsia" w:hAnsi="Helvetica Neue" w:cstheme="majorBidi"/>
          <w:b w:val="0"/>
          <w:bCs w:val="0"/>
          <w:caps w:val="0"/>
          <w:color w:val="595959" w:themeColor="text1" w:themeTint="A6"/>
          <w:sz w:val="22"/>
          <w:szCs w:val="22"/>
          <w:lang w:val="en-US" w:eastAsia="en-US"/>
        </w:rPr>
        <w:id w:val="1447810097"/>
        <w:docPartObj>
          <w:docPartGallery w:val="Table of Contents"/>
          <w:docPartUnique/>
        </w:docPartObj>
      </w:sdtPr>
      <w:sdtEndPr>
        <w:rPr>
          <w:b/>
          <w:bCs/>
          <w:noProof/>
          <w:color w:val="3476B1" w:themeColor="accent1" w:themeShade="BF"/>
          <w:sz w:val="28"/>
          <w:szCs w:val="28"/>
        </w:rPr>
      </w:sdtEndPr>
      <w:sdtContent>
        <w:p w14:paraId="4293D725" w14:textId="19E9B41C" w:rsidR="006727BF" w:rsidRPr="00110D84" w:rsidRDefault="00756A67">
          <w:pPr>
            <w:pStyle w:val="TOC1"/>
            <w:rPr>
              <w:rFonts w:ascii="Helvetica Neue" w:eastAsiaTheme="minorEastAsia" w:hAnsi="Helvetica Neue" w:cstheme="minorBidi"/>
              <w:b w:val="0"/>
              <w:bCs w:val="0"/>
              <w:caps w:val="0"/>
              <w:noProof/>
              <w:color w:val="595959" w:themeColor="text1" w:themeTint="A6"/>
              <w:sz w:val="22"/>
              <w:szCs w:val="22"/>
            </w:rPr>
          </w:pPr>
          <w:r w:rsidRPr="00110D84">
            <w:rPr>
              <w:rFonts w:ascii="Helvetica Neue" w:hAnsi="Helvetica Neue"/>
              <w:color w:val="595959" w:themeColor="text1" w:themeTint="A6"/>
              <w:sz w:val="22"/>
              <w:szCs w:val="22"/>
            </w:rPr>
            <w:fldChar w:fldCharType="begin"/>
          </w:r>
          <w:r w:rsidRPr="00110D84">
            <w:rPr>
              <w:rFonts w:ascii="Helvetica Neue" w:hAnsi="Helvetica Neue"/>
              <w:color w:val="595959" w:themeColor="text1" w:themeTint="A6"/>
              <w:sz w:val="22"/>
              <w:szCs w:val="22"/>
            </w:rPr>
            <w:instrText xml:space="preserve"> TOC \o "1-2" \h \z \u </w:instrText>
          </w:r>
          <w:r w:rsidRPr="00110D84">
            <w:rPr>
              <w:rFonts w:ascii="Helvetica Neue" w:hAnsi="Helvetica Neue"/>
              <w:color w:val="595959" w:themeColor="text1" w:themeTint="A6"/>
              <w:sz w:val="22"/>
              <w:szCs w:val="22"/>
            </w:rPr>
            <w:fldChar w:fldCharType="separate"/>
          </w:r>
          <w:hyperlink w:anchor="_Toc85030945" w:history="1">
            <w:r w:rsidR="006727BF" w:rsidRPr="00110D84">
              <w:rPr>
                <w:rStyle w:val="Hyperlink"/>
                <w:rFonts w:ascii="Helvetica Neue" w:hAnsi="Helvetica Neue"/>
                <w:noProof/>
                <w:color w:val="595959" w:themeColor="text1" w:themeTint="A6"/>
                <w:sz w:val="22"/>
                <w:szCs w:val="22"/>
              </w:rPr>
              <w:t>Acronyms</w:t>
            </w:r>
            <w:r w:rsidR="00C71BE4">
              <w:rPr>
                <w:rStyle w:val="Hyperlink"/>
                <w:rFonts w:ascii="Helvetica Neue" w:hAnsi="Helvetica Neue"/>
                <w:noProof/>
                <w:color w:val="595959" w:themeColor="text1" w:themeTint="A6"/>
                <w:sz w:val="22"/>
                <w:szCs w:val="22"/>
              </w:rPr>
              <w:t xml:space="preserve"> and definitions</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_Toc85030945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4</w:t>
            </w:r>
            <w:r w:rsidR="006727BF" w:rsidRPr="00110D84">
              <w:rPr>
                <w:rFonts w:ascii="Helvetica Neue" w:hAnsi="Helvetica Neue"/>
                <w:noProof/>
                <w:webHidden/>
                <w:color w:val="595959" w:themeColor="text1" w:themeTint="A6"/>
                <w:sz w:val="22"/>
                <w:szCs w:val="22"/>
              </w:rPr>
              <w:fldChar w:fldCharType="end"/>
            </w:r>
          </w:hyperlink>
        </w:p>
        <w:p w14:paraId="3CB17C3C" w14:textId="2349D8B7" w:rsidR="006727BF" w:rsidRPr="00110D84" w:rsidRDefault="00496B0D">
          <w:pPr>
            <w:pStyle w:val="TOC1"/>
            <w:rPr>
              <w:rFonts w:ascii="Helvetica Neue" w:eastAsiaTheme="minorEastAsia" w:hAnsi="Helvetica Neue" w:cstheme="minorBidi"/>
              <w:b w:val="0"/>
              <w:bCs w:val="0"/>
              <w:caps w:val="0"/>
              <w:noProof/>
              <w:color w:val="595959" w:themeColor="text1" w:themeTint="A6"/>
              <w:sz w:val="22"/>
              <w:szCs w:val="22"/>
            </w:rPr>
          </w:pPr>
          <w:hyperlink w:anchor="_Toc85030946" w:history="1">
            <w:r w:rsidR="006727BF" w:rsidRPr="00110D84">
              <w:rPr>
                <w:rStyle w:val="Hyperlink"/>
                <w:rFonts w:ascii="Helvetica Neue" w:hAnsi="Helvetica Neue"/>
                <w:noProof/>
                <w:color w:val="595959" w:themeColor="text1" w:themeTint="A6"/>
                <w:sz w:val="22"/>
                <w:szCs w:val="22"/>
              </w:rPr>
              <w:t>Acknowledgements</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_Toc85030946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6</w:t>
            </w:r>
            <w:r w:rsidR="006727BF" w:rsidRPr="00110D84">
              <w:rPr>
                <w:rFonts w:ascii="Helvetica Neue" w:hAnsi="Helvetica Neue"/>
                <w:noProof/>
                <w:webHidden/>
                <w:color w:val="595959" w:themeColor="text1" w:themeTint="A6"/>
                <w:sz w:val="22"/>
                <w:szCs w:val="22"/>
              </w:rPr>
              <w:fldChar w:fldCharType="end"/>
            </w:r>
          </w:hyperlink>
        </w:p>
        <w:p w14:paraId="7FF7E2CF" w14:textId="53B6AB4A" w:rsidR="006727BF" w:rsidRPr="00110D84" w:rsidRDefault="00496B0D">
          <w:pPr>
            <w:pStyle w:val="TOC1"/>
            <w:rPr>
              <w:rFonts w:ascii="Helvetica Neue" w:eastAsiaTheme="minorEastAsia" w:hAnsi="Helvetica Neue" w:cstheme="minorBidi"/>
              <w:b w:val="0"/>
              <w:bCs w:val="0"/>
              <w:caps w:val="0"/>
              <w:noProof/>
              <w:color w:val="595959" w:themeColor="text1" w:themeTint="A6"/>
              <w:sz w:val="22"/>
              <w:szCs w:val="22"/>
            </w:rPr>
          </w:pPr>
          <w:hyperlink w:anchor="_Toc85030947" w:history="1">
            <w:r w:rsidR="006727BF" w:rsidRPr="00110D84">
              <w:rPr>
                <w:rStyle w:val="Hyperlink"/>
                <w:rFonts w:ascii="Helvetica Neue" w:hAnsi="Helvetica Neue"/>
                <w:noProof/>
                <w:color w:val="595959" w:themeColor="text1" w:themeTint="A6"/>
                <w:sz w:val="22"/>
                <w:szCs w:val="22"/>
              </w:rPr>
              <w:t>Executive Summary</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_Toc85030947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7</w:t>
            </w:r>
            <w:r w:rsidR="006727BF" w:rsidRPr="00110D84">
              <w:rPr>
                <w:rFonts w:ascii="Helvetica Neue" w:hAnsi="Helvetica Neue"/>
                <w:noProof/>
                <w:webHidden/>
                <w:color w:val="595959" w:themeColor="text1" w:themeTint="A6"/>
                <w:sz w:val="22"/>
                <w:szCs w:val="22"/>
              </w:rPr>
              <w:fldChar w:fldCharType="end"/>
            </w:r>
          </w:hyperlink>
        </w:p>
        <w:p w14:paraId="6735E6B3" w14:textId="2D0633CB" w:rsidR="006727BF" w:rsidRPr="00110D84" w:rsidRDefault="00496B0D">
          <w:pPr>
            <w:pStyle w:val="TOC1"/>
            <w:rPr>
              <w:rFonts w:ascii="Helvetica Neue" w:eastAsiaTheme="minorEastAsia" w:hAnsi="Helvetica Neue" w:cstheme="minorBidi"/>
              <w:b w:val="0"/>
              <w:bCs w:val="0"/>
              <w:caps w:val="0"/>
              <w:noProof/>
              <w:color w:val="595959" w:themeColor="text1" w:themeTint="A6"/>
              <w:sz w:val="22"/>
              <w:szCs w:val="22"/>
            </w:rPr>
          </w:pPr>
          <w:hyperlink w:anchor="_Toc85030956" w:history="1">
            <w:r w:rsidR="006727BF" w:rsidRPr="00110D84">
              <w:rPr>
                <w:rStyle w:val="Hyperlink"/>
                <w:rFonts w:ascii="Helvetica Neue" w:hAnsi="Helvetica Neue"/>
                <w:noProof/>
                <w:color w:val="595959" w:themeColor="text1" w:themeTint="A6"/>
                <w:sz w:val="22"/>
                <w:szCs w:val="22"/>
              </w:rPr>
              <w:t>Introduction</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_Toc85030956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12</w:t>
            </w:r>
            <w:r w:rsidR="006727BF" w:rsidRPr="00110D84">
              <w:rPr>
                <w:rFonts w:ascii="Helvetica Neue" w:hAnsi="Helvetica Neue"/>
                <w:noProof/>
                <w:webHidden/>
                <w:color w:val="595959" w:themeColor="text1" w:themeTint="A6"/>
                <w:sz w:val="22"/>
                <w:szCs w:val="22"/>
              </w:rPr>
              <w:fldChar w:fldCharType="end"/>
            </w:r>
          </w:hyperlink>
        </w:p>
        <w:p w14:paraId="19E04835" w14:textId="5E5F8207" w:rsidR="006727BF" w:rsidRPr="00110D84" w:rsidRDefault="00496B0D">
          <w:pPr>
            <w:pStyle w:val="TOC2"/>
            <w:tabs>
              <w:tab w:val="right" w:leader="dot" w:pos="9010"/>
            </w:tabs>
            <w:rPr>
              <w:rFonts w:ascii="Helvetica Neue" w:eastAsiaTheme="minorEastAsia" w:hAnsi="Helvetica Neue" w:cstheme="minorBidi"/>
              <w:smallCaps w:val="0"/>
              <w:noProof/>
              <w:color w:val="595959" w:themeColor="text1" w:themeTint="A6"/>
              <w:sz w:val="22"/>
              <w:szCs w:val="22"/>
            </w:rPr>
          </w:pPr>
          <w:hyperlink w:anchor="_Toc85030957" w:history="1">
            <w:r w:rsidR="006727BF" w:rsidRPr="00110D84">
              <w:rPr>
                <w:rStyle w:val="Hyperlink"/>
                <w:rFonts w:ascii="Helvetica Neue" w:hAnsi="Helvetica Neue"/>
                <w:noProof/>
                <w:color w:val="595959" w:themeColor="text1" w:themeTint="A6"/>
                <w:sz w:val="22"/>
                <w:szCs w:val="22"/>
              </w:rPr>
              <w:t>Purpose of this report</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_Toc85030957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12</w:t>
            </w:r>
            <w:r w:rsidR="006727BF" w:rsidRPr="00110D84">
              <w:rPr>
                <w:rFonts w:ascii="Helvetica Neue" w:hAnsi="Helvetica Neue"/>
                <w:noProof/>
                <w:webHidden/>
                <w:color w:val="595959" w:themeColor="text1" w:themeTint="A6"/>
                <w:sz w:val="22"/>
                <w:szCs w:val="22"/>
              </w:rPr>
              <w:fldChar w:fldCharType="end"/>
            </w:r>
          </w:hyperlink>
        </w:p>
        <w:p w14:paraId="4C3ED14D" w14:textId="1BFAC1FB" w:rsidR="006727BF" w:rsidRPr="00110D84" w:rsidRDefault="00496B0D">
          <w:pPr>
            <w:pStyle w:val="TOC2"/>
            <w:tabs>
              <w:tab w:val="right" w:leader="dot" w:pos="9010"/>
            </w:tabs>
            <w:rPr>
              <w:rFonts w:ascii="Helvetica Neue" w:eastAsiaTheme="minorEastAsia" w:hAnsi="Helvetica Neue" w:cstheme="minorBidi"/>
              <w:smallCaps w:val="0"/>
              <w:noProof/>
              <w:color w:val="595959" w:themeColor="text1" w:themeTint="A6"/>
              <w:sz w:val="22"/>
              <w:szCs w:val="22"/>
            </w:rPr>
          </w:pPr>
          <w:hyperlink w:anchor="_Toc85030958" w:history="1">
            <w:r w:rsidR="006727BF" w:rsidRPr="00110D84">
              <w:rPr>
                <w:rStyle w:val="Hyperlink"/>
                <w:rFonts w:ascii="Helvetica Neue" w:hAnsi="Helvetica Neue"/>
                <w:noProof/>
                <w:color w:val="595959" w:themeColor="text1" w:themeTint="A6"/>
                <w:sz w:val="22"/>
                <w:szCs w:val="22"/>
              </w:rPr>
              <w:t>Structure of this report</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_Toc85030958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13</w:t>
            </w:r>
            <w:r w:rsidR="006727BF" w:rsidRPr="00110D84">
              <w:rPr>
                <w:rFonts w:ascii="Helvetica Neue" w:hAnsi="Helvetica Neue"/>
                <w:noProof/>
                <w:webHidden/>
                <w:color w:val="595959" w:themeColor="text1" w:themeTint="A6"/>
                <w:sz w:val="22"/>
                <w:szCs w:val="22"/>
              </w:rPr>
              <w:fldChar w:fldCharType="end"/>
            </w:r>
          </w:hyperlink>
        </w:p>
        <w:p w14:paraId="20F04BB8" w14:textId="0BA03E96" w:rsidR="006727BF" w:rsidRPr="00110D84" w:rsidRDefault="00496B0D">
          <w:pPr>
            <w:pStyle w:val="TOC1"/>
            <w:rPr>
              <w:rFonts w:ascii="Helvetica Neue" w:eastAsiaTheme="minorEastAsia" w:hAnsi="Helvetica Neue" w:cstheme="minorBidi"/>
              <w:b w:val="0"/>
              <w:bCs w:val="0"/>
              <w:caps w:val="0"/>
              <w:noProof/>
              <w:color w:val="595959" w:themeColor="text1" w:themeTint="A6"/>
              <w:sz w:val="22"/>
              <w:szCs w:val="22"/>
            </w:rPr>
          </w:pPr>
          <w:hyperlink w:anchor="_Toc85030959" w:history="1">
            <w:r w:rsidR="006727BF" w:rsidRPr="00110D84">
              <w:rPr>
                <w:rStyle w:val="Hyperlink"/>
                <w:rFonts w:ascii="Helvetica Neue" w:hAnsi="Helvetica Neue"/>
                <w:noProof/>
                <w:color w:val="595959" w:themeColor="text1" w:themeTint="A6"/>
                <w:sz w:val="22"/>
                <w:szCs w:val="22"/>
              </w:rPr>
              <w:t>Methodology</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_Toc85030959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14</w:t>
            </w:r>
            <w:r w:rsidR="006727BF" w:rsidRPr="00110D84">
              <w:rPr>
                <w:rFonts w:ascii="Helvetica Neue" w:hAnsi="Helvetica Neue"/>
                <w:noProof/>
                <w:webHidden/>
                <w:color w:val="595959" w:themeColor="text1" w:themeTint="A6"/>
                <w:sz w:val="22"/>
                <w:szCs w:val="22"/>
              </w:rPr>
              <w:fldChar w:fldCharType="end"/>
            </w:r>
          </w:hyperlink>
        </w:p>
        <w:p w14:paraId="3D959607" w14:textId="62AAE6D4" w:rsidR="006727BF" w:rsidRPr="00110D84" w:rsidRDefault="00496B0D">
          <w:pPr>
            <w:pStyle w:val="TOC2"/>
            <w:tabs>
              <w:tab w:val="right" w:leader="dot" w:pos="9010"/>
            </w:tabs>
            <w:rPr>
              <w:rFonts w:ascii="Helvetica Neue" w:eastAsiaTheme="minorEastAsia" w:hAnsi="Helvetica Neue" w:cstheme="minorBidi"/>
              <w:smallCaps w:val="0"/>
              <w:noProof/>
              <w:color w:val="595959" w:themeColor="text1" w:themeTint="A6"/>
              <w:sz w:val="22"/>
              <w:szCs w:val="22"/>
            </w:rPr>
          </w:pPr>
          <w:hyperlink w:anchor="_Toc85030960" w:history="1">
            <w:r w:rsidR="006727BF" w:rsidRPr="00110D84">
              <w:rPr>
                <w:rStyle w:val="Hyperlink"/>
                <w:rFonts w:ascii="Helvetica Neue" w:hAnsi="Helvetica Neue"/>
                <w:noProof/>
                <w:color w:val="595959" w:themeColor="text1" w:themeTint="A6"/>
                <w:sz w:val="22"/>
                <w:szCs w:val="22"/>
              </w:rPr>
              <w:t>Regional and national roundtables and Town Halls</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_Toc85030960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14</w:t>
            </w:r>
            <w:r w:rsidR="006727BF" w:rsidRPr="00110D84">
              <w:rPr>
                <w:rFonts w:ascii="Helvetica Neue" w:hAnsi="Helvetica Neue"/>
                <w:noProof/>
                <w:webHidden/>
                <w:color w:val="595959" w:themeColor="text1" w:themeTint="A6"/>
                <w:sz w:val="22"/>
                <w:szCs w:val="22"/>
              </w:rPr>
              <w:fldChar w:fldCharType="end"/>
            </w:r>
          </w:hyperlink>
        </w:p>
        <w:p w14:paraId="2EA96F9F" w14:textId="5C572B3D" w:rsidR="006727BF" w:rsidRPr="00110D84" w:rsidRDefault="00496B0D">
          <w:pPr>
            <w:pStyle w:val="TOC2"/>
            <w:tabs>
              <w:tab w:val="right" w:leader="dot" w:pos="9010"/>
            </w:tabs>
            <w:rPr>
              <w:rFonts w:ascii="Helvetica Neue" w:eastAsiaTheme="minorEastAsia" w:hAnsi="Helvetica Neue" w:cstheme="minorBidi"/>
              <w:smallCaps w:val="0"/>
              <w:noProof/>
              <w:color w:val="595959" w:themeColor="text1" w:themeTint="A6"/>
              <w:sz w:val="22"/>
              <w:szCs w:val="22"/>
            </w:rPr>
          </w:pPr>
          <w:hyperlink w:anchor="_Toc85030961" w:history="1">
            <w:r w:rsidR="006727BF" w:rsidRPr="00110D84">
              <w:rPr>
                <w:rStyle w:val="Hyperlink"/>
                <w:rFonts w:ascii="Helvetica Neue" w:hAnsi="Helvetica Neue"/>
                <w:noProof/>
                <w:color w:val="595959" w:themeColor="text1" w:themeTint="A6"/>
                <w:sz w:val="22"/>
                <w:szCs w:val="22"/>
              </w:rPr>
              <w:t>Written Submissions to the ISEP Discussion Paper</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_Toc85030961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17</w:t>
            </w:r>
            <w:r w:rsidR="006727BF" w:rsidRPr="00110D84">
              <w:rPr>
                <w:rFonts w:ascii="Helvetica Neue" w:hAnsi="Helvetica Neue"/>
                <w:noProof/>
                <w:webHidden/>
                <w:color w:val="595959" w:themeColor="text1" w:themeTint="A6"/>
                <w:sz w:val="22"/>
                <w:szCs w:val="22"/>
              </w:rPr>
              <w:fldChar w:fldCharType="end"/>
            </w:r>
          </w:hyperlink>
        </w:p>
        <w:p w14:paraId="352C01E0" w14:textId="2A8E2564" w:rsidR="006727BF" w:rsidRPr="00110D84" w:rsidRDefault="00496B0D">
          <w:pPr>
            <w:pStyle w:val="TOC2"/>
            <w:tabs>
              <w:tab w:val="right" w:leader="dot" w:pos="9010"/>
            </w:tabs>
            <w:rPr>
              <w:rFonts w:ascii="Helvetica Neue" w:eastAsiaTheme="minorEastAsia" w:hAnsi="Helvetica Neue" w:cstheme="minorBidi"/>
              <w:smallCaps w:val="0"/>
              <w:noProof/>
              <w:color w:val="595959" w:themeColor="text1" w:themeTint="A6"/>
              <w:sz w:val="22"/>
              <w:szCs w:val="22"/>
            </w:rPr>
          </w:pPr>
          <w:hyperlink w:anchor="_Toc85030962" w:history="1">
            <w:r w:rsidR="006727BF" w:rsidRPr="00110D84">
              <w:rPr>
                <w:rStyle w:val="Hyperlink"/>
                <w:rFonts w:ascii="Helvetica Neue" w:hAnsi="Helvetica Neue"/>
                <w:noProof/>
                <w:color w:val="595959" w:themeColor="text1" w:themeTint="A6"/>
                <w:sz w:val="22"/>
                <w:szCs w:val="22"/>
              </w:rPr>
              <w:t>Limitations</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_Toc85030962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19</w:t>
            </w:r>
            <w:r w:rsidR="006727BF" w:rsidRPr="00110D84">
              <w:rPr>
                <w:rFonts w:ascii="Helvetica Neue" w:hAnsi="Helvetica Neue"/>
                <w:noProof/>
                <w:webHidden/>
                <w:color w:val="595959" w:themeColor="text1" w:themeTint="A6"/>
                <w:sz w:val="22"/>
                <w:szCs w:val="22"/>
              </w:rPr>
              <w:fldChar w:fldCharType="end"/>
            </w:r>
          </w:hyperlink>
        </w:p>
        <w:p w14:paraId="7450C36A" w14:textId="0A536025" w:rsidR="006727BF" w:rsidRPr="00110D84" w:rsidRDefault="00496B0D">
          <w:pPr>
            <w:pStyle w:val="TOC1"/>
            <w:rPr>
              <w:rFonts w:ascii="Helvetica Neue" w:eastAsiaTheme="minorEastAsia" w:hAnsi="Helvetica Neue" w:cstheme="minorBidi"/>
              <w:b w:val="0"/>
              <w:bCs w:val="0"/>
              <w:caps w:val="0"/>
              <w:noProof/>
              <w:color w:val="595959" w:themeColor="text1" w:themeTint="A6"/>
              <w:sz w:val="22"/>
              <w:szCs w:val="22"/>
            </w:rPr>
          </w:pPr>
          <w:hyperlink w:anchor="_Toc85030963" w:history="1">
            <w:r w:rsidR="006727BF" w:rsidRPr="00110D84">
              <w:rPr>
                <w:rStyle w:val="Hyperlink"/>
                <w:rFonts w:ascii="Helvetica Neue" w:hAnsi="Helvetica Neue"/>
                <w:noProof/>
                <w:color w:val="595959" w:themeColor="text1" w:themeTint="A6"/>
                <w:sz w:val="22"/>
                <w:szCs w:val="22"/>
              </w:rPr>
              <w:t>Key Insights</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_Toc85030963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20</w:t>
            </w:r>
            <w:r w:rsidR="006727BF" w:rsidRPr="00110D84">
              <w:rPr>
                <w:rFonts w:ascii="Helvetica Neue" w:hAnsi="Helvetica Neue"/>
                <w:noProof/>
                <w:webHidden/>
                <w:color w:val="595959" w:themeColor="text1" w:themeTint="A6"/>
                <w:sz w:val="22"/>
                <w:szCs w:val="22"/>
              </w:rPr>
              <w:fldChar w:fldCharType="end"/>
            </w:r>
          </w:hyperlink>
        </w:p>
        <w:p w14:paraId="5965BFEE" w14:textId="6E46FB75" w:rsidR="006727BF" w:rsidRPr="00110D84" w:rsidRDefault="00496B0D">
          <w:pPr>
            <w:pStyle w:val="TOC1"/>
            <w:rPr>
              <w:rFonts w:ascii="Helvetica Neue" w:eastAsiaTheme="minorEastAsia" w:hAnsi="Helvetica Neue" w:cstheme="minorBidi"/>
              <w:b w:val="0"/>
              <w:bCs w:val="0"/>
              <w:caps w:val="0"/>
              <w:noProof/>
              <w:color w:val="595959" w:themeColor="text1" w:themeTint="A6"/>
              <w:sz w:val="22"/>
              <w:szCs w:val="22"/>
            </w:rPr>
          </w:pPr>
          <w:hyperlink w:anchor="_Toc85030964" w:history="1">
            <w:r w:rsidR="006727BF" w:rsidRPr="00110D84">
              <w:rPr>
                <w:rStyle w:val="Hyperlink"/>
                <w:rFonts w:ascii="Helvetica Neue" w:hAnsi="Helvetica Neue"/>
                <w:noProof/>
                <w:color w:val="595959" w:themeColor="text1" w:themeTint="A6"/>
                <w:sz w:val="22"/>
                <w:szCs w:val="22"/>
              </w:rPr>
              <w:t>Findings</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_Toc85030964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23</w:t>
            </w:r>
            <w:r w:rsidR="006727BF" w:rsidRPr="00110D84">
              <w:rPr>
                <w:rFonts w:ascii="Helvetica Neue" w:hAnsi="Helvetica Neue"/>
                <w:noProof/>
                <w:webHidden/>
                <w:color w:val="595959" w:themeColor="text1" w:themeTint="A6"/>
                <w:sz w:val="22"/>
                <w:szCs w:val="22"/>
              </w:rPr>
              <w:fldChar w:fldCharType="end"/>
            </w:r>
          </w:hyperlink>
        </w:p>
        <w:p w14:paraId="2F80E235" w14:textId="3B745ACD" w:rsidR="006727BF" w:rsidRPr="00110D84" w:rsidRDefault="00496B0D">
          <w:pPr>
            <w:pStyle w:val="TOC2"/>
            <w:tabs>
              <w:tab w:val="right" w:leader="dot" w:pos="9010"/>
            </w:tabs>
            <w:rPr>
              <w:rFonts w:ascii="Helvetica Neue" w:eastAsiaTheme="minorEastAsia" w:hAnsi="Helvetica Neue" w:cstheme="minorBidi"/>
              <w:smallCaps w:val="0"/>
              <w:noProof/>
              <w:color w:val="595959" w:themeColor="text1" w:themeTint="A6"/>
              <w:sz w:val="22"/>
              <w:szCs w:val="22"/>
            </w:rPr>
          </w:pPr>
          <w:hyperlink w:anchor="_Toc85030965" w:history="1">
            <w:r w:rsidR="006727BF" w:rsidRPr="00110D84">
              <w:rPr>
                <w:rStyle w:val="Hyperlink"/>
                <w:rFonts w:ascii="Helvetica Neue" w:hAnsi="Helvetica Neue"/>
                <w:noProof/>
                <w:color w:val="595959" w:themeColor="text1" w:themeTint="A6"/>
                <w:sz w:val="22"/>
                <w:szCs w:val="22"/>
              </w:rPr>
              <w:t>Roundtables &amp; Town Halls: Detailed Findings</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_Toc85030965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23</w:t>
            </w:r>
            <w:r w:rsidR="006727BF" w:rsidRPr="00110D84">
              <w:rPr>
                <w:rFonts w:ascii="Helvetica Neue" w:hAnsi="Helvetica Neue"/>
                <w:noProof/>
                <w:webHidden/>
                <w:color w:val="595959" w:themeColor="text1" w:themeTint="A6"/>
                <w:sz w:val="22"/>
                <w:szCs w:val="22"/>
              </w:rPr>
              <w:fldChar w:fldCharType="end"/>
            </w:r>
          </w:hyperlink>
        </w:p>
        <w:p w14:paraId="7E72CF6F" w14:textId="2A407B70" w:rsidR="006727BF" w:rsidRPr="00110D84" w:rsidRDefault="00496B0D">
          <w:pPr>
            <w:pStyle w:val="TOC2"/>
            <w:tabs>
              <w:tab w:val="right" w:leader="dot" w:pos="9010"/>
            </w:tabs>
            <w:rPr>
              <w:rFonts w:ascii="Helvetica Neue" w:eastAsiaTheme="minorEastAsia" w:hAnsi="Helvetica Neue" w:cstheme="minorBidi"/>
              <w:smallCaps w:val="0"/>
              <w:noProof/>
              <w:color w:val="595959" w:themeColor="text1" w:themeTint="A6"/>
              <w:sz w:val="22"/>
              <w:szCs w:val="22"/>
            </w:rPr>
          </w:pPr>
          <w:hyperlink w:anchor="_Toc85030966" w:history="1">
            <w:r w:rsidR="006727BF" w:rsidRPr="00110D84">
              <w:rPr>
                <w:rStyle w:val="Hyperlink"/>
                <w:rFonts w:ascii="Helvetica Neue" w:hAnsi="Helvetica Neue"/>
                <w:noProof/>
                <w:color w:val="595959" w:themeColor="text1" w:themeTint="A6"/>
                <w:sz w:val="22"/>
                <w:szCs w:val="22"/>
              </w:rPr>
              <w:t>Written Submissions: Detailed Findings</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_Toc85030966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49</w:t>
            </w:r>
            <w:r w:rsidR="006727BF" w:rsidRPr="00110D84">
              <w:rPr>
                <w:rFonts w:ascii="Helvetica Neue" w:hAnsi="Helvetica Neue"/>
                <w:noProof/>
                <w:webHidden/>
                <w:color w:val="595959" w:themeColor="text1" w:themeTint="A6"/>
                <w:sz w:val="22"/>
                <w:szCs w:val="22"/>
              </w:rPr>
              <w:fldChar w:fldCharType="end"/>
            </w:r>
          </w:hyperlink>
        </w:p>
        <w:p w14:paraId="158CE0C5" w14:textId="648C1A4E" w:rsidR="006727BF" w:rsidRPr="00110D84" w:rsidRDefault="00496B0D">
          <w:pPr>
            <w:pStyle w:val="TOC1"/>
            <w:rPr>
              <w:rFonts w:ascii="Helvetica Neue" w:eastAsiaTheme="minorEastAsia" w:hAnsi="Helvetica Neue" w:cstheme="minorBidi"/>
              <w:b w:val="0"/>
              <w:bCs w:val="0"/>
              <w:caps w:val="0"/>
              <w:noProof/>
              <w:color w:val="595959" w:themeColor="text1" w:themeTint="A6"/>
              <w:sz w:val="22"/>
              <w:szCs w:val="22"/>
            </w:rPr>
          </w:pPr>
          <w:hyperlink w:anchor="_Toc85030967" w:history="1">
            <w:r w:rsidR="006727BF" w:rsidRPr="00110D84">
              <w:rPr>
                <w:rStyle w:val="Hyperlink"/>
                <w:rFonts w:ascii="Helvetica Neue" w:hAnsi="Helvetica Neue"/>
                <w:noProof/>
                <w:color w:val="595959" w:themeColor="text1" w:themeTint="A6"/>
                <w:sz w:val="22"/>
                <w:szCs w:val="22"/>
              </w:rPr>
              <w:t>Appendix A: Regional Roundtable Agenda example</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_Toc85030967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69</w:t>
            </w:r>
            <w:r w:rsidR="006727BF" w:rsidRPr="00110D84">
              <w:rPr>
                <w:rFonts w:ascii="Helvetica Neue" w:hAnsi="Helvetica Neue"/>
                <w:noProof/>
                <w:webHidden/>
                <w:color w:val="595959" w:themeColor="text1" w:themeTint="A6"/>
                <w:sz w:val="22"/>
                <w:szCs w:val="22"/>
              </w:rPr>
              <w:fldChar w:fldCharType="end"/>
            </w:r>
          </w:hyperlink>
        </w:p>
        <w:p w14:paraId="58979A64" w14:textId="5F025823" w:rsidR="006727BF" w:rsidRPr="00110D84" w:rsidRDefault="00496B0D">
          <w:pPr>
            <w:pStyle w:val="TOC1"/>
            <w:rPr>
              <w:rFonts w:ascii="Helvetica Neue" w:eastAsiaTheme="minorEastAsia" w:hAnsi="Helvetica Neue" w:cstheme="minorBidi"/>
              <w:b w:val="0"/>
              <w:bCs w:val="0"/>
              <w:caps w:val="0"/>
              <w:noProof/>
              <w:color w:val="595959" w:themeColor="text1" w:themeTint="A6"/>
              <w:sz w:val="22"/>
              <w:szCs w:val="22"/>
            </w:rPr>
          </w:pPr>
          <w:hyperlink w:anchor="_Toc85030968" w:history="1">
            <w:r w:rsidR="006727BF" w:rsidRPr="00110D84">
              <w:rPr>
                <w:rStyle w:val="Hyperlink"/>
                <w:rFonts w:ascii="Helvetica Neue" w:hAnsi="Helvetica Neue"/>
                <w:noProof/>
                <w:color w:val="595959" w:themeColor="text1" w:themeTint="A6"/>
                <w:sz w:val="22"/>
                <w:szCs w:val="22"/>
              </w:rPr>
              <w:t>Appendix B: Roundtable Participant Lists</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_Toc85030968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72</w:t>
            </w:r>
            <w:r w:rsidR="006727BF" w:rsidRPr="00110D84">
              <w:rPr>
                <w:rFonts w:ascii="Helvetica Neue" w:hAnsi="Helvetica Neue"/>
                <w:noProof/>
                <w:webHidden/>
                <w:color w:val="595959" w:themeColor="text1" w:themeTint="A6"/>
                <w:sz w:val="22"/>
                <w:szCs w:val="22"/>
              </w:rPr>
              <w:fldChar w:fldCharType="end"/>
            </w:r>
          </w:hyperlink>
        </w:p>
        <w:p w14:paraId="4B0ACA57" w14:textId="207AB690" w:rsidR="006727BF" w:rsidRPr="00110D84" w:rsidRDefault="00496B0D">
          <w:pPr>
            <w:pStyle w:val="TOC1"/>
            <w:rPr>
              <w:rFonts w:ascii="Helvetica Neue" w:eastAsiaTheme="minorEastAsia" w:hAnsi="Helvetica Neue" w:cstheme="minorBidi"/>
              <w:b w:val="0"/>
              <w:bCs w:val="0"/>
              <w:caps w:val="0"/>
              <w:noProof/>
              <w:color w:val="595959" w:themeColor="text1" w:themeTint="A6"/>
              <w:sz w:val="22"/>
              <w:szCs w:val="22"/>
            </w:rPr>
          </w:pPr>
          <w:hyperlink w:anchor="_Toc85030969" w:history="1">
            <w:r w:rsidR="006727BF" w:rsidRPr="00110D84">
              <w:rPr>
                <w:rStyle w:val="Hyperlink"/>
                <w:rFonts w:ascii="Helvetica Neue" w:hAnsi="Helvetica Neue"/>
                <w:noProof/>
                <w:color w:val="595959" w:themeColor="text1" w:themeTint="A6"/>
                <w:sz w:val="22"/>
                <w:szCs w:val="22"/>
              </w:rPr>
              <w:t>Appendix C: Written Submissions Received</w:t>
            </w:r>
            <w:r w:rsidR="006727BF" w:rsidRPr="00110D84">
              <w:rPr>
                <w:rFonts w:ascii="Helvetica Neue" w:hAnsi="Helvetica Neue"/>
                <w:noProof/>
                <w:webHidden/>
                <w:color w:val="595959" w:themeColor="text1" w:themeTint="A6"/>
                <w:sz w:val="22"/>
                <w:szCs w:val="22"/>
              </w:rPr>
              <w:tab/>
            </w:r>
            <w:r w:rsidR="006727BF" w:rsidRPr="00110D84">
              <w:rPr>
                <w:rFonts w:ascii="Helvetica Neue" w:hAnsi="Helvetica Neue"/>
                <w:noProof/>
                <w:webHidden/>
                <w:color w:val="595959" w:themeColor="text1" w:themeTint="A6"/>
                <w:sz w:val="22"/>
                <w:szCs w:val="22"/>
              </w:rPr>
              <w:fldChar w:fldCharType="begin"/>
            </w:r>
            <w:r w:rsidR="006727BF" w:rsidRPr="00110D84">
              <w:rPr>
                <w:rFonts w:ascii="Helvetica Neue" w:hAnsi="Helvetica Neue"/>
                <w:noProof/>
                <w:webHidden/>
                <w:color w:val="595959" w:themeColor="text1" w:themeTint="A6"/>
                <w:sz w:val="22"/>
                <w:szCs w:val="22"/>
              </w:rPr>
              <w:instrText xml:space="preserve"> PAGEREF _Toc85030969 \h </w:instrText>
            </w:r>
            <w:r w:rsidR="006727BF" w:rsidRPr="00110D84">
              <w:rPr>
                <w:rFonts w:ascii="Helvetica Neue" w:hAnsi="Helvetica Neue"/>
                <w:noProof/>
                <w:webHidden/>
                <w:color w:val="595959" w:themeColor="text1" w:themeTint="A6"/>
                <w:sz w:val="22"/>
                <w:szCs w:val="22"/>
              </w:rPr>
            </w:r>
            <w:r w:rsidR="006727BF" w:rsidRPr="00110D84">
              <w:rPr>
                <w:rFonts w:ascii="Helvetica Neue" w:hAnsi="Helvetica Neue"/>
                <w:noProof/>
                <w:webHidden/>
                <w:color w:val="595959" w:themeColor="text1" w:themeTint="A6"/>
                <w:sz w:val="22"/>
                <w:szCs w:val="22"/>
              </w:rPr>
              <w:fldChar w:fldCharType="separate"/>
            </w:r>
            <w:r w:rsidR="007A166D">
              <w:rPr>
                <w:rFonts w:ascii="Helvetica Neue" w:hAnsi="Helvetica Neue"/>
                <w:noProof/>
                <w:webHidden/>
                <w:color w:val="595959" w:themeColor="text1" w:themeTint="A6"/>
                <w:sz w:val="22"/>
                <w:szCs w:val="22"/>
              </w:rPr>
              <w:t>91</w:t>
            </w:r>
            <w:r w:rsidR="006727BF" w:rsidRPr="00110D84">
              <w:rPr>
                <w:rFonts w:ascii="Helvetica Neue" w:hAnsi="Helvetica Neue"/>
                <w:noProof/>
                <w:webHidden/>
                <w:color w:val="595959" w:themeColor="text1" w:themeTint="A6"/>
                <w:sz w:val="22"/>
                <w:szCs w:val="22"/>
              </w:rPr>
              <w:fldChar w:fldCharType="end"/>
            </w:r>
          </w:hyperlink>
        </w:p>
        <w:p w14:paraId="0E433EC8" w14:textId="67AB8CD8" w:rsidR="000E7424" w:rsidRPr="005D09DC" w:rsidRDefault="00756A67" w:rsidP="00981521">
          <w:pPr>
            <w:pStyle w:val="TOCHeading"/>
            <w:rPr>
              <w:rFonts w:ascii="Helvetica Neue" w:hAnsi="Helvetica Neue"/>
            </w:rPr>
          </w:pPr>
          <w:r w:rsidRPr="00110D84">
            <w:rPr>
              <w:rFonts w:ascii="Helvetica Neue" w:hAnsi="Helvetica Neue"/>
              <w:caps/>
              <w:color w:val="595959" w:themeColor="text1" w:themeTint="A6"/>
              <w:sz w:val="22"/>
              <w:szCs w:val="22"/>
            </w:rPr>
            <w:fldChar w:fldCharType="end"/>
          </w:r>
        </w:p>
      </w:sdtContent>
    </w:sdt>
    <w:p w14:paraId="6A7DB19B" w14:textId="77777777" w:rsidR="003A352D" w:rsidRPr="005D09DC" w:rsidRDefault="003A352D"/>
    <w:p w14:paraId="7313851C" w14:textId="77777777" w:rsidR="003A352D" w:rsidRPr="005D09DC" w:rsidRDefault="00FB2E9C">
      <w:r w:rsidRPr="005D09DC">
        <w:br w:type="page"/>
      </w:r>
    </w:p>
    <w:p w14:paraId="4EE68266" w14:textId="50ED0BA6" w:rsidR="001A221F" w:rsidRPr="005D09DC" w:rsidRDefault="00FB2E9C" w:rsidP="00981521">
      <w:pPr>
        <w:pStyle w:val="Heading1"/>
      </w:pPr>
      <w:bookmarkStart w:id="2" w:name="_Toc85030945"/>
      <w:r w:rsidRPr="005D09DC">
        <w:t>Acronyms</w:t>
      </w:r>
      <w:bookmarkEnd w:id="2"/>
      <w:r w:rsidR="00C71BE4">
        <w:t xml:space="preserve"> and Definitions</w:t>
      </w:r>
    </w:p>
    <w:p w14:paraId="7C256D60" w14:textId="7796CE42" w:rsidR="008C2202" w:rsidRPr="005D09DC" w:rsidRDefault="008F65BA" w:rsidP="008C2202">
      <w:pPr>
        <w:spacing w:after="120"/>
        <w:rPr>
          <w:b/>
          <w:color w:val="1E9995"/>
          <w:sz w:val="28"/>
          <w:szCs w:val="28"/>
        </w:rPr>
      </w:pPr>
      <w:r w:rsidRPr="005D09DC">
        <w:rPr>
          <w:b/>
          <w:color w:val="1E9995"/>
          <w:sz w:val="28"/>
          <w:szCs w:val="28"/>
        </w:rPr>
        <w:t>Acronyms</w:t>
      </w:r>
    </w:p>
    <w:tbl>
      <w:tblPr>
        <w:tblStyle w:val="TableGrid"/>
        <w:tblW w:w="0" w:type="auto"/>
        <w:tblLook w:val="04A0" w:firstRow="1" w:lastRow="0" w:firstColumn="1" w:lastColumn="0" w:noHBand="0" w:noVBand="1"/>
        <w:tblCaption w:val="Acronyms"/>
        <w:tblDescription w:val="Acronyms and Acronym Descriptions Table"/>
      </w:tblPr>
      <w:tblGrid>
        <w:gridCol w:w="1838"/>
        <w:gridCol w:w="7172"/>
      </w:tblGrid>
      <w:tr w:rsidR="00D723EE" w:rsidRPr="005D09DC" w14:paraId="2DAB78CE" w14:textId="77777777" w:rsidTr="004D6E36">
        <w:trPr>
          <w:trHeight w:val="467"/>
          <w:tblHeader/>
        </w:trPr>
        <w:tc>
          <w:tcPr>
            <w:tcW w:w="1838" w:type="dxa"/>
            <w:shd w:val="clear" w:color="auto" w:fill="auto"/>
          </w:tcPr>
          <w:p w14:paraId="07975FBF" w14:textId="75EB4C4F" w:rsidR="00D723EE" w:rsidRPr="00D723EE" w:rsidRDefault="00D723EE" w:rsidP="002F54FD">
            <w:pPr>
              <w:spacing w:before="120" w:after="120"/>
              <w:rPr>
                <w:rFonts w:eastAsia="MS Gothic"/>
                <w:b/>
                <w:bCs/>
              </w:rPr>
            </w:pPr>
            <w:r w:rsidRPr="00D723EE">
              <w:rPr>
                <w:rFonts w:eastAsia="MS Gothic"/>
                <w:b/>
                <w:bCs/>
              </w:rPr>
              <w:t>Acronym</w:t>
            </w:r>
          </w:p>
        </w:tc>
        <w:tc>
          <w:tcPr>
            <w:tcW w:w="7172" w:type="dxa"/>
            <w:shd w:val="clear" w:color="auto" w:fill="auto"/>
          </w:tcPr>
          <w:p w14:paraId="348A0340" w14:textId="77C1AE68" w:rsidR="00D723EE" w:rsidRPr="00D723EE" w:rsidRDefault="00D723EE" w:rsidP="002F54FD">
            <w:pPr>
              <w:spacing w:before="120" w:after="120"/>
              <w:rPr>
                <w:rFonts w:eastAsia="MS Gothic"/>
                <w:b/>
                <w:bCs/>
              </w:rPr>
            </w:pPr>
            <w:r w:rsidRPr="00D723EE">
              <w:rPr>
                <w:rFonts w:eastAsia="MS Gothic"/>
                <w:b/>
                <w:bCs/>
              </w:rPr>
              <w:t>Acronym Description</w:t>
            </w:r>
          </w:p>
        </w:tc>
      </w:tr>
      <w:tr w:rsidR="00D723EE" w:rsidRPr="005D09DC" w14:paraId="2BD43386" w14:textId="77777777" w:rsidTr="004D6E36">
        <w:trPr>
          <w:trHeight w:val="399"/>
        </w:trPr>
        <w:tc>
          <w:tcPr>
            <w:tcW w:w="1838" w:type="dxa"/>
            <w:shd w:val="clear" w:color="auto" w:fill="auto"/>
          </w:tcPr>
          <w:p w14:paraId="24535554" w14:textId="77777777" w:rsidR="00D723EE" w:rsidRDefault="00D723EE" w:rsidP="00D723EE">
            <w:pPr>
              <w:spacing w:before="120" w:after="120"/>
              <w:rPr>
                <w:rFonts w:eastAsia="MS Gothic"/>
              </w:rPr>
            </w:pPr>
            <w:r w:rsidRPr="005D09DC">
              <w:rPr>
                <w:rFonts w:eastAsia="MS Gothic"/>
              </w:rPr>
              <w:t>ACCO</w:t>
            </w:r>
          </w:p>
        </w:tc>
        <w:tc>
          <w:tcPr>
            <w:tcW w:w="7172" w:type="dxa"/>
            <w:shd w:val="clear" w:color="auto" w:fill="auto"/>
          </w:tcPr>
          <w:p w14:paraId="2BFD3482" w14:textId="77777777" w:rsidR="00D723EE" w:rsidRDefault="00D723EE" w:rsidP="00D723EE">
            <w:pPr>
              <w:spacing w:before="120" w:after="120"/>
              <w:rPr>
                <w:rFonts w:eastAsia="MS Gothic"/>
              </w:rPr>
            </w:pPr>
            <w:r w:rsidRPr="005D09DC">
              <w:rPr>
                <w:rFonts w:eastAsia="MS Gothic"/>
              </w:rPr>
              <w:t>Aboriginal Community-Controlled Organisation</w:t>
            </w:r>
          </w:p>
        </w:tc>
      </w:tr>
      <w:tr w:rsidR="00D723EE" w:rsidRPr="005D09DC" w14:paraId="5AFDF2AF" w14:textId="77777777" w:rsidTr="004D6E36">
        <w:trPr>
          <w:trHeight w:val="395"/>
        </w:trPr>
        <w:tc>
          <w:tcPr>
            <w:tcW w:w="1838" w:type="dxa"/>
            <w:shd w:val="clear" w:color="auto" w:fill="auto"/>
          </w:tcPr>
          <w:p w14:paraId="26464669" w14:textId="77777777" w:rsidR="00D723EE" w:rsidRPr="005D09DC" w:rsidRDefault="00D723EE" w:rsidP="002F54FD">
            <w:pPr>
              <w:spacing w:before="120" w:after="120"/>
              <w:rPr>
                <w:rFonts w:eastAsia="MS Gothic"/>
              </w:rPr>
            </w:pPr>
            <w:r w:rsidRPr="005D09DC">
              <w:rPr>
                <w:rFonts w:eastAsia="MS Gothic"/>
              </w:rPr>
              <w:t>ACCHO</w:t>
            </w:r>
          </w:p>
        </w:tc>
        <w:tc>
          <w:tcPr>
            <w:tcW w:w="7172" w:type="dxa"/>
            <w:shd w:val="clear" w:color="auto" w:fill="auto"/>
          </w:tcPr>
          <w:p w14:paraId="7108003C" w14:textId="77777777" w:rsidR="00D723EE" w:rsidRPr="005D09DC" w:rsidRDefault="00D723EE" w:rsidP="002F54FD">
            <w:pPr>
              <w:spacing w:before="120" w:after="120"/>
              <w:rPr>
                <w:rFonts w:eastAsia="MS Gothic"/>
              </w:rPr>
            </w:pPr>
            <w:r w:rsidRPr="005D09DC">
              <w:rPr>
                <w:rFonts w:eastAsia="MS Gothic"/>
              </w:rPr>
              <w:t>Aboriginal Community-Controlled Health Organisation</w:t>
            </w:r>
          </w:p>
        </w:tc>
      </w:tr>
      <w:tr w:rsidR="00D723EE" w:rsidRPr="005D09DC" w14:paraId="738FE2FB" w14:textId="77777777" w:rsidTr="004D6E36">
        <w:tc>
          <w:tcPr>
            <w:tcW w:w="1838" w:type="dxa"/>
            <w:shd w:val="clear" w:color="auto" w:fill="auto"/>
          </w:tcPr>
          <w:p w14:paraId="5B540B33" w14:textId="77777777" w:rsidR="00D723EE" w:rsidRPr="005D09DC" w:rsidRDefault="00D723EE" w:rsidP="002F54FD">
            <w:pPr>
              <w:spacing w:before="120" w:after="120"/>
              <w:rPr>
                <w:rFonts w:eastAsia="MS Gothic"/>
              </w:rPr>
            </w:pPr>
            <w:r w:rsidRPr="005D09DC">
              <w:rPr>
                <w:rFonts w:eastAsia="MS Gothic"/>
              </w:rPr>
              <w:t>ATSICCO</w:t>
            </w:r>
          </w:p>
        </w:tc>
        <w:tc>
          <w:tcPr>
            <w:tcW w:w="7172" w:type="dxa"/>
            <w:shd w:val="clear" w:color="auto" w:fill="auto"/>
          </w:tcPr>
          <w:p w14:paraId="423E8562" w14:textId="77777777" w:rsidR="00D723EE" w:rsidRPr="005D09DC" w:rsidRDefault="00D723EE" w:rsidP="002F54FD">
            <w:pPr>
              <w:spacing w:before="120" w:after="120"/>
              <w:rPr>
                <w:rFonts w:eastAsia="MS Gothic"/>
              </w:rPr>
            </w:pPr>
            <w:r w:rsidRPr="005D09DC">
              <w:rPr>
                <w:rFonts w:eastAsia="MS Gothic"/>
              </w:rPr>
              <w:t>Aboriginal and Torres Strait Islander Community-Controlled Organisation</w:t>
            </w:r>
          </w:p>
        </w:tc>
      </w:tr>
      <w:tr w:rsidR="00D723EE" w:rsidRPr="005D09DC" w14:paraId="49C37EFF" w14:textId="77777777" w:rsidTr="004D6E36">
        <w:tc>
          <w:tcPr>
            <w:tcW w:w="1838" w:type="dxa"/>
            <w:shd w:val="clear" w:color="auto" w:fill="auto"/>
          </w:tcPr>
          <w:p w14:paraId="7203A3FA" w14:textId="77777777" w:rsidR="00D723EE" w:rsidRPr="005D09DC" w:rsidRDefault="00D723EE" w:rsidP="002F54FD">
            <w:pPr>
              <w:spacing w:before="120" w:after="120"/>
              <w:rPr>
                <w:rFonts w:eastAsia="MS Gothic"/>
              </w:rPr>
            </w:pPr>
            <w:r w:rsidRPr="005D09DC">
              <w:rPr>
                <w:rFonts w:eastAsia="MS Gothic"/>
              </w:rPr>
              <w:t>CAP</w:t>
            </w:r>
          </w:p>
        </w:tc>
        <w:tc>
          <w:tcPr>
            <w:tcW w:w="7172" w:type="dxa"/>
            <w:shd w:val="clear" w:color="auto" w:fill="auto"/>
          </w:tcPr>
          <w:p w14:paraId="10B6A423" w14:textId="77777777" w:rsidR="00D723EE" w:rsidRPr="005D09DC" w:rsidRDefault="00D723EE" w:rsidP="002F54FD">
            <w:pPr>
              <w:spacing w:before="120" w:after="120"/>
              <w:rPr>
                <w:rFonts w:eastAsia="MS Gothic"/>
              </w:rPr>
            </w:pPr>
            <w:r w:rsidRPr="005D09DC">
              <w:rPr>
                <w:rFonts w:eastAsia="MS Gothic"/>
              </w:rPr>
              <w:t>Community Action Plan</w:t>
            </w:r>
          </w:p>
        </w:tc>
      </w:tr>
      <w:tr w:rsidR="00D723EE" w:rsidRPr="005D09DC" w14:paraId="319A0F2B" w14:textId="77777777" w:rsidTr="004D6E36">
        <w:tc>
          <w:tcPr>
            <w:tcW w:w="1838" w:type="dxa"/>
            <w:shd w:val="clear" w:color="auto" w:fill="auto"/>
          </w:tcPr>
          <w:p w14:paraId="6BEBE3E3" w14:textId="77777777" w:rsidR="00D723EE" w:rsidRPr="005D09DC" w:rsidRDefault="00D723EE" w:rsidP="002F54FD">
            <w:pPr>
              <w:spacing w:before="120" w:after="120"/>
              <w:rPr>
                <w:rFonts w:eastAsia="MS Gothic"/>
              </w:rPr>
            </w:pPr>
            <w:r w:rsidRPr="005D09DC">
              <w:rPr>
                <w:rFonts w:eastAsia="MS Gothic"/>
              </w:rPr>
              <w:t>CDP</w:t>
            </w:r>
          </w:p>
        </w:tc>
        <w:tc>
          <w:tcPr>
            <w:tcW w:w="7172" w:type="dxa"/>
            <w:shd w:val="clear" w:color="auto" w:fill="auto"/>
          </w:tcPr>
          <w:p w14:paraId="539260D8" w14:textId="77777777" w:rsidR="00D723EE" w:rsidRPr="005D09DC" w:rsidRDefault="00D723EE" w:rsidP="002F54FD">
            <w:pPr>
              <w:spacing w:before="120" w:after="120"/>
              <w:rPr>
                <w:rFonts w:eastAsia="MS Gothic"/>
              </w:rPr>
            </w:pPr>
            <w:r w:rsidRPr="005D09DC">
              <w:rPr>
                <w:rFonts w:eastAsia="MS Gothic"/>
              </w:rPr>
              <w:t>Community Development Program</w:t>
            </w:r>
          </w:p>
        </w:tc>
      </w:tr>
      <w:tr w:rsidR="00D723EE" w:rsidRPr="005D09DC" w14:paraId="5BEC347B" w14:textId="77777777" w:rsidTr="004D6E36">
        <w:trPr>
          <w:trHeight w:val="433"/>
        </w:trPr>
        <w:tc>
          <w:tcPr>
            <w:tcW w:w="1838" w:type="dxa"/>
            <w:shd w:val="clear" w:color="auto" w:fill="auto"/>
          </w:tcPr>
          <w:p w14:paraId="7E44B025" w14:textId="77777777" w:rsidR="00D723EE" w:rsidRPr="005D09DC" w:rsidRDefault="00D723EE" w:rsidP="002F54FD">
            <w:pPr>
              <w:spacing w:before="120" w:after="120"/>
              <w:rPr>
                <w:rFonts w:eastAsia="MS Gothic"/>
              </w:rPr>
            </w:pPr>
            <w:r w:rsidRPr="005D09DC">
              <w:rPr>
                <w:rFonts w:eastAsia="MS Gothic"/>
              </w:rPr>
              <w:t>EDAEG</w:t>
            </w:r>
          </w:p>
        </w:tc>
        <w:tc>
          <w:tcPr>
            <w:tcW w:w="7172" w:type="dxa"/>
            <w:shd w:val="clear" w:color="auto" w:fill="auto"/>
          </w:tcPr>
          <w:p w14:paraId="2C267F3E" w14:textId="77777777" w:rsidR="00D723EE" w:rsidRPr="005D09DC" w:rsidRDefault="00D723EE" w:rsidP="002F54FD">
            <w:pPr>
              <w:spacing w:before="120" w:after="120"/>
              <w:rPr>
                <w:rFonts w:eastAsia="MS Gothic"/>
              </w:rPr>
            </w:pPr>
            <w:r w:rsidRPr="005D09DC">
              <w:rPr>
                <w:rFonts w:eastAsia="MS Gothic"/>
              </w:rPr>
              <w:t>Elsa Dixon Aboriginal Employment Grant</w:t>
            </w:r>
          </w:p>
        </w:tc>
      </w:tr>
      <w:tr w:rsidR="00D723EE" w:rsidRPr="005D09DC" w14:paraId="28135552" w14:textId="77777777" w:rsidTr="004D6E36">
        <w:trPr>
          <w:trHeight w:val="438"/>
        </w:trPr>
        <w:tc>
          <w:tcPr>
            <w:tcW w:w="1838" w:type="dxa"/>
            <w:shd w:val="clear" w:color="auto" w:fill="auto"/>
          </w:tcPr>
          <w:p w14:paraId="0FA62D0D" w14:textId="77777777" w:rsidR="00D723EE" w:rsidRPr="005D09DC" w:rsidRDefault="00D723EE" w:rsidP="002F54FD">
            <w:pPr>
              <w:spacing w:before="120" w:after="120"/>
              <w:rPr>
                <w:rFonts w:eastAsia="MS Gothic"/>
              </w:rPr>
            </w:pPr>
            <w:r w:rsidRPr="005D09DC">
              <w:rPr>
                <w:rFonts w:eastAsia="MS Gothic"/>
              </w:rPr>
              <w:t>DIDO</w:t>
            </w:r>
          </w:p>
        </w:tc>
        <w:tc>
          <w:tcPr>
            <w:tcW w:w="7172" w:type="dxa"/>
            <w:shd w:val="clear" w:color="auto" w:fill="auto"/>
          </w:tcPr>
          <w:p w14:paraId="751B0171" w14:textId="77777777" w:rsidR="00D723EE" w:rsidRPr="005D09DC" w:rsidRDefault="00D723EE" w:rsidP="002F54FD">
            <w:pPr>
              <w:spacing w:before="120" w:after="120"/>
              <w:rPr>
                <w:rFonts w:eastAsia="MS Gothic"/>
              </w:rPr>
            </w:pPr>
            <w:r w:rsidRPr="005D09DC">
              <w:rPr>
                <w:rFonts w:eastAsia="MS Gothic"/>
              </w:rPr>
              <w:t>Drive-in drive-out workers</w:t>
            </w:r>
          </w:p>
        </w:tc>
      </w:tr>
      <w:tr w:rsidR="00D723EE" w:rsidRPr="005D09DC" w14:paraId="26C56968" w14:textId="77777777" w:rsidTr="004D6E36">
        <w:trPr>
          <w:trHeight w:val="473"/>
        </w:trPr>
        <w:tc>
          <w:tcPr>
            <w:tcW w:w="1838" w:type="dxa"/>
            <w:shd w:val="clear" w:color="auto" w:fill="auto"/>
          </w:tcPr>
          <w:p w14:paraId="08BCFBA4" w14:textId="77777777" w:rsidR="00D723EE" w:rsidRPr="005D09DC" w:rsidRDefault="00D723EE" w:rsidP="002F54FD">
            <w:pPr>
              <w:spacing w:before="120" w:after="120"/>
              <w:rPr>
                <w:rFonts w:eastAsia="MS Gothic"/>
              </w:rPr>
            </w:pPr>
            <w:r w:rsidRPr="005D09DC">
              <w:rPr>
                <w:rFonts w:eastAsia="MS Gothic"/>
              </w:rPr>
              <w:t>FIFO</w:t>
            </w:r>
          </w:p>
        </w:tc>
        <w:tc>
          <w:tcPr>
            <w:tcW w:w="7172" w:type="dxa"/>
            <w:shd w:val="clear" w:color="auto" w:fill="auto"/>
          </w:tcPr>
          <w:p w14:paraId="550E75AE" w14:textId="77777777" w:rsidR="00D723EE" w:rsidRPr="005D09DC" w:rsidRDefault="00D723EE" w:rsidP="002F54FD">
            <w:pPr>
              <w:spacing w:before="120" w:after="120"/>
              <w:rPr>
                <w:rFonts w:eastAsia="MS Gothic"/>
              </w:rPr>
            </w:pPr>
            <w:r w:rsidRPr="005D09DC">
              <w:rPr>
                <w:rFonts w:eastAsia="MS Gothic"/>
              </w:rPr>
              <w:t>Fly-in fly-out workers</w:t>
            </w:r>
          </w:p>
        </w:tc>
      </w:tr>
      <w:tr w:rsidR="00D723EE" w:rsidRPr="005D09DC" w14:paraId="5A3E1D5B" w14:textId="77777777" w:rsidTr="004D6E36">
        <w:tc>
          <w:tcPr>
            <w:tcW w:w="1838" w:type="dxa"/>
            <w:shd w:val="clear" w:color="auto" w:fill="auto"/>
          </w:tcPr>
          <w:p w14:paraId="7E698269" w14:textId="77777777" w:rsidR="00D723EE" w:rsidRPr="005D09DC" w:rsidRDefault="00D723EE" w:rsidP="002F54FD">
            <w:pPr>
              <w:spacing w:before="120" w:after="120"/>
              <w:rPr>
                <w:rFonts w:eastAsia="MS Gothic"/>
              </w:rPr>
            </w:pPr>
            <w:r w:rsidRPr="005D09DC">
              <w:rPr>
                <w:rFonts w:eastAsia="MS Gothic"/>
              </w:rPr>
              <w:t>IAS</w:t>
            </w:r>
          </w:p>
        </w:tc>
        <w:tc>
          <w:tcPr>
            <w:tcW w:w="7172" w:type="dxa"/>
            <w:shd w:val="clear" w:color="auto" w:fill="auto"/>
          </w:tcPr>
          <w:p w14:paraId="30BCE8DC" w14:textId="77777777" w:rsidR="00D723EE" w:rsidRPr="005D09DC" w:rsidRDefault="00D723EE" w:rsidP="002F54FD">
            <w:pPr>
              <w:spacing w:before="120" w:after="120"/>
              <w:rPr>
                <w:rFonts w:eastAsia="MS Gothic"/>
              </w:rPr>
            </w:pPr>
            <w:r w:rsidRPr="005D09DC">
              <w:rPr>
                <w:rFonts w:eastAsia="MS Gothic"/>
              </w:rPr>
              <w:t>Indigenous Advancement Strategy</w:t>
            </w:r>
          </w:p>
        </w:tc>
      </w:tr>
      <w:tr w:rsidR="00D723EE" w:rsidRPr="005D09DC" w14:paraId="1B8C1E25" w14:textId="77777777" w:rsidTr="004D6E36">
        <w:trPr>
          <w:trHeight w:val="465"/>
        </w:trPr>
        <w:tc>
          <w:tcPr>
            <w:tcW w:w="1838" w:type="dxa"/>
            <w:shd w:val="clear" w:color="auto" w:fill="auto"/>
          </w:tcPr>
          <w:p w14:paraId="1BF9194E" w14:textId="77777777" w:rsidR="00D723EE" w:rsidRPr="005D09DC" w:rsidRDefault="00D723EE" w:rsidP="002F54FD">
            <w:pPr>
              <w:spacing w:before="120" w:after="120"/>
              <w:rPr>
                <w:rFonts w:eastAsia="MS Gothic"/>
              </w:rPr>
            </w:pPr>
            <w:r w:rsidRPr="005D09DC">
              <w:rPr>
                <w:rFonts w:eastAsia="MS Gothic"/>
              </w:rPr>
              <w:t>ISEP</w:t>
            </w:r>
          </w:p>
        </w:tc>
        <w:tc>
          <w:tcPr>
            <w:tcW w:w="7172" w:type="dxa"/>
            <w:shd w:val="clear" w:color="auto" w:fill="auto"/>
          </w:tcPr>
          <w:p w14:paraId="3E4C98BB" w14:textId="77777777" w:rsidR="00D723EE" w:rsidRPr="005D09DC" w:rsidRDefault="00D723EE" w:rsidP="002F54FD">
            <w:pPr>
              <w:spacing w:before="120" w:after="120"/>
              <w:rPr>
                <w:rFonts w:eastAsia="MS Gothic"/>
              </w:rPr>
            </w:pPr>
            <w:r w:rsidRPr="005D09DC">
              <w:rPr>
                <w:rFonts w:eastAsia="MS Gothic"/>
              </w:rPr>
              <w:t>Indigenous Skills and Employment Program</w:t>
            </w:r>
          </w:p>
        </w:tc>
      </w:tr>
      <w:tr w:rsidR="00D723EE" w:rsidRPr="005D09DC" w14:paraId="4B0503B4" w14:textId="77777777" w:rsidTr="004D6E36">
        <w:trPr>
          <w:trHeight w:val="452"/>
        </w:trPr>
        <w:tc>
          <w:tcPr>
            <w:tcW w:w="1838" w:type="dxa"/>
            <w:shd w:val="clear" w:color="auto" w:fill="auto"/>
          </w:tcPr>
          <w:p w14:paraId="696D2D9B" w14:textId="77777777" w:rsidR="00D723EE" w:rsidRPr="005D09DC" w:rsidRDefault="00D723EE" w:rsidP="002F54FD">
            <w:pPr>
              <w:spacing w:before="120" w:after="120"/>
              <w:rPr>
                <w:rFonts w:eastAsia="MS Gothic"/>
              </w:rPr>
            </w:pPr>
            <w:r w:rsidRPr="005D09DC">
              <w:rPr>
                <w:rFonts w:eastAsia="MS Gothic"/>
              </w:rPr>
              <w:t>IT</w:t>
            </w:r>
          </w:p>
        </w:tc>
        <w:tc>
          <w:tcPr>
            <w:tcW w:w="7172" w:type="dxa"/>
            <w:shd w:val="clear" w:color="auto" w:fill="auto"/>
          </w:tcPr>
          <w:p w14:paraId="1C7B8E0B" w14:textId="77777777" w:rsidR="00D723EE" w:rsidRPr="005D09DC" w:rsidRDefault="00D723EE" w:rsidP="002F54FD">
            <w:pPr>
              <w:spacing w:before="120" w:after="120"/>
              <w:rPr>
                <w:rFonts w:eastAsia="MS Gothic"/>
              </w:rPr>
            </w:pPr>
            <w:r w:rsidRPr="005D09DC">
              <w:rPr>
                <w:rFonts w:eastAsia="MS Gothic"/>
              </w:rPr>
              <w:t xml:space="preserve">Information </w:t>
            </w:r>
            <w:r>
              <w:rPr>
                <w:rFonts w:eastAsia="MS Gothic"/>
              </w:rPr>
              <w:t>T</w:t>
            </w:r>
            <w:r w:rsidRPr="005D09DC">
              <w:rPr>
                <w:rFonts w:eastAsia="MS Gothic"/>
              </w:rPr>
              <w:t xml:space="preserve">echnology </w:t>
            </w:r>
          </w:p>
        </w:tc>
      </w:tr>
      <w:tr w:rsidR="00D723EE" w:rsidRPr="005D09DC" w14:paraId="2F9407B6" w14:textId="77777777" w:rsidTr="004D6E36">
        <w:trPr>
          <w:trHeight w:val="419"/>
        </w:trPr>
        <w:tc>
          <w:tcPr>
            <w:tcW w:w="1838" w:type="dxa"/>
            <w:shd w:val="clear" w:color="auto" w:fill="auto"/>
          </w:tcPr>
          <w:p w14:paraId="1A6BE3B7" w14:textId="77777777" w:rsidR="00D723EE" w:rsidRPr="005D09DC" w:rsidRDefault="00D723EE" w:rsidP="002F54FD">
            <w:pPr>
              <w:spacing w:before="120" w:after="120"/>
              <w:rPr>
                <w:rFonts w:eastAsia="MS Gothic"/>
              </w:rPr>
            </w:pPr>
            <w:r w:rsidRPr="005D09DC">
              <w:rPr>
                <w:rFonts w:eastAsia="MS Gothic"/>
              </w:rPr>
              <w:t>LALC</w:t>
            </w:r>
          </w:p>
        </w:tc>
        <w:tc>
          <w:tcPr>
            <w:tcW w:w="7172" w:type="dxa"/>
            <w:shd w:val="clear" w:color="auto" w:fill="auto"/>
          </w:tcPr>
          <w:p w14:paraId="380B965C" w14:textId="77777777" w:rsidR="00D723EE" w:rsidRPr="005D09DC" w:rsidRDefault="00D723EE" w:rsidP="002F54FD">
            <w:pPr>
              <w:spacing w:before="120" w:after="120"/>
              <w:rPr>
                <w:rFonts w:eastAsia="MS Gothic"/>
              </w:rPr>
            </w:pPr>
            <w:r w:rsidRPr="005D09DC">
              <w:rPr>
                <w:rFonts w:eastAsia="MS Gothic"/>
              </w:rPr>
              <w:t xml:space="preserve">Local Aboriginal Land Council </w:t>
            </w:r>
          </w:p>
        </w:tc>
      </w:tr>
      <w:tr w:rsidR="00D723EE" w:rsidRPr="005D09DC" w14:paraId="27A064C4" w14:textId="77777777" w:rsidTr="004D6E36">
        <w:trPr>
          <w:trHeight w:val="494"/>
        </w:trPr>
        <w:tc>
          <w:tcPr>
            <w:tcW w:w="1838" w:type="dxa"/>
            <w:shd w:val="clear" w:color="auto" w:fill="auto"/>
          </w:tcPr>
          <w:p w14:paraId="5CF8A51C" w14:textId="77777777" w:rsidR="00D723EE" w:rsidRPr="005D09DC" w:rsidRDefault="00D723EE" w:rsidP="002F54FD">
            <w:pPr>
              <w:spacing w:before="120" w:after="120"/>
              <w:rPr>
                <w:rFonts w:eastAsia="MS Gothic"/>
              </w:rPr>
            </w:pPr>
            <w:r w:rsidRPr="005D09DC">
              <w:rPr>
                <w:rFonts w:eastAsia="MS Gothic"/>
              </w:rPr>
              <w:t>NDIS</w:t>
            </w:r>
          </w:p>
        </w:tc>
        <w:tc>
          <w:tcPr>
            <w:tcW w:w="7172" w:type="dxa"/>
            <w:shd w:val="clear" w:color="auto" w:fill="auto"/>
          </w:tcPr>
          <w:p w14:paraId="49E314C3" w14:textId="77777777" w:rsidR="00D723EE" w:rsidRPr="005D09DC" w:rsidRDefault="00D723EE" w:rsidP="002F54FD">
            <w:pPr>
              <w:spacing w:before="120" w:after="120"/>
              <w:rPr>
                <w:rFonts w:eastAsia="MS Gothic"/>
              </w:rPr>
            </w:pPr>
            <w:r w:rsidRPr="005D09DC">
              <w:rPr>
                <w:rFonts w:eastAsia="MS Gothic"/>
              </w:rPr>
              <w:t>National Disability Insurance Scheme</w:t>
            </w:r>
          </w:p>
        </w:tc>
      </w:tr>
      <w:tr w:rsidR="00D723EE" w:rsidRPr="005D09DC" w14:paraId="657BC31E" w14:textId="77777777" w:rsidTr="004D6E36">
        <w:trPr>
          <w:trHeight w:val="433"/>
        </w:trPr>
        <w:tc>
          <w:tcPr>
            <w:tcW w:w="1838" w:type="dxa"/>
            <w:shd w:val="clear" w:color="auto" w:fill="auto"/>
          </w:tcPr>
          <w:p w14:paraId="4F468A92" w14:textId="77777777" w:rsidR="00D723EE" w:rsidRPr="005D09DC" w:rsidRDefault="00D723EE" w:rsidP="002F54FD">
            <w:pPr>
              <w:spacing w:before="120" w:after="120"/>
              <w:rPr>
                <w:rFonts w:eastAsia="MS Gothic"/>
              </w:rPr>
            </w:pPr>
            <w:r w:rsidRPr="005D09DC">
              <w:rPr>
                <w:rFonts w:eastAsia="MS Gothic"/>
              </w:rPr>
              <w:t>NFP</w:t>
            </w:r>
          </w:p>
        </w:tc>
        <w:tc>
          <w:tcPr>
            <w:tcW w:w="7172" w:type="dxa"/>
            <w:shd w:val="clear" w:color="auto" w:fill="auto"/>
          </w:tcPr>
          <w:p w14:paraId="603ED4EF" w14:textId="77777777" w:rsidR="00D723EE" w:rsidRPr="005D09DC" w:rsidRDefault="00D723EE" w:rsidP="002F54FD">
            <w:pPr>
              <w:spacing w:before="120" w:after="120"/>
              <w:rPr>
                <w:rFonts w:eastAsia="MS Gothic"/>
              </w:rPr>
            </w:pPr>
            <w:r w:rsidRPr="005D09DC">
              <w:rPr>
                <w:rFonts w:eastAsia="MS Gothic"/>
              </w:rPr>
              <w:t xml:space="preserve">Not-for-profit organisation </w:t>
            </w:r>
          </w:p>
        </w:tc>
      </w:tr>
      <w:tr w:rsidR="00D723EE" w:rsidRPr="005D09DC" w14:paraId="648BFC46" w14:textId="77777777" w:rsidTr="004D6E36">
        <w:trPr>
          <w:trHeight w:val="438"/>
        </w:trPr>
        <w:tc>
          <w:tcPr>
            <w:tcW w:w="1838" w:type="dxa"/>
            <w:shd w:val="clear" w:color="auto" w:fill="auto"/>
          </w:tcPr>
          <w:p w14:paraId="57F93E1F" w14:textId="77777777" w:rsidR="00D723EE" w:rsidRPr="005D09DC" w:rsidRDefault="00D723EE" w:rsidP="002F54FD">
            <w:pPr>
              <w:spacing w:before="120" w:after="120"/>
              <w:rPr>
                <w:rFonts w:eastAsia="MS Gothic"/>
              </w:rPr>
            </w:pPr>
            <w:r w:rsidRPr="005D09DC">
              <w:rPr>
                <w:rFonts w:eastAsia="MS Gothic"/>
              </w:rPr>
              <w:t>NGO</w:t>
            </w:r>
          </w:p>
        </w:tc>
        <w:tc>
          <w:tcPr>
            <w:tcW w:w="7172" w:type="dxa"/>
            <w:shd w:val="clear" w:color="auto" w:fill="auto"/>
          </w:tcPr>
          <w:p w14:paraId="0FD11E81" w14:textId="77777777" w:rsidR="00D723EE" w:rsidRPr="005D09DC" w:rsidRDefault="00D723EE" w:rsidP="002F54FD">
            <w:pPr>
              <w:spacing w:before="120" w:after="120"/>
              <w:rPr>
                <w:rFonts w:eastAsia="MS Gothic"/>
              </w:rPr>
            </w:pPr>
            <w:r w:rsidRPr="005D09DC">
              <w:rPr>
                <w:rFonts w:eastAsia="MS Gothic"/>
              </w:rPr>
              <w:t xml:space="preserve">Non-government organisation </w:t>
            </w:r>
          </w:p>
        </w:tc>
      </w:tr>
      <w:tr w:rsidR="00D723EE" w:rsidRPr="005D09DC" w14:paraId="0A442104" w14:textId="77777777" w:rsidTr="004D6E36">
        <w:tc>
          <w:tcPr>
            <w:tcW w:w="1838" w:type="dxa"/>
            <w:shd w:val="clear" w:color="auto" w:fill="auto"/>
          </w:tcPr>
          <w:p w14:paraId="6959F938" w14:textId="77777777" w:rsidR="00D723EE" w:rsidRPr="005D09DC" w:rsidRDefault="00D723EE" w:rsidP="002F54FD">
            <w:pPr>
              <w:spacing w:before="120" w:after="120"/>
              <w:rPr>
                <w:rFonts w:eastAsia="MS Gothic"/>
              </w:rPr>
            </w:pPr>
            <w:r w:rsidRPr="005D09DC">
              <w:rPr>
                <w:rFonts w:eastAsia="MS Gothic"/>
              </w:rPr>
              <w:t>NIAA</w:t>
            </w:r>
          </w:p>
        </w:tc>
        <w:tc>
          <w:tcPr>
            <w:tcW w:w="7172" w:type="dxa"/>
            <w:shd w:val="clear" w:color="auto" w:fill="auto"/>
          </w:tcPr>
          <w:p w14:paraId="3BBAD9D9" w14:textId="77777777" w:rsidR="00D723EE" w:rsidRPr="005D09DC" w:rsidRDefault="00D723EE" w:rsidP="002F54FD">
            <w:pPr>
              <w:spacing w:before="120" w:after="120"/>
              <w:rPr>
                <w:rFonts w:eastAsia="MS Gothic"/>
              </w:rPr>
            </w:pPr>
            <w:r w:rsidRPr="005D09DC">
              <w:rPr>
                <w:rFonts w:eastAsia="MS Gothic"/>
              </w:rPr>
              <w:t>National Indigenous Australians Agency</w:t>
            </w:r>
          </w:p>
        </w:tc>
      </w:tr>
      <w:tr w:rsidR="00D723EE" w:rsidRPr="005D09DC" w14:paraId="436A9B79" w14:textId="77777777" w:rsidTr="004D6E36">
        <w:tc>
          <w:tcPr>
            <w:tcW w:w="1838" w:type="dxa"/>
            <w:shd w:val="clear" w:color="auto" w:fill="auto"/>
          </w:tcPr>
          <w:p w14:paraId="72B35F5B" w14:textId="77777777" w:rsidR="00D723EE" w:rsidRPr="005D09DC" w:rsidRDefault="00D723EE" w:rsidP="002F54FD">
            <w:pPr>
              <w:spacing w:before="120" w:after="120"/>
              <w:rPr>
                <w:rFonts w:eastAsia="MS Gothic"/>
              </w:rPr>
            </w:pPr>
            <w:r w:rsidRPr="005D09DC">
              <w:rPr>
                <w:rFonts w:eastAsia="MS Gothic"/>
              </w:rPr>
              <w:t>NREP</w:t>
            </w:r>
          </w:p>
        </w:tc>
        <w:tc>
          <w:tcPr>
            <w:tcW w:w="7172" w:type="dxa"/>
            <w:shd w:val="clear" w:color="auto" w:fill="auto"/>
          </w:tcPr>
          <w:p w14:paraId="665E1C25" w14:textId="77777777" w:rsidR="00D723EE" w:rsidRPr="005D09DC" w:rsidRDefault="00D723EE" w:rsidP="002F54FD">
            <w:pPr>
              <w:spacing w:before="120" w:after="120"/>
              <w:rPr>
                <w:rFonts w:eastAsia="MS Gothic"/>
              </w:rPr>
            </w:pPr>
            <w:r w:rsidRPr="005D09DC">
              <w:rPr>
                <w:rFonts w:eastAsia="MS Gothic"/>
              </w:rPr>
              <w:t>National Remote Engagement Program</w:t>
            </w:r>
          </w:p>
        </w:tc>
      </w:tr>
      <w:tr w:rsidR="00D723EE" w:rsidRPr="005D09DC" w14:paraId="47A4EDA8" w14:textId="77777777" w:rsidTr="004D6E36">
        <w:trPr>
          <w:trHeight w:val="409"/>
        </w:trPr>
        <w:tc>
          <w:tcPr>
            <w:tcW w:w="1838" w:type="dxa"/>
            <w:shd w:val="clear" w:color="auto" w:fill="auto"/>
          </w:tcPr>
          <w:p w14:paraId="6BDB373D" w14:textId="77777777" w:rsidR="00D723EE" w:rsidRPr="005D09DC" w:rsidRDefault="00D723EE" w:rsidP="002F54FD">
            <w:pPr>
              <w:spacing w:before="120" w:after="120"/>
              <w:rPr>
                <w:rFonts w:eastAsia="MS Gothic"/>
              </w:rPr>
            </w:pPr>
            <w:r w:rsidRPr="005D09DC">
              <w:rPr>
                <w:rFonts w:eastAsia="MS Gothic"/>
              </w:rPr>
              <w:t>PBC</w:t>
            </w:r>
          </w:p>
        </w:tc>
        <w:tc>
          <w:tcPr>
            <w:tcW w:w="7172" w:type="dxa"/>
            <w:shd w:val="clear" w:color="auto" w:fill="auto"/>
          </w:tcPr>
          <w:p w14:paraId="53E30789" w14:textId="77777777" w:rsidR="00D723EE" w:rsidRPr="005D09DC" w:rsidRDefault="00D723EE" w:rsidP="002F54FD">
            <w:pPr>
              <w:spacing w:before="120" w:after="120"/>
              <w:rPr>
                <w:rFonts w:eastAsia="MS Gothic"/>
              </w:rPr>
            </w:pPr>
            <w:r w:rsidRPr="005D09DC">
              <w:rPr>
                <w:rFonts w:eastAsia="MS Gothic"/>
              </w:rPr>
              <w:t>Prescribed Body Corporate</w:t>
            </w:r>
          </w:p>
        </w:tc>
      </w:tr>
      <w:tr w:rsidR="00D723EE" w:rsidRPr="005D09DC" w14:paraId="18001D7D" w14:textId="77777777" w:rsidTr="004D6E36">
        <w:trPr>
          <w:trHeight w:val="466"/>
        </w:trPr>
        <w:tc>
          <w:tcPr>
            <w:tcW w:w="1838" w:type="dxa"/>
            <w:shd w:val="clear" w:color="auto" w:fill="auto"/>
          </w:tcPr>
          <w:p w14:paraId="1D3E2C89" w14:textId="77777777" w:rsidR="00D723EE" w:rsidRPr="005D09DC" w:rsidRDefault="00D723EE" w:rsidP="002F54FD">
            <w:pPr>
              <w:spacing w:before="120" w:after="120"/>
              <w:rPr>
                <w:rFonts w:eastAsia="MS Gothic"/>
              </w:rPr>
            </w:pPr>
            <w:r w:rsidRPr="005D09DC">
              <w:rPr>
                <w:rFonts w:eastAsia="MS Gothic"/>
              </w:rPr>
              <w:t>TO</w:t>
            </w:r>
          </w:p>
        </w:tc>
        <w:tc>
          <w:tcPr>
            <w:tcW w:w="7172" w:type="dxa"/>
            <w:shd w:val="clear" w:color="auto" w:fill="auto"/>
          </w:tcPr>
          <w:p w14:paraId="753F49D3" w14:textId="77777777" w:rsidR="00D723EE" w:rsidRPr="005D09DC" w:rsidRDefault="00D723EE" w:rsidP="002F54FD">
            <w:pPr>
              <w:spacing w:before="120" w:after="120"/>
              <w:rPr>
                <w:rFonts w:eastAsia="MS Gothic"/>
              </w:rPr>
            </w:pPr>
            <w:r w:rsidRPr="005D09DC">
              <w:rPr>
                <w:rFonts w:eastAsia="MS Gothic"/>
              </w:rPr>
              <w:t>Traditional Owner</w:t>
            </w:r>
          </w:p>
        </w:tc>
      </w:tr>
      <w:tr w:rsidR="00D723EE" w:rsidRPr="005D09DC" w14:paraId="7FE8396C" w14:textId="77777777" w:rsidTr="004D6E36">
        <w:trPr>
          <w:trHeight w:val="423"/>
        </w:trPr>
        <w:tc>
          <w:tcPr>
            <w:tcW w:w="1838" w:type="dxa"/>
            <w:shd w:val="clear" w:color="auto" w:fill="auto"/>
          </w:tcPr>
          <w:p w14:paraId="5778055F" w14:textId="77777777" w:rsidR="00D723EE" w:rsidRPr="005D09DC" w:rsidRDefault="00D723EE" w:rsidP="002F54FD">
            <w:pPr>
              <w:spacing w:before="120" w:after="120"/>
              <w:rPr>
                <w:rFonts w:eastAsia="MS Gothic"/>
              </w:rPr>
            </w:pPr>
            <w:r w:rsidRPr="005D09DC">
              <w:rPr>
                <w:rFonts w:eastAsia="MS Gothic"/>
              </w:rPr>
              <w:t>VTEC</w:t>
            </w:r>
          </w:p>
        </w:tc>
        <w:tc>
          <w:tcPr>
            <w:tcW w:w="7172" w:type="dxa"/>
            <w:shd w:val="clear" w:color="auto" w:fill="auto"/>
          </w:tcPr>
          <w:p w14:paraId="3272F9DC" w14:textId="77777777" w:rsidR="00D723EE" w:rsidRPr="005D09DC" w:rsidRDefault="00D723EE" w:rsidP="002F54FD">
            <w:pPr>
              <w:spacing w:before="120" w:after="120"/>
              <w:rPr>
                <w:rFonts w:eastAsia="MS Gothic"/>
              </w:rPr>
            </w:pPr>
            <w:r w:rsidRPr="005D09DC">
              <w:rPr>
                <w:rFonts w:eastAsia="MS Gothic"/>
              </w:rPr>
              <w:t>Vocational Training and Employment Centres</w:t>
            </w:r>
          </w:p>
        </w:tc>
      </w:tr>
      <w:tr w:rsidR="00D723EE" w:rsidRPr="005D09DC" w14:paraId="78A83150" w14:textId="77777777" w:rsidTr="004D6E36">
        <w:trPr>
          <w:trHeight w:val="452"/>
        </w:trPr>
        <w:tc>
          <w:tcPr>
            <w:tcW w:w="1838" w:type="dxa"/>
            <w:shd w:val="clear" w:color="auto" w:fill="auto"/>
          </w:tcPr>
          <w:p w14:paraId="0AEFCF89" w14:textId="77777777" w:rsidR="00D723EE" w:rsidRPr="005D09DC" w:rsidRDefault="00D723EE" w:rsidP="002F54FD">
            <w:pPr>
              <w:spacing w:before="120" w:after="120"/>
              <w:rPr>
                <w:rFonts w:eastAsia="MS Gothic"/>
              </w:rPr>
            </w:pPr>
            <w:r w:rsidRPr="005D09DC">
              <w:rPr>
                <w:rFonts w:eastAsia="MS Gothic"/>
              </w:rPr>
              <w:t>WHO</w:t>
            </w:r>
          </w:p>
        </w:tc>
        <w:tc>
          <w:tcPr>
            <w:tcW w:w="7172" w:type="dxa"/>
            <w:shd w:val="clear" w:color="auto" w:fill="auto"/>
          </w:tcPr>
          <w:p w14:paraId="2CF97271" w14:textId="77777777" w:rsidR="00D723EE" w:rsidRPr="005D09DC" w:rsidRDefault="00D723EE" w:rsidP="002F54FD">
            <w:pPr>
              <w:spacing w:before="120" w:after="120"/>
              <w:rPr>
                <w:rFonts w:eastAsia="MS Gothic"/>
              </w:rPr>
            </w:pPr>
            <w:r w:rsidRPr="005D09DC">
              <w:rPr>
                <w:rFonts w:eastAsia="MS Gothic"/>
              </w:rPr>
              <w:t xml:space="preserve">World Health Organisation </w:t>
            </w:r>
          </w:p>
        </w:tc>
      </w:tr>
    </w:tbl>
    <w:p w14:paraId="7D1F83AC" w14:textId="77777777" w:rsidR="008C2202" w:rsidRPr="005D09DC" w:rsidRDefault="008C2202" w:rsidP="008F65BA">
      <w:pPr>
        <w:rPr>
          <w:rFonts w:eastAsia="MS Gothic"/>
          <w:color w:val="000000" w:themeColor="text1"/>
        </w:rPr>
      </w:pPr>
    </w:p>
    <w:p w14:paraId="24A46AA5" w14:textId="77777777" w:rsidR="009806ED" w:rsidRPr="005D09DC" w:rsidRDefault="009806ED">
      <w:pPr>
        <w:rPr>
          <w:b/>
          <w:color w:val="1E9995"/>
          <w:sz w:val="28"/>
          <w:szCs w:val="28"/>
        </w:rPr>
      </w:pPr>
      <w:r w:rsidRPr="005D09DC">
        <w:rPr>
          <w:b/>
          <w:color w:val="1E9995"/>
          <w:sz w:val="28"/>
          <w:szCs w:val="28"/>
        </w:rPr>
        <w:br w:type="page"/>
      </w:r>
    </w:p>
    <w:p w14:paraId="3D0B5DFD" w14:textId="2ECA5ED2" w:rsidR="001A221F" w:rsidRPr="005D09DC" w:rsidRDefault="00FB2E9C">
      <w:pPr>
        <w:spacing w:after="120"/>
        <w:rPr>
          <w:b/>
          <w:color w:val="1E9995"/>
          <w:sz w:val="28"/>
          <w:szCs w:val="28"/>
        </w:rPr>
      </w:pPr>
      <w:r w:rsidRPr="005D09DC">
        <w:rPr>
          <w:b/>
          <w:color w:val="1E9995"/>
          <w:sz w:val="28"/>
          <w:szCs w:val="28"/>
        </w:rPr>
        <w:t>Definitions</w:t>
      </w:r>
    </w:p>
    <w:tbl>
      <w:tblPr>
        <w:tblStyle w:val="TableGrid"/>
        <w:tblW w:w="0" w:type="auto"/>
        <w:tblLook w:val="04A0" w:firstRow="1" w:lastRow="0" w:firstColumn="1" w:lastColumn="0" w:noHBand="0" w:noVBand="1"/>
        <w:tblCaption w:val="Definitions"/>
        <w:tblDescription w:val="Key Terms and Key Term Definitions"/>
      </w:tblPr>
      <w:tblGrid>
        <w:gridCol w:w="1838"/>
        <w:gridCol w:w="7172"/>
      </w:tblGrid>
      <w:tr w:rsidR="008C2202" w:rsidRPr="005D09DC" w14:paraId="5C1F3AE3" w14:textId="77777777" w:rsidTr="004D6E36">
        <w:trPr>
          <w:cantSplit/>
          <w:trHeight w:val="369"/>
          <w:tblHeader/>
        </w:trPr>
        <w:tc>
          <w:tcPr>
            <w:tcW w:w="1838" w:type="dxa"/>
          </w:tcPr>
          <w:p w14:paraId="78217A2A" w14:textId="4B1363E3" w:rsidR="002F1A05" w:rsidRPr="00D723EE" w:rsidRDefault="00D723EE" w:rsidP="00571DD7">
            <w:pPr>
              <w:spacing w:before="120" w:after="120"/>
              <w:rPr>
                <w:rFonts w:eastAsia="MS Gothic"/>
                <w:b/>
                <w:bCs/>
              </w:rPr>
            </w:pPr>
            <w:r w:rsidRPr="00D723EE">
              <w:rPr>
                <w:rFonts w:eastAsia="MS Gothic"/>
                <w:b/>
                <w:bCs/>
              </w:rPr>
              <w:t>Key Term</w:t>
            </w:r>
          </w:p>
        </w:tc>
        <w:tc>
          <w:tcPr>
            <w:tcW w:w="7172" w:type="dxa"/>
          </w:tcPr>
          <w:p w14:paraId="3758937F" w14:textId="5BAF0BD5" w:rsidR="002F1A05" w:rsidRPr="00D723EE" w:rsidRDefault="00D723EE" w:rsidP="00571DD7">
            <w:pPr>
              <w:spacing w:before="120" w:after="120"/>
              <w:rPr>
                <w:rFonts w:eastAsia="MS Gothic"/>
                <w:b/>
                <w:bCs/>
              </w:rPr>
            </w:pPr>
            <w:r w:rsidRPr="00D723EE">
              <w:rPr>
                <w:rFonts w:eastAsia="MS Gothic"/>
                <w:b/>
                <w:bCs/>
              </w:rPr>
              <w:t>Key Term Definition</w:t>
            </w:r>
          </w:p>
        </w:tc>
      </w:tr>
      <w:tr w:rsidR="00D723EE" w:rsidRPr="005D09DC" w14:paraId="3ECD517B" w14:textId="77777777" w:rsidTr="004D6E36">
        <w:trPr>
          <w:cantSplit/>
          <w:trHeight w:val="1810"/>
          <w:tblHeader/>
        </w:trPr>
        <w:tc>
          <w:tcPr>
            <w:tcW w:w="1838" w:type="dxa"/>
          </w:tcPr>
          <w:p w14:paraId="6EBC5581" w14:textId="77777777" w:rsidR="00D723EE" w:rsidRPr="005D09DC" w:rsidRDefault="00D723EE" w:rsidP="00D723EE">
            <w:pPr>
              <w:spacing w:before="120" w:after="120"/>
              <w:rPr>
                <w:rFonts w:eastAsia="MS Gothic"/>
              </w:rPr>
            </w:pPr>
            <w:r w:rsidRPr="005D09DC">
              <w:rPr>
                <w:rFonts w:eastAsia="MS Gothic"/>
              </w:rPr>
              <w:t>Country</w:t>
            </w:r>
          </w:p>
          <w:p w14:paraId="4A2915FF" w14:textId="77777777" w:rsidR="00D723EE" w:rsidRPr="005D09DC" w:rsidRDefault="00D723EE" w:rsidP="00D723EE">
            <w:pPr>
              <w:spacing w:before="120" w:after="120"/>
              <w:rPr>
                <w:rFonts w:eastAsia="MS Gothic"/>
              </w:rPr>
            </w:pPr>
          </w:p>
          <w:p w14:paraId="253DB347" w14:textId="77777777" w:rsidR="00D723EE" w:rsidRPr="005D09DC" w:rsidRDefault="00D723EE" w:rsidP="00D723EE">
            <w:pPr>
              <w:spacing w:before="120" w:after="120"/>
              <w:rPr>
                <w:rFonts w:eastAsia="MS Gothic"/>
              </w:rPr>
            </w:pPr>
          </w:p>
          <w:p w14:paraId="391F2C20" w14:textId="77777777" w:rsidR="00D723EE" w:rsidRDefault="00D723EE" w:rsidP="00571DD7">
            <w:pPr>
              <w:spacing w:before="120" w:after="120"/>
              <w:rPr>
                <w:rFonts w:eastAsia="MS Gothic"/>
              </w:rPr>
            </w:pPr>
          </w:p>
        </w:tc>
        <w:tc>
          <w:tcPr>
            <w:tcW w:w="7172" w:type="dxa"/>
          </w:tcPr>
          <w:p w14:paraId="7BEC9998" w14:textId="77777777" w:rsidR="00D723EE" w:rsidRDefault="00D723EE" w:rsidP="00D723EE">
            <w:pPr>
              <w:spacing w:before="120" w:after="120"/>
              <w:rPr>
                <w:rFonts w:eastAsia="MS Gothic"/>
              </w:rPr>
            </w:pPr>
            <w:r w:rsidRPr="005D09DC">
              <w:rPr>
                <w:rFonts w:eastAsia="MS Gothic"/>
              </w:rPr>
              <w:t>The Australian Institute of Aboriginal and Torres Strait Islander Studies defines Country as the term often used by Aboriginal people to describe the lands, waterways and seas to which they are connected. The term contains complex ideas about law, place, custom, language, spiritual belief, cultural practice, material sustenance, family and identity.</w:t>
            </w:r>
            <w:r w:rsidRPr="005D09DC">
              <w:rPr>
                <w:rStyle w:val="FootnoteReference"/>
                <w:rFonts w:eastAsia="MS Gothic"/>
              </w:rPr>
              <w:footnoteReference w:id="2"/>
            </w:r>
          </w:p>
        </w:tc>
      </w:tr>
      <w:tr w:rsidR="00571DD7" w:rsidRPr="005D09DC" w14:paraId="17002DDE" w14:textId="77777777" w:rsidTr="004D6E36">
        <w:trPr>
          <w:cantSplit/>
          <w:tblHeader/>
        </w:trPr>
        <w:tc>
          <w:tcPr>
            <w:tcW w:w="1838" w:type="dxa"/>
          </w:tcPr>
          <w:p w14:paraId="3DE26A60" w14:textId="77777777" w:rsidR="00571DD7" w:rsidRPr="005D09DC" w:rsidRDefault="00571DD7" w:rsidP="00571DD7">
            <w:pPr>
              <w:spacing w:before="120" w:after="120"/>
              <w:rPr>
                <w:rFonts w:eastAsia="MS Gothic"/>
              </w:rPr>
            </w:pPr>
            <w:r w:rsidRPr="005D09DC">
              <w:rPr>
                <w:rFonts w:eastAsia="MS Gothic"/>
              </w:rPr>
              <w:t>Indigenous Australian</w:t>
            </w:r>
          </w:p>
          <w:p w14:paraId="6739ECEE" w14:textId="77777777" w:rsidR="00571DD7" w:rsidRPr="005D09DC" w:rsidRDefault="00571DD7" w:rsidP="00571DD7">
            <w:pPr>
              <w:spacing w:before="120" w:after="120"/>
              <w:rPr>
                <w:rFonts w:eastAsia="MS Gothic"/>
              </w:rPr>
            </w:pPr>
          </w:p>
        </w:tc>
        <w:tc>
          <w:tcPr>
            <w:tcW w:w="7172" w:type="dxa"/>
          </w:tcPr>
          <w:p w14:paraId="34435AD3" w14:textId="6CA49955" w:rsidR="00571DD7" w:rsidRPr="005D09DC" w:rsidRDefault="00571DD7" w:rsidP="008C2202">
            <w:pPr>
              <w:spacing w:before="120" w:after="120"/>
              <w:rPr>
                <w:rFonts w:eastAsia="MS Gothic"/>
              </w:rPr>
            </w:pPr>
            <w:r w:rsidRPr="005D09DC">
              <w:rPr>
                <w:rFonts w:eastAsia="MS Gothic"/>
              </w:rPr>
              <w:t>A person who is Aboriginal and/or Torres Strait Islander, who identifies as Aboriginal and/or Torres Strait Islander and is accepted in their community as Aboriginal and/or Torres Strait Islander. Indigenous Australian is used throughout the report and refers to Aboriginal and Torres Strait Islander peoples and First Nations peoples/Australians.</w:t>
            </w:r>
          </w:p>
        </w:tc>
      </w:tr>
      <w:tr w:rsidR="008C2202" w:rsidRPr="005D09DC" w14:paraId="05D0125E" w14:textId="77777777" w:rsidTr="004D6E36">
        <w:trPr>
          <w:cantSplit/>
          <w:tblHeader/>
        </w:trPr>
        <w:tc>
          <w:tcPr>
            <w:tcW w:w="1838" w:type="dxa"/>
          </w:tcPr>
          <w:p w14:paraId="336BEF99" w14:textId="77777777" w:rsidR="00571DD7" w:rsidRPr="005D09DC" w:rsidRDefault="00571DD7" w:rsidP="00571DD7">
            <w:pPr>
              <w:spacing w:before="120" w:after="120"/>
              <w:rPr>
                <w:rFonts w:eastAsia="MS Gothic"/>
              </w:rPr>
            </w:pPr>
            <w:r w:rsidRPr="005D09DC">
              <w:rPr>
                <w:rFonts w:eastAsia="MS Gothic"/>
              </w:rPr>
              <w:t>Mob</w:t>
            </w:r>
          </w:p>
          <w:p w14:paraId="352308CE" w14:textId="0D5C86EA" w:rsidR="008C2202" w:rsidRPr="005D09DC" w:rsidRDefault="008C2202" w:rsidP="008C2202">
            <w:pPr>
              <w:spacing w:before="120" w:after="120"/>
              <w:rPr>
                <w:rFonts w:eastAsia="MS Gothic"/>
              </w:rPr>
            </w:pPr>
          </w:p>
        </w:tc>
        <w:tc>
          <w:tcPr>
            <w:tcW w:w="7172" w:type="dxa"/>
          </w:tcPr>
          <w:p w14:paraId="1C15A7B9" w14:textId="1592F176" w:rsidR="008C2202" w:rsidRPr="005D09DC" w:rsidRDefault="00571DD7" w:rsidP="008C2202">
            <w:pPr>
              <w:spacing w:before="120" w:after="120"/>
              <w:rPr>
                <w:rFonts w:eastAsia="MS Gothic"/>
              </w:rPr>
            </w:pPr>
            <w:r w:rsidRPr="005D09DC">
              <w:rPr>
                <w:rFonts w:eastAsia="MS Gothic"/>
              </w:rPr>
              <w:t xml:space="preserve">A colloquial term used to identify a group of Aboriginal and Torres Strait Islander people associated with a particular place or Country, and to connect and identify who an Aboriginal person is, where they are from, their family, clan or wider Aboriginal community group. </w:t>
            </w:r>
          </w:p>
        </w:tc>
      </w:tr>
      <w:tr w:rsidR="00571DD7" w:rsidRPr="005D09DC" w14:paraId="3C6C39F5" w14:textId="77777777" w:rsidTr="004D6E36">
        <w:trPr>
          <w:cantSplit/>
          <w:tblHeader/>
        </w:trPr>
        <w:tc>
          <w:tcPr>
            <w:tcW w:w="1838" w:type="dxa"/>
          </w:tcPr>
          <w:p w14:paraId="621B68F6" w14:textId="009D78EF" w:rsidR="00571DD7" w:rsidRPr="005D09DC" w:rsidRDefault="00571DD7" w:rsidP="00571DD7">
            <w:pPr>
              <w:spacing w:before="120" w:after="120"/>
              <w:rPr>
                <w:rFonts w:eastAsia="MS Gothic"/>
              </w:rPr>
            </w:pPr>
            <w:r w:rsidRPr="005D09DC">
              <w:rPr>
                <w:rFonts w:eastAsia="MS Gothic"/>
              </w:rPr>
              <w:t>NIAA Regions</w:t>
            </w:r>
          </w:p>
        </w:tc>
        <w:tc>
          <w:tcPr>
            <w:tcW w:w="7172" w:type="dxa"/>
          </w:tcPr>
          <w:p w14:paraId="509698AE" w14:textId="7FC575A2" w:rsidR="00571DD7" w:rsidRPr="005D09DC" w:rsidRDefault="00571DD7" w:rsidP="00571DD7">
            <w:pPr>
              <w:spacing w:before="120" w:after="120"/>
            </w:pPr>
            <w:r w:rsidRPr="005D09DC">
              <w:rPr>
                <w:rFonts w:eastAsia="MS Gothic"/>
              </w:rPr>
              <w:t>The National Indigenous Australians Agency (NIAA) has a network of regions and offices nationally.</w:t>
            </w:r>
            <w:r w:rsidR="00D926C3">
              <w:rPr>
                <w:rStyle w:val="FootnoteReference"/>
                <w:rFonts w:eastAsia="MS Gothic"/>
              </w:rPr>
              <w:footnoteReference w:id="3"/>
            </w:r>
          </w:p>
        </w:tc>
      </w:tr>
      <w:tr w:rsidR="00571DD7" w:rsidRPr="005D09DC" w14:paraId="7546D398" w14:textId="77777777" w:rsidTr="004D6E36">
        <w:trPr>
          <w:cantSplit/>
          <w:tblHeader/>
        </w:trPr>
        <w:tc>
          <w:tcPr>
            <w:tcW w:w="1838" w:type="dxa"/>
          </w:tcPr>
          <w:p w14:paraId="3E9D0288" w14:textId="2BBE2094" w:rsidR="00571DD7" w:rsidRPr="005D09DC" w:rsidRDefault="00571DD7" w:rsidP="00571DD7">
            <w:pPr>
              <w:spacing w:before="120" w:after="120"/>
              <w:rPr>
                <w:rFonts w:eastAsia="MS Gothic"/>
              </w:rPr>
            </w:pPr>
            <w:r w:rsidRPr="005D09DC">
              <w:rPr>
                <w:rFonts w:eastAsia="MS Gothic"/>
              </w:rPr>
              <w:t>Service Provider</w:t>
            </w:r>
          </w:p>
        </w:tc>
        <w:tc>
          <w:tcPr>
            <w:tcW w:w="7172" w:type="dxa"/>
          </w:tcPr>
          <w:p w14:paraId="2876EBF5" w14:textId="37F4959F" w:rsidR="00571DD7" w:rsidRPr="005D09DC" w:rsidRDefault="00571DD7" w:rsidP="00571DD7">
            <w:pPr>
              <w:spacing w:before="120" w:after="120"/>
            </w:pPr>
            <w:r w:rsidRPr="005D09DC">
              <w:t xml:space="preserve">An organisation engaged by the Commonwealth to deliver services related to employment programs for Indigenous communities. </w:t>
            </w:r>
          </w:p>
        </w:tc>
      </w:tr>
    </w:tbl>
    <w:p w14:paraId="08BCFA0B" w14:textId="77777777" w:rsidR="008F65BA" w:rsidRPr="005D09DC" w:rsidRDefault="008F65BA" w:rsidP="008F65BA">
      <w:pPr>
        <w:rPr>
          <w:color w:val="404040"/>
        </w:rPr>
      </w:pPr>
      <w:r w:rsidRPr="005D09DC">
        <w:rPr>
          <w:color w:val="404040"/>
        </w:rPr>
        <w:br w:type="page"/>
      </w:r>
    </w:p>
    <w:p w14:paraId="54D12B9F" w14:textId="77777777" w:rsidR="00735A54" w:rsidRPr="005D09DC" w:rsidRDefault="00735A54" w:rsidP="00981521">
      <w:pPr>
        <w:pStyle w:val="Heading1"/>
      </w:pPr>
      <w:bookmarkStart w:id="3" w:name="_Toc85030946"/>
      <w:r w:rsidRPr="005D09DC">
        <w:t>Acknowledgements</w:t>
      </w:r>
      <w:bookmarkEnd w:id="3"/>
    </w:p>
    <w:p w14:paraId="7783525E" w14:textId="77777777" w:rsidR="002D39D6" w:rsidRPr="005D09DC" w:rsidRDefault="002D39D6" w:rsidP="008C2202">
      <w:pPr>
        <w:spacing w:before="120" w:after="120"/>
      </w:pPr>
      <w:r w:rsidRPr="005D09DC">
        <w:t xml:space="preserve">Inside Policy acknowledges the First Nations on which we live and work, as well as the many First Nations on which these consultations were held.  We pay our respects to the Elders, past, present and emerging of these Nations. We thank them for their ongoing custodianship of land, waters, air and all aspects of Country and remind ourselves that it always was and always will be Aboriginal and Torres Strait Islander land. </w:t>
      </w:r>
    </w:p>
    <w:p w14:paraId="03FBD7AA" w14:textId="77777777" w:rsidR="002D39D6" w:rsidRPr="005D09DC" w:rsidRDefault="002D39D6" w:rsidP="008C2202">
      <w:pPr>
        <w:spacing w:before="120" w:after="120"/>
      </w:pPr>
      <w:r w:rsidRPr="005D09DC">
        <w:t xml:space="preserve">Inside Policy acknowledges the contribution of the staff of the NIAA Economic Policy and Programs Group and the staff across the NIAA regional offices nationally.  Without their assistance and guidance, these consultations could not have taken place. </w:t>
      </w:r>
    </w:p>
    <w:p w14:paraId="6F8D3D71" w14:textId="0CC3871F" w:rsidR="002D39D6" w:rsidRPr="005D09DC" w:rsidRDefault="002D39D6" w:rsidP="008C2202">
      <w:pPr>
        <w:spacing w:before="120" w:after="120"/>
      </w:pPr>
      <w:r w:rsidRPr="005D09DC">
        <w:t>We also acknowledge and thank each person who took time out of</w:t>
      </w:r>
      <w:r w:rsidR="008A0666" w:rsidRPr="005D09DC">
        <w:t xml:space="preserve"> their</w:t>
      </w:r>
      <w:r w:rsidRPr="005D09DC">
        <w:t xml:space="preserve"> busy lives to take part in </w:t>
      </w:r>
      <w:r w:rsidR="008D5739" w:rsidRPr="005D09DC">
        <w:t xml:space="preserve">the consultation process, and for sharing their </w:t>
      </w:r>
      <w:r w:rsidR="008A0666" w:rsidRPr="005D09DC">
        <w:t>experience</w:t>
      </w:r>
      <w:r w:rsidR="008D5739" w:rsidRPr="005D09DC">
        <w:t xml:space="preserve"> and expertise. Without them, work such as this </w:t>
      </w:r>
      <w:r w:rsidR="00742BD6" w:rsidRPr="005D09DC">
        <w:t>cannot</w:t>
      </w:r>
      <w:r w:rsidR="008D5739" w:rsidRPr="005D09DC">
        <w:t xml:space="preserve"> happen. We are grateful for their rich and diverse contributions. </w:t>
      </w:r>
    </w:p>
    <w:p w14:paraId="442371E6" w14:textId="447F5597" w:rsidR="008E3B89" w:rsidRPr="005D09DC" w:rsidRDefault="008E3B89" w:rsidP="008C2202">
      <w:pPr>
        <w:spacing w:before="120" w:after="120"/>
      </w:pPr>
      <w:r w:rsidRPr="005D09DC">
        <w:t xml:space="preserve">This report uses the language as expressed by Aboriginal and Torres Strait Islander and other participants and is included here to ensure that the authenticity of their voices is captured in these pages. </w:t>
      </w:r>
    </w:p>
    <w:p w14:paraId="187B0A18" w14:textId="77777777" w:rsidR="00735A54" w:rsidRPr="005D09DC" w:rsidRDefault="00735A54">
      <w:r w:rsidRPr="005D09DC">
        <w:rPr>
          <w:b/>
          <w:color w:val="1E9995"/>
          <w:sz w:val="32"/>
          <w:szCs w:val="32"/>
        </w:rPr>
        <w:br w:type="page"/>
      </w:r>
    </w:p>
    <w:p w14:paraId="4ECC1A9F" w14:textId="727718F9" w:rsidR="002433ED" w:rsidRPr="005D09DC" w:rsidRDefault="00FB2E9C" w:rsidP="00981521">
      <w:pPr>
        <w:pStyle w:val="Heading1"/>
      </w:pPr>
      <w:bookmarkStart w:id="4" w:name="_Toc85030947"/>
      <w:r w:rsidRPr="005D09DC">
        <w:t>Executive</w:t>
      </w:r>
      <w:r w:rsidRPr="005D09DC">
        <w:rPr>
          <w:b w:val="0"/>
        </w:rPr>
        <w:t xml:space="preserve"> </w:t>
      </w:r>
      <w:r w:rsidRPr="005D09DC">
        <w:t>Summary</w:t>
      </w:r>
      <w:bookmarkEnd w:id="4"/>
    </w:p>
    <w:p w14:paraId="39838F5E" w14:textId="7794E47D" w:rsidR="006727BF" w:rsidRPr="005D09DC" w:rsidRDefault="006727BF" w:rsidP="006727BF">
      <w:pPr>
        <w:pStyle w:val="Heading2"/>
      </w:pPr>
      <w:bookmarkStart w:id="5" w:name="_Toc85030948"/>
      <w:r w:rsidRPr="005D09DC">
        <w:t>Introduction</w:t>
      </w:r>
      <w:bookmarkEnd w:id="5"/>
    </w:p>
    <w:p w14:paraId="081F6604" w14:textId="52013551" w:rsidR="00A4263E" w:rsidRPr="005D09DC" w:rsidRDefault="002433ED" w:rsidP="002433ED">
      <w:r w:rsidRPr="005D09DC">
        <w:t>In 2021</w:t>
      </w:r>
      <w:r w:rsidR="002868A7" w:rsidRPr="005D09DC">
        <w:t>,</w:t>
      </w:r>
      <w:r w:rsidRPr="005D09DC">
        <w:t xml:space="preserve"> the Australian Government announced the development of the new Indigenous Skills and Employment Program (the ISEP) as part of the Indigenous Skills and Jobs Advancement package to improve economic, social and education outcomes for Indigenous Australians. The ISEP will replace three programs from1 July 2022: Vocational Training and Employment Centres (VTEC), Tailored Assistance Employment Grants (TAEG) and the Employment Parity Initiative (EPI). </w:t>
      </w:r>
    </w:p>
    <w:p w14:paraId="7299F9EA" w14:textId="77777777" w:rsidR="00C63D2C" w:rsidRPr="005D09DC" w:rsidRDefault="00C63D2C" w:rsidP="00C63D2C">
      <w:pPr>
        <w:spacing w:before="240" w:after="240"/>
      </w:pPr>
      <w:r w:rsidRPr="005D09DC">
        <w:t>The ISEP design will be based on the need to:</w:t>
      </w:r>
    </w:p>
    <w:p w14:paraId="181583AA" w14:textId="5D2E3255" w:rsidR="00C63D2C" w:rsidRPr="005D09DC" w:rsidRDefault="00467A87" w:rsidP="00C63D2C">
      <w:pPr>
        <w:pStyle w:val="ListParagraph"/>
        <w:numPr>
          <w:ilvl w:val="0"/>
          <w:numId w:val="73"/>
        </w:numPr>
        <w:spacing w:before="120" w:after="120" w:line="264" w:lineRule="auto"/>
      </w:pPr>
      <w:r w:rsidRPr="005D09DC">
        <w:t xml:space="preserve">Address </w:t>
      </w:r>
      <w:r w:rsidR="00C63D2C" w:rsidRPr="005D09DC">
        <w:t>specific barriers to employment at the regional and local levels;</w:t>
      </w:r>
    </w:p>
    <w:p w14:paraId="0C68DBC4" w14:textId="53349583" w:rsidR="00C63D2C" w:rsidRPr="005D09DC" w:rsidRDefault="00467A87" w:rsidP="00C63D2C">
      <w:pPr>
        <w:pStyle w:val="ListParagraph"/>
        <w:numPr>
          <w:ilvl w:val="0"/>
          <w:numId w:val="73"/>
        </w:numPr>
        <w:spacing w:before="120" w:after="120" w:line="264" w:lineRule="auto"/>
      </w:pPr>
      <w:r w:rsidRPr="005D09DC">
        <w:t xml:space="preserve">Work with local communities to identify existing and emerging </w:t>
      </w:r>
      <w:r w:rsidR="00C63D2C" w:rsidRPr="005D09DC">
        <w:t>engagement and employment opportunities;</w:t>
      </w:r>
    </w:p>
    <w:p w14:paraId="2DC39ADD" w14:textId="32887227" w:rsidR="00C63D2C" w:rsidRPr="005D09DC" w:rsidRDefault="00467A87" w:rsidP="00C63D2C">
      <w:pPr>
        <w:pStyle w:val="ListParagraph"/>
        <w:numPr>
          <w:ilvl w:val="0"/>
          <w:numId w:val="73"/>
        </w:numPr>
        <w:spacing w:before="120" w:after="120" w:line="264" w:lineRule="auto"/>
      </w:pPr>
      <w:r w:rsidRPr="005D09DC">
        <w:t>Respond</w:t>
      </w:r>
      <w:r w:rsidR="00C63D2C" w:rsidRPr="005D09DC">
        <w:t xml:space="preserve"> to emerging regional labour market needs and opportunities for both job seekers and businesses;</w:t>
      </w:r>
    </w:p>
    <w:p w14:paraId="4A575E07" w14:textId="37900588" w:rsidR="00333F78" w:rsidRPr="005D09DC" w:rsidRDefault="00467A87" w:rsidP="00C63D2C">
      <w:pPr>
        <w:pStyle w:val="ListParagraph"/>
        <w:numPr>
          <w:ilvl w:val="0"/>
          <w:numId w:val="73"/>
        </w:numPr>
        <w:spacing w:before="120" w:after="120" w:line="264" w:lineRule="auto"/>
      </w:pPr>
      <w:r w:rsidRPr="005D09DC">
        <w:t>Target specific cohorts of Indigenous Australians based on data and evidence, supplemented with local knowledge and need; and</w:t>
      </w:r>
    </w:p>
    <w:p w14:paraId="27803A42" w14:textId="2B30F133" w:rsidR="002433ED" w:rsidRPr="005D09DC" w:rsidRDefault="00467A87" w:rsidP="001A5D81">
      <w:pPr>
        <w:pStyle w:val="ListParagraph"/>
        <w:numPr>
          <w:ilvl w:val="0"/>
          <w:numId w:val="73"/>
        </w:numPr>
        <w:spacing w:before="120" w:after="120" w:line="264" w:lineRule="auto"/>
      </w:pPr>
      <w:r w:rsidRPr="005D09DC">
        <w:t>Support employers to understand and realise the potential of the Indigenous workforce</w:t>
      </w:r>
      <w:r w:rsidR="002433ED" w:rsidRPr="005D09DC">
        <w:t>.</w:t>
      </w:r>
      <w:r w:rsidR="002433ED" w:rsidRPr="005D09DC">
        <w:rPr>
          <w:vertAlign w:val="superscript"/>
        </w:rPr>
        <w:footnoteReference w:id="4"/>
      </w:r>
    </w:p>
    <w:p w14:paraId="2618CCE7" w14:textId="77777777" w:rsidR="00A4263E" w:rsidRPr="005D09DC" w:rsidRDefault="00A4263E" w:rsidP="002433ED"/>
    <w:p w14:paraId="00DAE076" w14:textId="3CD3D82B" w:rsidR="002433ED" w:rsidRPr="005D09DC" w:rsidRDefault="002433ED" w:rsidP="002433ED">
      <w:r w:rsidRPr="005D09DC">
        <w:t xml:space="preserve">NIAA engaged Inside Policy to conduct a series of roundtables with stakeholders and to analysis written submissions to its discussion paper in August and September 2021. </w:t>
      </w:r>
    </w:p>
    <w:p w14:paraId="7D47B4FD" w14:textId="77777777" w:rsidR="002433ED" w:rsidRPr="005D09DC" w:rsidRDefault="002433ED" w:rsidP="002433ED"/>
    <w:p w14:paraId="231AF01E" w14:textId="492529CB" w:rsidR="002433ED" w:rsidRPr="005D09DC" w:rsidRDefault="00A4263E" w:rsidP="002433ED">
      <w:r w:rsidRPr="005D09DC">
        <w:t>A total of</w:t>
      </w:r>
      <w:r w:rsidRPr="005D09DC">
        <w:rPr>
          <w:b/>
          <w:bCs/>
        </w:rPr>
        <w:t xml:space="preserve"> </w:t>
      </w:r>
      <w:r w:rsidR="00B2491E" w:rsidRPr="005D09DC">
        <w:t xml:space="preserve">939 </w:t>
      </w:r>
      <w:r w:rsidR="002433ED" w:rsidRPr="005D09DC">
        <w:t>people took part in the roundtables and 6</w:t>
      </w:r>
      <w:r w:rsidR="006E32F9" w:rsidRPr="005D09DC">
        <w:t>2</w:t>
      </w:r>
      <w:r w:rsidR="002433ED" w:rsidRPr="005D09DC">
        <w:t xml:space="preserve"> written submissions</w:t>
      </w:r>
      <w:r w:rsidRPr="005D09DC">
        <w:t xml:space="preserve"> were received</w:t>
      </w:r>
      <w:r w:rsidR="002433ED" w:rsidRPr="005D09DC">
        <w:t xml:space="preserve"> from Aboriginal community-controlled organisations (ACCOs), Traditional Owner groups and organisations, Local Aboriginal Land Councils, Indigenous businesses, employment service providers, education and training service providers, private businesses, industry, trade and union groups, universities, non-government organisations and not-for-profit organisations.</w:t>
      </w:r>
    </w:p>
    <w:p w14:paraId="5B7A6A17" w14:textId="77777777" w:rsidR="002433ED" w:rsidRPr="005D09DC" w:rsidRDefault="002433ED" w:rsidP="002433ED"/>
    <w:p w14:paraId="0244E13B" w14:textId="77777777" w:rsidR="002433ED" w:rsidRPr="005D09DC" w:rsidRDefault="002433ED" w:rsidP="006727BF">
      <w:pPr>
        <w:pStyle w:val="Heading2"/>
      </w:pPr>
      <w:bookmarkStart w:id="6" w:name="_Toc85030949"/>
      <w:r w:rsidRPr="005D09DC">
        <w:t>Methodology</w:t>
      </w:r>
      <w:bookmarkEnd w:id="6"/>
      <w:r w:rsidRPr="005D09DC">
        <w:t xml:space="preserve"> </w:t>
      </w:r>
    </w:p>
    <w:p w14:paraId="278144FD" w14:textId="64788447" w:rsidR="002433ED" w:rsidRPr="005D09DC" w:rsidRDefault="002433ED" w:rsidP="002433ED">
      <w:r w:rsidRPr="005D09DC">
        <w:t>The consultation</w:t>
      </w:r>
      <w:r w:rsidR="00A4263E" w:rsidRPr="005D09DC">
        <w:t>s</w:t>
      </w:r>
      <w:r w:rsidRPr="005D09DC">
        <w:t xml:space="preserve"> </w:t>
      </w:r>
      <w:r w:rsidR="00A4263E" w:rsidRPr="005D09DC">
        <w:t>included</w:t>
      </w:r>
      <w:r w:rsidRPr="005D09DC">
        <w:t>:</w:t>
      </w:r>
    </w:p>
    <w:p w14:paraId="25406C5D" w14:textId="7859ED78" w:rsidR="002433ED" w:rsidRPr="005D09DC" w:rsidRDefault="002433ED" w:rsidP="002433ED">
      <w:pPr>
        <w:pStyle w:val="ListParagraph"/>
        <w:numPr>
          <w:ilvl w:val="0"/>
          <w:numId w:val="72"/>
        </w:numPr>
      </w:pPr>
      <w:r w:rsidRPr="005D09DC">
        <w:t xml:space="preserve">53 </w:t>
      </w:r>
      <w:r w:rsidR="00A4263E" w:rsidRPr="005D09DC">
        <w:t xml:space="preserve">roundtables </w:t>
      </w:r>
      <w:r w:rsidRPr="005D09DC">
        <w:t>held across NIAA</w:t>
      </w:r>
      <w:r w:rsidR="00A4263E" w:rsidRPr="005D09DC">
        <w:t>’s</w:t>
      </w:r>
      <w:r w:rsidRPr="005D09DC">
        <w:t xml:space="preserve"> regions as well as two national sessions </w:t>
      </w:r>
      <w:r w:rsidR="00A4263E" w:rsidRPr="005D09DC">
        <w:t>as follows</w:t>
      </w:r>
      <w:r w:rsidRPr="005D09DC">
        <w:t>:</w:t>
      </w:r>
    </w:p>
    <w:p w14:paraId="3389FD15" w14:textId="28EDD243" w:rsidR="002433ED" w:rsidRPr="005D09DC" w:rsidRDefault="002433ED" w:rsidP="002433ED">
      <w:pPr>
        <w:pStyle w:val="ListParagraph"/>
        <w:numPr>
          <w:ilvl w:val="1"/>
          <w:numId w:val="72"/>
        </w:numPr>
      </w:pPr>
      <w:r w:rsidRPr="005D09DC">
        <w:t>18 face to face roundtables and Town Hall meetings</w:t>
      </w:r>
    </w:p>
    <w:p w14:paraId="4FBEEB8A" w14:textId="46A80E2F" w:rsidR="002433ED" w:rsidRPr="005D09DC" w:rsidRDefault="002433ED" w:rsidP="002433ED">
      <w:pPr>
        <w:pStyle w:val="ListParagraph"/>
        <w:numPr>
          <w:ilvl w:val="1"/>
          <w:numId w:val="72"/>
        </w:numPr>
      </w:pPr>
      <w:r w:rsidRPr="005D09DC">
        <w:t xml:space="preserve">28 </w:t>
      </w:r>
      <w:r w:rsidR="00A4263E" w:rsidRPr="005D09DC">
        <w:t>online</w:t>
      </w:r>
      <w:r w:rsidRPr="005D09DC">
        <w:t xml:space="preserve"> regional roundtables</w:t>
      </w:r>
    </w:p>
    <w:p w14:paraId="6A5EEFF6" w14:textId="64D825AD" w:rsidR="002433ED" w:rsidRPr="005D09DC" w:rsidRDefault="002433ED" w:rsidP="002433ED">
      <w:pPr>
        <w:pStyle w:val="ListParagraph"/>
        <w:numPr>
          <w:ilvl w:val="1"/>
          <w:numId w:val="72"/>
        </w:numPr>
      </w:pPr>
      <w:r w:rsidRPr="005D09DC">
        <w:t xml:space="preserve">5 roundtables </w:t>
      </w:r>
      <w:r w:rsidR="00A4263E" w:rsidRPr="005D09DC">
        <w:t xml:space="preserve">that combined people attending in person </w:t>
      </w:r>
      <w:r w:rsidRPr="005D09DC">
        <w:t xml:space="preserve">and </w:t>
      </w:r>
      <w:r w:rsidR="00A4263E" w:rsidRPr="005D09DC">
        <w:t>an online facilitator</w:t>
      </w:r>
    </w:p>
    <w:p w14:paraId="5728A09C" w14:textId="6BC8C5D2" w:rsidR="002433ED" w:rsidRPr="005D09DC" w:rsidRDefault="002433ED" w:rsidP="002433ED">
      <w:pPr>
        <w:pStyle w:val="ListParagraph"/>
        <w:numPr>
          <w:ilvl w:val="1"/>
          <w:numId w:val="72"/>
        </w:numPr>
      </w:pPr>
      <w:r w:rsidRPr="005D09DC">
        <w:t xml:space="preserve">2 virtual </w:t>
      </w:r>
      <w:r w:rsidR="00A4263E" w:rsidRPr="005D09DC">
        <w:t>public Question and Answer</w:t>
      </w:r>
      <w:r w:rsidRPr="005D09DC">
        <w:t xml:space="preserve"> sessions run by NIAA (outcomes not included here). </w:t>
      </w:r>
    </w:p>
    <w:p w14:paraId="4CA65E42" w14:textId="360661D0" w:rsidR="002433ED" w:rsidRPr="005D09DC" w:rsidRDefault="002433ED" w:rsidP="002433ED">
      <w:pPr>
        <w:pStyle w:val="ListParagraph"/>
        <w:numPr>
          <w:ilvl w:val="0"/>
          <w:numId w:val="72"/>
        </w:numPr>
      </w:pPr>
      <w:r w:rsidRPr="005D09DC">
        <w:t xml:space="preserve">The analysis of 62 written submissions to NIAA’s ISEP Discussion Paper. </w:t>
      </w:r>
    </w:p>
    <w:p w14:paraId="3DE7C359" w14:textId="77777777" w:rsidR="00757F49" w:rsidRPr="005D09DC" w:rsidRDefault="00757F49" w:rsidP="002433ED"/>
    <w:p w14:paraId="476DECE4" w14:textId="0FA1ED40" w:rsidR="00757F49" w:rsidRPr="005D09DC" w:rsidRDefault="002433ED">
      <w:r w:rsidRPr="005D09DC">
        <w:t xml:space="preserve">The </w:t>
      </w:r>
      <w:r w:rsidR="00A4263E" w:rsidRPr="005D09DC">
        <w:t>two types of c</w:t>
      </w:r>
      <w:r w:rsidRPr="005D09DC">
        <w:t xml:space="preserve">onsultation activities were </w:t>
      </w:r>
      <w:r w:rsidR="00A4263E" w:rsidRPr="005D09DC">
        <w:t>directed</w:t>
      </w:r>
      <w:r w:rsidRPr="005D09DC">
        <w:t xml:space="preserve"> by two sets of questions developed by NIAA </w:t>
      </w:r>
      <w:r w:rsidR="00A4263E" w:rsidRPr="005D09DC">
        <w:t>for the</w:t>
      </w:r>
      <w:r w:rsidRPr="005D09DC">
        <w:t xml:space="preserve"> written submissions and with Inside Policy for the </w:t>
      </w:r>
      <w:r w:rsidR="007B7836" w:rsidRPr="005D09DC">
        <w:t>Roundtables and Town Hall meetings</w:t>
      </w:r>
      <w:r w:rsidRPr="005D09DC">
        <w:t>.</w:t>
      </w:r>
      <w:r w:rsidR="00981521" w:rsidRPr="005D09DC">
        <w:t xml:space="preserve"> These two sets are outlined below. </w:t>
      </w:r>
      <w:r w:rsidR="00757F49" w:rsidRPr="005D09DC">
        <w:br w:type="page"/>
      </w:r>
    </w:p>
    <w:tbl>
      <w:tblPr>
        <w:tblStyle w:val="TableGrid"/>
        <w:tblW w:w="94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Caption w:val="Consultation Activities and Discussion Questions"/>
        <w:tblDescription w:val="Depicts each of the consultation activities – roundtables and town hall meetings, and written submissions – and the discussion questions asked of participants in each."/>
      </w:tblPr>
      <w:tblGrid>
        <w:gridCol w:w="2667"/>
        <w:gridCol w:w="6826"/>
      </w:tblGrid>
      <w:tr w:rsidR="002433ED" w:rsidRPr="005D09DC" w14:paraId="69DEC558" w14:textId="77777777" w:rsidTr="00E4084E">
        <w:trPr>
          <w:cantSplit/>
          <w:trHeight w:val="630"/>
          <w:tblHeader/>
        </w:trPr>
        <w:tc>
          <w:tcPr>
            <w:tcW w:w="2667" w:type="dxa"/>
            <w:shd w:val="clear" w:color="auto" w:fill="auto"/>
            <w:vAlign w:val="center"/>
          </w:tcPr>
          <w:p w14:paraId="2F04024C" w14:textId="18AF49B2" w:rsidR="002433ED" w:rsidRPr="00747623" w:rsidRDefault="002433ED" w:rsidP="00FB3CCC">
            <w:pPr>
              <w:spacing w:line="276" w:lineRule="auto"/>
              <w:outlineLvl w:val="0"/>
              <w:rPr>
                <w:rFonts w:eastAsia="Times New Roman" w:cs="Palatino Linotype"/>
                <w:b/>
                <w:bCs/>
              </w:rPr>
            </w:pPr>
            <w:bookmarkStart w:id="7" w:name="_Toc84951072"/>
            <w:bookmarkStart w:id="8" w:name="_Toc85030950"/>
            <w:r w:rsidRPr="00747623">
              <w:rPr>
                <w:rFonts w:eastAsia="Times New Roman" w:cs="Palatino Linotype"/>
                <w:b/>
                <w:bCs/>
              </w:rPr>
              <w:t xml:space="preserve">Consultation </w:t>
            </w:r>
            <w:r w:rsidR="007B5649" w:rsidRPr="00747623">
              <w:rPr>
                <w:rFonts w:eastAsia="Times New Roman" w:cs="Palatino Linotype"/>
                <w:b/>
                <w:bCs/>
              </w:rPr>
              <w:t>A</w:t>
            </w:r>
            <w:r w:rsidRPr="00747623">
              <w:rPr>
                <w:rFonts w:eastAsia="Times New Roman" w:cs="Palatino Linotype"/>
                <w:b/>
                <w:bCs/>
              </w:rPr>
              <w:t>ctivity</w:t>
            </w:r>
            <w:bookmarkEnd w:id="7"/>
            <w:bookmarkEnd w:id="8"/>
            <w:r w:rsidRPr="00747623">
              <w:rPr>
                <w:rFonts w:eastAsia="Times New Roman" w:cs="Palatino Linotype"/>
                <w:b/>
                <w:bCs/>
              </w:rPr>
              <w:t xml:space="preserve">  </w:t>
            </w:r>
          </w:p>
        </w:tc>
        <w:tc>
          <w:tcPr>
            <w:tcW w:w="6826" w:type="dxa"/>
            <w:shd w:val="clear" w:color="auto" w:fill="auto"/>
            <w:vAlign w:val="center"/>
          </w:tcPr>
          <w:p w14:paraId="47D8F93F" w14:textId="77777777" w:rsidR="002433ED" w:rsidRPr="00747623" w:rsidRDefault="002433ED" w:rsidP="00FB3CCC">
            <w:pPr>
              <w:spacing w:line="276" w:lineRule="auto"/>
              <w:outlineLvl w:val="0"/>
              <w:rPr>
                <w:rFonts w:eastAsia="Times New Roman" w:cs="Palatino Linotype"/>
                <w:b/>
                <w:bCs/>
              </w:rPr>
            </w:pPr>
            <w:bookmarkStart w:id="9" w:name="_Toc84951073"/>
            <w:bookmarkStart w:id="10" w:name="_Toc85030951"/>
            <w:r w:rsidRPr="00747623">
              <w:rPr>
                <w:rFonts w:eastAsia="Times New Roman" w:cs="Palatino Linotype"/>
                <w:b/>
                <w:bCs/>
              </w:rPr>
              <w:t>Discussion Questions</w:t>
            </w:r>
            <w:bookmarkEnd w:id="9"/>
            <w:bookmarkEnd w:id="10"/>
            <w:r w:rsidRPr="00747623">
              <w:rPr>
                <w:rFonts w:eastAsia="Times New Roman" w:cs="Palatino Linotype"/>
                <w:b/>
                <w:bCs/>
              </w:rPr>
              <w:t xml:space="preserve"> </w:t>
            </w:r>
          </w:p>
        </w:tc>
      </w:tr>
      <w:tr w:rsidR="002433ED" w:rsidRPr="005D09DC" w14:paraId="35C1A62F" w14:textId="77777777" w:rsidTr="00E4084E">
        <w:trPr>
          <w:cantSplit/>
          <w:trHeight w:val="1668"/>
          <w:tblHeader/>
        </w:trPr>
        <w:tc>
          <w:tcPr>
            <w:tcW w:w="2667" w:type="dxa"/>
            <w:shd w:val="clear" w:color="auto" w:fill="auto"/>
            <w:vAlign w:val="center"/>
          </w:tcPr>
          <w:p w14:paraId="2245AA8B" w14:textId="77777777" w:rsidR="002433ED" w:rsidRPr="00747623" w:rsidRDefault="002433ED" w:rsidP="00FB3CCC">
            <w:pPr>
              <w:spacing w:line="276" w:lineRule="auto"/>
              <w:outlineLvl w:val="0"/>
              <w:rPr>
                <w:rFonts w:eastAsia="Times New Roman" w:cs="Palatino Linotype"/>
                <w:sz w:val="20"/>
                <w:szCs w:val="20"/>
                <w:highlight w:val="yellow"/>
              </w:rPr>
            </w:pPr>
            <w:bookmarkStart w:id="11" w:name="_Toc84951074"/>
            <w:bookmarkStart w:id="12" w:name="_Toc85030952"/>
            <w:r w:rsidRPr="00747623">
              <w:rPr>
                <w:rFonts w:eastAsia="Times New Roman" w:cs="Palatino Linotype"/>
                <w:sz w:val="20"/>
                <w:szCs w:val="20"/>
              </w:rPr>
              <w:t>Roundtables and Town Hall meetings</w:t>
            </w:r>
            <w:bookmarkEnd w:id="11"/>
            <w:bookmarkEnd w:id="12"/>
            <w:r w:rsidRPr="00747623">
              <w:rPr>
                <w:rFonts w:eastAsia="Times New Roman" w:cs="Palatino Linotype"/>
                <w:sz w:val="20"/>
                <w:szCs w:val="20"/>
              </w:rPr>
              <w:t xml:space="preserve"> </w:t>
            </w:r>
          </w:p>
        </w:tc>
        <w:tc>
          <w:tcPr>
            <w:tcW w:w="6826" w:type="dxa"/>
            <w:shd w:val="clear" w:color="auto" w:fill="auto"/>
            <w:vAlign w:val="center"/>
          </w:tcPr>
          <w:p w14:paraId="65AC6DB6" w14:textId="77777777" w:rsidR="002433ED" w:rsidRPr="00747623" w:rsidRDefault="002433ED" w:rsidP="00981521">
            <w:pPr>
              <w:pStyle w:val="ListParagraph"/>
              <w:numPr>
                <w:ilvl w:val="0"/>
                <w:numId w:val="74"/>
              </w:numPr>
              <w:contextualSpacing w:val="0"/>
              <w:rPr>
                <w:sz w:val="20"/>
                <w:szCs w:val="20"/>
              </w:rPr>
            </w:pPr>
            <w:r w:rsidRPr="00747623">
              <w:rPr>
                <w:sz w:val="20"/>
                <w:szCs w:val="20"/>
              </w:rPr>
              <w:t>What is the current state of a jobseeker in your region (or industry)?</w:t>
            </w:r>
          </w:p>
          <w:p w14:paraId="22F9C971" w14:textId="77777777" w:rsidR="002433ED" w:rsidRPr="00747623" w:rsidRDefault="002433ED" w:rsidP="00981521">
            <w:pPr>
              <w:pStyle w:val="ListParagraph"/>
              <w:numPr>
                <w:ilvl w:val="0"/>
                <w:numId w:val="74"/>
              </w:numPr>
              <w:contextualSpacing w:val="0"/>
              <w:rPr>
                <w:sz w:val="20"/>
                <w:szCs w:val="20"/>
              </w:rPr>
            </w:pPr>
            <w:r w:rsidRPr="00747623">
              <w:rPr>
                <w:sz w:val="20"/>
                <w:szCs w:val="20"/>
              </w:rPr>
              <w:t>What is the current state of opportunities in your region (or at the national level)?</w:t>
            </w:r>
          </w:p>
          <w:p w14:paraId="63B1C439" w14:textId="77777777" w:rsidR="002433ED" w:rsidRPr="00747623" w:rsidRDefault="002433ED" w:rsidP="00981521">
            <w:pPr>
              <w:pStyle w:val="ListParagraph"/>
              <w:numPr>
                <w:ilvl w:val="0"/>
                <w:numId w:val="74"/>
              </w:numPr>
              <w:spacing w:after="120"/>
              <w:contextualSpacing w:val="0"/>
              <w:rPr>
                <w:sz w:val="20"/>
                <w:szCs w:val="20"/>
                <w:lang w:val="en-US"/>
              </w:rPr>
            </w:pPr>
            <w:r w:rsidRPr="00747623">
              <w:rPr>
                <w:sz w:val="20"/>
                <w:szCs w:val="20"/>
              </w:rPr>
              <w:t xml:space="preserve">What is the desired future state for jobseekers in your region (or nationally)? </w:t>
            </w:r>
          </w:p>
        </w:tc>
      </w:tr>
      <w:tr w:rsidR="002433ED" w:rsidRPr="005D09DC" w14:paraId="717AEDE0" w14:textId="77777777" w:rsidTr="00E4084E">
        <w:trPr>
          <w:cantSplit/>
          <w:trHeight w:val="4720"/>
          <w:tblHeader/>
        </w:trPr>
        <w:tc>
          <w:tcPr>
            <w:tcW w:w="2667" w:type="dxa"/>
            <w:shd w:val="clear" w:color="auto" w:fill="auto"/>
            <w:vAlign w:val="center"/>
          </w:tcPr>
          <w:p w14:paraId="61112CFE" w14:textId="77777777" w:rsidR="002433ED" w:rsidRPr="00747623" w:rsidRDefault="002433ED" w:rsidP="00FB3CCC">
            <w:pPr>
              <w:spacing w:line="276" w:lineRule="auto"/>
              <w:outlineLvl w:val="0"/>
              <w:rPr>
                <w:rFonts w:eastAsia="Times New Roman" w:cs="Palatino Linotype"/>
                <w:sz w:val="20"/>
                <w:szCs w:val="20"/>
              </w:rPr>
            </w:pPr>
            <w:bookmarkStart w:id="13" w:name="_Toc84951075"/>
            <w:bookmarkStart w:id="14" w:name="_Toc85030953"/>
            <w:r w:rsidRPr="00747623">
              <w:rPr>
                <w:rFonts w:eastAsia="Times New Roman" w:cs="Palatino Linotype"/>
                <w:sz w:val="20"/>
                <w:szCs w:val="20"/>
              </w:rPr>
              <w:t>Written Submissions</w:t>
            </w:r>
            <w:bookmarkEnd w:id="13"/>
            <w:bookmarkEnd w:id="14"/>
            <w:r w:rsidRPr="00747623">
              <w:rPr>
                <w:rFonts w:eastAsia="Times New Roman" w:cs="Palatino Linotype"/>
                <w:sz w:val="20"/>
                <w:szCs w:val="20"/>
              </w:rPr>
              <w:t xml:space="preserve"> </w:t>
            </w:r>
          </w:p>
        </w:tc>
        <w:tc>
          <w:tcPr>
            <w:tcW w:w="6826" w:type="dxa"/>
            <w:shd w:val="clear" w:color="auto" w:fill="auto"/>
            <w:vAlign w:val="center"/>
          </w:tcPr>
          <w:p w14:paraId="6AF7F6E5" w14:textId="5D3D6F20" w:rsidR="002433ED" w:rsidRPr="00747623" w:rsidRDefault="002433ED" w:rsidP="00981521">
            <w:pPr>
              <w:pStyle w:val="ListParagraph"/>
              <w:numPr>
                <w:ilvl w:val="0"/>
                <w:numId w:val="28"/>
              </w:numPr>
              <w:ind w:left="357" w:hanging="357"/>
              <w:contextualSpacing w:val="0"/>
              <w:textAlignment w:val="baseline"/>
              <w:rPr>
                <w:rFonts w:eastAsia="Times New Roman" w:cs="Times New Roman"/>
                <w:sz w:val="20"/>
                <w:szCs w:val="20"/>
              </w:rPr>
            </w:pPr>
            <w:r w:rsidRPr="00747623">
              <w:rPr>
                <w:rFonts w:eastAsia="Times New Roman" w:cs="Times New Roman"/>
                <w:sz w:val="20"/>
                <w:szCs w:val="20"/>
              </w:rPr>
              <w:t xml:space="preserve">How should the </w:t>
            </w:r>
            <w:r w:rsidR="002868A7" w:rsidRPr="00747623">
              <w:rPr>
                <w:rFonts w:eastAsia="Times New Roman" w:cs="Times New Roman"/>
                <w:sz w:val="20"/>
                <w:szCs w:val="20"/>
              </w:rPr>
              <w:t xml:space="preserve">ISEP </w:t>
            </w:r>
            <w:r w:rsidRPr="00747623">
              <w:rPr>
                <w:rFonts w:eastAsia="Times New Roman" w:cs="Times New Roman"/>
                <w:sz w:val="20"/>
                <w:szCs w:val="20"/>
              </w:rPr>
              <w:t>work alongside the new employment services model and the new remote engagement program to build work-ready skills and connect Aboriginal and Torres Strait Islander people to rewarding, sustainable jobs?</w:t>
            </w:r>
          </w:p>
          <w:p w14:paraId="45C79B3D" w14:textId="77777777" w:rsidR="002433ED" w:rsidRPr="00747623" w:rsidRDefault="002433ED" w:rsidP="00981521">
            <w:pPr>
              <w:pStyle w:val="ListParagraph"/>
              <w:numPr>
                <w:ilvl w:val="0"/>
                <w:numId w:val="28"/>
              </w:numPr>
              <w:ind w:left="357" w:hanging="357"/>
              <w:contextualSpacing w:val="0"/>
              <w:textAlignment w:val="baseline"/>
              <w:rPr>
                <w:rFonts w:eastAsia="Times New Roman" w:cs="Times New Roman"/>
                <w:sz w:val="20"/>
                <w:szCs w:val="20"/>
              </w:rPr>
            </w:pPr>
            <w:r w:rsidRPr="00747623">
              <w:rPr>
                <w:rFonts w:eastAsia="Times New Roman" w:cs="Times New Roman"/>
                <w:sz w:val="20"/>
                <w:szCs w:val="20"/>
              </w:rPr>
              <w:t>How could IAS investment be designed to be more flexible and responsive at the regional level, and better meet the needs of the community for Indigenous jobseekers and employers?</w:t>
            </w:r>
          </w:p>
          <w:p w14:paraId="159B4A4E" w14:textId="77777777" w:rsidR="002433ED" w:rsidRPr="00747623" w:rsidRDefault="002433ED" w:rsidP="00981521">
            <w:pPr>
              <w:pStyle w:val="ListParagraph"/>
              <w:numPr>
                <w:ilvl w:val="0"/>
                <w:numId w:val="28"/>
              </w:numPr>
              <w:ind w:left="357" w:hanging="357"/>
              <w:contextualSpacing w:val="0"/>
              <w:textAlignment w:val="baseline"/>
              <w:rPr>
                <w:rFonts w:eastAsia="Times New Roman" w:cs="Times New Roman"/>
                <w:sz w:val="20"/>
                <w:szCs w:val="20"/>
              </w:rPr>
            </w:pPr>
            <w:r w:rsidRPr="00747623">
              <w:rPr>
                <w:rFonts w:eastAsia="Times New Roman" w:cs="Times New Roman"/>
                <w:sz w:val="20"/>
                <w:szCs w:val="20"/>
              </w:rPr>
              <w:t>How should results of the new ISEP program be measures, monitored and evaluated to ensure investment contributes to closing the gap in employment outcomes?</w:t>
            </w:r>
          </w:p>
          <w:p w14:paraId="017E4F55" w14:textId="650397A1" w:rsidR="002433ED" w:rsidRPr="00747623" w:rsidRDefault="002433ED" w:rsidP="00981521">
            <w:pPr>
              <w:pStyle w:val="ListParagraph"/>
              <w:numPr>
                <w:ilvl w:val="0"/>
                <w:numId w:val="28"/>
              </w:numPr>
              <w:ind w:left="357" w:hanging="357"/>
              <w:contextualSpacing w:val="0"/>
              <w:textAlignment w:val="baseline"/>
              <w:rPr>
                <w:rFonts w:eastAsia="Times New Roman" w:cs="Times New Roman"/>
                <w:sz w:val="20"/>
                <w:szCs w:val="20"/>
              </w:rPr>
            </w:pPr>
            <w:r w:rsidRPr="00747623">
              <w:rPr>
                <w:rFonts w:eastAsia="Times New Roman" w:cs="Times New Roman"/>
                <w:sz w:val="20"/>
                <w:szCs w:val="20"/>
              </w:rPr>
              <w:t>How can we embed shared</w:t>
            </w:r>
            <w:r w:rsidR="00EA54D1" w:rsidRPr="00747623">
              <w:rPr>
                <w:rFonts w:eastAsia="Times New Roman" w:cs="Times New Roman"/>
                <w:sz w:val="20"/>
                <w:szCs w:val="20"/>
              </w:rPr>
              <w:t xml:space="preserve"> </w:t>
            </w:r>
            <w:r w:rsidRPr="00747623">
              <w:rPr>
                <w:rFonts w:eastAsia="Times New Roman" w:cs="Times New Roman"/>
                <w:sz w:val="20"/>
                <w:szCs w:val="20"/>
              </w:rPr>
              <w:t>decision</w:t>
            </w:r>
            <w:r w:rsidR="00EA54D1" w:rsidRPr="00747623">
              <w:rPr>
                <w:rFonts w:eastAsia="Times New Roman" w:cs="Times New Roman"/>
                <w:sz w:val="20"/>
                <w:szCs w:val="20"/>
              </w:rPr>
              <w:t>-</w:t>
            </w:r>
            <w:r w:rsidRPr="00747623">
              <w:rPr>
                <w:rFonts w:eastAsia="Times New Roman" w:cs="Times New Roman"/>
                <w:sz w:val="20"/>
                <w:szCs w:val="20"/>
              </w:rPr>
              <w:t>making in community-based workforce planning?</w:t>
            </w:r>
          </w:p>
          <w:p w14:paraId="65B61DCF" w14:textId="55DCF2EC" w:rsidR="002433ED" w:rsidRPr="00747623" w:rsidRDefault="002433ED" w:rsidP="00981521">
            <w:pPr>
              <w:pStyle w:val="ListParagraph"/>
              <w:numPr>
                <w:ilvl w:val="0"/>
                <w:numId w:val="28"/>
              </w:numPr>
              <w:ind w:left="357" w:hanging="357"/>
              <w:contextualSpacing w:val="0"/>
              <w:textAlignment w:val="baseline"/>
              <w:rPr>
                <w:rFonts w:eastAsia="Times New Roman" w:cs="Times New Roman"/>
                <w:sz w:val="20"/>
                <w:szCs w:val="20"/>
              </w:rPr>
            </w:pPr>
            <w:r w:rsidRPr="00747623">
              <w:rPr>
                <w:rFonts w:eastAsia="Times New Roman" w:cs="Times New Roman"/>
                <w:sz w:val="20"/>
                <w:szCs w:val="20"/>
              </w:rPr>
              <w:t>How can the ISEP encourage potential employers of Aboriginal and Torres Strait Islander people to provide safe and culturally appropriate work environments? How can employers better value the skills and perspectives of Indigenous employees?</w:t>
            </w:r>
          </w:p>
          <w:p w14:paraId="16A2754E" w14:textId="77777777" w:rsidR="002433ED" w:rsidRPr="00747623" w:rsidRDefault="002433ED" w:rsidP="00981521">
            <w:pPr>
              <w:pStyle w:val="ListParagraph"/>
              <w:numPr>
                <w:ilvl w:val="0"/>
                <w:numId w:val="28"/>
              </w:numPr>
              <w:ind w:left="357" w:hanging="357"/>
              <w:contextualSpacing w:val="0"/>
              <w:textAlignment w:val="baseline"/>
              <w:rPr>
                <w:rFonts w:eastAsia="Times New Roman" w:cs="Times New Roman"/>
                <w:sz w:val="20"/>
                <w:szCs w:val="20"/>
                <w:lang w:val="en-US"/>
              </w:rPr>
            </w:pPr>
            <w:r w:rsidRPr="00747623">
              <w:rPr>
                <w:rFonts w:eastAsia="Times New Roman" w:cs="Times New Roman"/>
                <w:sz w:val="20"/>
                <w:szCs w:val="20"/>
                <w:lang w:val="en-US" w:eastAsia="ja-JP"/>
              </w:rPr>
              <w:t>How should the ISEP consider a local focus?</w:t>
            </w:r>
          </w:p>
        </w:tc>
      </w:tr>
    </w:tbl>
    <w:p w14:paraId="1404A197" w14:textId="77777777" w:rsidR="002433ED" w:rsidRPr="005D09DC" w:rsidRDefault="002433ED" w:rsidP="002433ED"/>
    <w:p w14:paraId="10B7D109" w14:textId="32E8D8B1" w:rsidR="002433ED" w:rsidRPr="005D09DC" w:rsidRDefault="00C273ED" w:rsidP="002433ED">
      <w:r w:rsidRPr="005D09DC">
        <w:t xml:space="preserve">A thematic approach was used to consider the collected information. This </w:t>
      </w:r>
      <w:r w:rsidR="00A4263E" w:rsidRPr="005D09DC">
        <w:t>provide</w:t>
      </w:r>
      <w:r w:rsidRPr="005D09DC">
        <w:t>d</w:t>
      </w:r>
      <w:r w:rsidR="002433ED" w:rsidRPr="005D09DC">
        <w:t xml:space="preserve"> flexibility in a national </w:t>
      </w:r>
      <w:r w:rsidR="00A4263E" w:rsidRPr="005D09DC">
        <w:t>consultation</w:t>
      </w:r>
      <w:r w:rsidR="002433ED" w:rsidRPr="005D09DC">
        <w:t xml:space="preserve"> </w:t>
      </w:r>
      <w:r w:rsidR="00A4263E" w:rsidRPr="005D09DC">
        <w:t xml:space="preserve">to </w:t>
      </w:r>
      <w:r w:rsidRPr="005D09DC">
        <w:t xml:space="preserve">allow for the inclusion of </w:t>
      </w:r>
      <w:r w:rsidR="002433ED" w:rsidRPr="005D09DC">
        <w:t xml:space="preserve">findings and insights </w:t>
      </w:r>
      <w:r w:rsidR="00A4263E" w:rsidRPr="005D09DC">
        <w:t>from particular</w:t>
      </w:r>
      <w:r w:rsidR="002433ED" w:rsidRPr="005D09DC">
        <w:t xml:space="preserve"> geographic areas. All major themes, findings and insights were cross-checked using separate research teams to ensure consistency. The </w:t>
      </w:r>
      <w:r w:rsidR="00A4263E" w:rsidRPr="005D09DC">
        <w:t>information</w:t>
      </w:r>
      <w:r w:rsidR="002433ED" w:rsidRPr="005D09DC">
        <w:t xml:space="preserve"> </w:t>
      </w:r>
      <w:r w:rsidR="00A4263E" w:rsidRPr="005D09DC">
        <w:t xml:space="preserve">collected from </w:t>
      </w:r>
      <w:r w:rsidR="002433ED" w:rsidRPr="005D09DC">
        <w:t xml:space="preserve">written submissions was </w:t>
      </w:r>
      <w:r w:rsidR="00A4263E" w:rsidRPr="005D09DC">
        <w:t>first</w:t>
      </w:r>
      <w:r w:rsidR="002433ED" w:rsidRPr="005D09DC">
        <w:t xml:space="preserve"> </w:t>
      </w:r>
      <w:r w:rsidR="00556262" w:rsidRPr="005D09DC">
        <w:t xml:space="preserve">coded and </w:t>
      </w:r>
      <w:r w:rsidR="002433ED" w:rsidRPr="005D09DC">
        <w:t xml:space="preserve">organised using </w:t>
      </w:r>
      <w:r w:rsidR="00556262" w:rsidRPr="005D09DC">
        <w:t xml:space="preserve">an </w:t>
      </w:r>
      <w:r w:rsidR="002433ED" w:rsidRPr="005D09DC">
        <w:t xml:space="preserve">analysis software </w:t>
      </w:r>
      <w:r w:rsidR="00556262" w:rsidRPr="005D09DC">
        <w:t>program</w:t>
      </w:r>
      <w:r w:rsidR="002433ED" w:rsidRPr="005D09DC">
        <w:t xml:space="preserve">. Submissions were read </w:t>
      </w:r>
      <w:r w:rsidR="00556262" w:rsidRPr="005D09DC">
        <w:t>several</w:t>
      </w:r>
      <w:r w:rsidR="002433ED" w:rsidRPr="005D09DC">
        <w:t xml:space="preserve"> times and coded </w:t>
      </w:r>
      <w:r w:rsidR="00556262" w:rsidRPr="005D09DC">
        <w:t>against</w:t>
      </w:r>
      <w:r w:rsidR="002433ED" w:rsidRPr="005D09DC">
        <w:t xml:space="preserve"> the six Discussion Questions and also to include insights from responses </w:t>
      </w:r>
      <w:r w:rsidR="00556262" w:rsidRPr="005D09DC">
        <w:t xml:space="preserve">that were </w:t>
      </w:r>
      <w:r w:rsidR="002433ED" w:rsidRPr="005D09DC">
        <w:t xml:space="preserve">outside the question </w:t>
      </w:r>
      <w:r w:rsidR="00556262" w:rsidRPr="005D09DC">
        <w:t>reach</w:t>
      </w:r>
      <w:r w:rsidR="002433ED" w:rsidRPr="005D09DC">
        <w:t xml:space="preserve">. Across </w:t>
      </w:r>
      <w:r w:rsidR="00556262" w:rsidRPr="005D09DC">
        <w:t>all the information collected</w:t>
      </w:r>
      <w:r w:rsidR="002433ED" w:rsidRPr="005D09DC">
        <w:t xml:space="preserve">, </w:t>
      </w:r>
      <w:r w:rsidR="00556262" w:rsidRPr="005D09DC">
        <w:t xml:space="preserve">the </w:t>
      </w:r>
      <w:r w:rsidR="002433ED" w:rsidRPr="005D09DC">
        <w:t xml:space="preserve">themes, findings, and insights </w:t>
      </w:r>
      <w:r w:rsidR="00556262" w:rsidRPr="005D09DC">
        <w:t xml:space="preserve">identified </w:t>
      </w:r>
      <w:r w:rsidR="002433ED" w:rsidRPr="005D09DC">
        <w:t xml:space="preserve">were </w:t>
      </w:r>
      <w:r w:rsidR="00556262" w:rsidRPr="005D09DC">
        <w:t>double</w:t>
      </w:r>
      <w:r w:rsidR="002433ED" w:rsidRPr="005D09DC">
        <w:t xml:space="preserve">-checked to </w:t>
      </w:r>
      <w:r w:rsidR="00556262" w:rsidRPr="005D09DC">
        <w:t xml:space="preserve">make sure they were consistent. </w:t>
      </w:r>
    </w:p>
    <w:p w14:paraId="76DAFC11" w14:textId="77777777" w:rsidR="002433ED" w:rsidRPr="005D09DC" w:rsidRDefault="002433ED" w:rsidP="002433ED"/>
    <w:p w14:paraId="4A05020D" w14:textId="181586DF" w:rsidR="002433ED" w:rsidRPr="005D09DC" w:rsidRDefault="002433ED" w:rsidP="006727BF">
      <w:pPr>
        <w:pStyle w:val="Heading2"/>
      </w:pPr>
      <w:bookmarkStart w:id="15" w:name="_Toc85030954"/>
      <w:r w:rsidRPr="005D09DC">
        <w:t>Limitations</w:t>
      </w:r>
      <w:bookmarkEnd w:id="15"/>
    </w:p>
    <w:p w14:paraId="74881CAF" w14:textId="04F4C3FF" w:rsidR="006359DF" w:rsidRPr="005D09DC" w:rsidRDefault="00556262" w:rsidP="002433ED">
      <w:r w:rsidRPr="005D09DC">
        <w:t>The</w:t>
      </w:r>
      <w:r w:rsidR="006359DF" w:rsidRPr="005D09DC">
        <w:t xml:space="preserve"> following</w:t>
      </w:r>
      <w:r w:rsidRPr="005D09DC">
        <w:t xml:space="preserve"> limitations </w:t>
      </w:r>
      <w:r w:rsidR="006359DF" w:rsidRPr="005D09DC">
        <w:t xml:space="preserve">affected </w:t>
      </w:r>
      <w:r w:rsidRPr="005D09DC">
        <w:t xml:space="preserve">collection </w:t>
      </w:r>
      <w:r w:rsidR="006359DF" w:rsidRPr="005D09DC">
        <w:t xml:space="preserve">of </w:t>
      </w:r>
      <w:r w:rsidRPr="005D09DC">
        <w:t>feedback from</w:t>
      </w:r>
      <w:r w:rsidR="006359DF" w:rsidRPr="005D09DC">
        <w:t xml:space="preserve"> Roundtable and Town Hall meeting</w:t>
      </w:r>
      <w:r w:rsidR="008A258A" w:rsidRPr="005D09DC">
        <w:t>s</w:t>
      </w:r>
      <w:r w:rsidR="006359DF" w:rsidRPr="005D09DC">
        <w:t>:</w:t>
      </w:r>
      <w:r w:rsidR="002433ED" w:rsidRPr="005D09DC">
        <w:t xml:space="preserve"> </w:t>
      </w:r>
    </w:p>
    <w:p w14:paraId="507D93EE" w14:textId="363A3753" w:rsidR="006359DF" w:rsidRPr="005D09DC" w:rsidRDefault="002433ED" w:rsidP="006359DF">
      <w:pPr>
        <w:pStyle w:val="ListParagraph"/>
        <w:numPr>
          <w:ilvl w:val="0"/>
          <w:numId w:val="80"/>
        </w:numPr>
      </w:pPr>
      <w:r w:rsidRPr="005D09DC">
        <w:t>COVID-19 restriction</w:t>
      </w:r>
      <w:r w:rsidR="006359DF" w:rsidRPr="005D09DC">
        <w:t>s.</w:t>
      </w:r>
    </w:p>
    <w:p w14:paraId="25EB4198" w14:textId="73CE6874" w:rsidR="006359DF" w:rsidRPr="005D09DC" w:rsidRDefault="006359DF" w:rsidP="006359DF">
      <w:pPr>
        <w:pStyle w:val="ListParagraph"/>
        <w:numPr>
          <w:ilvl w:val="0"/>
          <w:numId w:val="80"/>
        </w:numPr>
      </w:pPr>
      <w:r w:rsidRPr="005D09DC">
        <w:t>T</w:t>
      </w:r>
      <w:r w:rsidR="002433ED" w:rsidRPr="005D09DC">
        <w:t>echnical difficulties</w:t>
      </w:r>
      <w:r w:rsidRPr="005D09DC">
        <w:t xml:space="preserve"> affecting online activities.</w:t>
      </w:r>
      <w:r w:rsidR="002433ED" w:rsidRPr="005D09DC">
        <w:t xml:space="preserve"> </w:t>
      </w:r>
    </w:p>
    <w:p w14:paraId="543179C3" w14:textId="5D88F7A5" w:rsidR="006359DF" w:rsidRPr="005D09DC" w:rsidRDefault="006359DF" w:rsidP="006359DF">
      <w:pPr>
        <w:pStyle w:val="ListParagraph"/>
        <w:numPr>
          <w:ilvl w:val="0"/>
          <w:numId w:val="80"/>
        </w:numPr>
      </w:pPr>
      <w:r w:rsidRPr="005D09DC">
        <w:t>Reluctance of s</w:t>
      </w:r>
      <w:r w:rsidR="002433ED" w:rsidRPr="005D09DC">
        <w:t xml:space="preserve">ome participants to </w:t>
      </w:r>
      <w:r w:rsidRPr="005D09DC">
        <w:t xml:space="preserve">“speak for” </w:t>
      </w:r>
      <w:r w:rsidR="002433ED" w:rsidRPr="005D09DC">
        <w:t>Indigenous jobseekers</w:t>
      </w:r>
      <w:r w:rsidRPr="005D09DC">
        <w:t>.</w:t>
      </w:r>
      <w:r w:rsidR="002433ED" w:rsidRPr="005D09DC">
        <w:t xml:space="preserve"> </w:t>
      </w:r>
    </w:p>
    <w:p w14:paraId="3D2C7986" w14:textId="4715DD10" w:rsidR="002433ED" w:rsidRPr="005D09DC" w:rsidRDefault="006359DF" w:rsidP="001A5D81">
      <w:pPr>
        <w:pStyle w:val="ListParagraph"/>
        <w:numPr>
          <w:ilvl w:val="0"/>
          <w:numId w:val="80"/>
        </w:numPr>
      </w:pPr>
      <w:r w:rsidRPr="005D09DC">
        <w:t>The</w:t>
      </w:r>
      <w:r w:rsidR="002433ED" w:rsidRPr="005D09DC">
        <w:t xml:space="preserve"> need </w:t>
      </w:r>
      <w:r w:rsidRPr="005D09DC">
        <w:t xml:space="preserve">for flexibility in structuring </w:t>
      </w:r>
      <w:r w:rsidR="002433ED" w:rsidRPr="005D09DC">
        <w:t xml:space="preserve">roundtable questions to ensure </w:t>
      </w:r>
      <w:r w:rsidR="00556262" w:rsidRPr="005D09DC">
        <w:t>what was being asked w</w:t>
      </w:r>
      <w:r w:rsidR="007B5649" w:rsidRPr="005D09DC">
        <w:t>a</w:t>
      </w:r>
      <w:r w:rsidR="00556262" w:rsidRPr="005D09DC">
        <w:t xml:space="preserve">s clear for </w:t>
      </w:r>
      <w:r w:rsidRPr="005D09DC">
        <w:t>participants</w:t>
      </w:r>
      <w:r w:rsidR="002433ED" w:rsidRPr="005D09DC">
        <w:t>.</w:t>
      </w:r>
    </w:p>
    <w:p w14:paraId="6E3EEA7C" w14:textId="77777777" w:rsidR="002433ED" w:rsidRPr="005D09DC" w:rsidRDefault="002433ED" w:rsidP="002433ED"/>
    <w:p w14:paraId="45EA36F7" w14:textId="77777777" w:rsidR="007B5649" w:rsidRPr="005D09DC" w:rsidRDefault="007B5649">
      <w:pPr>
        <w:rPr>
          <w:b/>
          <w:bCs/>
          <w:color w:val="1E9995"/>
        </w:rPr>
      </w:pPr>
      <w:r w:rsidRPr="005D09DC">
        <w:rPr>
          <w:b/>
          <w:bCs/>
          <w:color w:val="1E9995"/>
        </w:rPr>
        <w:br w:type="page"/>
      </w:r>
    </w:p>
    <w:p w14:paraId="7EB68AF5" w14:textId="5F25BDAB" w:rsidR="002433ED" w:rsidRPr="005D09DC" w:rsidRDefault="002433ED" w:rsidP="006727BF">
      <w:pPr>
        <w:pStyle w:val="Heading2"/>
      </w:pPr>
      <w:bookmarkStart w:id="16" w:name="_Toc85030955"/>
      <w:r w:rsidRPr="005D09DC">
        <w:t>Findings and Insights</w:t>
      </w:r>
      <w:bookmarkEnd w:id="16"/>
    </w:p>
    <w:p w14:paraId="3BFDD935" w14:textId="0D262045" w:rsidR="002433ED" w:rsidRPr="005D09DC" w:rsidRDefault="007B0E96" w:rsidP="002433ED">
      <w:r w:rsidRPr="005D09DC">
        <w:t>Key</w:t>
      </w:r>
      <w:r w:rsidR="002433ED" w:rsidRPr="005D09DC">
        <w:t xml:space="preserve"> insights </w:t>
      </w:r>
      <w:r w:rsidRPr="005D09DC">
        <w:t xml:space="preserve">from the consultation findings </w:t>
      </w:r>
      <w:r w:rsidR="002433ED" w:rsidRPr="005D09DC">
        <w:t xml:space="preserve">are </w:t>
      </w:r>
      <w:r w:rsidRPr="005D09DC">
        <w:t xml:space="preserve">set out </w:t>
      </w:r>
      <w:r w:rsidR="002433ED" w:rsidRPr="005D09DC">
        <w:t>below</w:t>
      </w:r>
      <w:r w:rsidR="00F04E08" w:rsidRPr="005D09DC">
        <w:t>, organised by key themes:</w:t>
      </w:r>
    </w:p>
    <w:p w14:paraId="0EC43C5A" w14:textId="77777777" w:rsidR="00BF7422" w:rsidRDefault="00BF7422" w:rsidP="00BF7422">
      <w:pPr>
        <w:spacing w:after="120"/>
        <w:rPr>
          <w:b/>
          <w:i/>
          <w:iCs/>
          <w:color w:val="595959" w:themeColor="text1" w:themeTint="A6"/>
        </w:rPr>
      </w:pPr>
    </w:p>
    <w:p w14:paraId="047F847D" w14:textId="5D9741CD" w:rsidR="00BF7422" w:rsidRPr="0093006A" w:rsidRDefault="00BF7422" w:rsidP="00BF7422">
      <w:pPr>
        <w:spacing w:after="120"/>
        <w:rPr>
          <w:b/>
          <w:i/>
          <w:iCs/>
          <w:color w:val="595959" w:themeColor="text1" w:themeTint="A6"/>
        </w:rPr>
      </w:pPr>
      <w:r w:rsidRPr="0093006A">
        <w:rPr>
          <w:b/>
          <w:i/>
          <w:iCs/>
          <w:color w:val="595959" w:themeColor="text1" w:themeTint="A6"/>
        </w:rPr>
        <w:t>Addressing barriers</w:t>
      </w:r>
    </w:p>
    <w:p w14:paraId="2B0A55B3" w14:textId="77777777" w:rsidR="00BF7422" w:rsidRPr="0093006A" w:rsidRDefault="00BF7422" w:rsidP="00BF7422">
      <w:pPr>
        <w:spacing w:after="120"/>
        <w:textDirection w:val="btLr"/>
        <w:rPr>
          <w:b/>
          <w:color w:val="595959" w:themeColor="text1" w:themeTint="A6"/>
          <w:sz w:val="24"/>
          <w:szCs w:val="24"/>
        </w:rPr>
      </w:pPr>
      <w:r w:rsidRPr="0093006A">
        <w:rPr>
          <w:b/>
          <w:color w:val="595959" w:themeColor="text1" w:themeTint="A6"/>
          <w:sz w:val="24"/>
          <w:szCs w:val="24"/>
        </w:rPr>
        <w:t xml:space="preserve">Insight 1: </w:t>
      </w:r>
    </w:p>
    <w:p w14:paraId="468686E6" w14:textId="77777777" w:rsidR="00BF7422" w:rsidRPr="0093006A" w:rsidRDefault="00BF7422" w:rsidP="00BF7422">
      <w:pPr>
        <w:spacing w:after="120"/>
        <w:textDirection w:val="btLr"/>
        <w:rPr>
          <w:b/>
          <w:color w:val="595959" w:themeColor="text1" w:themeTint="A6"/>
          <w:sz w:val="24"/>
          <w:szCs w:val="24"/>
        </w:rPr>
      </w:pPr>
      <w:r w:rsidRPr="0093006A">
        <w:rPr>
          <w:b/>
          <w:color w:val="595959" w:themeColor="text1" w:themeTint="A6"/>
          <w:sz w:val="24"/>
          <w:szCs w:val="24"/>
        </w:rPr>
        <w:t xml:space="preserve">Addressing social barriers experienced by Indigenous jobseekers and employees is a strong determinant of long-term successful careers </w:t>
      </w:r>
    </w:p>
    <w:p w14:paraId="31F1FB59" w14:textId="77777777" w:rsidR="00BF7422" w:rsidRPr="0093006A" w:rsidRDefault="00BF7422" w:rsidP="00BF7422">
      <w:pPr>
        <w:spacing w:after="120"/>
        <w:textDirection w:val="btLr"/>
        <w:rPr>
          <w:bCs/>
          <w:color w:val="595959" w:themeColor="text1" w:themeTint="A6"/>
          <w:sz w:val="24"/>
          <w:szCs w:val="24"/>
        </w:rPr>
      </w:pPr>
      <w:r w:rsidRPr="0093006A">
        <w:rPr>
          <w:color w:val="595959" w:themeColor="text1" w:themeTint="A6"/>
        </w:rPr>
        <w:t>There is a set of key social barriers that exist across geographic locations that act as significant barriers to employment and retention for Indigenous Australians, in line with the recognised social determinants of health. These social barriers are foundational and should be addressed in parallel with employment-specific program design</w:t>
      </w:r>
      <w:r w:rsidRPr="0093006A">
        <w:rPr>
          <w:bCs/>
          <w:color w:val="595959" w:themeColor="text1" w:themeTint="A6"/>
          <w:sz w:val="24"/>
          <w:szCs w:val="24"/>
        </w:rPr>
        <w:t>.</w:t>
      </w:r>
    </w:p>
    <w:p w14:paraId="2B445E59" w14:textId="77777777" w:rsidR="00BF7422" w:rsidRPr="0093006A" w:rsidRDefault="00BF7422" w:rsidP="00BF7422">
      <w:pPr>
        <w:spacing w:after="120"/>
        <w:textDirection w:val="btLr"/>
        <w:rPr>
          <w:b/>
          <w:bCs/>
          <w:color w:val="595959" w:themeColor="text1" w:themeTint="A6"/>
          <w:sz w:val="24"/>
          <w:szCs w:val="24"/>
        </w:rPr>
      </w:pPr>
      <w:r w:rsidRPr="0093006A">
        <w:rPr>
          <w:b/>
          <w:color w:val="595959" w:themeColor="text1" w:themeTint="A6"/>
          <w:sz w:val="24"/>
          <w:szCs w:val="24"/>
        </w:rPr>
        <w:t xml:space="preserve">Insight 2: </w:t>
      </w:r>
      <w:r w:rsidRPr="0093006A">
        <w:rPr>
          <w:b/>
          <w:bCs/>
          <w:color w:val="595959" w:themeColor="text1" w:themeTint="A6"/>
          <w:sz w:val="24"/>
          <w:szCs w:val="24"/>
        </w:rPr>
        <w:t xml:space="preserve">The ISEP should aim to address entrenched or ‘wicked’ problems that continue to create Indigenous employment barriers in locally specific ways </w:t>
      </w:r>
    </w:p>
    <w:p w14:paraId="78E44E13" w14:textId="77777777" w:rsidR="00BF7422" w:rsidRPr="0093006A" w:rsidRDefault="00BF7422" w:rsidP="00BF7422">
      <w:pPr>
        <w:spacing w:after="120"/>
        <w:rPr>
          <w:b/>
          <w:bCs/>
          <w:color w:val="595959" w:themeColor="text1" w:themeTint="A6"/>
        </w:rPr>
      </w:pPr>
      <w:r w:rsidRPr="0093006A">
        <w:rPr>
          <w:color w:val="595959" w:themeColor="text1" w:themeTint="A6"/>
        </w:rPr>
        <w:t>Part of the ISEP design could include innovative approaches to long standing problems facing Indigenous jobseekers. Such approaches could be developed within the specific contexts of local Indigenous communities, and in collaboration with and through co-design solutions involving Aboriginal Community Controlled Organisations (ACCOs) and other community representatives.</w:t>
      </w:r>
    </w:p>
    <w:p w14:paraId="6994359F" w14:textId="77777777" w:rsidR="00BF7422" w:rsidRPr="0093006A" w:rsidRDefault="00BF7422" w:rsidP="00BF7422">
      <w:pPr>
        <w:spacing w:after="120"/>
        <w:textDirection w:val="btLr"/>
        <w:rPr>
          <w:color w:val="595959" w:themeColor="text1" w:themeTint="A6"/>
        </w:rPr>
      </w:pPr>
    </w:p>
    <w:p w14:paraId="75DA0560" w14:textId="77777777" w:rsidR="00BF7422" w:rsidRPr="0093006A" w:rsidRDefault="00BF7422" w:rsidP="00BF7422">
      <w:pPr>
        <w:spacing w:after="120"/>
        <w:rPr>
          <w:b/>
          <w:bCs/>
          <w:i/>
          <w:iCs/>
          <w:color w:val="595959" w:themeColor="text1" w:themeTint="A6"/>
        </w:rPr>
      </w:pPr>
      <w:r w:rsidRPr="0093006A">
        <w:rPr>
          <w:b/>
          <w:bCs/>
          <w:i/>
          <w:iCs/>
          <w:color w:val="595959" w:themeColor="text1" w:themeTint="A6"/>
        </w:rPr>
        <w:t>Place-based approach</w:t>
      </w:r>
    </w:p>
    <w:p w14:paraId="480D344D" w14:textId="77777777" w:rsidR="00BF7422" w:rsidRPr="0093006A" w:rsidRDefault="00BF7422" w:rsidP="00BF7422">
      <w:pPr>
        <w:spacing w:after="120"/>
        <w:textDirection w:val="btLr"/>
        <w:rPr>
          <w:color w:val="595959" w:themeColor="text1" w:themeTint="A6"/>
          <w:sz w:val="24"/>
          <w:szCs w:val="24"/>
        </w:rPr>
      </w:pPr>
      <w:r w:rsidRPr="0093006A">
        <w:rPr>
          <w:b/>
          <w:color w:val="595959" w:themeColor="text1" w:themeTint="A6"/>
          <w:sz w:val="24"/>
          <w:szCs w:val="24"/>
        </w:rPr>
        <w:t>Insight 4: The ISEP should be flexible, place-based, community-led and client-focused.</w:t>
      </w:r>
    </w:p>
    <w:p w14:paraId="3D9C54B3" w14:textId="77777777" w:rsidR="00BF7422" w:rsidRPr="0093006A" w:rsidRDefault="00BF7422" w:rsidP="00BF7422">
      <w:pPr>
        <w:spacing w:after="120"/>
        <w:rPr>
          <w:b/>
          <w:bCs/>
          <w:color w:val="595959" w:themeColor="text1" w:themeTint="A6"/>
        </w:rPr>
      </w:pPr>
      <w:r w:rsidRPr="0093006A">
        <w:rPr>
          <w:color w:val="595959" w:themeColor="text1" w:themeTint="A6"/>
        </w:rPr>
        <w:t xml:space="preserve">The ISEP should be flexible, support local approaches, and avoid ‘one size fits all’ funding arrangements. Within the context of the </w:t>
      </w:r>
      <w:r w:rsidRPr="0093006A">
        <w:rPr>
          <w:i/>
          <w:iCs/>
          <w:color w:val="595959" w:themeColor="text1" w:themeTint="A6"/>
        </w:rPr>
        <w:t>National Agreement on Closing the Gap</w:t>
      </w:r>
      <w:r w:rsidRPr="0093006A">
        <w:rPr>
          <w:color w:val="595959" w:themeColor="text1" w:themeTint="A6"/>
        </w:rPr>
        <w:t>, participants emphasised the importance of NIAA undertaking collaboration on community-led and -designed solutions to achieve outcomes for Indigenous jobseekers appropriate to specific cultural and regional contexts.</w:t>
      </w:r>
    </w:p>
    <w:p w14:paraId="316A31FE" w14:textId="77777777" w:rsidR="00BF7422" w:rsidRPr="0093006A" w:rsidRDefault="00BF7422" w:rsidP="00BF7422">
      <w:pPr>
        <w:spacing w:after="120"/>
        <w:rPr>
          <w:b/>
          <w:bCs/>
          <w:color w:val="595959" w:themeColor="text1" w:themeTint="A6"/>
        </w:rPr>
      </w:pPr>
      <w:r w:rsidRPr="0093006A">
        <w:rPr>
          <w:b/>
          <w:color w:val="595959" w:themeColor="text1" w:themeTint="A6"/>
          <w:sz w:val="24"/>
          <w:szCs w:val="24"/>
        </w:rPr>
        <w:t xml:space="preserve">Insight 5: </w:t>
      </w:r>
      <w:r w:rsidRPr="0093006A">
        <w:rPr>
          <w:b/>
          <w:bCs/>
          <w:color w:val="595959" w:themeColor="text1" w:themeTint="A6"/>
          <w:sz w:val="24"/>
          <w:szCs w:val="24"/>
        </w:rPr>
        <w:t>The ISEP should promote local, place-based training that is reflective of specific social, cultural, and economic characteristics of the regions</w:t>
      </w:r>
      <w:r w:rsidRPr="0093006A">
        <w:rPr>
          <w:color w:val="595959" w:themeColor="text1" w:themeTint="A6"/>
        </w:rPr>
        <w:t xml:space="preserve"> </w:t>
      </w:r>
    </w:p>
    <w:p w14:paraId="520CA461" w14:textId="77777777" w:rsidR="00BF7422" w:rsidRPr="0093006A" w:rsidRDefault="00BF7422" w:rsidP="00BF7422">
      <w:pPr>
        <w:spacing w:after="120"/>
        <w:rPr>
          <w:b/>
          <w:bCs/>
          <w:color w:val="595959" w:themeColor="text1" w:themeTint="A6"/>
        </w:rPr>
      </w:pPr>
      <w:r w:rsidRPr="0093006A">
        <w:rPr>
          <w:color w:val="595959" w:themeColor="text1" w:themeTint="A6"/>
        </w:rPr>
        <w:t>Employment programs under the ISEP should incorporate culturally specific training and education pathways that reflect the community in which they are based. This includes flexibility around how services are delivered, linkages to employment opportunities in the region,  support services delivered in language appropriate to the community, and increased funding to provide ongoing assistance beyond the current standard of 26-weeks.</w:t>
      </w:r>
    </w:p>
    <w:p w14:paraId="4A0B058A" w14:textId="77777777" w:rsidR="00BF7422" w:rsidRPr="0093006A" w:rsidRDefault="00BF7422" w:rsidP="00BF7422">
      <w:pPr>
        <w:spacing w:after="120"/>
        <w:textDirection w:val="btLr"/>
        <w:rPr>
          <w:color w:val="595959" w:themeColor="text1" w:themeTint="A6"/>
          <w:sz w:val="24"/>
          <w:szCs w:val="24"/>
        </w:rPr>
      </w:pPr>
      <w:r w:rsidRPr="0093006A">
        <w:rPr>
          <w:b/>
          <w:color w:val="595959" w:themeColor="text1" w:themeTint="A6"/>
          <w:sz w:val="24"/>
          <w:szCs w:val="24"/>
        </w:rPr>
        <w:t>Insight 7: The ISEP should recognise that structural challenges exist in remote communities that impede the growth of local jobs markets.</w:t>
      </w:r>
    </w:p>
    <w:p w14:paraId="23E052FB" w14:textId="77777777" w:rsidR="00BF7422" w:rsidRPr="0093006A" w:rsidRDefault="00BF7422" w:rsidP="00BF7422">
      <w:pPr>
        <w:spacing w:after="120"/>
        <w:rPr>
          <w:b/>
          <w:bCs/>
          <w:color w:val="595959" w:themeColor="text1" w:themeTint="A6"/>
        </w:rPr>
      </w:pPr>
      <w:r w:rsidRPr="0093006A">
        <w:rPr>
          <w:color w:val="595959" w:themeColor="text1" w:themeTint="A6"/>
        </w:rPr>
        <w:t>Some remote communities may lack a genuine local economy. A responsive, flexibly designed ISEP that allows for local solutions could address these structural challenges in innovative ways that are community led and supported by industry and government.</w:t>
      </w:r>
    </w:p>
    <w:p w14:paraId="6FDC2479" w14:textId="77777777" w:rsidR="00BF7422" w:rsidRPr="0093006A" w:rsidRDefault="00BF7422" w:rsidP="00BF7422">
      <w:pPr>
        <w:spacing w:after="120"/>
        <w:textDirection w:val="btLr"/>
        <w:rPr>
          <w:b/>
          <w:bCs/>
          <w:i/>
          <w:iCs/>
          <w:color w:val="595959" w:themeColor="text1" w:themeTint="A6"/>
        </w:rPr>
      </w:pPr>
    </w:p>
    <w:p w14:paraId="6B70261F" w14:textId="77777777" w:rsidR="00BF7422" w:rsidRPr="0093006A" w:rsidRDefault="00BF7422" w:rsidP="00BF7422">
      <w:pPr>
        <w:spacing w:after="120"/>
        <w:textDirection w:val="btLr"/>
        <w:rPr>
          <w:b/>
          <w:bCs/>
          <w:i/>
          <w:iCs/>
          <w:color w:val="595959" w:themeColor="text1" w:themeTint="A6"/>
        </w:rPr>
      </w:pPr>
    </w:p>
    <w:p w14:paraId="48737051" w14:textId="77777777" w:rsidR="00BF7422" w:rsidRPr="0093006A" w:rsidRDefault="00BF7422" w:rsidP="00BF7422">
      <w:pPr>
        <w:spacing w:after="120"/>
        <w:textDirection w:val="btLr"/>
        <w:rPr>
          <w:b/>
          <w:bCs/>
          <w:i/>
          <w:iCs/>
          <w:color w:val="595959" w:themeColor="text1" w:themeTint="A6"/>
        </w:rPr>
      </w:pPr>
      <w:r w:rsidRPr="0093006A">
        <w:rPr>
          <w:b/>
          <w:bCs/>
          <w:i/>
          <w:iCs/>
          <w:color w:val="595959" w:themeColor="text1" w:themeTint="A6"/>
        </w:rPr>
        <w:t xml:space="preserve">Co-designed and community-led approaches </w:t>
      </w:r>
    </w:p>
    <w:p w14:paraId="0FA8B36A" w14:textId="77777777" w:rsidR="00BF7422" w:rsidRPr="0093006A" w:rsidRDefault="00BF7422" w:rsidP="00BF7422">
      <w:pPr>
        <w:spacing w:after="120"/>
        <w:textDirection w:val="btLr"/>
        <w:rPr>
          <w:color w:val="595959" w:themeColor="text1" w:themeTint="A6"/>
          <w:sz w:val="24"/>
          <w:szCs w:val="24"/>
        </w:rPr>
      </w:pPr>
      <w:r w:rsidRPr="0093006A">
        <w:rPr>
          <w:b/>
          <w:color w:val="595959" w:themeColor="text1" w:themeTint="A6"/>
          <w:sz w:val="24"/>
          <w:szCs w:val="24"/>
        </w:rPr>
        <w:t>Insight 10: The ISEP design and implementation should include Indigenous Australians and communities as co-designers and partners in specific local contexts.</w:t>
      </w:r>
    </w:p>
    <w:p w14:paraId="55F790C5" w14:textId="77777777" w:rsidR="00BF7422" w:rsidRPr="0093006A" w:rsidRDefault="00BF7422" w:rsidP="00BF7422">
      <w:pPr>
        <w:spacing w:after="120"/>
        <w:textDirection w:val="btLr"/>
        <w:rPr>
          <w:color w:val="595959" w:themeColor="text1" w:themeTint="A6"/>
        </w:rPr>
      </w:pPr>
      <w:r w:rsidRPr="0093006A">
        <w:rPr>
          <w:color w:val="595959" w:themeColor="text1" w:themeTint="A6"/>
        </w:rPr>
        <w:t>For the ISEP to achieve success, Indigenous Australians and organisations need to be in deep collaboration with government and decision-makers at the local level. Increased funding for ongoing service provision that recognises local and cultural contexts regarding employment, training and relationships between industry and government was considered vital by stakeholders.</w:t>
      </w:r>
    </w:p>
    <w:p w14:paraId="1579B64D" w14:textId="77777777" w:rsidR="00BF7422" w:rsidRPr="0093006A" w:rsidRDefault="00BF7422" w:rsidP="00BF7422">
      <w:pPr>
        <w:spacing w:after="120"/>
        <w:textDirection w:val="btLr"/>
        <w:rPr>
          <w:b/>
          <w:bCs/>
          <w:color w:val="595959" w:themeColor="text1" w:themeTint="A6"/>
        </w:rPr>
      </w:pPr>
      <w:r w:rsidRPr="0093006A">
        <w:rPr>
          <w:b/>
          <w:color w:val="595959" w:themeColor="text1" w:themeTint="A6"/>
          <w:sz w:val="24"/>
          <w:szCs w:val="24"/>
        </w:rPr>
        <w:t xml:space="preserve">Insight 3: </w:t>
      </w:r>
      <w:r w:rsidRPr="0093006A">
        <w:rPr>
          <w:b/>
          <w:bCs/>
          <w:color w:val="595959" w:themeColor="text1" w:themeTint="A6"/>
          <w:sz w:val="24"/>
          <w:szCs w:val="24"/>
        </w:rPr>
        <w:t>The ISEP should be flexible, designed from the community-level up and able to respond to regional needs</w:t>
      </w:r>
      <w:r w:rsidRPr="0093006A">
        <w:rPr>
          <w:color w:val="595959" w:themeColor="text1" w:themeTint="A6"/>
        </w:rPr>
        <w:t xml:space="preserve"> </w:t>
      </w:r>
    </w:p>
    <w:p w14:paraId="79536E8D" w14:textId="77777777" w:rsidR="00BF7422" w:rsidRPr="0093006A" w:rsidRDefault="00BF7422" w:rsidP="00BF7422">
      <w:pPr>
        <w:spacing w:after="120"/>
        <w:rPr>
          <w:b/>
          <w:bCs/>
          <w:color w:val="595959" w:themeColor="text1" w:themeTint="A6"/>
        </w:rPr>
      </w:pPr>
      <w:r w:rsidRPr="0093006A">
        <w:rPr>
          <w:color w:val="595959" w:themeColor="text1" w:themeTint="A6"/>
        </w:rPr>
        <w:t>Allowing for greater flexibility in program design to support local and regional solutions designed with and by Indigenous communities is essential in addressing impediments to Indigenous employment. The ISEP should allow for the ability to incorporate collaborative approaches to provide supports at the local level for Indigenous jobseekers, and for issues pertinent to specific regions – including key cohorts that need extra assistance – to be addressed in collaboration with ACCOs, government and employers to ensure local solutions are created and supported.</w:t>
      </w:r>
    </w:p>
    <w:p w14:paraId="10C51B79" w14:textId="77777777" w:rsidR="00BF7422" w:rsidRPr="0093006A" w:rsidRDefault="00BF7422" w:rsidP="00BF7422">
      <w:pPr>
        <w:spacing w:after="120"/>
        <w:textDirection w:val="btLr"/>
        <w:rPr>
          <w:color w:val="595959" w:themeColor="text1" w:themeTint="A6"/>
          <w:sz w:val="24"/>
          <w:szCs w:val="24"/>
        </w:rPr>
      </w:pPr>
      <w:r w:rsidRPr="0093006A">
        <w:rPr>
          <w:b/>
          <w:color w:val="595959" w:themeColor="text1" w:themeTint="A6"/>
          <w:sz w:val="24"/>
          <w:szCs w:val="24"/>
        </w:rPr>
        <w:t>Insight 15: Indigenous community-led definitions of local viewed as key to the ISEP success.</w:t>
      </w:r>
    </w:p>
    <w:p w14:paraId="74BBBB5C" w14:textId="77777777" w:rsidR="00BF7422" w:rsidRPr="0093006A" w:rsidRDefault="00BF7422" w:rsidP="00BF7422">
      <w:pPr>
        <w:spacing w:after="120"/>
        <w:textDirection w:val="btLr"/>
        <w:rPr>
          <w:color w:val="595959" w:themeColor="text1" w:themeTint="A6"/>
        </w:rPr>
      </w:pPr>
      <w:r w:rsidRPr="0093006A">
        <w:rPr>
          <w:color w:val="595959" w:themeColor="text1" w:themeTint="A6"/>
        </w:rPr>
        <w:t>What was considered ‘local’ for Indigenous communities, ACCOs, and Traditional Owner groups may look very different to the regional approach of both mainstream employers and government. The former’s conception of community and locality should have primary choice in the construction of service delivery boundaries.</w:t>
      </w:r>
    </w:p>
    <w:p w14:paraId="610FA06C" w14:textId="77777777" w:rsidR="00BF7422" w:rsidRPr="0093006A" w:rsidRDefault="00BF7422" w:rsidP="00BF7422">
      <w:pPr>
        <w:spacing w:after="120"/>
        <w:textDirection w:val="btLr"/>
        <w:rPr>
          <w:color w:val="595959" w:themeColor="text1" w:themeTint="A6"/>
        </w:rPr>
      </w:pPr>
    </w:p>
    <w:p w14:paraId="2F8A2D92" w14:textId="77777777" w:rsidR="00BF7422" w:rsidRPr="0093006A" w:rsidRDefault="00BF7422" w:rsidP="00BF7422">
      <w:pPr>
        <w:spacing w:after="120"/>
        <w:textDirection w:val="btLr"/>
        <w:rPr>
          <w:b/>
          <w:bCs/>
          <w:i/>
          <w:iCs/>
          <w:color w:val="595959" w:themeColor="text1" w:themeTint="A6"/>
        </w:rPr>
      </w:pPr>
      <w:r w:rsidRPr="0093006A">
        <w:rPr>
          <w:b/>
          <w:bCs/>
          <w:i/>
          <w:iCs/>
          <w:color w:val="595959" w:themeColor="text1" w:themeTint="A6"/>
        </w:rPr>
        <w:t xml:space="preserve">Flexibility </w:t>
      </w:r>
    </w:p>
    <w:p w14:paraId="630307D0" w14:textId="77777777" w:rsidR="00BF7422" w:rsidRPr="0093006A" w:rsidRDefault="00BF7422" w:rsidP="00BF7422">
      <w:pPr>
        <w:spacing w:after="120"/>
        <w:textDirection w:val="btLr"/>
        <w:rPr>
          <w:b/>
          <w:bCs/>
          <w:color w:val="595959" w:themeColor="text1" w:themeTint="A6"/>
        </w:rPr>
      </w:pPr>
      <w:r w:rsidRPr="0093006A">
        <w:rPr>
          <w:b/>
          <w:color w:val="595959" w:themeColor="text1" w:themeTint="A6"/>
          <w:sz w:val="24"/>
          <w:szCs w:val="24"/>
        </w:rPr>
        <w:t xml:space="preserve">Insight 9: </w:t>
      </w:r>
      <w:r w:rsidRPr="0093006A">
        <w:rPr>
          <w:b/>
          <w:bCs/>
          <w:color w:val="595959" w:themeColor="text1" w:themeTint="A6"/>
          <w:sz w:val="24"/>
          <w:szCs w:val="24"/>
        </w:rPr>
        <w:t>The ISEP should invest in local ACCOs and Indigenous-specific employment services through flexible and accessible funding arrangements</w:t>
      </w:r>
      <w:r w:rsidRPr="0093006A">
        <w:rPr>
          <w:color w:val="595959" w:themeColor="text1" w:themeTint="A6"/>
        </w:rPr>
        <w:t xml:space="preserve"> </w:t>
      </w:r>
    </w:p>
    <w:p w14:paraId="064FA53C" w14:textId="77777777" w:rsidR="00BF7422" w:rsidRPr="0093006A" w:rsidRDefault="00BF7422" w:rsidP="00BF7422">
      <w:pPr>
        <w:spacing w:after="120"/>
        <w:textDirection w:val="btLr"/>
        <w:rPr>
          <w:color w:val="595959" w:themeColor="text1" w:themeTint="A6"/>
          <w:sz w:val="24"/>
          <w:szCs w:val="24"/>
        </w:rPr>
      </w:pPr>
      <w:r w:rsidRPr="0093006A">
        <w:rPr>
          <w:color w:val="595959" w:themeColor="text1" w:themeTint="A6"/>
        </w:rPr>
        <w:t>Local ACCOs and Indigenous specific employment services should be the key mechanism (or conduit) for the delivery of the ISEP. Further resourcing of ACCOs and local Indigenous employment services would result in strengthening of relationships between Indigenous communities, employers, service providers, and government in locally and culturally specific ways</w:t>
      </w:r>
    </w:p>
    <w:p w14:paraId="3882AD23" w14:textId="77777777" w:rsidR="00BF7422" w:rsidRPr="0093006A" w:rsidRDefault="00BF7422" w:rsidP="00BF7422">
      <w:pPr>
        <w:spacing w:after="120"/>
        <w:textDirection w:val="btLr"/>
        <w:rPr>
          <w:b/>
          <w:bCs/>
          <w:color w:val="595959" w:themeColor="text1" w:themeTint="A6"/>
        </w:rPr>
      </w:pPr>
      <w:r w:rsidRPr="0093006A">
        <w:rPr>
          <w:b/>
          <w:color w:val="595959" w:themeColor="text1" w:themeTint="A6"/>
          <w:sz w:val="24"/>
          <w:szCs w:val="24"/>
        </w:rPr>
        <w:t xml:space="preserve">Insight 12: </w:t>
      </w:r>
      <w:r w:rsidRPr="0093006A">
        <w:rPr>
          <w:b/>
          <w:bCs/>
          <w:color w:val="595959" w:themeColor="text1" w:themeTint="A6"/>
          <w:sz w:val="24"/>
          <w:szCs w:val="24"/>
        </w:rPr>
        <w:t>The ISEP could address the future for Indigenous employment through a lens of social, structural and strategic approaches to deliver outcomes as well as ensuring flexibility in program design to respond to non-homogenous requirements at the local and regional levels</w:t>
      </w:r>
      <w:r w:rsidRPr="0093006A">
        <w:rPr>
          <w:b/>
          <w:bCs/>
          <w:color w:val="595959" w:themeColor="text1" w:themeTint="A6"/>
        </w:rPr>
        <w:t xml:space="preserve"> </w:t>
      </w:r>
    </w:p>
    <w:p w14:paraId="0838F65A" w14:textId="77777777" w:rsidR="00BF7422" w:rsidRPr="0093006A" w:rsidRDefault="00BF7422" w:rsidP="00BF7422">
      <w:pPr>
        <w:spacing w:after="120"/>
        <w:textDirection w:val="btLr"/>
        <w:rPr>
          <w:b/>
          <w:bCs/>
          <w:color w:val="595959" w:themeColor="text1" w:themeTint="A6"/>
        </w:rPr>
      </w:pPr>
      <w:r w:rsidRPr="0093006A">
        <w:rPr>
          <w:color w:val="595959" w:themeColor="text1" w:themeTint="A6"/>
        </w:rPr>
        <w:t>The ISEP should allow for the ability for address social, structural and strategic issues and opportunities in a flexible way to allow for place-based responses that can adapt to the specific requirements for a particular community or region.</w:t>
      </w:r>
    </w:p>
    <w:p w14:paraId="0C4F9DFC" w14:textId="77777777" w:rsidR="00BF7422" w:rsidRPr="0093006A" w:rsidRDefault="00BF7422" w:rsidP="00BF7422">
      <w:pPr>
        <w:spacing w:after="120"/>
        <w:textDirection w:val="btLr"/>
        <w:rPr>
          <w:color w:val="595959" w:themeColor="text1" w:themeTint="A6"/>
        </w:rPr>
      </w:pPr>
    </w:p>
    <w:p w14:paraId="656C845E" w14:textId="77777777" w:rsidR="00BF7422" w:rsidRPr="0093006A" w:rsidRDefault="00BF7422" w:rsidP="00BF7422">
      <w:pPr>
        <w:rPr>
          <w:b/>
          <w:color w:val="595959" w:themeColor="text1" w:themeTint="A6"/>
          <w:sz w:val="24"/>
          <w:szCs w:val="24"/>
        </w:rPr>
      </w:pPr>
      <w:r w:rsidRPr="0093006A">
        <w:rPr>
          <w:b/>
          <w:color w:val="595959" w:themeColor="text1" w:themeTint="A6"/>
          <w:sz w:val="24"/>
          <w:szCs w:val="24"/>
        </w:rPr>
        <w:br w:type="page"/>
      </w:r>
    </w:p>
    <w:p w14:paraId="0F1EF05B" w14:textId="77777777" w:rsidR="00BF7422" w:rsidRPr="0093006A" w:rsidRDefault="00BF7422" w:rsidP="00BF7422">
      <w:pPr>
        <w:spacing w:after="120"/>
        <w:textDirection w:val="btLr"/>
        <w:rPr>
          <w:b/>
          <w:bCs/>
          <w:i/>
          <w:iCs/>
          <w:color w:val="595959" w:themeColor="text1" w:themeTint="A6"/>
        </w:rPr>
      </w:pPr>
      <w:r w:rsidRPr="0093006A">
        <w:rPr>
          <w:b/>
          <w:bCs/>
          <w:i/>
          <w:iCs/>
          <w:color w:val="595959" w:themeColor="text1" w:themeTint="A6"/>
        </w:rPr>
        <w:t>Workplace safety</w:t>
      </w:r>
    </w:p>
    <w:p w14:paraId="30F77D3F" w14:textId="77777777" w:rsidR="00BF7422" w:rsidRPr="0093006A" w:rsidRDefault="00BF7422" w:rsidP="00BF7422">
      <w:pPr>
        <w:spacing w:after="120"/>
        <w:textDirection w:val="btLr"/>
        <w:rPr>
          <w:b/>
          <w:bCs/>
          <w:color w:val="595959" w:themeColor="text1" w:themeTint="A6"/>
          <w:sz w:val="24"/>
          <w:szCs w:val="24"/>
        </w:rPr>
      </w:pPr>
      <w:r w:rsidRPr="0093006A">
        <w:rPr>
          <w:b/>
          <w:color w:val="595959" w:themeColor="text1" w:themeTint="A6"/>
          <w:sz w:val="24"/>
          <w:szCs w:val="24"/>
        </w:rPr>
        <w:t xml:space="preserve">Insight 6: </w:t>
      </w:r>
      <w:r w:rsidRPr="0093006A">
        <w:rPr>
          <w:b/>
          <w:bCs/>
          <w:color w:val="595959" w:themeColor="text1" w:themeTint="A6"/>
          <w:sz w:val="24"/>
          <w:szCs w:val="24"/>
        </w:rPr>
        <w:t>Ensuring and positively obligating cultural safety in the workplace should be a critical feature of the ISEP</w:t>
      </w:r>
      <w:r w:rsidRPr="0093006A">
        <w:rPr>
          <w:color w:val="595959" w:themeColor="text1" w:themeTint="A6"/>
          <w:sz w:val="24"/>
          <w:szCs w:val="24"/>
        </w:rPr>
        <w:t xml:space="preserve"> </w:t>
      </w:r>
    </w:p>
    <w:p w14:paraId="218C977B" w14:textId="77777777" w:rsidR="00BF7422" w:rsidRPr="0093006A" w:rsidRDefault="00BF7422" w:rsidP="00BF7422">
      <w:pPr>
        <w:spacing w:after="120"/>
        <w:rPr>
          <w:b/>
          <w:bCs/>
          <w:color w:val="595959" w:themeColor="text1" w:themeTint="A6"/>
        </w:rPr>
      </w:pPr>
      <w:r w:rsidRPr="0093006A">
        <w:rPr>
          <w:color w:val="595959" w:themeColor="text1" w:themeTint="A6"/>
        </w:rPr>
        <w:t>Building cultural safety in the workplace is critical to successful outcomes of the new ISEP. This includes positive obligations on employers to make workplaces culturally safe, a view that was strongly expressed by industry leaders. Stakeholders agreed that ACCOs and Indigenous communities must play a key role in this and that employers require support, training, accreditation, and positive obligations to develop such measures within local Indigenous community contexts.</w:t>
      </w:r>
    </w:p>
    <w:p w14:paraId="299C0900" w14:textId="77777777" w:rsidR="00BF7422" w:rsidRPr="0093006A" w:rsidRDefault="00BF7422" w:rsidP="00BF7422">
      <w:pPr>
        <w:spacing w:after="120"/>
        <w:textDirection w:val="btLr"/>
        <w:rPr>
          <w:b/>
          <w:bCs/>
          <w:color w:val="595959" w:themeColor="text1" w:themeTint="A6"/>
          <w:sz w:val="24"/>
          <w:szCs w:val="24"/>
        </w:rPr>
      </w:pPr>
      <w:r w:rsidRPr="0093006A">
        <w:rPr>
          <w:b/>
          <w:color w:val="595959" w:themeColor="text1" w:themeTint="A6"/>
          <w:sz w:val="24"/>
          <w:szCs w:val="24"/>
        </w:rPr>
        <w:t xml:space="preserve">Insight 14: </w:t>
      </w:r>
      <w:r w:rsidRPr="0093006A">
        <w:rPr>
          <w:b/>
          <w:bCs/>
          <w:color w:val="595959" w:themeColor="text1" w:themeTint="A6"/>
          <w:sz w:val="24"/>
          <w:szCs w:val="24"/>
        </w:rPr>
        <w:t xml:space="preserve">Culturally safe workplaces need to be ‘ready’ for Indigenous employees and encouraged and obligated through the ISEP and Federal Government mechanisms </w:t>
      </w:r>
    </w:p>
    <w:p w14:paraId="62120B22" w14:textId="77777777" w:rsidR="00BF7422" w:rsidRPr="0093006A" w:rsidRDefault="00BF7422" w:rsidP="00BF7422">
      <w:pPr>
        <w:spacing w:after="120"/>
        <w:textDirection w:val="btLr"/>
        <w:rPr>
          <w:b/>
          <w:bCs/>
          <w:i/>
          <w:iCs/>
          <w:color w:val="595959" w:themeColor="text1" w:themeTint="A6"/>
        </w:rPr>
      </w:pPr>
      <w:r w:rsidRPr="0093006A">
        <w:rPr>
          <w:color w:val="595959" w:themeColor="text1" w:themeTint="A6"/>
        </w:rPr>
        <w:t>Cultural safety and capability measures need to be facilitated by all key stakeholders – Aboriginal and Torres Strait Islander community members and controlled-organisations, employers, service providers, and NIAA – to ensure culturally safe and competent workplaces for Indigenous employees to successfully sustain jobs and careers.</w:t>
      </w:r>
    </w:p>
    <w:p w14:paraId="6941F1CA" w14:textId="77777777" w:rsidR="00BF7422" w:rsidRPr="0093006A" w:rsidRDefault="00BF7422" w:rsidP="00BF7422">
      <w:pPr>
        <w:spacing w:after="120"/>
        <w:textDirection w:val="btLr"/>
        <w:rPr>
          <w:b/>
          <w:bCs/>
          <w:i/>
          <w:iCs/>
          <w:color w:val="595959" w:themeColor="text1" w:themeTint="A6"/>
        </w:rPr>
      </w:pPr>
    </w:p>
    <w:p w14:paraId="21E5B571" w14:textId="77777777" w:rsidR="00BF7422" w:rsidRPr="0093006A" w:rsidRDefault="00BF7422" w:rsidP="00BF7422">
      <w:pPr>
        <w:spacing w:after="120"/>
        <w:textDirection w:val="btLr"/>
        <w:rPr>
          <w:b/>
          <w:bCs/>
          <w:i/>
          <w:iCs/>
          <w:color w:val="595959" w:themeColor="text1" w:themeTint="A6"/>
        </w:rPr>
      </w:pPr>
      <w:r w:rsidRPr="0093006A">
        <w:rPr>
          <w:b/>
          <w:bCs/>
          <w:i/>
          <w:iCs/>
          <w:color w:val="595959" w:themeColor="text1" w:themeTint="A6"/>
        </w:rPr>
        <w:t>Support for Aboriginal community-controlled organisations (ACCOs)</w:t>
      </w:r>
    </w:p>
    <w:p w14:paraId="046E687A" w14:textId="77777777" w:rsidR="00BF7422" w:rsidRPr="0093006A" w:rsidRDefault="00BF7422" w:rsidP="00BF7422">
      <w:pPr>
        <w:spacing w:after="120"/>
        <w:textDirection w:val="btLr"/>
        <w:rPr>
          <w:b/>
          <w:bCs/>
          <w:color w:val="595959" w:themeColor="text1" w:themeTint="A6"/>
        </w:rPr>
      </w:pPr>
      <w:r w:rsidRPr="0093006A">
        <w:rPr>
          <w:b/>
          <w:color w:val="595959" w:themeColor="text1" w:themeTint="A6"/>
          <w:sz w:val="24"/>
          <w:szCs w:val="24"/>
        </w:rPr>
        <w:t xml:space="preserve">Insight 8: </w:t>
      </w:r>
      <w:r w:rsidRPr="0093006A">
        <w:rPr>
          <w:b/>
          <w:bCs/>
          <w:color w:val="595959" w:themeColor="text1" w:themeTint="A6"/>
          <w:sz w:val="24"/>
          <w:szCs w:val="24"/>
        </w:rPr>
        <w:t>The ISEP should prioritise strategic coordination and collaboration at the regional level that supports ACCOs as partners and collaborators coupled with higher levels of employer accountability</w:t>
      </w:r>
    </w:p>
    <w:p w14:paraId="1AAABB2F" w14:textId="77777777" w:rsidR="00BF7422" w:rsidRPr="0093006A" w:rsidRDefault="00BF7422" w:rsidP="00BF7422">
      <w:pPr>
        <w:spacing w:after="120"/>
        <w:rPr>
          <w:b/>
          <w:bCs/>
          <w:color w:val="595959" w:themeColor="text1" w:themeTint="A6"/>
        </w:rPr>
      </w:pPr>
      <w:r w:rsidRPr="0093006A">
        <w:rPr>
          <w:color w:val="595959" w:themeColor="text1" w:themeTint="A6"/>
        </w:rPr>
        <w:t>A regional strategic approach is called for in the new ISEP that encourages collaboration across ACCOs and Indigenous communities, government, and industry to build regional solutions and programs to achieve successful outcomes.</w:t>
      </w:r>
    </w:p>
    <w:p w14:paraId="22DBA9A8" w14:textId="77777777" w:rsidR="00BF7422" w:rsidRPr="0093006A" w:rsidRDefault="00BF7422" w:rsidP="00BF7422">
      <w:pPr>
        <w:spacing w:after="120"/>
        <w:textDirection w:val="btLr"/>
        <w:rPr>
          <w:b/>
          <w:bCs/>
          <w:color w:val="595959" w:themeColor="text1" w:themeTint="A6"/>
        </w:rPr>
      </w:pPr>
      <w:r w:rsidRPr="0093006A">
        <w:rPr>
          <w:b/>
          <w:color w:val="595959" w:themeColor="text1" w:themeTint="A6"/>
          <w:sz w:val="24"/>
          <w:szCs w:val="24"/>
        </w:rPr>
        <w:t xml:space="preserve">Insight 11: </w:t>
      </w:r>
      <w:r w:rsidRPr="0093006A">
        <w:rPr>
          <w:b/>
          <w:bCs/>
          <w:color w:val="595959" w:themeColor="text1" w:themeTint="A6"/>
          <w:sz w:val="24"/>
          <w:szCs w:val="24"/>
        </w:rPr>
        <w:t>The ISEP should embed shared decision making by supporting and funding ACCOs in the delivery of Indigenous-specific employment services</w:t>
      </w:r>
      <w:r w:rsidRPr="0093006A">
        <w:rPr>
          <w:color w:val="595959" w:themeColor="text1" w:themeTint="A6"/>
        </w:rPr>
        <w:t xml:space="preserve"> </w:t>
      </w:r>
    </w:p>
    <w:p w14:paraId="6008529E" w14:textId="77777777" w:rsidR="00BF7422" w:rsidRPr="0093006A" w:rsidRDefault="00BF7422" w:rsidP="00BF7422">
      <w:pPr>
        <w:spacing w:after="120"/>
        <w:textDirection w:val="btLr"/>
        <w:rPr>
          <w:b/>
          <w:color w:val="595959" w:themeColor="text1" w:themeTint="A6"/>
          <w:sz w:val="24"/>
          <w:szCs w:val="24"/>
        </w:rPr>
      </w:pPr>
      <w:r w:rsidRPr="0093006A">
        <w:rPr>
          <w:color w:val="595959" w:themeColor="text1" w:themeTint="A6"/>
        </w:rPr>
        <w:t>ACCOs can act as key partners and co-designers of locally and culturally specific employment service provision for current and future Indigenous employees. The primary way of achieving this under the ISEP is a government-funded and supported ‘one-stop shop’ service in each region that enables collaboration between all major stakeholders.</w:t>
      </w:r>
    </w:p>
    <w:p w14:paraId="3A566744" w14:textId="77777777" w:rsidR="00BF7422" w:rsidRPr="0093006A" w:rsidRDefault="00BF7422" w:rsidP="00BF7422">
      <w:pPr>
        <w:spacing w:after="120"/>
        <w:textDirection w:val="btLr"/>
        <w:rPr>
          <w:b/>
          <w:i/>
          <w:iCs/>
          <w:color w:val="595959" w:themeColor="text1" w:themeTint="A6"/>
        </w:rPr>
      </w:pPr>
    </w:p>
    <w:p w14:paraId="1FC47CD0" w14:textId="77777777" w:rsidR="00BF7422" w:rsidRPr="0093006A" w:rsidRDefault="00BF7422" w:rsidP="00BF7422">
      <w:pPr>
        <w:spacing w:after="120"/>
        <w:textDirection w:val="btLr"/>
        <w:rPr>
          <w:b/>
          <w:i/>
          <w:iCs/>
          <w:color w:val="595959" w:themeColor="text1" w:themeTint="A6"/>
        </w:rPr>
      </w:pPr>
      <w:r w:rsidRPr="0093006A">
        <w:rPr>
          <w:b/>
          <w:i/>
          <w:iCs/>
          <w:color w:val="595959" w:themeColor="text1" w:themeTint="A6"/>
        </w:rPr>
        <w:t>Measuring impact</w:t>
      </w:r>
    </w:p>
    <w:p w14:paraId="4FF4FA9F" w14:textId="77777777" w:rsidR="00BF7422" w:rsidRPr="0093006A" w:rsidRDefault="00BF7422" w:rsidP="00BF7422">
      <w:pPr>
        <w:spacing w:after="120"/>
        <w:textDirection w:val="btLr"/>
        <w:rPr>
          <w:b/>
          <w:bCs/>
          <w:color w:val="595959" w:themeColor="text1" w:themeTint="A6"/>
          <w:sz w:val="24"/>
          <w:szCs w:val="24"/>
        </w:rPr>
      </w:pPr>
      <w:r w:rsidRPr="0093006A">
        <w:rPr>
          <w:b/>
          <w:color w:val="595959" w:themeColor="text1" w:themeTint="A6"/>
          <w:sz w:val="24"/>
          <w:szCs w:val="24"/>
        </w:rPr>
        <w:t xml:space="preserve">Insight 13: </w:t>
      </w:r>
      <w:r w:rsidRPr="0093006A">
        <w:rPr>
          <w:b/>
          <w:bCs/>
          <w:color w:val="595959" w:themeColor="text1" w:themeTint="A6"/>
          <w:sz w:val="24"/>
          <w:szCs w:val="24"/>
        </w:rPr>
        <w:t>Indigenous-owned and -controlled data gathering and evaluation in local contexts and culturally specific ways is vital for measuring the impact of the ISEP</w:t>
      </w:r>
    </w:p>
    <w:p w14:paraId="14C03E0A" w14:textId="043F9569" w:rsidR="00BF7422" w:rsidRDefault="00BF7422" w:rsidP="00BF7422">
      <w:r w:rsidRPr="0093006A">
        <w:rPr>
          <w:color w:val="595959" w:themeColor="text1" w:themeTint="A6"/>
        </w:rPr>
        <w:t>For the ISEP to have maximum impact, the way in which ‘success’ is both understood and measured should be determined by Indigenous communities. NIAA could provide support and training to ensure ‘person-centred’ evaluation is able to be undertaken by ACCOs and Indigenous-controlled employment services to best reflect Indigenous employee and community needs and aspirations.</w:t>
      </w:r>
    </w:p>
    <w:p w14:paraId="7C9280CA" w14:textId="383CEF97" w:rsidR="001A221F" w:rsidRPr="005D09DC" w:rsidRDefault="00FB2E9C">
      <w:r w:rsidRPr="005D09DC">
        <w:br w:type="page"/>
      </w:r>
    </w:p>
    <w:p w14:paraId="1B63CD88" w14:textId="77777777" w:rsidR="001A221F" w:rsidRPr="005D09DC" w:rsidRDefault="00FB2E9C" w:rsidP="00981521">
      <w:pPr>
        <w:pStyle w:val="Heading1"/>
      </w:pPr>
      <w:bookmarkStart w:id="17" w:name="_Toc85030956"/>
      <w:r w:rsidRPr="005D09DC">
        <w:t>Introduction</w:t>
      </w:r>
      <w:bookmarkEnd w:id="17"/>
    </w:p>
    <w:p w14:paraId="5ED08F87" w14:textId="7D156B91" w:rsidR="001810E0" w:rsidRPr="005D09DC" w:rsidRDefault="001810E0" w:rsidP="006A3DEB">
      <w:pPr>
        <w:pStyle w:val="NormalWeb"/>
        <w:shd w:val="clear" w:color="auto" w:fill="FFFFFF"/>
        <w:spacing w:before="0" w:beforeAutospacing="0" w:after="120" w:afterAutospacing="0"/>
        <w:rPr>
          <w:rFonts w:ascii="Helvetica Neue" w:hAnsi="Helvetica Neue"/>
        </w:rPr>
      </w:pPr>
      <w:r w:rsidRPr="005D09DC">
        <w:rPr>
          <w:rFonts w:ascii="Helvetica Neue" w:hAnsi="Helvetica Neue"/>
        </w:rPr>
        <w:t>Inside Policy was engaged in August 2021 by the National Indigenous Australians Agency (NIAA) to design, undertake, and report on a series of national consultations to inform the development of the new Indigenous Skills and Employment Program (</w:t>
      </w:r>
      <w:r w:rsidR="00473D88" w:rsidRPr="005D09DC">
        <w:rPr>
          <w:rFonts w:ascii="Helvetica Neue" w:hAnsi="Helvetica Neue"/>
        </w:rPr>
        <w:t xml:space="preserve">the </w:t>
      </w:r>
      <w:r w:rsidRPr="005D09DC">
        <w:rPr>
          <w:rFonts w:ascii="Helvetica Neue" w:hAnsi="Helvetica Neue"/>
        </w:rPr>
        <w:t xml:space="preserve">ISEP). Inside Policy was also engaged to synthesise the key findings of the written submissions to the public discussion paper for </w:t>
      </w:r>
      <w:r w:rsidR="00473D88" w:rsidRPr="005D09DC">
        <w:rPr>
          <w:rFonts w:ascii="Helvetica Neue" w:hAnsi="Helvetica Neue"/>
        </w:rPr>
        <w:t xml:space="preserve">the </w:t>
      </w:r>
      <w:r w:rsidRPr="005D09DC">
        <w:rPr>
          <w:rFonts w:ascii="Helvetica Neue" w:hAnsi="Helvetica Neue"/>
        </w:rPr>
        <w:t xml:space="preserve">ISEP. </w:t>
      </w:r>
    </w:p>
    <w:p w14:paraId="021F25EF" w14:textId="77777777" w:rsidR="001810E0" w:rsidRPr="005D09DC" w:rsidRDefault="001810E0" w:rsidP="006A3DEB">
      <w:pPr>
        <w:spacing w:after="120"/>
        <w:rPr>
          <w:rFonts w:eastAsia="Times New Roman" w:cs="Times New Roman"/>
        </w:rPr>
      </w:pPr>
      <w:r w:rsidRPr="005D09DC">
        <w:rPr>
          <w:rFonts w:eastAsia="Times New Roman" w:cs="Times New Roman"/>
        </w:rPr>
        <w:t xml:space="preserve">As part of the Indigenous Skills and Jobs Advancement package to improve economic, social and education outcomes for Indigenous Australians, the Australian Government announced a commitment in the 2021–22 Budget to develop the ISEP replacing the Vocational Training and Employment Centres (VTEC), Tailored Assistance Employment Grants (TAEG) and the Employment Parity Initiative (EPI) from1 July 2022.  </w:t>
      </w:r>
    </w:p>
    <w:p w14:paraId="7FFEE6E9" w14:textId="39CCA019" w:rsidR="00A02047" w:rsidRPr="005D09DC" w:rsidRDefault="001810E0" w:rsidP="006A3DEB">
      <w:pPr>
        <w:spacing w:after="120"/>
        <w:rPr>
          <w:rFonts w:eastAsia="Times New Roman" w:cs="Times New Roman"/>
        </w:rPr>
      </w:pPr>
      <w:r w:rsidRPr="005D09DC">
        <w:t xml:space="preserve">Driven by the employment and training targets in the National Agreement on Closing the Gap, the ISEP will contribute to closing the employment gap through Indigenous Advancement Strategy (IAS) investment that is flexible and locally informed. The ISEP will interface with the changed mainstream Employment Services Model which will commence in 2022. </w:t>
      </w:r>
    </w:p>
    <w:p w14:paraId="60C0AB66" w14:textId="064F754E" w:rsidR="001810E0" w:rsidRPr="005D09DC" w:rsidRDefault="00A02047" w:rsidP="00C273ED">
      <w:pPr>
        <w:spacing w:after="120"/>
      </w:pPr>
      <w:r w:rsidRPr="005D09DC">
        <w:rPr>
          <w:rFonts w:eastAsia="Times New Roman"/>
        </w:rPr>
        <w:t>T</w:t>
      </w:r>
      <w:r w:rsidR="00A60FCD" w:rsidRPr="005D09DC">
        <w:rPr>
          <w:rFonts w:eastAsia="Times New Roman"/>
        </w:rPr>
        <w:t xml:space="preserve">he ISEP </w:t>
      </w:r>
      <w:r w:rsidR="00B94FAA" w:rsidRPr="005D09DC">
        <w:rPr>
          <w:rFonts w:eastAsia="Times New Roman" w:cs="Times New Roman"/>
        </w:rPr>
        <w:t xml:space="preserve">is </w:t>
      </w:r>
      <w:r w:rsidR="007D0D7C" w:rsidRPr="005D09DC">
        <w:rPr>
          <w:rFonts w:eastAsia="Times New Roman" w:cs="Times New Roman"/>
        </w:rPr>
        <w:t>being</w:t>
      </w:r>
      <w:r w:rsidR="00B94FAA" w:rsidRPr="005D09DC">
        <w:rPr>
          <w:rFonts w:eastAsia="Times New Roman" w:cs="Times New Roman"/>
        </w:rPr>
        <w:t xml:space="preserve"> co-designed with </w:t>
      </w:r>
      <w:r w:rsidR="00563300" w:rsidRPr="005D09DC">
        <w:rPr>
          <w:rFonts w:eastAsia="Times New Roman" w:cs="Times New Roman"/>
        </w:rPr>
        <w:t xml:space="preserve">Aboriginal and Torres Strait Islander peoples </w:t>
      </w:r>
      <w:r w:rsidR="00B94FAA" w:rsidRPr="005D09DC">
        <w:rPr>
          <w:rFonts w:eastAsia="Times New Roman" w:cs="Times New Roman"/>
        </w:rPr>
        <w:t>in consultation with key stakeholders</w:t>
      </w:r>
      <w:r w:rsidR="0018073A" w:rsidRPr="005D09DC">
        <w:rPr>
          <w:rFonts w:eastAsia="Times New Roman" w:cs="Times New Roman"/>
        </w:rPr>
        <w:t>.</w:t>
      </w:r>
      <w:r w:rsidRPr="005D09DC">
        <w:rPr>
          <w:rFonts w:eastAsia="Times New Roman"/>
        </w:rPr>
        <w:t xml:space="preserve"> </w:t>
      </w:r>
      <w:r w:rsidR="004602E7" w:rsidRPr="005D09DC">
        <w:rPr>
          <w:rFonts w:eastAsia="Times New Roman"/>
        </w:rPr>
        <w:t>Its</w:t>
      </w:r>
      <w:r w:rsidRPr="005D09DC">
        <w:rPr>
          <w:rFonts w:eastAsia="Times New Roman"/>
        </w:rPr>
        <w:t xml:space="preserve"> design will be based on the need to</w:t>
      </w:r>
      <w:r w:rsidR="00C273ED" w:rsidRPr="005D09DC">
        <w:rPr>
          <w:rFonts w:eastAsia="Times New Roman"/>
        </w:rPr>
        <w:t>:</w:t>
      </w:r>
    </w:p>
    <w:p w14:paraId="5A7C5F6A" w14:textId="4F1B70BC" w:rsidR="001810E0" w:rsidRPr="005D09DC" w:rsidRDefault="00467A87" w:rsidP="003769B7">
      <w:pPr>
        <w:pStyle w:val="ListParagraph"/>
        <w:numPr>
          <w:ilvl w:val="0"/>
          <w:numId w:val="1"/>
        </w:numPr>
        <w:ind w:left="714" w:hanging="357"/>
        <w:contextualSpacing w:val="0"/>
      </w:pPr>
      <w:r w:rsidRPr="005D09DC">
        <w:t>A</w:t>
      </w:r>
      <w:r w:rsidR="001810E0" w:rsidRPr="005D09DC">
        <w:t>ddress specific barriers to employment at the regional and local levels</w:t>
      </w:r>
    </w:p>
    <w:p w14:paraId="70654CE8" w14:textId="7D1859E5" w:rsidR="001810E0" w:rsidRPr="005D09DC" w:rsidRDefault="00467A87" w:rsidP="003769B7">
      <w:pPr>
        <w:pStyle w:val="ListParagraph"/>
        <w:numPr>
          <w:ilvl w:val="0"/>
          <w:numId w:val="1"/>
        </w:numPr>
        <w:ind w:left="714" w:hanging="357"/>
        <w:contextualSpacing w:val="0"/>
      </w:pPr>
      <w:r w:rsidRPr="005D09DC">
        <w:t>Work</w:t>
      </w:r>
      <w:r w:rsidR="001810E0" w:rsidRPr="005D09DC">
        <w:t xml:space="preserve"> with local communities to identify existing and emerging engagement and employment opportunities</w:t>
      </w:r>
    </w:p>
    <w:p w14:paraId="79445398" w14:textId="178D403E" w:rsidR="001810E0" w:rsidRPr="005D09DC" w:rsidRDefault="00467A87" w:rsidP="003769B7">
      <w:pPr>
        <w:pStyle w:val="ListParagraph"/>
        <w:numPr>
          <w:ilvl w:val="0"/>
          <w:numId w:val="1"/>
        </w:numPr>
        <w:ind w:left="714" w:hanging="357"/>
        <w:contextualSpacing w:val="0"/>
      </w:pPr>
      <w:r w:rsidRPr="005D09DC">
        <w:t>Respond to eme</w:t>
      </w:r>
      <w:r w:rsidR="001810E0" w:rsidRPr="005D09DC">
        <w:t>rging regional labour market needs and opportunities for both job seekers and businesses</w:t>
      </w:r>
    </w:p>
    <w:p w14:paraId="4D47DD0A" w14:textId="09F3A034" w:rsidR="001810E0" w:rsidRPr="005D09DC" w:rsidRDefault="00467A87" w:rsidP="003769B7">
      <w:pPr>
        <w:pStyle w:val="ListParagraph"/>
        <w:numPr>
          <w:ilvl w:val="0"/>
          <w:numId w:val="1"/>
        </w:numPr>
        <w:ind w:left="714" w:hanging="357"/>
        <w:contextualSpacing w:val="0"/>
      </w:pPr>
      <w:r w:rsidRPr="005D09DC">
        <w:t>Target specific cohorts of Indigenous Australians based on data and evidence, supplemented with local knowledge and need</w:t>
      </w:r>
    </w:p>
    <w:p w14:paraId="14CFA3C4" w14:textId="7AE82C72" w:rsidR="00C273ED" w:rsidRPr="005D09DC" w:rsidRDefault="00467A87" w:rsidP="00C273ED">
      <w:pPr>
        <w:pStyle w:val="ListParagraph"/>
        <w:numPr>
          <w:ilvl w:val="0"/>
          <w:numId w:val="1"/>
        </w:numPr>
        <w:spacing w:after="120"/>
        <w:contextualSpacing w:val="0"/>
      </w:pPr>
      <w:r w:rsidRPr="005D09DC">
        <w:t xml:space="preserve">Support employers to understand and realise the potential of the Indigenous </w:t>
      </w:r>
      <w:r w:rsidR="001810E0" w:rsidRPr="005D09DC">
        <w:t>workforce.</w:t>
      </w:r>
      <w:r w:rsidR="00C273ED" w:rsidRPr="005D09DC">
        <w:rPr>
          <w:rStyle w:val="FootnoteReference"/>
        </w:rPr>
        <w:footnoteReference w:id="5"/>
      </w:r>
    </w:p>
    <w:p w14:paraId="2D1B64E9" w14:textId="77777777" w:rsidR="001A221F" w:rsidRPr="005D09DC" w:rsidRDefault="00313AC8" w:rsidP="006A3DEB">
      <w:pPr>
        <w:pStyle w:val="Heading2"/>
      </w:pPr>
      <w:bookmarkStart w:id="18" w:name="_Toc84951077"/>
      <w:bookmarkStart w:id="19" w:name="_Toc85030957"/>
      <w:r w:rsidRPr="005D09DC">
        <w:t xml:space="preserve">Purpose </w:t>
      </w:r>
      <w:r w:rsidR="00A02047" w:rsidRPr="005D09DC">
        <w:t>of this report</w:t>
      </w:r>
      <w:bookmarkEnd w:id="18"/>
      <w:bookmarkEnd w:id="19"/>
      <w:r w:rsidR="00A02047" w:rsidRPr="005D09DC">
        <w:t xml:space="preserve"> </w:t>
      </w:r>
    </w:p>
    <w:p w14:paraId="0EFAFE90" w14:textId="77777777" w:rsidR="00A02047" w:rsidRPr="005D09DC" w:rsidRDefault="006A3DEB" w:rsidP="006A3DEB">
      <w:pPr>
        <w:spacing w:after="120"/>
      </w:pPr>
      <w:r w:rsidRPr="005D09DC">
        <w:t>This report documents</w:t>
      </w:r>
      <w:r w:rsidR="00313AC8" w:rsidRPr="005D09DC">
        <w:t xml:space="preserve"> the findings and insights from the</w:t>
      </w:r>
      <w:r w:rsidR="00A60FCD" w:rsidRPr="005D09DC">
        <w:t xml:space="preserve"> ISEP </w:t>
      </w:r>
      <w:r w:rsidR="00313AC8" w:rsidRPr="005D09DC">
        <w:t xml:space="preserve">consultation </w:t>
      </w:r>
      <w:r w:rsidR="00A60FCD" w:rsidRPr="005D09DC">
        <w:t>activities</w:t>
      </w:r>
      <w:r w:rsidRPr="005D09DC">
        <w:t xml:space="preserve"> which included a series of regional and national roundtables and written submissions</w:t>
      </w:r>
      <w:r w:rsidR="00A02047" w:rsidRPr="005D09DC">
        <w:t>.</w:t>
      </w:r>
      <w:r w:rsidRPr="005D09DC">
        <w:t xml:space="preserve"> </w:t>
      </w:r>
      <w:r w:rsidR="00A02047" w:rsidRPr="005D09DC">
        <w:t xml:space="preserve">This report: </w:t>
      </w:r>
    </w:p>
    <w:p w14:paraId="4E048B77" w14:textId="4EADA44F" w:rsidR="00A02047" w:rsidRPr="005D09DC" w:rsidRDefault="00467A87" w:rsidP="003769B7">
      <w:pPr>
        <w:pStyle w:val="ListParagraph"/>
        <w:numPr>
          <w:ilvl w:val="0"/>
          <w:numId w:val="2"/>
        </w:numPr>
        <w:ind w:left="709" w:hanging="284"/>
        <w:contextualSpacing w:val="0"/>
      </w:pPr>
      <w:r w:rsidRPr="005D09DC">
        <w:t xml:space="preserve">Details </w:t>
      </w:r>
      <w:r w:rsidR="00A02047" w:rsidRPr="005D09DC">
        <w:t>the consultations undertaken, the findings from these activities and their implications for the design of the ISEP</w:t>
      </w:r>
      <w:r w:rsidR="00F90FDE" w:rsidRPr="005D09DC">
        <w:t xml:space="preserve">, </w:t>
      </w:r>
    </w:p>
    <w:p w14:paraId="1F673411" w14:textId="290ACB51" w:rsidR="006A3DEB" w:rsidRPr="005D09DC" w:rsidRDefault="00467A87" w:rsidP="003769B7">
      <w:pPr>
        <w:pStyle w:val="CCSNormalText"/>
        <w:numPr>
          <w:ilvl w:val="0"/>
          <w:numId w:val="2"/>
        </w:numPr>
        <w:spacing w:before="0" w:after="0"/>
        <w:ind w:left="709" w:hanging="284"/>
        <w:rPr>
          <w:rFonts w:ascii="Helvetica Neue" w:hAnsi="Helvetica Neue"/>
          <w:color w:val="404040" w:themeColor="text1" w:themeTint="BF"/>
        </w:rPr>
      </w:pPr>
      <w:r w:rsidRPr="005D09DC">
        <w:rPr>
          <w:rFonts w:ascii="Helvetica Neue" w:hAnsi="Helvetica Neue"/>
          <w:color w:val="404040" w:themeColor="text1" w:themeTint="BF"/>
        </w:rPr>
        <w:t xml:space="preserve">Outlines </w:t>
      </w:r>
      <w:r w:rsidR="00A02047" w:rsidRPr="005D09DC">
        <w:rPr>
          <w:rFonts w:ascii="Helvetica Neue" w:hAnsi="Helvetica Neue"/>
          <w:color w:val="404040" w:themeColor="text1" w:themeTint="BF"/>
        </w:rPr>
        <w:t xml:space="preserve">the consistent themes and insights </w:t>
      </w:r>
      <w:r w:rsidR="0018073A" w:rsidRPr="005D09DC">
        <w:rPr>
          <w:rFonts w:ascii="Helvetica Neue" w:hAnsi="Helvetica Neue"/>
          <w:color w:val="404040" w:themeColor="text1" w:themeTint="BF"/>
        </w:rPr>
        <w:t xml:space="preserve">from </w:t>
      </w:r>
      <w:r w:rsidR="00C273ED" w:rsidRPr="005D09DC">
        <w:rPr>
          <w:rFonts w:ascii="Helvetica Neue" w:hAnsi="Helvetica Neue"/>
          <w:color w:val="404040" w:themeColor="text1" w:themeTint="BF"/>
        </w:rPr>
        <w:t>Roundtables and Town Hall Meetings</w:t>
      </w:r>
      <w:r w:rsidR="00F90FDE" w:rsidRPr="005D09DC">
        <w:rPr>
          <w:rFonts w:ascii="Helvetica Neue" w:hAnsi="Helvetica Neue"/>
          <w:color w:val="404040" w:themeColor="text1" w:themeTint="BF"/>
        </w:rPr>
        <w:t>, and</w:t>
      </w:r>
    </w:p>
    <w:p w14:paraId="55452FDD" w14:textId="22358020" w:rsidR="004602E7" w:rsidRPr="005D09DC" w:rsidRDefault="00467A87" w:rsidP="003769B7">
      <w:pPr>
        <w:pStyle w:val="CCSNormalText"/>
        <w:numPr>
          <w:ilvl w:val="0"/>
          <w:numId w:val="2"/>
        </w:numPr>
        <w:spacing w:before="0"/>
        <w:ind w:left="709" w:hanging="283"/>
        <w:rPr>
          <w:rFonts w:ascii="Helvetica Neue" w:hAnsi="Helvetica Neue"/>
          <w:color w:val="404040" w:themeColor="text1" w:themeTint="BF"/>
        </w:rPr>
      </w:pPr>
      <w:r w:rsidRPr="005D09DC">
        <w:rPr>
          <w:rFonts w:ascii="Helvetica Neue" w:hAnsi="Helvetica Neue"/>
          <w:color w:val="404040" w:themeColor="text1" w:themeTint="BF"/>
        </w:rPr>
        <w:t xml:space="preserve">Details </w:t>
      </w:r>
      <w:r w:rsidR="00A02047" w:rsidRPr="005D09DC">
        <w:rPr>
          <w:rFonts w:ascii="Helvetica Neue" w:hAnsi="Helvetica Neue"/>
          <w:color w:val="404040" w:themeColor="text1" w:themeTint="BF"/>
        </w:rPr>
        <w:t>the findings of the written submissions to the ISEP Discussion Paper.</w:t>
      </w:r>
    </w:p>
    <w:p w14:paraId="5A4A1A42" w14:textId="77777777" w:rsidR="009227DD" w:rsidRPr="005D09DC" w:rsidRDefault="009227DD">
      <w:pPr>
        <w:rPr>
          <w:rFonts w:eastAsiaTheme="majorEastAsia" w:cstheme="majorBidi"/>
          <w:b/>
          <w:color w:val="1E9995"/>
          <w:sz w:val="28"/>
          <w:szCs w:val="26"/>
        </w:rPr>
      </w:pPr>
      <w:r w:rsidRPr="005D09DC">
        <w:br w:type="page"/>
      </w:r>
    </w:p>
    <w:p w14:paraId="67DE422C" w14:textId="77777777" w:rsidR="004602E7" w:rsidRPr="0093006A" w:rsidRDefault="00FB2E9C" w:rsidP="009227DD">
      <w:pPr>
        <w:pStyle w:val="Heading2"/>
        <w:spacing w:before="0" w:after="120" w:line="240" w:lineRule="auto"/>
        <w:rPr>
          <w:color w:val="595959" w:themeColor="text1" w:themeTint="A6"/>
        </w:rPr>
      </w:pPr>
      <w:bookmarkStart w:id="20" w:name="_Toc84951078"/>
      <w:bookmarkStart w:id="21" w:name="_Toc85030958"/>
      <w:r w:rsidRPr="0093006A">
        <w:rPr>
          <w:color w:val="595959" w:themeColor="text1" w:themeTint="A6"/>
        </w:rPr>
        <w:t>Structure of this report</w:t>
      </w:r>
      <w:bookmarkEnd w:id="20"/>
      <w:bookmarkEnd w:id="21"/>
    </w:p>
    <w:p w14:paraId="549D76E9" w14:textId="77777777" w:rsidR="001810E0" w:rsidRPr="0093006A" w:rsidRDefault="00313AC8" w:rsidP="009227DD">
      <w:pPr>
        <w:spacing w:after="120"/>
        <w:rPr>
          <w:color w:val="595959" w:themeColor="text1" w:themeTint="A6"/>
        </w:rPr>
      </w:pPr>
      <w:r w:rsidRPr="0093006A">
        <w:rPr>
          <w:color w:val="595959" w:themeColor="text1" w:themeTint="A6"/>
        </w:rPr>
        <w:t>This report follows the structure outlined in Table</w:t>
      </w:r>
      <w:r w:rsidR="006A3DEB" w:rsidRPr="0093006A">
        <w:rPr>
          <w:color w:val="595959" w:themeColor="text1" w:themeTint="A6"/>
        </w:rPr>
        <w:t>1</w:t>
      </w:r>
      <w:r w:rsidRPr="0093006A">
        <w:rPr>
          <w:color w:val="595959" w:themeColor="text1" w:themeTint="A6"/>
        </w:rPr>
        <w:t xml:space="preserve">. </w:t>
      </w:r>
    </w:p>
    <w:p w14:paraId="37E7BC2F" w14:textId="77777777" w:rsidR="001A221F" w:rsidRPr="0093006A" w:rsidRDefault="001810E0" w:rsidP="009227DD">
      <w:pPr>
        <w:spacing w:after="120"/>
        <w:rPr>
          <w:b/>
          <w:bCs/>
          <w:color w:val="595959" w:themeColor="text1" w:themeTint="A6"/>
          <w:sz w:val="24"/>
          <w:szCs w:val="24"/>
        </w:rPr>
      </w:pPr>
      <w:r w:rsidRPr="0093006A">
        <w:rPr>
          <w:b/>
          <w:bCs/>
          <w:color w:val="595959" w:themeColor="text1" w:themeTint="A6"/>
          <w:sz w:val="24"/>
          <w:szCs w:val="24"/>
        </w:rPr>
        <w:t>Table 1: Report structure</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Report structure"/>
        <w:tblDescription w:val="Depicts each key component of the report in order, along with details of what each section contains."/>
      </w:tblPr>
      <w:tblGrid>
        <w:gridCol w:w="2830"/>
        <w:gridCol w:w="6180"/>
      </w:tblGrid>
      <w:tr w:rsidR="0093006A" w:rsidRPr="0093006A" w14:paraId="0C17BD93" w14:textId="77777777" w:rsidTr="004976E1">
        <w:trPr>
          <w:cantSplit/>
          <w:tblHeader/>
        </w:trPr>
        <w:tc>
          <w:tcPr>
            <w:tcW w:w="2830" w:type="dxa"/>
            <w:shd w:val="clear" w:color="auto" w:fill="auto"/>
          </w:tcPr>
          <w:p w14:paraId="502B345C" w14:textId="77777777" w:rsidR="001A221F" w:rsidRPr="0093006A" w:rsidRDefault="00FB2E9C" w:rsidP="006A3DEB">
            <w:pPr>
              <w:spacing w:after="120"/>
              <w:rPr>
                <w:b/>
                <w:color w:val="595959" w:themeColor="text1" w:themeTint="A6"/>
              </w:rPr>
            </w:pPr>
            <w:r w:rsidRPr="0093006A">
              <w:rPr>
                <w:b/>
                <w:color w:val="595959" w:themeColor="text1" w:themeTint="A6"/>
              </w:rPr>
              <w:t>Section</w:t>
            </w:r>
          </w:p>
        </w:tc>
        <w:tc>
          <w:tcPr>
            <w:tcW w:w="6180" w:type="dxa"/>
            <w:shd w:val="clear" w:color="auto" w:fill="auto"/>
          </w:tcPr>
          <w:p w14:paraId="24848CBC" w14:textId="77777777" w:rsidR="001A221F" w:rsidRPr="0093006A" w:rsidRDefault="00FB2E9C" w:rsidP="006A3DEB">
            <w:pPr>
              <w:spacing w:after="120"/>
              <w:rPr>
                <w:b/>
                <w:color w:val="595959" w:themeColor="text1" w:themeTint="A6"/>
              </w:rPr>
            </w:pPr>
            <w:r w:rsidRPr="0093006A">
              <w:rPr>
                <w:b/>
                <w:color w:val="595959" w:themeColor="text1" w:themeTint="A6"/>
              </w:rPr>
              <w:t>Contents</w:t>
            </w:r>
          </w:p>
        </w:tc>
      </w:tr>
      <w:tr w:rsidR="00B94FAA" w:rsidRPr="005D09DC" w14:paraId="78B01B55" w14:textId="77777777" w:rsidTr="004976E1">
        <w:trPr>
          <w:cantSplit/>
        </w:trPr>
        <w:tc>
          <w:tcPr>
            <w:tcW w:w="2830" w:type="dxa"/>
          </w:tcPr>
          <w:p w14:paraId="05D06980" w14:textId="77777777" w:rsidR="00B94FAA" w:rsidRPr="005D09DC" w:rsidRDefault="00B94FAA" w:rsidP="006A3DEB">
            <w:pPr>
              <w:spacing w:after="120"/>
            </w:pPr>
            <w:r w:rsidRPr="005D09DC">
              <w:t xml:space="preserve">Acknowledgements </w:t>
            </w:r>
          </w:p>
        </w:tc>
        <w:tc>
          <w:tcPr>
            <w:tcW w:w="6180" w:type="dxa"/>
          </w:tcPr>
          <w:p w14:paraId="276C16B6" w14:textId="306A602B" w:rsidR="00B94FAA" w:rsidRPr="005D09DC" w:rsidRDefault="008D5739" w:rsidP="006A3DEB">
            <w:pPr>
              <w:spacing w:after="120"/>
              <w:rPr>
                <w:highlight w:val="yellow"/>
              </w:rPr>
            </w:pPr>
            <w:r w:rsidRPr="005D09DC">
              <w:t xml:space="preserve">Acknowledging Country, and the </w:t>
            </w:r>
            <w:r w:rsidR="00C856F8" w:rsidRPr="005D09DC">
              <w:t xml:space="preserve">participants and </w:t>
            </w:r>
            <w:r w:rsidRPr="005D09DC">
              <w:t xml:space="preserve">NIAA staff who contributed to this report. </w:t>
            </w:r>
          </w:p>
        </w:tc>
      </w:tr>
      <w:tr w:rsidR="00B94FAA" w:rsidRPr="005D09DC" w14:paraId="0288222A" w14:textId="77777777" w:rsidTr="004976E1">
        <w:trPr>
          <w:cantSplit/>
        </w:trPr>
        <w:tc>
          <w:tcPr>
            <w:tcW w:w="2830" w:type="dxa"/>
          </w:tcPr>
          <w:p w14:paraId="17157634" w14:textId="77777777" w:rsidR="00B94FAA" w:rsidRPr="005D09DC" w:rsidRDefault="00B94FAA" w:rsidP="006A3DEB">
            <w:pPr>
              <w:spacing w:after="120"/>
            </w:pPr>
            <w:r w:rsidRPr="005D09DC">
              <w:t xml:space="preserve">Executive Summary </w:t>
            </w:r>
          </w:p>
        </w:tc>
        <w:tc>
          <w:tcPr>
            <w:tcW w:w="6180" w:type="dxa"/>
          </w:tcPr>
          <w:p w14:paraId="2D647924" w14:textId="77777777" w:rsidR="00B94FAA" w:rsidRPr="005D09DC" w:rsidRDefault="009268EC" w:rsidP="006A3DEB">
            <w:pPr>
              <w:spacing w:after="120"/>
            </w:pPr>
            <w:r w:rsidRPr="005D09DC">
              <w:t xml:space="preserve">Overarching summary of the consultation activities, methodology and findings and insights. </w:t>
            </w:r>
          </w:p>
        </w:tc>
      </w:tr>
      <w:tr w:rsidR="001A221F" w:rsidRPr="005D09DC" w14:paraId="0C70AE24" w14:textId="77777777" w:rsidTr="004976E1">
        <w:trPr>
          <w:cantSplit/>
        </w:trPr>
        <w:tc>
          <w:tcPr>
            <w:tcW w:w="2830" w:type="dxa"/>
          </w:tcPr>
          <w:p w14:paraId="3B934EB2" w14:textId="77777777" w:rsidR="001A221F" w:rsidRPr="005D09DC" w:rsidRDefault="00B94FAA" w:rsidP="006A3DEB">
            <w:pPr>
              <w:spacing w:after="120"/>
            </w:pPr>
            <w:r w:rsidRPr="005D09DC">
              <w:t xml:space="preserve">Introduction </w:t>
            </w:r>
          </w:p>
        </w:tc>
        <w:tc>
          <w:tcPr>
            <w:tcW w:w="6180" w:type="dxa"/>
          </w:tcPr>
          <w:p w14:paraId="1D3EC74E" w14:textId="77777777" w:rsidR="001A221F" w:rsidRPr="005D09DC" w:rsidRDefault="009268EC" w:rsidP="006A3DEB">
            <w:pPr>
              <w:spacing w:after="120"/>
            </w:pPr>
            <w:r w:rsidRPr="005D09DC">
              <w:t xml:space="preserve">Overview of the purpose and structure of the report. </w:t>
            </w:r>
          </w:p>
        </w:tc>
      </w:tr>
      <w:tr w:rsidR="001A221F" w:rsidRPr="005D09DC" w14:paraId="54B453D6" w14:textId="77777777" w:rsidTr="004976E1">
        <w:trPr>
          <w:cantSplit/>
        </w:trPr>
        <w:tc>
          <w:tcPr>
            <w:tcW w:w="2830" w:type="dxa"/>
          </w:tcPr>
          <w:p w14:paraId="59D55466" w14:textId="77777777" w:rsidR="001A221F" w:rsidRPr="005D09DC" w:rsidRDefault="001810E0" w:rsidP="006A3DEB">
            <w:pPr>
              <w:spacing w:after="120"/>
              <w:rPr>
                <w:highlight w:val="green"/>
              </w:rPr>
            </w:pPr>
            <w:r w:rsidRPr="005D09DC">
              <w:t>Methodology</w:t>
            </w:r>
          </w:p>
        </w:tc>
        <w:tc>
          <w:tcPr>
            <w:tcW w:w="6180" w:type="dxa"/>
          </w:tcPr>
          <w:p w14:paraId="6813A52B" w14:textId="67F3CF5C" w:rsidR="001A221F" w:rsidRPr="005D09DC" w:rsidRDefault="00A02047" w:rsidP="006A3DEB">
            <w:pPr>
              <w:spacing w:after="120"/>
              <w:rPr>
                <w:color w:val="404040"/>
              </w:rPr>
            </w:pPr>
            <w:r w:rsidRPr="005D09DC">
              <w:rPr>
                <w:color w:val="404040"/>
              </w:rPr>
              <w:t>Outline of methodology, locations</w:t>
            </w:r>
            <w:r w:rsidR="0005743A" w:rsidRPr="005D09DC">
              <w:rPr>
                <w:color w:val="404040"/>
              </w:rPr>
              <w:t xml:space="preserve">, </w:t>
            </w:r>
            <w:r w:rsidRPr="005D09DC">
              <w:rPr>
                <w:color w:val="404040"/>
              </w:rPr>
              <w:t xml:space="preserve">participants, </w:t>
            </w:r>
            <w:r w:rsidR="00DC29E6" w:rsidRPr="005D09DC">
              <w:rPr>
                <w:color w:val="404040"/>
              </w:rPr>
              <w:t>and</w:t>
            </w:r>
            <w:r w:rsidRPr="005D09DC">
              <w:rPr>
                <w:color w:val="404040"/>
              </w:rPr>
              <w:t xml:space="preserve"> the questions used in consultation activit</w:t>
            </w:r>
            <w:r w:rsidR="0005743A" w:rsidRPr="005D09DC">
              <w:rPr>
                <w:color w:val="404040"/>
              </w:rPr>
              <w:t>ies</w:t>
            </w:r>
            <w:r w:rsidRPr="005D09DC">
              <w:rPr>
                <w:color w:val="404040"/>
              </w:rPr>
              <w:t xml:space="preserve">. </w:t>
            </w:r>
          </w:p>
        </w:tc>
      </w:tr>
      <w:tr w:rsidR="001A221F" w:rsidRPr="005D09DC" w14:paraId="2F32592B" w14:textId="77777777" w:rsidTr="004976E1">
        <w:trPr>
          <w:cantSplit/>
        </w:trPr>
        <w:tc>
          <w:tcPr>
            <w:tcW w:w="2830" w:type="dxa"/>
          </w:tcPr>
          <w:p w14:paraId="25012431" w14:textId="77777777" w:rsidR="001A221F" w:rsidRPr="005D09DC" w:rsidRDefault="00FB2E9C" w:rsidP="006A3DEB">
            <w:pPr>
              <w:spacing w:after="120"/>
              <w:rPr>
                <w:highlight w:val="green"/>
              </w:rPr>
            </w:pPr>
            <w:r w:rsidRPr="005D09DC">
              <w:t>Findings</w:t>
            </w:r>
          </w:p>
        </w:tc>
        <w:tc>
          <w:tcPr>
            <w:tcW w:w="6180" w:type="dxa"/>
          </w:tcPr>
          <w:p w14:paraId="37D63169" w14:textId="77777777" w:rsidR="001A221F" w:rsidRPr="005D09DC" w:rsidRDefault="009268EC" w:rsidP="006A3DEB">
            <w:pPr>
              <w:spacing w:after="120"/>
            </w:pPr>
            <w:r w:rsidRPr="005D09DC">
              <w:t xml:space="preserve">Discussion of </w:t>
            </w:r>
            <w:r w:rsidR="001810E0" w:rsidRPr="005D09DC">
              <w:t>the</w:t>
            </w:r>
            <w:r w:rsidR="00DC29E6" w:rsidRPr="005D09DC">
              <w:t xml:space="preserve"> </w:t>
            </w:r>
            <w:r w:rsidRPr="005D09DC">
              <w:t xml:space="preserve">findings across consultation activity type and questions. </w:t>
            </w:r>
          </w:p>
        </w:tc>
      </w:tr>
      <w:tr w:rsidR="001A221F" w:rsidRPr="005D09DC" w14:paraId="5524FFF5" w14:textId="77777777" w:rsidTr="004976E1">
        <w:trPr>
          <w:cantSplit/>
        </w:trPr>
        <w:tc>
          <w:tcPr>
            <w:tcW w:w="2830" w:type="dxa"/>
          </w:tcPr>
          <w:p w14:paraId="3993A029" w14:textId="77777777" w:rsidR="001A221F" w:rsidRPr="005D09DC" w:rsidRDefault="00B94FAA" w:rsidP="006A3DEB">
            <w:pPr>
              <w:spacing w:after="120"/>
            </w:pPr>
            <w:r w:rsidRPr="005D09DC">
              <w:t>Key Insights</w:t>
            </w:r>
          </w:p>
        </w:tc>
        <w:tc>
          <w:tcPr>
            <w:tcW w:w="6180" w:type="dxa"/>
          </w:tcPr>
          <w:p w14:paraId="6F74210E" w14:textId="7BF80C49" w:rsidR="001A221F" w:rsidRPr="005D09DC" w:rsidRDefault="001810E0" w:rsidP="006A3DEB">
            <w:pPr>
              <w:spacing w:after="120"/>
              <w:rPr>
                <w:color w:val="404040"/>
              </w:rPr>
            </w:pPr>
            <w:r w:rsidRPr="005D09DC">
              <w:t>Detailed insights from the data analysis for future use</w:t>
            </w:r>
            <w:r w:rsidR="009268EC" w:rsidRPr="005D09DC">
              <w:t xml:space="preserve"> </w:t>
            </w:r>
            <w:r w:rsidRPr="005D09DC">
              <w:rPr>
                <w:color w:val="404040"/>
              </w:rPr>
              <w:t xml:space="preserve">by NIAA in the co-design process for the ISEP program. </w:t>
            </w:r>
          </w:p>
        </w:tc>
      </w:tr>
      <w:tr w:rsidR="001A221F" w:rsidRPr="005D09DC" w14:paraId="69D26622" w14:textId="77777777" w:rsidTr="004976E1">
        <w:trPr>
          <w:cantSplit/>
        </w:trPr>
        <w:tc>
          <w:tcPr>
            <w:tcW w:w="2830" w:type="dxa"/>
          </w:tcPr>
          <w:p w14:paraId="077C4D2C" w14:textId="77777777" w:rsidR="001A221F" w:rsidRPr="005D09DC" w:rsidRDefault="00FB2E9C" w:rsidP="006A3DEB">
            <w:pPr>
              <w:spacing w:after="120"/>
            </w:pPr>
            <w:r w:rsidRPr="005D09DC">
              <w:t>Appendices</w:t>
            </w:r>
          </w:p>
        </w:tc>
        <w:tc>
          <w:tcPr>
            <w:tcW w:w="6180" w:type="dxa"/>
          </w:tcPr>
          <w:p w14:paraId="46A94B6E" w14:textId="77777777" w:rsidR="0068600F" w:rsidRPr="005D09DC" w:rsidRDefault="0068600F" w:rsidP="0068600F">
            <w:pPr>
              <w:spacing w:after="120"/>
            </w:pPr>
            <w:r w:rsidRPr="005D09DC">
              <w:t>The following appendices accompany this report:</w:t>
            </w:r>
          </w:p>
          <w:p w14:paraId="67BF8882" w14:textId="77777777" w:rsidR="0068600F" w:rsidRPr="005D09DC" w:rsidRDefault="0068600F" w:rsidP="003769B7">
            <w:pPr>
              <w:pStyle w:val="ListParagraph"/>
              <w:numPr>
                <w:ilvl w:val="0"/>
                <w:numId w:val="25"/>
              </w:numPr>
              <w:spacing w:after="120"/>
            </w:pPr>
            <w:r w:rsidRPr="005D09DC">
              <w:t xml:space="preserve">Regional </w:t>
            </w:r>
            <w:r w:rsidR="002F2F34" w:rsidRPr="005D09DC">
              <w:t>r</w:t>
            </w:r>
            <w:r w:rsidRPr="005D09DC">
              <w:t xml:space="preserve">oundtable </w:t>
            </w:r>
            <w:r w:rsidR="002F2F34" w:rsidRPr="005D09DC">
              <w:t>a</w:t>
            </w:r>
            <w:r w:rsidRPr="005D09DC">
              <w:t>genda example</w:t>
            </w:r>
          </w:p>
          <w:p w14:paraId="2D3EEA5A" w14:textId="03C94F5A" w:rsidR="0068600F" w:rsidRPr="005D09DC" w:rsidRDefault="0068600F">
            <w:pPr>
              <w:pStyle w:val="ListParagraph"/>
              <w:numPr>
                <w:ilvl w:val="0"/>
                <w:numId w:val="25"/>
              </w:numPr>
              <w:spacing w:after="120"/>
            </w:pPr>
            <w:r w:rsidRPr="005D09DC">
              <w:t xml:space="preserve">Roundtable </w:t>
            </w:r>
            <w:r w:rsidR="002F2F34" w:rsidRPr="005D09DC">
              <w:t>p</w:t>
            </w:r>
            <w:r w:rsidRPr="005D09DC">
              <w:t xml:space="preserve">articipant </w:t>
            </w:r>
            <w:r w:rsidR="002F2F34" w:rsidRPr="005D09DC">
              <w:t>list</w:t>
            </w:r>
            <w:r w:rsidR="009C650D" w:rsidRPr="005D09DC">
              <w:t>s</w:t>
            </w:r>
          </w:p>
          <w:p w14:paraId="61B14C8B" w14:textId="113B996E" w:rsidR="003E5604" w:rsidRPr="005D09DC" w:rsidRDefault="0068600F" w:rsidP="003769B7">
            <w:pPr>
              <w:pStyle w:val="ListParagraph"/>
              <w:numPr>
                <w:ilvl w:val="0"/>
                <w:numId w:val="25"/>
              </w:numPr>
              <w:spacing w:after="120"/>
            </w:pPr>
            <w:r w:rsidRPr="005D09DC">
              <w:t xml:space="preserve">Discussion Paper written submissions </w:t>
            </w:r>
            <w:r w:rsidR="00981521" w:rsidRPr="005D09DC">
              <w:t>list</w:t>
            </w:r>
          </w:p>
        </w:tc>
      </w:tr>
    </w:tbl>
    <w:p w14:paraId="47A506EF" w14:textId="77777777" w:rsidR="001A221F" w:rsidRPr="005D09DC" w:rsidRDefault="001A221F">
      <w:pPr>
        <w:spacing w:after="120"/>
      </w:pPr>
    </w:p>
    <w:p w14:paraId="2107DDD6" w14:textId="77777777" w:rsidR="001A221F" w:rsidRPr="005D09DC" w:rsidRDefault="00FB2E9C">
      <w:r w:rsidRPr="005D09DC">
        <w:br w:type="page"/>
      </w:r>
    </w:p>
    <w:p w14:paraId="45D61A82" w14:textId="77777777" w:rsidR="001A221F" w:rsidRPr="005D09DC" w:rsidRDefault="001810E0" w:rsidP="00981521">
      <w:pPr>
        <w:pStyle w:val="Heading1"/>
      </w:pPr>
      <w:bookmarkStart w:id="22" w:name="_Toc85030959"/>
      <w:r w:rsidRPr="005D09DC">
        <w:t>Methodology</w:t>
      </w:r>
      <w:bookmarkEnd w:id="22"/>
      <w:r w:rsidRPr="005D09DC">
        <w:t xml:space="preserve"> </w:t>
      </w:r>
    </w:p>
    <w:p w14:paraId="41C3B6CE" w14:textId="77777777" w:rsidR="001810E0" w:rsidRPr="005D09DC" w:rsidRDefault="001810E0" w:rsidP="009227DD">
      <w:pPr>
        <w:spacing w:after="120"/>
      </w:pPr>
      <w:r w:rsidRPr="005D09DC">
        <w:t>In July 2021, in the context of the Government’s commitment to the National Agreement on Closing the Gap, the National the Minister for Indigenous Australians, the Hon Ken Wyatt AM MP, announced a public consultation process for developing and co-designing the ISEP. The process was to include:</w:t>
      </w:r>
    </w:p>
    <w:p w14:paraId="0C48E4EA" w14:textId="43F33AFD" w:rsidR="001810E0" w:rsidRPr="005D09DC" w:rsidRDefault="00467A87" w:rsidP="003769B7">
      <w:pPr>
        <w:pStyle w:val="ListParagraph"/>
        <w:numPr>
          <w:ilvl w:val="0"/>
          <w:numId w:val="8"/>
        </w:numPr>
        <w:ind w:left="714" w:hanging="357"/>
        <w:contextualSpacing w:val="0"/>
      </w:pPr>
      <w:r w:rsidRPr="005D09DC">
        <w:t xml:space="preserve">National </w:t>
      </w:r>
      <w:r w:rsidR="001810E0" w:rsidRPr="005D09DC">
        <w:rPr>
          <w:rFonts w:eastAsia="Times New Roman" w:cs="Times New Roman"/>
          <w:spacing w:val="4"/>
        </w:rPr>
        <w:t>roundtable discussions</w:t>
      </w:r>
      <w:r w:rsidR="002331DE" w:rsidRPr="005D09DC">
        <w:rPr>
          <w:rFonts w:eastAsia="Times New Roman" w:cs="Times New Roman"/>
          <w:spacing w:val="4"/>
        </w:rPr>
        <w:t xml:space="preserve">, </w:t>
      </w:r>
    </w:p>
    <w:p w14:paraId="6382A3F2" w14:textId="3A2CFA0E" w:rsidR="001810E0" w:rsidRPr="005D09DC" w:rsidRDefault="00467A87" w:rsidP="003769B7">
      <w:pPr>
        <w:pStyle w:val="ListParagraph"/>
        <w:numPr>
          <w:ilvl w:val="0"/>
          <w:numId w:val="8"/>
        </w:numPr>
        <w:ind w:left="714" w:hanging="357"/>
        <w:contextualSpacing w:val="0"/>
      </w:pPr>
      <w:r w:rsidRPr="005D09DC">
        <w:t>Roundtable discussions and Town Hall meetings in metropolitan, regional and remote locations</w:t>
      </w:r>
      <w:r w:rsidR="002331DE" w:rsidRPr="005D09DC">
        <w:t>, and</w:t>
      </w:r>
    </w:p>
    <w:p w14:paraId="25D86AEF" w14:textId="292D211E" w:rsidR="00BE7261" w:rsidRPr="005D09DC" w:rsidRDefault="00467A87" w:rsidP="003769B7">
      <w:pPr>
        <w:pStyle w:val="ListParagraph"/>
        <w:numPr>
          <w:ilvl w:val="0"/>
          <w:numId w:val="8"/>
        </w:numPr>
        <w:spacing w:after="120"/>
        <w:ind w:left="714" w:hanging="357"/>
        <w:contextualSpacing w:val="0"/>
      </w:pPr>
      <w:r w:rsidRPr="005D09DC">
        <w:t xml:space="preserve">Inviting and receiving written submissions from the public on the </w:t>
      </w:r>
      <w:r w:rsidR="001A5D81" w:rsidRPr="005D09DC">
        <w:t>ISEP</w:t>
      </w:r>
      <w:r w:rsidRPr="005D09DC">
        <w:t xml:space="preserve"> discussion paper.</w:t>
      </w:r>
      <w:r w:rsidR="001810E0" w:rsidRPr="005D09DC">
        <w:rPr>
          <w:rStyle w:val="FootnoteReference"/>
        </w:rPr>
        <w:footnoteReference w:id="6"/>
      </w:r>
      <w:r w:rsidR="001810E0" w:rsidRPr="005D09DC">
        <w:t xml:space="preserve"> </w:t>
      </w:r>
    </w:p>
    <w:p w14:paraId="7A8B1B80" w14:textId="0F66E793" w:rsidR="004602E7" w:rsidRPr="005D09DC" w:rsidRDefault="001D3F31" w:rsidP="009227DD">
      <w:pPr>
        <w:spacing w:after="120"/>
      </w:pPr>
      <w:r w:rsidRPr="005D09DC">
        <w:t>In</w:t>
      </w:r>
      <w:r w:rsidR="001810E0" w:rsidRPr="005D09DC">
        <w:t xml:space="preserve"> August 2021</w:t>
      </w:r>
      <w:r w:rsidR="002A3219" w:rsidRPr="005D09DC">
        <w:t xml:space="preserve">, </w:t>
      </w:r>
      <w:r w:rsidR="001810E0" w:rsidRPr="005D09DC">
        <w:t xml:space="preserve">Inside Policy was </w:t>
      </w:r>
      <w:r w:rsidR="0018073A" w:rsidRPr="005D09DC">
        <w:t>e</w:t>
      </w:r>
      <w:r w:rsidR="001810E0" w:rsidRPr="005D09DC">
        <w:t xml:space="preserve">ngaged to conduct </w:t>
      </w:r>
      <w:r w:rsidR="0018073A" w:rsidRPr="005D09DC">
        <w:t xml:space="preserve">roundtable discussions </w:t>
      </w:r>
      <w:r w:rsidRPr="005D09DC">
        <w:t xml:space="preserve">and </w:t>
      </w:r>
      <w:r w:rsidR="00C273ED" w:rsidRPr="005D09DC">
        <w:t xml:space="preserve">town hall </w:t>
      </w:r>
      <w:r w:rsidRPr="005D09DC">
        <w:t xml:space="preserve">meetings (Town Halls) </w:t>
      </w:r>
      <w:r w:rsidR="0018073A" w:rsidRPr="005D09DC">
        <w:t>and analyse the written submissions</w:t>
      </w:r>
      <w:r w:rsidR="001810E0" w:rsidRPr="005D09DC">
        <w:t xml:space="preserve">. </w:t>
      </w:r>
    </w:p>
    <w:p w14:paraId="45AB050C" w14:textId="77777777" w:rsidR="00FF3CC7" w:rsidRPr="005D09DC" w:rsidRDefault="00FF3CC7" w:rsidP="009227DD">
      <w:pPr>
        <w:spacing w:after="120"/>
      </w:pPr>
      <w:r w:rsidRPr="005D09DC">
        <w:t>Outlined below are the methods used to undertake the regional and national roundtables as well as to analyse the written submissions.</w:t>
      </w:r>
    </w:p>
    <w:p w14:paraId="4CED6777" w14:textId="0D01A628" w:rsidR="00583C44" w:rsidRPr="005D09DC" w:rsidRDefault="00FF3CC7" w:rsidP="009227DD">
      <w:pPr>
        <w:pStyle w:val="Heading2"/>
        <w:spacing w:before="0" w:after="120" w:line="240" w:lineRule="auto"/>
      </w:pPr>
      <w:bookmarkStart w:id="23" w:name="_Toc84951080"/>
      <w:bookmarkStart w:id="24" w:name="_Toc85030960"/>
      <w:r w:rsidRPr="005D09DC">
        <w:t xml:space="preserve">Regional and national roundtables and </w:t>
      </w:r>
      <w:r w:rsidR="002A3219" w:rsidRPr="005D09DC">
        <w:t>T</w:t>
      </w:r>
      <w:r w:rsidRPr="005D09DC">
        <w:t xml:space="preserve">own </w:t>
      </w:r>
      <w:r w:rsidR="002A3219" w:rsidRPr="005D09DC">
        <w:t>H</w:t>
      </w:r>
      <w:r w:rsidRPr="005D09DC">
        <w:t>alls</w:t>
      </w:r>
      <w:bookmarkEnd w:id="23"/>
      <w:bookmarkEnd w:id="24"/>
    </w:p>
    <w:p w14:paraId="4AA70C5B" w14:textId="198A7A61" w:rsidR="00583C44" w:rsidRPr="005D09DC" w:rsidRDefault="00583C44" w:rsidP="009227DD">
      <w:pPr>
        <w:spacing w:after="120"/>
      </w:pPr>
      <w:r w:rsidRPr="005D09DC">
        <w:t xml:space="preserve">The </w:t>
      </w:r>
      <w:r w:rsidR="00577A96" w:rsidRPr="005D09DC">
        <w:t>roundtables</w:t>
      </w:r>
      <w:r w:rsidRPr="005D09DC">
        <w:t xml:space="preserve"> </w:t>
      </w:r>
      <w:r w:rsidR="00577A96" w:rsidRPr="005D09DC">
        <w:t xml:space="preserve">and </w:t>
      </w:r>
      <w:r w:rsidR="002A3219" w:rsidRPr="005D09DC">
        <w:t>T</w:t>
      </w:r>
      <w:r w:rsidR="00577A96" w:rsidRPr="005D09DC">
        <w:t xml:space="preserve">own </w:t>
      </w:r>
      <w:r w:rsidR="002A3219" w:rsidRPr="005D09DC">
        <w:t>H</w:t>
      </w:r>
      <w:r w:rsidR="00577A96" w:rsidRPr="005D09DC">
        <w:t xml:space="preserve">alls </w:t>
      </w:r>
      <w:r w:rsidRPr="005D09DC">
        <w:t>focused on understanding stakeholder perspectives of how the ISEP could be designed to best support Indigenous jobseekers. This involved facilitating discussion</w:t>
      </w:r>
      <w:r w:rsidR="00902FE0" w:rsidRPr="005D09DC">
        <w:t>s</w:t>
      </w:r>
      <w:r w:rsidRPr="005D09DC">
        <w:t xml:space="preserve"> on the current challenges and barriers jobseekers face, the current or potential employment and training opportunities for Indigenous jobseekers at the regional level, and the future possibilities for Indigenous employment success. </w:t>
      </w:r>
    </w:p>
    <w:p w14:paraId="0591EDE2" w14:textId="77777777" w:rsidR="00583C44" w:rsidRPr="005D09DC" w:rsidRDefault="00583C44" w:rsidP="009227DD">
      <w:pPr>
        <w:spacing w:after="120"/>
      </w:pPr>
      <w:r w:rsidRPr="005D09DC">
        <w:t xml:space="preserve">The </w:t>
      </w:r>
      <w:r w:rsidR="00577A96" w:rsidRPr="005D09DC">
        <w:t>roundtables</w:t>
      </w:r>
      <w:r w:rsidRPr="005D09DC">
        <w:t xml:space="preserve"> achieved this by asking three overarching questions: </w:t>
      </w:r>
    </w:p>
    <w:p w14:paraId="4A5F9D04" w14:textId="77777777" w:rsidR="00583C44" w:rsidRPr="005D09DC" w:rsidRDefault="00583C44" w:rsidP="003769B7">
      <w:pPr>
        <w:pStyle w:val="ListParagraph"/>
        <w:numPr>
          <w:ilvl w:val="3"/>
          <w:numId w:val="3"/>
        </w:numPr>
        <w:ind w:left="850" w:hanging="357"/>
        <w:contextualSpacing w:val="0"/>
      </w:pPr>
      <w:r w:rsidRPr="005D09DC">
        <w:t>What is the current state of a jobseeker in your region?</w:t>
      </w:r>
    </w:p>
    <w:p w14:paraId="511778D8" w14:textId="77777777" w:rsidR="00583C44" w:rsidRPr="005D09DC" w:rsidRDefault="00583C44" w:rsidP="003769B7">
      <w:pPr>
        <w:pStyle w:val="ListParagraph"/>
        <w:numPr>
          <w:ilvl w:val="3"/>
          <w:numId w:val="3"/>
        </w:numPr>
        <w:ind w:left="850" w:hanging="357"/>
        <w:contextualSpacing w:val="0"/>
      </w:pPr>
      <w:r w:rsidRPr="005D09DC">
        <w:t>What is the current state of opportunities in your region?</w:t>
      </w:r>
    </w:p>
    <w:p w14:paraId="0C83E0DF" w14:textId="77777777" w:rsidR="00583C44" w:rsidRPr="005D09DC" w:rsidRDefault="00583C44" w:rsidP="003769B7">
      <w:pPr>
        <w:pStyle w:val="ListParagraph"/>
        <w:numPr>
          <w:ilvl w:val="3"/>
          <w:numId w:val="3"/>
        </w:numPr>
        <w:spacing w:after="120"/>
        <w:ind w:left="851"/>
        <w:contextualSpacing w:val="0"/>
      </w:pPr>
      <w:r w:rsidRPr="005D09DC">
        <w:t xml:space="preserve">What is the desired future state for jobseekers in your region? </w:t>
      </w:r>
    </w:p>
    <w:p w14:paraId="3A567BCA" w14:textId="57F44E5C" w:rsidR="0087775D" w:rsidRPr="0093006A" w:rsidRDefault="0087775D" w:rsidP="00FF3CC7">
      <w:pPr>
        <w:spacing w:after="120"/>
        <w:rPr>
          <w:color w:val="595959" w:themeColor="text1" w:themeTint="A6"/>
        </w:rPr>
      </w:pPr>
      <w:r w:rsidRPr="005D09DC">
        <w:t>Init</w:t>
      </w:r>
      <w:r w:rsidR="009A69A0" w:rsidRPr="005D09DC">
        <w:t>i</w:t>
      </w:r>
      <w:r w:rsidRPr="005D09DC">
        <w:t>ally questions one and two were reversed</w:t>
      </w:r>
      <w:r w:rsidR="002A3219" w:rsidRPr="005D09DC">
        <w:t>,</w:t>
      </w:r>
      <w:r w:rsidRPr="005D09DC">
        <w:t xml:space="preserve"> but after </w:t>
      </w:r>
      <w:r w:rsidR="001B7E87" w:rsidRPr="005D09DC">
        <w:t>several</w:t>
      </w:r>
      <w:r w:rsidRPr="005D09DC">
        <w:t xml:space="preserve"> roundtables </w:t>
      </w:r>
      <w:r w:rsidR="001B7E87" w:rsidRPr="005D09DC">
        <w:t xml:space="preserve">were conducted </w:t>
      </w:r>
      <w:r w:rsidRPr="005D09DC">
        <w:t xml:space="preserve">it became apparent that </w:t>
      </w:r>
      <w:r w:rsidR="009A69A0" w:rsidRPr="005D09DC">
        <w:t>the quality of responses w</w:t>
      </w:r>
      <w:r w:rsidR="00D5211A" w:rsidRPr="005D09DC">
        <w:t xml:space="preserve">ere not appropriate </w:t>
      </w:r>
      <w:r w:rsidR="009A69A0" w:rsidRPr="005D09DC">
        <w:t xml:space="preserve">when participants were asked to nominate opportunities ahead of challenges, barriers and needs. </w:t>
      </w:r>
      <w:r w:rsidR="00D5211A" w:rsidRPr="005D09DC">
        <w:t xml:space="preserve">The majority of </w:t>
      </w:r>
      <w:r w:rsidR="009A69A0" w:rsidRPr="005D09DC">
        <w:t xml:space="preserve">roundtables used the questions as outlined above. However, it is worth noting that some participants felt they were not in a position to provide responses on behalf of </w:t>
      </w:r>
      <w:r w:rsidR="009A69A0" w:rsidRPr="0093006A">
        <w:rPr>
          <w:color w:val="595959" w:themeColor="text1" w:themeTint="A6"/>
        </w:rPr>
        <w:t xml:space="preserve">Indigenous jobseekers </w:t>
      </w:r>
      <w:r w:rsidR="00DD3DF9" w:rsidRPr="0093006A">
        <w:rPr>
          <w:color w:val="595959" w:themeColor="text1" w:themeTint="A6"/>
        </w:rPr>
        <w:t xml:space="preserve">regarding </w:t>
      </w:r>
      <w:r w:rsidR="009A69A0" w:rsidRPr="0093006A">
        <w:rPr>
          <w:color w:val="595959" w:themeColor="text1" w:themeTint="A6"/>
        </w:rPr>
        <w:t xml:space="preserve">their training and job aspirations. </w:t>
      </w:r>
    </w:p>
    <w:p w14:paraId="22D7D7BD" w14:textId="526F15F5" w:rsidR="00583C44" w:rsidRPr="0093006A" w:rsidRDefault="00583C44" w:rsidP="00FF3CC7">
      <w:pPr>
        <w:spacing w:after="120"/>
        <w:rPr>
          <w:color w:val="595959" w:themeColor="text1" w:themeTint="A6"/>
        </w:rPr>
      </w:pPr>
      <w:r w:rsidRPr="0093006A">
        <w:rPr>
          <w:color w:val="595959" w:themeColor="text1" w:themeTint="A6"/>
        </w:rPr>
        <w:t xml:space="preserve">A copy of the regional </w:t>
      </w:r>
      <w:r w:rsidR="00577A96" w:rsidRPr="0093006A">
        <w:rPr>
          <w:color w:val="595959" w:themeColor="text1" w:themeTint="A6"/>
        </w:rPr>
        <w:t>roundtable</w:t>
      </w:r>
      <w:r w:rsidRPr="0093006A">
        <w:rPr>
          <w:color w:val="595959" w:themeColor="text1" w:themeTint="A6"/>
        </w:rPr>
        <w:t xml:space="preserve"> agendas is included at Appendix </w:t>
      </w:r>
      <w:r w:rsidR="0087775D" w:rsidRPr="0093006A">
        <w:rPr>
          <w:color w:val="595959" w:themeColor="text1" w:themeTint="A6"/>
        </w:rPr>
        <w:t>A</w:t>
      </w:r>
      <w:r w:rsidRPr="0093006A">
        <w:rPr>
          <w:color w:val="595959" w:themeColor="text1" w:themeTint="A6"/>
        </w:rPr>
        <w:t>. A full list of the sub-questions is included below in Findings</w:t>
      </w:r>
      <w:r w:rsidR="002A3219" w:rsidRPr="0093006A">
        <w:rPr>
          <w:color w:val="595959" w:themeColor="text1" w:themeTint="A6"/>
        </w:rPr>
        <w:t>.</w:t>
      </w:r>
    </w:p>
    <w:p w14:paraId="4D7C41F4" w14:textId="5FFBCB01" w:rsidR="0051644D" w:rsidRPr="0093006A" w:rsidRDefault="0051644D" w:rsidP="0051644D">
      <w:pPr>
        <w:spacing w:after="120"/>
        <w:rPr>
          <w:color w:val="595959" w:themeColor="text1" w:themeTint="A6"/>
        </w:rPr>
      </w:pPr>
      <w:r w:rsidRPr="0093006A">
        <w:rPr>
          <w:color w:val="595959" w:themeColor="text1" w:themeTint="A6"/>
        </w:rPr>
        <w:t xml:space="preserve">The nature of the </w:t>
      </w:r>
      <w:r w:rsidR="002A3219" w:rsidRPr="0093006A">
        <w:rPr>
          <w:color w:val="595959" w:themeColor="text1" w:themeTint="A6"/>
        </w:rPr>
        <w:t>T</w:t>
      </w:r>
      <w:r w:rsidRPr="0093006A">
        <w:rPr>
          <w:color w:val="595959" w:themeColor="text1" w:themeTint="A6"/>
        </w:rPr>
        <w:t xml:space="preserve">own </w:t>
      </w:r>
      <w:r w:rsidR="002A3219" w:rsidRPr="0093006A">
        <w:rPr>
          <w:color w:val="595959" w:themeColor="text1" w:themeTint="A6"/>
        </w:rPr>
        <w:t>Ha</w:t>
      </w:r>
      <w:r w:rsidRPr="0093006A">
        <w:rPr>
          <w:color w:val="595959" w:themeColor="text1" w:themeTint="A6"/>
        </w:rPr>
        <w:t xml:space="preserve">ll and roundtable sessions varied across the regions to respond to regional understanding of participants’ capacities and availability. This flexibility aside, </w:t>
      </w:r>
      <w:r w:rsidR="002A3219" w:rsidRPr="0093006A">
        <w:rPr>
          <w:color w:val="595959" w:themeColor="text1" w:themeTint="A6"/>
        </w:rPr>
        <w:t>T</w:t>
      </w:r>
      <w:r w:rsidRPr="0093006A">
        <w:rPr>
          <w:color w:val="595959" w:themeColor="text1" w:themeTint="A6"/>
        </w:rPr>
        <w:t xml:space="preserve">own </w:t>
      </w:r>
      <w:r w:rsidR="002A3219" w:rsidRPr="0093006A">
        <w:rPr>
          <w:color w:val="595959" w:themeColor="text1" w:themeTint="A6"/>
        </w:rPr>
        <w:t>H</w:t>
      </w:r>
      <w:r w:rsidRPr="0093006A">
        <w:rPr>
          <w:color w:val="595959" w:themeColor="text1" w:themeTint="A6"/>
        </w:rPr>
        <w:t>alls tended to:</w:t>
      </w:r>
    </w:p>
    <w:p w14:paraId="32FB14BE" w14:textId="4B750A09" w:rsidR="0051644D" w:rsidRPr="0093006A" w:rsidRDefault="00467A87" w:rsidP="003769B7">
      <w:pPr>
        <w:pStyle w:val="ListParagraph"/>
        <w:numPr>
          <w:ilvl w:val="0"/>
          <w:numId w:val="45"/>
        </w:numPr>
        <w:spacing w:after="120"/>
        <w:rPr>
          <w:color w:val="595959" w:themeColor="text1" w:themeTint="A6"/>
        </w:rPr>
      </w:pPr>
      <w:r w:rsidRPr="0093006A">
        <w:rPr>
          <w:color w:val="595959" w:themeColor="text1" w:themeTint="A6"/>
        </w:rPr>
        <w:t>Be shorter (between 1.5 and 2 hours)</w:t>
      </w:r>
    </w:p>
    <w:p w14:paraId="65579476" w14:textId="266BD7DB" w:rsidR="0051644D" w:rsidRPr="0093006A" w:rsidRDefault="00467A87" w:rsidP="003769B7">
      <w:pPr>
        <w:pStyle w:val="ListParagraph"/>
        <w:numPr>
          <w:ilvl w:val="0"/>
          <w:numId w:val="45"/>
        </w:numPr>
        <w:spacing w:after="120"/>
        <w:rPr>
          <w:color w:val="595959" w:themeColor="text1" w:themeTint="A6"/>
        </w:rPr>
      </w:pPr>
      <w:r w:rsidRPr="0093006A">
        <w:rPr>
          <w:color w:val="595959" w:themeColor="text1" w:themeTint="A6"/>
        </w:rPr>
        <w:t>Be designed for larger numbers of par</w:t>
      </w:r>
      <w:r w:rsidR="0051644D" w:rsidRPr="0093006A">
        <w:rPr>
          <w:color w:val="595959" w:themeColor="text1" w:themeTint="A6"/>
        </w:rPr>
        <w:t>ticipants</w:t>
      </w:r>
      <w:r w:rsidR="00DD3DF9" w:rsidRPr="0093006A">
        <w:rPr>
          <w:color w:val="595959" w:themeColor="text1" w:themeTint="A6"/>
        </w:rPr>
        <w:t>, and</w:t>
      </w:r>
    </w:p>
    <w:p w14:paraId="6BE77218" w14:textId="72373756" w:rsidR="0051644D" w:rsidRPr="0093006A" w:rsidRDefault="00467A87" w:rsidP="003769B7">
      <w:pPr>
        <w:pStyle w:val="ListParagraph"/>
        <w:numPr>
          <w:ilvl w:val="0"/>
          <w:numId w:val="45"/>
        </w:numPr>
        <w:spacing w:after="120"/>
        <w:rPr>
          <w:color w:val="595959" w:themeColor="text1" w:themeTint="A6"/>
        </w:rPr>
      </w:pPr>
      <w:r w:rsidRPr="0093006A">
        <w:rPr>
          <w:color w:val="595959" w:themeColor="text1" w:themeTint="A6"/>
        </w:rPr>
        <w:t>Target community members and community-based organisations</w:t>
      </w:r>
      <w:r w:rsidR="00C856F8" w:rsidRPr="0093006A">
        <w:rPr>
          <w:color w:val="595959" w:themeColor="text1" w:themeTint="A6"/>
        </w:rPr>
        <w:t>.</w:t>
      </w:r>
      <w:r w:rsidR="0051644D" w:rsidRPr="0093006A">
        <w:rPr>
          <w:color w:val="595959" w:themeColor="text1" w:themeTint="A6"/>
        </w:rPr>
        <w:t xml:space="preserve"> </w:t>
      </w:r>
    </w:p>
    <w:p w14:paraId="2910ECE5" w14:textId="77777777" w:rsidR="00583C44" w:rsidRPr="0093006A" w:rsidRDefault="00577A96" w:rsidP="009227DD">
      <w:pPr>
        <w:pStyle w:val="Heading3"/>
        <w:spacing w:before="0" w:after="120"/>
        <w:rPr>
          <w:color w:val="595959" w:themeColor="text1" w:themeTint="A6"/>
          <w:sz w:val="24"/>
          <w:szCs w:val="24"/>
        </w:rPr>
      </w:pPr>
      <w:r w:rsidRPr="0093006A">
        <w:rPr>
          <w:color w:val="595959" w:themeColor="text1" w:themeTint="A6"/>
          <w:sz w:val="24"/>
          <w:szCs w:val="24"/>
        </w:rPr>
        <w:t>Number and type of sessions held</w:t>
      </w:r>
      <w:r w:rsidR="00583C44" w:rsidRPr="0093006A">
        <w:rPr>
          <w:color w:val="595959" w:themeColor="text1" w:themeTint="A6"/>
          <w:sz w:val="24"/>
          <w:szCs w:val="24"/>
        </w:rPr>
        <w:t xml:space="preserve"> </w:t>
      </w:r>
    </w:p>
    <w:p w14:paraId="095CCF82" w14:textId="77777777" w:rsidR="00583C44" w:rsidRPr="0093006A" w:rsidRDefault="00577A96" w:rsidP="0051644D">
      <w:pPr>
        <w:spacing w:after="120"/>
        <w:rPr>
          <w:color w:val="595959" w:themeColor="text1" w:themeTint="A6"/>
        </w:rPr>
      </w:pPr>
      <w:r w:rsidRPr="0093006A">
        <w:rPr>
          <w:color w:val="595959" w:themeColor="text1" w:themeTint="A6"/>
        </w:rPr>
        <w:t>A</w:t>
      </w:r>
      <w:r w:rsidR="00583C44" w:rsidRPr="0093006A">
        <w:rPr>
          <w:color w:val="595959" w:themeColor="text1" w:themeTint="A6"/>
        </w:rPr>
        <w:t xml:space="preserve"> total of 53 </w:t>
      </w:r>
      <w:r w:rsidRPr="0093006A">
        <w:rPr>
          <w:color w:val="595959" w:themeColor="text1" w:themeTint="A6"/>
        </w:rPr>
        <w:t>sessions</w:t>
      </w:r>
      <w:r w:rsidR="00903B2D" w:rsidRPr="0093006A">
        <w:rPr>
          <w:color w:val="595959" w:themeColor="text1" w:themeTint="A6"/>
        </w:rPr>
        <w:t xml:space="preserve"> were held</w:t>
      </w:r>
      <w:r w:rsidR="00583C44" w:rsidRPr="0093006A">
        <w:rPr>
          <w:color w:val="595959" w:themeColor="text1" w:themeTint="A6"/>
        </w:rPr>
        <w:t xml:space="preserve"> in various locations and by various modes</w:t>
      </w:r>
      <w:r w:rsidRPr="0093006A">
        <w:rPr>
          <w:color w:val="595959" w:themeColor="text1" w:themeTint="A6"/>
        </w:rPr>
        <w:t xml:space="preserve"> as outlined below</w:t>
      </w:r>
      <w:r w:rsidR="00583C44" w:rsidRPr="0093006A">
        <w:rPr>
          <w:color w:val="595959" w:themeColor="text1" w:themeTint="A6"/>
        </w:rPr>
        <w:t xml:space="preserve">: </w:t>
      </w:r>
    </w:p>
    <w:p w14:paraId="48915830" w14:textId="4052259B" w:rsidR="00583C44" w:rsidRPr="0093006A" w:rsidRDefault="00583C44" w:rsidP="003769B7">
      <w:pPr>
        <w:pStyle w:val="ListParagraph"/>
        <w:numPr>
          <w:ilvl w:val="0"/>
          <w:numId w:val="26"/>
        </w:numPr>
        <w:spacing w:after="120"/>
        <w:rPr>
          <w:color w:val="595959" w:themeColor="text1" w:themeTint="A6"/>
        </w:rPr>
      </w:pPr>
      <w:r w:rsidRPr="0093006A">
        <w:rPr>
          <w:color w:val="595959" w:themeColor="text1" w:themeTint="A6"/>
        </w:rPr>
        <w:t xml:space="preserve">18 face-to-face </w:t>
      </w:r>
      <w:r w:rsidR="00D5211A" w:rsidRPr="0093006A">
        <w:rPr>
          <w:color w:val="595959" w:themeColor="text1" w:themeTint="A6"/>
        </w:rPr>
        <w:t xml:space="preserve">Roundtables </w:t>
      </w:r>
      <w:r w:rsidR="00577A96" w:rsidRPr="0093006A">
        <w:rPr>
          <w:color w:val="595959" w:themeColor="text1" w:themeTint="A6"/>
        </w:rPr>
        <w:t xml:space="preserve">and </w:t>
      </w:r>
      <w:r w:rsidR="002A3219" w:rsidRPr="0093006A">
        <w:rPr>
          <w:color w:val="595959" w:themeColor="text1" w:themeTint="A6"/>
        </w:rPr>
        <w:t>T</w:t>
      </w:r>
      <w:r w:rsidR="00577A96" w:rsidRPr="0093006A">
        <w:rPr>
          <w:color w:val="595959" w:themeColor="text1" w:themeTint="A6"/>
        </w:rPr>
        <w:t xml:space="preserve">own </w:t>
      </w:r>
      <w:r w:rsidR="002A3219" w:rsidRPr="0093006A">
        <w:rPr>
          <w:color w:val="595959" w:themeColor="text1" w:themeTint="A6"/>
        </w:rPr>
        <w:t>H</w:t>
      </w:r>
      <w:r w:rsidR="00577A96" w:rsidRPr="0093006A">
        <w:rPr>
          <w:color w:val="595959" w:themeColor="text1" w:themeTint="A6"/>
        </w:rPr>
        <w:t>alls</w:t>
      </w:r>
      <w:r w:rsidRPr="0093006A">
        <w:rPr>
          <w:color w:val="595959" w:themeColor="text1" w:themeTint="A6"/>
        </w:rPr>
        <w:t xml:space="preserve"> were conducted where it was safe and lawful to do so in accordance with COVID-19 restrictions</w:t>
      </w:r>
      <w:r w:rsidR="00DD3DF9" w:rsidRPr="0093006A">
        <w:rPr>
          <w:color w:val="595959" w:themeColor="text1" w:themeTint="A6"/>
        </w:rPr>
        <w:t>.</w:t>
      </w:r>
    </w:p>
    <w:p w14:paraId="0AF0F87E" w14:textId="4CAC0FD1" w:rsidR="00583C44" w:rsidRPr="0093006A" w:rsidRDefault="00673549" w:rsidP="003769B7">
      <w:pPr>
        <w:pStyle w:val="ListParagraph"/>
        <w:numPr>
          <w:ilvl w:val="0"/>
          <w:numId w:val="26"/>
        </w:numPr>
        <w:spacing w:after="120"/>
        <w:rPr>
          <w:color w:val="595959" w:themeColor="text1" w:themeTint="A6"/>
        </w:rPr>
      </w:pPr>
      <w:r w:rsidRPr="0093006A">
        <w:rPr>
          <w:color w:val="595959" w:themeColor="text1" w:themeTint="A6"/>
        </w:rPr>
        <w:t xml:space="preserve">28 </w:t>
      </w:r>
      <w:r w:rsidR="00583C44" w:rsidRPr="0093006A">
        <w:rPr>
          <w:color w:val="595959" w:themeColor="text1" w:themeTint="A6"/>
        </w:rPr>
        <w:t>roundtable discussions were facilitated virtually where local COVID-19 restrictions prohibited either the facilitator travelling to the community and / or people gathering in person</w:t>
      </w:r>
      <w:r w:rsidR="00DD3DF9" w:rsidRPr="0093006A">
        <w:rPr>
          <w:color w:val="595959" w:themeColor="text1" w:themeTint="A6"/>
        </w:rPr>
        <w:t>.</w:t>
      </w:r>
    </w:p>
    <w:p w14:paraId="59799F16" w14:textId="6CAE0532" w:rsidR="00583C44" w:rsidRPr="0093006A" w:rsidRDefault="00D31334" w:rsidP="003769B7">
      <w:pPr>
        <w:pStyle w:val="ListParagraph"/>
        <w:numPr>
          <w:ilvl w:val="0"/>
          <w:numId w:val="26"/>
        </w:numPr>
        <w:spacing w:after="120"/>
        <w:rPr>
          <w:color w:val="595959" w:themeColor="text1" w:themeTint="A6"/>
        </w:rPr>
      </w:pPr>
      <w:r w:rsidRPr="0093006A">
        <w:rPr>
          <w:color w:val="595959" w:themeColor="text1" w:themeTint="A6"/>
        </w:rPr>
        <w:t>5</w:t>
      </w:r>
      <w:r w:rsidR="00583C44" w:rsidRPr="0093006A">
        <w:rPr>
          <w:color w:val="595959" w:themeColor="text1" w:themeTint="A6"/>
        </w:rPr>
        <w:t xml:space="preserve"> </w:t>
      </w:r>
      <w:r w:rsidR="00DD3DF9" w:rsidRPr="0093006A">
        <w:rPr>
          <w:color w:val="595959" w:themeColor="text1" w:themeTint="A6"/>
        </w:rPr>
        <w:t xml:space="preserve">hybrid </w:t>
      </w:r>
      <w:r w:rsidR="00583C44" w:rsidRPr="0093006A">
        <w:rPr>
          <w:color w:val="595959" w:themeColor="text1" w:themeTint="A6"/>
        </w:rPr>
        <w:t xml:space="preserve">consultations were conducted with participants attending </w:t>
      </w:r>
      <w:r w:rsidR="00DD3DF9" w:rsidRPr="0093006A">
        <w:rPr>
          <w:color w:val="595959" w:themeColor="text1" w:themeTint="A6"/>
        </w:rPr>
        <w:t xml:space="preserve">both </w:t>
      </w:r>
      <w:r w:rsidR="00583C44" w:rsidRPr="0093006A">
        <w:rPr>
          <w:color w:val="595959" w:themeColor="text1" w:themeTint="A6"/>
        </w:rPr>
        <w:t>virtually and face-to-face</w:t>
      </w:r>
      <w:r w:rsidR="00DD3DF9" w:rsidRPr="0093006A">
        <w:rPr>
          <w:color w:val="595959" w:themeColor="text1" w:themeTint="A6"/>
        </w:rPr>
        <w:t>.</w:t>
      </w:r>
    </w:p>
    <w:p w14:paraId="29D8FA5E" w14:textId="6B0A4AF1" w:rsidR="00583C44" w:rsidRPr="0093006A" w:rsidRDefault="00D31334" w:rsidP="003769B7">
      <w:pPr>
        <w:pStyle w:val="ListParagraph"/>
        <w:numPr>
          <w:ilvl w:val="0"/>
          <w:numId w:val="26"/>
        </w:numPr>
        <w:spacing w:after="120"/>
        <w:rPr>
          <w:color w:val="595959" w:themeColor="text1" w:themeTint="A6"/>
        </w:rPr>
      </w:pPr>
      <w:r w:rsidRPr="0093006A">
        <w:rPr>
          <w:color w:val="595959" w:themeColor="text1" w:themeTint="A6"/>
        </w:rPr>
        <w:t>2</w:t>
      </w:r>
      <w:r w:rsidR="00583C44" w:rsidRPr="0093006A">
        <w:rPr>
          <w:color w:val="595959" w:themeColor="text1" w:themeTint="A6"/>
        </w:rPr>
        <w:t xml:space="preserve"> virtual </w:t>
      </w:r>
      <w:r w:rsidR="00B32F6D" w:rsidRPr="0093006A">
        <w:rPr>
          <w:color w:val="595959" w:themeColor="text1" w:themeTint="A6"/>
        </w:rPr>
        <w:t>Q</w:t>
      </w:r>
      <w:r w:rsidR="00583C44" w:rsidRPr="0093006A">
        <w:rPr>
          <w:color w:val="595959" w:themeColor="text1" w:themeTint="A6"/>
        </w:rPr>
        <w:t xml:space="preserve">uestion and </w:t>
      </w:r>
      <w:r w:rsidR="00B32F6D" w:rsidRPr="0093006A">
        <w:rPr>
          <w:color w:val="595959" w:themeColor="text1" w:themeTint="A6"/>
        </w:rPr>
        <w:t>A</w:t>
      </w:r>
      <w:r w:rsidR="00583C44" w:rsidRPr="0093006A">
        <w:rPr>
          <w:color w:val="595959" w:themeColor="text1" w:themeTint="A6"/>
        </w:rPr>
        <w:t xml:space="preserve">nswer sessions </w:t>
      </w:r>
      <w:r w:rsidR="00577A96" w:rsidRPr="0093006A">
        <w:rPr>
          <w:color w:val="595959" w:themeColor="text1" w:themeTint="A6"/>
        </w:rPr>
        <w:t xml:space="preserve">open to the general public </w:t>
      </w:r>
      <w:r w:rsidR="00DD3DF9" w:rsidRPr="0093006A">
        <w:rPr>
          <w:color w:val="595959" w:themeColor="text1" w:themeTint="A6"/>
        </w:rPr>
        <w:t xml:space="preserve">were </w:t>
      </w:r>
      <w:r w:rsidR="00583C44" w:rsidRPr="0093006A">
        <w:rPr>
          <w:color w:val="595959" w:themeColor="text1" w:themeTint="A6"/>
        </w:rPr>
        <w:t>run by NIAA</w:t>
      </w:r>
      <w:r w:rsidR="00F20442" w:rsidRPr="0093006A">
        <w:rPr>
          <w:color w:val="595959" w:themeColor="text1" w:themeTint="A6"/>
        </w:rPr>
        <w:t xml:space="preserve"> (views from these sessions are not included in this report as they were not discursive)</w:t>
      </w:r>
      <w:r w:rsidR="00C856F8" w:rsidRPr="0093006A">
        <w:rPr>
          <w:color w:val="595959" w:themeColor="text1" w:themeTint="A6"/>
        </w:rPr>
        <w:t>.</w:t>
      </w:r>
    </w:p>
    <w:p w14:paraId="0409A6CB" w14:textId="0B489C59" w:rsidR="00903B2D" w:rsidRPr="0093006A" w:rsidRDefault="00903B2D" w:rsidP="0051644D">
      <w:pPr>
        <w:spacing w:after="120"/>
        <w:rPr>
          <w:b/>
          <w:bCs/>
          <w:color w:val="595959" w:themeColor="text1" w:themeTint="A6"/>
          <w:sz w:val="24"/>
          <w:szCs w:val="24"/>
        </w:rPr>
      </w:pPr>
      <w:r w:rsidRPr="0093006A">
        <w:rPr>
          <w:b/>
          <w:bCs/>
          <w:color w:val="595959" w:themeColor="text1" w:themeTint="A6"/>
          <w:sz w:val="24"/>
          <w:szCs w:val="24"/>
        </w:rPr>
        <w:t>T</w:t>
      </w:r>
      <w:r w:rsidR="009E7864" w:rsidRPr="0093006A">
        <w:rPr>
          <w:b/>
          <w:bCs/>
          <w:color w:val="595959" w:themeColor="text1" w:themeTint="A6"/>
          <w:sz w:val="24"/>
          <w:szCs w:val="24"/>
        </w:rPr>
        <w:t>able 2: R</w:t>
      </w:r>
      <w:r w:rsidRPr="0093006A">
        <w:rPr>
          <w:b/>
          <w:bCs/>
          <w:color w:val="595959" w:themeColor="text1" w:themeTint="A6"/>
          <w:sz w:val="24"/>
          <w:szCs w:val="24"/>
        </w:rPr>
        <w:t xml:space="preserve">egional </w:t>
      </w:r>
      <w:r w:rsidR="00D5211A" w:rsidRPr="0093006A">
        <w:rPr>
          <w:b/>
          <w:bCs/>
          <w:color w:val="595959" w:themeColor="text1" w:themeTint="A6"/>
          <w:sz w:val="24"/>
          <w:szCs w:val="24"/>
        </w:rPr>
        <w:t xml:space="preserve">Roundtables </w:t>
      </w:r>
      <w:r w:rsidRPr="0093006A">
        <w:rPr>
          <w:b/>
          <w:bCs/>
          <w:color w:val="595959" w:themeColor="text1" w:themeTint="A6"/>
          <w:sz w:val="24"/>
          <w:szCs w:val="24"/>
        </w:rPr>
        <w:t xml:space="preserve">and </w:t>
      </w:r>
      <w:r w:rsidR="0063311E" w:rsidRPr="0093006A">
        <w:rPr>
          <w:b/>
          <w:bCs/>
          <w:color w:val="595959" w:themeColor="text1" w:themeTint="A6"/>
          <w:sz w:val="24"/>
          <w:szCs w:val="24"/>
        </w:rPr>
        <w:t>T</w:t>
      </w:r>
      <w:r w:rsidRPr="0093006A">
        <w:rPr>
          <w:b/>
          <w:bCs/>
          <w:color w:val="595959" w:themeColor="text1" w:themeTint="A6"/>
          <w:sz w:val="24"/>
          <w:szCs w:val="24"/>
        </w:rPr>
        <w:t>own</w:t>
      </w:r>
      <w:r w:rsidR="0063311E" w:rsidRPr="0093006A">
        <w:rPr>
          <w:b/>
          <w:bCs/>
          <w:color w:val="595959" w:themeColor="text1" w:themeTint="A6"/>
          <w:sz w:val="24"/>
          <w:szCs w:val="24"/>
        </w:rPr>
        <w:t xml:space="preserve"> H</w:t>
      </w:r>
      <w:r w:rsidRPr="0093006A">
        <w:rPr>
          <w:b/>
          <w:bCs/>
          <w:color w:val="595959" w:themeColor="text1" w:themeTint="A6"/>
          <w:sz w:val="24"/>
          <w:szCs w:val="24"/>
        </w:rPr>
        <w:t>alls were held in the following communities:</w:t>
      </w:r>
    </w:p>
    <w:tbl>
      <w:tblPr>
        <w:tblW w:w="864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Caption w:val="Regional Roundtables and Town Halls were held in the following communities"/>
        <w:tblDescription w:val="Locations of all Regional Roundtables and Town Halls by State/Territory, IAS Region, and Location"/>
      </w:tblPr>
      <w:tblGrid>
        <w:gridCol w:w="2160"/>
        <w:gridCol w:w="3800"/>
        <w:gridCol w:w="2680"/>
      </w:tblGrid>
      <w:tr w:rsidR="0093006A" w:rsidRPr="0093006A" w14:paraId="696721CC" w14:textId="77777777" w:rsidTr="004976E1">
        <w:trPr>
          <w:trHeight w:val="320"/>
          <w:tblHeader/>
        </w:trPr>
        <w:tc>
          <w:tcPr>
            <w:tcW w:w="2160" w:type="dxa"/>
            <w:tcBorders>
              <w:top w:val="single" w:sz="4" w:space="0" w:color="1E9995"/>
              <w:left w:val="single" w:sz="4" w:space="0" w:color="1E9995"/>
              <w:bottom w:val="single" w:sz="4" w:space="0" w:color="1E9995"/>
              <w:right w:val="single" w:sz="4" w:space="0" w:color="1E9995"/>
            </w:tcBorders>
            <w:shd w:val="clear" w:color="auto" w:fill="auto"/>
            <w:noWrap/>
            <w:hideMark/>
          </w:tcPr>
          <w:p w14:paraId="01506788" w14:textId="77777777" w:rsidR="009E7864" w:rsidRPr="0093006A" w:rsidRDefault="009E7864" w:rsidP="009E7864">
            <w:pPr>
              <w:spacing w:after="120"/>
              <w:rPr>
                <w:rFonts w:eastAsia="Times New Roman" w:cs="Calibri"/>
                <w:b/>
                <w:bCs/>
                <w:color w:val="595959" w:themeColor="text1" w:themeTint="A6"/>
              </w:rPr>
            </w:pPr>
            <w:r w:rsidRPr="0093006A">
              <w:rPr>
                <w:rFonts w:eastAsia="Times New Roman" w:cs="Calibri"/>
                <w:b/>
                <w:bCs/>
                <w:color w:val="595959" w:themeColor="text1" w:themeTint="A6"/>
              </w:rPr>
              <w:t xml:space="preserve">State/Territory </w:t>
            </w:r>
          </w:p>
        </w:tc>
        <w:tc>
          <w:tcPr>
            <w:tcW w:w="3800" w:type="dxa"/>
            <w:tcBorders>
              <w:top w:val="single" w:sz="4" w:space="0" w:color="1E9995"/>
              <w:left w:val="single" w:sz="4" w:space="0" w:color="1E9995"/>
              <w:bottom w:val="single" w:sz="4" w:space="0" w:color="1E9995"/>
              <w:right w:val="single" w:sz="4" w:space="0" w:color="1E9995"/>
            </w:tcBorders>
            <w:shd w:val="clear" w:color="auto" w:fill="auto"/>
            <w:noWrap/>
            <w:hideMark/>
          </w:tcPr>
          <w:p w14:paraId="04A07F36" w14:textId="7B30C335" w:rsidR="009E7864" w:rsidRPr="0093006A" w:rsidRDefault="00E4084E" w:rsidP="009E7864">
            <w:pPr>
              <w:spacing w:after="120"/>
              <w:rPr>
                <w:rFonts w:eastAsia="Times New Roman" w:cs="Calibri"/>
                <w:b/>
                <w:bCs/>
                <w:color w:val="595959" w:themeColor="text1" w:themeTint="A6"/>
              </w:rPr>
            </w:pPr>
            <w:r>
              <w:rPr>
                <w:rFonts w:eastAsia="Times New Roman" w:cs="Calibri"/>
                <w:b/>
                <w:bCs/>
                <w:color w:val="595959" w:themeColor="text1" w:themeTint="A6"/>
              </w:rPr>
              <w:t>NIAA Region</w:t>
            </w:r>
            <w:r w:rsidR="009E7864" w:rsidRPr="0093006A">
              <w:rPr>
                <w:rFonts w:eastAsia="Times New Roman" w:cs="Calibri"/>
                <w:b/>
                <w:bCs/>
                <w:color w:val="595959" w:themeColor="text1" w:themeTint="A6"/>
              </w:rPr>
              <w:t xml:space="preserve"> </w:t>
            </w:r>
          </w:p>
        </w:tc>
        <w:tc>
          <w:tcPr>
            <w:tcW w:w="2680" w:type="dxa"/>
            <w:tcBorders>
              <w:top w:val="single" w:sz="4" w:space="0" w:color="1E9995"/>
              <w:left w:val="single" w:sz="4" w:space="0" w:color="1E9995"/>
              <w:bottom w:val="single" w:sz="4" w:space="0" w:color="1E9995"/>
              <w:right w:val="single" w:sz="4" w:space="0" w:color="1E9995"/>
            </w:tcBorders>
            <w:shd w:val="clear" w:color="auto" w:fill="auto"/>
            <w:noWrap/>
            <w:hideMark/>
          </w:tcPr>
          <w:p w14:paraId="1C3CF3F1" w14:textId="77777777" w:rsidR="009E7864" w:rsidRPr="0093006A" w:rsidRDefault="009E7864" w:rsidP="009E7864">
            <w:pPr>
              <w:spacing w:after="120"/>
              <w:rPr>
                <w:rFonts w:eastAsia="Times New Roman" w:cs="Calibri"/>
                <w:b/>
                <w:bCs/>
                <w:color w:val="595959" w:themeColor="text1" w:themeTint="A6"/>
              </w:rPr>
            </w:pPr>
            <w:r w:rsidRPr="0093006A">
              <w:rPr>
                <w:rFonts w:eastAsia="Times New Roman" w:cs="Calibri"/>
                <w:b/>
                <w:bCs/>
                <w:color w:val="595959" w:themeColor="text1" w:themeTint="A6"/>
              </w:rPr>
              <w:t xml:space="preserve">Location </w:t>
            </w:r>
          </w:p>
        </w:tc>
      </w:tr>
      <w:tr w:rsidR="0093006A" w:rsidRPr="0093006A" w14:paraId="03A25F98" w14:textId="77777777" w:rsidTr="004976E1">
        <w:trPr>
          <w:trHeight w:val="320"/>
        </w:trPr>
        <w:tc>
          <w:tcPr>
            <w:tcW w:w="2160" w:type="dxa"/>
            <w:vMerge w:val="restart"/>
            <w:tcBorders>
              <w:top w:val="single" w:sz="4" w:space="0" w:color="1E9995"/>
            </w:tcBorders>
            <w:shd w:val="clear" w:color="auto" w:fill="auto"/>
            <w:noWrap/>
            <w:hideMark/>
          </w:tcPr>
          <w:p w14:paraId="34888755"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New South Wales </w:t>
            </w:r>
          </w:p>
        </w:tc>
        <w:tc>
          <w:tcPr>
            <w:tcW w:w="3800" w:type="dxa"/>
            <w:vMerge w:val="restart"/>
            <w:tcBorders>
              <w:top w:val="single" w:sz="4" w:space="0" w:color="1E9995"/>
            </w:tcBorders>
            <w:shd w:val="clear" w:color="auto" w:fill="auto"/>
            <w:noWrap/>
            <w:hideMark/>
          </w:tcPr>
          <w:p w14:paraId="74BC9F8B"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Eastern New South Wales </w:t>
            </w:r>
          </w:p>
        </w:tc>
        <w:tc>
          <w:tcPr>
            <w:tcW w:w="2680" w:type="dxa"/>
            <w:tcBorders>
              <w:top w:val="single" w:sz="4" w:space="0" w:color="1E9995"/>
            </w:tcBorders>
            <w:shd w:val="clear" w:color="auto" w:fill="auto"/>
            <w:noWrap/>
            <w:hideMark/>
          </w:tcPr>
          <w:p w14:paraId="03418545"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Empowered Communities </w:t>
            </w:r>
          </w:p>
        </w:tc>
      </w:tr>
      <w:tr w:rsidR="0093006A" w:rsidRPr="0093006A" w14:paraId="402B9550" w14:textId="77777777" w:rsidTr="004976E1">
        <w:trPr>
          <w:trHeight w:val="320"/>
        </w:trPr>
        <w:tc>
          <w:tcPr>
            <w:tcW w:w="2160" w:type="dxa"/>
            <w:vMerge/>
            <w:hideMark/>
          </w:tcPr>
          <w:p w14:paraId="0739EE31"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54737919"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6CF9A493"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NSW North Coast </w:t>
            </w:r>
          </w:p>
        </w:tc>
      </w:tr>
      <w:tr w:rsidR="0093006A" w:rsidRPr="0093006A" w14:paraId="2EEF5A73" w14:textId="77777777" w:rsidTr="004976E1">
        <w:trPr>
          <w:trHeight w:val="320"/>
        </w:trPr>
        <w:tc>
          <w:tcPr>
            <w:tcW w:w="2160" w:type="dxa"/>
            <w:vMerge/>
            <w:hideMark/>
          </w:tcPr>
          <w:p w14:paraId="630BE5EB"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5A8049A0"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0695767D"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NSW South Coast </w:t>
            </w:r>
          </w:p>
        </w:tc>
      </w:tr>
      <w:tr w:rsidR="0093006A" w:rsidRPr="0093006A" w14:paraId="3F39AED0" w14:textId="77777777" w:rsidTr="004976E1">
        <w:trPr>
          <w:trHeight w:val="320"/>
        </w:trPr>
        <w:tc>
          <w:tcPr>
            <w:tcW w:w="2160" w:type="dxa"/>
            <w:vMerge/>
            <w:hideMark/>
          </w:tcPr>
          <w:p w14:paraId="2F6DBABB"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1FA16051"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0CF8C8BD"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Sydney </w:t>
            </w:r>
          </w:p>
        </w:tc>
      </w:tr>
      <w:tr w:rsidR="0093006A" w:rsidRPr="0093006A" w14:paraId="4D032098" w14:textId="77777777" w:rsidTr="004976E1">
        <w:trPr>
          <w:trHeight w:val="320"/>
        </w:trPr>
        <w:tc>
          <w:tcPr>
            <w:tcW w:w="2160" w:type="dxa"/>
            <w:vMerge/>
            <w:hideMark/>
          </w:tcPr>
          <w:p w14:paraId="22F4253A" w14:textId="77777777" w:rsidR="009E7864" w:rsidRPr="0093006A" w:rsidRDefault="009E7864" w:rsidP="009E7864">
            <w:pPr>
              <w:spacing w:after="120"/>
              <w:rPr>
                <w:rFonts w:eastAsia="Times New Roman" w:cs="Calibri"/>
                <w:color w:val="595959" w:themeColor="text1" w:themeTint="A6"/>
              </w:rPr>
            </w:pPr>
          </w:p>
        </w:tc>
        <w:tc>
          <w:tcPr>
            <w:tcW w:w="3800" w:type="dxa"/>
            <w:shd w:val="clear" w:color="auto" w:fill="auto"/>
            <w:noWrap/>
            <w:hideMark/>
          </w:tcPr>
          <w:p w14:paraId="0B44D660"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Western New South Wales </w:t>
            </w:r>
          </w:p>
        </w:tc>
        <w:tc>
          <w:tcPr>
            <w:tcW w:w="2680" w:type="dxa"/>
            <w:shd w:val="clear" w:color="auto" w:fill="auto"/>
            <w:noWrap/>
            <w:hideMark/>
          </w:tcPr>
          <w:p w14:paraId="6AE0CC1B"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Wagga Wagga </w:t>
            </w:r>
          </w:p>
        </w:tc>
      </w:tr>
      <w:tr w:rsidR="0093006A" w:rsidRPr="0093006A" w14:paraId="7EADE49D" w14:textId="77777777" w:rsidTr="004976E1">
        <w:trPr>
          <w:trHeight w:val="320"/>
        </w:trPr>
        <w:tc>
          <w:tcPr>
            <w:tcW w:w="2160" w:type="dxa"/>
            <w:vMerge w:val="restart"/>
            <w:shd w:val="clear" w:color="auto" w:fill="auto"/>
            <w:noWrap/>
            <w:hideMark/>
          </w:tcPr>
          <w:p w14:paraId="0C063992"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Northern Territory </w:t>
            </w:r>
          </w:p>
        </w:tc>
        <w:tc>
          <w:tcPr>
            <w:tcW w:w="3800" w:type="dxa"/>
            <w:vMerge w:val="restart"/>
            <w:shd w:val="clear" w:color="auto" w:fill="auto"/>
            <w:noWrap/>
            <w:hideMark/>
          </w:tcPr>
          <w:p w14:paraId="65DB3B0D" w14:textId="1031741B"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Arnhem Land and Groote Eylandt</w:t>
            </w:r>
          </w:p>
        </w:tc>
        <w:tc>
          <w:tcPr>
            <w:tcW w:w="2680" w:type="dxa"/>
            <w:shd w:val="clear" w:color="auto" w:fill="auto"/>
            <w:noWrap/>
            <w:hideMark/>
          </w:tcPr>
          <w:p w14:paraId="26755796" w14:textId="543FEC5A"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Groote Eylandt </w:t>
            </w:r>
          </w:p>
        </w:tc>
      </w:tr>
      <w:tr w:rsidR="0093006A" w:rsidRPr="0093006A" w14:paraId="4F30E216" w14:textId="77777777" w:rsidTr="004976E1">
        <w:trPr>
          <w:trHeight w:val="320"/>
        </w:trPr>
        <w:tc>
          <w:tcPr>
            <w:tcW w:w="2160" w:type="dxa"/>
            <w:vMerge/>
            <w:hideMark/>
          </w:tcPr>
          <w:p w14:paraId="7028540B"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562D1152"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19FE6337"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Maningrida</w:t>
            </w:r>
          </w:p>
        </w:tc>
      </w:tr>
      <w:tr w:rsidR="0093006A" w:rsidRPr="0093006A" w14:paraId="0281A6DB" w14:textId="77777777" w:rsidTr="004976E1">
        <w:trPr>
          <w:trHeight w:val="320"/>
        </w:trPr>
        <w:tc>
          <w:tcPr>
            <w:tcW w:w="2160" w:type="dxa"/>
            <w:vMerge/>
            <w:hideMark/>
          </w:tcPr>
          <w:p w14:paraId="215E4D2C"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39C34908"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13D58CA7"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Nhulunbuy </w:t>
            </w:r>
          </w:p>
        </w:tc>
      </w:tr>
      <w:tr w:rsidR="0093006A" w:rsidRPr="0093006A" w14:paraId="6836D97C" w14:textId="77777777" w:rsidTr="004976E1">
        <w:trPr>
          <w:trHeight w:val="320"/>
        </w:trPr>
        <w:tc>
          <w:tcPr>
            <w:tcW w:w="2160" w:type="dxa"/>
            <w:vMerge/>
            <w:hideMark/>
          </w:tcPr>
          <w:p w14:paraId="42EADE46" w14:textId="77777777" w:rsidR="009E7864" w:rsidRPr="0093006A" w:rsidRDefault="009E7864" w:rsidP="009E7864">
            <w:pPr>
              <w:spacing w:after="120"/>
              <w:rPr>
                <w:rFonts w:eastAsia="Times New Roman" w:cs="Calibri"/>
                <w:color w:val="595959" w:themeColor="text1" w:themeTint="A6"/>
              </w:rPr>
            </w:pPr>
          </w:p>
        </w:tc>
        <w:tc>
          <w:tcPr>
            <w:tcW w:w="3800" w:type="dxa"/>
            <w:vMerge w:val="restart"/>
            <w:shd w:val="clear" w:color="auto" w:fill="auto"/>
            <w:noWrap/>
            <w:hideMark/>
          </w:tcPr>
          <w:p w14:paraId="475DFE8B"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Central Australia </w:t>
            </w:r>
          </w:p>
        </w:tc>
        <w:tc>
          <w:tcPr>
            <w:tcW w:w="2680" w:type="dxa"/>
            <w:shd w:val="clear" w:color="auto" w:fill="auto"/>
            <w:noWrap/>
            <w:hideMark/>
          </w:tcPr>
          <w:p w14:paraId="7BFB068A"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Alice Springs </w:t>
            </w:r>
          </w:p>
        </w:tc>
      </w:tr>
      <w:tr w:rsidR="0093006A" w:rsidRPr="0093006A" w14:paraId="14F12318" w14:textId="77777777" w:rsidTr="004976E1">
        <w:trPr>
          <w:trHeight w:val="320"/>
        </w:trPr>
        <w:tc>
          <w:tcPr>
            <w:tcW w:w="2160" w:type="dxa"/>
            <w:vMerge/>
            <w:hideMark/>
          </w:tcPr>
          <w:p w14:paraId="1B4265E8"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5D4C326C"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4F373B77"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Tennant Creek</w:t>
            </w:r>
          </w:p>
        </w:tc>
      </w:tr>
      <w:tr w:rsidR="0093006A" w:rsidRPr="0093006A" w14:paraId="739F8E1E" w14:textId="77777777" w:rsidTr="004976E1">
        <w:trPr>
          <w:trHeight w:val="320"/>
        </w:trPr>
        <w:tc>
          <w:tcPr>
            <w:tcW w:w="2160" w:type="dxa"/>
            <w:vMerge/>
            <w:hideMark/>
          </w:tcPr>
          <w:p w14:paraId="01DC018D" w14:textId="77777777" w:rsidR="009E7864" w:rsidRPr="0093006A" w:rsidRDefault="009E7864" w:rsidP="009E7864">
            <w:pPr>
              <w:spacing w:after="120"/>
              <w:rPr>
                <w:rFonts w:eastAsia="Times New Roman" w:cs="Calibri"/>
                <w:color w:val="595959" w:themeColor="text1" w:themeTint="A6"/>
              </w:rPr>
            </w:pPr>
          </w:p>
        </w:tc>
        <w:tc>
          <w:tcPr>
            <w:tcW w:w="3800" w:type="dxa"/>
            <w:shd w:val="clear" w:color="auto" w:fill="auto"/>
            <w:noWrap/>
            <w:hideMark/>
          </w:tcPr>
          <w:p w14:paraId="703429AE"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Top End and Tiwi Islands </w:t>
            </w:r>
          </w:p>
        </w:tc>
        <w:tc>
          <w:tcPr>
            <w:tcW w:w="2680" w:type="dxa"/>
            <w:shd w:val="clear" w:color="auto" w:fill="auto"/>
            <w:noWrap/>
            <w:hideMark/>
          </w:tcPr>
          <w:p w14:paraId="1C2FDF8B"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Darwin </w:t>
            </w:r>
          </w:p>
        </w:tc>
      </w:tr>
      <w:tr w:rsidR="0093006A" w:rsidRPr="0093006A" w14:paraId="0082487C" w14:textId="77777777" w:rsidTr="004976E1">
        <w:trPr>
          <w:trHeight w:val="320"/>
        </w:trPr>
        <w:tc>
          <w:tcPr>
            <w:tcW w:w="2160" w:type="dxa"/>
            <w:vMerge w:val="restart"/>
            <w:shd w:val="clear" w:color="auto" w:fill="auto"/>
            <w:noWrap/>
            <w:hideMark/>
          </w:tcPr>
          <w:p w14:paraId="4B1BFEB2"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Queensland </w:t>
            </w:r>
          </w:p>
        </w:tc>
        <w:tc>
          <w:tcPr>
            <w:tcW w:w="3800" w:type="dxa"/>
            <w:vMerge w:val="restart"/>
            <w:shd w:val="clear" w:color="auto" w:fill="auto"/>
            <w:noWrap/>
            <w:hideMark/>
          </w:tcPr>
          <w:p w14:paraId="0C06DECA"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North Queensland </w:t>
            </w:r>
          </w:p>
        </w:tc>
        <w:tc>
          <w:tcPr>
            <w:tcW w:w="2680" w:type="dxa"/>
            <w:shd w:val="clear" w:color="auto" w:fill="auto"/>
            <w:noWrap/>
            <w:hideMark/>
          </w:tcPr>
          <w:p w14:paraId="7E9DA2FA"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Cairns </w:t>
            </w:r>
          </w:p>
        </w:tc>
      </w:tr>
      <w:tr w:rsidR="0093006A" w:rsidRPr="0093006A" w14:paraId="3E7782EB" w14:textId="77777777" w:rsidTr="004976E1">
        <w:trPr>
          <w:trHeight w:val="320"/>
        </w:trPr>
        <w:tc>
          <w:tcPr>
            <w:tcW w:w="2160" w:type="dxa"/>
            <w:vMerge/>
            <w:hideMark/>
          </w:tcPr>
          <w:p w14:paraId="212373AC"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681950EB"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2E423EFF"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Mackay </w:t>
            </w:r>
          </w:p>
        </w:tc>
      </w:tr>
      <w:tr w:rsidR="0093006A" w:rsidRPr="0093006A" w14:paraId="77C5AAFD" w14:textId="77777777" w:rsidTr="004976E1">
        <w:trPr>
          <w:trHeight w:val="320"/>
        </w:trPr>
        <w:tc>
          <w:tcPr>
            <w:tcW w:w="2160" w:type="dxa"/>
            <w:vMerge/>
            <w:hideMark/>
          </w:tcPr>
          <w:p w14:paraId="09E659C0"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650DCF33"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5DD2B70F"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Mount Isa </w:t>
            </w:r>
          </w:p>
        </w:tc>
      </w:tr>
      <w:tr w:rsidR="0093006A" w:rsidRPr="0093006A" w14:paraId="4C3457AE" w14:textId="77777777" w:rsidTr="004976E1">
        <w:trPr>
          <w:trHeight w:val="320"/>
        </w:trPr>
        <w:tc>
          <w:tcPr>
            <w:tcW w:w="2160" w:type="dxa"/>
            <w:vMerge/>
            <w:hideMark/>
          </w:tcPr>
          <w:p w14:paraId="753DA55E"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58FDF1EC"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2136BE6E"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Townsville </w:t>
            </w:r>
          </w:p>
        </w:tc>
      </w:tr>
      <w:tr w:rsidR="0093006A" w:rsidRPr="0093006A" w14:paraId="139476C5" w14:textId="77777777" w:rsidTr="004976E1">
        <w:trPr>
          <w:trHeight w:val="320"/>
        </w:trPr>
        <w:tc>
          <w:tcPr>
            <w:tcW w:w="2160" w:type="dxa"/>
            <w:vMerge/>
            <w:hideMark/>
          </w:tcPr>
          <w:p w14:paraId="0F148043" w14:textId="77777777" w:rsidR="009E7864" w:rsidRPr="0093006A" w:rsidRDefault="009E7864" w:rsidP="009E7864">
            <w:pPr>
              <w:spacing w:after="120"/>
              <w:rPr>
                <w:rFonts w:eastAsia="Times New Roman" w:cs="Calibri"/>
                <w:color w:val="595959" w:themeColor="text1" w:themeTint="A6"/>
              </w:rPr>
            </w:pPr>
          </w:p>
        </w:tc>
        <w:tc>
          <w:tcPr>
            <w:tcW w:w="3800" w:type="dxa"/>
            <w:vMerge w:val="restart"/>
            <w:shd w:val="clear" w:color="auto" w:fill="auto"/>
            <w:noWrap/>
            <w:hideMark/>
          </w:tcPr>
          <w:p w14:paraId="208939D9"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South Queensland </w:t>
            </w:r>
          </w:p>
        </w:tc>
        <w:tc>
          <w:tcPr>
            <w:tcW w:w="2680" w:type="dxa"/>
            <w:shd w:val="clear" w:color="auto" w:fill="auto"/>
            <w:noWrap/>
            <w:hideMark/>
          </w:tcPr>
          <w:p w14:paraId="4B7CF374"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Brisbane </w:t>
            </w:r>
          </w:p>
        </w:tc>
      </w:tr>
      <w:tr w:rsidR="0093006A" w:rsidRPr="0093006A" w14:paraId="09BD1979" w14:textId="77777777" w:rsidTr="004976E1">
        <w:trPr>
          <w:trHeight w:val="320"/>
        </w:trPr>
        <w:tc>
          <w:tcPr>
            <w:tcW w:w="2160" w:type="dxa"/>
            <w:vMerge/>
            <w:hideMark/>
          </w:tcPr>
          <w:p w14:paraId="419D1DF0"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439246C5"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5DB1D173"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Rockhampton </w:t>
            </w:r>
          </w:p>
        </w:tc>
      </w:tr>
      <w:tr w:rsidR="0093006A" w:rsidRPr="0093006A" w14:paraId="78119B4E" w14:textId="77777777" w:rsidTr="004976E1">
        <w:trPr>
          <w:trHeight w:val="320"/>
        </w:trPr>
        <w:tc>
          <w:tcPr>
            <w:tcW w:w="2160" w:type="dxa"/>
            <w:vMerge/>
            <w:hideMark/>
          </w:tcPr>
          <w:p w14:paraId="3686F1A0"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71F06994"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2F0F4688"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Toowoomba</w:t>
            </w:r>
          </w:p>
        </w:tc>
      </w:tr>
      <w:tr w:rsidR="0093006A" w:rsidRPr="0093006A" w14:paraId="205B5980" w14:textId="77777777" w:rsidTr="004976E1">
        <w:trPr>
          <w:trHeight w:val="320"/>
        </w:trPr>
        <w:tc>
          <w:tcPr>
            <w:tcW w:w="2160" w:type="dxa"/>
            <w:vMerge/>
            <w:hideMark/>
          </w:tcPr>
          <w:p w14:paraId="567FFF9D"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077E02AE"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08397C1F"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Woorabinda</w:t>
            </w:r>
          </w:p>
        </w:tc>
      </w:tr>
      <w:tr w:rsidR="0093006A" w:rsidRPr="0093006A" w14:paraId="1C5E4699" w14:textId="77777777" w:rsidTr="004976E1">
        <w:trPr>
          <w:trHeight w:val="320"/>
        </w:trPr>
        <w:tc>
          <w:tcPr>
            <w:tcW w:w="2160" w:type="dxa"/>
            <w:vMerge w:val="restart"/>
            <w:shd w:val="clear" w:color="auto" w:fill="auto"/>
            <w:noWrap/>
            <w:hideMark/>
          </w:tcPr>
          <w:p w14:paraId="6B854BBB"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South Australia </w:t>
            </w:r>
          </w:p>
        </w:tc>
        <w:tc>
          <w:tcPr>
            <w:tcW w:w="3800" w:type="dxa"/>
            <w:vMerge w:val="restart"/>
            <w:shd w:val="clear" w:color="auto" w:fill="auto"/>
            <w:noWrap/>
            <w:hideMark/>
          </w:tcPr>
          <w:p w14:paraId="73B722AB"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South Australia </w:t>
            </w:r>
          </w:p>
        </w:tc>
        <w:tc>
          <w:tcPr>
            <w:tcW w:w="2680" w:type="dxa"/>
            <w:shd w:val="clear" w:color="auto" w:fill="auto"/>
            <w:noWrap/>
            <w:hideMark/>
          </w:tcPr>
          <w:p w14:paraId="53B9DCF3"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Adelaide </w:t>
            </w:r>
          </w:p>
        </w:tc>
      </w:tr>
      <w:tr w:rsidR="0093006A" w:rsidRPr="0093006A" w14:paraId="55D20BE3" w14:textId="77777777" w:rsidTr="004976E1">
        <w:trPr>
          <w:trHeight w:val="320"/>
        </w:trPr>
        <w:tc>
          <w:tcPr>
            <w:tcW w:w="2160" w:type="dxa"/>
            <w:vMerge/>
            <w:hideMark/>
          </w:tcPr>
          <w:p w14:paraId="67C719C5"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5C3491A0"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67C39904"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Port Augusta </w:t>
            </w:r>
          </w:p>
        </w:tc>
      </w:tr>
      <w:tr w:rsidR="0093006A" w:rsidRPr="0093006A" w14:paraId="272E8283" w14:textId="77777777" w:rsidTr="004976E1">
        <w:trPr>
          <w:trHeight w:val="320"/>
        </w:trPr>
        <w:tc>
          <w:tcPr>
            <w:tcW w:w="2160" w:type="dxa"/>
            <w:shd w:val="clear" w:color="auto" w:fill="auto"/>
            <w:noWrap/>
            <w:hideMark/>
          </w:tcPr>
          <w:p w14:paraId="761EF0B5"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Tasmania </w:t>
            </w:r>
          </w:p>
        </w:tc>
        <w:tc>
          <w:tcPr>
            <w:tcW w:w="3800" w:type="dxa"/>
            <w:shd w:val="clear" w:color="auto" w:fill="auto"/>
            <w:noWrap/>
            <w:hideMark/>
          </w:tcPr>
          <w:p w14:paraId="1C054984"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Victoria-Tasmania </w:t>
            </w:r>
          </w:p>
        </w:tc>
        <w:tc>
          <w:tcPr>
            <w:tcW w:w="2680" w:type="dxa"/>
            <w:shd w:val="clear" w:color="auto" w:fill="auto"/>
            <w:noWrap/>
            <w:hideMark/>
          </w:tcPr>
          <w:p w14:paraId="11E206E0"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Hobart </w:t>
            </w:r>
          </w:p>
        </w:tc>
      </w:tr>
      <w:tr w:rsidR="0093006A" w:rsidRPr="0093006A" w14:paraId="455D0045" w14:textId="77777777" w:rsidTr="004976E1">
        <w:trPr>
          <w:trHeight w:val="320"/>
        </w:trPr>
        <w:tc>
          <w:tcPr>
            <w:tcW w:w="2160" w:type="dxa"/>
            <w:vMerge w:val="restart"/>
            <w:shd w:val="clear" w:color="auto" w:fill="auto"/>
            <w:noWrap/>
            <w:hideMark/>
          </w:tcPr>
          <w:p w14:paraId="3E51ABD7"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Victoria </w:t>
            </w:r>
          </w:p>
        </w:tc>
        <w:tc>
          <w:tcPr>
            <w:tcW w:w="3800" w:type="dxa"/>
            <w:vMerge w:val="restart"/>
            <w:shd w:val="clear" w:color="auto" w:fill="auto"/>
            <w:hideMark/>
          </w:tcPr>
          <w:p w14:paraId="5E3A1F2F"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Victoria-Tasmania </w:t>
            </w:r>
          </w:p>
          <w:p w14:paraId="76CB443C"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6F059CCB"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Bendigo </w:t>
            </w:r>
          </w:p>
        </w:tc>
      </w:tr>
      <w:tr w:rsidR="0093006A" w:rsidRPr="0093006A" w14:paraId="4A9A18AF" w14:textId="77777777" w:rsidTr="004976E1">
        <w:trPr>
          <w:trHeight w:val="320"/>
        </w:trPr>
        <w:tc>
          <w:tcPr>
            <w:tcW w:w="2160" w:type="dxa"/>
            <w:vMerge/>
            <w:hideMark/>
          </w:tcPr>
          <w:p w14:paraId="1BE03FE5" w14:textId="77777777" w:rsidR="009E7864" w:rsidRPr="0093006A" w:rsidRDefault="009E7864" w:rsidP="009E7864">
            <w:pPr>
              <w:spacing w:after="120"/>
              <w:rPr>
                <w:rFonts w:eastAsia="Times New Roman" w:cs="Calibri"/>
                <w:color w:val="595959" w:themeColor="text1" w:themeTint="A6"/>
              </w:rPr>
            </w:pPr>
          </w:p>
        </w:tc>
        <w:tc>
          <w:tcPr>
            <w:tcW w:w="3800" w:type="dxa"/>
            <w:vMerge/>
            <w:shd w:val="clear" w:color="auto" w:fill="auto"/>
            <w:noWrap/>
            <w:hideMark/>
          </w:tcPr>
          <w:p w14:paraId="04FFEC18"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6910F529"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Victoria </w:t>
            </w:r>
          </w:p>
        </w:tc>
      </w:tr>
      <w:tr w:rsidR="0093006A" w:rsidRPr="0093006A" w14:paraId="12AAE110" w14:textId="77777777" w:rsidTr="004976E1">
        <w:trPr>
          <w:trHeight w:val="320"/>
        </w:trPr>
        <w:tc>
          <w:tcPr>
            <w:tcW w:w="2160" w:type="dxa"/>
            <w:vMerge w:val="restart"/>
            <w:shd w:val="clear" w:color="auto" w:fill="auto"/>
            <w:noWrap/>
            <w:hideMark/>
          </w:tcPr>
          <w:p w14:paraId="14B1D5E8"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Western Australia </w:t>
            </w:r>
          </w:p>
        </w:tc>
        <w:tc>
          <w:tcPr>
            <w:tcW w:w="3800" w:type="dxa"/>
            <w:vMerge w:val="restart"/>
            <w:shd w:val="clear" w:color="auto" w:fill="auto"/>
            <w:noWrap/>
            <w:hideMark/>
          </w:tcPr>
          <w:p w14:paraId="0567E114"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Greater Western Australia </w:t>
            </w:r>
          </w:p>
        </w:tc>
        <w:tc>
          <w:tcPr>
            <w:tcW w:w="2680" w:type="dxa"/>
            <w:shd w:val="clear" w:color="auto" w:fill="auto"/>
            <w:noWrap/>
            <w:hideMark/>
          </w:tcPr>
          <w:p w14:paraId="7D326DCA"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Goldfields </w:t>
            </w:r>
          </w:p>
        </w:tc>
      </w:tr>
      <w:tr w:rsidR="0093006A" w:rsidRPr="0093006A" w14:paraId="25DE2456" w14:textId="77777777" w:rsidTr="004976E1">
        <w:trPr>
          <w:trHeight w:val="320"/>
        </w:trPr>
        <w:tc>
          <w:tcPr>
            <w:tcW w:w="2160" w:type="dxa"/>
            <w:vMerge/>
            <w:hideMark/>
          </w:tcPr>
          <w:p w14:paraId="4088CDE6"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5B4FB50A"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1BE11B39"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Greater Western Australia </w:t>
            </w:r>
          </w:p>
        </w:tc>
      </w:tr>
      <w:tr w:rsidR="0093006A" w:rsidRPr="0093006A" w14:paraId="076EF018" w14:textId="77777777" w:rsidTr="004976E1">
        <w:trPr>
          <w:trHeight w:val="320"/>
        </w:trPr>
        <w:tc>
          <w:tcPr>
            <w:tcW w:w="2160" w:type="dxa"/>
            <w:vMerge/>
            <w:hideMark/>
          </w:tcPr>
          <w:p w14:paraId="5624CDC9"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5CF769FD"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1AAA042D"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Midwest </w:t>
            </w:r>
          </w:p>
        </w:tc>
      </w:tr>
      <w:tr w:rsidR="0093006A" w:rsidRPr="0093006A" w14:paraId="48491683" w14:textId="77777777" w:rsidTr="004976E1">
        <w:trPr>
          <w:trHeight w:val="320"/>
        </w:trPr>
        <w:tc>
          <w:tcPr>
            <w:tcW w:w="2160" w:type="dxa"/>
            <w:vMerge/>
            <w:hideMark/>
          </w:tcPr>
          <w:p w14:paraId="45FD6F9B"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26AF7191"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33A47C80"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Perth </w:t>
            </w:r>
          </w:p>
        </w:tc>
      </w:tr>
      <w:tr w:rsidR="0093006A" w:rsidRPr="0093006A" w14:paraId="29C5506D" w14:textId="77777777" w:rsidTr="004976E1">
        <w:trPr>
          <w:trHeight w:val="320"/>
        </w:trPr>
        <w:tc>
          <w:tcPr>
            <w:tcW w:w="2160" w:type="dxa"/>
            <w:vMerge/>
            <w:hideMark/>
          </w:tcPr>
          <w:p w14:paraId="36F17B87"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691CBF02"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0ED8AF2F"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Pilbara </w:t>
            </w:r>
          </w:p>
        </w:tc>
      </w:tr>
      <w:tr w:rsidR="0093006A" w:rsidRPr="0093006A" w14:paraId="6AEEFF59" w14:textId="77777777" w:rsidTr="004976E1">
        <w:trPr>
          <w:trHeight w:val="320"/>
        </w:trPr>
        <w:tc>
          <w:tcPr>
            <w:tcW w:w="2160" w:type="dxa"/>
            <w:vMerge/>
            <w:hideMark/>
          </w:tcPr>
          <w:p w14:paraId="11AB41D6"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72097938"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707C484F"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Southwest</w:t>
            </w:r>
          </w:p>
        </w:tc>
      </w:tr>
      <w:tr w:rsidR="0093006A" w:rsidRPr="0093006A" w14:paraId="27BC0078" w14:textId="77777777" w:rsidTr="004976E1">
        <w:trPr>
          <w:trHeight w:val="320"/>
        </w:trPr>
        <w:tc>
          <w:tcPr>
            <w:tcW w:w="2160" w:type="dxa"/>
            <w:vMerge/>
            <w:hideMark/>
          </w:tcPr>
          <w:p w14:paraId="6DC6F4E3" w14:textId="77777777" w:rsidR="009E7864" w:rsidRPr="0093006A" w:rsidRDefault="009E7864" w:rsidP="009E7864">
            <w:pPr>
              <w:spacing w:after="120"/>
              <w:rPr>
                <w:rFonts w:eastAsia="Times New Roman" w:cs="Calibri"/>
                <w:color w:val="595959" w:themeColor="text1" w:themeTint="A6"/>
              </w:rPr>
            </w:pPr>
          </w:p>
        </w:tc>
        <w:tc>
          <w:tcPr>
            <w:tcW w:w="3800" w:type="dxa"/>
            <w:vMerge w:val="restart"/>
            <w:shd w:val="clear" w:color="auto" w:fill="auto"/>
            <w:noWrap/>
            <w:hideMark/>
          </w:tcPr>
          <w:p w14:paraId="04AD968A"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Kimberley </w:t>
            </w:r>
          </w:p>
        </w:tc>
        <w:tc>
          <w:tcPr>
            <w:tcW w:w="2680" w:type="dxa"/>
            <w:shd w:val="clear" w:color="auto" w:fill="auto"/>
            <w:noWrap/>
            <w:hideMark/>
          </w:tcPr>
          <w:p w14:paraId="1274D92B"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Broome </w:t>
            </w:r>
          </w:p>
        </w:tc>
      </w:tr>
      <w:tr w:rsidR="0093006A" w:rsidRPr="0093006A" w14:paraId="0D78CE38" w14:textId="77777777" w:rsidTr="004976E1">
        <w:trPr>
          <w:trHeight w:val="320"/>
        </w:trPr>
        <w:tc>
          <w:tcPr>
            <w:tcW w:w="2160" w:type="dxa"/>
            <w:vMerge/>
            <w:hideMark/>
          </w:tcPr>
          <w:p w14:paraId="726AB7C2"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03188837"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5F2E4779"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Derby </w:t>
            </w:r>
          </w:p>
        </w:tc>
      </w:tr>
      <w:tr w:rsidR="009E7864" w:rsidRPr="0093006A" w14:paraId="1C2506E6" w14:textId="77777777" w:rsidTr="004976E1">
        <w:trPr>
          <w:trHeight w:val="320"/>
        </w:trPr>
        <w:tc>
          <w:tcPr>
            <w:tcW w:w="2160" w:type="dxa"/>
            <w:vMerge/>
            <w:hideMark/>
          </w:tcPr>
          <w:p w14:paraId="6E8BFBFA" w14:textId="77777777" w:rsidR="009E7864" w:rsidRPr="0093006A" w:rsidRDefault="009E7864" w:rsidP="009E7864">
            <w:pPr>
              <w:spacing w:after="120"/>
              <w:rPr>
                <w:rFonts w:eastAsia="Times New Roman" w:cs="Calibri"/>
                <w:color w:val="595959" w:themeColor="text1" w:themeTint="A6"/>
              </w:rPr>
            </w:pPr>
          </w:p>
        </w:tc>
        <w:tc>
          <w:tcPr>
            <w:tcW w:w="3800" w:type="dxa"/>
            <w:vMerge/>
            <w:hideMark/>
          </w:tcPr>
          <w:p w14:paraId="0B4EAA86" w14:textId="77777777" w:rsidR="009E7864" w:rsidRPr="0093006A" w:rsidRDefault="009E7864" w:rsidP="009E7864">
            <w:pPr>
              <w:spacing w:after="120"/>
              <w:rPr>
                <w:rFonts w:eastAsia="Times New Roman" w:cs="Calibri"/>
                <w:color w:val="595959" w:themeColor="text1" w:themeTint="A6"/>
              </w:rPr>
            </w:pPr>
          </w:p>
        </w:tc>
        <w:tc>
          <w:tcPr>
            <w:tcW w:w="2680" w:type="dxa"/>
            <w:shd w:val="clear" w:color="auto" w:fill="auto"/>
            <w:noWrap/>
            <w:hideMark/>
          </w:tcPr>
          <w:p w14:paraId="63F07E2A" w14:textId="77777777" w:rsidR="009E7864" w:rsidRPr="0093006A" w:rsidRDefault="009E7864" w:rsidP="009E7864">
            <w:pPr>
              <w:spacing w:after="120"/>
              <w:rPr>
                <w:rFonts w:eastAsia="Times New Roman" w:cs="Calibri"/>
                <w:color w:val="595959" w:themeColor="text1" w:themeTint="A6"/>
              </w:rPr>
            </w:pPr>
            <w:r w:rsidRPr="0093006A">
              <w:rPr>
                <w:rFonts w:eastAsia="Times New Roman" w:cs="Calibri"/>
                <w:color w:val="595959" w:themeColor="text1" w:themeTint="A6"/>
              </w:rPr>
              <w:t xml:space="preserve">Kununurra </w:t>
            </w:r>
          </w:p>
        </w:tc>
      </w:tr>
    </w:tbl>
    <w:p w14:paraId="428784E9" w14:textId="77777777" w:rsidR="00760EA8" w:rsidRPr="0093006A" w:rsidRDefault="00760EA8" w:rsidP="0051644D">
      <w:pPr>
        <w:spacing w:after="120"/>
        <w:rPr>
          <w:color w:val="595959" w:themeColor="text1" w:themeTint="A6"/>
        </w:rPr>
      </w:pPr>
    </w:p>
    <w:p w14:paraId="53865FC6" w14:textId="4689F2F6" w:rsidR="00BF209F" w:rsidRPr="0093006A" w:rsidRDefault="00577A96" w:rsidP="0051644D">
      <w:pPr>
        <w:spacing w:after="120"/>
        <w:rPr>
          <w:color w:val="595959" w:themeColor="text1" w:themeTint="A6"/>
        </w:rPr>
      </w:pPr>
      <w:r w:rsidRPr="0093006A">
        <w:rPr>
          <w:color w:val="595959" w:themeColor="text1" w:themeTint="A6"/>
        </w:rPr>
        <w:t xml:space="preserve">Roundtables and </w:t>
      </w:r>
      <w:r w:rsidR="002A3219" w:rsidRPr="0093006A">
        <w:rPr>
          <w:color w:val="595959" w:themeColor="text1" w:themeTint="A6"/>
        </w:rPr>
        <w:t>T</w:t>
      </w:r>
      <w:r w:rsidRPr="0093006A">
        <w:rPr>
          <w:color w:val="595959" w:themeColor="text1" w:themeTint="A6"/>
        </w:rPr>
        <w:t xml:space="preserve">own </w:t>
      </w:r>
      <w:r w:rsidR="002A3219" w:rsidRPr="0093006A">
        <w:rPr>
          <w:color w:val="595959" w:themeColor="text1" w:themeTint="A6"/>
        </w:rPr>
        <w:t>H</w:t>
      </w:r>
      <w:r w:rsidRPr="0093006A">
        <w:rPr>
          <w:color w:val="595959" w:themeColor="text1" w:themeTint="A6"/>
        </w:rPr>
        <w:t>alls ranged</w:t>
      </w:r>
      <w:r w:rsidR="00583C44" w:rsidRPr="0093006A">
        <w:rPr>
          <w:color w:val="595959" w:themeColor="text1" w:themeTint="A6"/>
        </w:rPr>
        <w:t xml:space="preserve"> between 1.5 hours and 2.5 hours</w:t>
      </w:r>
      <w:r w:rsidR="00760EA8" w:rsidRPr="0093006A">
        <w:rPr>
          <w:color w:val="595959" w:themeColor="text1" w:themeTint="A6"/>
        </w:rPr>
        <w:t xml:space="preserve"> in length</w:t>
      </w:r>
      <w:r w:rsidR="00583C44" w:rsidRPr="0093006A">
        <w:rPr>
          <w:color w:val="595959" w:themeColor="text1" w:themeTint="A6"/>
        </w:rPr>
        <w:t xml:space="preserve">. Depending on the number attending </w:t>
      </w:r>
      <w:r w:rsidR="00F0000E" w:rsidRPr="0093006A">
        <w:rPr>
          <w:color w:val="595959" w:themeColor="text1" w:themeTint="A6"/>
        </w:rPr>
        <w:t>the session</w:t>
      </w:r>
      <w:r w:rsidR="00583C44" w:rsidRPr="0093006A">
        <w:rPr>
          <w:color w:val="595959" w:themeColor="text1" w:themeTint="A6"/>
        </w:rPr>
        <w:t xml:space="preserve">, participants explored the consultation questions through a mix of individual, small group and large group exercises. </w:t>
      </w:r>
    </w:p>
    <w:p w14:paraId="65150DF0" w14:textId="77777777" w:rsidR="00A02047" w:rsidRPr="0093006A" w:rsidRDefault="00A02047" w:rsidP="0051644D">
      <w:pPr>
        <w:pStyle w:val="Heading3"/>
        <w:spacing w:before="0" w:after="120"/>
        <w:rPr>
          <w:color w:val="595959" w:themeColor="text1" w:themeTint="A6"/>
          <w:sz w:val="24"/>
          <w:szCs w:val="24"/>
        </w:rPr>
      </w:pPr>
      <w:r w:rsidRPr="0093006A">
        <w:rPr>
          <w:color w:val="595959" w:themeColor="text1" w:themeTint="A6"/>
          <w:sz w:val="24"/>
          <w:szCs w:val="24"/>
        </w:rPr>
        <w:t>Participant</w:t>
      </w:r>
      <w:r w:rsidR="00903B2D" w:rsidRPr="0093006A">
        <w:rPr>
          <w:color w:val="595959" w:themeColor="text1" w:themeTint="A6"/>
          <w:sz w:val="24"/>
          <w:szCs w:val="24"/>
        </w:rPr>
        <w:t xml:space="preserve"> profile</w:t>
      </w:r>
    </w:p>
    <w:p w14:paraId="73C49650" w14:textId="490C653E" w:rsidR="0068600F" w:rsidRPr="0093006A" w:rsidRDefault="00F0000E" w:rsidP="00903B2D">
      <w:pPr>
        <w:spacing w:after="120"/>
        <w:rPr>
          <w:color w:val="595959" w:themeColor="text1" w:themeTint="A6"/>
        </w:rPr>
      </w:pPr>
      <w:r w:rsidRPr="0093006A">
        <w:rPr>
          <w:color w:val="595959" w:themeColor="text1" w:themeTint="A6"/>
        </w:rPr>
        <w:t xml:space="preserve">Participant numbers for each session ranged from five to 45. </w:t>
      </w:r>
      <w:r w:rsidR="00A02047" w:rsidRPr="0093006A">
        <w:rPr>
          <w:color w:val="595959" w:themeColor="text1" w:themeTint="A6"/>
        </w:rPr>
        <w:t xml:space="preserve">A total of </w:t>
      </w:r>
      <w:r w:rsidR="00B2491E" w:rsidRPr="0093006A">
        <w:rPr>
          <w:color w:val="595959" w:themeColor="text1" w:themeTint="A6"/>
        </w:rPr>
        <w:t xml:space="preserve">939 </w:t>
      </w:r>
      <w:r w:rsidR="00A02047" w:rsidRPr="0093006A">
        <w:rPr>
          <w:color w:val="595959" w:themeColor="text1" w:themeTint="A6"/>
        </w:rPr>
        <w:t xml:space="preserve">individuals from </w:t>
      </w:r>
      <w:r w:rsidR="00FB3095" w:rsidRPr="0093006A">
        <w:rPr>
          <w:color w:val="595959" w:themeColor="text1" w:themeTint="A6"/>
        </w:rPr>
        <w:t xml:space="preserve">11 </w:t>
      </w:r>
      <w:r w:rsidR="00903B2D" w:rsidRPr="0093006A">
        <w:rPr>
          <w:color w:val="595959" w:themeColor="text1" w:themeTint="A6"/>
        </w:rPr>
        <w:t xml:space="preserve">NIAA </w:t>
      </w:r>
      <w:r w:rsidR="00A02047" w:rsidRPr="0093006A">
        <w:rPr>
          <w:color w:val="595959" w:themeColor="text1" w:themeTint="A6"/>
        </w:rPr>
        <w:t xml:space="preserve">regions </w:t>
      </w:r>
      <w:r w:rsidR="00903B2D" w:rsidRPr="0093006A">
        <w:rPr>
          <w:color w:val="595959" w:themeColor="text1" w:themeTint="A6"/>
        </w:rPr>
        <w:t xml:space="preserve">and nationally </w:t>
      </w:r>
      <w:r w:rsidR="00A02047" w:rsidRPr="0093006A">
        <w:rPr>
          <w:color w:val="595959" w:themeColor="text1" w:themeTint="A6"/>
        </w:rPr>
        <w:t>took part in the r</w:t>
      </w:r>
      <w:r w:rsidR="00903B2D" w:rsidRPr="0093006A">
        <w:rPr>
          <w:color w:val="595959" w:themeColor="text1" w:themeTint="A6"/>
        </w:rPr>
        <w:t>egional and national roundtables</w:t>
      </w:r>
      <w:r w:rsidR="00A02047" w:rsidRPr="0093006A">
        <w:rPr>
          <w:color w:val="595959" w:themeColor="text1" w:themeTint="A6"/>
        </w:rPr>
        <w:t>.</w:t>
      </w:r>
      <w:r w:rsidR="00A02047" w:rsidRPr="0093006A">
        <w:rPr>
          <w:rStyle w:val="FootnoteReference"/>
          <w:color w:val="595959" w:themeColor="text1" w:themeTint="A6"/>
        </w:rPr>
        <w:footnoteReference w:id="7"/>
      </w:r>
      <w:r w:rsidR="00A02047" w:rsidRPr="0093006A">
        <w:rPr>
          <w:color w:val="595959" w:themeColor="text1" w:themeTint="A6"/>
        </w:rPr>
        <w:t xml:space="preserve"> </w:t>
      </w:r>
    </w:p>
    <w:p w14:paraId="57C76B01" w14:textId="2BCF5BC1" w:rsidR="0068600F" w:rsidRPr="0093006A" w:rsidRDefault="0068600F" w:rsidP="00903B2D">
      <w:pPr>
        <w:spacing w:after="120"/>
        <w:rPr>
          <w:color w:val="595959" w:themeColor="text1" w:themeTint="A6"/>
        </w:rPr>
      </w:pPr>
      <w:r w:rsidRPr="0093006A">
        <w:rPr>
          <w:color w:val="595959" w:themeColor="text1" w:themeTint="A6"/>
        </w:rPr>
        <w:t xml:space="preserve">Participants included service providers, Indigenous communities and community-controlled organisations, employers, industry peaks, representatives from </w:t>
      </w:r>
      <w:r w:rsidR="0063311E" w:rsidRPr="0093006A">
        <w:rPr>
          <w:color w:val="595959" w:themeColor="text1" w:themeTint="A6"/>
        </w:rPr>
        <w:t>F</w:t>
      </w:r>
      <w:r w:rsidRPr="0093006A">
        <w:rPr>
          <w:color w:val="595959" w:themeColor="text1" w:themeTint="A6"/>
        </w:rPr>
        <w:t xml:space="preserve">ederal, state </w:t>
      </w:r>
      <w:r w:rsidR="0063311E" w:rsidRPr="0093006A">
        <w:rPr>
          <w:color w:val="595959" w:themeColor="text1" w:themeTint="A6"/>
        </w:rPr>
        <w:t>and</w:t>
      </w:r>
      <w:r w:rsidRPr="0093006A">
        <w:rPr>
          <w:color w:val="595959" w:themeColor="text1" w:themeTint="A6"/>
        </w:rPr>
        <w:t xml:space="preserve"> territory</w:t>
      </w:r>
      <w:r w:rsidR="00D5211A" w:rsidRPr="0093006A">
        <w:rPr>
          <w:color w:val="595959" w:themeColor="text1" w:themeTint="A6"/>
        </w:rPr>
        <w:t>,</w:t>
      </w:r>
      <w:r w:rsidRPr="0093006A">
        <w:rPr>
          <w:color w:val="595959" w:themeColor="text1" w:themeTint="A6"/>
        </w:rPr>
        <w:t xml:space="preserve"> and local government</w:t>
      </w:r>
      <w:r w:rsidR="0063311E" w:rsidRPr="0093006A">
        <w:rPr>
          <w:color w:val="595959" w:themeColor="text1" w:themeTint="A6"/>
        </w:rPr>
        <w:t>s</w:t>
      </w:r>
      <w:r w:rsidRPr="0093006A">
        <w:rPr>
          <w:color w:val="595959" w:themeColor="text1" w:themeTint="A6"/>
        </w:rPr>
        <w:t>, academics and a philanthropic foundation.</w:t>
      </w:r>
    </w:p>
    <w:p w14:paraId="1860ED97" w14:textId="77777777" w:rsidR="00A02047" w:rsidRPr="0093006A" w:rsidRDefault="00A02047" w:rsidP="00903B2D">
      <w:pPr>
        <w:spacing w:after="120"/>
        <w:rPr>
          <w:color w:val="595959" w:themeColor="text1" w:themeTint="A6"/>
        </w:rPr>
      </w:pPr>
      <w:r w:rsidRPr="0093006A">
        <w:rPr>
          <w:color w:val="595959" w:themeColor="text1" w:themeTint="A6"/>
        </w:rPr>
        <w:t xml:space="preserve">The </w:t>
      </w:r>
      <w:r w:rsidR="00903B2D" w:rsidRPr="0093006A">
        <w:rPr>
          <w:color w:val="595959" w:themeColor="text1" w:themeTint="A6"/>
        </w:rPr>
        <w:t xml:space="preserve">NIAA </w:t>
      </w:r>
      <w:r w:rsidRPr="0093006A">
        <w:rPr>
          <w:color w:val="595959" w:themeColor="text1" w:themeTint="A6"/>
        </w:rPr>
        <w:t>region</w:t>
      </w:r>
      <w:r w:rsidR="002973B0" w:rsidRPr="0093006A">
        <w:rPr>
          <w:color w:val="595959" w:themeColor="text1" w:themeTint="A6"/>
        </w:rPr>
        <w:t>al</w:t>
      </w:r>
      <w:r w:rsidRPr="0093006A">
        <w:rPr>
          <w:color w:val="595959" w:themeColor="text1" w:themeTint="A6"/>
        </w:rPr>
        <w:t xml:space="preserve"> and national consultations were attended as follows: </w:t>
      </w:r>
    </w:p>
    <w:p w14:paraId="598786BB" w14:textId="4CFFB6AE" w:rsidR="009A69A0" w:rsidRPr="0093006A" w:rsidRDefault="009A69A0" w:rsidP="00A02047">
      <w:pPr>
        <w:spacing w:after="120"/>
        <w:rPr>
          <w:b/>
          <w:bCs/>
          <w:color w:val="595959" w:themeColor="text1" w:themeTint="A6"/>
          <w:sz w:val="24"/>
          <w:szCs w:val="24"/>
        </w:rPr>
      </w:pPr>
      <w:r w:rsidRPr="0093006A">
        <w:rPr>
          <w:b/>
          <w:bCs/>
          <w:color w:val="595959" w:themeColor="text1" w:themeTint="A6"/>
          <w:sz w:val="24"/>
          <w:szCs w:val="24"/>
        </w:rPr>
        <w:t xml:space="preserve">Table </w:t>
      </w:r>
      <w:r w:rsidR="009E7864" w:rsidRPr="0093006A">
        <w:rPr>
          <w:b/>
          <w:bCs/>
          <w:color w:val="595959" w:themeColor="text1" w:themeTint="A6"/>
          <w:sz w:val="24"/>
          <w:szCs w:val="24"/>
        </w:rPr>
        <w:t>3</w:t>
      </w:r>
      <w:r w:rsidRPr="0093006A">
        <w:rPr>
          <w:b/>
          <w:bCs/>
          <w:color w:val="595959" w:themeColor="text1" w:themeTint="A6"/>
          <w:sz w:val="24"/>
          <w:szCs w:val="24"/>
        </w:rPr>
        <w:t xml:space="preserve">: Total number </w:t>
      </w:r>
      <w:r w:rsidR="0063311E" w:rsidRPr="0093006A">
        <w:rPr>
          <w:b/>
          <w:bCs/>
          <w:color w:val="595959" w:themeColor="text1" w:themeTint="A6"/>
          <w:sz w:val="24"/>
          <w:szCs w:val="24"/>
        </w:rPr>
        <w:t xml:space="preserve">of </w:t>
      </w:r>
      <w:r w:rsidR="00D5211A" w:rsidRPr="0093006A">
        <w:rPr>
          <w:b/>
          <w:bCs/>
          <w:color w:val="595959" w:themeColor="text1" w:themeTint="A6"/>
          <w:sz w:val="24"/>
          <w:szCs w:val="24"/>
        </w:rPr>
        <w:t xml:space="preserve">Roundtable </w:t>
      </w:r>
      <w:r w:rsidRPr="0093006A">
        <w:rPr>
          <w:b/>
          <w:bCs/>
          <w:color w:val="595959" w:themeColor="text1" w:themeTint="A6"/>
          <w:sz w:val="24"/>
          <w:szCs w:val="24"/>
        </w:rPr>
        <w:t>participants</w:t>
      </w:r>
    </w:p>
    <w:tbl>
      <w:tblPr>
        <w:tblStyle w:val="TableGrid"/>
        <w:tblW w:w="0" w:type="auto"/>
        <w:tblLook w:val="04A0" w:firstRow="1" w:lastRow="0" w:firstColumn="1" w:lastColumn="0" w:noHBand="0" w:noVBand="1"/>
        <w:tblCaption w:val="Total number of Roundtable participants"/>
        <w:tblDescription w:val="Depicts Roundtable Participants by NIAA Region"/>
      </w:tblPr>
      <w:tblGrid>
        <w:gridCol w:w="5670"/>
        <w:gridCol w:w="3010"/>
      </w:tblGrid>
      <w:tr w:rsidR="0093006A" w:rsidRPr="0093006A" w14:paraId="5A59FAFF" w14:textId="77777777" w:rsidTr="00E4084E">
        <w:trPr>
          <w:cantSplit/>
          <w:tblHeader/>
        </w:trPr>
        <w:tc>
          <w:tcPr>
            <w:tcW w:w="5670" w:type="dxa"/>
            <w:shd w:val="clear" w:color="auto" w:fill="auto"/>
          </w:tcPr>
          <w:p w14:paraId="3F489BB6" w14:textId="77777777" w:rsidR="00A02047" w:rsidRPr="0093006A" w:rsidRDefault="00903B2D" w:rsidP="0048465C">
            <w:pPr>
              <w:spacing w:after="120"/>
              <w:rPr>
                <w:b/>
                <w:bCs/>
                <w:color w:val="595959" w:themeColor="text1" w:themeTint="A6"/>
              </w:rPr>
            </w:pPr>
            <w:r w:rsidRPr="0093006A">
              <w:rPr>
                <w:b/>
                <w:bCs/>
                <w:color w:val="595959" w:themeColor="text1" w:themeTint="A6"/>
              </w:rPr>
              <w:t xml:space="preserve">NIAA </w:t>
            </w:r>
            <w:r w:rsidR="00A02047" w:rsidRPr="0093006A">
              <w:rPr>
                <w:b/>
                <w:bCs/>
                <w:color w:val="595959" w:themeColor="text1" w:themeTint="A6"/>
              </w:rPr>
              <w:t xml:space="preserve">Region </w:t>
            </w:r>
          </w:p>
        </w:tc>
        <w:tc>
          <w:tcPr>
            <w:tcW w:w="3010" w:type="dxa"/>
            <w:shd w:val="clear" w:color="auto" w:fill="auto"/>
          </w:tcPr>
          <w:p w14:paraId="5F8A5E8C" w14:textId="77777777" w:rsidR="00A02047" w:rsidRPr="0093006A" w:rsidRDefault="00A02047" w:rsidP="00976003">
            <w:pPr>
              <w:spacing w:after="120"/>
              <w:ind w:right="276"/>
              <w:jc w:val="right"/>
              <w:rPr>
                <w:b/>
                <w:bCs/>
                <w:color w:val="595959" w:themeColor="text1" w:themeTint="A6"/>
              </w:rPr>
            </w:pPr>
            <w:r w:rsidRPr="0093006A">
              <w:rPr>
                <w:b/>
                <w:bCs/>
                <w:color w:val="595959" w:themeColor="text1" w:themeTint="A6"/>
              </w:rPr>
              <w:t>Number of participants</w:t>
            </w:r>
          </w:p>
        </w:tc>
      </w:tr>
      <w:tr w:rsidR="0093006A" w:rsidRPr="0093006A" w14:paraId="788539E7" w14:textId="77777777" w:rsidTr="00E4084E">
        <w:trPr>
          <w:cantSplit/>
          <w:tblHeader/>
        </w:trPr>
        <w:tc>
          <w:tcPr>
            <w:tcW w:w="5670" w:type="dxa"/>
            <w:shd w:val="clear" w:color="auto" w:fill="auto"/>
          </w:tcPr>
          <w:p w14:paraId="48FEF62F" w14:textId="77777777" w:rsidR="00A02047" w:rsidRPr="0093006A" w:rsidRDefault="00A02047" w:rsidP="0048465C">
            <w:pPr>
              <w:spacing w:after="120"/>
              <w:rPr>
                <w:color w:val="595959" w:themeColor="text1" w:themeTint="A6"/>
              </w:rPr>
            </w:pPr>
            <w:r w:rsidRPr="0093006A">
              <w:rPr>
                <w:color w:val="595959" w:themeColor="text1" w:themeTint="A6"/>
              </w:rPr>
              <w:t xml:space="preserve">Arnhem Land and Groote </w:t>
            </w:r>
            <w:r w:rsidR="00DB728A" w:rsidRPr="0093006A">
              <w:rPr>
                <w:color w:val="595959" w:themeColor="text1" w:themeTint="A6"/>
              </w:rPr>
              <w:t>Eylandt</w:t>
            </w:r>
            <w:r w:rsidRPr="0093006A">
              <w:rPr>
                <w:color w:val="595959" w:themeColor="text1" w:themeTint="A6"/>
              </w:rPr>
              <w:t xml:space="preserve"> </w:t>
            </w:r>
          </w:p>
        </w:tc>
        <w:tc>
          <w:tcPr>
            <w:tcW w:w="3010" w:type="dxa"/>
            <w:shd w:val="clear" w:color="auto" w:fill="auto"/>
          </w:tcPr>
          <w:p w14:paraId="783731FA" w14:textId="3932E086" w:rsidR="00A02047" w:rsidRPr="0093006A" w:rsidRDefault="002A3740" w:rsidP="0048465C">
            <w:pPr>
              <w:spacing w:after="120"/>
              <w:jc w:val="right"/>
              <w:rPr>
                <w:color w:val="595959" w:themeColor="text1" w:themeTint="A6"/>
              </w:rPr>
            </w:pPr>
            <w:r w:rsidRPr="0093006A">
              <w:rPr>
                <w:color w:val="595959" w:themeColor="text1" w:themeTint="A6"/>
              </w:rPr>
              <w:t xml:space="preserve">45 </w:t>
            </w:r>
          </w:p>
        </w:tc>
      </w:tr>
      <w:tr w:rsidR="0093006A" w:rsidRPr="0093006A" w14:paraId="69A2D436" w14:textId="77777777" w:rsidTr="00E4084E">
        <w:trPr>
          <w:cantSplit/>
          <w:tblHeader/>
        </w:trPr>
        <w:tc>
          <w:tcPr>
            <w:tcW w:w="5670" w:type="dxa"/>
            <w:shd w:val="clear" w:color="auto" w:fill="auto"/>
          </w:tcPr>
          <w:p w14:paraId="2A0B5D50" w14:textId="77777777" w:rsidR="00A02047" w:rsidRPr="0093006A" w:rsidRDefault="00A02047" w:rsidP="0048465C">
            <w:pPr>
              <w:spacing w:after="120"/>
              <w:rPr>
                <w:color w:val="595959" w:themeColor="text1" w:themeTint="A6"/>
              </w:rPr>
            </w:pPr>
            <w:r w:rsidRPr="0093006A">
              <w:rPr>
                <w:color w:val="595959" w:themeColor="text1" w:themeTint="A6"/>
              </w:rPr>
              <w:t>Top End and Tiwi Islands Region</w:t>
            </w:r>
          </w:p>
        </w:tc>
        <w:tc>
          <w:tcPr>
            <w:tcW w:w="3010" w:type="dxa"/>
            <w:shd w:val="clear" w:color="auto" w:fill="auto"/>
          </w:tcPr>
          <w:p w14:paraId="11078C6C" w14:textId="6FDC374A" w:rsidR="00A02047" w:rsidRPr="0093006A" w:rsidRDefault="00A02047" w:rsidP="0048465C">
            <w:pPr>
              <w:spacing w:after="120"/>
              <w:jc w:val="right"/>
              <w:rPr>
                <w:color w:val="595959" w:themeColor="text1" w:themeTint="A6"/>
              </w:rPr>
            </w:pPr>
            <w:r w:rsidRPr="0093006A">
              <w:rPr>
                <w:color w:val="595959" w:themeColor="text1" w:themeTint="A6"/>
              </w:rPr>
              <w:t>4</w:t>
            </w:r>
            <w:r w:rsidR="002A3740" w:rsidRPr="0093006A">
              <w:rPr>
                <w:color w:val="595959" w:themeColor="text1" w:themeTint="A6"/>
              </w:rPr>
              <w:t>2</w:t>
            </w:r>
          </w:p>
        </w:tc>
      </w:tr>
      <w:tr w:rsidR="0093006A" w:rsidRPr="0093006A" w14:paraId="75E90F59" w14:textId="77777777" w:rsidTr="00E4084E">
        <w:trPr>
          <w:cantSplit/>
          <w:tblHeader/>
        </w:trPr>
        <w:tc>
          <w:tcPr>
            <w:tcW w:w="5670" w:type="dxa"/>
            <w:shd w:val="clear" w:color="auto" w:fill="auto"/>
          </w:tcPr>
          <w:p w14:paraId="26B418AD" w14:textId="77777777" w:rsidR="00A02047" w:rsidRPr="0093006A" w:rsidRDefault="00A02047" w:rsidP="0048465C">
            <w:pPr>
              <w:spacing w:after="120"/>
              <w:rPr>
                <w:color w:val="595959" w:themeColor="text1" w:themeTint="A6"/>
              </w:rPr>
            </w:pPr>
            <w:r w:rsidRPr="0093006A">
              <w:rPr>
                <w:color w:val="595959" w:themeColor="text1" w:themeTint="A6"/>
              </w:rPr>
              <w:t>Central Australia</w:t>
            </w:r>
          </w:p>
        </w:tc>
        <w:tc>
          <w:tcPr>
            <w:tcW w:w="3010" w:type="dxa"/>
            <w:shd w:val="clear" w:color="auto" w:fill="auto"/>
          </w:tcPr>
          <w:p w14:paraId="66235E64" w14:textId="77777777" w:rsidR="00A02047" w:rsidRPr="0093006A" w:rsidRDefault="00A02047" w:rsidP="0048465C">
            <w:pPr>
              <w:spacing w:after="120"/>
              <w:jc w:val="right"/>
              <w:rPr>
                <w:color w:val="595959" w:themeColor="text1" w:themeTint="A6"/>
              </w:rPr>
            </w:pPr>
            <w:r w:rsidRPr="0093006A">
              <w:rPr>
                <w:color w:val="595959" w:themeColor="text1" w:themeTint="A6"/>
              </w:rPr>
              <w:t>40</w:t>
            </w:r>
          </w:p>
        </w:tc>
      </w:tr>
      <w:tr w:rsidR="0093006A" w:rsidRPr="0093006A" w14:paraId="5082B417" w14:textId="77777777" w:rsidTr="00E4084E">
        <w:trPr>
          <w:cantSplit/>
          <w:tblHeader/>
        </w:trPr>
        <w:tc>
          <w:tcPr>
            <w:tcW w:w="5670" w:type="dxa"/>
            <w:shd w:val="clear" w:color="auto" w:fill="auto"/>
          </w:tcPr>
          <w:p w14:paraId="08FEAE30" w14:textId="77777777" w:rsidR="00A02047" w:rsidRPr="0093006A" w:rsidRDefault="00A02047" w:rsidP="0048465C">
            <w:pPr>
              <w:spacing w:after="120"/>
              <w:rPr>
                <w:color w:val="595959" w:themeColor="text1" w:themeTint="A6"/>
              </w:rPr>
            </w:pPr>
            <w:r w:rsidRPr="0093006A">
              <w:rPr>
                <w:color w:val="595959" w:themeColor="text1" w:themeTint="A6"/>
              </w:rPr>
              <w:t>Greater Western Australia Region</w:t>
            </w:r>
          </w:p>
        </w:tc>
        <w:tc>
          <w:tcPr>
            <w:tcW w:w="3010" w:type="dxa"/>
            <w:shd w:val="clear" w:color="auto" w:fill="auto"/>
          </w:tcPr>
          <w:p w14:paraId="2D6D2DCC" w14:textId="6E41FE14" w:rsidR="00A02047" w:rsidRPr="0093006A" w:rsidRDefault="002A3740" w:rsidP="0048465C">
            <w:pPr>
              <w:spacing w:after="120"/>
              <w:jc w:val="right"/>
              <w:rPr>
                <w:color w:val="595959" w:themeColor="text1" w:themeTint="A6"/>
              </w:rPr>
            </w:pPr>
            <w:r w:rsidRPr="0093006A">
              <w:rPr>
                <w:color w:val="595959" w:themeColor="text1" w:themeTint="A6"/>
              </w:rPr>
              <w:t>57</w:t>
            </w:r>
            <w:r w:rsidR="00A02047" w:rsidRPr="0093006A">
              <w:rPr>
                <w:color w:val="595959" w:themeColor="text1" w:themeTint="A6"/>
              </w:rPr>
              <w:t xml:space="preserve"> </w:t>
            </w:r>
          </w:p>
        </w:tc>
      </w:tr>
      <w:tr w:rsidR="0093006A" w:rsidRPr="0093006A" w14:paraId="64CF6EB9" w14:textId="77777777" w:rsidTr="00E4084E">
        <w:trPr>
          <w:cantSplit/>
          <w:tblHeader/>
        </w:trPr>
        <w:tc>
          <w:tcPr>
            <w:tcW w:w="5670" w:type="dxa"/>
            <w:shd w:val="clear" w:color="auto" w:fill="auto"/>
          </w:tcPr>
          <w:p w14:paraId="4143AD0C" w14:textId="77777777" w:rsidR="00A02047" w:rsidRPr="0093006A" w:rsidRDefault="00A02047" w:rsidP="0048465C">
            <w:pPr>
              <w:spacing w:after="120"/>
              <w:rPr>
                <w:color w:val="595959" w:themeColor="text1" w:themeTint="A6"/>
              </w:rPr>
            </w:pPr>
            <w:r w:rsidRPr="0093006A">
              <w:rPr>
                <w:color w:val="595959" w:themeColor="text1" w:themeTint="A6"/>
              </w:rPr>
              <w:t xml:space="preserve">Kimberley Region </w:t>
            </w:r>
          </w:p>
        </w:tc>
        <w:tc>
          <w:tcPr>
            <w:tcW w:w="3010" w:type="dxa"/>
            <w:shd w:val="clear" w:color="auto" w:fill="auto"/>
          </w:tcPr>
          <w:p w14:paraId="5C528544" w14:textId="18088D6B" w:rsidR="00A02047" w:rsidRPr="0093006A" w:rsidRDefault="007B6005" w:rsidP="0048465C">
            <w:pPr>
              <w:spacing w:after="120"/>
              <w:jc w:val="right"/>
              <w:rPr>
                <w:color w:val="595959" w:themeColor="text1" w:themeTint="A6"/>
              </w:rPr>
            </w:pPr>
            <w:r w:rsidRPr="0093006A">
              <w:rPr>
                <w:color w:val="595959" w:themeColor="text1" w:themeTint="A6"/>
              </w:rPr>
              <w:t>29</w:t>
            </w:r>
          </w:p>
        </w:tc>
      </w:tr>
      <w:tr w:rsidR="0093006A" w:rsidRPr="0093006A" w14:paraId="119FD13A" w14:textId="77777777" w:rsidTr="00E4084E">
        <w:trPr>
          <w:cantSplit/>
          <w:tblHeader/>
        </w:trPr>
        <w:tc>
          <w:tcPr>
            <w:tcW w:w="5670" w:type="dxa"/>
            <w:shd w:val="clear" w:color="auto" w:fill="auto"/>
          </w:tcPr>
          <w:p w14:paraId="04D79410" w14:textId="77777777" w:rsidR="00A02047" w:rsidRPr="0093006A" w:rsidRDefault="00A02047" w:rsidP="0048465C">
            <w:pPr>
              <w:spacing w:after="120"/>
              <w:rPr>
                <w:color w:val="595959" w:themeColor="text1" w:themeTint="A6"/>
              </w:rPr>
            </w:pPr>
            <w:r w:rsidRPr="0093006A">
              <w:rPr>
                <w:color w:val="595959" w:themeColor="text1" w:themeTint="A6"/>
              </w:rPr>
              <w:t>South Queensland Region</w:t>
            </w:r>
          </w:p>
        </w:tc>
        <w:tc>
          <w:tcPr>
            <w:tcW w:w="3010" w:type="dxa"/>
            <w:shd w:val="clear" w:color="auto" w:fill="auto"/>
          </w:tcPr>
          <w:p w14:paraId="5D57F005" w14:textId="1BD496E7" w:rsidR="00A02047" w:rsidRPr="0093006A" w:rsidRDefault="002A3740" w:rsidP="0048465C">
            <w:pPr>
              <w:spacing w:after="120"/>
              <w:jc w:val="right"/>
              <w:rPr>
                <w:color w:val="595959" w:themeColor="text1" w:themeTint="A6"/>
              </w:rPr>
            </w:pPr>
            <w:r w:rsidRPr="0093006A">
              <w:rPr>
                <w:color w:val="595959" w:themeColor="text1" w:themeTint="A6"/>
              </w:rPr>
              <w:t>1</w:t>
            </w:r>
            <w:r w:rsidR="007B6005" w:rsidRPr="0093006A">
              <w:rPr>
                <w:color w:val="595959" w:themeColor="text1" w:themeTint="A6"/>
              </w:rPr>
              <w:t>08</w:t>
            </w:r>
          </w:p>
        </w:tc>
      </w:tr>
      <w:tr w:rsidR="0093006A" w:rsidRPr="0093006A" w14:paraId="666B105C" w14:textId="77777777" w:rsidTr="00E4084E">
        <w:trPr>
          <w:cantSplit/>
          <w:tblHeader/>
        </w:trPr>
        <w:tc>
          <w:tcPr>
            <w:tcW w:w="5670" w:type="dxa"/>
            <w:shd w:val="clear" w:color="auto" w:fill="auto"/>
          </w:tcPr>
          <w:p w14:paraId="3B2A56A4" w14:textId="77777777" w:rsidR="00A02047" w:rsidRPr="0093006A" w:rsidRDefault="00A02047" w:rsidP="0048465C">
            <w:pPr>
              <w:spacing w:after="120"/>
              <w:rPr>
                <w:color w:val="595959" w:themeColor="text1" w:themeTint="A6"/>
              </w:rPr>
            </w:pPr>
            <w:r w:rsidRPr="0093006A">
              <w:rPr>
                <w:color w:val="595959" w:themeColor="text1" w:themeTint="A6"/>
              </w:rPr>
              <w:t>North Queensland Region</w:t>
            </w:r>
          </w:p>
        </w:tc>
        <w:tc>
          <w:tcPr>
            <w:tcW w:w="3010" w:type="dxa"/>
            <w:shd w:val="clear" w:color="auto" w:fill="auto"/>
          </w:tcPr>
          <w:p w14:paraId="624AB0BC" w14:textId="45ADCD72" w:rsidR="00A02047" w:rsidRPr="0093006A" w:rsidRDefault="002A3740" w:rsidP="0048465C">
            <w:pPr>
              <w:spacing w:after="120"/>
              <w:jc w:val="right"/>
              <w:rPr>
                <w:color w:val="595959" w:themeColor="text1" w:themeTint="A6"/>
              </w:rPr>
            </w:pPr>
            <w:r w:rsidRPr="0093006A">
              <w:rPr>
                <w:color w:val="595959" w:themeColor="text1" w:themeTint="A6"/>
              </w:rPr>
              <w:t>109</w:t>
            </w:r>
          </w:p>
        </w:tc>
      </w:tr>
      <w:tr w:rsidR="0093006A" w:rsidRPr="0093006A" w14:paraId="6BBE0940" w14:textId="77777777" w:rsidTr="00E4084E">
        <w:trPr>
          <w:cantSplit/>
          <w:tblHeader/>
        </w:trPr>
        <w:tc>
          <w:tcPr>
            <w:tcW w:w="5670" w:type="dxa"/>
            <w:shd w:val="clear" w:color="auto" w:fill="auto"/>
          </w:tcPr>
          <w:p w14:paraId="345F8120" w14:textId="77777777" w:rsidR="00A02047" w:rsidRPr="0093006A" w:rsidRDefault="00A02047" w:rsidP="0048465C">
            <w:pPr>
              <w:spacing w:after="120"/>
              <w:rPr>
                <w:color w:val="595959" w:themeColor="text1" w:themeTint="A6"/>
              </w:rPr>
            </w:pPr>
            <w:r w:rsidRPr="0093006A">
              <w:rPr>
                <w:color w:val="595959" w:themeColor="text1" w:themeTint="A6"/>
              </w:rPr>
              <w:t>Eastern New South Wales Region</w:t>
            </w:r>
          </w:p>
        </w:tc>
        <w:tc>
          <w:tcPr>
            <w:tcW w:w="3010" w:type="dxa"/>
            <w:shd w:val="clear" w:color="auto" w:fill="auto"/>
          </w:tcPr>
          <w:p w14:paraId="4EE96B16" w14:textId="5F9E3304" w:rsidR="00A02047" w:rsidRPr="0093006A" w:rsidRDefault="007B6005" w:rsidP="0048465C">
            <w:pPr>
              <w:spacing w:after="120"/>
              <w:jc w:val="right"/>
              <w:rPr>
                <w:color w:val="595959" w:themeColor="text1" w:themeTint="A6"/>
              </w:rPr>
            </w:pPr>
            <w:r w:rsidRPr="0093006A">
              <w:rPr>
                <w:color w:val="595959" w:themeColor="text1" w:themeTint="A6"/>
              </w:rPr>
              <w:t>141</w:t>
            </w:r>
          </w:p>
        </w:tc>
      </w:tr>
      <w:tr w:rsidR="0093006A" w:rsidRPr="0093006A" w14:paraId="1ED217AC" w14:textId="77777777" w:rsidTr="00E4084E">
        <w:trPr>
          <w:cantSplit/>
          <w:tblHeader/>
        </w:trPr>
        <w:tc>
          <w:tcPr>
            <w:tcW w:w="5670" w:type="dxa"/>
            <w:shd w:val="clear" w:color="auto" w:fill="auto"/>
          </w:tcPr>
          <w:p w14:paraId="7475C96B" w14:textId="77777777" w:rsidR="00BE7261" w:rsidRPr="0093006A" w:rsidRDefault="00BE7261" w:rsidP="0048465C">
            <w:pPr>
              <w:spacing w:after="120"/>
              <w:rPr>
                <w:color w:val="595959" w:themeColor="text1" w:themeTint="A6"/>
              </w:rPr>
            </w:pPr>
            <w:r w:rsidRPr="0093006A">
              <w:rPr>
                <w:color w:val="595959" w:themeColor="text1" w:themeTint="A6"/>
              </w:rPr>
              <w:t>Western New South Wales Region</w:t>
            </w:r>
          </w:p>
        </w:tc>
        <w:tc>
          <w:tcPr>
            <w:tcW w:w="3010" w:type="dxa"/>
            <w:shd w:val="clear" w:color="auto" w:fill="auto"/>
          </w:tcPr>
          <w:p w14:paraId="65BD00BC" w14:textId="53180B4D" w:rsidR="00BE7261" w:rsidRPr="0093006A" w:rsidRDefault="003B570E" w:rsidP="0048465C">
            <w:pPr>
              <w:spacing w:after="120"/>
              <w:jc w:val="right"/>
              <w:rPr>
                <w:color w:val="595959" w:themeColor="text1" w:themeTint="A6"/>
              </w:rPr>
            </w:pPr>
            <w:r w:rsidRPr="0093006A">
              <w:rPr>
                <w:color w:val="595959" w:themeColor="text1" w:themeTint="A6"/>
              </w:rPr>
              <w:t>31</w:t>
            </w:r>
          </w:p>
        </w:tc>
      </w:tr>
      <w:tr w:rsidR="0093006A" w:rsidRPr="0093006A" w14:paraId="3BAD01CE" w14:textId="77777777" w:rsidTr="00E4084E">
        <w:trPr>
          <w:cantSplit/>
          <w:tblHeader/>
        </w:trPr>
        <w:tc>
          <w:tcPr>
            <w:tcW w:w="5670" w:type="dxa"/>
            <w:shd w:val="clear" w:color="auto" w:fill="auto"/>
          </w:tcPr>
          <w:p w14:paraId="7CE2E01F" w14:textId="77777777" w:rsidR="00A02047" w:rsidRPr="0093006A" w:rsidRDefault="00A02047" w:rsidP="0048465C">
            <w:pPr>
              <w:spacing w:after="120"/>
              <w:rPr>
                <w:color w:val="595959" w:themeColor="text1" w:themeTint="A6"/>
              </w:rPr>
            </w:pPr>
            <w:r w:rsidRPr="0093006A">
              <w:rPr>
                <w:color w:val="595959" w:themeColor="text1" w:themeTint="A6"/>
              </w:rPr>
              <w:t xml:space="preserve">Victoria – Tasmania Region </w:t>
            </w:r>
          </w:p>
        </w:tc>
        <w:tc>
          <w:tcPr>
            <w:tcW w:w="3010" w:type="dxa"/>
            <w:shd w:val="clear" w:color="auto" w:fill="auto"/>
          </w:tcPr>
          <w:p w14:paraId="26BCFFC5" w14:textId="5C76638F" w:rsidR="00A02047" w:rsidRPr="0093006A" w:rsidRDefault="00A02047" w:rsidP="0048465C">
            <w:pPr>
              <w:spacing w:after="120"/>
              <w:jc w:val="right"/>
              <w:rPr>
                <w:color w:val="595959" w:themeColor="text1" w:themeTint="A6"/>
              </w:rPr>
            </w:pPr>
            <w:r w:rsidRPr="0093006A">
              <w:rPr>
                <w:color w:val="595959" w:themeColor="text1" w:themeTint="A6"/>
              </w:rPr>
              <w:t>10</w:t>
            </w:r>
            <w:r w:rsidR="007B6005" w:rsidRPr="0093006A">
              <w:rPr>
                <w:color w:val="595959" w:themeColor="text1" w:themeTint="A6"/>
              </w:rPr>
              <w:t>0</w:t>
            </w:r>
            <w:r w:rsidRPr="0093006A">
              <w:rPr>
                <w:color w:val="595959" w:themeColor="text1" w:themeTint="A6"/>
              </w:rPr>
              <w:t xml:space="preserve"> </w:t>
            </w:r>
          </w:p>
        </w:tc>
      </w:tr>
      <w:tr w:rsidR="0093006A" w:rsidRPr="0093006A" w14:paraId="6BC50615" w14:textId="77777777" w:rsidTr="00E4084E">
        <w:trPr>
          <w:cantSplit/>
          <w:tblHeader/>
        </w:trPr>
        <w:tc>
          <w:tcPr>
            <w:tcW w:w="5670" w:type="dxa"/>
            <w:shd w:val="clear" w:color="auto" w:fill="auto"/>
          </w:tcPr>
          <w:p w14:paraId="772B227C" w14:textId="77777777" w:rsidR="00A02047" w:rsidRPr="0093006A" w:rsidRDefault="00A02047" w:rsidP="0048465C">
            <w:pPr>
              <w:spacing w:after="120"/>
              <w:rPr>
                <w:color w:val="595959" w:themeColor="text1" w:themeTint="A6"/>
              </w:rPr>
            </w:pPr>
            <w:r w:rsidRPr="0093006A">
              <w:rPr>
                <w:color w:val="595959" w:themeColor="text1" w:themeTint="A6"/>
              </w:rPr>
              <w:t>South Australia Region</w:t>
            </w:r>
          </w:p>
        </w:tc>
        <w:tc>
          <w:tcPr>
            <w:tcW w:w="3010" w:type="dxa"/>
            <w:shd w:val="clear" w:color="auto" w:fill="auto"/>
          </w:tcPr>
          <w:p w14:paraId="4CD6E968" w14:textId="44D655F1" w:rsidR="00A02047" w:rsidRPr="0093006A" w:rsidRDefault="0073627A" w:rsidP="0048465C">
            <w:pPr>
              <w:spacing w:after="120"/>
              <w:jc w:val="right"/>
              <w:rPr>
                <w:color w:val="595959" w:themeColor="text1" w:themeTint="A6"/>
              </w:rPr>
            </w:pPr>
            <w:r w:rsidRPr="0093006A">
              <w:rPr>
                <w:color w:val="595959" w:themeColor="text1" w:themeTint="A6"/>
              </w:rPr>
              <w:t>148</w:t>
            </w:r>
          </w:p>
        </w:tc>
      </w:tr>
      <w:tr w:rsidR="0093006A" w:rsidRPr="0093006A" w14:paraId="5C5B135E" w14:textId="77777777" w:rsidTr="00E4084E">
        <w:trPr>
          <w:cantSplit/>
          <w:tblHeader/>
        </w:trPr>
        <w:tc>
          <w:tcPr>
            <w:tcW w:w="5670" w:type="dxa"/>
            <w:shd w:val="clear" w:color="auto" w:fill="auto"/>
          </w:tcPr>
          <w:p w14:paraId="00874287" w14:textId="77777777" w:rsidR="00A02047" w:rsidRPr="0093006A" w:rsidRDefault="00A02047" w:rsidP="0048465C">
            <w:pPr>
              <w:spacing w:after="120"/>
              <w:rPr>
                <w:color w:val="595959" w:themeColor="text1" w:themeTint="A6"/>
              </w:rPr>
            </w:pPr>
            <w:r w:rsidRPr="0093006A">
              <w:rPr>
                <w:color w:val="595959" w:themeColor="text1" w:themeTint="A6"/>
              </w:rPr>
              <w:t xml:space="preserve">National </w:t>
            </w:r>
          </w:p>
        </w:tc>
        <w:tc>
          <w:tcPr>
            <w:tcW w:w="3010" w:type="dxa"/>
            <w:shd w:val="clear" w:color="auto" w:fill="auto"/>
          </w:tcPr>
          <w:p w14:paraId="600FE1EC" w14:textId="1A428602" w:rsidR="00A02047" w:rsidRPr="0093006A" w:rsidRDefault="00DC342C" w:rsidP="0048465C">
            <w:pPr>
              <w:spacing w:after="120"/>
              <w:jc w:val="right"/>
              <w:rPr>
                <w:color w:val="595959" w:themeColor="text1" w:themeTint="A6"/>
              </w:rPr>
            </w:pPr>
            <w:r w:rsidRPr="0093006A">
              <w:rPr>
                <w:color w:val="595959" w:themeColor="text1" w:themeTint="A6"/>
              </w:rPr>
              <w:t>22</w:t>
            </w:r>
          </w:p>
        </w:tc>
      </w:tr>
      <w:tr w:rsidR="0093006A" w:rsidRPr="0093006A" w14:paraId="21D2C834" w14:textId="77777777" w:rsidTr="00E4084E">
        <w:trPr>
          <w:cantSplit/>
          <w:tblHeader/>
        </w:trPr>
        <w:tc>
          <w:tcPr>
            <w:tcW w:w="5670" w:type="dxa"/>
            <w:shd w:val="clear" w:color="auto" w:fill="auto"/>
          </w:tcPr>
          <w:p w14:paraId="5D560B4F" w14:textId="1A8EB425" w:rsidR="003B570E" w:rsidRPr="0093006A" w:rsidRDefault="003B570E" w:rsidP="0052643C">
            <w:pPr>
              <w:spacing w:after="120"/>
              <w:rPr>
                <w:color w:val="595959" w:themeColor="text1" w:themeTint="A6"/>
              </w:rPr>
            </w:pPr>
            <w:r w:rsidRPr="0093006A">
              <w:rPr>
                <w:color w:val="595959" w:themeColor="text1" w:themeTint="A6"/>
              </w:rPr>
              <w:t>National Empowered Communities</w:t>
            </w:r>
          </w:p>
        </w:tc>
        <w:tc>
          <w:tcPr>
            <w:tcW w:w="3010" w:type="dxa"/>
            <w:shd w:val="clear" w:color="auto" w:fill="auto"/>
          </w:tcPr>
          <w:p w14:paraId="48FCB5AF" w14:textId="741ACBB0" w:rsidR="003B570E" w:rsidRPr="0093006A" w:rsidRDefault="007B6005" w:rsidP="0052643C">
            <w:pPr>
              <w:spacing w:after="120"/>
              <w:jc w:val="right"/>
              <w:rPr>
                <w:color w:val="595959" w:themeColor="text1" w:themeTint="A6"/>
              </w:rPr>
            </w:pPr>
            <w:r w:rsidRPr="0093006A">
              <w:rPr>
                <w:color w:val="595959" w:themeColor="text1" w:themeTint="A6"/>
              </w:rPr>
              <w:t>12</w:t>
            </w:r>
          </w:p>
        </w:tc>
      </w:tr>
      <w:tr w:rsidR="0093006A" w:rsidRPr="0093006A" w14:paraId="5FC9E714" w14:textId="77777777" w:rsidTr="00E4084E">
        <w:trPr>
          <w:cantSplit/>
          <w:tblHeader/>
        </w:trPr>
        <w:tc>
          <w:tcPr>
            <w:tcW w:w="5670" w:type="dxa"/>
            <w:shd w:val="clear" w:color="auto" w:fill="auto"/>
          </w:tcPr>
          <w:p w14:paraId="2D02F363" w14:textId="77777777" w:rsidR="0052643C" w:rsidRPr="0093006A" w:rsidRDefault="0052643C" w:rsidP="0052643C">
            <w:pPr>
              <w:spacing w:after="120"/>
              <w:rPr>
                <w:color w:val="595959" w:themeColor="text1" w:themeTint="A6"/>
              </w:rPr>
            </w:pPr>
            <w:r w:rsidRPr="0093006A">
              <w:rPr>
                <w:color w:val="595959" w:themeColor="text1" w:themeTint="A6"/>
              </w:rPr>
              <w:t>National – Q and A sessions</w:t>
            </w:r>
          </w:p>
        </w:tc>
        <w:tc>
          <w:tcPr>
            <w:tcW w:w="3010" w:type="dxa"/>
            <w:shd w:val="clear" w:color="auto" w:fill="auto"/>
          </w:tcPr>
          <w:p w14:paraId="653FE891" w14:textId="77777777" w:rsidR="0052643C" w:rsidRPr="0093006A" w:rsidRDefault="0052643C" w:rsidP="0052643C">
            <w:pPr>
              <w:spacing w:after="120"/>
              <w:jc w:val="right"/>
              <w:rPr>
                <w:color w:val="595959" w:themeColor="text1" w:themeTint="A6"/>
              </w:rPr>
            </w:pPr>
            <w:r w:rsidRPr="0093006A">
              <w:rPr>
                <w:color w:val="595959" w:themeColor="text1" w:themeTint="A6"/>
              </w:rPr>
              <w:t>55</w:t>
            </w:r>
          </w:p>
        </w:tc>
      </w:tr>
      <w:tr w:rsidR="0093006A" w:rsidRPr="0093006A" w14:paraId="2B39D6C5" w14:textId="77777777" w:rsidTr="00E4084E">
        <w:trPr>
          <w:cantSplit/>
          <w:tblHeader/>
        </w:trPr>
        <w:tc>
          <w:tcPr>
            <w:tcW w:w="5670" w:type="dxa"/>
            <w:shd w:val="clear" w:color="auto" w:fill="auto"/>
          </w:tcPr>
          <w:p w14:paraId="5FB2D363" w14:textId="77777777" w:rsidR="00A02047" w:rsidRPr="0093006A" w:rsidRDefault="00A02047" w:rsidP="0048465C">
            <w:pPr>
              <w:spacing w:after="120"/>
              <w:rPr>
                <w:b/>
                <w:bCs/>
                <w:color w:val="595959" w:themeColor="text1" w:themeTint="A6"/>
              </w:rPr>
            </w:pPr>
            <w:r w:rsidRPr="0093006A">
              <w:rPr>
                <w:b/>
                <w:bCs/>
                <w:color w:val="595959" w:themeColor="text1" w:themeTint="A6"/>
              </w:rPr>
              <w:t xml:space="preserve">Total </w:t>
            </w:r>
          </w:p>
        </w:tc>
        <w:tc>
          <w:tcPr>
            <w:tcW w:w="3010" w:type="dxa"/>
            <w:shd w:val="clear" w:color="auto" w:fill="auto"/>
          </w:tcPr>
          <w:p w14:paraId="6A647718" w14:textId="1407BAC5" w:rsidR="00A02047" w:rsidRPr="0093006A" w:rsidRDefault="00B2491E" w:rsidP="0048465C">
            <w:pPr>
              <w:spacing w:after="120"/>
              <w:jc w:val="right"/>
              <w:rPr>
                <w:b/>
                <w:bCs/>
                <w:color w:val="595959" w:themeColor="text1" w:themeTint="A6"/>
              </w:rPr>
            </w:pPr>
            <w:r w:rsidRPr="0093006A">
              <w:rPr>
                <w:b/>
                <w:bCs/>
                <w:color w:val="595959" w:themeColor="text1" w:themeTint="A6"/>
              </w:rPr>
              <w:t>939</w:t>
            </w:r>
          </w:p>
        </w:tc>
      </w:tr>
    </w:tbl>
    <w:p w14:paraId="64F1117D" w14:textId="77777777" w:rsidR="00583C44" w:rsidRPr="0093006A" w:rsidRDefault="00A02047" w:rsidP="00976003">
      <w:pPr>
        <w:spacing w:after="120"/>
        <w:rPr>
          <w:color w:val="595959" w:themeColor="text1" w:themeTint="A6"/>
        </w:rPr>
      </w:pPr>
      <w:r w:rsidRPr="0093006A">
        <w:rPr>
          <w:color w:val="595959" w:themeColor="text1" w:themeTint="A6"/>
        </w:rPr>
        <w:t xml:space="preserve">Further details about the individual consultations </w:t>
      </w:r>
      <w:r w:rsidR="002973B0" w:rsidRPr="0093006A">
        <w:rPr>
          <w:color w:val="595959" w:themeColor="text1" w:themeTint="A6"/>
        </w:rPr>
        <w:t xml:space="preserve">and participant numbers </w:t>
      </w:r>
      <w:r w:rsidRPr="0093006A">
        <w:rPr>
          <w:color w:val="595959" w:themeColor="text1" w:themeTint="A6"/>
        </w:rPr>
        <w:t xml:space="preserve">can be found in </w:t>
      </w:r>
      <w:r w:rsidR="002973B0" w:rsidRPr="0093006A">
        <w:rPr>
          <w:color w:val="595959" w:themeColor="text1" w:themeTint="A6"/>
        </w:rPr>
        <w:t xml:space="preserve">Appendix </w:t>
      </w:r>
      <w:r w:rsidR="008D5739" w:rsidRPr="0093006A">
        <w:rPr>
          <w:color w:val="595959" w:themeColor="text1" w:themeTint="A6"/>
        </w:rPr>
        <w:t>B</w:t>
      </w:r>
      <w:r w:rsidRPr="0093006A">
        <w:rPr>
          <w:color w:val="595959" w:themeColor="text1" w:themeTint="A6"/>
        </w:rPr>
        <w:t xml:space="preserve">. </w:t>
      </w:r>
    </w:p>
    <w:p w14:paraId="0F38E505" w14:textId="77777777" w:rsidR="00F0000E" w:rsidRPr="0093006A" w:rsidRDefault="00F0000E" w:rsidP="00976003">
      <w:pPr>
        <w:pStyle w:val="Heading3"/>
        <w:spacing w:before="0" w:after="120"/>
        <w:rPr>
          <w:color w:val="595959" w:themeColor="text1" w:themeTint="A6"/>
          <w:sz w:val="24"/>
          <w:szCs w:val="24"/>
        </w:rPr>
      </w:pPr>
      <w:r w:rsidRPr="0093006A">
        <w:rPr>
          <w:color w:val="595959" w:themeColor="text1" w:themeTint="A6"/>
          <w:sz w:val="24"/>
          <w:szCs w:val="24"/>
        </w:rPr>
        <w:t>Reporting</w:t>
      </w:r>
    </w:p>
    <w:p w14:paraId="14B6A6EB" w14:textId="77777777" w:rsidR="00F0000E" w:rsidRPr="0093006A" w:rsidRDefault="00F0000E" w:rsidP="00976003">
      <w:pPr>
        <w:spacing w:after="120"/>
        <w:ind w:right="95"/>
        <w:rPr>
          <w:color w:val="595959" w:themeColor="text1" w:themeTint="A6"/>
        </w:rPr>
      </w:pPr>
      <w:r w:rsidRPr="0093006A">
        <w:rPr>
          <w:color w:val="595959" w:themeColor="text1" w:themeTint="A6"/>
        </w:rPr>
        <w:t>Inside Policy collected session data through:</w:t>
      </w:r>
    </w:p>
    <w:p w14:paraId="3E2E3E64" w14:textId="09101A90" w:rsidR="00F0000E" w:rsidRPr="0093006A" w:rsidRDefault="00D9366C" w:rsidP="003769B7">
      <w:pPr>
        <w:pStyle w:val="ListParagraph"/>
        <w:numPr>
          <w:ilvl w:val="0"/>
          <w:numId w:val="27"/>
        </w:numPr>
        <w:spacing w:after="120"/>
        <w:ind w:right="95"/>
        <w:rPr>
          <w:color w:val="595959" w:themeColor="text1" w:themeTint="A6"/>
        </w:rPr>
      </w:pPr>
      <w:r w:rsidRPr="0093006A">
        <w:rPr>
          <w:color w:val="595959" w:themeColor="text1" w:themeTint="A6"/>
        </w:rPr>
        <w:t xml:space="preserve">Recorded audio from all </w:t>
      </w:r>
      <w:r w:rsidR="00D5211A" w:rsidRPr="0093006A">
        <w:rPr>
          <w:color w:val="595959" w:themeColor="text1" w:themeTint="A6"/>
        </w:rPr>
        <w:t xml:space="preserve">roundtable </w:t>
      </w:r>
      <w:r w:rsidR="00F0000E" w:rsidRPr="0093006A">
        <w:rPr>
          <w:color w:val="595959" w:themeColor="text1" w:themeTint="A6"/>
        </w:rPr>
        <w:t>sessions, wherever possible</w:t>
      </w:r>
    </w:p>
    <w:p w14:paraId="0F1C64F0" w14:textId="0D4A0CD7" w:rsidR="00F0000E" w:rsidRPr="0093006A" w:rsidRDefault="00D9366C" w:rsidP="003769B7">
      <w:pPr>
        <w:pStyle w:val="ListParagraph"/>
        <w:numPr>
          <w:ilvl w:val="0"/>
          <w:numId w:val="27"/>
        </w:numPr>
        <w:spacing w:after="120"/>
        <w:ind w:right="95"/>
        <w:rPr>
          <w:color w:val="595959" w:themeColor="text1" w:themeTint="A6"/>
        </w:rPr>
      </w:pPr>
      <w:r w:rsidRPr="0093006A">
        <w:rPr>
          <w:color w:val="595959" w:themeColor="text1" w:themeTint="A6"/>
        </w:rPr>
        <w:t xml:space="preserve">Completed participant </w:t>
      </w:r>
      <w:r w:rsidR="00F0000E" w:rsidRPr="0093006A">
        <w:rPr>
          <w:color w:val="595959" w:themeColor="text1" w:themeTint="A6"/>
        </w:rPr>
        <w:t>worksheets</w:t>
      </w:r>
      <w:r w:rsidR="0063311E" w:rsidRPr="0093006A">
        <w:rPr>
          <w:color w:val="595959" w:themeColor="text1" w:themeTint="A6"/>
        </w:rPr>
        <w:t>, and</w:t>
      </w:r>
    </w:p>
    <w:p w14:paraId="4F590029" w14:textId="3310F3E8" w:rsidR="00F0000E" w:rsidRPr="0093006A" w:rsidRDefault="00D9366C" w:rsidP="003769B7">
      <w:pPr>
        <w:pStyle w:val="ListParagraph"/>
        <w:numPr>
          <w:ilvl w:val="0"/>
          <w:numId w:val="27"/>
        </w:numPr>
        <w:spacing w:after="120"/>
        <w:ind w:right="95"/>
        <w:rPr>
          <w:color w:val="595959" w:themeColor="text1" w:themeTint="A6"/>
        </w:rPr>
      </w:pPr>
      <w:r w:rsidRPr="0093006A">
        <w:rPr>
          <w:color w:val="595959" w:themeColor="text1" w:themeTint="A6"/>
        </w:rPr>
        <w:t xml:space="preserve">A scribe recording the proceedings, wherever possible. </w:t>
      </w:r>
    </w:p>
    <w:p w14:paraId="24680ED8" w14:textId="405D9EF1" w:rsidR="00F0000E" w:rsidRPr="0093006A" w:rsidRDefault="00F0000E" w:rsidP="00976003">
      <w:pPr>
        <w:spacing w:after="120"/>
        <w:ind w:right="95"/>
        <w:rPr>
          <w:color w:val="595959" w:themeColor="text1" w:themeTint="A6"/>
        </w:rPr>
      </w:pPr>
      <w:r w:rsidRPr="0093006A">
        <w:rPr>
          <w:color w:val="595959" w:themeColor="text1" w:themeTint="A6"/>
        </w:rPr>
        <w:t xml:space="preserve">The session facilitator reviewed the scribe’s notes before their inclusion in the </w:t>
      </w:r>
      <w:r w:rsidR="00D94A1C" w:rsidRPr="0093006A">
        <w:rPr>
          <w:color w:val="595959" w:themeColor="text1" w:themeTint="A6"/>
        </w:rPr>
        <w:t xml:space="preserve">individual </w:t>
      </w:r>
      <w:r w:rsidRPr="0093006A">
        <w:rPr>
          <w:color w:val="595959" w:themeColor="text1" w:themeTint="A6"/>
        </w:rPr>
        <w:t xml:space="preserve">session report and thematic analysis for this report. </w:t>
      </w:r>
    </w:p>
    <w:p w14:paraId="470E482A" w14:textId="5896A8C2" w:rsidR="00F0000E" w:rsidRPr="0093006A" w:rsidRDefault="00F0000E" w:rsidP="00976003">
      <w:pPr>
        <w:spacing w:after="120"/>
        <w:rPr>
          <w:color w:val="595959" w:themeColor="text1" w:themeTint="A6"/>
        </w:rPr>
      </w:pPr>
      <w:r w:rsidRPr="0093006A">
        <w:rPr>
          <w:color w:val="595959" w:themeColor="text1" w:themeTint="A6"/>
        </w:rPr>
        <w:t xml:space="preserve">An individual session report was completed to summarise the key findings from each session and provided to NIAA. In addition, a weekly summary report was also provided </w:t>
      </w:r>
      <w:r w:rsidR="00D94A1C" w:rsidRPr="0093006A">
        <w:rPr>
          <w:color w:val="595959" w:themeColor="text1" w:themeTint="A6"/>
        </w:rPr>
        <w:t xml:space="preserve">to NIAA </w:t>
      </w:r>
      <w:r w:rsidRPr="0093006A">
        <w:rPr>
          <w:color w:val="595959" w:themeColor="text1" w:themeTint="A6"/>
        </w:rPr>
        <w:t xml:space="preserve">outlining details of the consultations conducted and emerging themes. </w:t>
      </w:r>
    </w:p>
    <w:p w14:paraId="09F348FB" w14:textId="063B5297" w:rsidR="00583C44" w:rsidRPr="0093006A" w:rsidRDefault="00583C44" w:rsidP="00976003">
      <w:pPr>
        <w:pStyle w:val="Heading3"/>
        <w:spacing w:before="0" w:after="120"/>
        <w:rPr>
          <w:color w:val="595959" w:themeColor="text1" w:themeTint="A6"/>
          <w:sz w:val="24"/>
          <w:szCs w:val="24"/>
        </w:rPr>
      </w:pPr>
      <w:r w:rsidRPr="0093006A">
        <w:rPr>
          <w:color w:val="595959" w:themeColor="text1" w:themeTint="A6"/>
          <w:sz w:val="24"/>
          <w:szCs w:val="24"/>
        </w:rPr>
        <w:t>Method of analysi</w:t>
      </w:r>
      <w:r w:rsidR="00903B2D" w:rsidRPr="0093006A">
        <w:rPr>
          <w:color w:val="595959" w:themeColor="text1" w:themeTint="A6"/>
          <w:sz w:val="24"/>
          <w:szCs w:val="24"/>
        </w:rPr>
        <w:t xml:space="preserve">ng the roundtable and </w:t>
      </w:r>
      <w:r w:rsidR="002A3219" w:rsidRPr="0093006A">
        <w:rPr>
          <w:color w:val="595959" w:themeColor="text1" w:themeTint="A6"/>
          <w:sz w:val="24"/>
          <w:szCs w:val="24"/>
        </w:rPr>
        <w:t>T</w:t>
      </w:r>
      <w:r w:rsidR="00903B2D" w:rsidRPr="0093006A">
        <w:rPr>
          <w:color w:val="595959" w:themeColor="text1" w:themeTint="A6"/>
          <w:sz w:val="24"/>
          <w:szCs w:val="24"/>
        </w:rPr>
        <w:t xml:space="preserve">own </w:t>
      </w:r>
      <w:r w:rsidR="002A3219" w:rsidRPr="0093006A">
        <w:rPr>
          <w:color w:val="595959" w:themeColor="text1" w:themeTint="A6"/>
          <w:sz w:val="24"/>
          <w:szCs w:val="24"/>
        </w:rPr>
        <w:t>H</w:t>
      </w:r>
      <w:r w:rsidR="00903B2D" w:rsidRPr="0093006A">
        <w:rPr>
          <w:color w:val="595959" w:themeColor="text1" w:themeTint="A6"/>
          <w:sz w:val="24"/>
          <w:szCs w:val="24"/>
        </w:rPr>
        <w:t>all data</w:t>
      </w:r>
    </w:p>
    <w:p w14:paraId="554370DE" w14:textId="770DB4C4" w:rsidR="00440FF4" w:rsidRPr="0093006A" w:rsidRDefault="00440FF4" w:rsidP="00976003">
      <w:pPr>
        <w:spacing w:after="120"/>
        <w:rPr>
          <w:color w:val="595959" w:themeColor="text1" w:themeTint="A6"/>
        </w:rPr>
      </w:pPr>
      <w:r w:rsidRPr="0093006A">
        <w:rPr>
          <w:color w:val="595959" w:themeColor="text1" w:themeTint="A6"/>
        </w:rPr>
        <w:t xml:space="preserve">The data collected across the consultation roundtables was analysed using a thematic approach to </w:t>
      </w:r>
      <w:r w:rsidR="00A26F4D" w:rsidRPr="0093006A">
        <w:rPr>
          <w:color w:val="595959" w:themeColor="text1" w:themeTint="A6"/>
        </w:rPr>
        <w:t xml:space="preserve">assess </w:t>
      </w:r>
      <w:r w:rsidRPr="0093006A">
        <w:rPr>
          <w:color w:val="595959" w:themeColor="text1" w:themeTint="A6"/>
        </w:rPr>
        <w:t xml:space="preserve">participant contributions. One of the advantages of a thematic analysis is the flexibility it provides which is useful in a national data collection scenario given the potential for geographically specific key findings and insights. Two rounds of analysis using separate researchers was implemented to address any potential researcher bias. </w:t>
      </w:r>
    </w:p>
    <w:p w14:paraId="174DCA85" w14:textId="63DCB59E" w:rsidR="00440FF4" w:rsidRPr="0093006A" w:rsidRDefault="00440FF4" w:rsidP="00976003">
      <w:pPr>
        <w:spacing w:after="120"/>
        <w:rPr>
          <w:color w:val="595959" w:themeColor="text1" w:themeTint="A6"/>
        </w:rPr>
      </w:pPr>
      <w:r w:rsidRPr="0093006A">
        <w:rPr>
          <w:color w:val="595959" w:themeColor="text1" w:themeTint="A6"/>
        </w:rPr>
        <w:t>The individual roundtable session report output was analysed against a key set of criteria:</w:t>
      </w:r>
    </w:p>
    <w:p w14:paraId="1E5F09F0" w14:textId="77995774" w:rsidR="00440FF4" w:rsidRPr="0093006A" w:rsidRDefault="00467A87" w:rsidP="003769B7">
      <w:pPr>
        <w:numPr>
          <w:ilvl w:val="0"/>
          <w:numId w:val="19"/>
        </w:numPr>
        <w:ind w:left="714" w:hanging="357"/>
        <w:rPr>
          <w:color w:val="595959" w:themeColor="text1" w:themeTint="A6"/>
        </w:rPr>
      </w:pPr>
      <w:r w:rsidRPr="0093006A">
        <w:rPr>
          <w:color w:val="595959" w:themeColor="text1" w:themeTint="A6"/>
        </w:rPr>
        <w:t>Location indicators</w:t>
      </w:r>
    </w:p>
    <w:p w14:paraId="3F0D09D0" w14:textId="7B6740B3" w:rsidR="00440FF4" w:rsidRPr="0093006A" w:rsidRDefault="00467A87" w:rsidP="003769B7">
      <w:pPr>
        <w:numPr>
          <w:ilvl w:val="0"/>
          <w:numId w:val="19"/>
        </w:numPr>
        <w:ind w:left="714" w:hanging="357"/>
        <w:rPr>
          <w:color w:val="595959" w:themeColor="text1" w:themeTint="A6"/>
        </w:rPr>
      </w:pPr>
      <w:r w:rsidRPr="0093006A">
        <w:rPr>
          <w:color w:val="595959" w:themeColor="text1" w:themeTint="A6"/>
        </w:rPr>
        <w:t>Regional / local employment market indicators</w:t>
      </w:r>
      <w:r w:rsidR="0024148F" w:rsidRPr="0093006A">
        <w:rPr>
          <w:color w:val="595959" w:themeColor="text1" w:themeTint="A6"/>
        </w:rPr>
        <w:t>, and</w:t>
      </w:r>
    </w:p>
    <w:p w14:paraId="723E514B" w14:textId="3CEC15BD" w:rsidR="00440FF4" w:rsidRPr="0093006A" w:rsidRDefault="00467A87" w:rsidP="003769B7">
      <w:pPr>
        <w:numPr>
          <w:ilvl w:val="0"/>
          <w:numId w:val="19"/>
        </w:numPr>
        <w:spacing w:after="120"/>
        <w:rPr>
          <w:color w:val="595959" w:themeColor="text1" w:themeTint="A6"/>
        </w:rPr>
      </w:pPr>
      <w:r w:rsidRPr="0093006A">
        <w:rPr>
          <w:color w:val="595959" w:themeColor="text1" w:themeTint="A6"/>
        </w:rPr>
        <w:t xml:space="preserve">Stakeholder type. </w:t>
      </w:r>
    </w:p>
    <w:p w14:paraId="5BC19731" w14:textId="77777777" w:rsidR="00440FF4" w:rsidRPr="0093006A" w:rsidRDefault="00440FF4" w:rsidP="00976003">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 xml:space="preserve">Major themes and findings were presented and discussed in an internal Inside Policy ideation session on 20 September 2021, and with the NIAA </w:t>
      </w:r>
      <w:r w:rsidR="00FD77BA" w:rsidRPr="0093006A">
        <w:rPr>
          <w:rFonts w:ascii="Helvetica Neue" w:hAnsi="Helvetica Neue"/>
          <w:color w:val="595959" w:themeColor="text1" w:themeTint="A6"/>
        </w:rPr>
        <w:t xml:space="preserve">ISEP </w:t>
      </w:r>
      <w:r w:rsidR="00243EAF" w:rsidRPr="0093006A">
        <w:rPr>
          <w:rFonts w:ascii="Helvetica Neue" w:hAnsi="Helvetica Neue"/>
          <w:color w:val="595959" w:themeColor="text1" w:themeTint="A6"/>
        </w:rPr>
        <w:t>national</w:t>
      </w:r>
      <w:r w:rsidR="00FD77BA" w:rsidRPr="0093006A">
        <w:rPr>
          <w:rFonts w:ascii="Helvetica Neue" w:hAnsi="Helvetica Neue"/>
          <w:color w:val="595959" w:themeColor="text1" w:themeTint="A6"/>
        </w:rPr>
        <w:t xml:space="preserve"> office</w:t>
      </w:r>
      <w:r w:rsidR="00243EAF" w:rsidRPr="0093006A">
        <w:rPr>
          <w:rFonts w:ascii="Helvetica Neue" w:hAnsi="Helvetica Neue"/>
          <w:color w:val="595959" w:themeColor="text1" w:themeTint="A6"/>
        </w:rPr>
        <w:t xml:space="preserve"> team</w:t>
      </w:r>
      <w:r w:rsidRPr="0093006A">
        <w:rPr>
          <w:rFonts w:ascii="Helvetica Neue" w:hAnsi="Helvetica Neue"/>
          <w:color w:val="595959" w:themeColor="text1" w:themeTint="A6"/>
        </w:rPr>
        <w:t xml:space="preserve"> in draft form on </w:t>
      </w:r>
      <w:r w:rsidR="00243EAF" w:rsidRPr="0093006A">
        <w:rPr>
          <w:rFonts w:ascii="Helvetica Neue" w:hAnsi="Helvetica Neue"/>
          <w:color w:val="595959" w:themeColor="text1" w:themeTint="A6"/>
        </w:rPr>
        <w:t xml:space="preserve">24 </w:t>
      </w:r>
      <w:r w:rsidRPr="0093006A">
        <w:rPr>
          <w:rFonts w:ascii="Helvetica Neue" w:hAnsi="Helvetica Neue"/>
          <w:color w:val="595959" w:themeColor="text1" w:themeTint="A6"/>
        </w:rPr>
        <w:t xml:space="preserve">September 2021. This ensured validity and reliability of the initial analysis </w:t>
      </w:r>
      <w:r w:rsidR="00243EAF" w:rsidRPr="0093006A">
        <w:rPr>
          <w:rFonts w:ascii="Helvetica Neue" w:hAnsi="Helvetica Neue"/>
          <w:color w:val="595959" w:themeColor="text1" w:themeTint="A6"/>
        </w:rPr>
        <w:t>and</w:t>
      </w:r>
      <w:r w:rsidRPr="0093006A">
        <w:rPr>
          <w:rFonts w:ascii="Helvetica Neue" w:hAnsi="Helvetica Neue"/>
          <w:color w:val="595959" w:themeColor="text1" w:themeTint="A6"/>
        </w:rPr>
        <w:t xml:space="preserve"> also resulted in the development of coherent themes emerging from the </w:t>
      </w:r>
      <w:r w:rsidR="00243EAF" w:rsidRPr="0093006A">
        <w:rPr>
          <w:rFonts w:ascii="Helvetica Neue" w:hAnsi="Helvetica Neue"/>
          <w:color w:val="595959" w:themeColor="text1" w:themeTint="A6"/>
        </w:rPr>
        <w:t>data</w:t>
      </w:r>
      <w:r w:rsidRPr="0093006A">
        <w:rPr>
          <w:rFonts w:ascii="Helvetica Neue" w:hAnsi="Helvetica Neue"/>
          <w:color w:val="595959" w:themeColor="text1" w:themeTint="A6"/>
        </w:rPr>
        <w:t xml:space="preserve"> relative to the aims of the project, whil</w:t>
      </w:r>
      <w:r w:rsidR="00243EAF" w:rsidRPr="0093006A">
        <w:rPr>
          <w:rFonts w:ascii="Helvetica Neue" w:hAnsi="Helvetica Neue"/>
          <w:color w:val="595959" w:themeColor="text1" w:themeTint="A6"/>
        </w:rPr>
        <w:t>e</w:t>
      </w:r>
      <w:r w:rsidRPr="0093006A">
        <w:rPr>
          <w:rFonts w:ascii="Helvetica Neue" w:hAnsi="Helvetica Neue"/>
          <w:color w:val="595959" w:themeColor="text1" w:themeTint="A6"/>
        </w:rPr>
        <w:t xml:space="preserve"> also allowing for in-depth discussions regarding the complexity of the resulting findings. </w:t>
      </w:r>
    </w:p>
    <w:p w14:paraId="2CD210D6" w14:textId="77777777" w:rsidR="00F02724" w:rsidRPr="0093006A" w:rsidRDefault="00440FF4" w:rsidP="00F02724">
      <w:pPr>
        <w:pStyle w:val="NormalWeb"/>
        <w:spacing w:before="0" w:beforeAutospacing="0" w:after="120" w:afterAutospacing="0"/>
        <w:rPr>
          <w:rFonts w:ascii="Helvetica Neue" w:hAnsi="Helvetica Neue"/>
          <w:color w:val="595959" w:themeColor="text1" w:themeTint="A6"/>
          <w:szCs w:val="28"/>
        </w:rPr>
      </w:pPr>
      <w:r w:rsidRPr="0093006A">
        <w:rPr>
          <w:rFonts w:ascii="Helvetica Neue" w:hAnsi="Helvetica Neue"/>
          <w:color w:val="595959" w:themeColor="text1" w:themeTint="A6"/>
        </w:rPr>
        <w:t xml:space="preserve">All subsequent themes, findings, and insights were cross-checked by the Inside Policy team prior to submission </w:t>
      </w:r>
      <w:r w:rsidR="00243EAF" w:rsidRPr="0093006A">
        <w:rPr>
          <w:rFonts w:ascii="Helvetica Neue" w:hAnsi="Helvetica Neue"/>
          <w:color w:val="595959" w:themeColor="text1" w:themeTint="A6"/>
        </w:rPr>
        <w:t xml:space="preserve">of this report </w:t>
      </w:r>
      <w:r w:rsidRPr="0093006A">
        <w:rPr>
          <w:rFonts w:ascii="Helvetica Neue" w:hAnsi="Helvetica Neue"/>
          <w:color w:val="595959" w:themeColor="text1" w:themeTint="A6"/>
        </w:rPr>
        <w:t>to ensure consistency and complexity of analysis was achieved. </w:t>
      </w:r>
    </w:p>
    <w:p w14:paraId="11DCBA03" w14:textId="77777777" w:rsidR="00583C44" w:rsidRPr="0093006A" w:rsidRDefault="00440FF4" w:rsidP="00F02724">
      <w:pPr>
        <w:pStyle w:val="Heading2"/>
        <w:rPr>
          <w:color w:val="595959" w:themeColor="text1" w:themeTint="A6"/>
          <w:szCs w:val="22"/>
        </w:rPr>
      </w:pPr>
      <w:bookmarkStart w:id="25" w:name="_Toc84951081"/>
      <w:bookmarkStart w:id="26" w:name="_Toc85030961"/>
      <w:r w:rsidRPr="0093006A">
        <w:rPr>
          <w:color w:val="595959" w:themeColor="text1" w:themeTint="A6"/>
        </w:rPr>
        <w:t>Written Submissions</w:t>
      </w:r>
      <w:r w:rsidR="00F0000E" w:rsidRPr="0093006A">
        <w:rPr>
          <w:color w:val="595959" w:themeColor="text1" w:themeTint="A6"/>
        </w:rPr>
        <w:t xml:space="preserve"> to the ISEP Discussion Paper</w:t>
      </w:r>
      <w:bookmarkEnd w:id="25"/>
      <w:bookmarkEnd w:id="26"/>
    </w:p>
    <w:p w14:paraId="5BD8B784" w14:textId="77777777" w:rsidR="00F0000E" w:rsidRPr="0093006A" w:rsidRDefault="00F0000E" w:rsidP="00976003">
      <w:pPr>
        <w:spacing w:after="120"/>
        <w:rPr>
          <w:color w:val="595959" w:themeColor="text1" w:themeTint="A6"/>
        </w:rPr>
      </w:pPr>
      <w:r w:rsidRPr="0093006A">
        <w:rPr>
          <w:color w:val="595959" w:themeColor="text1" w:themeTint="A6"/>
        </w:rPr>
        <w:t>The Minister’s announcement also included inviting and receiving written submissions from the public on the ISEP Discussion Paper.</w:t>
      </w:r>
      <w:r w:rsidRPr="0093006A">
        <w:rPr>
          <w:rStyle w:val="FootnoteReference"/>
          <w:color w:val="595959" w:themeColor="text1" w:themeTint="A6"/>
        </w:rPr>
        <w:footnoteReference w:id="8"/>
      </w:r>
      <w:r w:rsidRPr="0093006A">
        <w:rPr>
          <w:color w:val="595959" w:themeColor="text1" w:themeTint="A6"/>
        </w:rPr>
        <w:t xml:space="preserve"> The submission period was open from 13 July 2021 to 10 September 2021. The ISEP Discussion Paper can be found </w:t>
      </w:r>
      <w:hyperlink r:id="rId13" w:history="1">
        <w:r w:rsidRPr="0093006A">
          <w:rPr>
            <w:rStyle w:val="Hyperlink"/>
            <w:color w:val="595959" w:themeColor="text1" w:themeTint="A6"/>
          </w:rPr>
          <w:t>here</w:t>
        </w:r>
      </w:hyperlink>
      <w:r w:rsidRPr="0093006A">
        <w:rPr>
          <w:color w:val="595959" w:themeColor="text1" w:themeTint="A6"/>
        </w:rPr>
        <w:t>.</w:t>
      </w:r>
    </w:p>
    <w:p w14:paraId="24052629" w14:textId="77777777" w:rsidR="00F0000E" w:rsidRPr="0093006A" w:rsidRDefault="00F0000E" w:rsidP="00976003">
      <w:pPr>
        <w:spacing w:after="120"/>
        <w:rPr>
          <w:rFonts w:eastAsia="Times New Roman" w:cs="Times New Roman"/>
          <w:color w:val="595959" w:themeColor="text1" w:themeTint="A6"/>
          <w:sz w:val="24"/>
          <w:szCs w:val="24"/>
        </w:rPr>
      </w:pPr>
      <w:r w:rsidRPr="0093006A">
        <w:rPr>
          <w:rFonts w:eastAsia="Times New Roman" w:cs="Times New Roman"/>
          <w:color w:val="595959" w:themeColor="text1" w:themeTint="A6"/>
        </w:rPr>
        <w:t>The ISEP Discussion Paper asked the public six Discussion Questions on the future of IAS funded Indigenous-specific employment programs:</w:t>
      </w:r>
    </w:p>
    <w:p w14:paraId="7495B940" w14:textId="2CDC241A" w:rsidR="00F0000E" w:rsidRPr="0093006A" w:rsidRDefault="00F0000E" w:rsidP="00981521">
      <w:pPr>
        <w:pStyle w:val="ListParagraph"/>
        <w:numPr>
          <w:ilvl w:val="0"/>
          <w:numId w:val="77"/>
        </w:numPr>
        <w:spacing w:after="120"/>
        <w:ind w:left="709" w:hanging="425"/>
        <w:textAlignment w:val="baseline"/>
        <w:rPr>
          <w:rFonts w:eastAsia="Times New Roman" w:cs="Times New Roman"/>
          <w:color w:val="595959" w:themeColor="text1" w:themeTint="A6"/>
        </w:rPr>
      </w:pPr>
      <w:r w:rsidRPr="0093006A">
        <w:rPr>
          <w:rFonts w:eastAsia="Times New Roman" w:cs="Times New Roman"/>
          <w:color w:val="595959" w:themeColor="text1" w:themeTint="A6"/>
        </w:rPr>
        <w:t xml:space="preserve">How should the Indigenous </w:t>
      </w:r>
      <w:r w:rsidR="00473D88" w:rsidRPr="0093006A">
        <w:rPr>
          <w:rFonts w:eastAsia="Times New Roman" w:cs="Times New Roman"/>
          <w:color w:val="595959" w:themeColor="text1" w:themeTint="A6"/>
        </w:rPr>
        <w:t xml:space="preserve">Skills, Engagement </w:t>
      </w:r>
      <w:r w:rsidRPr="0093006A">
        <w:rPr>
          <w:rFonts w:eastAsia="Times New Roman" w:cs="Times New Roman"/>
          <w:color w:val="595959" w:themeColor="text1" w:themeTint="A6"/>
        </w:rPr>
        <w:t xml:space="preserve">and </w:t>
      </w:r>
      <w:r w:rsidR="00473D88" w:rsidRPr="0093006A">
        <w:rPr>
          <w:rFonts w:eastAsia="Times New Roman" w:cs="Times New Roman"/>
          <w:color w:val="595959" w:themeColor="text1" w:themeTint="A6"/>
        </w:rPr>
        <w:t xml:space="preserve">Employment </w:t>
      </w:r>
      <w:r w:rsidRPr="0093006A">
        <w:rPr>
          <w:rFonts w:eastAsia="Times New Roman" w:cs="Times New Roman"/>
          <w:color w:val="595959" w:themeColor="text1" w:themeTint="A6"/>
        </w:rPr>
        <w:t>Program (</w:t>
      </w:r>
      <w:r w:rsidR="00473D88" w:rsidRPr="0093006A">
        <w:rPr>
          <w:rFonts w:eastAsia="Times New Roman" w:cs="Times New Roman"/>
          <w:color w:val="595959" w:themeColor="text1" w:themeTint="A6"/>
        </w:rPr>
        <w:t xml:space="preserve">the </w:t>
      </w:r>
      <w:r w:rsidRPr="0093006A">
        <w:rPr>
          <w:rFonts w:eastAsia="Times New Roman" w:cs="Times New Roman"/>
          <w:color w:val="595959" w:themeColor="text1" w:themeTint="A6"/>
        </w:rPr>
        <w:t>ISEP) work alongside the new employment services model and the new remote engagement program to build work-ready skills and connect Aboriginal and Torres Strait Islander people to rewarding, sustainable jobs?</w:t>
      </w:r>
    </w:p>
    <w:p w14:paraId="2EF0BB98" w14:textId="1461CA98" w:rsidR="00F0000E" w:rsidRPr="0093006A" w:rsidRDefault="00F0000E" w:rsidP="00981521">
      <w:pPr>
        <w:pStyle w:val="ListParagraph"/>
        <w:numPr>
          <w:ilvl w:val="0"/>
          <w:numId w:val="77"/>
        </w:numPr>
        <w:spacing w:after="120"/>
        <w:ind w:left="709" w:hanging="425"/>
        <w:textAlignment w:val="baseline"/>
        <w:rPr>
          <w:rFonts w:eastAsia="Times New Roman" w:cs="Times New Roman"/>
          <w:color w:val="595959" w:themeColor="text1" w:themeTint="A6"/>
        </w:rPr>
      </w:pPr>
      <w:r w:rsidRPr="0093006A">
        <w:rPr>
          <w:rFonts w:eastAsia="Times New Roman" w:cs="Times New Roman"/>
          <w:color w:val="595959" w:themeColor="text1" w:themeTint="A6"/>
        </w:rPr>
        <w:t>How could IAS investment be designed to be more flexible and responsive at the regional level, and better meet the needs of the community for Indigenous jobseekers and employers?</w:t>
      </w:r>
    </w:p>
    <w:p w14:paraId="64598D0F" w14:textId="77777777" w:rsidR="00F0000E" w:rsidRPr="0093006A" w:rsidRDefault="00F0000E" w:rsidP="00981521">
      <w:pPr>
        <w:pStyle w:val="ListParagraph"/>
        <w:numPr>
          <w:ilvl w:val="0"/>
          <w:numId w:val="77"/>
        </w:numPr>
        <w:spacing w:after="120"/>
        <w:ind w:left="709" w:hanging="425"/>
        <w:textAlignment w:val="baseline"/>
        <w:rPr>
          <w:rFonts w:eastAsia="Times New Roman" w:cs="Times New Roman"/>
          <w:color w:val="595959" w:themeColor="text1" w:themeTint="A6"/>
        </w:rPr>
      </w:pPr>
      <w:r w:rsidRPr="0093006A">
        <w:rPr>
          <w:rFonts w:eastAsia="Times New Roman" w:cs="Times New Roman"/>
          <w:color w:val="595959" w:themeColor="text1" w:themeTint="A6"/>
        </w:rPr>
        <w:t>How should results of the new ISEP program be measures, monitored and evaluated to ensure investment contributes to closing the gap in employment outcomes?</w:t>
      </w:r>
    </w:p>
    <w:p w14:paraId="5A85664B" w14:textId="77777777" w:rsidR="00F0000E" w:rsidRPr="0093006A" w:rsidRDefault="00F0000E" w:rsidP="00981521">
      <w:pPr>
        <w:pStyle w:val="ListParagraph"/>
        <w:numPr>
          <w:ilvl w:val="0"/>
          <w:numId w:val="77"/>
        </w:numPr>
        <w:spacing w:after="120"/>
        <w:ind w:left="709" w:hanging="425"/>
        <w:textAlignment w:val="baseline"/>
        <w:rPr>
          <w:rFonts w:eastAsia="Times New Roman" w:cs="Times New Roman"/>
          <w:color w:val="595959" w:themeColor="text1" w:themeTint="A6"/>
        </w:rPr>
      </w:pPr>
      <w:r w:rsidRPr="0093006A">
        <w:rPr>
          <w:rFonts w:eastAsia="Times New Roman" w:cs="Times New Roman"/>
          <w:color w:val="595959" w:themeColor="text1" w:themeTint="A6"/>
        </w:rPr>
        <w:t>How can we embed shared-decision making in community-based workforce planning?</w:t>
      </w:r>
    </w:p>
    <w:p w14:paraId="4AB23006" w14:textId="77777777" w:rsidR="00F0000E" w:rsidRPr="0093006A" w:rsidRDefault="00F0000E" w:rsidP="00981521">
      <w:pPr>
        <w:pStyle w:val="ListParagraph"/>
        <w:numPr>
          <w:ilvl w:val="0"/>
          <w:numId w:val="77"/>
        </w:numPr>
        <w:spacing w:after="120"/>
        <w:ind w:left="709" w:hanging="425"/>
        <w:textAlignment w:val="baseline"/>
        <w:rPr>
          <w:rFonts w:eastAsia="Times New Roman" w:cs="Times New Roman"/>
          <w:color w:val="595959" w:themeColor="text1" w:themeTint="A6"/>
        </w:rPr>
      </w:pPr>
      <w:r w:rsidRPr="0093006A">
        <w:rPr>
          <w:rFonts w:eastAsia="Times New Roman" w:cs="Times New Roman"/>
          <w:color w:val="595959" w:themeColor="text1" w:themeTint="A6"/>
        </w:rPr>
        <w:t>How can the ISEP encourage potential employers of Aboriginal and Torres Strait Islander people to provide safe and culturally appropriate work environments? How can employers better value the skills and perspectives of Indigenous employees?</w:t>
      </w:r>
    </w:p>
    <w:p w14:paraId="30E93BC9" w14:textId="77777777" w:rsidR="00F0000E" w:rsidRPr="0093006A" w:rsidRDefault="00F0000E" w:rsidP="00981521">
      <w:pPr>
        <w:pStyle w:val="ListParagraph"/>
        <w:numPr>
          <w:ilvl w:val="0"/>
          <w:numId w:val="77"/>
        </w:numPr>
        <w:spacing w:after="120"/>
        <w:ind w:left="709" w:hanging="425"/>
        <w:textAlignment w:val="baseline"/>
        <w:rPr>
          <w:rFonts w:eastAsia="Times New Roman" w:cs="Times New Roman"/>
          <w:color w:val="595959" w:themeColor="text1" w:themeTint="A6"/>
        </w:rPr>
      </w:pPr>
      <w:r w:rsidRPr="0093006A">
        <w:rPr>
          <w:rFonts w:eastAsia="Times New Roman" w:cs="Times New Roman"/>
          <w:color w:val="595959" w:themeColor="text1" w:themeTint="A6"/>
        </w:rPr>
        <w:t>How should the ISEP consider a local focus?</w:t>
      </w:r>
    </w:p>
    <w:p w14:paraId="7EA74D2E" w14:textId="4A6C8585" w:rsidR="00F0000E" w:rsidRPr="0093006A" w:rsidRDefault="00F0000E" w:rsidP="00976003">
      <w:pPr>
        <w:spacing w:after="120"/>
        <w:rPr>
          <w:rFonts w:eastAsia="Times New Roman" w:cs="Times New Roman"/>
          <w:color w:val="595959" w:themeColor="text1" w:themeTint="A6"/>
          <w:sz w:val="24"/>
          <w:szCs w:val="24"/>
        </w:rPr>
      </w:pPr>
      <w:r w:rsidRPr="0093006A">
        <w:rPr>
          <w:rFonts w:eastAsia="Times New Roman" w:cs="Times New Roman"/>
          <w:color w:val="595959" w:themeColor="text1" w:themeTint="A6"/>
        </w:rPr>
        <w:t xml:space="preserve">As part of the same process, NIAA sought stakeholder views “on any other relevant issues raised in [the] discussion paper” to inform </w:t>
      </w:r>
      <w:r w:rsidR="000C1BDF" w:rsidRPr="0093006A">
        <w:rPr>
          <w:rFonts w:eastAsia="Times New Roman" w:cs="Times New Roman"/>
          <w:color w:val="595959" w:themeColor="text1" w:themeTint="A6"/>
        </w:rPr>
        <w:t>g</w:t>
      </w:r>
      <w:r w:rsidRPr="0093006A">
        <w:rPr>
          <w:rFonts w:eastAsia="Times New Roman" w:cs="Times New Roman"/>
          <w:color w:val="595959" w:themeColor="text1" w:themeTint="A6"/>
        </w:rPr>
        <w:t>overnment of “views of future investment in Indigenous-specific employment programs through the IAS”.</w:t>
      </w:r>
    </w:p>
    <w:p w14:paraId="7348E2A2" w14:textId="77777777" w:rsidR="00F0000E" w:rsidRPr="0093006A" w:rsidRDefault="00F0000E" w:rsidP="00976003">
      <w:pPr>
        <w:pStyle w:val="Heading3"/>
        <w:spacing w:before="0" w:after="120"/>
        <w:rPr>
          <w:color w:val="595959" w:themeColor="text1" w:themeTint="A6"/>
          <w:sz w:val="24"/>
          <w:szCs w:val="24"/>
        </w:rPr>
      </w:pPr>
      <w:r w:rsidRPr="0093006A">
        <w:rPr>
          <w:color w:val="595959" w:themeColor="text1" w:themeTint="A6"/>
          <w:sz w:val="24"/>
          <w:szCs w:val="24"/>
        </w:rPr>
        <w:t>Profile of written submissions received</w:t>
      </w:r>
    </w:p>
    <w:p w14:paraId="4E2B43AE" w14:textId="404B1137" w:rsidR="00F0000E" w:rsidRPr="0093006A" w:rsidRDefault="00F0000E" w:rsidP="00976003">
      <w:pPr>
        <w:spacing w:after="120"/>
        <w:rPr>
          <w:rFonts w:eastAsia="Times New Roman" w:cs="Times New Roman"/>
          <w:color w:val="595959" w:themeColor="text1" w:themeTint="A6"/>
          <w:sz w:val="24"/>
          <w:szCs w:val="24"/>
        </w:rPr>
      </w:pPr>
      <w:r w:rsidRPr="0093006A">
        <w:rPr>
          <w:rFonts w:eastAsia="Times New Roman" w:cs="Times New Roman"/>
          <w:color w:val="595959" w:themeColor="text1" w:themeTint="A6"/>
        </w:rPr>
        <w:t xml:space="preserve">The </w:t>
      </w:r>
      <w:r w:rsidR="008B1290" w:rsidRPr="0093006A">
        <w:rPr>
          <w:rFonts w:eastAsia="Times New Roman" w:cs="Times New Roman"/>
          <w:color w:val="595959" w:themeColor="text1" w:themeTint="A6"/>
        </w:rPr>
        <w:t xml:space="preserve">62 </w:t>
      </w:r>
      <w:r w:rsidRPr="0093006A">
        <w:rPr>
          <w:rFonts w:eastAsia="Times New Roman" w:cs="Times New Roman"/>
          <w:color w:val="595959" w:themeColor="text1" w:themeTint="A6"/>
        </w:rPr>
        <w:t xml:space="preserve">written submissions received by NIAA in response to the ISEP Discussion Paper including representation </w:t>
      </w:r>
      <w:r w:rsidR="000C1BDF" w:rsidRPr="0093006A">
        <w:rPr>
          <w:rFonts w:eastAsia="Times New Roman" w:cs="Times New Roman"/>
          <w:color w:val="595959" w:themeColor="text1" w:themeTint="A6"/>
        </w:rPr>
        <w:t>of</w:t>
      </w:r>
      <w:r w:rsidRPr="0093006A">
        <w:rPr>
          <w:rFonts w:eastAsia="Times New Roman" w:cs="Times New Roman"/>
          <w:color w:val="595959" w:themeColor="text1" w:themeTint="A6"/>
        </w:rPr>
        <w:t>: </w:t>
      </w:r>
    </w:p>
    <w:p w14:paraId="6CD05A87" w14:textId="77777777" w:rsidR="00F0000E" w:rsidRPr="0093006A" w:rsidRDefault="00F0000E"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Aboriginal community-controlled organisations (ACCOs)</w:t>
      </w:r>
    </w:p>
    <w:p w14:paraId="102DD19A" w14:textId="77777777" w:rsidR="00F0000E" w:rsidRPr="0093006A" w:rsidRDefault="00F0000E"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Aboriginal community-controlled health organisations (ACCHOs)</w:t>
      </w:r>
    </w:p>
    <w:p w14:paraId="48CEAB6E" w14:textId="77777777" w:rsidR="00F0000E" w:rsidRPr="0093006A" w:rsidRDefault="00F0000E"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Traditional Owner groups and organisations (TOs)</w:t>
      </w:r>
    </w:p>
    <w:p w14:paraId="3B93746D" w14:textId="77777777" w:rsidR="00F0000E" w:rsidRPr="0093006A" w:rsidRDefault="00F0000E"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Local Aboriginal Land Councils (LALCs)</w:t>
      </w:r>
    </w:p>
    <w:p w14:paraId="22E64ECB" w14:textId="77777777" w:rsidR="00F0000E" w:rsidRPr="0093006A" w:rsidRDefault="00F0000E"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Aboriginal-owned businesses</w:t>
      </w:r>
    </w:p>
    <w:p w14:paraId="78698960" w14:textId="5273699F" w:rsidR="00F0000E" w:rsidRPr="0093006A" w:rsidRDefault="00D9366C"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Employment service providers</w:t>
      </w:r>
    </w:p>
    <w:p w14:paraId="03C81A98" w14:textId="332FD9A2" w:rsidR="00F0000E" w:rsidRPr="0093006A" w:rsidRDefault="00D9366C"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Educat</w:t>
      </w:r>
      <w:r w:rsidR="00F0000E" w:rsidRPr="0093006A">
        <w:rPr>
          <w:rFonts w:eastAsia="Times New Roman" w:cs="Times New Roman"/>
          <w:color w:val="595959" w:themeColor="text1" w:themeTint="A6"/>
        </w:rPr>
        <w:t>ion and training service providers</w:t>
      </w:r>
    </w:p>
    <w:p w14:paraId="2EB0F04B" w14:textId="6397EB14" w:rsidR="00F0000E" w:rsidRPr="0093006A" w:rsidRDefault="00D9366C"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Small-to-large private businesses</w:t>
      </w:r>
    </w:p>
    <w:p w14:paraId="54FF3421" w14:textId="79F773AB" w:rsidR="00F0000E" w:rsidRPr="0093006A" w:rsidRDefault="00D9366C"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Industry, trade, and union representative groups</w:t>
      </w:r>
    </w:p>
    <w:p w14:paraId="5D7FA962" w14:textId="711ACF0A" w:rsidR="00F0000E" w:rsidRPr="0093006A" w:rsidRDefault="00D9366C"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Universities</w:t>
      </w:r>
    </w:p>
    <w:p w14:paraId="0591F4D0" w14:textId="1AE032EA" w:rsidR="00F0000E" w:rsidRPr="0093006A" w:rsidRDefault="00D9366C" w:rsidP="003769B7">
      <w:pPr>
        <w:numPr>
          <w:ilvl w:val="0"/>
          <w:numId w:val="5"/>
        </w:numPr>
        <w:ind w:left="714" w:hanging="357"/>
        <w:textAlignment w:val="baseline"/>
        <w:rPr>
          <w:rFonts w:eastAsia="Times New Roman" w:cs="Times New Roman"/>
          <w:color w:val="595959" w:themeColor="text1" w:themeTint="A6"/>
        </w:rPr>
      </w:pPr>
      <w:r w:rsidRPr="0093006A">
        <w:rPr>
          <w:rFonts w:eastAsia="Times New Roman" w:cs="Times New Roman"/>
          <w:color w:val="595959" w:themeColor="text1" w:themeTint="A6"/>
        </w:rPr>
        <w:t>Non-government organisations (NGOs)</w:t>
      </w:r>
    </w:p>
    <w:p w14:paraId="4B698BBB" w14:textId="7C427EB0" w:rsidR="00F0000E" w:rsidRPr="0093006A" w:rsidRDefault="00D9366C" w:rsidP="003769B7">
      <w:pPr>
        <w:numPr>
          <w:ilvl w:val="0"/>
          <w:numId w:val="5"/>
        </w:numPr>
        <w:spacing w:after="120"/>
        <w:textAlignment w:val="baseline"/>
        <w:rPr>
          <w:rFonts w:eastAsia="Times New Roman" w:cs="Times New Roman"/>
          <w:color w:val="595959" w:themeColor="text1" w:themeTint="A6"/>
        </w:rPr>
      </w:pPr>
      <w:r w:rsidRPr="0093006A">
        <w:rPr>
          <w:rFonts w:eastAsia="Times New Roman" w:cs="Times New Roman"/>
          <w:color w:val="595959" w:themeColor="text1" w:themeTint="A6"/>
        </w:rPr>
        <w:t>Not-for-profit (NFP) organisations.</w:t>
      </w:r>
    </w:p>
    <w:p w14:paraId="2B22594E" w14:textId="77777777" w:rsidR="00F0000E" w:rsidRPr="0093006A" w:rsidRDefault="00F0000E" w:rsidP="00976003">
      <w:pPr>
        <w:pStyle w:val="Heading3"/>
        <w:spacing w:before="0" w:after="120"/>
        <w:rPr>
          <w:color w:val="595959" w:themeColor="text1" w:themeTint="A6"/>
          <w:sz w:val="24"/>
          <w:szCs w:val="24"/>
        </w:rPr>
      </w:pPr>
      <w:r w:rsidRPr="0093006A">
        <w:rPr>
          <w:color w:val="595959" w:themeColor="text1" w:themeTint="A6"/>
          <w:sz w:val="24"/>
          <w:szCs w:val="24"/>
        </w:rPr>
        <w:t>Method of analysing the written submissions</w:t>
      </w:r>
    </w:p>
    <w:p w14:paraId="5FC8CD0A" w14:textId="01AAC3E4" w:rsidR="00583C44" w:rsidRPr="0093006A" w:rsidRDefault="0052063F" w:rsidP="00976003">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 xml:space="preserve">In September 2021 </w:t>
      </w:r>
      <w:r w:rsidR="00583C44" w:rsidRPr="0093006A">
        <w:rPr>
          <w:rFonts w:ascii="Helvetica Neue" w:hAnsi="Helvetica Neue"/>
          <w:color w:val="595959" w:themeColor="text1" w:themeTint="A6"/>
        </w:rPr>
        <w:t xml:space="preserve">Inside Policy </w:t>
      </w:r>
      <w:r w:rsidR="00D5211A" w:rsidRPr="0093006A">
        <w:rPr>
          <w:rFonts w:ascii="Helvetica Neue" w:hAnsi="Helvetica Neue"/>
          <w:color w:val="595959" w:themeColor="text1" w:themeTint="A6"/>
        </w:rPr>
        <w:t xml:space="preserve">were provided with </w:t>
      </w:r>
      <w:r w:rsidR="00E71F19" w:rsidRPr="0093006A">
        <w:rPr>
          <w:rFonts w:ascii="Helvetica Neue" w:hAnsi="Helvetica Neue"/>
          <w:color w:val="595959" w:themeColor="text1" w:themeTint="A6"/>
        </w:rPr>
        <w:t xml:space="preserve">62 </w:t>
      </w:r>
      <w:r w:rsidR="00583C44" w:rsidRPr="0093006A">
        <w:rPr>
          <w:rFonts w:ascii="Helvetica Neue" w:hAnsi="Helvetica Neue"/>
          <w:color w:val="595959" w:themeColor="text1" w:themeTint="A6"/>
        </w:rPr>
        <w:t xml:space="preserve">written submissions </w:t>
      </w:r>
      <w:r w:rsidR="00D5211A" w:rsidRPr="0093006A">
        <w:rPr>
          <w:rFonts w:ascii="Helvetica Neue" w:hAnsi="Helvetica Neue"/>
          <w:color w:val="595959" w:themeColor="text1" w:themeTint="A6"/>
        </w:rPr>
        <w:t xml:space="preserve">received by NIAA </w:t>
      </w:r>
      <w:r w:rsidR="00583C44" w:rsidRPr="0093006A">
        <w:rPr>
          <w:rFonts w:ascii="Helvetica Neue" w:hAnsi="Helvetica Neue"/>
          <w:color w:val="595959" w:themeColor="text1" w:themeTint="A6"/>
        </w:rPr>
        <w:t>in response to NIAA’s ISEP Discussion Paper. A qualitative thematic analysis approach was used to assess the contents of each submission. One of the advantages of a thematic analysis for a large corpus of text is the level of flexibility it provides. Here, such an approach was useful for developing core themes, recommendations, and insights at a general or national level, whilst also allowing for case studies and regional differentiation to emerge and reveal deviations across the dataset.</w:t>
      </w:r>
    </w:p>
    <w:p w14:paraId="356EF251" w14:textId="04F2957F" w:rsidR="00583C44" w:rsidRPr="0093006A" w:rsidRDefault="00583C44" w:rsidP="00976003">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 xml:space="preserve">Initial coding and the organising of data was undertaken using qualitative data analysis software (NVivo). All submissions were read multiple times and coded both deductively using NIAA’s six ISEP Discussion Questions and key themes within the Discussion Paper and inductively to include insights arising directly from each response often outside the </w:t>
      </w:r>
      <w:r w:rsidR="008B1290" w:rsidRPr="0093006A">
        <w:rPr>
          <w:rFonts w:ascii="Helvetica Neue" w:hAnsi="Helvetica Neue"/>
          <w:color w:val="595959" w:themeColor="text1" w:themeTint="A6"/>
        </w:rPr>
        <w:t xml:space="preserve">specific </w:t>
      </w:r>
      <w:r w:rsidRPr="0093006A">
        <w:rPr>
          <w:rFonts w:ascii="Helvetica Neue" w:hAnsi="Helvetica Neue"/>
          <w:color w:val="595959" w:themeColor="text1" w:themeTint="A6"/>
        </w:rPr>
        <w:t xml:space="preserve">scope of </w:t>
      </w:r>
      <w:r w:rsidR="008B1290" w:rsidRPr="0093006A">
        <w:rPr>
          <w:rFonts w:ascii="Helvetica Neue" w:hAnsi="Helvetica Neue"/>
          <w:color w:val="595959" w:themeColor="text1" w:themeTint="A6"/>
        </w:rPr>
        <w:t xml:space="preserve">those </w:t>
      </w:r>
      <w:r w:rsidRPr="0093006A">
        <w:rPr>
          <w:rFonts w:ascii="Helvetica Neue" w:hAnsi="Helvetica Neue"/>
          <w:color w:val="595959" w:themeColor="text1" w:themeTint="A6"/>
        </w:rPr>
        <w:t>questions. All researchers on the project were provided with both the</w:t>
      </w:r>
      <w:r w:rsidR="00E71F19" w:rsidRPr="0093006A">
        <w:rPr>
          <w:rFonts w:ascii="Helvetica Neue" w:hAnsi="Helvetica Neue"/>
          <w:color w:val="595959" w:themeColor="text1" w:themeTint="A6"/>
        </w:rPr>
        <w:t xml:space="preserve"> 62</w:t>
      </w:r>
      <w:r w:rsidRPr="0093006A">
        <w:rPr>
          <w:rFonts w:ascii="Helvetica Neue" w:hAnsi="Helvetica Neue"/>
          <w:color w:val="595959" w:themeColor="text1" w:themeTint="A6"/>
        </w:rPr>
        <w:t xml:space="preserve"> written responses, and the core themes emerging from the data exported from NVivo (raw, blinded without coding/notes), to ensure triangulation of our analysis occurred from its earliest stages. </w:t>
      </w:r>
    </w:p>
    <w:p w14:paraId="7C52E6A9" w14:textId="77777777" w:rsidR="00583C44" w:rsidRPr="0093006A" w:rsidRDefault="00243EAF" w:rsidP="00976003">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 xml:space="preserve">The major themes and findings were presented to the internal and NIAA sessions as outlined above.  </w:t>
      </w:r>
      <w:r w:rsidR="00583C44" w:rsidRPr="0093006A">
        <w:rPr>
          <w:rFonts w:ascii="Helvetica Neue" w:hAnsi="Helvetica Neue"/>
          <w:color w:val="595959" w:themeColor="text1" w:themeTint="A6"/>
        </w:rPr>
        <w:t>A</w:t>
      </w:r>
      <w:r w:rsidRPr="0093006A">
        <w:rPr>
          <w:rFonts w:ascii="Helvetica Neue" w:hAnsi="Helvetica Neue"/>
          <w:color w:val="595959" w:themeColor="text1" w:themeTint="A6"/>
        </w:rPr>
        <w:t>gain, a</w:t>
      </w:r>
      <w:r w:rsidR="00583C44" w:rsidRPr="0093006A">
        <w:rPr>
          <w:rFonts w:ascii="Helvetica Neue" w:hAnsi="Helvetica Neue"/>
          <w:color w:val="595959" w:themeColor="text1" w:themeTint="A6"/>
        </w:rPr>
        <w:t>ll subsequent themes, findings, and insights were cross-checked to ensure consistency and complexity of analysis was achieved. </w:t>
      </w:r>
    </w:p>
    <w:p w14:paraId="1367EE6A" w14:textId="77777777" w:rsidR="00583C44" w:rsidRPr="0093006A" w:rsidRDefault="00583C44" w:rsidP="00976003">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 xml:space="preserve">Submissions are referenced in footnote format throughout the findings of the written submissions, and if quoted, page numbers are provided. Please note that </w:t>
      </w:r>
      <w:r w:rsidR="008A2081" w:rsidRPr="0093006A">
        <w:rPr>
          <w:rFonts w:ascii="Helvetica Neue" w:hAnsi="Helvetica Neue"/>
          <w:color w:val="595959" w:themeColor="text1" w:themeTint="A6"/>
        </w:rPr>
        <w:t xml:space="preserve">four </w:t>
      </w:r>
      <w:r w:rsidRPr="0093006A">
        <w:rPr>
          <w:rFonts w:ascii="Helvetica Neue" w:hAnsi="Helvetica Neue"/>
          <w:color w:val="595959" w:themeColor="text1" w:themeTint="A6"/>
        </w:rPr>
        <w:t>respondents requested anonymity in their responses.</w:t>
      </w:r>
    </w:p>
    <w:p w14:paraId="1532064B" w14:textId="77777777" w:rsidR="00583C44" w:rsidRPr="0093006A" w:rsidRDefault="00583C44" w:rsidP="00976003">
      <w:pPr>
        <w:pStyle w:val="Heading2"/>
        <w:spacing w:before="0" w:after="120" w:line="240" w:lineRule="auto"/>
        <w:rPr>
          <w:color w:val="595959" w:themeColor="text1" w:themeTint="A6"/>
        </w:rPr>
      </w:pPr>
      <w:bookmarkStart w:id="27" w:name="_Toc84951082"/>
      <w:bookmarkStart w:id="28" w:name="_Toc85030962"/>
      <w:r w:rsidRPr="0093006A">
        <w:rPr>
          <w:color w:val="595959" w:themeColor="text1" w:themeTint="A6"/>
        </w:rPr>
        <w:t>Limitations</w:t>
      </w:r>
      <w:bookmarkEnd w:id="27"/>
      <w:bookmarkEnd w:id="28"/>
    </w:p>
    <w:p w14:paraId="3B281E0C" w14:textId="77777777" w:rsidR="00CC4449" w:rsidRPr="0093006A" w:rsidRDefault="006759D2" w:rsidP="00976003">
      <w:pPr>
        <w:spacing w:after="120"/>
        <w:rPr>
          <w:color w:val="595959" w:themeColor="text1" w:themeTint="A6"/>
        </w:rPr>
      </w:pPr>
      <w:r w:rsidRPr="0093006A">
        <w:rPr>
          <w:color w:val="595959" w:themeColor="text1" w:themeTint="A6"/>
        </w:rPr>
        <w:t>S</w:t>
      </w:r>
      <w:r w:rsidR="00CC4449" w:rsidRPr="0093006A">
        <w:rPr>
          <w:color w:val="595959" w:themeColor="text1" w:themeTint="A6"/>
        </w:rPr>
        <w:t>everal limitations emerged throughout this extensive consultation and data analysis process including:</w:t>
      </w:r>
    </w:p>
    <w:p w14:paraId="0D15920C" w14:textId="72C983C8" w:rsidR="00CC4449" w:rsidRPr="0093006A" w:rsidRDefault="00363563" w:rsidP="00F02724">
      <w:pPr>
        <w:pStyle w:val="ListParagraph"/>
        <w:numPr>
          <w:ilvl w:val="0"/>
          <w:numId w:val="23"/>
        </w:numPr>
        <w:spacing w:after="120"/>
        <w:ind w:left="357" w:hanging="357"/>
        <w:contextualSpacing w:val="0"/>
        <w:rPr>
          <w:color w:val="595959" w:themeColor="text1" w:themeTint="A6"/>
        </w:rPr>
      </w:pPr>
      <w:r w:rsidRPr="0093006A">
        <w:rPr>
          <w:color w:val="595959" w:themeColor="text1" w:themeTint="A6"/>
        </w:rPr>
        <w:t>T</w:t>
      </w:r>
      <w:r w:rsidR="00CC4449" w:rsidRPr="0093006A">
        <w:rPr>
          <w:color w:val="595959" w:themeColor="text1" w:themeTint="A6"/>
        </w:rPr>
        <w:t xml:space="preserve">he ongoing prevalence and risk of COVID-19 across Australia and resulting border closures meant that consultations in some locations (namely NSW, Victoria, Tasmania, some Queensland, and NT locations) took place virtually. </w:t>
      </w:r>
      <w:r w:rsidR="00D22BAA" w:rsidRPr="0093006A">
        <w:rPr>
          <w:color w:val="595959" w:themeColor="text1" w:themeTint="A6"/>
        </w:rPr>
        <w:t>In comparison to face</w:t>
      </w:r>
      <w:r w:rsidRPr="0093006A">
        <w:rPr>
          <w:color w:val="595959" w:themeColor="text1" w:themeTint="A6"/>
        </w:rPr>
        <w:t>-</w:t>
      </w:r>
      <w:r w:rsidR="00D22BAA" w:rsidRPr="0093006A">
        <w:rPr>
          <w:color w:val="595959" w:themeColor="text1" w:themeTint="A6"/>
        </w:rPr>
        <w:t>to</w:t>
      </w:r>
      <w:r w:rsidRPr="0093006A">
        <w:rPr>
          <w:color w:val="595959" w:themeColor="text1" w:themeTint="A6"/>
        </w:rPr>
        <w:t>-</w:t>
      </w:r>
      <w:r w:rsidR="00D22BAA" w:rsidRPr="0093006A">
        <w:rPr>
          <w:color w:val="595959" w:themeColor="text1" w:themeTint="A6"/>
        </w:rPr>
        <w:t>face sessions, a virtually conducted group session can limit participation as well as the</w:t>
      </w:r>
      <w:r w:rsidR="00BD7B98" w:rsidRPr="0093006A">
        <w:rPr>
          <w:color w:val="595959" w:themeColor="text1" w:themeTint="A6"/>
        </w:rPr>
        <w:t xml:space="preserve"> breadth and nuance of</w:t>
      </w:r>
      <w:r w:rsidR="00D22BAA" w:rsidRPr="0093006A">
        <w:rPr>
          <w:color w:val="595959" w:themeColor="text1" w:themeTint="A6"/>
        </w:rPr>
        <w:t xml:space="preserve"> feedback received. </w:t>
      </w:r>
    </w:p>
    <w:p w14:paraId="0F90881D" w14:textId="79612C84" w:rsidR="00CC4449" w:rsidRPr="0093006A" w:rsidRDefault="00363563" w:rsidP="00F02724">
      <w:pPr>
        <w:pStyle w:val="ListParagraph"/>
        <w:numPr>
          <w:ilvl w:val="0"/>
          <w:numId w:val="23"/>
        </w:numPr>
        <w:spacing w:after="120"/>
        <w:ind w:left="357" w:hanging="357"/>
        <w:contextualSpacing w:val="0"/>
        <w:rPr>
          <w:color w:val="595959" w:themeColor="text1" w:themeTint="A6"/>
        </w:rPr>
      </w:pPr>
      <w:r w:rsidRPr="0093006A">
        <w:rPr>
          <w:color w:val="595959" w:themeColor="text1" w:themeTint="A6"/>
        </w:rPr>
        <w:t>A</w:t>
      </w:r>
      <w:r w:rsidR="00CC4449" w:rsidRPr="0093006A">
        <w:rPr>
          <w:color w:val="595959" w:themeColor="text1" w:themeTint="A6"/>
        </w:rPr>
        <w:t xml:space="preserve"> lack of clear audio recording in some sessions resulted in less detailed scribe notes for subsequent analysis.</w:t>
      </w:r>
    </w:p>
    <w:p w14:paraId="36C28B64" w14:textId="1FF5C0F0" w:rsidR="007C47E5" w:rsidRPr="0093006A" w:rsidRDefault="00363563" w:rsidP="00F02724">
      <w:pPr>
        <w:pStyle w:val="ListParagraph"/>
        <w:numPr>
          <w:ilvl w:val="0"/>
          <w:numId w:val="23"/>
        </w:numPr>
        <w:spacing w:after="120"/>
        <w:ind w:left="357" w:hanging="357"/>
        <w:contextualSpacing w:val="0"/>
        <w:rPr>
          <w:color w:val="595959" w:themeColor="text1" w:themeTint="A6"/>
        </w:rPr>
      </w:pPr>
      <w:r w:rsidRPr="0093006A">
        <w:rPr>
          <w:color w:val="595959" w:themeColor="text1" w:themeTint="A6"/>
        </w:rPr>
        <w:t>T</w:t>
      </w:r>
      <w:r w:rsidR="007C47E5" w:rsidRPr="0093006A">
        <w:rPr>
          <w:color w:val="595959" w:themeColor="text1" w:themeTint="A6"/>
        </w:rPr>
        <w:t>he Woorabinda session encountered technical difficulties at the start of the session. The regional team and facilitator made the decision to continue the session with regional staff facilitating and taking notes. The Inside Policy facilitator and scribe were unable to join the meeting and subsequently there are some limitations in the data collected, in particular early analysis and theming.</w:t>
      </w:r>
    </w:p>
    <w:p w14:paraId="606A4069" w14:textId="7BA14EFA" w:rsidR="0089123E" w:rsidRPr="0093006A" w:rsidRDefault="00363563" w:rsidP="00F02724">
      <w:pPr>
        <w:pStyle w:val="ListParagraph"/>
        <w:numPr>
          <w:ilvl w:val="0"/>
          <w:numId w:val="23"/>
        </w:numPr>
        <w:spacing w:after="120"/>
        <w:ind w:left="357" w:hanging="357"/>
        <w:contextualSpacing w:val="0"/>
        <w:rPr>
          <w:color w:val="595959" w:themeColor="text1" w:themeTint="A6"/>
        </w:rPr>
      </w:pPr>
      <w:r w:rsidRPr="0093006A">
        <w:rPr>
          <w:color w:val="595959" w:themeColor="text1" w:themeTint="A6"/>
        </w:rPr>
        <w:t>I</w:t>
      </w:r>
      <w:r w:rsidR="00CC4449" w:rsidRPr="0093006A">
        <w:rPr>
          <w:color w:val="595959" w:themeColor="text1" w:themeTint="A6"/>
        </w:rPr>
        <w:t xml:space="preserve">n the early stages of consultations, it became clear that Discussion Question 2 – “What is the current state of opportunities in your region?” – </w:t>
      </w:r>
      <w:r w:rsidR="00981521" w:rsidRPr="0093006A">
        <w:rPr>
          <w:color w:val="595959" w:themeColor="text1" w:themeTint="A6"/>
        </w:rPr>
        <w:t xml:space="preserve">was used as the first question and </w:t>
      </w:r>
      <w:r w:rsidR="00CC4449" w:rsidRPr="0093006A">
        <w:rPr>
          <w:color w:val="595959" w:themeColor="text1" w:themeTint="A6"/>
        </w:rPr>
        <w:t>did not resonate with participants</w:t>
      </w:r>
      <w:r w:rsidR="00434335" w:rsidRPr="0093006A">
        <w:rPr>
          <w:color w:val="595959" w:themeColor="text1" w:themeTint="A6"/>
        </w:rPr>
        <w:t>.</w:t>
      </w:r>
      <w:r w:rsidR="00CC4449" w:rsidRPr="0093006A">
        <w:rPr>
          <w:color w:val="595959" w:themeColor="text1" w:themeTint="A6"/>
        </w:rPr>
        <w:t xml:space="preserve"> </w:t>
      </w:r>
      <w:r w:rsidR="00B549D3" w:rsidRPr="0093006A">
        <w:rPr>
          <w:color w:val="595959" w:themeColor="text1" w:themeTint="A6"/>
        </w:rPr>
        <w:t>As mentioned above, t</w:t>
      </w:r>
      <w:r w:rsidR="00CC4449" w:rsidRPr="0093006A">
        <w:rPr>
          <w:color w:val="595959" w:themeColor="text1" w:themeTint="A6"/>
        </w:rPr>
        <w:t xml:space="preserve">he decision was made in consultation with NIAA to </w:t>
      </w:r>
      <w:r w:rsidRPr="0093006A">
        <w:rPr>
          <w:color w:val="595959" w:themeColor="text1" w:themeTint="A6"/>
        </w:rPr>
        <w:t xml:space="preserve">change </w:t>
      </w:r>
      <w:r w:rsidR="00B549D3" w:rsidRPr="0093006A">
        <w:rPr>
          <w:color w:val="595959" w:themeColor="text1" w:themeTint="A6"/>
        </w:rPr>
        <w:t xml:space="preserve">the order so that </w:t>
      </w:r>
      <w:r w:rsidR="00CC4449" w:rsidRPr="0093006A">
        <w:rPr>
          <w:color w:val="595959" w:themeColor="text1" w:themeTint="A6"/>
        </w:rPr>
        <w:t xml:space="preserve">this </w:t>
      </w:r>
      <w:r w:rsidR="00B549D3" w:rsidRPr="0093006A">
        <w:rPr>
          <w:color w:val="595959" w:themeColor="text1" w:themeTint="A6"/>
        </w:rPr>
        <w:t>became question</w:t>
      </w:r>
      <w:r w:rsidR="00CC4449" w:rsidRPr="0093006A">
        <w:rPr>
          <w:color w:val="595959" w:themeColor="text1" w:themeTint="A6"/>
        </w:rPr>
        <w:t xml:space="preserve"> </w:t>
      </w:r>
      <w:r w:rsidR="0089123E" w:rsidRPr="0093006A">
        <w:rPr>
          <w:color w:val="595959" w:themeColor="text1" w:themeTint="A6"/>
        </w:rPr>
        <w:t xml:space="preserve">two for the remaining roundtables to improve data quality. </w:t>
      </w:r>
    </w:p>
    <w:p w14:paraId="6735E81D" w14:textId="04C8B347" w:rsidR="0089123E" w:rsidRPr="0093006A" w:rsidRDefault="00AA73C1" w:rsidP="00F02724">
      <w:pPr>
        <w:pStyle w:val="ListParagraph"/>
        <w:numPr>
          <w:ilvl w:val="0"/>
          <w:numId w:val="23"/>
        </w:numPr>
        <w:spacing w:after="120"/>
        <w:ind w:left="357" w:hanging="357"/>
        <w:contextualSpacing w:val="0"/>
        <w:rPr>
          <w:color w:val="595959" w:themeColor="text1" w:themeTint="A6"/>
        </w:rPr>
      </w:pPr>
      <w:r w:rsidRPr="0093006A">
        <w:rPr>
          <w:color w:val="595959" w:themeColor="text1" w:themeTint="A6"/>
        </w:rPr>
        <w:t>S</w:t>
      </w:r>
      <w:r w:rsidR="0089123E" w:rsidRPr="0093006A">
        <w:rPr>
          <w:color w:val="595959" w:themeColor="text1" w:themeTint="A6"/>
        </w:rPr>
        <w:t xml:space="preserve">ome participants felt they were not in a position to provide responses to roundtable Discussion Question 2 on behalf of Indigenous jobseekers </w:t>
      </w:r>
      <w:r w:rsidRPr="0093006A">
        <w:rPr>
          <w:color w:val="595959" w:themeColor="text1" w:themeTint="A6"/>
        </w:rPr>
        <w:t>regarding</w:t>
      </w:r>
      <w:r w:rsidR="0089123E" w:rsidRPr="0093006A">
        <w:rPr>
          <w:color w:val="595959" w:themeColor="text1" w:themeTint="A6"/>
        </w:rPr>
        <w:t xml:space="preserve"> their training and job aspirations. </w:t>
      </w:r>
    </w:p>
    <w:p w14:paraId="1A1696ED" w14:textId="22924B17" w:rsidR="0089123E" w:rsidRPr="0093006A" w:rsidRDefault="00AA73C1" w:rsidP="00F02724">
      <w:pPr>
        <w:pStyle w:val="ListParagraph"/>
        <w:numPr>
          <w:ilvl w:val="0"/>
          <w:numId w:val="23"/>
        </w:numPr>
        <w:spacing w:after="120"/>
        <w:ind w:left="357" w:hanging="357"/>
        <w:contextualSpacing w:val="0"/>
        <w:rPr>
          <w:color w:val="595959" w:themeColor="text1" w:themeTint="A6"/>
        </w:rPr>
      </w:pPr>
      <w:r w:rsidRPr="0093006A">
        <w:rPr>
          <w:color w:val="595959" w:themeColor="text1" w:themeTint="A6"/>
        </w:rPr>
        <w:t>A</w:t>
      </w:r>
      <w:r w:rsidR="00CC4449" w:rsidRPr="0093006A">
        <w:rPr>
          <w:color w:val="595959" w:themeColor="text1" w:themeTint="A6"/>
        </w:rPr>
        <w:t xml:space="preserve">nalysis of the consultation sessions is presented here by region. This analytical decision results from consultations </w:t>
      </w:r>
      <w:r w:rsidR="007A617C" w:rsidRPr="0093006A">
        <w:rPr>
          <w:color w:val="595959" w:themeColor="text1" w:themeTint="A6"/>
        </w:rPr>
        <w:t xml:space="preserve">being </w:t>
      </w:r>
      <w:r w:rsidR="00CC4449" w:rsidRPr="0093006A">
        <w:rPr>
          <w:color w:val="595959" w:themeColor="text1" w:themeTint="A6"/>
        </w:rPr>
        <w:t>held on a regional basis, and thus means our data cannot be disaggregated or clearly separated by key demographic indicators without breaching anonymity.</w:t>
      </w:r>
    </w:p>
    <w:p w14:paraId="6FA8B545" w14:textId="61576FD8" w:rsidR="0089123E" w:rsidRPr="0093006A" w:rsidRDefault="00AA73C1" w:rsidP="00F02724">
      <w:pPr>
        <w:pStyle w:val="ListParagraph"/>
        <w:numPr>
          <w:ilvl w:val="0"/>
          <w:numId w:val="23"/>
        </w:numPr>
        <w:spacing w:after="120"/>
        <w:ind w:left="357" w:hanging="357"/>
        <w:contextualSpacing w:val="0"/>
        <w:rPr>
          <w:color w:val="595959" w:themeColor="text1" w:themeTint="A6"/>
        </w:rPr>
      </w:pPr>
      <w:r w:rsidRPr="0093006A">
        <w:rPr>
          <w:color w:val="595959" w:themeColor="text1" w:themeTint="A6"/>
        </w:rPr>
        <w:t>T</w:t>
      </w:r>
      <w:r w:rsidR="00CC4449" w:rsidRPr="0093006A">
        <w:rPr>
          <w:color w:val="595959" w:themeColor="text1" w:themeTint="A6"/>
        </w:rPr>
        <w:t xml:space="preserve">he majority of the </w:t>
      </w:r>
      <w:r w:rsidR="00B56403" w:rsidRPr="0093006A">
        <w:rPr>
          <w:color w:val="595959" w:themeColor="text1" w:themeTint="A6"/>
        </w:rPr>
        <w:t>62</w:t>
      </w:r>
      <w:r w:rsidR="00CC4449" w:rsidRPr="0093006A">
        <w:rPr>
          <w:color w:val="595959" w:themeColor="text1" w:themeTint="A6"/>
        </w:rPr>
        <w:t xml:space="preserve"> written submissions responded directly to the six discussion questions as outlined in NIAA’s ISEP Discussion Paper. As the level of detail varied between each submission, best efforts were made to ensure consistency in thematic analysis. </w:t>
      </w:r>
    </w:p>
    <w:p w14:paraId="30082704" w14:textId="726A9E09" w:rsidR="00583C44" w:rsidRPr="0093006A" w:rsidRDefault="00AA73C1" w:rsidP="00981521">
      <w:pPr>
        <w:pStyle w:val="ListParagraph"/>
        <w:numPr>
          <w:ilvl w:val="0"/>
          <w:numId w:val="23"/>
        </w:numPr>
        <w:spacing w:after="120"/>
        <w:ind w:left="357" w:hanging="357"/>
        <w:contextualSpacing w:val="0"/>
        <w:rPr>
          <w:color w:val="595959" w:themeColor="text1" w:themeTint="A6"/>
        </w:rPr>
      </w:pPr>
      <w:r w:rsidRPr="0093006A">
        <w:rPr>
          <w:color w:val="595959" w:themeColor="text1" w:themeTint="A6"/>
        </w:rPr>
        <w:t>T</w:t>
      </w:r>
      <w:r w:rsidR="00CC4449" w:rsidRPr="0093006A">
        <w:rPr>
          <w:color w:val="595959" w:themeColor="text1" w:themeTint="A6"/>
        </w:rPr>
        <w:t xml:space="preserve">he reliability and validity of written submission results was ensured through cross-checking data and analysis </w:t>
      </w:r>
      <w:r w:rsidR="000A7A6D" w:rsidRPr="0093006A">
        <w:rPr>
          <w:color w:val="595959" w:themeColor="text1" w:themeTint="A6"/>
        </w:rPr>
        <w:t xml:space="preserve">by </w:t>
      </w:r>
      <w:r w:rsidR="00CC4449" w:rsidRPr="0093006A">
        <w:rPr>
          <w:color w:val="595959" w:themeColor="text1" w:themeTint="A6"/>
        </w:rPr>
        <w:t>the Inside Policy team</w:t>
      </w:r>
      <w:r w:rsidR="000A7A6D" w:rsidRPr="0093006A">
        <w:rPr>
          <w:color w:val="595959" w:themeColor="text1" w:themeTint="A6"/>
        </w:rPr>
        <w:t>.</w:t>
      </w:r>
    </w:p>
    <w:p w14:paraId="43CD96E0" w14:textId="77777777" w:rsidR="00D22BAA" w:rsidRPr="0093006A" w:rsidRDefault="00583C44" w:rsidP="006727BF">
      <w:pPr>
        <w:pStyle w:val="Heading1"/>
        <w:rPr>
          <w:color w:val="595959" w:themeColor="text1" w:themeTint="A6"/>
        </w:rPr>
      </w:pPr>
      <w:r w:rsidRPr="0093006A">
        <w:rPr>
          <w:color w:val="595959" w:themeColor="text1" w:themeTint="A6"/>
        </w:rPr>
        <w:br w:type="page"/>
      </w:r>
      <w:bookmarkStart w:id="29" w:name="_Toc85030963"/>
      <w:r w:rsidR="00D22BAA" w:rsidRPr="0093006A">
        <w:rPr>
          <w:color w:val="595959" w:themeColor="text1" w:themeTint="A6"/>
        </w:rPr>
        <w:t>Key Insights</w:t>
      </w:r>
      <w:bookmarkEnd w:id="29"/>
    </w:p>
    <w:p w14:paraId="4121E1B9" w14:textId="508D3484" w:rsidR="00D22BAA" w:rsidRPr="0093006A" w:rsidRDefault="00D22BAA" w:rsidP="00D22BAA">
      <w:pPr>
        <w:spacing w:after="120"/>
        <w:rPr>
          <w:bCs/>
          <w:color w:val="595959" w:themeColor="text1" w:themeTint="A6"/>
        </w:rPr>
      </w:pPr>
      <w:r w:rsidRPr="0093006A">
        <w:rPr>
          <w:bCs/>
          <w:color w:val="595959" w:themeColor="text1" w:themeTint="A6"/>
        </w:rPr>
        <w:t xml:space="preserve">Across both the roundtable sessions and written submissions to the ISEP Discussion Paper a set of </w:t>
      </w:r>
      <w:r w:rsidR="00A74853" w:rsidRPr="0093006A">
        <w:rPr>
          <w:bCs/>
          <w:color w:val="595959" w:themeColor="text1" w:themeTint="A6"/>
        </w:rPr>
        <w:t>15</w:t>
      </w:r>
      <w:r w:rsidR="00DF6C0D" w:rsidRPr="0093006A">
        <w:rPr>
          <w:bCs/>
          <w:color w:val="595959" w:themeColor="text1" w:themeTint="A6"/>
        </w:rPr>
        <w:t xml:space="preserve"> </w:t>
      </w:r>
      <w:r w:rsidRPr="0093006A">
        <w:rPr>
          <w:bCs/>
          <w:color w:val="595959" w:themeColor="text1" w:themeTint="A6"/>
        </w:rPr>
        <w:t>clear insights can be drawn to assist the framing of the new ISEP.</w:t>
      </w:r>
    </w:p>
    <w:p w14:paraId="4BDD4196" w14:textId="2489D8AA" w:rsidR="00D22BAA" w:rsidRPr="0093006A" w:rsidRDefault="00D22BAA" w:rsidP="00D22BAA">
      <w:pPr>
        <w:spacing w:after="120"/>
        <w:rPr>
          <w:bCs/>
          <w:color w:val="595959" w:themeColor="text1" w:themeTint="A6"/>
        </w:rPr>
      </w:pPr>
      <w:r w:rsidRPr="0093006A">
        <w:rPr>
          <w:bCs/>
          <w:color w:val="595959" w:themeColor="text1" w:themeTint="A6"/>
        </w:rPr>
        <w:t>These insights are</w:t>
      </w:r>
      <w:r w:rsidR="0070407E" w:rsidRPr="0093006A">
        <w:rPr>
          <w:bCs/>
          <w:color w:val="595959" w:themeColor="text1" w:themeTint="A6"/>
        </w:rPr>
        <w:t xml:space="preserve"> </w:t>
      </w:r>
      <w:r w:rsidR="00DC342C" w:rsidRPr="0093006A">
        <w:rPr>
          <w:bCs/>
          <w:color w:val="595959" w:themeColor="text1" w:themeTint="A6"/>
        </w:rPr>
        <w:t xml:space="preserve">grouped by key themes </w:t>
      </w:r>
      <w:r w:rsidR="0070407E" w:rsidRPr="0093006A">
        <w:rPr>
          <w:bCs/>
          <w:color w:val="595959" w:themeColor="text1" w:themeTint="A6"/>
        </w:rPr>
        <w:t>as follows</w:t>
      </w:r>
      <w:r w:rsidRPr="0093006A">
        <w:rPr>
          <w:bCs/>
          <w:color w:val="595959" w:themeColor="text1" w:themeTint="A6"/>
        </w:rPr>
        <w:t>:</w:t>
      </w:r>
    </w:p>
    <w:p w14:paraId="4833EB75" w14:textId="03CC9994" w:rsidR="008F577F" w:rsidRPr="0093006A" w:rsidRDefault="009D5F15" w:rsidP="00D22BAA">
      <w:pPr>
        <w:spacing w:after="120"/>
        <w:rPr>
          <w:b/>
          <w:i/>
          <w:iCs/>
          <w:color w:val="595959" w:themeColor="text1" w:themeTint="A6"/>
        </w:rPr>
      </w:pPr>
      <w:r w:rsidRPr="0093006A">
        <w:rPr>
          <w:b/>
          <w:i/>
          <w:iCs/>
          <w:color w:val="595959" w:themeColor="text1" w:themeTint="A6"/>
        </w:rPr>
        <w:t>Addressing barriers</w:t>
      </w:r>
    </w:p>
    <w:p w14:paraId="78E2C81C" w14:textId="77777777" w:rsidR="00D5211A" w:rsidRPr="0093006A" w:rsidRDefault="00D22BAA" w:rsidP="00D5211A">
      <w:pPr>
        <w:spacing w:after="120"/>
        <w:textDirection w:val="btLr"/>
        <w:rPr>
          <w:b/>
          <w:color w:val="595959" w:themeColor="text1" w:themeTint="A6"/>
          <w:sz w:val="24"/>
          <w:szCs w:val="24"/>
        </w:rPr>
      </w:pPr>
      <w:r w:rsidRPr="0093006A">
        <w:rPr>
          <w:b/>
          <w:color w:val="595959" w:themeColor="text1" w:themeTint="A6"/>
          <w:sz w:val="24"/>
          <w:szCs w:val="24"/>
        </w:rPr>
        <w:t xml:space="preserve">Insight 1: </w:t>
      </w:r>
    </w:p>
    <w:p w14:paraId="52E0EC09" w14:textId="5749CA3F" w:rsidR="00937ED9" w:rsidRPr="0093006A" w:rsidRDefault="00D5211A" w:rsidP="00937ED9">
      <w:pPr>
        <w:spacing w:after="120"/>
        <w:textDirection w:val="btLr"/>
        <w:rPr>
          <w:b/>
          <w:color w:val="595959" w:themeColor="text1" w:themeTint="A6"/>
          <w:sz w:val="24"/>
          <w:szCs w:val="24"/>
        </w:rPr>
      </w:pPr>
      <w:r w:rsidRPr="0093006A">
        <w:rPr>
          <w:b/>
          <w:color w:val="595959" w:themeColor="text1" w:themeTint="A6"/>
          <w:sz w:val="24"/>
          <w:szCs w:val="24"/>
        </w:rPr>
        <w:t xml:space="preserve">Addressing social barriers experienced by Indigenous jobseekers and employees is a strong determinant of long-term successful careers </w:t>
      </w:r>
    </w:p>
    <w:p w14:paraId="3D09EBF4" w14:textId="64B16DB4" w:rsidR="00937ED9" w:rsidRPr="0093006A" w:rsidRDefault="00937ED9" w:rsidP="00937ED9">
      <w:pPr>
        <w:spacing w:after="120"/>
        <w:textDirection w:val="btLr"/>
        <w:rPr>
          <w:bCs/>
          <w:color w:val="595959" w:themeColor="text1" w:themeTint="A6"/>
          <w:sz w:val="24"/>
          <w:szCs w:val="24"/>
        </w:rPr>
      </w:pPr>
      <w:r w:rsidRPr="0093006A">
        <w:rPr>
          <w:color w:val="595959" w:themeColor="text1" w:themeTint="A6"/>
        </w:rPr>
        <w:t>There is a set of key social barriers that exist across geographic locations that act as significant barriers to employment and retention for Indigenous Australians, in line with the recognised social determinants of health. These social barriers are foundational and should be addressed in parallel with employment-specific program design</w:t>
      </w:r>
      <w:r w:rsidRPr="0093006A">
        <w:rPr>
          <w:bCs/>
          <w:color w:val="595959" w:themeColor="text1" w:themeTint="A6"/>
          <w:sz w:val="24"/>
          <w:szCs w:val="24"/>
        </w:rPr>
        <w:t>.</w:t>
      </w:r>
    </w:p>
    <w:p w14:paraId="71F43DB7" w14:textId="3A9591A8" w:rsidR="00D5211A" w:rsidRPr="0093006A" w:rsidRDefault="00D22BAA" w:rsidP="00D5211A">
      <w:pPr>
        <w:spacing w:after="120"/>
        <w:textDirection w:val="btLr"/>
        <w:rPr>
          <w:b/>
          <w:bCs/>
          <w:color w:val="595959" w:themeColor="text1" w:themeTint="A6"/>
          <w:sz w:val="24"/>
          <w:szCs w:val="24"/>
        </w:rPr>
      </w:pPr>
      <w:r w:rsidRPr="0093006A">
        <w:rPr>
          <w:b/>
          <w:color w:val="595959" w:themeColor="text1" w:themeTint="A6"/>
          <w:sz w:val="24"/>
          <w:szCs w:val="24"/>
        </w:rPr>
        <w:t xml:space="preserve">Insight 2: </w:t>
      </w:r>
      <w:r w:rsidR="00D5211A" w:rsidRPr="0093006A">
        <w:rPr>
          <w:b/>
          <w:bCs/>
          <w:color w:val="595959" w:themeColor="text1" w:themeTint="A6"/>
          <w:sz w:val="24"/>
          <w:szCs w:val="24"/>
        </w:rPr>
        <w:t xml:space="preserve">The ISEP should aim to address entrenched or ‘wicked’ problems that continue to create Indigenous employment barriers in locally specific ways </w:t>
      </w:r>
    </w:p>
    <w:p w14:paraId="41F0863F" w14:textId="77777777" w:rsidR="00D5211A" w:rsidRPr="0093006A" w:rsidRDefault="00D5211A" w:rsidP="00D5211A">
      <w:pPr>
        <w:spacing w:after="120"/>
        <w:rPr>
          <w:b/>
          <w:bCs/>
          <w:color w:val="595959" w:themeColor="text1" w:themeTint="A6"/>
        </w:rPr>
      </w:pPr>
      <w:r w:rsidRPr="0093006A">
        <w:rPr>
          <w:color w:val="595959" w:themeColor="text1" w:themeTint="A6"/>
        </w:rPr>
        <w:t>Part of the ISEP design could include innovative approaches to long standing problems facing Indigenous jobseekers. Such approaches could be developed within the specific contexts of local Indigenous communities, and in collaboration with and through co-design solutions involving Aboriginal Community Controlled Organisations (ACCOs) and other community representatives.</w:t>
      </w:r>
    </w:p>
    <w:p w14:paraId="31E17113" w14:textId="77777777" w:rsidR="008B1290" w:rsidRPr="0093006A" w:rsidRDefault="008B1290" w:rsidP="00D5211A">
      <w:pPr>
        <w:spacing w:after="120"/>
        <w:textDirection w:val="btLr"/>
        <w:rPr>
          <w:color w:val="595959" w:themeColor="text1" w:themeTint="A6"/>
        </w:rPr>
      </w:pPr>
    </w:p>
    <w:p w14:paraId="1FED9ABB" w14:textId="459B7150" w:rsidR="009D5F15" w:rsidRPr="0093006A" w:rsidRDefault="009D5F15" w:rsidP="00D22BAA">
      <w:pPr>
        <w:spacing w:after="120"/>
        <w:rPr>
          <w:b/>
          <w:bCs/>
          <w:i/>
          <w:iCs/>
          <w:color w:val="595959" w:themeColor="text1" w:themeTint="A6"/>
        </w:rPr>
      </w:pPr>
      <w:r w:rsidRPr="0093006A">
        <w:rPr>
          <w:b/>
          <w:bCs/>
          <w:i/>
          <w:iCs/>
          <w:color w:val="595959" w:themeColor="text1" w:themeTint="A6"/>
        </w:rPr>
        <w:t>Place-based approach</w:t>
      </w:r>
    </w:p>
    <w:p w14:paraId="0289E779" w14:textId="09B601A9" w:rsidR="00D22BAA" w:rsidRPr="0093006A" w:rsidRDefault="00D22BAA" w:rsidP="00D22BAA">
      <w:pPr>
        <w:spacing w:after="120"/>
        <w:textDirection w:val="btLr"/>
        <w:rPr>
          <w:color w:val="595959" w:themeColor="text1" w:themeTint="A6"/>
          <w:sz w:val="24"/>
          <w:szCs w:val="24"/>
        </w:rPr>
      </w:pPr>
      <w:r w:rsidRPr="0093006A">
        <w:rPr>
          <w:b/>
          <w:color w:val="595959" w:themeColor="text1" w:themeTint="A6"/>
          <w:sz w:val="24"/>
          <w:szCs w:val="24"/>
        </w:rPr>
        <w:t xml:space="preserve">Insight </w:t>
      </w:r>
      <w:r w:rsidR="009C650D" w:rsidRPr="0093006A">
        <w:rPr>
          <w:b/>
          <w:color w:val="595959" w:themeColor="text1" w:themeTint="A6"/>
          <w:sz w:val="24"/>
          <w:szCs w:val="24"/>
        </w:rPr>
        <w:t>4</w:t>
      </w:r>
      <w:r w:rsidRPr="0093006A">
        <w:rPr>
          <w:b/>
          <w:color w:val="595959" w:themeColor="text1" w:themeTint="A6"/>
          <w:sz w:val="24"/>
          <w:szCs w:val="24"/>
        </w:rPr>
        <w:t xml:space="preserve">: </w:t>
      </w:r>
      <w:r w:rsidR="00473D88" w:rsidRPr="0093006A">
        <w:rPr>
          <w:b/>
          <w:color w:val="595959" w:themeColor="text1" w:themeTint="A6"/>
          <w:sz w:val="24"/>
          <w:szCs w:val="24"/>
        </w:rPr>
        <w:t xml:space="preserve">The </w:t>
      </w:r>
      <w:r w:rsidRPr="0093006A">
        <w:rPr>
          <w:b/>
          <w:color w:val="595959" w:themeColor="text1" w:themeTint="A6"/>
          <w:sz w:val="24"/>
          <w:szCs w:val="24"/>
        </w:rPr>
        <w:t xml:space="preserve">ISEP </w:t>
      </w:r>
      <w:r w:rsidR="00F02724" w:rsidRPr="0093006A">
        <w:rPr>
          <w:b/>
          <w:color w:val="595959" w:themeColor="text1" w:themeTint="A6"/>
          <w:sz w:val="24"/>
          <w:szCs w:val="24"/>
        </w:rPr>
        <w:t>should</w:t>
      </w:r>
      <w:r w:rsidRPr="0093006A">
        <w:rPr>
          <w:b/>
          <w:color w:val="595959" w:themeColor="text1" w:themeTint="A6"/>
          <w:sz w:val="24"/>
          <w:szCs w:val="24"/>
        </w:rPr>
        <w:t xml:space="preserve"> be flexible, place-based, community-led and client-focused</w:t>
      </w:r>
      <w:r w:rsidR="00F02724" w:rsidRPr="0093006A">
        <w:rPr>
          <w:b/>
          <w:color w:val="595959" w:themeColor="text1" w:themeTint="A6"/>
          <w:sz w:val="24"/>
          <w:szCs w:val="24"/>
        </w:rPr>
        <w:t>.</w:t>
      </w:r>
    </w:p>
    <w:p w14:paraId="4209A701" w14:textId="77777777" w:rsidR="00D5211A" w:rsidRPr="0093006A" w:rsidRDefault="00D5211A" w:rsidP="00D5211A">
      <w:pPr>
        <w:spacing w:after="120"/>
        <w:rPr>
          <w:b/>
          <w:bCs/>
          <w:color w:val="595959" w:themeColor="text1" w:themeTint="A6"/>
        </w:rPr>
      </w:pPr>
      <w:r w:rsidRPr="0093006A">
        <w:rPr>
          <w:color w:val="595959" w:themeColor="text1" w:themeTint="A6"/>
        </w:rPr>
        <w:t xml:space="preserve">The ISEP should be flexible, support local approaches, and avoid ‘one size fits all’ funding arrangements. Within the context of the </w:t>
      </w:r>
      <w:r w:rsidRPr="0093006A">
        <w:rPr>
          <w:i/>
          <w:iCs/>
          <w:color w:val="595959" w:themeColor="text1" w:themeTint="A6"/>
        </w:rPr>
        <w:t>National Agreement on Closing the Gap</w:t>
      </w:r>
      <w:r w:rsidRPr="0093006A">
        <w:rPr>
          <w:color w:val="595959" w:themeColor="text1" w:themeTint="A6"/>
        </w:rPr>
        <w:t>, participants emphasised the importance of NIAA undertaking collaboration on community-led and -designed solutions to achieve outcomes for Indigenous jobseekers appropriate to specific cultural and regional contexts.</w:t>
      </w:r>
    </w:p>
    <w:p w14:paraId="517A8BE5" w14:textId="3D29E337" w:rsidR="00D5211A" w:rsidRPr="0093006A" w:rsidRDefault="009D5F15" w:rsidP="00D5211A">
      <w:pPr>
        <w:spacing w:after="120"/>
        <w:rPr>
          <w:b/>
          <w:bCs/>
          <w:color w:val="595959" w:themeColor="text1" w:themeTint="A6"/>
        </w:rPr>
      </w:pPr>
      <w:r w:rsidRPr="0093006A">
        <w:rPr>
          <w:b/>
          <w:color w:val="595959" w:themeColor="text1" w:themeTint="A6"/>
          <w:sz w:val="24"/>
          <w:szCs w:val="24"/>
        </w:rPr>
        <w:t xml:space="preserve">Insight 5: </w:t>
      </w:r>
      <w:r w:rsidR="00D5211A" w:rsidRPr="0093006A">
        <w:rPr>
          <w:b/>
          <w:bCs/>
          <w:color w:val="595959" w:themeColor="text1" w:themeTint="A6"/>
          <w:sz w:val="24"/>
          <w:szCs w:val="24"/>
        </w:rPr>
        <w:t>The ISEP should promote local, place-based training that is reflective of specific social, cultural, and economic characteristics of the regions</w:t>
      </w:r>
      <w:r w:rsidR="00D5211A" w:rsidRPr="0093006A">
        <w:rPr>
          <w:color w:val="595959" w:themeColor="text1" w:themeTint="A6"/>
        </w:rPr>
        <w:t xml:space="preserve"> </w:t>
      </w:r>
    </w:p>
    <w:p w14:paraId="6555C215" w14:textId="77777777" w:rsidR="00D5211A" w:rsidRPr="0093006A" w:rsidRDefault="00D5211A" w:rsidP="00D5211A">
      <w:pPr>
        <w:spacing w:after="120"/>
        <w:rPr>
          <w:b/>
          <w:bCs/>
          <w:color w:val="595959" w:themeColor="text1" w:themeTint="A6"/>
        </w:rPr>
      </w:pPr>
      <w:r w:rsidRPr="0093006A">
        <w:rPr>
          <w:color w:val="595959" w:themeColor="text1" w:themeTint="A6"/>
        </w:rPr>
        <w:t>Employment programs under the ISEP should incorporate culturally specific training and education pathways that reflect the community in which they are based. This includes flexibility around how services are delivered, linkages to employment opportunities in the region,  support services delivered in language appropriate to the community, and increased funding to provide ongoing assistance beyond the current standard of 26-weeks.</w:t>
      </w:r>
    </w:p>
    <w:p w14:paraId="430FFA51" w14:textId="62545AD5" w:rsidR="008E3B89" w:rsidRPr="0093006A" w:rsidRDefault="008E3B89" w:rsidP="00D5211A">
      <w:pPr>
        <w:spacing w:after="120"/>
        <w:textDirection w:val="btLr"/>
        <w:rPr>
          <w:color w:val="595959" w:themeColor="text1" w:themeTint="A6"/>
          <w:sz w:val="24"/>
          <w:szCs w:val="24"/>
        </w:rPr>
      </w:pPr>
      <w:r w:rsidRPr="0093006A">
        <w:rPr>
          <w:b/>
          <w:color w:val="595959" w:themeColor="text1" w:themeTint="A6"/>
          <w:sz w:val="24"/>
          <w:szCs w:val="24"/>
        </w:rPr>
        <w:t xml:space="preserve">Insight </w:t>
      </w:r>
      <w:r w:rsidR="00892B45" w:rsidRPr="0093006A">
        <w:rPr>
          <w:b/>
          <w:color w:val="595959" w:themeColor="text1" w:themeTint="A6"/>
          <w:sz w:val="24"/>
          <w:szCs w:val="24"/>
        </w:rPr>
        <w:t>7</w:t>
      </w:r>
      <w:r w:rsidRPr="0093006A">
        <w:rPr>
          <w:b/>
          <w:color w:val="595959" w:themeColor="text1" w:themeTint="A6"/>
          <w:sz w:val="24"/>
          <w:szCs w:val="24"/>
        </w:rPr>
        <w:t xml:space="preserve">: The ISEP </w:t>
      </w:r>
      <w:r w:rsidR="00DF4609" w:rsidRPr="0093006A">
        <w:rPr>
          <w:b/>
          <w:color w:val="595959" w:themeColor="text1" w:themeTint="A6"/>
          <w:sz w:val="24"/>
          <w:szCs w:val="24"/>
        </w:rPr>
        <w:t>should</w:t>
      </w:r>
      <w:r w:rsidRPr="0093006A">
        <w:rPr>
          <w:b/>
          <w:color w:val="595959" w:themeColor="text1" w:themeTint="A6"/>
          <w:sz w:val="24"/>
          <w:szCs w:val="24"/>
        </w:rPr>
        <w:t xml:space="preserve"> recognise that structural challenges exist in remote communities that impede </w:t>
      </w:r>
      <w:r w:rsidR="00D5211A" w:rsidRPr="0093006A">
        <w:rPr>
          <w:b/>
          <w:color w:val="595959" w:themeColor="text1" w:themeTint="A6"/>
          <w:sz w:val="24"/>
          <w:szCs w:val="24"/>
        </w:rPr>
        <w:t xml:space="preserve">the growth of </w:t>
      </w:r>
      <w:r w:rsidRPr="0093006A">
        <w:rPr>
          <w:b/>
          <w:color w:val="595959" w:themeColor="text1" w:themeTint="A6"/>
          <w:sz w:val="24"/>
          <w:szCs w:val="24"/>
        </w:rPr>
        <w:t>local jobs markets.</w:t>
      </w:r>
    </w:p>
    <w:p w14:paraId="170AEAE5" w14:textId="77777777" w:rsidR="00D5211A" w:rsidRPr="0093006A" w:rsidRDefault="00D5211A" w:rsidP="00D5211A">
      <w:pPr>
        <w:spacing w:after="120"/>
        <w:rPr>
          <w:b/>
          <w:bCs/>
          <w:color w:val="595959" w:themeColor="text1" w:themeTint="A6"/>
        </w:rPr>
      </w:pPr>
      <w:r w:rsidRPr="0093006A">
        <w:rPr>
          <w:color w:val="595959" w:themeColor="text1" w:themeTint="A6"/>
        </w:rPr>
        <w:t>Some remote communities may lack a genuine local economy. A responsive, flexibly designed ISEP that allows for local solutions could address these structural challenges in innovative ways that are community led and supported by industry and government.</w:t>
      </w:r>
    </w:p>
    <w:p w14:paraId="7B9731CE" w14:textId="1A7E0A50" w:rsidR="008B1290" w:rsidRPr="0093006A" w:rsidRDefault="008B1290" w:rsidP="008E3B89">
      <w:pPr>
        <w:spacing w:after="120"/>
        <w:textDirection w:val="btLr"/>
        <w:rPr>
          <w:b/>
          <w:bCs/>
          <w:i/>
          <w:iCs/>
          <w:color w:val="595959" w:themeColor="text1" w:themeTint="A6"/>
        </w:rPr>
      </w:pPr>
    </w:p>
    <w:p w14:paraId="705E627F" w14:textId="77777777" w:rsidR="00937ED9" w:rsidRPr="0093006A" w:rsidRDefault="00937ED9" w:rsidP="008E3B89">
      <w:pPr>
        <w:spacing w:after="120"/>
        <w:textDirection w:val="btLr"/>
        <w:rPr>
          <w:b/>
          <w:bCs/>
          <w:i/>
          <w:iCs/>
          <w:color w:val="595959" w:themeColor="text1" w:themeTint="A6"/>
        </w:rPr>
      </w:pPr>
    </w:p>
    <w:p w14:paraId="3EBD555B" w14:textId="34032E12" w:rsidR="008851DF" w:rsidRPr="0093006A" w:rsidRDefault="008851DF" w:rsidP="008E3B89">
      <w:pPr>
        <w:spacing w:after="120"/>
        <w:textDirection w:val="btLr"/>
        <w:rPr>
          <w:b/>
          <w:bCs/>
          <w:i/>
          <w:iCs/>
          <w:color w:val="595959" w:themeColor="text1" w:themeTint="A6"/>
        </w:rPr>
      </w:pPr>
      <w:r w:rsidRPr="0093006A">
        <w:rPr>
          <w:b/>
          <w:bCs/>
          <w:i/>
          <w:iCs/>
          <w:color w:val="595959" w:themeColor="text1" w:themeTint="A6"/>
        </w:rPr>
        <w:t xml:space="preserve">Co-designed and </w:t>
      </w:r>
      <w:r w:rsidR="00F059F3" w:rsidRPr="0093006A">
        <w:rPr>
          <w:b/>
          <w:bCs/>
          <w:i/>
          <w:iCs/>
          <w:color w:val="595959" w:themeColor="text1" w:themeTint="A6"/>
        </w:rPr>
        <w:t>c</w:t>
      </w:r>
      <w:r w:rsidRPr="0093006A">
        <w:rPr>
          <w:b/>
          <w:bCs/>
          <w:i/>
          <w:iCs/>
          <w:color w:val="595959" w:themeColor="text1" w:themeTint="A6"/>
        </w:rPr>
        <w:t xml:space="preserve">ommunity-led approaches </w:t>
      </w:r>
    </w:p>
    <w:p w14:paraId="58F34A14" w14:textId="3ED660AA" w:rsidR="008851DF" w:rsidRPr="0093006A" w:rsidRDefault="008851DF" w:rsidP="008851DF">
      <w:pPr>
        <w:spacing w:after="120"/>
        <w:textDirection w:val="btLr"/>
        <w:rPr>
          <w:color w:val="595959" w:themeColor="text1" w:themeTint="A6"/>
          <w:sz w:val="24"/>
          <w:szCs w:val="24"/>
        </w:rPr>
      </w:pPr>
      <w:r w:rsidRPr="0093006A">
        <w:rPr>
          <w:b/>
          <w:color w:val="595959" w:themeColor="text1" w:themeTint="A6"/>
          <w:sz w:val="24"/>
          <w:szCs w:val="24"/>
        </w:rPr>
        <w:t xml:space="preserve">Insight </w:t>
      </w:r>
      <w:r w:rsidR="009C650D" w:rsidRPr="0093006A">
        <w:rPr>
          <w:b/>
          <w:color w:val="595959" w:themeColor="text1" w:themeTint="A6"/>
          <w:sz w:val="24"/>
          <w:szCs w:val="24"/>
        </w:rPr>
        <w:t>1</w:t>
      </w:r>
      <w:r w:rsidR="00892B45" w:rsidRPr="0093006A">
        <w:rPr>
          <w:b/>
          <w:color w:val="595959" w:themeColor="text1" w:themeTint="A6"/>
          <w:sz w:val="24"/>
          <w:szCs w:val="24"/>
        </w:rPr>
        <w:t>0</w:t>
      </w:r>
      <w:r w:rsidRPr="0093006A">
        <w:rPr>
          <w:b/>
          <w:color w:val="595959" w:themeColor="text1" w:themeTint="A6"/>
          <w:sz w:val="24"/>
          <w:szCs w:val="24"/>
        </w:rPr>
        <w:t>: The ISEP design and implementation should include Indigenous Australians and communities as co-designers and partners in specific local contexts.</w:t>
      </w:r>
    </w:p>
    <w:p w14:paraId="15E9894E" w14:textId="476C5AAB" w:rsidR="00D5211A" w:rsidRPr="0093006A" w:rsidRDefault="00D5211A" w:rsidP="008851DF">
      <w:pPr>
        <w:spacing w:after="120"/>
        <w:textDirection w:val="btLr"/>
        <w:rPr>
          <w:color w:val="595959" w:themeColor="text1" w:themeTint="A6"/>
        </w:rPr>
      </w:pPr>
      <w:r w:rsidRPr="0093006A">
        <w:rPr>
          <w:color w:val="595959" w:themeColor="text1" w:themeTint="A6"/>
        </w:rPr>
        <w:t>For the ISEP to achieve success, Indigenous Australians and organisations need to be in deep collaboration with government and decision-makers at the local level. Increased funding for ongoing service provision that recognises local and cultural contexts regarding employment, training and relationships between industry and government was considered vital by stakeholders.</w:t>
      </w:r>
    </w:p>
    <w:p w14:paraId="57524229" w14:textId="4343C0B3" w:rsidR="00D5211A" w:rsidRPr="0093006A" w:rsidRDefault="008851DF" w:rsidP="00D5211A">
      <w:pPr>
        <w:spacing w:after="120"/>
        <w:textDirection w:val="btLr"/>
        <w:rPr>
          <w:b/>
          <w:bCs/>
          <w:color w:val="595959" w:themeColor="text1" w:themeTint="A6"/>
        </w:rPr>
      </w:pPr>
      <w:r w:rsidRPr="0093006A">
        <w:rPr>
          <w:b/>
          <w:color w:val="595959" w:themeColor="text1" w:themeTint="A6"/>
          <w:sz w:val="24"/>
          <w:szCs w:val="24"/>
        </w:rPr>
        <w:t xml:space="preserve">Insight </w:t>
      </w:r>
      <w:r w:rsidR="009C650D" w:rsidRPr="0093006A">
        <w:rPr>
          <w:b/>
          <w:color w:val="595959" w:themeColor="text1" w:themeTint="A6"/>
          <w:sz w:val="24"/>
          <w:szCs w:val="24"/>
        </w:rPr>
        <w:t>3</w:t>
      </w:r>
      <w:r w:rsidRPr="0093006A">
        <w:rPr>
          <w:b/>
          <w:color w:val="595959" w:themeColor="text1" w:themeTint="A6"/>
          <w:sz w:val="24"/>
          <w:szCs w:val="24"/>
        </w:rPr>
        <w:t xml:space="preserve">: </w:t>
      </w:r>
      <w:r w:rsidR="00D5211A" w:rsidRPr="0093006A">
        <w:rPr>
          <w:b/>
          <w:bCs/>
          <w:color w:val="595959" w:themeColor="text1" w:themeTint="A6"/>
          <w:sz w:val="24"/>
          <w:szCs w:val="24"/>
        </w:rPr>
        <w:t>The ISEP should be flexible, designed from the community-level up and able to respond to regional needs</w:t>
      </w:r>
      <w:r w:rsidR="00D5211A" w:rsidRPr="0093006A">
        <w:rPr>
          <w:color w:val="595959" w:themeColor="text1" w:themeTint="A6"/>
        </w:rPr>
        <w:t xml:space="preserve"> </w:t>
      </w:r>
    </w:p>
    <w:p w14:paraId="09C10D58" w14:textId="77777777" w:rsidR="00D5211A" w:rsidRPr="0093006A" w:rsidRDefault="00D5211A" w:rsidP="00D5211A">
      <w:pPr>
        <w:spacing w:after="120"/>
        <w:rPr>
          <w:b/>
          <w:bCs/>
          <w:color w:val="595959" w:themeColor="text1" w:themeTint="A6"/>
        </w:rPr>
      </w:pPr>
      <w:r w:rsidRPr="0093006A">
        <w:rPr>
          <w:color w:val="595959" w:themeColor="text1" w:themeTint="A6"/>
        </w:rPr>
        <w:t>Allowing for greater flexibility in program design to support local and regional solutions designed with and by Indigenous communities is essential in addressing impediments to Indigenous employment. The ISEP should allow for the ability to incorporate collaborative approaches to provide supports at the local level for Indigenous jobseekers, and for issues pertinent to specific regions – including key cohorts that need extra assistance – to be addressed in collaboration with ACCOs, government and employers to ensure local solutions are created and supported.</w:t>
      </w:r>
    </w:p>
    <w:p w14:paraId="7E0710E0" w14:textId="5EF3280D" w:rsidR="008851DF" w:rsidRPr="0093006A" w:rsidRDefault="008851DF" w:rsidP="00D5211A">
      <w:pPr>
        <w:spacing w:after="120"/>
        <w:textDirection w:val="btLr"/>
        <w:rPr>
          <w:color w:val="595959" w:themeColor="text1" w:themeTint="A6"/>
          <w:sz w:val="24"/>
          <w:szCs w:val="24"/>
        </w:rPr>
      </w:pPr>
      <w:r w:rsidRPr="0093006A">
        <w:rPr>
          <w:b/>
          <w:color w:val="595959" w:themeColor="text1" w:themeTint="A6"/>
          <w:sz w:val="24"/>
          <w:szCs w:val="24"/>
        </w:rPr>
        <w:t>Insight 1</w:t>
      </w:r>
      <w:r w:rsidR="00892B45" w:rsidRPr="0093006A">
        <w:rPr>
          <w:b/>
          <w:color w:val="595959" w:themeColor="text1" w:themeTint="A6"/>
          <w:sz w:val="24"/>
          <w:szCs w:val="24"/>
        </w:rPr>
        <w:t>5</w:t>
      </w:r>
      <w:r w:rsidRPr="0093006A">
        <w:rPr>
          <w:b/>
          <w:color w:val="595959" w:themeColor="text1" w:themeTint="A6"/>
          <w:sz w:val="24"/>
          <w:szCs w:val="24"/>
        </w:rPr>
        <w:t>: Indigenous community-led definition</w:t>
      </w:r>
      <w:r w:rsidR="00C17B63" w:rsidRPr="0093006A">
        <w:rPr>
          <w:b/>
          <w:color w:val="595959" w:themeColor="text1" w:themeTint="A6"/>
          <w:sz w:val="24"/>
          <w:szCs w:val="24"/>
        </w:rPr>
        <w:t>s</w:t>
      </w:r>
      <w:r w:rsidRPr="0093006A">
        <w:rPr>
          <w:b/>
          <w:color w:val="595959" w:themeColor="text1" w:themeTint="A6"/>
          <w:sz w:val="24"/>
          <w:szCs w:val="24"/>
        </w:rPr>
        <w:t xml:space="preserve"> of local viewed as key to the ISEP success.</w:t>
      </w:r>
    </w:p>
    <w:p w14:paraId="701F5476" w14:textId="77777777" w:rsidR="008851DF" w:rsidRPr="0093006A" w:rsidRDefault="008851DF" w:rsidP="008851DF">
      <w:pPr>
        <w:spacing w:after="120"/>
        <w:textDirection w:val="btLr"/>
        <w:rPr>
          <w:color w:val="595959" w:themeColor="text1" w:themeTint="A6"/>
        </w:rPr>
      </w:pPr>
      <w:r w:rsidRPr="0093006A">
        <w:rPr>
          <w:color w:val="595959" w:themeColor="text1" w:themeTint="A6"/>
        </w:rPr>
        <w:t>What was considered ‘local’ for Indigenous communities, ACCOs, and Traditional Owner groups may look very different to the regional approach of both mainstream employers and government. The former’s conception of community and locality should have primary choice in the construction of service delivery boundaries.</w:t>
      </w:r>
    </w:p>
    <w:p w14:paraId="07D3CB27" w14:textId="7CF83311" w:rsidR="008851DF" w:rsidRPr="0093006A" w:rsidRDefault="008851DF" w:rsidP="008851DF">
      <w:pPr>
        <w:spacing w:after="120"/>
        <w:textDirection w:val="btLr"/>
        <w:rPr>
          <w:color w:val="595959" w:themeColor="text1" w:themeTint="A6"/>
        </w:rPr>
      </w:pPr>
    </w:p>
    <w:p w14:paraId="5B57E6B1" w14:textId="77777777" w:rsidR="00FE025C" w:rsidRPr="0093006A" w:rsidRDefault="00FE025C" w:rsidP="00FE025C">
      <w:pPr>
        <w:spacing w:after="120"/>
        <w:textDirection w:val="btLr"/>
        <w:rPr>
          <w:b/>
          <w:bCs/>
          <w:i/>
          <w:iCs/>
          <w:color w:val="595959" w:themeColor="text1" w:themeTint="A6"/>
        </w:rPr>
      </w:pPr>
      <w:r w:rsidRPr="0093006A">
        <w:rPr>
          <w:b/>
          <w:bCs/>
          <w:i/>
          <w:iCs/>
          <w:color w:val="595959" w:themeColor="text1" w:themeTint="A6"/>
        </w:rPr>
        <w:t xml:space="preserve">Flexibility </w:t>
      </w:r>
    </w:p>
    <w:p w14:paraId="291FBBF4" w14:textId="740818D3" w:rsidR="00C17B63" w:rsidRPr="0093006A" w:rsidRDefault="00FE025C" w:rsidP="00C17B63">
      <w:pPr>
        <w:spacing w:after="120"/>
        <w:textDirection w:val="btLr"/>
        <w:rPr>
          <w:b/>
          <w:bCs/>
          <w:color w:val="595959" w:themeColor="text1" w:themeTint="A6"/>
        </w:rPr>
      </w:pPr>
      <w:r w:rsidRPr="0093006A">
        <w:rPr>
          <w:b/>
          <w:color w:val="595959" w:themeColor="text1" w:themeTint="A6"/>
          <w:sz w:val="24"/>
          <w:szCs w:val="24"/>
        </w:rPr>
        <w:t xml:space="preserve">Insight </w:t>
      </w:r>
      <w:r w:rsidR="00892B45" w:rsidRPr="0093006A">
        <w:rPr>
          <w:b/>
          <w:color w:val="595959" w:themeColor="text1" w:themeTint="A6"/>
          <w:sz w:val="24"/>
          <w:szCs w:val="24"/>
        </w:rPr>
        <w:t>9</w:t>
      </w:r>
      <w:r w:rsidRPr="0093006A">
        <w:rPr>
          <w:b/>
          <w:color w:val="595959" w:themeColor="text1" w:themeTint="A6"/>
          <w:sz w:val="24"/>
          <w:szCs w:val="24"/>
        </w:rPr>
        <w:t xml:space="preserve">: </w:t>
      </w:r>
      <w:r w:rsidR="00C17B63" w:rsidRPr="0093006A">
        <w:rPr>
          <w:b/>
          <w:bCs/>
          <w:color w:val="595959" w:themeColor="text1" w:themeTint="A6"/>
          <w:sz w:val="24"/>
          <w:szCs w:val="24"/>
        </w:rPr>
        <w:t>The ISEP should invest in local ACCOs and Indigenous-specific employment services through flexible and accessible funding arrangements</w:t>
      </w:r>
      <w:r w:rsidR="00C17B63" w:rsidRPr="0093006A">
        <w:rPr>
          <w:color w:val="595959" w:themeColor="text1" w:themeTint="A6"/>
        </w:rPr>
        <w:t xml:space="preserve"> </w:t>
      </w:r>
    </w:p>
    <w:p w14:paraId="379BC1A2" w14:textId="7FD82FCD" w:rsidR="00C17B63" w:rsidRPr="0093006A" w:rsidRDefault="00C17B63" w:rsidP="00C17B63">
      <w:pPr>
        <w:spacing w:after="120"/>
        <w:textDirection w:val="btLr"/>
        <w:rPr>
          <w:color w:val="595959" w:themeColor="text1" w:themeTint="A6"/>
          <w:sz w:val="24"/>
          <w:szCs w:val="24"/>
        </w:rPr>
      </w:pPr>
      <w:r w:rsidRPr="0093006A">
        <w:rPr>
          <w:color w:val="595959" w:themeColor="text1" w:themeTint="A6"/>
        </w:rPr>
        <w:t xml:space="preserve">Local ACCOs and Indigenous specific employment services </w:t>
      </w:r>
      <w:r w:rsidR="00DF4609" w:rsidRPr="0093006A">
        <w:rPr>
          <w:color w:val="595959" w:themeColor="text1" w:themeTint="A6"/>
        </w:rPr>
        <w:t>should</w:t>
      </w:r>
      <w:r w:rsidRPr="0093006A">
        <w:rPr>
          <w:color w:val="595959" w:themeColor="text1" w:themeTint="A6"/>
        </w:rPr>
        <w:t xml:space="preserve"> be the key mechanism (or conduit) for the delivery of the ISEP. Further resourcing of ACCOs and local Indigenous employment services would result in strengthening of relationships between Indigenous communities, employers, service providers, and government in locally and culturally specific ways</w:t>
      </w:r>
    </w:p>
    <w:p w14:paraId="2DF29E66" w14:textId="75D2DB30" w:rsidR="00C17B63" w:rsidRPr="0093006A" w:rsidRDefault="009C650D" w:rsidP="00C17B63">
      <w:pPr>
        <w:spacing w:after="120"/>
        <w:textDirection w:val="btLr"/>
        <w:rPr>
          <w:b/>
          <w:bCs/>
          <w:color w:val="595959" w:themeColor="text1" w:themeTint="A6"/>
        </w:rPr>
      </w:pPr>
      <w:r w:rsidRPr="0093006A">
        <w:rPr>
          <w:b/>
          <w:color w:val="595959" w:themeColor="text1" w:themeTint="A6"/>
          <w:sz w:val="24"/>
          <w:szCs w:val="24"/>
        </w:rPr>
        <w:t xml:space="preserve">Insight </w:t>
      </w:r>
      <w:r w:rsidR="00892B45" w:rsidRPr="0093006A">
        <w:rPr>
          <w:b/>
          <w:color w:val="595959" w:themeColor="text1" w:themeTint="A6"/>
          <w:sz w:val="24"/>
          <w:szCs w:val="24"/>
        </w:rPr>
        <w:t>12</w:t>
      </w:r>
      <w:r w:rsidRPr="0093006A">
        <w:rPr>
          <w:b/>
          <w:color w:val="595959" w:themeColor="text1" w:themeTint="A6"/>
          <w:sz w:val="24"/>
          <w:szCs w:val="24"/>
        </w:rPr>
        <w:t xml:space="preserve">: </w:t>
      </w:r>
      <w:r w:rsidR="00C17B63" w:rsidRPr="0093006A">
        <w:rPr>
          <w:b/>
          <w:bCs/>
          <w:color w:val="595959" w:themeColor="text1" w:themeTint="A6"/>
          <w:sz w:val="24"/>
          <w:szCs w:val="24"/>
        </w:rPr>
        <w:t>The ISEP could address the future for Indigenous employment through a lens of social, structural and strategic approaches to deliver outcomes as well as ensuring flexibility in program design to respond to non-homogenous requirements at the local and regional levels</w:t>
      </w:r>
      <w:r w:rsidR="00C17B63" w:rsidRPr="0093006A">
        <w:rPr>
          <w:b/>
          <w:bCs/>
          <w:color w:val="595959" w:themeColor="text1" w:themeTint="A6"/>
        </w:rPr>
        <w:t xml:space="preserve"> </w:t>
      </w:r>
    </w:p>
    <w:p w14:paraId="4FB38DB0" w14:textId="77777777" w:rsidR="00C17B63" w:rsidRPr="0093006A" w:rsidRDefault="00C17B63" w:rsidP="00C17B63">
      <w:pPr>
        <w:spacing w:after="120"/>
        <w:textDirection w:val="btLr"/>
        <w:rPr>
          <w:b/>
          <w:bCs/>
          <w:color w:val="595959" w:themeColor="text1" w:themeTint="A6"/>
        </w:rPr>
      </w:pPr>
      <w:r w:rsidRPr="0093006A">
        <w:rPr>
          <w:color w:val="595959" w:themeColor="text1" w:themeTint="A6"/>
        </w:rPr>
        <w:t>The ISEP should allow for the ability for address social, structural and strategic issues and opportunities in a flexible way to allow for place-based responses that can adapt to the specific requirements for a particular community or region.</w:t>
      </w:r>
    </w:p>
    <w:p w14:paraId="398A29CC" w14:textId="750A4809" w:rsidR="009C650D" w:rsidRPr="0093006A" w:rsidRDefault="009C650D" w:rsidP="00C17B63">
      <w:pPr>
        <w:spacing w:after="120"/>
        <w:textDirection w:val="btLr"/>
        <w:rPr>
          <w:color w:val="595959" w:themeColor="text1" w:themeTint="A6"/>
        </w:rPr>
      </w:pPr>
    </w:p>
    <w:p w14:paraId="7AA22450" w14:textId="77777777" w:rsidR="00760EA8" w:rsidRPr="0093006A" w:rsidRDefault="00760EA8">
      <w:pPr>
        <w:rPr>
          <w:b/>
          <w:color w:val="595959" w:themeColor="text1" w:themeTint="A6"/>
          <w:sz w:val="24"/>
          <w:szCs w:val="24"/>
        </w:rPr>
      </w:pPr>
      <w:r w:rsidRPr="0093006A">
        <w:rPr>
          <w:b/>
          <w:color w:val="595959" w:themeColor="text1" w:themeTint="A6"/>
          <w:sz w:val="24"/>
          <w:szCs w:val="24"/>
        </w:rPr>
        <w:br w:type="page"/>
      </w:r>
    </w:p>
    <w:p w14:paraId="0417CC30" w14:textId="1AC3886C" w:rsidR="008851DF" w:rsidRPr="0093006A" w:rsidRDefault="008851DF" w:rsidP="008851DF">
      <w:pPr>
        <w:spacing w:after="120"/>
        <w:textDirection w:val="btLr"/>
        <w:rPr>
          <w:b/>
          <w:bCs/>
          <w:i/>
          <w:iCs/>
          <w:color w:val="595959" w:themeColor="text1" w:themeTint="A6"/>
        </w:rPr>
      </w:pPr>
      <w:r w:rsidRPr="0093006A">
        <w:rPr>
          <w:b/>
          <w:bCs/>
          <w:i/>
          <w:iCs/>
          <w:color w:val="595959" w:themeColor="text1" w:themeTint="A6"/>
        </w:rPr>
        <w:t>Workplace safety</w:t>
      </w:r>
    </w:p>
    <w:p w14:paraId="3D30AF2B" w14:textId="5BA67F0F" w:rsidR="00C17B63" w:rsidRPr="0093006A" w:rsidRDefault="00D22BAA" w:rsidP="00C17B63">
      <w:pPr>
        <w:spacing w:after="120"/>
        <w:textDirection w:val="btLr"/>
        <w:rPr>
          <w:b/>
          <w:bCs/>
          <w:color w:val="595959" w:themeColor="text1" w:themeTint="A6"/>
          <w:sz w:val="24"/>
          <w:szCs w:val="24"/>
        </w:rPr>
      </w:pPr>
      <w:r w:rsidRPr="0093006A">
        <w:rPr>
          <w:b/>
          <w:color w:val="595959" w:themeColor="text1" w:themeTint="A6"/>
          <w:sz w:val="24"/>
          <w:szCs w:val="24"/>
        </w:rPr>
        <w:t xml:space="preserve">Insight </w:t>
      </w:r>
      <w:r w:rsidR="00892B45" w:rsidRPr="0093006A">
        <w:rPr>
          <w:b/>
          <w:color w:val="595959" w:themeColor="text1" w:themeTint="A6"/>
          <w:sz w:val="24"/>
          <w:szCs w:val="24"/>
        </w:rPr>
        <w:t>6</w:t>
      </w:r>
      <w:r w:rsidRPr="0093006A">
        <w:rPr>
          <w:b/>
          <w:color w:val="595959" w:themeColor="text1" w:themeTint="A6"/>
          <w:sz w:val="24"/>
          <w:szCs w:val="24"/>
        </w:rPr>
        <w:t xml:space="preserve">: </w:t>
      </w:r>
      <w:r w:rsidR="00C17B63" w:rsidRPr="0093006A">
        <w:rPr>
          <w:b/>
          <w:bCs/>
          <w:color w:val="595959" w:themeColor="text1" w:themeTint="A6"/>
          <w:sz w:val="24"/>
          <w:szCs w:val="24"/>
        </w:rPr>
        <w:t xml:space="preserve">Ensuring and positively obligating cultural safety in the workplace </w:t>
      </w:r>
      <w:r w:rsidR="00DF4609" w:rsidRPr="0093006A">
        <w:rPr>
          <w:b/>
          <w:bCs/>
          <w:color w:val="595959" w:themeColor="text1" w:themeTint="A6"/>
          <w:sz w:val="24"/>
          <w:szCs w:val="24"/>
        </w:rPr>
        <w:t>should</w:t>
      </w:r>
      <w:r w:rsidR="00C17B63" w:rsidRPr="0093006A">
        <w:rPr>
          <w:b/>
          <w:bCs/>
          <w:color w:val="595959" w:themeColor="text1" w:themeTint="A6"/>
          <w:sz w:val="24"/>
          <w:szCs w:val="24"/>
        </w:rPr>
        <w:t xml:space="preserve"> be a critical feature of the ISEP</w:t>
      </w:r>
      <w:r w:rsidR="00C17B63" w:rsidRPr="0093006A">
        <w:rPr>
          <w:color w:val="595959" w:themeColor="text1" w:themeTint="A6"/>
          <w:sz w:val="24"/>
          <w:szCs w:val="24"/>
        </w:rPr>
        <w:t xml:space="preserve"> </w:t>
      </w:r>
    </w:p>
    <w:p w14:paraId="0FBCE5CE" w14:textId="0549FBB7" w:rsidR="00C17B63" w:rsidRPr="0093006A" w:rsidRDefault="00C17B63" w:rsidP="00C17B63">
      <w:pPr>
        <w:spacing w:after="120"/>
        <w:rPr>
          <w:b/>
          <w:bCs/>
          <w:color w:val="595959" w:themeColor="text1" w:themeTint="A6"/>
        </w:rPr>
      </w:pPr>
      <w:r w:rsidRPr="0093006A">
        <w:rPr>
          <w:color w:val="595959" w:themeColor="text1" w:themeTint="A6"/>
        </w:rPr>
        <w:t xml:space="preserve">Building cultural safety in the workplace is critical to successful outcomes of the new ISEP. This includes positive obligations on employers to make workplaces culturally safe, a view that was strongly expressed by industry leaders. </w:t>
      </w:r>
      <w:r w:rsidR="00DF4609" w:rsidRPr="0093006A">
        <w:rPr>
          <w:color w:val="595959" w:themeColor="text1" w:themeTint="A6"/>
        </w:rPr>
        <w:t>Stakeholders</w:t>
      </w:r>
      <w:r w:rsidRPr="0093006A">
        <w:rPr>
          <w:color w:val="595959" w:themeColor="text1" w:themeTint="A6"/>
        </w:rPr>
        <w:t xml:space="preserve"> agreed that ACCOs and Indigenous communities must play a key role in this and that employers require support, training, accreditation, and positive obligations to develop such measures within local Indigenous community contexts.</w:t>
      </w:r>
    </w:p>
    <w:p w14:paraId="18BA0C15" w14:textId="13C54D34" w:rsidR="00C17B63" w:rsidRPr="0093006A" w:rsidRDefault="008851DF" w:rsidP="00C17B63">
      <w:pPr>
        <w:spacing w:after="120"/>
        <w:textDirection w:val="btLr"/>
        <w:rPr>
          <w:b/>
          <w:bCs/>
          <w:color w:val="595959" w:themeColor="text1" w:themeTint="A6"/>
          <w:sz w:val="24"/>
          <w:szCs w:val="24"/>
        </w:rPr>
      </w:pPr>
      <w:r w:rsidRPr="0093006A">
        <w:rPr>
          <w:b/>
          <w:color w:val="595959" w:themeColor="text1" w:themeTint="A6"/>
          <w:sz w:val="24"/>
          <w:szCs w:val="24"/>
        </w:rPr>
        <w:t>Insight 1</w:t>
      </w:r>
      <w:r w:rsidR="00892B45" w:rsidRPr="0093006A">
        <w:rPr>
          <w:b/>
          <w:color w:val="595959" w:themeColor="text1" w:themeTint="A6"/>
          <w:sz w:val="24"/>
          <w:szCs w:val="24"/>
        </w:rPr>
        <w:t>4</w:t>
      </w:r>
      <w:r w:rsidRPr="0093006A">
        <w:rPr>
          <w:b/>
          <w:color w:val="595959" w:themeColor="text1" w:themeTint="A6"/>
          <w:sz w:val="24"/>
          <w:szCs w:val="24"/>
        </w:rPr>
        <w:t xml:space="preserve">: </w:t>
      </w:r>
      <w:r w:rsidR="00C17B63" w:rsidRPr="0093006A">
        <w:rPr>
          <w:b/>
          <w:bCs/>
          <w:color w:val="595959" w:themeColor="text1" w:themeTint="A6"/>
          <w:sz w:val="24"/>
          <w:szCs w:val="24"/>
        </w:rPr>
        <w:t xml:space="preserve">Culturally safe workplaces need to be ‘ready’ for Indigenous employees and encouraged and obligated through the ISEP and Federal Government mechanisms </w:t>
      </w:r>
    </w:p>
    <w:p w14:paraId="3258B27B" w14:textId="2F884227" w:rsidR="008851DF" w:rsidRPr="0093006A" w:rsidRDefault="00C17B63" w:rsidP="00C17B63">
      <w:pPr>
        <w:spacing w:after="120"/>
        <w:textDirection w:val="btLr"/>
        <w:rPr>
          <w:b/>
          <w:bCs/>
          <w:i/>
          <w:iCs/>
          <w:color w:val="595959" w:themeColor="text1" w:themeTint="A6"/>
        </w:rPr>
      </w:pPr>
      <w:r w:rsidRPr="0093006A">
        <w:rPr>
          <w:color w:val="595959" w:themeColor="text1" w:themeTint="A6"/>
        </w:rPr>
        <w:t>Cultural safety and capability measures need to be facilitated by all key stakeholders – Aboriginal and Torres Strait Islander community members and controlled-organisations, employers, service providers, and NIAA – to ensure culturally safe and competent workplaces for Indigenous employees to successfully sustain jobs and careers.</w:t>
      </w:r>
    </w:p>
    <w:p w14:paraId="380FE13C" w14:textId="77777777" w:rsidR="00C17B63" w:rsidRPr="0093006A" w:rsidRDefault="00C17B63" w:rsidP="00F842E0">
      <w:pPr>
        <w:spacing w:after="120"/>
        <w:textDirection w:val="btLr"/>
        <w:rPr>
          <w:b/>
          <w:bCs/>
          <w:i/>
          <w:iCs/>
          <w:color w:val="595959" w:themeColor="text1" w:themeTint="A6"/>
        </w:rPr>
      </w:pPr>
    </w:p>
    <w:p w14:paraId="6A65F2AF" w14:textId="7874E8B2" w:rsidR="008851DF" w:rsidRPr="0093006A" w:rsidRDefault="008851DF" w:rsidP="00F842E0">
      <w:pPr>
        <w:spacing w:after="120"/>
        <w:textDirection w:val="btLr"/>
        <w:rPr>
          <w:b/>
          <w:bCs/>
          <w:i/>
          <w:iCs/>
          <w:color w:val="595959" w:themeColor="text1" w:themeTint="A6"/>
        </w:rPr>
      </w:pPr>
      <w:r w:rsidRPr="0093006A">
        <w:rPr>
          <w:b/>
          <w:bCs/>
          <w:i/>
          <w:iCs/>
          <w:color w:val="595959" w:themeColor="text1" w:themeTint="A6"/>
        </w:rPr>
        <w:t>Support for A</w:t>
      </w:r>
      <w:r w:rsidR="008B1290" w:rsidRPr="0093006A">
        <w:rPr>
          <w:b/>
          <w:bCs/>
          <w:i/>
          <w:iCs/>
          <w:color w:val="595959" w:themeColor="text1" w:themeTint="A6"/>
        </w:rPr>
        <w:t>boriginal community-controlled organisations (ACCOs)</w:t>
      </w:r>
    </w:p>
    <w:p w14:paraId="4C112D1C" w14:textId="0332FB09" w:rsidR="00C17B63" w:rsidRPr="0093006A" w:rsidRDefault="008851DF" w:rsidP="00C17B63">
      <w:pPr>
        <w:spacing w:after="120"/>
        <w:textDirection w:val="btLr"/>
        <w:rPr>
          <w:b/>
          <w:bCs/>
          <w:color w:val="595959" w:themeColor="text1" w:themeTint="A6"/>
        </w:rPr>
      </w:pPr>
      <w:r w:rsidRPr="0093006A">
        <w:rPr>
          <w:b/>
          <w:color w:val="595959" w:themeColor="text1" w:themeTint="A6"/>
          <w:sz w:val="24"/>
          <w:szCs w:val="24"/>
        </w:rPr>
        <w:t xml:space="preserve">Insight </w:t>
      </w:r>
      <w:r w:rsidR="009C650D" w:rsidRPr="0093006A">
        <w:rPr>
          <w:b/>
          <w:color w:val="595959" w:themeColor="text1" w:themeTint="A6"/>
          <w:sz w:val="24"/>
          <w:szCs w:val="24"/>
        </w:rPr>
        <w:t>8</w:t>
      </w:r>
      <w:r w:rsidRPr="0093006A">
        <w:rPr>
          <w:b/>
          <w:color w:val="595959" w:themeColor="text1" w:themeTint="A6"/>
          <w:sz w:val="24"/>
          <w:szCs w:val="24"/>
        </w:rPr>
        <w:t xml:space="preserve">: </w:t>
      </w:r>
      <w:r w:rsidR="00C17B63" w:rsidRPr="0093006A">
        <w:rPr>
          <w:b/>
          <w:bCs/>
          <w:color w:val="595959" w:themeColor="text1" w:themeTint="A6"/>
          <w:sz w:val="24"/>
          <w:szCs w:val="24"/>
        </w:rPr>
        <w:t>The ISEP should prioritise strategic coordination and collaboration at the regional level that supports ACCOs as partners and collaborators coupled with higher levels of employer accountability</w:t>
      </w:r>
    </w:p>
    <w:p w14:paraId="49FC5833" w14:textId="77777777" w:rsidR="00C17B63" w:rsidRPr="0093006A" w:rsidRDefault="00C17B63" w:rsidP="00C17B63">
      <w:pPr>
        <w:spacing w:after="120"/>
        <w:rPr>
          <w:b/>
          <w:bCs/>
          <w:color w:val="595959" w:themeColor="text1" w:themeTint="A6"/>
        </w:rPr>
      </w:pPr>
      <w:r w:rsidRPr="0093006A">
        <w:rPr>
          <w:color w:val="595959" w:themeColor="text1" w:themeTint="A6"/>
        </w:rPr>
        <w:t>A regional strategic approach is called for in the new ISEP that encourages collaboration across ACCOs and Indigenous communities, government, and industry to build regional solutions and programs to achieve successful outcomes.</w:t>
      </w:r>
    </w:p>
    <w:p w14:paraId="2D4B7D70" w14:textId="1649342D" w:rsidR="00C17B63" w:rsidRPr="0093006A" w:rsidRDefault="008851DF" w:rsidP="00C17B63">
      <w:pPr>
        <w:spacing w:after="120"/>
        <w:textDirection w:val="btLr"/>
        <w:rPr>
          <w:b/>
          <w:bCs/>
          <w:color w:val="595959" w:themeColor="text1" w:themeTint="A6"/>
        </w:rPr>
      </w:pPr>
      <w:r w:rsidRPr="0093006A">
        <w:rPr>
          <w:b/>
          <w:color w:val="595959" w:themeColor="text1" w:themeTint="A6"/>
          <w:sz w:val="24"/>
          <w:szCs w:val="24"/>
        </w:rPr>
        <w:t>Insight 1</w:t>
      </w:r>
      <w:r w:rsidR="00892B45" w:rsidRPr="0093006A">
        <w:rPr>
          <w:b/>
          <w:color w:val="595959" w:themeColor="text1" w:themeTint="A6"/>
          <w:sz w:val="24"/>
          <w:szCs w:val="24"/>
        </w:rPr>
        <w:t>1</w:t>
      </w:r>
      <w:r w:rsidRPr="0093006A">
        <w:rPr>
          <w:b/>
          <w:color w:val="595959" w:themeColor="text1" w:themeTint="A6"/>
          <w:sz w:val="24"/>
          <w:szCs w:val="24"/>
        </w:rPr>
        <w:t xml:space="preserve">: </w:t>
      </w:r>
      <w:r w:rsidR="00C17B63" w:rsidRPr="0093006A">
        <w:rPr>
          <w:b/>
          <w:bCs/>
          <w:color w:val="595959" w:themeColor="text1" w:themeTint="A6"/>
          <w:sz w:val="24"/>
          <w:szCs w:val="24"/>
        </w:rPr>
        <w:t>The ISEP should embed shared decision making by supporting and funding ACCOs in the delivery of Indigenous-specific employment services</w:t>
      </w:r>
      <w:r w:rsidR="00C17B63" w:rsidRPr="0093006A">
        <w:rPr>
          <w:color w:val="595959" w:themeColor="text1" w:themeTint="A6"/>
        </w:rPr>
        <w:t xml:space="preserve"> </w:t>
      </w:r>
    </w:p>
    <w:p w14:paraId="05119490" w14:textId="34CEF11E" w:rsidR="008851DF" w:rsidRPr="0093006A" w:rsidRDefault="00C17B63" w:rsidP="00C17B63">
      <w:pPr>
        <w:spacing w:after="120"/>
        <w:textDirection w:val="btLr"/>
        <w:rPr>
          <w:b/>
          <w:color w:val="595959" w:themeColor="text1" w:themeTint="A6"/>
          <w:sz w:val="24"/>
          <w:szCs w:val="24"/>
        </w:rPr>
      </w:pPr>
      <w:r w:rsidRPr="0093006A">
        <w:rPr>
          <w:color w:val="595959" w:themeColor="text1" w:themeTint="A6"/>
        </w:rPr>
        <w:t xml:space="preserve">ACCOs </w:t>
      </w:r>
      <w:r w:rsidR="00937ED9" w:rsidRPr="0093006A">
        <w:rPr>
          <w:color w:val="595959" w:themeColor="text1" w:themeTint="A6"/>
        </w:rPr>
        <w:t xml:space="preserve">can </w:t>
      </w:r>
      <w:r w:rsidRPr="0093006A">
        <w:rPr>
          <w:color w:val="595959" w:themeColor="text1" w:themeTint="A6"/>
        </w:rPr>
        <w:t>act as key partners and co-designers of locally and culturally specific employment service provision for current and future Indigenous employees. The primary way of achieving this under the ISEP is a government-funded and supported ‘one-stop shop’ service in each region that enables collaboration between all major stakeholders.</w:t>
      </w:r>
    </w:p>
    <w:p w14:paraId="63CB52A3" w14:textId="77777777" w:rsidR="00C17B63" w:rsidRPr="0093006A" w:rsidRDefault="00C17B63" w:rsidP="00D22BAA">
      <w:pPr>
        <w:spacing w:after="120"/>
        <w:textDirection w:val="btLr"/>
        <w:rPr>
          <w:b/>
          <w:i/>
          <w:iCs/>
          <w:color w:val="595959" w:themeColor="text1" w:themeTint="A6"/>
        </w:rPr>
      </w:pPr>
    </w:p>
    <w:p w14:paraId="34F90691" w14:textId="09DFA50B" w:rsidR="008851DF" w:rsidRPr="0093006A" w:rsidRDefault="008851DF" w:rsidP="00D22BAA">
      <w:pPr>
        <w:spacing w:after="120"/>
        <w:textDirection w:val="btLr"/>
        <w:rPr>
          <w:b/>
          <w:i/>
          <w:iCs/>
          <w:color w:val="595959" w:themeColor="text1" w:themeTint="A6"/>
        </w:rPr>
      </w:pPr>
      <w:r w:rsidRPr="0093006A">
        <w:rPr>
          <w:b/>
          <w:i/>
          <w:iCs/>
          <w:color w:val="595959" w:themeColor="text1" w:themeTint="A6"/>
        </w:rPr>
        <w:t>Measuring impact</w:t>
      </w:r>
    </w:p>
    <w:p w14:paraId="215139AB" w14:textId="54039BDF" w:rsidR="00C17B63" w:rsidRPr="0093006A" w:rsidRDefault="00D22BAA" w:rsidP="00C17B63">
      <w:pPr>
        <w:spacing w:after="120"/>
        <w:textDirection w:val="btLr"/>
        <w:rPr>
          <w:b/>
          <w:bCs/>
          <w:color w:val="595959" w:themeColor="text1" w:themeTint="A6"/>
          <w:sz w:val="24"/>
          <w:szCs w:val="24"/>
        </w:rPr>
      </w:pPr>
      <w:r w:rsidRPr="0093006A">
        <w:rPr>
          <w:b/>
          <w:color w:val="595959" w:themeColor="text1" w:themeTint="A6"/>
          <w:sz w:val="24"/>
          <w:szCs w:val="24"/>
        </w:rPr>
        <w:t xml:space="preserve">Insight </w:t>
      </w:r>
      <w:r w:rsidR="00A42920" w:rsidRPr="0093006A">
        <w:rPr>
          <w:b/>
          <w:color w:val="595959" w:themeColor="text1" w:themeTint="A6"/>
          <w:sz w:val="24"/>
          <w:szCs w:val="24"/>
        </w:rPr>
        <w:t>1</w:t>
      </w:r>
      <w:r w:rsidR="00892B45" w:rsidRPr="0093006A">
        <w:rPr>
          <w:b/>
          <w:color w:val="595959" w:themeColor="text1" w:themeTint="A6"/>
          <w:sz w:val="24"/>
          <w:szCs w:val="24"/>
        </w:rPr>
        <w:t>3</w:t>
      </w:r>
      <w:r w:rsidRPr="0093006A">
        <w:rPr>
          <w:b/>
          <w:color w:val="595959" w:themeColor="text1" w:themeTint="A6"/>
          <w:sz w:val="24"/>
          <w:szCs w:val="24"/>
        </w:rPr>
        <w:t xml:space="preserve">: </w:t>
      </w:r>
      <w:r w:rsidR="00C17B63" w:rsidRPr="0093006A">
        <w:rPr>
          <w:b/>
          <w:bCs/>
          <w:color w:val="595959" w:themeColor="text1" w:themeTint="A6"/>
          <w:sz w:val="24"/>
          <w:szCs w:val="24"/>
        </w:rPr>
        <w:t>Indigenous-owned and -controlled data gathering and evaluation in local contexts and culturally specific ways is vital for measuring the impact of the ISEP</w:t>
      </w:r>
    </w:p>
    <w:p w14:paraId="7404E875" w14:textId="421FA765" w:rsidR="00B61529" w:rsidRPr="0093006A" w:rsidRDefault="00C17B63" w:rsidP="00C17B63">
      <w:pPr>
        <w:spacing w:after="120"/>
        <w:textDirection w:val="btLr"/>
        <w:rPr>
          <w:rFonts w:eastAsiaTheme="majorEastAsia" w:cstheme="majorBidi"/>
          <w:b/>
          <w:color w:val="595959" w:themeColor="text1" w:themeTint="A6"/>
          <w:sz w:val="32"/>
          <w:szCs w:val="32"/>
        </w:rPr>
      </w:pPr>
      <w:r w:rsidRPr="0093006A">
        <w:rPr>
          <w:color w:val="595959" w:themeColor="text1" w:themeTint="A6"/>
        </w:rPr>
        <w:t xml:space="preserve">For the ISEP to have maximum impact, the way in which ‘success’ is both understood and measured </w:t>
      </w:r>
      <w:r w:rsidR="00DF4609" w:rsidRPr="0093006A">
        <w:rPr>
          <w:color w:val="595959" w:themeColor="text1" w:themeTint="A6"/>
        </w:rPr>
        <w:t>should</w:t>
      </w:r>
      <w:r w:rsidRPr="0093006A">
        <w:rPr>
          <w:color w:val="595959" w:themeColor="text1" w:themeTint="A6"/>
        </w:rPr>
        <w:t xml:space="preserve"> be determined by Indigenous communities. NIAA could provide support and training to ensure ‘person-centred’ evaluation is able to be undertaken by ACCOs and Indigenous-controlled employment services to best reflect Indigenous employee and community needs and aspirations.</w:t>
      </w:r>
      <w:r w:rsidR="00B61529" w:rsidRPr="0093006A">
        <w:rPr>
          <w:color w:val="595959" w:themeColor="text1" w:themeTint="A6"/>
        </w:rPr>
        <w:br w:type="page"/>
      </w:r>
    </w:p>
    <w:p w14:paraId="7B56B9C6" w14:textId="5C3D77C5" w:rsidR="0025689A" w:rsidRPr="0093006A" w:rsidRDefault="0025689A" w:rsidP="006727BF">
      <w:pPr>
        <w:pStyle w:val="Heading1"/>
        <w:rPr>
          <w:color w:val="595959" w:themeColor="text1" w:themeTint="A6"/>
        </w:rPr>
      </w:pPr>
      <w:bookmarkStart w:id="30" w:name="_Toc85030964"/>
      <w:r w:rsidRPr="0093006A">
        <w:rPr>
          <w:color w:val="595959" w:themeColor="text1" w:themeTint="A6"/>
        </w:rPr>
        <w:t>Findings</w:t>
      </w:r>
      <w:bookmarkEnd w:id="30"/>
    </w:p>
    <w:p w14:paraId="4921E913" w14:textId="77777777" w:rsidR="0025689A" w:rsidRPr="0093006A" w:rsidRDefault="0025689A" w:rsidP="00BD7B98">
      <w:pPr>
        <w:spacing w:after="120"/>
        <w:rPr>
          <w:bCs/>
          <w:color w:val="595959" w:themeColor="text1" w:themeTint="A6"/>
        </w:rPr>
      </w:pPr>
      <w:r w:rsidRPr="0093006A">
        <w:rPr>
          <w:bCs/>
          <w:color w:val="595959" w:themeColor="text1" w:themeTint="A6"/>
        </w:rPr>
        <w:t>This section reports the</w:t>
      </w:r>
      <w:r w:rsidR="007C6D06" w:rsidRPr="0093006A">
        <w:rPr>
          <w:bCs/>
          <w:color w:val="595959" w:themeColor="text1" w:themeTint="A6"/>
        </w:rPr>
        <w:t xml:space="preserve"> detailed finding from the</w:t>
      </w:r>
      <w:r w:rsidRPr="0093006A">
        <w:rPr>
          <w:bCs/>
          <w:color w:val="595959" w:themeColor="text1" w:themeTint="A6"/>
        </w:rPr>
        <w:t>:</w:t>
      </w:r>
    </w:p>
    <w:p w14:paraId="34F75964" w14:textId="53584A1E" w:rsidR="0025689A" w:rsidRPr="0093006A" w:rsidRDefault="003B1D59" w:rsidP="003769B7">
      <w:pPr>
        <w:pStyle w:val="ListParagraph"/>
        <w:numPr>
          <w:ilvl w:val="0"/>
          <w:numId w:val="29"/>
        </w:numPr>
        <w:spacing w:after="120"/>
        <w:rPr>
          <w:bCs/>
          <w:color w:val="595959" w:themeColor="text1" w:themeTint="A6"/>
        </w:rPr>
      </w:pPr>
      <w:r w:rsidRPr="0093006A">
        <w:rPr>
          <w:bCs/>
          <w:color w:val="595959" w:themeColor="text1" w:themeTint="A6"/>
        </w:rPr>
        <w:t>R</w:t>
      </w:r>
      <w:r w:rsidR="0025689A" w:rsidRPr="0093006A">
        <w:rPr>
          <w:bCs/>
          <w:color w:val="595959" w:themeColor="text1" w:themeTint="A6"/>
        </w:rPr>
        <w:t xml:space="preserve">oundtables and </w:t>
      </w:r>
      <w:r w:rsidR="002A3219" w:rsidRPr="0093006A">
        <w:rPr>
          <w:bCs/>
          <w:color w:val="595959" w:themeColor="text1" w:themeTint="A6"/>
        </w:rPr>
        <w:t>T</w:t>
      </w:r>
      <w:r w:rsidR="0025689A" w:rsidRPr="0093006A">
        <w:rPr>
          <w:bCs/>
          <w:color w:val="595959" w:themeColor="text1" w:themeTint="A6"/>
        </w:rPr>
        <w:t xml:space="preserve">own </w:t>
      </w:r>
      <w:r w:rsidR="002A3219" w:rsidRPr="0093006A">
        <w:rPr>
          <w:bCs/>
          <w:color w:val="595959" w:themeColor="text1" w:themeTint="A6"/>
        </w:rPr>
        <w:t>H</w:t>
      </w:r>
      <w:r w:rsidR="0025689A" w:rsidRPr="0093006A">
        <w:rPr>
          <w:bCs/>
          <w:color w:val="595959" w:themeColor="text1" w:themeTint="A6"/>
        </w:rPr>
        <w:t>alls</w:t>
      </w:r>
      <w:r w:rsidRPr="0093006A">
        <w:rPr>
          <w:bCs/>
          <w:color w:val="595959" w:themeColor="text1" w:themeTint="A6"/>
        </w:rPr>
        <w:t>, and</w:t>
      </w:r>
    </w:p>
    <w:p w14:paraId="102D22DA" w14:textId="7D203617" w:rsidR="0025689A" w:rsidRPr="0093006A" w:rsidRDefault="003B1D59" w:rsidP="003769B7">
      <w:pPr>
        <w:pStyle w:val="ListParagraph"/>
        <w:numPr>
          <w:ilvl w:val="0"/>
          <w:numId w:val="29"/>
        </w:numPr>
        <w:spacing w:after="120"/>
        <w:rPr>
          <w:bCs/>
          <w:color w:val="595959" w:themeColor="text1" w:themeTint="A6"/>
        </w:rPr>
      </w:pPr>
      <w:r w:rsidRPr="0093006A">
        <w:rPr>
          <w:bCs/>
          <w:color w:val="595959" w:themeColor="text1" w:themeTint="A6"/>
        </w:rPr>
        <w:t>W</w:t>
      </w:r>
      <w:r w:rsidR="0025689A" w:rsidRPr="0093006A">
        <w:rPr>
          <w:bCs/>
          <w:color w:val="595959" w:themeColor="text1" w:themeTint="A6"/>
        </w:rPr>
        <w:t>ritten submissions.</w:t>
      </w:r>
    </w:p>
    <w:p w14:paraId="2E9ED0A6" w14:textId="77C4D38D" w:rsidR="0025689A" w:rsidRPr="0093006A" w:rsidRDefault="0025689A" w:rsidP="006727BF">
      <w:pPr>
        <w:pStyle w:val="Heading2"/>
        <w:rPr>
          <w:color w:val="595959" w:themeColor="text1" w:themeTint="A6"/>
        </w:rPr>
      </w:pPr>
      <w:bookmarkStart w:id="31" w:name="_Toc85030965"/>
      <w:r w:rsidRPr="0093006A">
        <w:rPr>
          <w:color w:val="595959" w:themeColor="text1" w:themeTint="A6"/>
        </w:rPr>
        <w:t xml:space="preserve">Roundtables &amp; </w:t>
      </w:r>
      <w:r w:rsidR="0070407E" w:rsidRPr="0093006A">
        <w:rPr>
          <w:color w:val="595959" w:themeColor="text1" w:themeTint="A6"/>
        </w:rPr>
        <w:t>Town Halls</w:t>
      </w:r>
      <w:r w:rsidRPr="0093006A">
        <w:rPr>
          <w:color w:val="595959" w:themeColor="text1" w:themeTint="A6"/>
        </w:rPr>
        <w:t xml:space="preserve">: </w:t>
      </w:r>
      <w:r w:rsidR="00760EA8" w:rsidRPr="0093006A">
        <w:rPr>
          <w:color w:val="595959" w:themeColor="text1" w:themeTint="A6"/>
        </w:rPr>
        <w:t>D</w:t>
      </w:r>
      <w:r w:rsidRPr="0093006A">
        <w:rPr>
          <w:color w:val="595959" w:themeColor="text1" w:themeTint="A6"/>
        </w:rPr>
        <w:t xml:space="preserve">etailed </w:t>
      </w:r>
      <w:r w:rsidR="00760EA8" w:rsidRPr="0093006A">
        <w:rPr>
          <w:color w:val="595959" w:themeColor="text1" w:themeTint="A6"/>
        </w:rPr>
        <w:t>F</w:t>
      </w:r>
      <w:r w:rsidRPr="0093006A">
        <w:rPr>
          <w:color w:val="595959" w:themeColor="text1" w:themeTint="A6"/>
        </w:rPr>
        <w:t>indings</w:t>
      </w:r>
      <w:bookmarkEnd w:id="31"/>
    </w:p>
    <w:p w14:paraId="1DB746C6" w14:textId="57C7FE59" w:rsidR="0025689A" w:rsidRPr="0093006A" w:rsidRDefault="0025689A" w:rsidP="00BD7B98">
      <w:pPr>
        <w:spacing w:after="120"/>
        <w:rPr>
          <w:color w:val="595959" w:themeColor="text1" w:themeTint="A6"/>
        </w:rPr>
      </w:pPr>
      <w:r w:rsidRPr="0093006A">
        <w:rPr>
          <w:color w:val="595959" w:themeColor="text1" w:themeTint="A6"/>
        </w:rPr>
        <w:t xml:space="preserve">As </w:t>
      </w:r>
      <w:r w:rsidR="003B1D59" w:rsidRPr="0093006A">
        <w:rPr>
          <w:color w:val="595959" w:themeColor="text1" w:themeTint="A6"/>
        </w:rPr>
        <w:t xml:space="preserve">noted </w:t>
      </w:r>
      <w:r w:rsidRPr="0093006A">
        <w:rPr>
          <w:color w:val="595959" w:themeColor="text1" w:themeTint="A6"/>
        </w:rPr>
        <w:t>in the Methodology section, at the commencement of the roundtables Questions One and Two were reversed but then swapped after a small group of roundtables suggested the data quality unsuitable when participants were asked to nominate opportunities ahead of challenges, barriers and needs.</w:t>
      </w:r>
    </w:p>
    <w:p w14:paraId="1B22E4EF" w14:textId="12722520" w:rsidR="0025689A" w:rsidRPr="0093006A" w:rsidRDefault="0025689A" w:rsidP="00BD7B98">
      <w:pPr>
        <w:pBdr>
          <w:top w:val="nil"/>
          <w:left w:val="nil"/>
          <w:bottom w:val="nil"/>
          <w:right w:val="nil"/>
          <w:between w:val="nil"/>
        </w:pBdr>
        <w:spacing w:after="120"/>
        <w:rPr>
          <w:color w:val="595959" w:themeColor="text1" w:themeTint="A6"/>
        </w:rPr>
      </w:pPr>
      <w:r w:rsidRPr="0093006A">
        <w:rPr>
          <w:color w:val="595959" w:themeColor="text1" w:themeTint="A6"/>
        </w:rPr>
        <w:t xml:space="preserve">Despite the significant differences in geographic locations covered in the roundtables, there was a very high level of </w:t>
      </w:r>
      <w:r w:rsidR="009108C2" w:rsidRPr="0093006A">
        <w:rPr>
          <w:color w:val="595959" w:themeColor="text1" w:themeTint="A6"/>
        </w:rPr>
        <w:t xml:space="preserve">consistency in </w:t>
      </w:r>
      <w:r w:rsidRPr="0093006A">
        <w:rPr>
          <w:color w:val="595959" w:themeColor="text1" w:themeTint="A6"/>
        </w:rPr>
        <w:t>participant views. Where there is region</w:t>
      </w:r>
      <w:r w:rsidR="009108C2" w:rsidRPr="0093006A">
        <w:rPr>
          <w:color w:val="595959" w:themeColor="text1" w:themeTint="A6"/>
        </w:rPr>
        <w:t>-</w:t>
      </w:r>
      <w:r w:rsidRPr="0093006A">
        <w:rPr>
          <w:color w:val="595959" w:themeColor="text1" w:themeTint="A6"/>
        </w:rPr>
        <w:t xml:space="preserve">specific data, this will be attributed to the region in question. </w:t>
      </w:r>
    </w:p>
    <w:p w14:paraId="24B577D9" w14:textId="77777777" w:rsidR="0025689A" w:rsidRPr="0093006A" w:rsidRDefault="0025689A" w:rsidP="00BD7B98">
      <w:pPr>
        <w:pStyle w:val="Heading3"/>
        <w:spacing w:before="0" w:after="120"/>
        <w:rPr>
          <w:color w:val="595959" w:themeColor="text1" w:themeTint="A6"/>
        </w:rPr>
      </w:pPr>
      <w:r w:rsidRPr="0093006A">
        <w:rPr>
          <w:color w:val="595959" w:themeColor="text1" w:themeTint="A6"/>
        </w:rPr>
        <w:t>Discussion Question 1: Understanding jobseekers in the region (Challenges, Barriers, Needs)</w:t>
      </w:r>
    </w:p>
    <w:p w14:paraId="60C37D32" w14:textId="77777777" w:rsidR="0025689A" w:rsidRPr="0093006A" w:rsidRDefault="0025689A" w:rsidP="0025689A">
      <w:pPr>
        <w:pBdr>
          <w:top w:val="nil"/>
          <w:left w:val="nil"/>
          <w:bottom w:val="nil"/>
          <w:right w:val="nil"/>
          <w:between w:val="nil"/>
        </w:pBdr>
        <w:spacing w:after="120"/>
        <w:rPr>
          <w:color w:val="595959" w:themeColor="text1" w:themeTint="A6"/>
        </w:rPr>
      </w:pPr>
      <w:r w:rsidRPr="0093006A">
        <w:rPr>
          <w:color w:val="595959" w:themeColor="text1" w:themeTint="A6"/>
        </w:rPr>
        <w:t>With respect to understanding jobseekers in the region (challenges, barriers, needs) participants were asked:</w:t>
      </w:r>
    </w:p>
    <w:p w14:paraId="46A6DE4D" w14:textId="77777777" w:rsidR="0025689A" w:rsidRPr="0093006A" w:rsidRDefault="0025689A" w:rsidP="003769B7">
      <w:pPr>
        <w:pStyle w:val="ListParagraph"/>
        <w:numPr>
          <w:ilvl w:val="0"/>
          <w:numId w:val="30"/>
        </w:numPr>
        <w:spacing w:after="120"/>
        <w:ind w:left="714" w:hanging="357"/>
        <w:rPr>
          <w:color w:val="595959" w:themeColor="text1" w:themeTint="A6"/>
        </w:rPr>
      </w:pPr>
      <w:r w:rsidRPr="0093006A">
        <w:rPr>
          <w:color w:val="595959" w:themeColor="text1" w:themeTint="A6"/>
        </w:rPr>
        <w:t>What are the most common barriers to employment for job seekers in this region? </w:t>
      </w:r>
    </w:p>
    <w:p w14:paraId="0AAB0279" w14:textId="77777777" w:rsidR="0025689A" w:rsidRPr="0093006A" w:rsidRDefault="0025689A" w:rsidP="003769B7">
      <w:pPr>
        <w:pStyle w:val="ListParagraph"/>
        <w:numPr>
          <w:ilvl w:val="0"/>
          <w:numId w:val="30"/>
        </w:numPr>
        <w:pBdr>
          <w:top w:val="nil"/>
          <w:left w:val="nil"/>
          <w:bottom w:val="nil"/>
          <w:right w:val="nil"/>
          <w:between w:val="nil"/>
        </w:pBdr>
        <w:spacing w:after="120"/>
        <w:ind w:left="714" w:hanging="357"/>
        <w:rPr>
          <w:color w:val="595959" w:themeColor="text1" w:themeTint="A6"/>
        </w:rPr>
      </w:pPr>
      <w:r w:rsidRPr="0093006A">
        <w:rPr>
          <w:color w:val="595959" w:themeColor="text1" w:themeTint="A6"/>
        </w:rPr>
        <w:t>What might be stopping people from staying in employment long-term once they have secured a job?</w:t>
      </w:r>
    </w:p>
    <w:p w14:paraId="5D8A8EE8" w14:textId="77777777" w:rsidR="0025689A" w:rsidRPr="0093006A" w:rsidRDefault="0025689A" w:rsidP="003769B7">
      <w:pPr>
        <w:pStyle w:val="ListParagraph"/>
        <w:numPr>
          <w:ilvl w:val="0"/>
          <w:numId w:val="30"/>
        </w:numPr>
        <w:spacing w:after="120"/>
        <w:ind w:left="714" w:hanging="357"/>
        <w:rPr>
          <w:color w:val="595959" w:themeColor="text1" w:themeTint="A6"/>
        </w:rPr>
      </w:pPr>
      <w:r w:rsidRPr="0093006A">
        <w:rPr>
          <w:color w:val="595959" w:themeColor="text1" w:themeTint="A6"/>
        </w:rPr>
        <w:t>What is needed to intervene at critical points?</w:t>
      </w:r>
    </w:p>
    <w:p w14:paraId="279947E7" w14:textId="77777777" w:rsidR="0025689A" w:rsidRPr="0093006A" w:rsidRDefault="0025689A" w:rsidP="003769B7">
      <w:pPr>
        <w:pStyle w:val="ListParagraph"/>
        <w:numPr>
          <w:ilvl w:val="0"/>
          <w:numId w:val="30"/>
        </w:numPr>
        <w:tabs>
          <w:tab w:val="left" w:pos="384"/>
        </w:tabs>
        <w:spacing w:after="120"/>
        <w:ind w:left="714" w:hanging="357"/>
        <w:rPr>
          <w:color w:val="595959" w:themeColor="text1" w:themeTint="A6"/>
        </w:rPr>
      </w:pPr>
      <w:r w:rsidRPr="0093006A">
        <w:rPr>
          <w:color w:val="595959" w:themeColor="text1" w:themeTint="A6"/>
        </w:rPr>
        <w:t>What do employers need to improve to provide safe and culturally appropriate work environments?</w:t>
      </w:r>
    </w:p>
    <w:p w14:paraId="3E6838CB" w14:textId="77777777" w:rsidR="0025689A" w:rsidRPr="0093006A" w:rsidRDefault="0025689A" w:rsidP="003769B7">
      <w:pPr>
        <w:pStyle w:val="ListParagraph"/>
        <w:numPr>
          <w:ilvl w:val="0"/>
          <w:numId w:val="30"/>
        </w:numPr>
        <w:tabs>
          <w:tab w:val="left" w:pos="384"/>
        </w:tabs>
        <w:spacing w:after="120"/>
        <w:ind w:left="714" w:hanging="357"/>
        <w:rPr>
          <w:color w:val="595959" w:themeColor="text1" w:themeTint="A6"/>
        </w:rPr>
      </w:pPr>
      <w:r w:rsidRPr="0093006A">
        <w:rPr>
          <w:color w:val="595959" w:themeColor="text1" w:themeTint="A6"/>
        </w:rPr>
        <w:t>Are there specific cohorts (inc</w:t>
      </w:r>
      <w:r w:rsidR="0070407E" w:rsidRPr="0093006A">
        <w:rPr>
          <w:color w:val="595959" w:themeColor="text1" w:themeTint="A6"/>
        </w:rPr>
        <w:t>l</w:t>
      </w:r>
      <w:r w:rsidRPr="0093006A">
        <w:rPr>
          <w:color w:val="595959" w:themeColor="text1" w:themeTint="A6"/>
        </w:rPr>
        <w:t xml:space="preserve"> cohorts not currently jobseekers </w:t>
      </w:r>
      <w:r w:rsidR="00996704" w:rsidRPr="0093006A">
        <w:rPr>
          <w:color w:val="595959" w:themeColor="text1" w:themeTint="A6"/>
        </w:rPr>
        <w:t>e.g.</w:t>
      </w:r>
      <w:r w:rsidRPr="0093006A">
        <w:rPr>
          <w:color w:val="595959" w:themeColor="text1" w:themeTint="A6"/>
        </w:rPr>
        <w:t xml:space="preserve"> entry level workers looking for promotions; school leavers considering work/study) you see needing greater assistance than others in your region?</w:t>
      </w:r>
    </w:p>
    <w:p w14:paraId="3F578F59" w14:textId="4006EDDA" w:rsidR="0025689A" w:rsidRPr="0093006A" w:rsidRDefault="0025689A" w:rsidP="00A01ABA">
      <w:pPr>
        <w:tabs>
          <w:tab w:val="left" w:pos="384"/>
        </w:tabs>
        <w:spacing w:after="120"/>
        <w:rPr>
          <w:color w:val="595959" w:themeColor="text1" w:themeTint="A6"/>
        </w:rPr>
      </w:pPr>
      <w:r w:rsidRPr="0093006A">
        <w:rPr>
          <w:color w:val="595959" w:themeColor="text1" w:themeTint="A6"/>
        </w:rPr>
        <w:t xml:space="preserve">Responses to this question ranged from social and access barriers to Indigenous employment and general principles of policy design for the ISEP through to specific suggestions of how the new program should operate.  The commonality among responses was the need for a flexible program able to balance a place-based, Indigenous community-led approach to find solutions to entrenched problems with the requisite for strategic co-ordination across stakeholders at the regional level. </w:t>
      </w:r>
    </w:p>
    <w:p w14:paraId="1D232DBD" w14:textId="77777777" w:rsidR="0025689A" w:rsidRPr="0093006A" w:rsidRDefault="0025689A" w:rsidP="00A01ABA">
      <w:pPr>
        <w:spacing w:after="120"/>
        <w:rPr>
          <w:b/>
          <w:bCs/>
          <w:color w:val="595959" w:themeColor="text1" w:themeTint="A6"/>
          <w:sz w:val="24"/>
          <w:szCs w:val="24"/>
        </w:rPr>
      </w:pPr>
      <w:r w:rsidRPr="0093006A">
        <w:rPr>
          <w:b/>
          <w:bCs/>
          <w:color w:val="595959" w:themeColor="text1" w:themeTint="A6"/>
          <w:sz w:val="24"/>
          <w:szCs w:val="24"/>
        </w:rPr>
        <w:t>A. What are the most common barriers to employment for job seekers in this region? </w:t>
      </w:r>
    </w:p>
    <w:p w14:paraId="699E6E6B" w14:textId="64DFAAFF" w:rsidR="0025689A" w:rsidRPr="0093006A" w:rsidRDefault="0025689A" w:rsidP="00A01ABA">
      <w:pPr>
        <w:spacing w:after="120"/>
        <w:rPr>
          <w:color w:val="595959" w:themeColor="text1" w:themeTint="A6"/>
        </w:rPr>
      </w:pPr>
      <w:r w:rsidRPr="0093006A">
        <w:rPr>
          <w:color w:val="595959" w:themeColor="text1" w:themeTint="A6"/>
        </w:rPr>
        <w:t xml:space="preserve">There is a key set of foundational circumstances related to the lives and experiences of Indigenous </w:t>
      </w:r>
      <w:r w:rsidR="00563300" w:rsidRPr="0093006A">
        <w:rPr>
          <w:color w:val="595959" w:themeColor="text1" w:themeTint="A6"/>
        </w:rPr>
        <w:t xml:space="preserve">Australians </w:t>
      </w:r>
      <w:r w:rsidRPr="0093006A">
        <w:rPr>
          <w:color w:val="595959" w:themeColor="text1" w:themeTint="A6"/>
        </w:rPr>
        <w:t xml:space="preserve">that act as the social determinants of Indigenous employment that must be acknowledged and addressed before genuine </w:t>
      </w:r>
      <w:r w:rsidR="009108C2" w:rsidRPr="0093006A">
        <w:rPr>
          <w:color w:val="595959" w:themeColor="text1" w:themeTint="A6"/>
        </w:rPr>
        <w:t>changes</w:t>
      </w:r>
      <w:r w:rsidRPr="0093006A">
        <w:rPr>
          <w:color w:val="595959" w:themeColor="text1" w:themeTint="A6"/>
        </w:rPr>
        <w:t xml:space="preserve"> can be made</w:t>
      </w:r>
    </w:p>
    <w:p w14:paraId="67185EE2" w14:textId="3C60D607" w:rsidR="004D133C" w:rsidRPr="0093006A" w:rsidRDefault="0025689A" w:rsidP="00A01ABA">
      <w:pPr>
        <w:spacing w:after="120"/>
        <w:rPr>
          <w:color w:val="595959" w:themeColor="text1" w:themeTint="A6"/>
          <w:lang w:val="en-US"/>
        </w:rPr>
      </w:pPr>
      <w:r w:rsidRPr="0093006A">
        <w:rPr>
          <w:color w:val="595959" w:themeColor="text1" w:themeTint="A6"/>
          <w:lang w:val="en-US"/>
        </w:rPr>
        <w:t xml:space="preserve">In response to this question all participant groups, regardless of geographic location, identified a set of key social barriers </w:t>
      </w:r>
      <w:r w:rsidR="00AF6D8B" w:rsidRPr="0093006A">
        <w:rPr>
          <w:color w:val="595959" w:themeColor="text1" w:themeTint="A6"/>
          <w:lang w:val="en-US"/>
        </w:rPr>
        <w:t xml:space="preserve">in line with recognised </w:t>
      </w:r>
      <w:r w:rsidRPr="0093006A">
        <w:rPr>
          <w:color w:val="595959" w:themeColor="text1" w:themeTint="A6"/>
          <w:lang w:val="en-US"/>
        </w:rPr>
        <w:t>social determinant</w:t>
      </w:r>
      <w:r w:rsidR="00AF6D8B" w:rsidRPr="0093006A">
        <w:rPr>
          <w:color w:val="595959" w:themeColor="text1" w:themeTint="A6"/>
          <w:lang w:val="en-US"/>
        </w:rPr>
        <w:t>s</w:t>
      </w:r>
      <w:r w:rsidRPr="0093006A">
        <w:rPr>
          <w:color w:val="595959" w:themeColor="text1" w:themeTint="A6"/>
          <w:lang w:val="en-US"/>
        </w:rPr>
        <w:t xml:space="preserve"> of health that impact the ability of Indigenous </w:t>
      </w:r>
      <w:r w:rsidR="00563300" w:rsidRPr="0093006A">
        <w:rPr>
          <w:color w:val="595959" w:themeColor="text1" w:themeTint="A6"/>
          <w:lang w:val="en-US"/>
        </w:rPr>
        <w:t xml:space="preserve">Australians </w:t>
      </w:r>
      <w:r w:rsidRPr="0093006A">
        <w:rPr>
          <w:color w:val="595959" w:themeColor="text1" w:themeTint="A6"/>
          <w:lang w:val="en-US"/>
        </w:rPr>
        <w:t>to enter or remain in the employment market.</w:t>
      </w:r>
      <w:r w:rsidR="00DC342C" w:rsidRPr="0093006A">
        <w:rPr>
          <w:color w:val="595959" w:themeColor="text1" w:themeTint="A6"/>
          <w:lang w:val="en-US"/>
        </w:rPr>
        <w:t xml:space="preserve"> </w:t>
      </w:r>
      <w:r w:rsidRPr="0093006A">
        <w:rPr>
          <w:color w:val="595959" w:themeColor="text1" w:themeTint="A6"/>
          <w:lang w:val="en-US"/>
        </w:rPr>
        <w:t xml:space="preserve">The World Health Organisation (WHO) describes social determinants </w:t>
      </w:r>
      <w:r w:rsidR="004D133C" w:rsidRPr="0093006A">
        <w:rPr>
          <w:color w:val="595959" w:themeColor="text1" w:themeTint="A6"/>
          <w:lang w:val="en-US"/>
        </w:rPr>
        <w:t xml:space="preserve">of </w:t>
      </w:r>
      <w:r w:rsidRPr="0093006A">
        <w:rPr>
          <w:color w:val="595959" w:themeColor="text1" w:themeTint="A6"/>
          <w:lang w:val="en-US"/>
        </w:rPr>
        <w:t xml:space="preserve">health </w:t>
      </w:r>
      <w:r w:rsidR="004D133C" w:rsidRPr="0093006A">
        <w:rPr>
          <w:color w:val="595959" w:themeColor="text1" w:themeTint="A6"/>
          <w:lang w:val="en-US"/>
        </w:rPr>
        <w:t xml:space="preserve">as: </w:t>
      </w:r>
    </w:p>
    <w:p w14:paraId="7F24D0EF" w14:textId="7535E9EE" w:rsidR="004D133C" w:rsidRPr="0093006A" w:rsidRDefault="0025689A" w:rsidP="004D133C">
      <w:pPr>
        <w:spacing w:after="120"/>
        <w:ind w:left="360"/>
        <w:rPr>
          <w:color w:val="595959" w:themeColor="text1" w:themeTint="A6"/>
          <w:lang w:val="en-US"/>
        </w:rPr>
      </w:pPr>
      <w:r w:rsidRPr="0093006A">
        <w:rPr>
          <w:color w:val="595959" w:themeColor="text1" w:themeTint="A6"/>
          <w:lang w:val="en-US"/>
        </w:rPr>
        <w:t>‘</w:t>
      </w:r>
      <w:r w:rsidR="004D133C" w:rsidRPr="0093006A">
        <w:rPr>
          <w:color w:val="595959" w:themeColor="text1" w:themeTint="A6"/>
          <w:lang w:val="en-US"/>
        </w:rPr>
        <w:t>(T)</w:t>
      </w:r>
      <w:r w:rsidRPr="0093006A">
        <w:rPr>
          <w:color w:val="595959" w:themeColor="text1" w:themeTint="A6"/>
          <w:lang w:val="en-US"/>
        </w:rPr>
        <w:t>he circumstances in which people grow, live, work, and age, and the systems put in place to deal with illness. The conditions in which people live and die are, in turn, shaped by political, social, and economic forces’</w:t>
      </w:r>
      <w:r w:rsidR="009170D8" w:rsidRPr="0093006A">
        <w:rPr>
          <w:color w:val="595959" w:themeColor="text1" w:themeTint="A6"/>
          <w:lang w:val="en-US"/>
        </w:rPr>
        <w:t>.</w:t>
      </w:r>
      <w:r w:rsidR="00B2491E" w:rsidRPr="0093006A">
        <w:rPr>
          <w:rStyle w:val="FootnoteReference"/>
          <w:color w:val="595959" w:themeColor="text1" w:themeTint="A6"/>
          <w:lang w:val="en-US"/>
        </w:rPr>
        <w:footnoteReference w:id="9"/>
      </w:r>
      <w:r w:rsidRPr="0093006A">
        <w:rPr>
          <w:color w:val="595959" w:themeColor="text1" w:themeTint="A6"/>
          <w:lang w:val="en-US"/>
        </w:rPr>
        <w:t xml:space="preserve"> </w:t>
      </w:r>
    </w:p>
    <w:p w14:paraId="7DFEF900" w14:textId="4A000DF8" w:rsidR="0025689A" w:rsidRPr="0093006A" w:rsidRDefault="0025689A" w:rsidP="004D133C">
      <w:pPr>
        <w:spacing w:after="120"/>
        <w:rPr>
          <w:color w:val="595959" w:themeColor="text1" w:themeTint="A6"/>
          <w:lang w:val="en-US"/>
        </w:rPr>
      </w:pPr>
      <w:r w:rsidRPr="0093006A">
        <w:rPr>
          <w:color w:val="595959" w:themeColor="text1" w:themeTint="A6"/>
          <w:lang w:val="en-US"/>
        </w:rPr>
        <w:t>According to the WHO, social inequalities and disadvantage are the</w:t>
      </w:r>
      <w:r w:rsidRPr="0093006A">
        <w:rPr>
          <w:rFonts w:eastAsia="Times New Roman" w:cs="Open Sans"/>
          <w:color w:val="595959" w:themeColor="text1" w:themeTint="A6"/>
        </w:rPr>
        <w:t xml:space="preserve"> </w:t>
      </w:r>
      <w:r w:rsidRPr="0093006A">
        <w:rPr>
          <w:color w:val="595959" w:themeColor="text1" w:themeTint="A6"/>
          <w:lang w:val="en-US"/>
        </w:rPr>
        <w:t>main reason for avoidable and unfair differences across groups in society. In 2003, the WHO Europe suggested that the social determinants of health included:</w:t>
      </w:r>
    </w:p>
    <w:p w14:paraId="39A3780D" w14:textId="3B7A507A" w:rsidR="0025689A" w:rsidRPr="0093006A" w:rsidRDefault="009170D8" w:rsidP="003769B7">
      <w:pPr>
        <w:pStyle w:val="ListParagraph"/>
        <w:numPr>
          <w:ilvl w:val="0"/>
          <w:numId w:val="6"/>
        </w:numPr>
        <w:spacing w:after="120"/>
        <w:rPr>
          <w:color w:val="595959" w:themeColor="text1" w:themeTint="A6"/>
          <w:lang w:val="en-US"/>
        </w:rPr>
      </w:pPr>
      <w:r w:rsidRPr="0093006A">
        <w:rPr>
          <w:color w:val="595959" w:themeColor="text1" w:themeTint="A6"/>
          <w:lang w:val="en-US"/>
        </w:rPr>
        <w:t>Socioeconomic position</w:t>
      </w:r>
    </w:p>
    <w:p w14:paraId="4F4158B9" w14:textId="449B3FA9" w:rsidR="0025689A" w:rsidRPr="0093006A" w:rsidRDefault="009170D8" w:rsidP="003769B7">
      <w:pPr>
        <w:pStyle w:val="ListParagraph"/>
        <w:numPr>
          <w:ilvl w:val="0"/>
          <w:numId w:val="6"/>
        </w:numPr>
        <w:spacing w:after="120"/>
        <w:rPr>
          <w:color w:val="595959" w:themeColor="text1" w:themeTint="A6"/>
          <w:lang w:val="en-US"/>
        </w:rPr>
      </w:pPr>
      <w:r w:rsidRPr="0093006A">
        <w:rPr>
          <w:color w:val="595959" w:themeColor="text1" w:themeTint="A6"/>
          <w:lang w:val="en-US"/>
        </w:rPr>
        <w:t>Early life</w:t>
      </w:r>
    </w:p>
    <w:p w14:paraId="18F58E6C" w14:textId="20656FD3" w:rsidR="0025689A" w:rsidRPr="0093006A" w:rsidRDefault="009170D8" w:rsidP="003769B7">
      <w:pPr>
        <w:pStyle w:val="ListParagraph"/>
        <w:numPr>
          <w:ilvl w:val="0"/>
          <w:numId w:val="6"/>
        </w:numPr>
        <w:spacing w:after="120"/>
        <w:rPr>
          <w:color w:val="595959" w:themeColor="text1" w:themeTint="A6"/>
          <w:lang w:val="en-US"/>
        </w:rPr>
      </w:pPr>
      <w:r w:rsidRPr="0093006A">
        <w:rPr>
          <w:color w:val="595959" w:themeColor="text1" w:themeTint="A6"/>
          <w:lang w:val="en-US"/>
        </w:rPr>
        <w:t>Social exclusion</w:t>
      </w:r>
    </w:p>
    <w:p w14:paraId="1F657737" w14:textId="31E0554F" w:rsidR="0025689A" w:rsidRPr="0093006A" w:rsidRDefault="009170D8" w:rsidP="003769B7">
      <w:pPr>
        <w:pStyle w:val="ListParagraph"/>
        <w:numPr>
          <w:ilvl w:val="0"/>
          <w:numId w:val="6"/>
        </w:numPr>
        <w:spacing w:after="120"/>
        <w:rPr>
          <w:color w:val="595959" w:themeColor="text1" w:themeTint="A6"/>
          <w:lang w:val="en-US"/>
        </w:rPr>
      </w:pPr>
      <w:r w:rsidRPr="0093006A">
        <w:rPr>
          <w:color w:val="595959" w:themeColor="text1" w:themeTint="A6"/>
          <w:lang w:val="en-US"/>
        </w:rPr>
        <w:t>Wo</w:t>
      </w:r>
      <w:r w:rsidR="0025689A" w:rsidRPr="0093006A">
        <w:rPr>
          <w:color w:val="595959" w:themeColor="text1" w:themeTint="A6"/>
          <w:lang w:val="en-US"/>
        </w:rPr>
        <w:t>r</w:t>
      </w:r>
      <w:r w:rsidR="007C6D06" w:rsidRPr="0093006A">
        <w:rPr>
          <w:color w:val="595959" w:themeColor="text1" w:themeTint="A6"/>
          <w:lang w:val="en-US"/>
        </w:rPr>
        <w:t>k</w:t>
      </w:r>
    </w:p>
    <w:p w14:paraId="129B3261" w14:textId="4D658C1A" w:rsidR="0025689A" w:rsidRPr="0093006A" w:rsidRDefault="009170D8" w:rsidP="003769B7">
      <w:pPr>
        <w:pStyle w:val="ListParagraph"/>
        <w:numPr>
          <w:ilvl w:val="0"/>
          <w:numId w:val="6"/>
        </w:numPr>
        <w:spacing w:after="120"/>
        <w:rPr>
          <w:color w:val="595959" w:themeColor="text1" w:themeTint="A6"/>
          <w:lang w:val="en-US"/>
        </w:rPr>
      </w:pPr>
      <w:r w:rsidRPr="0093006A">
        <w:rPr>
          <w:color w:val="595959" w:themeColor="text1" w:themeTint="A6"/>
          <w:lang w:val="en-US"/>
        </w:rPr>
        <w:t>Unemployment</w:t>
      </w:r>
    </w:p>
    <w:p w14:paraId="66E86BF5" w14:textId="1D87123A" w:rsidR="0025689A" w:rsidRPr="0093006A" w:rsidRDefault="009170D8" w:rsidP="003769B7">
      <w:pPr>
        <w:pStyle w:val="ListParagraph"/>
        <w:numPr>
          <w:ilvl w:val="0"/>
          <w:numId w:val="6"/>
        </w:numPr>
        <w:spacing w:after="120"/>
        <w:rPr>
          <w:color w:val="595959" w:themeColor="text1" w:themeTint="A6"/>
          <w:lang w:val="en-US"/>
        </w:rPr>
      </w:pPr>
      <w:r w:rsidRPr="0093006A">
        <w:rPr>
          <w:color w:val="595959" w:themeColor="text1" w:themeTint="A6"/>
          <w:lang w:val="en-US"/>
        </w:rPr>
        <w:t>Social support</w:t>
      </w:r>
    </w:p>
    <w:p w14:paraId="7D828319" w14:textId="78F5CA67" w:rsidR="0025689A" w:rsidRPr="0093006A" w:rsidRDefault="009170D8" w:rsidP="003769B7">
      <w:pPr>
        <w:pStyle w:val="ListParagraph"/>
        <w:numPr>
          <w:ilvl w:val="0"/>
          <w:numId w:val="6"/>
        </w:numPr>
        <w:spacing w:after="120"/>
        <w:rPr>
          <w:color w:val="595959" w:themeColor="text1" w:themeTint="A6"/>
          <w:lang w:val="en-US"/>
        </w:rPr>
      </w:pPr>
      <w:r w:rsidRPr="0093006A">
        <w:rPr>
          <w:color w:val="595959" w:themeColor="text1" w:themeTint="A6"/>
          <w:lang w:val="en-US"/>
        </w:rPr>
        <w:t>Addiction</w:t>
      </w:r>
    </w:p>
    <w:p w14:paraId="12EC41E8" w14:textId="4E6D3C69" w:rsidR="0025689A" w:rsidRPr="0093006A" w:rsidRDefault="009170D8" w:rsidP="003769B7">
      <w:pPr>
        <w:pStyle w:val="ListParagraph"/>
        <w:numPr>
          <w:ilvl w:val="0"/>
          <w:numId w:val="6"/>
        </w:numPr>
        <w:spacing w:after="120"/>
        <w:rPr>
          <w:color w:val="595959" w:themeColor="text1" w:themeTint="A6"/>
          <w:lang w:val="en-US"/>
        </w:rPr>
      </w:pPr>
      <w:r w:rsidRPr="0093006A">
        <w:rPr>
          <w:color w:val="595959" w:themeColor="text1" w:themeTint="A6"/>
          <w:lang w:val="en-US"/>
        </w:rPr>
        <w:t>Food</w:t>
      </w:r>
    </w:p>
    <w:p w14:paraId="0CA92372" w14:textId="2F9D73E7" w:rsidR="0025689A" w:rsidRPr="0093006A" w:rsidRDefault="009170D8" w:rsidP="003769B7">
      <w:pPr>
        <w:pStyle w:val="ListParagraph"/>
        <w:numPr>
          <w:ilvl w:val="0"/>
          <w:numId w:val="6"/>
        </w:numPr>
        <w:spacing w:after="120"/>
        <w:rPr>
          <w:color w:val="595959" w:themeColor="text1" w:themeTint="A6"/>
          <w:lang w:val="en-US"/>
        </w:rPr>
      </w:pPr>
      <w:r w:rsidRPr="0093006A">
        <w:rPr>
          <w:color w:val="595959" w:themeColor="text1" w:themeTint="A6"/>
          <w:lang w:val="en-US"/>
        </w:rPr>
        <w:t>Transportation</w:t>
      </w:r>
      <w:r w:rsidR="0025689A" w:rsidRPr="0093006A">
        <w:rPr>
          <w:color w:val="595959" w:themeColor="text1" w:themeTint="A6"/>
          <w:lang w:val="en-US"/>
        </w:rPr>
        <w:t>.</w:t>
      </w:r>
      <w:r w:rsidR="0025689A" w:rsidRPr="0093006A">
        <w:rPr>
          <w:color w:val="595959" w:themeColor="text1" w:themeTint="A6"/>
          <w:sz w:val="16"/>
          <w:szCs w:val="16"/>
          <w:lang w:val="en-US"/>
        </w:rPr>
        <w:footnoteReference w:id="10"/>
      </w:r>
    </w:p>
    <w:p w14:paraId="4FC18ECD" w14:textId="305C4241" w:rsidR="0025689A" w:rsidRPr="0093006A" w:rsidRDefault="0025689A" w:rsidP="00A01ABA">
      <w:pPr>
        <w:spacing w:after="120"/>
        <w:rPr>
          <w:color w:val="595959" w:themeColor="text1" w:themeTint="A6"/>
          <w:lang w:val="en-US"/>
        </w:rPr>
      </w:pPr>
      <w:r w:rsidRPr="0093006A">
        <w:rPr>
          <w:color w:val="595959" w:themeColor="text1" w:themeTint="A6"/>
          <w:lang w:val="en-US"/>
        </w:rPr>
        <w:t xml:space="preserve">Factors related to Indigenous community functioning are also important determinants of Indigenous health and wellbeing. For Indigenous </w:t>
      </w:r>
      <w:r w:rsidR="00563300" w:rsidRPr="0093006A">
        <w:rPr>
          <w:color w:val="595959" w:themeColor="text1" w:themeTint="A6"/>
          <w:lang w:val="en-US"/>
        </w:rPr>
        <w:t>Australians</w:t>
      </w:r>
      <w:r w:rsidRPr="0093006A">
        <w:rPr>
          <w:color w:val="595959" w:themeColor="text1" w:themeTint="A6"/>
          <w:lang w:val="en-US"/>
        </w:rPr>
        <w:t>, the social determinants of health also include factors such as cultural identity, family, participation in cultural activities and access to traditional lands.</w:t>
      </w:r>
      <w:r w:rsidR="00C17B63" w:rsidRPr="0093006A">
        <w:rPr>
          <w:rStyle w:val="FootnoteReference"/>
          <w:color w:val="595959" w:themeColor="text1" w:themeTint="A6"/>
          <w:lang w:val="en-US"/>
        </w:rPr>
        <w:footnoteReference w:id="11"/>
      </w:r>
      <w:r w:rsidR="00C17B63" w:rsidRPr="0093006A" w:rsidDel="00C17B63">
        <w:rPr>
          <w:color w:val="595959" w:themeColor="text1" w:themeTint="A6"/>
          <w:lang w:val="en-US"/>
        </w:rPr>
        <w:t xml:space="preserve"> </w:t>
      </w:r>
    </w:p>
    <w:p w14:paraId="4F9025C3" w14:textId="77777777" w:rsidR="0025689A" w:rsidRPr="0093006A" w:rsidRDefault="0025689A" w:rsidP="0025689A">
      <w:pPr>
        <w:spacing w:after="120"/>
        <w:rPr>
          <w:color w:val="595959" w:themeColor="text1" w:themeTint="A6"/>
        </w:rPr>
      </w:pPr>
      <w:r w:rsidRPr="0093006A">
        <w:rPr>
          <w:color w:val="595959" w:themeColor="text1" w:themeTint="A6"/>
          <w:lang w:val="en-US"/>
        </w:rPr>
        <w:t>The key social barriers identified by participants are:</w:t>
      </w:r>
    </w:p>
    <w:p w14:paraId="68059B21" w14:textId="2624E1C5"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S</w:t>
      </w:r>
      <w:r w:rsidR="0025689A" w:rsidRPr="0093006A">
        <w:rPr>
          <w:color w:val="595959" w:themeColor="text1" w:themeTint="A6"/>
          <w:lang w:val="en-US"/>
        </w:rPr>
        <w:t>table, appropriate housing</w:t>
      </w:r>
    </w:p>
    <w:p w14:paraId="3A1D3368" w14:textId="1BB990ED"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 xml:space="preserve">Health, mental health and Alcohol and Other Drugs complexities (and potentially </w:t>
      </w:r>
      <w:r w:rsidR="00E92550" w:rsidRPr="0093006A">
        <w:rPr>
          <w:color w:val="595959" w:themeColor="text1" w:themeTint="A6"/>
          <w:lang w:val="en-US"/>
        </w:rPr>
        <w:t xml:space="preserve">impacts of </w:t>
      </w:r>
      <w:r w:rsidR="0025689A" w:rsidRPr="0093006A">
        <w:rPr>
          <w:color w:val="595959" w:themeColor="text1" w:themeTint="A6"/>
          <w:lang w:val="en-US"/>
        </w:rPr>
        <w:t>dual diagnos</w:t>
      </w:r>
      <w:r w:rsidR="00E92550" w:rsidRPr="0093006A">
        <w:rPr>
          <w:color w:val="595959" w:themeColor="text1" w:themeTint="A6"/>
          <w:lang w:val="en-US"/>
        </w:rPr>
        <w:t>es</w:t>
      </w:r>
      <w:r w:rsidR="0025689A" w:rsidRPr="0093006A">
        <w:rPr>
          <w:color w:val="595959" w:themeColor="text1" w:themeTint="A6"/>
          <w:lang w:val="en-US"/>
        </w:rPr>
        <w:t>)</w:t>
      </w:r>
    </w:p>
    <w:p w14:paraId="0D49DE46" w14:textId="5788276F"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Literacy and numeracy, including language barriers (English as second or other language in remote / very remote communities</w:t>
      </w:r>
      <w:r w:rsidR="00E92550" w:rsidRPr="0093006A">
        <w:rPr>
          <w:color w:val="595959" w:themeColor="text1" w:themeTint="A6"/>
          <w:lang w:val="en-US"/>
        </w:rPr>
        <w:t xml:space="preserve"> and</w:t>
      </w:r>
      <w:r w:rsidR="0025689A" w:rsidRPr="0093006A">
        <w:rPr>
          <w:color w:val="595959" w:themeColor="text1" w:themeTint="A6"/>
          <w:lang w:val="en-US"/>
        </w:rPr>
        <w:t xml:space="preserve"> grasp of labour force language more generally)</w:t>
      </w:r>
    </w:p>
    <w:p w14:paraId="65E0CD76" w14:textId="4BFCEDC1"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L</w:t>
      </w:r>
      <w:r w:rsidR="0025689A" w:rsidRPr="0093006A">
        <w:rPr>
          <w:color w:val="595959" w:themeColor="text1" w:themeTint="A6"/>
          <w:lang w:val="en-US"/>
        </w:rPr>
        <w:t>ack of family and / or community support</w:t>
      </w:r>
    </w:p>
    <w:p w14:paraId="7C37243F" w14:textId="6613B253"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S</w:t>
      </w:r>
      <w:r w:rsidR="0025689A" w:rsidRPr="0093006A">
        <w:rPr>
          <w:color w:val="595959" w:themeColor="text1" w:themeTint="A6"/>
          <w:lang w:val="en-US"/>
        </w:rPr>
        <w:t>el</w:t>
      </w:r>
      <w:r w:rsidR="007C6D06" w:rsidRPr="0093006A">
        <w:rPr>
          <w:color w:val="595959" w:themeColor="text1" w:themeTint="A6"/>
          <w:lang w:val="en-US"/>
        </w:rPr>
        <w:t>f</w:t>
      </w:r>
      <w:r w:rsidR="0025689A" w:rsidRPr="0093006A">
        <w:rPr>
          <w:color w:val="595959" w:themeColor="text1" w:themeTint="A6"/>
          <w:lang w:val="en-US"/>
        </w:rPr>
        <w:t>–esteem and confidence levels</w:t>
      </w:r>
    </w:p>
    <w:p w14:paraId="6A7672CE" w14:textId="364678D6"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I</w:t>
      </w:r>
      <w:r w:rsidR="0025689A" w:rsidRPr="0093006A">
        <w:rPr>
          <w:color w:val="595959" w:themeColor="text1" w:themeTint="A6"/>
          <w:lang w:val="en-US"/>
        </w:rPr>
        <w:t>ntergenerational unemployment, intergenerational welfare dependency</w:t>
      </w:r>
    </w:p>
    <w:p w14:paraId="5D1F34A8" w14:textId="516AFAFD"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T</w:t>
      </w:r>
      <w:r w:rsidR="0025689A" w:rsidRPr="0093006A">
        <w:rPr>
          <w:color w:val="595959" w:themeColor="text1" w:themeTint="A6"/>
          <w:lang w:val="en-US"/>
        </w:rPr>
        <w:t xml:space="preserve">ransport / </w:t>
      </w:r>
      <w:r w:rsidR="009C650D" w:rsidRPr="0093006A">
        <w:rPr>
          <w:color w:val="595959" w:themeColor="text1" w:themeTint="A6"/>
          <w:lang w:val="en-US"/>
        </w:rPr>
        <w:t>drivers’</w:t>
      </w:r>
      <w:r w:rsidR="0025689A" w:rsidRPr="0093006A">
        <w:rPr>
          <w:color w:val="595959" w:themeColor="text1" w:themeTint="A6"/>
          <w:lang w:val="en-US"/>
        </w:rPr>
        <w:t xml:space="preserve"> licenses</w:t>
      </w:r>
    </w:p>
    <w:p w14:paraId="1133F97C" w14:textId="75E59859"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C</w:t>
      </w:r>
      <w:r w:rsidR="0025689A" w:rsidRPr="0093006A">
        <w:rPr>
          <w:color w:val="595959" w:themeColor="text1" w:themeTint="A6"/>
          <w:lang w:val="en-US"/>
        </w:rPr>
        <w:t>hildcare</w:t>
      </w:r>
    </w:p>
    <w:p w14:paraId="11F6C578" w14:textId="5332DAB6"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 xml:space="preserve">A lack of </w:t>
      </w:r>
      <w:r w:rsidR="007C6D06" w:rsidRPr="0093006A">
        <w:rPr>
          <w:color w:val="595959" w:themeColor="text1" w:themeTint="A6"/>
          <w:lang w:val="en-US"/>
        </w:rPr>
        <w:t>understanding by employers and service providers of a participant’s f</w:t>
      </w:r>
      <w:r w:rsidR="0025689A" w:rsidRPr="0093006A">
        <w:rPr>
          <w:color w:val="595959" w:themeColor="text1" w:themeTint="A6"/>
          <w:lang w:val="en-US"/>
        </w:rPr>
        <w:t>amily and cultural obligations</w:t>
      </w:r>
    </w:p>
    <w:p w14:paraId="430241A5" w14:textId="7185D271"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F</w:t>
      </w:r>
      <w:r w:rsidR="0025689A" w:rsidRPr="0093006A">
        <w:rPr>
          <w:color w:val="595959" w:themeColor="text1" w:themeTint="A6"/>
          <w:lang w:val="en-US"/>
        </w:rPr>
        <w:t>amily safety</w:t>
      </w:r>
    </w:p>
    <w:p w14:paraId="489D217F" w14:textId="7E8A129A" w:rsidR="00A01AB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I</w:t>
      </w:r>
      <w:r w:rsidR="0025689A" w:rsidRPr="0093006A">
        <w:rPr>
          <w:color w:val="595959" w:themeColor="text1" w:themeTint="A6"/>
          <w:lang w:val="en-US"/>
        </w:rPr>
        <w:t>dentification documentation issues</w:t>
      </w:r>
    </w:p>
    <w:p w14:paraId="4F1AD4B6" w14:textId="08201D6B" w:rsidR="0025689A" w:rsidRPr="0093006A" w:rsidRDefault="00C17B63" w:rsidP="003769B7">
      <w:pPr>
        <w:pStyle w:val="ListParagraph"/>
        <w:numPr>
          <w:ilvl w:val="0"/>
          <w:numId w:val="46"/>
        </w:numPr>
        <w:spacing w:after="120"/>
        <w:rPr>
          <w:color w:val="595959" w:themeColor="text1" w:themeTint="A6"/>
        </w:rPr>
      </w:pPr>
      <w:r w:rsidRPr="0093006A">
        <w:rPr>
          <w:color w:val="595959" w:themeColor="text1" w:themeTint="A6"/>
          <w:lang w:val="en-US"/>
        </w:rPr>
        <w:t>C</w:t>
      </w:r>
      <w:r w:rsidR="0025689A" w:rsidRPr="0093006A">
        <w:rPr>
          <w:color w:val="595959" w:themeColor="text1" w:themeTint="A6"/>
          <w:lang w:val="en-US"/>
        </w:rPr>
        <w:t>riminal records.</w:t>
      </w:r>
    </w:p>
    <w:p w14:paraId="535F2035" w14:textId="77777777" w:rsidR="00996704" w:rsidRPr="0093006A" w:rsidRDefault="00996704" w:rsidP="00996704">
      <w:pPr>
        <w:pStyle w:val="ListParagraph"/>
        <w:spacing w:after="120"/>
        <w:rPr>
          <w:color w:val="595959" w:themeColor="text1" w:themeTint="A6"/>
        </w:rPr>
      </w:pP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1"/>
        <w:tblDescription w:val="Addressing social barriers experienced by Indigenous jobseekers and employees is a strong determinant of long-term successful careers "/>
      </w:tblPr>
      <w:tblGrid>
        <w:gridCol w:w="8930"/>
      </w:tblGrid>
      <w:tr w:rsidR="0093006A" w:rsidRPr="0093006A" w14:paraId="1C1DFAB5" w14:textId="77777777" w:rsidTr="00A96444">
        <w:trPr>
          <w:cantSplit/>
          <w:tblHeader/>
        </w:trPr>
        <w:tc>
          <w:tcPr>
            <w:tcW w:w="8930" w:type="dxa"/>
            <w:shd w:val="clear" w:color="auto" w:fill="auto"/>
          </w:tcPr>
          <w:p w14:paraId="03638625" w14:textId="10C28202" w:rsidR="00A01ABA" w:rsidRPr="0093006A" w:rsidRDefault="00A01ABA" w:rsidP="00A01ABA">
            <w:pPr>
              <w:spacing w:after="120"/>
              <w:rPr>
                <w:b/>
                <w:bCs/>
                <w:i/>
                <w:iCs/>
                <w:color w:val="595959" w:themeColor="text1" w:themeTint="A6"/>
              </w:rPr>
            </w:pPr>
            <w:r w:rsidRPr="0093006A">
              <w:rPr>
                <w:b/>
                <w:bCs/>
                <w:i/>
                <w:iCs/>
                <w:color w:val="595959" w:themeColor="text1" w:themeTint="A6"/>
              </w:rPr>
              <w:t xml:space="preserve">Key </w:t>
            </w:r>
            <w:r w:rsidR="0012269A" w:rsidRPr="0093006A">
              <w:rPr>
                <w:b/>
                <w:bCs/>
                <w:i/>
                <w:iCs/>
                <w:color w:val="595959" w:themeColor="text1" w:themeTint="A6"/>
              </w:rPr>
              <w:t>I</w:t>
            </w:r>
            <w:r w:rsidRPr="0093006A">
              <w:rPr>
                <w:b/>
                <w:bCs/>
                <w:i/>
                <w:iCs/>
                <w:color w:val="595959" w:themeColor="text1" w:themeTint="A6"/>
              </w:rPr>
              <w:t>nsight</w:t>
            </w:r>
            <w:r w:rsidR="00DF6C0D" w:rsidRPr="0093006A">
              <w:rPr>
                <w:b/>
                <w:bCs/>
                <w:i/>
                <w:iCs/>
                <w:color w:val="595959" w:themeColor="text1" w:themeTint="A6"/>
              </w:rPr>
              <w:t xml:space="preserve"> 1</w:t>
            </w:r>
          </w:p>
        </w:tc>
      </w:tr>
      <w:tr w:rsidR="0093006A" w:rsidRPr="0093006A" w14:paraId="6C65197F" w14:textId="77777777" w:rsidTr="00A96444">
        <w:trPr>
          <w:cantSplit/>
          <w:tblHeader/>
        </w:trPr>
        <w:tc>
          <w:tcPr>
            <w:tcW w:w="8930" w:type="dxa"/>
            <w:shd w:val="clear" w:color="auto" w:fill="auto"/>
          </w:tcPr>
          <w:p w14:paraId="09186F5C" w14:textId="74AE0B6C" w:rsidR="00C17B63" w:rsidRPr="0093006A" w:rsidRDefault="00C17B63" w:rsidP="00C17B63">
            <w:pPr>
              <w:spacing w:after="120"/>
              <w:textDirection w:val="btLr"/>
              <w:rPr>
                <w:b/>
                <w:bCs/>
                <w:color w:val="595959" w:themeColor="text1" w:themeTint="A6"/>
              </w:rPr>
            </w:pPr>
            <w:r w:rsidRPr="0093006A">
              <w:rPr>
                <w:b/>
                <w:bCs/>
                <w:color w:val="595959" w:themeColor="text1" w:themeTint="A6"/>
              </w:rPr>
              <w:t xml:space="preserve">Addressing social barriers experienced by Indigenous jobseekers and employees is a strong determinant of long-term successful careers </w:t>
            </w:r>
          </w:p>
          <w:p w14:paraId="1E2E2C45" w14:textId="0204D927" w:rsidR="00A01ABA" w:rsidRPr="0093006A" w:rsidRDefault="00C17B63" w:rsidP="00A01ABA">
            <w:pPr>
              <w:spacing w:after="120"/>
              <w:rPr>
                <w:color w:val="595959" w:themeColor="text1" w:themeTint="A6"/>
                <w:lang w:val="en-US"/>
              </w:rPr>
            </w:pPr>
            <w:r w:rsidRPr="0093006A">
              <w:rPr>
                <w:color w:val="595959" w:themeColor="text1" w:themeTint="A6"/>
              </w:rPr>
              <w:t xml:space="preserve">There is a set of key social barriers that exist across geographic locations that act as significant barriers to employment and retention for Indigenous Australians, in line with the recognised social determinants of health. These social barriers are foundational and </w:t>
            </w:r>
            <w:r w:rsidR="00937ED9" w:rsidRPr="0093006A">
              <w:rPr>
                <w:color w:val="595959" w:themeColor="text1" w:themeTint="A6"/>
              </w:rPr>
              <w:t xml:space="preserve">should </w:t>
            </w:r>
            <w:r w:rsidRPr="0093006A">
              <w:rPr>
                <w:color w:val="595959" w:themeColor="text1" w:themeTint="A6"/>
              </w:rPr>
              <w:t>be addressed in parallel with employment-specific program design.</w:t>
            </w:r>
          </w:p>
        </w:tc>
      </w:tr>
    </w:tbl>
    <w:p w14:paraId="3B81A6E8" w14:textId="77777777" w:rsidR="00B2491E" w:rsidRPr="0093006A" w:rsidRDefault="00B2491E" w:rsidP="0025689A">
      <w:pPr>
        <w:spacing w:after="120"/>
        <w:rPr>
          <w:color w:val="595959" w:themeColor="text1" w:themeTint="A6"/>
          <w:lang w:val="en-US"/>
        </w:rPr>
      </w:pPr>
    </w:p>
    <w:p w14:paraId="0C421790" w14:textId="38E81BDC" w:rsidR="0025689A" w:rsidRPr="0093006A" w:rsidRDefault="0025689A" w:rsidP="0025689A">
      <w:pPr>
        <w:spacing w:after="120"/>
        <w:rPr>
          <w:color w:val="595959" w:themeColor="text1" w:themeTint="A6"/>
          <w:lang w:val="en-US"/>
        </w:rPr>
      </w:pPr>
      <w:r w:rsidRPr="0093006A">
        <w:rPr>
          <w:color w:val="595959" w:themeColor="text1" w:themeTint="A6"/>
          <w:lang w:val="en-US"/>
        </w:rPr>
        <w:t xml:space="preserve">Despite a considerable body of programmatic work to date, there remains a set of entrenched employment access barriers that continue to impede Indigenous </w:t>
      </w:r>
      <w:r w:rsidR="00563300" w:rsidRPr="0093006A">
        <w:rPr>
          <w:color w:val="595959" w:themeColor="text1" w:themeTint="A6"/>
          <w:lang w:val="en-US"/>
        </w:rPr>
        <w:t xml:space="preserve">Australian’s </w:t>
      </w:r>
      <w:r w:rsidRPr="0093006A">
        <w:rPr>
          <w:color w:val="595959" w:themeColor="text1" w:themeTint="A6"/>
          <w:lang w:val="en-US"/>
        </w:rPr>
        <w:t xml:space="preserve">ability to enter and remain in employment that the ISEP must approach in conjunction with Indigenous communities and their organisations. </w:t>
      </w:r>
    </w:p>
    <w:p w14:paraId="5E8EB54B" w14:textId="74425885" w:rsidR="0025689A" w:rsidRPr="0093006A" w:rsidRDefault="0025689A" w:rsidP="0025689A">
      <w:pPr>
        <w:spacing w:after="120"/>
        <w:rPr>
          <w:color w:val="595959" w:themeColor="text1" w:themeTint="A6"/>
          <w:lang w:val="en-US"/>
        </w:rPr>
      </w:pPr>
      <w:r w:rsidRPr="0093006A">
        <w:rPr>
          <w:color w:val="595959" w:themeColor="text1" w:themeTint="A6"/>
          <w:lang w:val="en-US"/>
        </w:rPr>
        <w:t xml:space="preserve">Across the country and regardless of stakeholder type, participants nominated a series of impediments </w:t>
      </w:r>
      <w:r w:rsidR="00D0549F" w:rsidRPr="0093006A">
        <w:rPr>
          <w:color w:val="595959" w:themeColor="text1" w:themeTint="A6"/>
          <w:lang w:val="en-US"/>
        </w:rPr>
        <w:t>to</w:t>
      </w:r>
      <w:r w:rsidRPr="0093006A">
        <w:rPr>
          <w:color w:val="595959" w:themeColor="text1" w:themeTint="A6"/>
          <w:lang w:val="en-US"/>
        </w:rPr>
        <w:t xml:space="preserve"> Indigenous </w:t>
      </w:r>
      <w:r w:rsidR="00563300" w:rsidRPr="0093006A">
        <w:rPr>
          <w:color w:val="595959" w:themeColor="text1" w:themeTint="A6"/>
          <w:lang w:val="en-US"/>
        </w:rPr>
        <w:t>Australian</w:t>
      </w:r>
      <w:r w:rsidR="00851C95" w:rsidRPr="0093006A">
        <w:rPr>
          <w:color w:val="595959" w:themeColor="text1" w:themeTint="A6"/>
          <w:lang w:val="en-US"/>
        </w:rPr>
        <w:t>s’</w:t>
      </w:r>
      <w:r w:rsidR="00563300" w:rsidRPr="0093006A">
        <w:rPr>
          <w:color w:val="595959" w:themeColor="text1" w:themeTint="A6"/>
          <w:lang w:val="en-US"/>
        </w:rPr>
        <w:t xml:space="preserve"> </w:t>
      </w:r>
      <w:r w:rsidRPr="0093006A">
        <w:rPr>
          <w:color w:val="595959" w:themeColor="text1" w:themeTint="A6"/>
          <w:lang w:val="en-US"/>
        </w:rPr>
        <w:t xml:space="preserve">access to employment that </w:t>
      </w:r>
      <w:r w:rsidR="00D0549F" w:rsidRPr="0093006A">
        <w:rPr>
          <w:color w:val="595959" w:themeColor="text1" w:themeTint="A6"/>
          <w:lang w:val="en-US"/>
        </w:rPr>
        <w:t>affect</w:t>
      </w:r>
      <w:r w:rsidRPr="0093006A">
        <w:rPr>
          <w:color w:val="595959" w:themeColor="text1" w:themeTint="A6"/>
          <w:lang w:val="en-US"/>
        </w:rPr>
        <w:t xml:space="preserve"> their capacity to </w:t>
      </w:r>
      <w:r w:rsidR="00D0549F" w:rsidRPr="0093006A">
        <w:rPr>
          <w:color w:val="595959" w:themeColor="text1" w:themeTint="A6"/>
          <w:lang w:val="en-US"/>
        </w:rPr>
        <w:t>engage with</w:t>
      </w:r>
      <w:r w:rsidRPr="0093006A">
        <w:rPr>
          <w:color w:val="595959" w:themeColor="text1" w:themeTint="A6"/>
          <w:lang w:val="en-US"/>
        </w:rPr>
        <w:t xml:space="preserve"> employment.  These included:</w:t>
      </w:r>
    </w:p>
    <w:p w14:paraId="23CDF11D" w14:textId="304AE984" w:rsidR="0025689A" w:rsidRPr="0093006A" w:rsidRDefault="00981521" w:rsidP="003769B7">
      <w:pPr>
        <w:pStyle w:val="ListParagraph"/>
        <w:numPr>
          <w:ilvl w:val="0"/>
          <w:numId w:val="35"/>
        </w:numPr>
        <w:spacing w:after="120"/>
        <w:rPr>
          <w:color w:val="595959" w:themeColor="text1" w:themeTint="A6"/>
        </w:rPr>
      </w:pPr>
      <w:r w:rsidRPr="0093006A">
        <w:rPr>
          <w:color w:val="595959" w:themeColor="text1" w:themeTint="A6"/>
          <w:lang w:val="en-US"/>
        </w:rPr>
        <w:t>J</w:t>
      </w:r>
      <w:r w:rsidR="0025689A" w:rsidRPr="0093006A">
        <w:rPr>
          <w:color w:val="595959" w:themeColor="text1" w:themeTint="A6"/>
          <w:lang w:val="en-US"/>
        </w:rPr>
        <w:t>ob readiness: Job readiness continues to be an issue among Indigenous jobseekers regardless of location. While it must be acknowledged that this was predominantly an issue raised by non-Indigenous employers, it was also an issue for community members and ACCOs who cited the need for an Indigenous le</w:t>
      </w:r>
      <w:r w:rsidR="00246A48" w:rsidRPr="0093006A">
        <w:rPr>
          <w:color w:val="595959" w:themeColor="text1" w:themeTint="A6"/>
          <w:lang w:val="en-US"/>
        </w:rPr>
        <w:t>d</w:t>
      </w:r>
      <w:r w:rsidR="0025689A" w:rsidRPr="0093006A">
        <w:rPr>
          <w:color w:val="595959" w:themeColor="text1" w:themeTint="A6"/>
          <w:lang w:val="en-US"/>
        </w:rPr>
        <w:t xml:space="preserve"> policy approach</w:t>
      </w:r>
      <w:r w:rsidR="00246A48" w:rsidRPr="0093006A">
        <w:rPr>
          <w:color w:val="595959" w:themeColor="text1" w:themeTint="A6"/>
          <w:lang w:val="en-US"/>
        </w:rPr>
        <w:t>.</w:t>
      </w:r>
    </w:p>
    <w:p w14:paraId="2EA7AA78" w14:textId="5DFE55C2" w:rsidR="0025689A" w:rsidRPr="0093006A" w:rsidRDefault="00981521" w:rsidP="00981521">
      <w:pPr>
        <w:pStyle w:val="ListParagraph"/>
        <w:numPr>
          <w:ilvl w:val="0"/>
          <w:numId w:val="35"/>
        </w:numPr>
        <w:spacing w:after="120"/>
        <w:rPr>
          <w:color w:val="595959" w:themeColor="text1" w:themeTint="A6"/>
        </w:rPr>
      </w:pPr>
      <w:r w:rsidRPr="0093006A">
        <w:rPr>
          <w:color w:val="595959" w:themeColor="text1" w:themeTint="A6"/>
          <w:lang w:val="en-US"/>
        </w:rPr>
        <w:t>T</w:t>
      </w:r>
      <w:r w:rsidR="0025689A" w:rsidRPr="0093006A">
        <w:rPr>
          <w:color w:val="595959" w:themeColor="text1" w:themeTint="A6"/>
          <w:lang w:val="en-US"/>
        </w:rPr>
        <w:t xml:space="preserve">raditional human resources / people and culture process and structures: The language and structures of recruitment continue </w:t>
      </w:r>
      <w:r w:rsidR="00246A48" w:rsidRPr="0093006A">
        <w:rPr>
          <w:color w:val="595959" w:themeColor="text1" w:themeTint="A6"/>
          <w:lang w:val="en-US"/>
        </w:rPr>
        <w:t>to exclude</w:t>
      </w:r>
      <w:r w:rsidR="0025689A" w:rsidRPr="0093006A">
        <w:rPr>
          <w:color w:val="595959" w:themeColor="text1" w:themeTint="A6"/>
          <w:lang w:val="en-US"/>
        </w:rPr>
        <w:t xml:space="preserve"> Indigenous people, many of whom are unable to successfully navigate </w:t>
      </w:r>
      <w:r w:rsidR="00340AB9" w:rsidRPr="0093006A">
        <w:rPr>
          <w:color w:val="595959" w:themeColor="text1" w:themeTint="A6"/>
          <w:lang w:val="en-US"/>
        </w:rPr>
        <w:t xml:space="preserve">the language of </w:t>
      </w:r>
      <w:r w:rsidR="0025689A" w:rsidRPr="0093006A">
        <w:rPr>
          <w:color w:val="595959" w:themeColor="text1" w:themeTint="A6"/>
          <w:lang w:val="en-US"/>
        </w:rPr>
        <w:t>job advertisement</w:t>
      </w:r>
      <w:r w:rsidR="00340AB9" w:rsidRPr="0093006A">
        <w:rPr>
          <w:color w:val="595959" w:themeColor="text1" w:themeTint="A6"/>
          <w:lang w:val="en-US"/>
        </w:rPr>
        <w:t xml:space="preserve">s and </w:t>
      </w:r>
      <w:r w:rsidR="0025689A" w:rsidRPr="0093006A">
        <w:rPr>
          <w:color w:val="595959" w:themeColor="text1" w:themeTint="A6"/>
          <w:lang w:val="en-US"/>
        </w:rPr>
        <w:t xml:space="preserve">selection criteria systems that may be unrealistic or restrictive, and </w:t>
      </w:r>
      <w:r w:rsidR="00340AB9" w:rsidRPr="0093006A">
        <w:rPr>
          <w:color w:val="595959" w:themeColor="text1" w:themeTint="A6"/>
          <w:lang w:val="en-US"/>
        </w:rPr>
        <w:t xml:space="preserve">to provide the </w:t>
      </w:r>
      <w:r w:rsidR="0025689A" w:rsidRPr="0093006A">
        <w:rPr>
          <w:color w:val="595959" w:themeColor="text1" w:themeTint="A6"/>
          <w:lang w:val="en-US"/>
        </w:rPr>
        <w:t>required personal documentation</w:t>
      </w:r>
      <w:r w:rsidR="00340AB9" w:rsidRPr="0093006A">
        <w:rPr>
          <w:color w:val="595959" w:themeColor="text1" w:themeTint="A6"/>
          <w:lang w:val="en-US"/>
        </w:rPr>
        <w:t>.</w:t>
      </w:r>
    </w:p>
    <w:p w14:paraId="71439BA0" w14:textId="536594B9" w:rsidR="0025689A" w:rsidRPr="0093006A" w:rsidRDefault="00981521" w:rsidP="003769B7">
      <w:pPr>
        <w:pStyle w:val="ListParagraph"/>
        <w:numPr>
          <w:ilvl w:val="0"/>
          <w:numId w:val="34"/>
        </w:numPr>
        <w:spacing w:after="120"/>
        <w:rPr>
          <w:color w:val="595959" w:themeColor="text1" w:themeTint="A6"/>
          <w:lang w:val="en-US"/>
        </w:rPr>
      </w:pPr>
      <w:r w:rsidRPr="0093006A">
        <w:rPr>
          <w:color w:val="595959" w:themeColor="text1" w:themeTint="A6"/>
          <w:lang w:val="en-US"/>
        </w:rPr>
        <w:t>A</w:t>
      </w:r>
      <w:r w:rsidR="0025689A" w:rsidRPr="0093006A">
        <w:rPr>
          <w:color w:val="595959" w:themeColor="text1" w:themeTint="A6"/>
          <w:lang w:val="en-US"/>
        </w:rPr>
        <w:t>ccess to information technology (IT):</w:t>
      </w:r>
      <w:r w:rsidR="0025689A" w:rsidRPr="0093006A">
        <w:rPr>
          <w:b/>
          <w:bCs/>
          <w:color w:val="595959" w:themeColor="text1" w:themeTint="A6"/>
          <w:lang w:val="en-US"/>
        </w:rPr>
        <w:t xml:space="preserve"> </w:t>
      </w:r>
      <w:r w:rsidR="0025689A" w:rsidRPr="0093006A">
        <w:rPr>
          <w:color w:val="595959" w:themeColor="text1" w:themeTint="A6"/>
          <w:lang w:val="en-US"/>
        </w:rPr>
        <w:t>Across all locations</w:t>
      </w:r>
      <w:r w:rsidR="00274AEF" w:rsidRPr="0093006A">
        <w:rPr>
          <w:color w:val="595959" w:themeColor="text1" w:themeTint="A6"/>
          <w:lang w:val="en-US"/>
        </w:rPr>
        <w:t>,</w:t>
      </w:r>
      <w:r w:rsidR="0025689A" w:rsidRPr="0093006A">
        <w:rPr>
          <w:color w:val="595959" w:themeColor="text1" w:themeTint="A6"/>
          <w:lang w:val="en-US"/>
        </w:rPr>
        <w:t xml:space="preserve"> lack of IT access is common to Indigenous jobseekers</w:t>
      </w:r>
      <w:r w:rsidR="00340AB9" w:rsidRPr="0093006A">
        <w:rPr>
          <w:color w:val="595959" w:themeColor="text1" w:themeTint="A6"/>
          <w:lang w:val="en-US"/>
        </w:rPr>
        <w:t xml:space="preserve">. This </w:t>
      </w:r>
      <w:r w:rsidR="0025689A" w:rsidRPr="0093006A">
        <w:rPr>
          <w:color w:val="595959" w:themeColor="text1" w:themeTint="A6"/>
          <w:lang w:val="en-US"/>
        </w:rPr>
        <w:t xml:space="preserve">may relate to equipment, where one laptop or computer may be shared across a household or further; insufficient data to regularly access the digital jobs market; </w:t>
      </w:r>
      <w:r w:rsidR="00340AB9" w:rsidRPr="0093006A">
        <w:rPr>
          <w:color w:val="595959" w:themeColor="text1" w:themeTint="A6"/>
          <w:lang w:val="en-US"/>
        </w:rPr>
        <w:t xml:space="preserve">access to </w:t>
      </w:r>
      <w:r w:rsidR="0025689A" w:rsidRPr="0093006A">
        <w:rPr>
          <w:color w:val="595959" w:themeColor="text1" w:themeTint="A6"/>
          <w:lang w:val="en-US"/>
        </w:rPr>
        <w:t>WIFI due to cost or coverage; or sole reliance on a smart phone for all digital engagement for education or employment whether suitable or not</w:t>
      </w:r>
      <w:r w:rsidR="00340AB9" w:rsidRPr="0093006A">
        <w:rPr>
          <w:color w:val="595959" w:themeColor="text1" w:themeTint="A6"/>
          <w:lang w:val="en-US"/>
        </w:rPr>
        <w:t>.</w:t>
      </w:r>
    </w:p>
    <w:p w14:paraId="49B647C1" w14:textId="18F7EB77" w:rsidR="0025689A" w:rsidRPr="0093006A" w:rsidRDefault="00981521" w:rsidP="003769B7">
      <w:pPr>
        <w:pStyle w:val="ListParagraph"/>
        <w:numPr>
          <w:ilvl w:val="0"/>
          <w:numId w:val="34"/>
        </w:numPr>
        <w:spacing w:after="120"/>
        <w:rPr>
          <w:color w:val="595959" w:themeColor="text1" w:themeTint="A6"/>
          <w:lang w:val="en-US"/>
        </w:rPr>
      </w:pPr>
      <w:r w:rsidRPr="0093006A">
        <w:rPr>
          <w:color w:val="595959" w:themeColor="text1" w:themeTint="A6"/>
          <w:lang w:val="en-US"/>
        </w:rPr>
        <w:t>L</w:t>
      </w:r>
      <w:r w:rsidR="0025689A" w:rsidRPr="0093006A">
        <w:rPr>
          <w:color w:val="595959" w:themeColor="text1" w:themeTint="A6"/>
          <w:lang w:val="en-US"/>
        </w:rPr>
        <w:t>ack of entry-level jobs for unskilled jobseekers to enter employment</w:t>
      </w:r>
      <w:r w:rsidR="00340AB9" w:rsidRPr="0093006A">
        <w:rPr>
          <w:color w:val="595959" w:themeColor="text1" w:themeTint="A6"/>
          <w:lang w:val="en-US"/>
        </w:rPr>
        <w:t>.</w:t>
      </w:r>
    </w:p>
    <w:p w14:paraId="70EB900D" w14:textId="6A87AF6C" w:rsidR="0025689A" w:rsidRPr="0093006A" w:rsidRDefault="00981521" w:rsidP="003769B7">
      <w:pPr>
        <w:pStyle w:val="ListParagraph"/>
        <w:numPr>
          <w:ilvl w:val="0"/>
          <w:numId w:val="34"/>
        </w:numPr>
        <w:spacing w:after="120"/>
        <w:rPr>
          <w:color w:val="595959" w:themeColor="text1" w:themeTint="A6"/>
          <w:lang w:val="en-US"/>
        </w:rPr>
      </w:pPr>
      <w:r w:rsidRPr="0093006A">
        <w:rPr>
          <w:color w:val="595959" w:themeColor="text1" w:themeTint="A6"/>
          <w:lang w:val="en-US"/>
        </w:rPr>
        <w:t>I</w:t>
      </w:r>
      <w:r w:rsidR="0025689A" w:rsidRPr="0093006A">
        <w:rPr>
          <w:color w:val="595959" w:themeColor="text1" w:themeTint="A6"/>
          <w:lang w:val="en-US"/>
        </w:rPr>
        <w:t xml:space="preserve">nsufficient knowledge of </w:t>
      </w:r>
      <w:r w:rsidR="00340AB9" w:rsidRPr="0093006A">
        <w:rPr>
          <w:color w:val="595959" w:themeColor="text1" w:themeTint="A6"/>
          <w:lang w:val="en-US"/>
        </w:rPr>
        <w:t xml:space="preserve">available </w:t>
      </w:r>
      <w:r w:rsidR="0025689A" w:rsidRPr="0093006A">
        <w:rPr>
          <w:color w:val="595959" w:themeColor="text1" w:themeTint="A6"/>
          <w:lang w:val="en-US"/>
        </w:rPr>
        <w:t xml:space="preserve">employment options </w:t>
      </w:r>
      <w:r w:rsidR="0025689A" w:rsidRPr="0093006A">
        <w:rPr>
          <w:color w:val="595959" w:themeColor="text1" w:themeTint="A6"/>
        </w:rPr>
        <w:t>resulting in a lack of exposure to diverse employment op</w:t>
      </w:r>
      <w:r w:rsidR="00293623" w:rsidRPr="0093006A">
        <w:rPr>
          <w:color w:val="595959" w:themeColor="text1" w:themeTint="A6"/>
        </w:rPr>
        <w:t>portunities</w:t>
      </w:r>
      <w:r w:rsidR="0025689A" w:rsidRPr="0093006A">
        <w:rPr>
          <w:color w:val="595959" w:themeColor="text1" w:themeTint="A6"/>
        </w:rPr>
        <w:t xml:space="preserve"> </w:t>
      </w:r>
      <w:r w:rsidR="007774FB" w:rsidRPr="0093006A">
        <w:rPr>
          <w:color w:val="595959" w:themeColor="text1" w:themeTint="A6"/>
        </w:rPr>
        <w:t xml:space="preserve">that </w:t>
      </w:r>
      <w:r w:rsidR="00B2491E" w:rsidRPr="0093006A">
        <w:rPr>
          <w:color w:val="595959" w:themeColor="text1" w:themeTint="A6"/>
        </w:rPr>
        <w:t xml:space="preserve">in some circumstance can provide </w:t>
      </w:r>
      <w:r w:rsidR="00340AB9" w:rsidRPr="0093006A">
        <w:rPr>
          <w:color w:val="595959" w:themeColor="text1" w:themeTint="A6"/>
        </w:rPr>
        <w:t>access to</w:t>
      </w:r>
      <w:r w:rsidR="0025689A" w:rsidRPr="0093006A">
        <w:rPr>
          <w:color w:val="595959" w:themeColor="text1" w:themeTint="A6"/>
        </w:rPr>
        <w:t xml:space="preserve"> employment entry. </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2"/>
        <w:tblDescription w:val="The ISEP should aim to address entrenched or ‘wicked’ problems that continue to create Indigenous employment barriers in locally specific ways "/>
      </w:tblPr>
      <w:tblGrid>
        <w:gridCol w:w="8930"/>
      </w:tblGrid>
      <w:tr w:rsidR="0093006A" w:rsidRPr="0093006A" w14:paraId="278C89EA" w14:textId="77777777" w:rsidTr="00C63688">
        <w:trPr>
          <w:cantSplit/>
          <w:tblHeader/>
        </w:trPr>
        <w:tc>
          <w:tcPr>
            <w:tcW w:w="8930" w:type="dxa"/>
            <w:shd w:val="clear" w:color="auto" w:fill="auto"/>
          </w:tcPr>
          <w:p w14:paraId="180233DE" w14:textId="13A5DF9B" w:rsidR="00056A22" w:rsidRPr="0093006A" w:rsidRDefault="00056A22" w:rsidP="0048465C">
            <w:pPr>
              <w:spacing w:after="120"/>
              <w:rPr>
                <w:b/>
                <w:bCs/>
                <w:i/>
                <w:iCs/>
                <w:color w:val="595959" w:themeColor="text1" w:themeTint="A6"/>
              </w:rPr>
            </w:pPr>
            <w:r w:rsidRPr="0093006A">
              <w:rPr>
                <w:b/>
                <w:bCs/>
                <w:i/>
                <w:iCs/>
                <w:color w:val="595959" w:themeColor="text1" w:themeTint="A6"/>
              </w:rPr>
              <w:t xml:space="preserve">Key </w:t>
            </w:r>
            <w:r w:rsidR="00D84544" w:rsidRPr="0093006A">
              <w:rPr>
                <w:b/>
                <w:bCs/>
                <w:i/>
                <w:iCs/>
                <w:color w:val="595959" w:themeColor="text1" w:themeTint="A6"/>
              </w:rPr>
              <w:t>I</w:t>
            </w:r>
            <w:r w:rsidRPr="0093006A">
              <w:rPr>
                <w:b/>
                <w:bCs/>
                <w:i/>
                <w:iCs/>
                <w:color w:val="595959" w:themeColor="text1" w:themeTint="A6"/>
              </w:rPr>
              <w:t>nsight</w:t>
            </w:r>
            <w:r w:rsidR="00DF6C0D" w:rsidRPr="0093006A">
              <w:rPr>
                <w:b/>
                <w:bCs/>
                <w:i/>
                <w:iCs/>
                <w:color w:val="595959" w:themeColor="text1" w:themeTint="A6"/>
              </w:rPr>
              <w:t xml:space="preserve"> 2</w:t>
            </w:r>
          </w:p>
        </w:tc>
      </w:tr>
      <w:tr w:rsidR="0093006A" w:rsidRPr="0093006A" w14:paraId="0189D46D" w14:textId="77777777" w:rsidTr="00C63688">
        <w:trPr>
          <w:cantSplit/>
          <w:tblHeader/>
        </w:trPr>
        <w:tc>
          <w:tcPr>
            <w:tcW w:w="8930" w:type="dxa"/>
            <w:shd w:val="clear" w:color="auto" w:fill="auto"/>
          </w:tcPr>
          <w:p w14:paraId="7D48CB61" w14:textId="0BD4D338" w:rsidR="00C17B63" w:rsidRPr="0093006A" w:rsidRDefault="00C17B63" w:rsidP="00C17B63">
            <w:pPr>
              <w:spacing w:after="120"/>
              <w:textDirection w:val="btLr"/>
              <w:rPr>
                <w:b/>
                <w:bCs/>
                <w:color w:val="595959" w:themeColor="text1" w:themeTint="A6"/>
              </w:rPr>
            </w:pPr>
            <w:r w:rsidRPr="0093006A">
              <w:rPr>
                <w:b/>
                <w:bCs/>
                <w:color w:val="595959" w:themeColor="text1" w:themeTint="A6"/>
              </w:rPr>
              <w:t xml:space="preserve">The ISEP should aim to address entrenched or ‘wicked’ problems that continue to create Indigenous employment barriers in locally specific ways </w:t>
            </w:r>
          </w:p>
          <w:p w14:paraId="1D7A8D42" w14:textId="2F103FAE" w:rsidR="00056A22" w:rsidRPr="0093006A" w:rsidRDefault="00C17B63" w:rsidP="00056A22">
            <w:pPr>
              <w:spacing w:after="120"/>
              <w:textDirection w:val="btLr"/>
              <w:rPr>
                <w:color w:val="595959" w:themeColor="text1" w:themeTint="A6"/>
              </w:rPr>
            </w:pPr>
            <w:r w:rsidRPr="0093006A">
              <w:rPr>
                <w:color w:val="595959" w:themeColor="text1" w:themeTint="A6"/>
              </w:rPr>
              <w:t>Part of the ISEP design could include innovative approaches to long standing problems facing Indigenous jobseekers. Such approaches could be developed within the specific contexts of local Indigenous communities, and in collaboration with and through co-design solutions involving Aboriginal Community Controlled Organisations (ACCOs) and other community representatives.</w:t>
            </w:r>
          </w:p>
        </w:tc>
      </w:tr>
    </w:tbl>
    <w:p w14:paraId="1FA71CF6" w14:textId="77777777" w:rsidR="00056A22" w:rsidRPr="0093006A" w:rsidRDefault="00056A22" w:rsidP="00056A22">
      <w:pPr>
        <w:spacing w:after="120"/>
        <w:rPr>
          <w:color w:val="595959" w:themeColor="text1" w:themeTint="A6"/>
          <w:lang w:val="en-US"/>
        </w:rPr>
      </w:pPr>
    </w:p>
    <w:p w14:paraId="690EC828" w14:textId="0F0B6B10" w:rsidR="0025689A" w:rsidRPr="0093006A" w:rsidRDefault="0025689A" w:rsidP="00056A22">
      <w:pPr>
        <w:tabs>
          <w:tab w:val="left" w:pos="384"/>
        </w:tabs>
        <w:spacing w:after="120"/>
        <w:rPr>
          <w:color w:val="595959" w:themeColor="text1" w:themeTint="A6"/>
        </w:rPr>
      </w:pPr>
      <w:r w:rsidRPr="0093006A">
        <w:rPr>
          <w:rFonts w:cstheme="minorHAnsi"/>
          <w:color w:val="595959" w:themeColor="text1" w:themeTint="A6"/>
        </w:rPr>
        <w:t xml:space="preserve">The ISEP </w:t>
      </w:r>
      <w:r w:rsidR="001C74B5" w:rsidRPr="0093006A">
        <w:rPr>
          <w:rFonts w:cstheme="minorHAnsi"/>
          <w:color w:val="595959" w:themeColor="text1" w:themeTint="A6"/>
        </w:rPr>
        <w:t xml:space="preserve">should </w:t>
      </w:r>
      <w:r w:rsidRPr="0093006A">
        <w:rPr>
          <w:rFonts w:cstheme="minorHAnsi"/>
          <w:color w:val="595959" w:themeColor="text1" w:themeTint="A6"/>
        </w:rPr>
        <w:t xml:space="preserve">incorporate </w:t>
      </w:r>
      <w:r w:rsidRPr="0093006A">
        <w:rPr>
          <w:color w:val="595959" w:themeColor="text1" w:themeTint="A6"/>
        </w:rPr>
        <w:t>place-based, culturally appropriate approaches to training and employment</w:t>
      </w:r>
      <w:r w:rsidRPr="0093006A" w:rsidDel="006F6210">
        <w:rPr>
          <w:rFonts w:cstheme="minorHAnsi"/>
          <w:color w:val="595959" w:themeColor="text1" w:themeTint="A6"/>
        </w:rPr>
        <w:t xml:space="preserve"> </w:t>
      </w:r>
      <w:r w:rsidRPr="0093006A">
        <w:rPr>
          <w:rFonts w:cstheme="minorHAnsi"/>
          <w:color w:val="595959" w:themeColor="text1" w:themeTint="A6"/>
        </w:rPr>
        <w:t xml:space="preserve">that draw skills from within community and are designed in partnership with ACCOs and </w:t>
      </w:r>
      <w:r w:rsidRPr="0093006A">
        <w:rPr>
          <w:color w:val="595959" w:themeColor="text1" w:themeTint="A6"/>
        </w:rPr>
        <w:t>local industry to facilitate realistic Indigenous jobseeker pathways</w:t>
      </w:r>
    </w:p>
    <w:p w14:paraId="7721941C" w14:textId="29BF576E" w:rsidR="0025689A" w:rsidRPr="0093006A" w:rsidRDefault="0025689A" w:rsidP="00056A22">
      <w:pPr>
        <w:tabs>
          <w:tab w:val="left" w:pos="384"/>
        </w:tabs>
        <w:spacing w:after="120"/>
        <w:rPr>
          <w:color w:val="595959" w:themeColor="text1" w:themeTint="A6"/>
        </w:rPr>
      </w:pPr>
      <w:r w:rsidRPr="0093006A">
        <w:rPr>
          <w:color w:val="595959" w:themeColor="text1" w:themeTint="A6"/>
        </w:rPr>
        <w:t xml:space="preserve">Participants advised that there are existing education and training gaps regardless of location that include an absence of Indigenous community-led design in partnership with local industry. Specific issues </w:t>
      </w:r>
      <w:r w:rsidR="00293623" w:rsidRPr="0093006A">
        <w:rPr>
          <w:color w:val="595959" w:themeColor="text1" w:themeTint="A6"/>
        </w:rPr>
        <w:t xml:space="preserve">identified </w:t>
      </w:r>
      <w:r w:rsidRPr="0093006A">
        <w:rPr>
          <w:color w:val="595959" w:themeColor="text1" w:themeTint="A6"/>
        </w:rPr>
        <w:t>across locations include</w:t>
      </w:r>
      <w:r w:rsidR="00B37623" w:rsidRPr="0093006A">
        <w:rPr>
          <w:color w:val="595959" w:themeColor="text1" w:themeTint="A6"/>
        </w:rPr>
        <w:t>d:</w:t>
      </w:r>
      <w:r w:rsidRPr="0093006A">
        <w:rPr>
          <w:color w:val="595959" w:themeColor="text1" w:themeTint="A6"/>
        </w:rPr>
        <w:t xml:space="preserve"> employment initiatives not being localised and realistic for Indigenous jobseekers</w:t>
      </w:r>
      <w:r w:rsidR="00B37623" w:rsidRPr="0093006A">
        <w:rPr>
          <w:color w:val="595959" w:themeColor="text1" w:themeTint="A6"/>
        </w:rPr>
        <w:t>;</w:t>
      </w:r>
      <w:r w:rsidRPr="0093006A">
        <w:rPr>
          <w:color w:val="595959" w:themeColor="text1" w:themeTint="A6"/>
        </w:rPr>
        <w:t xml:space="preserve"> a lack of local training options related to insufficient infrastructure and cross jurisdictional funding coordination</w:t>
      </w:r>
      <w:r w:rsidR="00B37623" w:rsidRPr="0093006A">
        <w:rPr>
          <w:color w:val="595959" w:themeColor="text1" w:themeTint="A6"/>
        </w:rPr>
        <w:t>,</w:t>
      </w:r>
      <w:r w:rsidRPr="0093006A">
        <w:rPr>
          <w:color w:val="595959" w:themeColor="text1" w:themeTint="A6"/>
        </w:rPr>
        <w:t xml:space="preserve"> and a general lack of professional development </w:t>
      </w:r>
      <w:r w:rsidR="00B37623" w:rsidRPr="0093006A">
        <w:rPr>
          <w:color w:val="595959" w:themeColor="text1" w:themeTint="A6"/>
        </w:rPr>
        <w:t>which delegitimised</w:t>
      </w:r>
      <w:r w:rsidRPr="0093006A">
        <w:rPr>
          <w:color w:val="595959" w:themeColor="text1" w:themeTint="A6"/>
        </w:rPr>
        <w:t xml:space="preserve"> career progression. </w:t>
      </w:r>
    </w:p>
    <w:p w14:paraId="5E3BFC24" w14:textId="7A7B3BEC" w:rsidR="0025689A" w:rsidRPr="0093006A" w:rsidRDefault="0069440F" w:rsidP="00056A22">
      <w:pPr>
        <w:spacing w:after="120"/>
        <w:rPr>
          <w:color w:val="595959" w:themeColor="text1" w:themeTint="A6"/>
        </w:rPr>
      </w:pPr>
      <w:r w:rsidRPr="0093006A">
        <w:rPr>
          <w:color w:val="595959" w:themeColor="text1" w:themeTint="A6"/>
        </w:rPr>
        <w:t>It was noted consistently across locations that a</w:t>
      </w:r>
      <w:r w:rsidR="0025689A" w:rsidRPr="0093006A">
        <w:rPr>
          <w:color w:val="595959" w:themeColor="text1" w:themeTint="A6"/>
        </w:rPr>
        <w:t xml:space="preserve"> lack of locally available jobs</w:t>
      </w:r>
      <w:r w:rsidRPr="0093006A">
        <w:rPr>
          <w:color w:val="595959" w:themeColor="text1" w:themeTint="A6"/>
        </w:rPr>
        <w:t xml:space="preserve"> </w:t>
      </w:r>
      <w:r w:rsidR="0025689A" w:rsidRPr="0093006A">
        <w:rPr>
          <w:color w:val="595959" w:themeColor="text1" w:themeTint="A6"/>
        </w:rPr>
        <w:t>does not support Indigenous peoples remaining on Country and in community, does not incorporate existing skills of Indigenous jobseekers critical for service delivery into communit</w:t>
      </w:r>
      <w:r w:rsidRPr="0093006A">
        <w:rPr>
          <w:color w:val="595959" w:themeColor="text1" w:themeTint="A6"/>
        </w:rPr>
        <w:t>ies</w:t>
      </w:r>
      <w:r w:rsidR="0025689A" w:rsidRPr="0093006A">
        <w:rPr>
          <w:color w:val="595959" w:themeColor="text1" w:themeTint="A6"/>
        </w:rPr>
        <w:t xml:space="preserve">,  and leads to displacement issues </w:t>
      </w:r>
      <w:r w:rsidRPr="0093006A">
        <w:rPr>
          <w:color w:val="595959" w:themeColor="text1" w:themeTint="A6"/>
        </w:rPr>
        <w:t>due to the need to relocate</w:t>
      </w:r>
      <w:r w:rsidR="0025689A" w:rsidRPr="0093006A">
        <w:rPr>
          <w:color w:val="595959" w:themeColor="text1" w:themeTint="A6"/>
        </w:rPr>
        <w:t xml:space="preserve"> to other regions. </w:t>
      </w:r>
    </w:p>
    <w:p w14:paraId="3CE65690" w14:textId="4416F9A4" w:rsidR="0025689A" w:rsidRPr="0093006A" w:rsidRDefault="0025689A" w:rsidP="0025689A">
      <w:pPr>
        <w:spacing w:after="120"/>
        <w:rPr>
          <w:color w:val="595959" w:themeColor="text1" w:themeTint="A6"/>
          <w:lang w:val="en-US"/>
        </w:rPr>
      </w:pPr>
      <w:r w:rsidRPr="0093006A">
        <w:rPr>
          <w:color w:val="595959" w:themeColor="text1" w:themeTint="A6"/>
          <w:lang w:val="en-US"/>
        </w:rPr>
        <w:t xml:space="preserve">The principles for the ISEP design </w:t>
      </w:r>
      <w:r w:rsidR="001C74B5" w:rsidRPr="0093006A">
        <w:rPr>
          <w:color w:val="595959" w:themeColor="text1" w:themeTint="A6"/>
          <w:lang w:val="en-US"/>
        </w:rPr>
        <w:t xml:space="preserve">should </w:t>
      </w:r>
      <w:r w:rsidRPr="0093006A">
        <w:rPr>
          <w:color w:val="595959" w:themeColor="text1" w:themeTint="A6"/>
          <w:lang w:val="en-US"/>
        </w:rPr>
        <w:t>include Indigenous community control, flexibility, place-based, client centered approaches, suitable funding models and culturally safe methods to address existing program design issues that have acted as barriers to Indigenous employment outcomes</w:t>
      </w:r>
    </w:p>
    <w:p w14:paraId="6B93AC99" w14:textId="46F73CB8" w:rsidR="0025689A" w:rsidRPr="0093006A" w:rsidRDefault="0025689A" w:rsidP="0025689A">
      <w:pPr>
        <w:spacing w:before="120" w:after="120"/>
        <w:rPr>
          <w:rFonts w:cstheme="minorHAnsi"/>
          <w:color w:val="595959" w:themeColor="text1" w:themeTint="A6"/>
        </w:rPr>
      </w:pPr>
      <w:r w:rsidRPr="0093006A">
        <w:rPr>
          <w:color w:val="595959" w:themeColor="text1" w:themeTint="A6"/>
          <w:lang w:val="en-US"/>
        </w:rPr>
        <w:t>The</w:t>
      </w:r>
      <w:r w:rsidR="007E7C9F" w:rsidRPr="0093006A">
        <w:rPr>
          <w:color w:val="595959" w:themeColor="text1" w:themeTint="A6"/>
          <w:lang w:val="en-US"/>
        </w:rPr>
        <w:t>re</w:t>
      </w:r>
      <w:r w:rsidRPr="0093006A">
        <w:rPr>
          <w:color w:val="595959" w:themeColor="text1" w:themeTint="A6"/>
          <w:lang w:val="en-US"/>
        </w:rPr>
        <w:t xml:space="preserve"> is an absence of community control </w:t>
      </w:r>
      <w:r w:rsidR="0069440F" w:rsidRPr="0093006A">
        <w:rPr>
          <w:color w:val="595959" w:themeColor="text1" w:themeTint="A6"/>
          <w:lang w:val="en-US"/>
        </w:rPr>
        <w:t>of</w:t>
      </w:r>
      <w:r w:rsidRPr="0093006A">
        <w:rPr>
          <w:color w:val="595959" w:themeColor="text1" w:themeTint="A6"/>
          <w:lang w:val="en-US"/>
        </w:rPr>
        <w:t xml:space="preserve"> program design</w:t>
      </w:r>
      <w:r w:rsidR="0069440F" w:rsidRPr="0093006A">
        <w:rPr>
          <w:color w:val="595959" w:themeColor="text1" w:themeTint="A6"/>
          <w:lang w:val="en-US"/>
        </w:rPr>
        <w:t>,</w:t>
      </w:r>
      <w:r w:rsidRPr="0093006A">
        <w:rPr>
          <w:color w:val="595959" w:themeColor="text1" w:themeTint="A6"/>
          <w:lang w:val="en-US"/>
        </w:rPr>
        <w:t xml:space="preserve"> development and service delivery and</w:t>
      </w:r>
      <w:r w:rsidR="0069440F" w:rsidRPr="0093006A">
        <w:rPr>
          <w:color w:val="595959" w:themeColor="text1" w:themeTint="A6"/>
          <w:lang w:val="en-US"/>
        </w:rPr>
        <w:t xml:space="preserve"> a lack of</w:t>
      </w:r>
      <w:r w:rsidRPr="0093006A">
        <w:rPr>
          <w:color w:val="595959" w:themeColor="text1" w:themeTint="A6"/>
          <w:lang w:val="en-US"/>
        </w:rPr>
        <w:t xml:space="preserve"> ‘</w:t>
      </w:r>
      <w:r w:rsidRPr="0093006A">
        <w:rPr>
          <w:rFonts w:cstheme="minorHAnsi"/>
          <w:color w:val="595959" w:themeColor="text1" w:themeTint="A6"/>
        </w:rPr>
        <w:t>co-design’ processes</w:t>
      </w:r>
      <w:r w:rsidR="007774FB" w:rsidRPr="0093006A">
        <w:rPr>
          <w:rFonts w:cstheme="minorHAnsi"/>
          <w:color w:val="595959" w:themeColor="text1" w:themeTint="A6"/>
        </w:rPr>
        <w:t>. These</w:t>
      </w:r>
      <w:r w:rsidRPr="0093006A">
        <w:rPr>
          <w:rFonts w:cstheme="minorHAnsi"/>
          <w:color w:val="595959" w:themeColor="text1" w:themeTint="A6"/>
        </w:rPr>
        <w:t xml:space="preserve"> remain </w:t>
      </w:r>
      <w:r w:rsidR="0069440F" w:rsidRPr="0093006A">
        <w:rPr>
          <w:rFonts w:cstheme="minorHAnsi"/>
          <w:color w:val="595959" w:themeColor="text1" w:themeTint="A6"/>
        </w:rPr>
        <w:t>subject to</w:t>
      </w:r>
      <w:r w:rsidRPr="0093006A">
        <w:rPr>
          <w:rFonts w:cstheme="minorHAnsi"/>
          <w:color w:val="595959" w:themeColor="text1" w:themeTint="A6"/>
        </w:rPr>
        <w:t xml:space="preserve"> government control </w:t>
      </w:r>
      <w:r w:rsidR="007774FB" w:rsidRPr="0093006A">
        <w:rPr>
          <w:rFonts w:cstheme="minorHAnsi"/>
          <w:color w:val="595959" w:themeColor="text1" w:themeTint="A6"/>
        </w:rPr>
        <w:t>and</w:t>
      </w:r>
      <w:r w:rsidRPr="0093006A">
        <w:rPr>
          <w:rFonts w:cstheme="minorHAnsi"/>
          <w:color w:val="595959" w:themeColor="text1" w:themeTint="A6"/>
        </w:rPr>
        <w:t xml:space="preserve"> have thus far failed to deliver Indigenous employment outcomes. </w:t>
      </w:r>
    </w:p>
    <w:p w14:paraId="1B516511" w14:textId="0C376D1B" w:rsidR="0025689A" w:rsidRPr="0093006A" w:rsidRDefault="0025689A" w:rsidP="0025689A">
      <w:pPr>
        <w:spacing w:before="120" w:after="120"/>
        <w:rPr>
          <w:color w:val="595959" w:themeColor="text1" w:themeTint="A6"/>
          <w:lang w:val="en-US"/>
        </w:rPr>
      </w:pPr>
      <w:r w:rsidRPr="0093006A">
        <w:rPr>
          <w:color w:val="595959" w:themeColor="text1" w:themeTint="A6"/>
          <w:lang w:val="en-US"/>
        </w:rPr>
        <w:t xml:space="preserve">Participants felt strongly that a ‘one size fits all’ national programmatic approach has not worked and unanimously nominated a need for local and regional approaches in conjunction with </w:t>
      </w:r>
      <w:r w:rsidR="0069440F" w:rsidRPr="0093006A">
        <w:rPr>
          <w:color w:val="595959" w:themeColor="text1" w:themeTint="A6"/>
          <w:lang w:val="en-US"/>
        </w:rPr>
        <w:t xml:space="preserve">approaches tailored to </w:t>
      </w:r>
      <w:r w:rsidRPr="0093006A">
        <w:rPr>
          <w:color w:val="595959" w:themeColor="text1" w:themeTint="A6"/>
          <w:lang w:val="en-US"/>
        </w:rPr>
        <w:t>individual client</w:t>
      </w:r>
      <w:r w:rsidR="0069440F" w:rsidRPr="0093006A">
        <w:rPr>
          <w:color w:val="595959" w:themeColor="text1" w:themeTint="A6"/>
          <w:lang w:val="en-US"/>
        </w:rPr>
        <w:t>s</w:t>
      </w:r>
      <w:r w:rsidRPr="0093006A">
        <w:rPr>
          <w:color w:val="595959" w:themeColor="text1" w:themeTint="A6"/>
          <w:lang w:val="en-US"/>
        </w:rPr>
        <w:t xml:space="preserve">. </w:t>
      </w:r>
    </w:p>
    <w:p w14:paraId="1C9EFDD7" w14:textId="7C752F77" w:rsidR="0025689A" w:rsidRPr="0093006A" w:rsidRDefault="0025689A" w:rsidP="001A5D81">
      <w:pPr>
        <w:spacing w:before="120" w:after="120"/>
        <w:rPr>
          <w:color w:val="595959" w:themeColor="text1" w:themeTint="A6"/>
          <w:lang w:val="en-US"/>
        </w:rPr>
      </w:pPr>
      <w:r w:rsidRPr="0093006A">
        <w:rPr>
          <w:color w:val="595959" w:themeColor="text1" w:themeTint="A6"/>
          <w:lang w:val="en-US"/>
        </w:rPr>
        <w:t xml:space="preserve">Many service providers who participated felt that funding models do not deliver Indigenous employment outcomes and </w:t>
      </w:r>
      <w:r w:rsidR="0069440F" w:rsidRPr="0093006A">
        <w:rPr>
          <w:color w:val="595959" w:themeColor="text1" w:themeTint="A6"/>
          <w:lang w:val="en-US"/>
        </w:rPr>
        <w:t>identified</w:t>
      </w:r>
      <w:r w:rsidRPr="0093006A">
        <w:rPr>
          <w:color w:val="595959" w:themeColor="text1" w:themeTint="A6"/>
          <w:lang w:val="en-US"/>
        </w:rPr>
        <w:t xml:space="preserve"> tension between government </w:t>
      </w:r>
      <w:r w:rsidR="0069440F" w:rsidRPr="0093006A">
        <w:rPr>
          <w:color w:val="595959" w:themeColor="text1" w:themeTint="A6"/>
          <w:lang w:val="en-US"/>
        </w:rPr>
        <w:t xml:space="preserve">funding </w:t>
      </w:r>
      <w:r w:rsidRPr="0093006A">
        <w:rPr>
          <w:color w:val="595959" w:themeColor="text1" w:themeTint="A6"/>
          <w:lang w:val="en-US"/>
        </w:rPr>
        <w:t>requirements and deliver</w:t>
      </w:r>
      <w:r w:rsidR="0069440F" w:rsidRPr="0093006A">
        <w:rPr>
          <w:color w:val="595959" w:themeColor="text1" w:themeTint="A6"/>
          <w:lang w:val="en-US"/>
        </w:rPr>
        <w:t>y of</w:t>
      </w:r>
      <w:r w:rsidRPr="0093006A">
        <w:rPr>
          <w:color w:val="595959" w:themeColor="text1" w:themeTint="A6"/>
          <w:lang w:val="en-US"/>
        </w:rPr>
        <w:t xml:space="preserve"> programs t</w:t>
      </w:r>
      <w:r w:rsidR="0069440F" w:rsidRPr="0093006A">
        <w:rPr>
          <w:color w:val="595959" w:themeColor="text1" w:themeTint="A6"/>
          <w:lang w:val="en-US"/>
        </w:rPr>
        <w:t>hat</w:t>
      </w:r>
      <w:r w:rsidRPr="0093006A">
        <w:rPr>
          <w:color w:val="595959" w:themeColor="text1" w:themeTint="A6"/>
          <w:lang w:val="en-US"/>
        </w:rPr>
        <w:t xml:space="preserve"> meet local need</w:t>
      </w:r>
      <w:r w:rsidR="0069440F" w:rsidRPr="0093006A">
        <w:rPr>
          <w:color w:val="595959" w:themeColor="text1" w:themeTint="A6"/>
          <w:lang w:val="en-US"/>
        </w:rPr>
        <w:t>s</w:t>
      </w:r>
      <w:r w:rsidRPr="0093006A">
        <w:rPr>
          <w:color w:val="595959" w:themeColor="text1" w:themeTint="A6"/>
          <w:lang w:val="en-US"/>
        </w:rPr>
        <w:t xml:space="preserve">. For example, retrospective trainee repayment models stop smaller organisations without the required cash flow (often ACCOs) from </w:t>
      </w:r>
      <w:r w:rsidR="00C17B63" w:rsidRPr="0093006A">
        <w:rPr>
          <w:color w:val="595959" w:themeColor="text1" w:themeTint="A6"/>
          <w:lang w:val="en-US"/>
        </w:rPr>
        <w:t xml:space="preserve">increasing </w:t>
      </w:r>
      <w:r w:rsidRPr="0093006A">
        <w:rPr>
          <w:color w:val="595959" w:themeColor="text1" w:themeTint="A6"/>
          <w:lang w:val="en-US"/>
        </w:rPr>
        <w:t xml:space="preserve">trainee numbers and </w:t>
      </w:r>
      <w:r w:rsidR="00C17B63" w:rsidRPr="0093006A">
        <w:rPr>
          <w:color w:val="595959" w:themeColor="text1" w:themeTint="A6"/>
          <w:lang w:val="en-US"/>
        </w:rPr>
        <w:t xml:space="preserve">expanding </w:t>
      </w:r>
      <w:r w:rsidRPr="0093006A">
        <w:rPr>
          <w:color w:val="595959" w:themeColor="text1" w:themeTint="A6"/>
          <w:lang w:val="en-US"/>
        </w:rPr>
        <w:t>capacity building.</w:t>
      </w:r>
    </w:p>
    <w:p w14:paraId="2DEA5D79" w14:textId="5D011DED" w:rsidR="00FE025C" w:rsidRPr="0093006A" w:rsidRDefault="00A856FF" w:rsidP="001A5D81">
      <w:pPr>
        <w:spacing w:before="120" w:after="120"/>
        <w:rPr>
          <w:color w:val="595959" w:themeColor="text1" w:themeTint="A6"/>
          <w:lang w:val="en-US"/>
        </w:rPr>
      </w:pPr>
      <w:r w:rsidRPr="0093006A">
        <w:rPr>
          <w:color w:val="595959" w:themeColor="text1" w:themeTint="A6"/>
          <w:lang w:val="en-US"/>
        </w:rPr>
        <w:t>It was</w:t>
      </w:r>
      <w:r w:rsidR="008F577F" w:rsidRPr="0093006A">
        <w:rPr>
          <w:color w:val="595959" w:themeColor="text1" w:themeTint="A6"/>
          <w:lang w:val="en-US"/>
        </w:rPr>
        <w:t xml:space="preserve"> clear</w:t>
      </w:r>
      <w:r w:rsidRPr="0093006A">
        <w:rPr>
          <w:color w:val="595959" w:themeColor="text1" w:themeTint="A6"/>
          <w:lang w:val="en-US"/>
        </w:rPr>
        <w:t xml:space="preserve"> from consultations</w:t>
      </w:r>
      <w:r w:rsidR="008F577F" w:rsidRPr="0093006A">
        <w:rPr>
          <w:color w:val="595959" w:themeColor="text1" w:themeTint="A6"/>
          <w:lang w:val="en-US"/>
        </w:rPr>
        <w:t xml:space="preserve"> that c</w:t>
      </w:r>
      <w:r w:rsidR="0025689A" w:rsidRPr="0093006A">
        <w:rPr>
          <w:color w:val="595959" w:themeColor="text1" w:themeTint="A6"/>
          <w:lang w:val="en-US"/>
        </w:rPr>
        <w:t xml:space="preserve">ommunity representatives, ACCOs and Indigenous led providers believe that </w:t>
      </w:r>
      <w:r w:rsidR="008F577F" w:rsidRPr="0093006A">
        <w:rPr>
          <w:color w:val="595959" w:themeColor="text1" w:themeTint="A6"/>
          <w:lang w:val="en-US"/>
        </w:rPr>
        <w:t xml:space="preserve">Indigenous-led organisations have a higher level of cultural safety </w:t>
      </w:r>
      <w:r w:rsidR="00102F7C" w:rsidRPr="0093006A">
        <w:rPr>
          <w:color w:val="595959" w:themeColor="text1" w:themeTint="A6"/>
          <w:lang w:val="en-US"/>
        </w:rPr>
        <w:t xml:space="preserve">than non-Indigenous organisations. Further, it was felt </w:t>
      </w:r>
      <w:r w:rsidR="008F577F" w:rsidRPr="0093006A">
        <w:rPr>
          <w:color w:val="595959" w:themeColor="text1" w:themeTint="A6"/>
          <w:lang w:val="en-US"/>
        </w:rPr>
        <w:t xml:space="preserve">that many </w:t>
      </w:r>
      <w:r w:rsidR="0025689A" w:rsidRPr="0093006A">
        <w:rPr>
          <w:color w:val="595959" w:themeColor="text1" w:themeTint="A6"/>
          <w:lang w:val="en-US"/>
        </w:rPr>
        <w:t xml:space="preserve">non-Indigenous providers do not </w:t>
      </w:r>
      <w:r w:rsidR="00102F7C" w:rsidRPr="0093006A">
        <w:rPr>
          <w:color w:val="595959" w:themeColor="text1" w:themeTint="A6"/>
          <w:lang w:val="en-US"/>
        </w:rPr>
        <w:t xml:space="preserve">use </w:t>
      </w:r>
      <w:r w:rsidR="0025689A" w:rsidRPr="0093006A">
        <w:rPr>
          <w:color w:val="595959" w:themeColor="text1" w:themeTint="A6"/>
          <w:lang w:val="en-US"/>
        </w:rPr>
        <w:t>cultural</w:t>
      </w:r>
      <w:r w:rsidR="00102F7C" w:rsidRPr="0093006A">
        <w:rPr>
          <w:color w:val="595959" w:themeColor="text1" w:themeTint="A6"/>
          <w:lang w:val="en-US"/>
        </w:rPr>
        <w:t>ly</w:t>
      </w:r>
      <w:r w:rsidR="0025689A" w:rsidRPr="0093006A">
        <w:rPr>
          <w:color w:val="595959" w:themeColor="text1" w:themeTint="A6"/>
          <w:lang w:val="en-US"/>
        </w:rPr>
        <w:t xml:space="preserve"> </w:t>
      </w:r>
      <w:r w:rsidR="00C17B63" w:rsidRPr="0093006A">
        <w:rPr>
          <w:color w:val="595959" w:themeColor="text1" w:themeTint="A6"/>
          <w:lang w:val="en-US"/>
        </w:rPr>
        <w:t xml:space="preserve">appropriate </w:t>
      </w:r>
      <w:r w:rsidR="0025689A" w:rsidRPr="0093006A">
        <w:rPr>
          <w:color w:val="595959" w:themeColor="text1" w:themeTint="A6"/>
          <w:lang w:val="en-US"/>
        </w:rPr>
        <w:t>methods, possess</w:t>
      </w:r>
      <w:r w:rsidR="00102F7C" w:rsidRPr="0093006A">
        <w:rPr>
          <w:color w:val="595959" w:themeColor="text1" w:themeTint="A6"/>
          <w:lang w:val="en-US"/>
        </w:rPr>
        <w:t xml:space="preserve"> </w:t>
      </w:r>
      <w:r w:rsidR="0025689A" w:rsidRPr="0093006A">
        <w:rPr>
          <w:color w:val="595959" w:themeColor="text1" w:themeTint="A6"/>
          <w:lang w:val="en-US"/>
        </w:rPr>
        <w:t xml:space="preserve">only basic local knowledge and </w:t>
      </w:r>
      <w:r w:rsidR="00102F7C" w:rsidRPr="0093006A">
        <w:rPr>
          <w:color w:val="595959" w:themeColor="text1" w:themeTint="A6"/>
          <w:lang w:val="en-US"/>
        </w:rPr>
        <w:t xml:space="preserve">that </w:t>
      </w:r>
      <w:r w:rsidR="0025689A" w:rsidRPr="0093006A">
        <w:rPr>
          <w:color w:val="595959" w:themeColor="text1" w:themeTint="A6"/>
          <w:lang w:val="en-US"/>
        </w:rPr>
        <w:t xml:space="preserve">little effort is exerted in consulting with community to </w:t>
      </w:r>
      <w:r w:rsidR="00102F7C" w:rsidRPr="0093006A">
        <w:rPr>
          <w:color w:val="595959" w:themeColor="text1" w:themeTint="A6"/>
          <w:lang w:val="en-US"/>
        </w:rPr>
        <w:t xml:space="preserve">build </w:t>
      </w:r>
      <w:r w:rsidR="0025689A" w:rsidRPr="0093006A">
        <w:rPr>
          <w:color w:val="595959" w:themeColor="text1" w:themeTint="A6"/>
          <w:lang w:val="en-US"/>
        </w:rPr>
        <w:t xml:space="preserve">understanding. </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3"/>
        <w:tblDescription w:val="The ISEP should be flexible, designed from the community-level up and able to respond to regional needs "/>
      </w:tblPr>
      <w:tblGrid>
        <w:gridCol w:w="8930"/>
      </w:tblGrid>
      <w:tr w:rsidR="0093006A" w:rsidRPr="0093006A" w14:paraId="26E2B157" w14:textId="77777777" w:rsidTr="00C63688">
        <w:trPr>
          <w:cantSplit/>
          <w:tblHeader/>
        </w:trPr>
        <w:tc>
          <w:tcPr>
            <w:tcW w:w="8930" w:type="dxa"/>
            <w:shd w:val="clear" w:color="auto" w:fill="auto"/>
          </w:tcPr>
          <w:p w14:paraId="7EDE07EB" w14:textId="459603AB" w:rsidR="0089266A" w:rsidRPr="0093006A" w:rsidRDefault="0089266A" w:rsidP="00FB3CCC">
            <w:pPr>
              <w:spacing w:after="120"/>
              <w:rPr>
                <w:b/>
                <w:bCs/>
                <w:i/>
                <w:iCs/>
                <w:color w:val="595959" w:themeColor="text1" w:themeTint="A6"/>
              </w:rPr>
            </w:pPr>
            <w:r w:rsidRPr="0093006A">
              <w:rPr>
                <w:b/>
                <w:bCs/>
                <w:i/>
                <w:iCs/>
                <w:color w:val="595959" w:themeColor="text1" w:themeTint="A6"/>
              </w:rPr>
              <w:t xml:space="preserve">Key </w:t>
            </w:r>
            <w:r w:rsidR="00D84544" w:rsidRPr="0093006A">
              <w:rPr>
                <w:b/>
                <w:bCs/>
                <w:i/>
                <w:iCs/>
                <w:color w:val="595959" w:themeColor="text1" w:themeTint="A6"/>
              </w:rPr>
              <w:t>I</w:t>
            </w:r>
            <w:r w:rsidRPr="0093006A">
              <w:rPr>
                <w:b/>
                <w:bCs/>
                <w:i/>
                <w:iCs/>
                <w:color w:val="595959" w:themeColor="text1" w:themeTint="A6"/>
              </w:rPr>
              <w:t xml:space="preserve">nsight </w:t>
            </w:r>
            <w:r w:rsidR="0073627A" w:rsidRPr="0093006A">
              <w:rPr>
                <w:b/>
                <w:bCs/>
                <w:i/>
                <w:iCs/>
                <w:color w:val="595959" w:themeColor="text1" w:themeTint="A6"/>
              </w:rPr>
              <w:t>3</w:t>
            </w:r>
          </w:p>
        </w:tc>
      </w:tr>
      <w:tr w:rsidR="0089266A" w:rsidRPr="0093006A" w14:paraId="7B7D3BB9" w14:textId="77777777" w:rsidTr="00C63688">
        <w:trPr>
          <w:cantSplit/>
          <w:tblHeader/>
        </w:trPr>
        <w:tc>
          <w:tcPr>
            <w:tcW w:w="8930" w:type="dxa"/>
          </w:tcPr>
          <w:p w14:paraId="59F65B5B" w14:textId="5CE4280D" w:rsidR="00C17B63" w:rsidRPr="0093006A" w:rsidRDefault="00C17B63" w:rsidP="00C17B63">
            <w:pPr>
              <w:spacing w:after="120"/>
              <w:textDirection w:val="btLr"/>
              <w:rPr>
                <w:b/>
                <w:bCs/>
                <w:color w:val="595959" w:themeColor="text1" w:themeTint="A6"/>
              </w:rPr>
            </w:pPr>
            <w:r w:rsidRPr="0093006A">
              <w:rPr>
                <w:b/>
                <w:bCs/>
                <w:color w:val="595959" w:themeColor="text1" w:themeTint="A6"/>
              </w:rPr>
              <w:t xml:space="preserve">The ISEP should be flexible, designed from the community-level up and able to respond to regional needs </w:t>
            </w:r>
          </w:p>
          <w:p w14:paraId="3EF2964F" w14:textId="38BD4051" w:rsidR="0089266A" w:rsidRPr="0093006A" w:rsidRDefault="00C17B63" w:rsidP="00FB3CCC">
            <w:pPr>
              <w:spacing w:after="120"/>
              <w:textDirection w:val="btLr"/>
              <w:rPr>
                <w:b/>
                <w:color w:val="595959" w:themeColor="text1" w:themeTint="A6"/>
              </w:rPr>
            </w:pPr>
            <w:r w:rsidRPr="0093006A">
              <w:rPr>
                <w:color w:val="595959" w:themeColor="text1" w:themeTint="A6"/>
              </w:rPr>
              <w:t>Allowing for greater flexibility in program design to support local and regional solutions designed with and by Indigenous communities is essential in addressing impediments to Indigenous employment. The ISEP should allow for the ability to incorporate collaborative approaches to provide supports at the local level for Indigenous jobseekers, and for issues pertinent to specific regions – including key cohorts that need extra assistance – to be addressed in collaboration with ACCOs, government and employers to ensure local solutions are created and supported.</w:t>
            </w:r>
          </w:p>
        </w:tc>
      </w:tr>
    </w:tbl>
    <w:p w14:paraId="0CEC80A5" w14:textId="123716CD" w:rsidR="0089266A" w:rsidRPr="0093006A" w:rsidRDefault="0089266A" w:rsidP="00056A22">
      <w:pPr>
        <w:spacing w:after="120"/>
        <w:rPr>
          <w:rFonts w:cstheme="minorHAnsi"/>
          <w:color w:val="595959" w:themeColor="text1" w:themeTint="A6"/>
        </w:rPr>
      </w:pPr>
    </w:p>
    <w:p w14:paraId="2BFA01DF" w14:textId="10DD069B" w:rsidR="0025689A" w:rsidRPr="0093006A" w:rsidRDefault="0025689A" w:rsidP="00056A22">
      <w:pPr>
        <w:spacing w:after="120"/>
        <w:textDirection w:val="btLr"/>
        <w:rPr>
          <w:bCs/>
          <w:color w:val="595959" w:themeColor="text1" w:themeTint="A6"/>
        </w:rPr>
      </w:pPr>
      <w:r w:rsidRPr="0093006A">
        <w:rPr>
          <w:bCs/>
          <w:color w:val="595959" w:themeColor="text1" w:themeTint="A6"/>
        </w:rPr>
        <w:t xml:space="preserve">The ISEP </w:t>
      </w:r>
      <w:r w:rsidR="00DF4609" w:rsidRPr="0093006A">
        <w:rPr>
          <w:bCs/>
          <w:color w:val="595959" w:themeColor="text1" w:themeTint="A6"/>
        </w:rPr>
        <w:t>should</w:t>
      </w:r>
      <w:r w:rsidRPr="0093006A">
        <w:rPr>
          <w:bCs/>
          <w:color w:val="595959" w:themeColor="text1" w:themeTint="A6"/>
        </w:rPr>
        <w:t xml:space="preserve"> prioritise strategic coordination and collaboration at the regional level that supports ACCOs as partners and collaborators coupled with higher levels of employer accountability </w:t>
      </w:r>
    </w:p>
    <w:p w14:paraId="312691F8" w14:textId="77777777" w:rsidR="0025689A" w:rsidRPr="0093006A" w:rsidRDefault="0025689A" w:rsidP="00056A22">
      <w:pPr>
        <w:spacing w:after="120"/>
        <w:rPr>
          <w:color w:val="595959" w:themeColor="text1" w:themeTint="A6"/>
        </w:rPr>
      </w:pPr>
      <w:r w:rsidRPr="0093006A">
        <w:rPr>
          <w:bCs/>
          <w:color w:val="595959" w:themeColor="text1" w:themeTint="A6"/>
        </w:rPr>
        <w:t xml:space="preserve">Many participants highlighted the current national approach lacks a focus on </w:t>
      </w:r>
      <w:r w:rsidRPr="0093006A">
        <w:rPr>
          <w:color w:val="595959" w:themeColor="text1" w:themeTint="A6"/>
          <w:lang w:val="en-US"/>
        </w:rPr>
        <w:t>regional strategies and coordination which has resulted in an absence of collaborative, strategic approaches and coordination at the local and regional levels across government, community, employers and service providers.</w:t>
      </w:r>
    </w:p>
    <w:p w14:paraId="2FBA9549" w14:textId="4F5948A7" w:rsidR="0025689A" w:rsidRPr="0093006A" w:rsidRDefault="0025689A" w:rsidP="00056A22">
      <w:pPr>
        <w:spacing w:after="120"/>
        <w:rPr>
          <w:color w:val="595959" w:themeColor="text1" w:themeTint="A6"/>
        </w:rPr>
      </w:pPr>
      <w:r w:rsidRPr="0093006A">
        <w:rPr>
          <w:color w:val="595959" w:themeColor="text1" w:themeTint="A6"/>
        </w:rPr>
        <w:t xml:space="preserve">In many regions this has led to inappropriate training options that fail to result </w:t>
      </w:r>
      <w:r w:rsidR="00741517" w:rsidRPr="0093006A">
        <w:rPr>
          <w:color w:val="595959" w:themeColor="text1" w:themeTint="A6"/>
        </w:rPr>
        <w:t>in employment</w:t>
      </w:r>
      <w:r w:rsidRPr="0093006A">
        <w:rPr>
          <w:color w:val="595959" w:themeColor="text1" w:themeTint="A6"/>
        </w:rPr>
        <w:t xml:space="preserve">, the inability </w:t>
      </w:r>
      <w:r w:rsidR="001244A9" w:rsidRPr="0093006A">
        <w:rPr>
          <w:color w:val="595959" w:themeColor="text1" w:themeTint="A6"/>
        </w:rPr>
        <w:t>of</w:t>
      </w:r>
      <w:r w:rsidRPr="0093006A">
        <w:rPr>
          <w:color w:val="595959" w:themeColor="text1" w:themeTint="A6"/>
        </w:rPr>
        <w:t xml:space="preserve"> students and others to plan their training and education to lead to employment and long-term careers, and an industry reliance on non-Indigenous staff in remote areas </w:t>
      </w:r>
      <w:r w:rsidR="001244A9" w:rsidRPr="0093006A">
        <w:rPr>
          <w:color w:val="595959" w:themeColor="text1" w:themeTint="A6"/>
        </w:rPr>
        <w:t xml:space="preserve">and </w:t>
      </w:r>
      <w:r w:rsidRPr="0093006A">
        <w:rPr>
          <w:color w:val="595959" w:themeColor="text1" w:themeTint="A6"/>
        </w:rPr>
        <w:t>on fly</w:t>
      </w:r>
      <w:r w:rsidR="00C676A4" w:rsidRPr="0093006A">
        <w:rPr>
          <w:color w:val="595959" w:themeColor="text1" w:themeTint="A6"/>
        </w:rPr>
        <w:t>-</w:t>
      </w:r>
      <w:r w:rsidRPr="0093006A">
        <w:rPr>
          <w:color w:val="595959" w:themeColor="text1" w:themeTint="A6"/>
        </w:rPr>
        <w:t>in fly</w:t>
      </w:r>
      <w:r w:rsidR="00C676A4" w:rsidRPr="0093006A">
        <w:rPr>
          <w:color w:val="595959" w:themeColor="text1" w:themeTint="A6"/>
        </w:rPr>
        <w:t>-</w:t>
      </w:r>
      <w:r w:rsidRPr="0093006A">
        <w:rPr>
          <w:color w:val="595959" w:themeColor="text1" w:themeTint="A6"/>
        </w:rPr>
        <w:t>out (FIFO) or drive</w:t>
      </w:r>
      <w:r w:rsidR="00C676A4" w:rsidRPr="0093006A">
        <w:rPr>
          <w:color w:val="595959" w:themeColor="text1" w:themeTint="A6"/>
        </w:rPr>
        <w:t>-</w:t>
      </w:r>
      <w:r w:rsidRPr="0093006A">
        <w:rPr>
          <w:color w:val="595959" w:themeColor="text1" w:themeTint="A6"/>
        </w:rPr>
        <w:t>in drive</w:t>
      </w:r>
      <w:r w:rsidR="00C676A4" w:rsidRPr="0093006A">
        <w:rPr>
          <w:color w:val="595959" w:themeColor="text1" w:themeTint="A6"/>
        </w:rPr>
        <w:t>-</w:t>
      </w:r>
      <w:r w:rsidRPr="0093006A">
        <w:rPr>
          <w:color w:val="595959" w:themeColor="text1" w:themeTint="A6"/>
        </w:rPr>
        <w:t xml:space="preserve">out (DIDO) employees to fill positions. </w:t>
      </w:r>
    </w:p>
    <w:p w14:paraId="23FDE238" w14:textId="7178B512" w:rsidR="0025689A" w:rsidRPr="0093006A" w:rsidRDefault="0025689A" w:rsidP="00056A22">
      <w:pPr>
        <w:spacing w:after="120"/>
        <w:rPr>
          <w:color w:val="595959" w:themeColor="text1" w:themeTint="A6"/>
        </w:rPr>
      </w:pPr>
      <w:r w:rsidRPr="0093006A">
        <w:rPr>
          <w:color w:val="595959" w:themeColor="text1" w:themeTint="A6"/>
          <w:lang w:val="en-US"/>
        </w:rPr>
        <w:t xml:space="preserve">Some participants cited the need to build the local and regional </w:t>
      </w:r>
      <w:r w:rsidR="00C17B63" w:rsidRPr="0093006A">
        <w:rPr>
          <w:color w:val="595959" w:themeColor="text1" w:themeTint="A6"/>
          <w:lang w:val="en-US"/>
        </w:rPr>
        <w:t xml:space="preserve">employment </w:t>
      </w:r>
      <w:r w:rsidRPr="0093006A">
        <w:rPr>
          <w:color w:val="595959" w:themeColor="text1" w:themeTint="A6"/>
          <w:lang w:val="en-US"/>
        </w:rPr>
        <w:t xml:space="preserve">evidence base through improved data collection and coordination to underpin </w:t>
      </w:r>
      <w:r w:rsidR="00C17B63" w:rsidRPr="0093006A">
        <w:rPr>
          <w:color w:val="595959" w:themeColor="text1" w:themeTint="A6"/>
          <w:lang w:val="en-US"/>
        </w:rPr>
        <w:t xml:space="preserve">identification of, and responses to </w:t>
      </w:r>
      <w:r w:rsidRPr="0093006A">
        <w:rPr>
          <w:color w:val="595959" w:themeColor="text1" w:themeTint="A6"/>
          <w:lang w:val="en-US"/>
        </w:rPr>
        <w:t xml:space="preserve">employer needs and employment pipeline development. </w:t>
      </w:r>
    </w:p>
    <w:p w14:paraId="5DDC49DF" w14:textId="05F75B5E" w:rsidR="0025689A" w:rsidRPr="0093006A" w:rsidRDefault="000D7921" w:rsidP="00C676A4">
      <w:pPr>
        <w:rPr>
          <w:color w:val="595959" w:themeColor="text1" w:themeTint="A6"/>
        </w:rPr>
      </w:pPr>
      <w:r w:rsidRPr="0093006A">
        <w:rPr>
          <w:color w:val="595959" w:themeColor="text1" w:themeTint="A6"/>
        </w:rPr>
        <w:t>Related barriers included</w:t>
      </w:r>
      <w:r w:rsidR="0025689A" w:rsidRPr="0093006A">
        <w:rPr>
          <w:color w:val="595959" w:themeColor="text1" w:themeTint="A6"/>
        </w:rPr>
        <w:t xml:space="preserve"> the general lack of </w:t>
      </w:r>
      <w:r w:rsidRPr="0093006A">
        <w:rPr>
          <w:color w:val="595959" w:themeColor="text1" w:themeTint="A6"/>
        </w:rPr>
        <w:t xml:space="preserve">support for </w:t>
      </w:r>
      <w:r w:rsidR="0025689A" w:rsidRPr="0093006A">
        <w:rPr>
          <w:color w:val="595959" w:themeColor="text1" w:themeTint="A6"/>
        </w:rPr>
        <w:t xml:space="preserve">career pathways and the need for  programs transitioning Indigenous youth into professional/technical fields to support well-remunerated, stable and sustainable career paths that lead to </w:t>
      </w:r>
      <w:r w:rsidRPr="0093006A">
        <w:rPr>
          <w:color w:val="595959" w:themeColor="text1" w:themeTint="A6"/>
        </w:rPr>
        <w:t xml:space="preserve">more </w:t>
      </w:r>
      <w:r w:rsidR="0025689A" w:rsidRPr="0093006A">
        <w:rPr>
          <w:color w:val="595959" w:themeColor="text1" w:themeTint="A6"/>
        </w:rPr>
        <w:t xml:space="preserve">Indigenous </w:t>
      </w:r>
      <w:r w:rsidR="00563300" w:rsidRPr="0093006A">
        <w:rPr>
          <w:color w:val="595959" w:themeColor="text1" w:themeTint="A6"/>
        </w:rPr>
        <w:t xml:space="preserve">Australians </w:t>
      </w:r>
      <w:r w:rsidR="0025689A" w:rsidRPr="0093006A">
        <w:rPr>
          <w:color w:val="595959" w:themeColor="text1" w:themeTint="A6"/>
        </w:rPr>
        <w:t xml:space="preserve">in senior positions. </w:t>
      </w:r>
    </w:p>
    <w:p w14:paraId="54E05AAD" w14:textId="77777777" w:rsidR="00C676A4" w:rsidRPr="0093006A" w:rsidRDefault="00C676A4" w:rsidP="00981521">
      <w:pPr>
        <w:rPr>
          <w:color w:val="595959" w:themeColor="text1" w:themeTint="A6"/>
        </w:rPr>
      </w:pPr>
    </w:p>
    <w:p w14:paraId="6AF1C6A2" w14:textId="7D78DC4B" w:rsidR="00FE025C" w:rsidRPr="0093006A" w:rsidRDefault="0025689A" w:rsidP="00C676A4">
      <w:pPr>
        <w:rPr>
          <w:color w:val="595959" w:themeColor="text1" w:themeTint="A6"/>
        </w:rPr>
      </w:pPr>
      <w:r w:rsidRPr="0093006A">
        <w:rPr>
          <w:color w:val="595959" w:themeColor="text1" w:themeTint="A6"/>
        </w:rPr>
        <w:t xml:space="preserve">Further, </w:t>
      </w:r>
      <w:r w:rsidRPr="0093006A">
        <w:rPr>
          <w:rFonts w:cstheme="minorHAnsi"/>
          <w:color w:val="595959" w:themeColor="text1" w:themeTint="A6"/>
        </w:rPr>
        <w:t>the lack of Indigenous employment targets and employer accountability measures was a common theme across participants</w:t>
      </w:r>
      <w:r w:rsidR="00E54AA6" w:rsidRPr="0093006A">
        <w:rPr>
          <w:rFonts w:cstheme="minorHAnsi"/>
          <w:color w:val="595959" w:themeColor="text1" w:themeTint="A6"/>
        </w:rPr>
        <w:t>. It was</w:t>
      </w:r>
      <w:r w:rsidRPr="0093006A">
        <w:rPr>
          <w:rFonts w:cstheme="minorHAnsi"/>
          <w:color w:val="595959" w:themeColor="text1" w:themeTint="A6"/>
        </w:rPr>
        <w:t xml:space="preserve"> </w:t>
      </w:r>
      <w:r w:rsidR="00D84544" w:rsidRPr="0093006A">
        <w:rPr>
          <w:rFonts w:cstheme="minorHAnsi"/>
          <w:color w:val="595959" w:themeColor="text1" w:themeTint="A6"/>
        </w:rPr>
        <w:t>strongly felt</w:t>
      </w:r>
      <w:r w:rsidRPr="0093006A">
        <w:rPr>
          <w:rFonts w:cstheme="minorHAnsi"/>
          <w:color w:val="595959" w:themeColor="text1" w:themeTint="A6"/>
        </w:rPr>
        <w:t xml:space="preserve"> that under the new ISEP, the </w:t>
      </w:r>
      <w:r w:rsidRPr="0093006A">
        <w:rPr>
          <w:color w:val="595959" w:themeColor="text1" w:themeTint="A6"/>
        </w:rPr>
        <w:t xml:space="preserve">Indigenous workforce needs to become a government and industry priority backed by strategic targets and clear accountability mechanisms. </w:t>
      </w:r>
    </w:p>
    <w:p w14:paraId="28985CB6" w14:textId="77777777" w:rsidR="00C676A4" w:rsidRPr="0093006A" w:rsidRDefault="00C676A4" w:rsidP="00981521">
      <w:pPr>
        <w:rPr>
          <w:color w:val="595959" w:themeColor="text1" w:themeTint="A6"/>
        </w:rPr>
      </w:pP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4"/>
        <w:tblDescription w:val="The ISEP should be flexible, place-based, community-led and client-focused "/>
      </w:tblPr>
      <w:tblGrid>
        <w:gridCol w:w="8930"/>
      </w:tblGrid>
      <w:tr w:rsidR="0093006A" w:rsidRPr="0093006A" w14:paraId="33F8F6E2" w14:textId="77777777" w:rsidTr="00CE6A8A">
        <w:trPr>
          <w:cantSplit/>
          <w:tblHeader/>
        </w:trPr>
        <w:tc>
          <w:tcPr>
            <w:tcW w:w="8930" w:type="dxa"/>
            <w:shd w:val="clear" w:color="auto" w:fill="auto"/>
          </w:tcPr>
          <w:p w14:paraId="2D4E6803" w14:textId="2D487F68" w:rsidR="0089266A" w:rsidRPr="0093006A" w:rsidRDefault="0089266A" w:rsidP="00FB3CCC">
            <w:pPr>
              <w:spacing w:after="120"/>
              <w:rPr>
                <w:b/>
                <w:bCs/>
                <w:i/>
                <w:iCs/>
                <w:color w:val="595959" w:themeColor="text1" w:themeTint="A6"/>
              </w:rPr>
            </w:pPr>
            <w:r w:rsidRPr="0093006A">
              <w:rPr>
                <w:b/>
                <w:bCs/>
                <w:i/>
                <w:iCs/>
                <w:color w:val="595959" w:themeColor="text1" w:themeTint="A6"/>
              </w:rPr>
              <w:t xml:space="preserve">Key </w:t>
            </w:r>
            <w:r w:rsidR="00D84544" w:rsidRPr="0093006A">
              <w:rPr>
                <w:b/>
                <w:bCs/>
                <w:i/>
                <w:iCs/>
                <w:color w:val="595959" w:themeColor="text1" w:themeTint="A6"/>
              </w:rPr>
              <w:t>I</w:t>
            </w:r>
            <w:r w:rsidRPr="0093006A">
              <w:rPr>
                <w:b/>
                <w:bCs/>
                <w:i/>
                <w:iCs/>
                <w:color w:val="595959" w:themeColor="text1" w:themeTint="A6"/>
              </w:rPr>
              <w:t xml:space="preserve">nsight </w:t>
            </w:r>
            <w:r w:rsidR="0073627A" w:rsidRPr="0093006A">
              <w:rPr>
                <w:b/>
                <w:bCs/>
                <w:i/>
                <w:iCs/>
                <w:color w:val="595959" w:themeColor="text1" w:themeTint="A6"/>
              </w:rPr>
              <w:t>4</w:t>
            </w:r>
          </w:p>
        </w:tc>
      </w:tr>
      <w:tr w:rsidR="0089266A" w:rsidRPr="0093006A" w14:paraId="3004F2F1" w14:textId="77777777" w:rsidTr="00CE6A8A">
        <w:trPr>
          <w:cantSplit/>
          <w:tblHeader/>
        </w:trPr>
        <w:tc>
          <w:tcPr>
            <w:tcW w:w="8930" w:type="dxa"/>
          </w:tcPr>
          <w:p w14:paraId="3E7584D8" w14:textId="62A8B528" w:rsidR="00C17B63" w:rsidRPr="0093006A" w:rsidRDefault="00C17B63" w:rsidP="00C17B63">
            <w:pPr>
              <w:spacing w:after="120"/>
              <w:rPr>
                <w:b/>
                <w:bCs/>
                <w:color w:val="595959" w:themeColor="text1" w:themeTint="A6"/>
              </w:rPr>
            </w:pPr>
            <w:r w:rsidRPr="0093006A">
              <w:rPr>
                <w:b/>
                <w:bCs/>
                <w:color w:val="595959" w:themeColor="text1" w:themeTint="A6"/>
              </w:rPr>
              <w:t xml:space="preserve">The ISEP should be flexible, place-based, community-led and client-focused </w:t>
            </w:r>
          </w:p>
          <w:p w14:paraId="101FD397" w14:textId="0CB24F14" w:rsidR="0089266A" w:rsidRPr="0093006A" w:rsidRDefault="00C17B63" w:rsidP="00FB3CCC">
            <w:pPr>
              <w:spacing w:after="120"/>
              <w:textDirection w:val="btLr"/>
              <w:rPr>
                <w:color w:val="595959" w:themeColor="text1" w:themeTint="A6"/>
              </w:rPr>
            </w:pPr>
            <w:r w:rsidRPr="0093006A">
              <w:rPr>
                <w:color w:val="595959" w:themeColor="text1" w:themeTint="A6"/>
              </w:rPr>
              <w:t>The ISEP should be flexible, support local approaches, and avoid ‘one size fits all’ funding arrangements. Within the context of the National Agreement on Closing the Gap, participants emphasised the importance of NIAA undertaking collaboration on community-led and -designed solutions to achieve outcomes for Indigenous jobseekers appropriate to specific cultural and regional contexts.</w:t>
            </w:r>
          </w:p>
        </w:tc>
      </w:tr>
    </w:tbl>
    <w:p w14:paraId="32E1CE3C" w14:textId="77777777" w:rsidR="00DF4609" w:rsidRPr="0093006A" w:rsidRDefault="00DF4609" w:rsidP="0048465C">
      <w:pPr>
        <w:rPr>
          <w:color w:val="595959" w:themeColor="text1" w:themeTint="A6"/>
        </w:rPr>
      </w:pPr>
    </w:p>
    <w:p w14:paraId="24787BA9" w14:textId="0A5325E7" w:rsidR="0070407E" w:rsidRPr="0093006A" w:rsidRDefault="0070407E" w:rsidP="0048465C">
      <w:pPr>
        <w:rPr>
          <w:color w:val="595959" w:themeColor="text1" w:themeTint="A6"/>
        </w:rPr>
      </w:pPr>
      <w:r w:rsidRPr="0093006A">
        <w:rPr>
          <w:color w:val="595959" w:themeColor="text1" w:themeTint="A6"/>
        </w:rPr>
        <w:t xml:space="preserve">Divergent issues </w:t>
      </w:r>
    </w:p>
    <w:p w14:paraId="3D2CD5CA" w14:textId="77777777" w:rsidR="0070407E" w:rsidRPr="0093006A" w:rsidRDefault="0070407E" w:rsidP="0048465C">
      <w:pPr>
        <w:rPr>
          <w:color w:val="595959" w:themeColor="text1" w:themeTint="A6"/>
        </w:rPr>
      </w:pPr>
      <w:r w:rsidRPr="0093006A">
        <w:rPr>
          <w:color w:val="595959" w:themeColor="text1" w:themeTint="A6"/>
        </w:rPr>
        <w:t>There were a small number of divergent issues raised by a small minority of participants that did not relate specifically to location.  These were:</w:t>
      </w:r>
    </w:p>
    <w:p w14:paraId="7C128696" w14:textId="77777777" w:rsidR="0070407E" w:rsidRPr="0093006A" w:rsidRDefault="0070407E" w:rsidP="0048465C">
      <w:pPr>
        <w:rPr>
          <w:color w:val="595959" w:themeColor="text1" w:themeTint="A6"/>
        </w:rPr>
      </w:pPr>
    </w:p>
    <w:p w14:paraId="6DC23162" w14:textId="26621082" w:rsidR="0070407E" w:rsidRPr="0093006A" w:rsidRDefault="00E54AA6" w:rsidP="0070407E">
      <w:pPr>
        <w:pStyle w:val="ListParagraph"/>
        <w:numPr>
          <w:ilvl w:val="0"/>
          <w:numId w:val="49"/>
        </w:numPr>
        <w:spacing w:after="120"/>
        <w:rPr>
          <w:b/>
          <w:bCs/>
          <w:color w:val="595959" w:themeColor="text1" w:themeTint="A6"/>
        </w:rPr>
      </w:pPr>
      <w:r w:rsidRPr="0093006A">
        <w:rPr>
          <w:color w:val="595959" w:themeColor="text1" w:themeTint="A6"/>
        </w:rPr>
        <w:t>I</w:t>
      </w:r>
      <w:r w:rsidR="0070407E" w:rsidRPr="0093006A">
        <w:rPr>
          <w:color w:val="595959" w:themeColor="text1" w:themeTint="A6"/>
        </w:rPr>
        <w:t xml:space="preserve">ssues with </w:t>
      </w:r>
      <w:r w:rsidR="00C856F8" w:rsidRPr="0093006A">
        <w:rPr>
          <w:color w:val="595959" w:themeColor="text1" w:themeTint="A6"/>
        </w:rPr>
        <w:t>g</w:t>
      </w:r>
      <w:r w:rsidR="0070407E" w:rsidRPr="0093006A">
        <w:rPr>
          <w:color w:val="595959" w:themeColor="text1" w:themeTint="A6"/>
        </w:rPr>
        <w:t>overnment income support:</w:t>
      </w:r>
      <w:r w:rsidR="0070407E" w:rsidRPr="0093006A">
        <w:rPr>
          <w:b/>
          <w:bCs/>
          <w:color w:val="595959" w:themeColor="text1" w:themeTint="A6"/>
        </w:rPr>
        <w:t xml:space="preserve"> </w:t>
      </w:r>
      <w:r w:rsidR="0070407E" w:rsidRPr="0093006A">
        <w:rPr>
          <w:color w:val="595959" w:themeColor="text1" w:themeTint="A6"/>
        </w:rPr>
        <w:t xml:space="preserve">Some participants raised issues with </w:t>
      </w:r>
      <w:r w:rsidRPr="0093006A">
        <w:rPr>
          <w:color w:val="595959" w:themeColor="text1" w:themeTint="A6"/>
        </w:rPr>
        <w:t>social security</w:t>
      </w:r>
      <w:r w:rsidR="0070407E" w:rsidRPr="0093006A">
        <w:rPr>
          <w:color w:val="595959" w:themeColor="text1" w:themeTint="A6"/>
        </w:rPr>
        <w:t xml:space="preserve"> payments that can act as a barrier to jobseekers entering or remaining in the workforce. For example, </w:t>
      </w:r>
      <w:r w:rsidRPr="0093006A">
        <w:rPr>
          <w:color w:val="595959" w:themeColor="text1" w:themeTint="A6"/>
        </w:rPr>
        <w:t>when</w:t>
      </w:r>
      <w:r w:rsidR="0070407E" w:rsidRPr="0093006A">
        <w:rPr>
          <w:color w:val="595959" w:themeColor="text1" w:themeTint="A6"/>
        </w:rPr>
        <w:t xml:space="preserve"> someone commences employment, it may affect Centrelink payments for their partner and act as a barrier for jobseeker retention</w:t>
      </w:r>
      <w:r w:rsidRPr="0093006A">
        <w:rPr>
          <w:color w:val="595959" w:themeColor="text1" w:themeTint="A6"/>
        </w:rPr>
        <w:t>.</w:t>
      </w:r>
    </w:p>
    <w:p w14:paraId="4DED7769" w14:textId="038980EB" w:rsidR="0070407E" w:rsidRPr="0093006A" w:rsidRDefault="00E54AA6" w:rsidP="0070407E">
      <w:pPr>
        <w:pStyle w:val="ListParagraph"/>
        <w:numPr>
          <w:ilvl w:val="0"/>
          <w:numId w:val="49"/>
        </w:numPr>
        <w:tabs>
          <w:tab w:val="left" w:pos="384"/>
        </w:tabs>
        <w:spacing w:before="120" w:after="200"/>
        <w:rPr>
          <w:rFonts w:cs="Arial"/>
          <w:b/>
          <w:bCs/>
          <w:color w:val="595959" w:themeColor="text1" w:themeTint="A6"/>
        </w:rPr>
      </w:pPr>
      <w:r w:rsidRPr="0093006A">
        <w:rPr>
          <w:rFonts w:cs="Arial"/>
          <w:color w:val="595959" w:themeColor="text1" w:themeTint="A6"/>
        </w:rPr>
        <w:t>T</w:t>
      </w:r>
      <w:r w:rsidR="0070407E" w:rsidRPr="0093006A">
        <w:rPr>
          <w:rFonts w:cs="Arial"/>
          <w:color w:val="595959" w:themeColor="text1" w:themeTint="A6"/>
        </w:rPr>
        <w:t>he impacts of COVID:</w:t>
      </w:r>
      <w:r w:rsidR="0070407E" w:rsidRPr="0093006A">
        <w:rPr>
          <w:rFonts w:cs="Arial"/>
          <w:b/>
          <w:bCs/>
          <w:color w:val="595959" w:themeColor="text1" w:themeTint="A6"/>
        </w:rPr>
        <w:t xml:space="preserve"> </w:t>
      </w:r>
      <w:r w:rsidR="0070407E" w:rsidRPr="0093006A">
        <w:rPr>
          <w:rFonts w:cs="Arial"/>
          <w:color w:val="595959" w:themeColor="text1" w:themeTint="A6"/>
        </w:rPr>
        <w:t>The COVID-19 pandemic has caused widespread disruption to economic and educational activity in some regions largely due to the restrictions imposed on businesses and individuals. Participants fe</w:t>
      </w:r>
      <w:r w:rsidRPr="0093006A">
        <w:rPr>
          <w:rFonts w:cs="Arial"/>
          <w:color w:val="595959" w:themeColor="text1" w:themeTint="A6"/>
        </w:rPr>
        <w:t>lt</w:t>
      </w:r>
      <w:r w:rsidR="0070407E" w:rsidRPr="0093006A">
        <w:rPr>
          <w:rFonts w:cs="Arial"/>
          <w:color w:val="595959" w:themeColor="text1" w:themeTint="A6"/>
        </w:rPr>
        <w:t xml:space="preserve"> this has significantly impacted young Indigenous cohorts involved in workplace-based training in apprenticeships and traineeships. Alternatively, others saw COVID </w:t>
      </w:r>
      <w:r w:rsidRPr="0093006A">
        <w:rPr>
          <w:rFonts w:cs="Arial"/>
          <w:color w:val="595959" w:themeColor="text1" w:themeTint="A6"/>
        </w:rPr>
        <w:t>presented</w:t>
      </w:r>
      <w:r w:rsidR="0070407E" w:rsidRPr="0093006A">
        <w:rPr>
          <w:rFonts w:cs="Arial"/>
          <w:color w:val="595959" w:themeColor="text1" w:themeTint="A6"/>
        </w:rPr>
        <w:t xml:space="preserve"> opportunit</w:t>
      </w:r>
      <w:r w:rsidRPr="0093006A">
        <w:rPr>
          <w:rFonts w:cs="Arial"/>
          <w:color w:val="595959" w:themeColor="text1" w:themeTint="A6"/>
        </w:rPr>
        <w:t>ies</w:t>
      </w:r>
      <w:r w:rsidR="0070407E" w:rsidRPr="0093006A">
        <w:rPr>
          <w:rFonts w:cs="Arial"/>
          <w:color w:val="595959" w:themeColor="text1" w:themeTint="A6"/>
        </w:rPr>
        <w:t xml:space="preserve"> at the local / regional level</w:t>
      </w:r>
      <w:r w:rsidRPr="0093006A">
        <w:rPr>
          <w:rFonts w:cs="Arial"/>
          <w:color w:val="595959" w:themeColor="text1" w:themeTint="A6"/>
        </w:rPr>
        <w:t>.</w:t>
      </w:r>
    </w:p>
    <w:p w14:paraId="2A0AC5E5" w14:textId="4D23635B" w:rsidR="0070407E" w:rsidRPr="0093006A" w:rsidRDefault="0070407E" w:rsidP="0070407E">
      <w:pPr>
        <w:pStyle w:val="ListParagraph"/>
        <w:numPr>
          <w:ilvl w:val="0"/>
          <w:numId w:val="49"/>
        </w:numPr>
        <w:spacing w:before="120" w:after="120"/>
        <w:rPr>
          <w:rFonts w:cstheme="minorHAnsi"/>
          <w:b/>
          <w:bCs/>
          <w:color w:val="595959" w:themeColor="text1" w:themeTint="A6"/>
        </w:rPr>
      </w:pPr>
      <w:r w:rsidRPr="0093006A">
        <w:rPr>
          <w:rFonts w:cstheme="minorHAnsi"/>
          <w:color w:val="595959" w:themeColor="text1" w:themeTint="A6"/>
        </w:rPr>
        <w:t>ACCOs unable to compete with government or private sector salaries:</w:t>
      </w:r>
      <w:r w:rsidRPr="0093006A">
        <w:rPr>
          <w:rFonts w:cstheme="minorHAnsi"/>
          <w:b/>
          <w:bCs/>
          <w:color w:val="595959" w:themeColor="text1" w:themeTint="A6"/>
        </w:rPr>
        <w:t xml:space="preserve"> </w:t>
      </w:r>
      <w:r w:rsidRPr="0093006A">
        <w:rPr>
          <w:color w:val="595959" w:themeColor="text1" w:themeTint="A6"/>
        </w:rPr>
        <w:t xml:space="preserve">Some ACCOs raised concerns that after investing </w:t>
      </w:r>
      <w:r w:rsidR="005463ED" w:rsidRPr="0093006A">
        <w:rPr>
          <w:color w:val="595959" w:themeColor="text1" w:themeTint="A6"/>
        </w:rPr>
        <w:t xml:space="preserve">in </w:t>
      </w:r>
      <w:r w:rsidRPr="0093006A">
        <w:rPr>
          <w:color w:val="595959" w:themeColor="text1" w:themeTint="A6"/>
        </w:rPr>
        <w:t xml:space="preserve">supports and </w:t>
      </w:r>
      <w:r w:rsidRPr="0093006A">
        <w:rPr>
          <w:rFonts w:cstheme="minorHAnsi"/>
          <w:color w:val="595959" w:themeColor="text1" w:themeTint="A6"/>
        </w:rPr>
        <w:t xml:space="preserve">training for Indigenous jobseekers and existing staff they are unable to compete with the larger salaries offered by government and the private sector. This results in constantly losing experienced people from the community-controlled sector. </w:t>
      </w:r>
    </w:p>
    <w:p w14:paraId="3D2DD417" w14:textId="77777777" w:rsidR="0025689A" w:rsidRPr="0093006A" w:rsidRDefault="0025689A" w:rsidP="0025689A">
      <w:pPr>
        <w:rPr>
          <w:color w:val="595959" w:themeColor="text1" w:themeTint="A6"/>
        </w:rPr>
      </w:pPr>
    </w:p>
    <w:p w14:paraId="222E4508" w14:textId="77777777" w:rsidR="0025689A" w:rsidRPr="0093006A" w:rsidRDefault="0039487B" w:rsidP="0039487B">
      <w:pPr>
        <w:spacing w:after="120"/>
        <w:rPr>
          <w:b/>
          <w:bCs/>
          <w:color w:val="595959" w:themeColor="text1" w:themeTint="A6"/>
          <w:sz w:val="24"/>
          <w:szCs w:val="24"/>
        </w:rPr>
      </w:pPr>
      <w:r w:rsidRPr="0093006A">
        <w:rPr>
          <w:b/>
          <w:bCs/>
          <w:color w:val="595959" w:themeColor="text1" w:themeTint="A6"/>
          <w:sz w:val="24"/>
          <w:szCs w:val="24"/>
        </w:rPr>
        <w:t xml:space="preserve">B. </w:t>
      </w:r>
      <w:r w:rsidR="0025689A" w:rsidRPr="0093006A">
        <w:rPr>
          <w:b/>
          <w:bCs/>
          <w:color w:val="595959" w:themeColor="text1" w:themeTint="A6"/>
          <w:sz w:val="24"/>
          <w:szCs w:val="24"/>
        </w:rPr>
        <w:t>What might be stopping people from staying in employment long</w:t>
      </w:r>
      <w:r w:rsidRPr="0093006A">
        <w:rPr>
          <w:b/>
          <w:bCs/>
          <w:color w:val="595959" w:themeColor="text1" w:themeTint="A6"/>
          <w:sz w:val="24"/>
          <w:szCs w:val="24"/>
        </w:rPr>
        <w:t xml:space="preserve"> </w:t>
      </w:r>
      <w:r w:rsidR="0025689A" w:rsidRPr="0093006A">
        <w:rPr>
          <w:b/>
          <w:bCs/>
          <w:color w:val="595959" w:themeColor="text1" w:themeTint="A6"/>
          <w:sz w:val="24"/>
          <w:szCs w:val="24"/>
        </w:rPr>
        <w:t>term onc</w:t>
      </w:r>
      <w:r w:rsidRPr="0093006A">
        <w:rPr>
          <w:b/>
          <w:bCs/>
          <w:color w:val="595959" w:themeColor="text1" w:themeTint="A6"/>
          <w:sz w:val="24"/>
          <w:szCs w:val="24"/>
        </w:rPr>
        <w:t xml:space="preserve">e </w:t>
      </w:r>
      <w:r w:rsidR="0025689A" w:rsidRPr="0093006A">
        <w:rPr>
          <w:b/>
          <w:bCs/>
          <w:color w:val="595959" w:themeColor="text1" w:themeTint="A6"/>
          <w:sz w:val="24"/>
          <w:szCs w:val="24"/>
        </w:rPr>
        <w:t>they have secured a job?</w:t>
      </w:r>
    </w:p>
    <w:p w14:paraId="641B131B" w14:textId="77777777" w:rsidR="0025689A" w:rsidRPr="0093006A" w:rsidRDefault="0025689A" w:rsidP="0039487B">
      <w:pPr>
        <w:spacing w:after="120"/>
        <w:textDirection w:val="btLr"/>
        <w:rPr>
          <w:bCs/>
          <w:color w:val="595959" w:themeColor="text1" w:themeTint="A6"/>
        </w:rPr>
      </w:pPr>
      <w:r w:rsidRPr="0093006A">
        <w:rPr>
          <w:bCs/>
          <w:color w:val="595959" w:themeColor="text1" w:themeTint="A6"/>
        </w:rPr>
        <w:t>Employment programs that lack cultural specificity and needs, and pathways to employment impede Indigenous employment retention</w:t>
      </w:r>
    </w:p>
    <w:p w14:paraId="7DB8CC6B" w14:textId="36C80B4E" w:rsidR="0025689A" w:rsidRPr="0093006A" w:rsidRDefault="0025689A" w:rsidP="0039487B">
      <w:pPr>
        <w:spacing w:after="120"/>
        <w:rPr>
          <w:color w:val="595959" w:themeColor="text1" w:themeTint="A6"/>
        </w:rPr>
      </w:pPr>
      <w:r w:rsidRPr="0093006A">
        <w:rPr>
          <w:color w:val="595959" w:themeColor="text1" w:themeTint="A6"/>
          <w:lang w:val="en-US"/>
        </w:rPr>
        <w:t xml:space="preserve">In response to this question, participants nominated that education and training must be culturally and linguistically appropriate, place-based and linked to regional employment needs and opportunities. </w:t>
      </w:r>
      <w:r w:rsidR="001C74B5" w:rsidRPr="0093006A">
        <w:rPr>
          <w:color w:val="595959" w:themeColor="text1" w:themeTint="A6"/>
          <w:lang w:val="en-US"/>
        </w:rPr>
        <w:t>Participants</w:t>
      </w:r>
      <w:r w:rsidR="00D84544" w:rsidRPr="0093006A">
        <w:rPr>
          <w:color w:val="595959" w:themeColor="text1" w:themeTint="A6"/>
          <w:lang w:val="en-US"/>
        </w:rPr>
        <w:t xml:space="preserve"> noted that</w:t>
      </w:r>
      <w:r w:rsidRPr="0093006A">
        <w:rPr>
          <w:color w:val="595959" w:themeColor="text1" w:themeTint="A6"/>
          <w:lang w:val="en-US"/>
        </w:rPr>
        <w:t xml:space="preserve"> mentoring and support programs need to be culturally appropriate, flexible</w:t>
      </w:r>
      <w:r w:rsidR="00D84544" w:rsidRPr="0093006A">
        <w:rPr>
          <w:color w:val="595959" w:themeColor="text1" w:themeTint="A6"/>
          <w:lang w:val="en-US"/>
        </w:rPr>
        <w:t>,</w:t>
      </w:r>
      <w:r w:rsidRPr="0093006A">
        <w:rPr>
          <w:color w:val="595959" w:themeColor="text1" w:themeTint="A6"/>
          <w:lang w:val="en-US"/>
        </w:rPr>
        <w:t xml:space="preserve"> and tailored to the jobseeker and it is important that </w:t>
      </w:r>
      <w:r w:rsidRPr="0093006A">
        <w:rPr>
          <w:color w:val="595959" w:themeColor="text1" w:themeTint="A6"/>
        </w:rPr>
        <w:t xml:space="preserve">Indigenous </w:t>
      </w:r>
      <w:r w:rsidR="00563300" w:rsidRPr="0093006A">
        <w:rPr>
          <w:color w:val="595959" w:themeColor="text1" w:themeTint="A6"/>
        </w:rPr>
        <w:t xml:space="preserve">Australians </w:t>
      </w:r>
      <w:r w:rsidR="005463ED" w:rsidRPr="0093006A">
        <w:rPr>
          <w:color w:val="595959" w:themeColor="text1" w:themeTint="A6"/>
        </w:rPr>
        <w:t>can</w:t>
      </w:r>
      <w:r w:rsidRPr="0093006A">
        <w:rPr>
          <w:color w:val="595959" w:themeColor="text1" w:themeTint="A6"/>
        </w:rPr>
        <w:t xml:space="preserve"> earn wages while </w:t>
      </w:r>
      <w:r w:rsidR="005463ED" w:rsidRPr="0093006A">
        <w:rPr>
          <w:color w:val="595959" w:themeColor="text1" w:themeTint="A6"/>
        </w:rPr>
        <w:t xml:space="preserve">undertaking </w:t>
      </w:r>
      <w:r w:rsidRPr="0093006A">
        <w:rPr>
          <w:color w:val="595959" w:themeColor="text1" w:themeTint="A6"/>
        </w:rPr>
        <w:t>training.</w:t>
      </w:r>
    </w:p>
    <w:p w14:paraId="35872E5E" w14:textId="6307B7F5" w:rsidR="0025689A" w:rsidRPr="0093006A" w:rsidRDefault="00357792" w:rsidP="0039487B">
      <w:pPr>
        <w:spacing w:after="120"/>
        <w:rPr>
          <w:color w:val="595959" w:themeColor="text1" w:themeTint="A6"/>
        </w:rPr>
      </w:pPr>
      <w:r w:rsidRPr="0093006A">
        <w:rPr>
          <w:color w:val="595959" w:themeColor="text1" w:themeTint="A6"/>
        </w:rPr>
        <w:t>The n</w:t>
      </w:r>
      <w:r w:rsidR="0025689A" w:rsidRPr="0093006A">
        <w:rPr>
          <w:color w:val="595959" w:themeColor="text1" w:themeTint="A6"/>
        </w:rPr>
        <w:t xml:space="preserve">eed for </w:t>
      </w:r>
      <w:r w:rsidRPr="0093006A">
        <w:rPr>
          <w:color w:val="595959" w:themeColor="text1" w:themeTint="A6"/>
        </w:rPr>
        <w:t xml:space="preserve">more </w:t>
      </w:r>
      <w:r w:rsidR="0025689A" w:rsidRPr="0093006A">
        <w:rPr>
          <w:color w:val="595959" w:themeColor="text1" w:themeTint="A6"/>
        </w:rPr>
        <w:t xml:space="preserve">place-based training </w:t>
      </w:r>
      <w:r w:rsidRPr="0093006A">
        <w:rPr>
          <w:color w:val="595959" w:themeColor="text1" w:themeTint="A6"/>
        </w:rPr>
        <w:t xml:space="preserve">that is </w:t>
      </w:r>
      <w:r w:rsidR="0025689A" w:rsidRPr="0093006A">
        <w:rPr>
          <w:color w:val="595959" w:themeColor="text1" w:themeTint="A6"/>
        </w:rPr>
        <w:t>responsive to the</w:t>
      </w:r>
      <w:r w:rsidR="0025689A" w:rsidRPr="0093006A">
        <w:rPr>
          <w:bCs/>
          <w:color w:val="595959" w:themeColor="text1" w:themeTint="A6"/>
        </w:rPr>
        <w:t xml:space="preserve"> social, cultural, and economic characteristics of the region and its communities was raised by the majority of participants. </w:t>
      </w:r>
      <w:r w:rsidRPr="0093006A">
        <w:rPr>
          <w:bCs/>
          <w:color w:val="595959" w:themeColor="text1" w:themeTint="A6"/>
        </w:rPr>
        <w:t xml:space="preserve">Further, </w:t>
      </w:r>
      <w:r w:rsidR="0025689A" w:rsidRPr="0093006A">
        <w:rPr>
          <w:color w:val="595959" w:themeColor="text1" w:themeTint="A6"/>
          <w:lang w:val="en-US"/>
        </w:rPr>
        <w:t xml:space="preserve">Indigenous participants </w:t>
      </w:r>
      <w:r w:rsidRPr="0093006A">
        <w:rPr>
          <w:color w:val="595959" w:themeColor="text1" w:themeTint="A6"/>
          <w:lang w:val="en-US"/>
        </w:rPr>
        <w:t xml:space="preserve">identified </w:t>
      </w:r>
      <w:r w:rsidR="0025689A" w:rsidRPr="0093006A">
        <w:rPr>
          <w:color w:val="595959" w:themeColor="text1" w:themeTint="A6"/>
          <w:lang w:val="en-US"/>
        </w:rPr>
        <w:t>the need for education and training that is culturally and linguistically appropriate.  Linguistic appropriateness included both developing training for those in remote communities who speak English as a second or other language as well as delivery in appropriate language</w:t>
      </w:r>
      <w:r w:rsidRPr="0093006A">
        <w:rPr>
          <w:color w:val="595959" w:themeColor="text1" w:themeTint="A6"/>
          <w:lang w:val="en-US"/>
        </w:rPr>
        <w:t>s for</w:t>
      </w:r>
      <w:r w:rsidR="0025689A" w:rsidRPr="0093006A">
        <w:rPr>
          <w:color w:val="595959" w:themeColor="text1" w:themeTint="A6"/>
          <w:lang w:val="en-US"/>
        </w:rPr>
        <w:t xml:space="preserve"> Indigenous </w:t>
      </w:r>
      <w:r w:rsidR="00563300" w:rsidRPr="0093006A">
        <w:rPr>
          <w:color w:val="595959" w:themeColor="text1" w:themeTint="A6"/>
        </w:rPr>
        <w:t>Australians</w:t>
      </w:r>
      <w:r w:rsidRPr="0093006A">
        <w:rPr>
          <w:color w:val="595959" w:themeColor="text1" w:themeTint="A6"/>
        </w:rPr>
        <w:t>.</w:t>
      </w:r>
      <w:r w:rsidR="0025689A" w:rsidRPr="0093006A">
        <w:rPr>
          <w:color w:val="595959" w:themeColor="text1" w:themeTint="A6"/>
          <w:lang w:val="en-US"/>
        </w:rPr>
        <w:t xml:space="preserve"> </w:t>
      </w:r>
    </w:p>
    <w:p w14:paraId="1E0A8B9D" w14:textId="3A291955" w:rsidR="0025689A" w:rsidRPr="0093006A" w:rsidRDefault="0025689A" w:rsidP="0039487B">
      <w:pPr>
        <w:spacing w:after="120"/>
        <w:rPr>
          <w:color w:val="595959" w:themeColor="text1" w:themeTint="A6"/>
        </w:rPr>
      </w:pPr>
      <w:r w:rsidRPr="0093006A">
        <w:rPr>
          <w:color w:val="595959" w:themeColor="text1" w:themeTint="A6"/>
          <w:lang w:val="en-US"/>
        </w:rPr>
        <w:t xml:space="preserve">Most participants spoke of a disconnect between training opportunities that are not linked to employment opportunities at the local </w:t>
      </w:r>
      <w:r w:rsidR="00357792" w:rsidRPr="0093006A">
        <w:rPr>
          <w:color w:val="595959" w:themeColor="text1" w:themeTint="A6"/>
          <w:lang w:val="en-US"/>
        </w:rPr>
        <w:t>and</w:t>
      </w:r>
      <w:r w:rsidRPr="0093006A">
        <w:rPr>
          <w:color w:val="595959" w:themeColor="text1" w:themeTint="A6"/>
          <w:lang w:val="en-US"/>
        </w:rPr>
        <w:t xml:space="preserve"> regional level</w:t>
      </w:r>
      <w:r w:rsidR="00357792" w:rsidRPr="0093006A">
        <w:rPr>
          <w:color w:val="595959" w:themeColor="text1" w:themeTint="A6"/>
          <w:lang w:val="en-US"/>
        </w:rPr>
        <w:t>s,</w:t>
      </w:r>
      <w:r w:rsidRPr="0093006A">
        <w:rPr>
          <w:color w:val="595959" w:themeColor="text1" w:themeTint="A6"/>
          <w:lang w:val="en-US"/>
        </w:rPr>
        <w:t xml:space="preserve"> leaving jobseekers with little or no access to employment.</w:t>
      </w:r>
    </w:p>
    <w:p w14:paraId="159ADA1C" w14:textId="3EEB9B51" w:rsidR="0025689A" w:rsidRPr="0093006A" w:rsidRDefault="0025689A" w:rsidP="0039487B">
      <w:pPr>
        <w:spacing w:after="120"/>
        <w:rPr>
          <w:color w:val="595959" w:themeColor="text1" w:themeTint="A6"/>
          <w:lang w:val="en-US"/>
        </w:rPr>
      </w:pPr>
      <w:r w:rsidRPr="0093006A">
        <w:rPr>
          <w:color w:val="595959" w:themeColor="text1" w:themeTint="A6"/>
          <w:lang w:val="en-US"/>
        </w:rPr>
        <w:t>A specific need nominated across participants for inclusion in the ISEP design is culturally appropriate and flexible mentoring and support programs that allow for service providers to tailor an individuali</w:t>
      </w:r>
      <w:r w:rsidR="00B4744A" w:rsidRPr="0093006A">
        <w:rPr>
          <w:color w:val="595959" w:themeColor="text1" w:themeTint="A6"/>
          <w:lang w:val="en-US"/>
        </w:rPr>
        <w:t>s</w:t>
      </w:r>
      <w:r w:rsidRPr="0093006A">
        <w:rPr>
          <w:color w:val="595959" w:themeColor="text1" w:themeTint="A6"/>
          <w:lang w:val="en-US"/>
        </w:rPr>
        <w:t xml:space="preserve">ed program to meet jobseeker needs. In addition, there was strong support for </w:t>
      </w:r>
      <w:r w:rsidR="00357792" w:rsidRPr="0093006A">
        <w:rPr>
          <w:color w:val="595959" w:themeColor="text1" w:themeTint="A6"/>
          <w:lang w:val="en-US"/>
        </w:rPr>
        <w:t xml:space="preserve">provision of </w:t>
      </w:r>
      <w:r w:rsidRPr="0093006A">
        <w:rPr>
          <w:color w:val="595959" w:themeColor="text1" w:themeTint="A6"/>
          <w:lang w:val="en-US"/>
        </w:rPr>
        <w:t>mentoring and other supports beyond job placement or the</w:t>
      </w:r>
      <w:r w:rsidR="00140BFC" w:rsidRPr="0093006A">
        <w:rPr>
          <w:color w:val="595959" w:themeColor="text1" w:themeTint="A6"/>
          <w:lang w:val="en-US"/>
        </w:rPr>
        <w:t xml:space="preserve"> </w:t>
      </w:r>
      <w:r w:rsidRPr="0093006A">
        <w:rPr>
          <w:color w:val="595959" w:themeColor="text1" w:themeTint="A6"/>
          <w:lang w:val="en-US"/>
        </w:rPr>
        <w:t xml:space="preserve">26-week mark and </w:t>
      </w:r>
      <w:r w:rsidR="00357792" w:rsidRPr="0093006A">
        <w:rPr>
          <w:color w:val="595959" w:themeColor="text1" w:themeTint="A6"/>
          <w:lang w:val="en-US"/>
        </w:rPr>
        <w:t xml:space="preserve">as </w:t>
      </w:r>
      <w:r w:rsidRPr="0093006A">
        <w:rPr>
          <w:color w:val="595959" w:themeColor="text1" w:themeTint="A6"/>
          <w:lang w:val="en-US"/>
        </w:rPr>
        <w:t xml:space="preserve">needed on an ongoing basis to support retention and career planning. </w:t>
      </w:r>
    </w:p>
    <w:p w14:paraId="70AE1001" w14:textId="6FB25075" w:rsidR="0025689A" w:rsidRPr="0093006A" w:rsidRDefault="0025689A" w:rsidP="0039487B">
      <w:pPr>
        <w:spacing w:after="120"/>
        <w:rPr>
          <w:color w:val="595959" w:themeColor="text1" w:themeTint="A6"/>
          <w:lang w:val="en-US"/>
        </w:rPr>
      </w:pPr>
      <w:r w:rsidRPr="0093006A">
        <w:rPr>
          <w:color w:val="595959" w:themeColor="text1" w:themeTint="A6"/>
          <w:lang w:val="en-US"/>
        </w:rPr>
        <w:t xml:space="preserve">Participants also felt the need to earn a wage while training on the job was a central issue and the lack of adequate income support for those undertaking training often acts as a disincentive for Indigenous </w:t>
      </w:r>
      <w:r w:rsidR="00563300" w:rsidRPr="0093006A">
        <w:rPr>
          <w:color w:val="595959" w:themeColor="text1" w:themeTint="A6"/>
        </w:rPr>
        <w:t>Australians</w:t>
      </w:r>
      <w:r w:rsidRPr="0093006A">
        <w:rPr>
          <w:color w:val="595959" w:themeColor="text1" w:themeTint="A6"/>
          <w:lang w:val="en-US"/>
        </w:rPr>
        <w:t>.</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5"/>
        <w:tblDescription w:val="The ISEP should promote local, place-based training that is reflective of specific social, cultural, and economic characteristics of the regions "/>
      </w:tblPr>
      <w:tblGrid>
        <w:gridCol w:w="8930"/>
      </w:tblGrid>
      <w:tr w:rsidR="0093006A" w:rsidRPr="0093006A" w14:paraId="48C67B5D" w14:textId="77777777" w:rsidTr="00CE6A8A">
        <w:trPr>
          <w:cantSplit/>
          <w:tblHeader/>
        </w:trPr>
        <w:tc>
          <w:tcPr>
            <w:tcW w:w="8930" w:type="dxa"/>
            <w:shd w:val="clear" w:color="auto" w:fill="auto"/>
          </w:tcPr>
          <w:p w14:paraId="60A8DA2B" w14:textId="1A3748AF" w:rsidR="0039487B" w:rsidRPr="0093006A" w:rsidRDefault="0039487B" w:rsidP="0048465C">
            <w:pPr>
              <w:spacing w:after="120"/>
              <w:rPr>
                <w:b/>
                <w:bCs/>
                <w:i/>
                <w:iCs/>
                <w:color w:val="595959" w:themeColor="text1" w:themeTint="A6"/>
              </w:rPr>
            </w:pPr>
            <w:r w:rsidRPr="0093006A">
              <w:rPr>
                <w:b/>
                <w:bCs/>
                <w:i/>
                <w:iCs/>
                <w:color w:val="595959" w:themeColor="text1" w:themeTint="A6"/>
              </w:rPr>
              <w:t xml:space="preserve">Key </w:t>
            </w:r>
            <w:r w:rsidR="00D84544" w:rsidRPr="0093006A">
              <w:rPr>
                <w:b/>
                <w:bCs/>
                <w:i/>
                <w:iCs/>
                <w:color w:val="595959" w:themeColor="text1" w:themeTint="A6"/>
              </w:rPr>
              <w:t>I</w:t>
            </w:r>
            <w:r w:rsidRPr="0093006A">
              <w:rPr>
                <w:b/>
                <w:bCs/>
                <w:i/>
                <w:iCs/>
                <w:color w:val="595959" w:themeColor="text1" w:themeTint="A6"/>
              </w:rPr>
              <w:t>nsight</w:t>
            </w:r>
            <w:r w:rsidR="00055EF2" w:rsidRPr="0093006A">
              <w:rPr>
                <w:b/>
                <w:bCs/>
                <w:i/>
                <w:iCs/>
                <w:color w:val="595959" w:themeColor="text1" w:themeTint="A6"/>
              </w:rPr>
              <w:t xml:space="preserve"> 5</w:t>
            </w:r>
          </w:p>
        </w:tc>
      </w:tr>
      <w:tr w:rsidR="0039487B" w:rsidRPr="0093006A" w14:paraId="67FB193A" w14:textId="77777777" w:rsidTr="00CE6A8A">
        <w:trPr>
          <w:cantSplit/>
          <w:tblHeader/>
        </w:trPr>
        <w:tc>
          <w:tcPr>
            <w:tcW w:w="8930" w:type="dxa"/>
          </w:tcPr>
          <w:p w14:paraId="382824AA" w14:textId="76980825" w:rsidR="00140BFC" w:rsidRPr="0093006A" w:rsidRDefault="00140BFC" w:rsidP="00140BFC">
            <w:pPr>
              <w:spacing w:after="120"/>
              <w:rPr>
                <w:b/>
                <w:bCs/>
                <w:color w:val="595959" w:themeColor="text1" w:themeTint="A6"/>
              </w:rPr>
            </w:pPr>
            <w:r w:rsidRPr="0093006A">
              <w:rPr>
                <w:b/>
                <w:bCs/>
                <w:color w:val="595959" w:themeColor="text1" w:themeTint="A6"/>
              </w:rPr>
              <w:t xml:space="preserve">The ISEP should promote local, place-based training that is reflective of specific social, cultural, and economic characteristics of the regions </w:t>
            </w:r>
          </w:p>
          <w:p w14:paraId="5DA39795" w14:textId="66E7CADC" w:rsidR="0039487B" w:rsidRPr="0093006A" w:rsidRDefault="00140BFC" w:rsidP="00981521">
            <w:pPr>
              <w:spacing w:after="120"/>
              <w:rPr>
                <w:color w:val="595959" w:themeColor="text1" w:themeTint="A6"/>
              </w:rPr>
            </w:pPr>
            <w:r w:rsidRPr="0093006A">
              <w:rPr>
                <w:color w:val="595959" w:themeColor="text1" w:themeTint="A6"/>
              </w:rPr>
              <w:t>Employment programs under the ISEP should incorporate culturally specific training and education pathways that reflect the community in which they are based. This includes flexibility around how services are delivered, linkages to employment opportunities in the region, support services delivered in language appropriate to the community, and increased funding to provide ongoing assistance beyond the current standard of 26-weeks.</w:t>
            </w:r>
          </w:p>
        </w:tc>
      </w:tr>
    </w:tbl>
    <w:p w14:paraId="3BB1FC8D" w14:textId="77777777" w:rsidR="0089266A" w:rsidRPr="0093006A" w:rsidRDefault="0089266A" w:rsidP="0025689A">
      <w:pPr>
        <w:rPr>
          <w:color w:val="595959" w:themeColor="text1" w:themeTint="A6"/>
        </w:rPr>
      </w:pPr>
    </w:p>
    <w:p w14:paraId="53FD3E14" w14:textId="77777777" w:rsidR="0025689A" w:rsidRPr="0093006A" w:rsidRDefault="0039487B" w:rsidP="0039487B">
      <w:pPr>
        <w:spacing w:after="120"/>
        <w:rPr>
          <w:b/>
          <w:bCs/>
          <w:color w:val="595959" w:themeColor="text1" w:themeTint="A6"/>
          <w:sz w:val="24"/>
          <w:szCs w:val="24"/>
        </w:rPr>
      </w:pPr>
      <w:r w:rsidRPr="0093006A">
        <w:rPr>
          <w:b/>
          <w:bCs/>
          <w:color w:val="595959" w:themeColor="text1" w:themeTint="A6"/>
          <w:sz w:val="24"/>
          <w:szCs w:val="24"/>
        </w:rPr>
        <w:t xml:space="preserve">C. </w:t>
      </w:r>
      <w:r w:rsidR="0025689A" w:rsidRPr="0093006A">
        <w:rPr>
          <w:b/>
          <w:bCs/>
          <w:color w:val="595959" w:themeColor="text1" w:themeTint="A6"/>
          <w:sz w:val="24"/>
          <w:szCs w:val="24"/>
        </w:rPr>
        <w:t>What is needed to intervene at critical points?</w:t>
      </w:r>
    </w:p>
    <w:p w14:paraId="35436DB7" w14:textId="77777777" w:rsidR="0025689A" w:rsidRPr="0093006A" w:rsidRDefault="0025689A" w:rsidP="0025689A">
      <w:pPr>
        <w:spacing w:after="120"/>
        <w:rPr>
          <w:color w:val="595959" w:themeColor="text1" w:themeTint="A6"/>
        </w:rPr>
      </w:pPr>
      <w:r w:rsidRPr="0093006A">
        <w:rPr>
          <w:color w:val="595959" w:themeColor="text1" w:themeTint="A6"/>
          <w:lang w:val="en-US"/>
        </w:rPr>
        <w:t>The school to work transition is a critical juncture and an early focus on younger students is required</w:t>
      </w:r>
    </w:p>
    <w:p w14:paraId="76D4E742" w14:textId="6B983EA1" w:rsidR="0025689A" w:rsidRPr="0093006A" w:rsidRDefault="00934F69" w:rsidP="0025689A">
      <w:pPr>
        <w:spacing w:after="120"/>
        <w:rPr>
          <w:color w:val="595959" w:themeColor="text1" w:themeTint="A6"/>
          <w:lang w:val="en-US"/>
        </w:rPr>
      </w:pPr>
      <w:r w:rsidRPr="0093006A">
        <w:rPr>
          <w:color w:val="595959" w:themeColor="text1" w:themeTint="A6"/>
          <w:lang w:val="en-US"/>
        </w:rPr>
        <w:t>Participants noted that the</w:t>
      </w:r>
      <w:r w:rsidR="0025689A" w:rsidRPr="0093006A">
        <w:rPr>
          <w:color w:val="595959" w:themeColor="text1" w:themeTint="A6"/>
          <w:lang w:val="en-US"/>
        </w:rPr>
        <w:t xml:space="preserve"> school to work transition continues to be a pressure point.  Programs that target senior students </w:t>
      </w:r>
      <w:r w:rsidRPr="0093006A">
        <w:rPr>
          <w:color w:val="595959" w:themeColor="text1" w:themeTint="A6"/>
          <w:lang w:val="en-US"/>
        </w:rPr>
        <w:t>should also</w:t>
      </w:r>
      <w:r w:rsidR="0025689A" w:rsidRPr="0093006A">
        <w:rPr>
          <w:color w:val="595959" w:themeColor="text1" w:themeTint="A6"/>
          <w:lang w:val="en-US"/>
        </w:rPr>
        <w:t xml:space="preserve"> focus on younger students in early high school years to allow for career path planning and subject choices. </w:t>
      </w:r>
    </w:p>
    <w:p w14:paraId="60B8D0C0" w14:textId="4AA78C04" w:rsidR="0025689A" w:rsidRPr="0093006A" w:rsidRDefault="0025689A" w:rsidP="0025689A">
      <w:pPr>
        <w:spacing w:after="120"/>
        <w:rPr>
          <w:color w:val="595959" w:themeColor="text1" w:themeTint="A6"/>
          <w:lang w:val="en-US"/>
        </w:rPr>
      </w:pPr>
      <w:r w:rsidRPr="0093006A">
        <w:rPr>
          <w:color w:val="595959" w:themeColor="text1" w:themeTint="A6"/>
          <w:lang w:val="en-US"/>
        </w:rPr>
        <w:t xml:space="preserve">Students require more exposure to regional industry and potential careers, improved access to work experience and access to information and knowledge about entering employment </w:t>
      </w:r>
      <w:r w:rsidR="00934F69" w:rsidRPr="0093006A">
        <w:rPr>
          <w:color w:val="595959" w:themeColor="text1" w:themeTint="A6"/>
          <w:lang w:val="en-US"/>
        </w:rPr>
        <w:t xml:space="preserve">at </w:t>
      </w:r>
      <w:r w:rsidRPr="0093006A">
        <w:rPr>
          <w:color w:val="595959" w:themeColor="text1" w:themeTint="A6"/>
          <w:lang w:val="en-US"/>
        </w:rPr>
        <w:t xml:space="preserve">a much earlier age. This is of particular importance to counteract intergenerational unemployment. </w:t>
      </w:r>
    </w:p>
    <w:p w14:paraId="2D2D46AB" w14:textId="18B35417" w:rsidR="0025689A" w:rsidRPr="0093006A" w:rsidRDefault="0025689A" w:rsidP="0025689A">
      <w:pPr>
        <w:spacing w:after="120"/>
        <w:rPr>
          <w:color w:val="595959" w:themeColor="text1" w:themeTint="A6"/>
          <w:lang w:val="en-US"/>
        </w:rPr>
      </w:pPr>
      <w:r w:rsidRPr="0093006A">
        <w:rPr>
          <w:color w:val="595959" w:themeColor="text1" w:themeTint="A6"/>
          <w:lang w:val="en-US"/>
        </w:rPr>
        <w:t xml:space="preserve">Participants from areas with significant </w:t>
      </w:r>
      <w:r w:rsidR="00934F69" w:rsidRPr="0093006A">
        <w:rPr>
          <w:color w:val="595959" w:themeColor="text1" w:themeTint="A6"/>
          <w:lang w:val="en-US"/>
        </w:rPr>
        <w:t xml:space="preserve">numbers </w:t>
      </w:r>
      <w:r w:rsidRPr="0093006A">
        <w:rPr>
          <w:color w:val="595959" w:themeColor="text1" w:themeTint="A6"/>
          <w:lang w:val="en-US"/>
        </w:rPr>
        <w:t xml:space="preserve">of early school leavers (specifically remote and very remote areas and communities without a local high school) included this cohort as a priority group in any school to work transition program design and delivery. </w:t>
      </w:r>
    </w:p>
    <w:p w14:paraId="44B035F3" w14:textId="32ADB9A4" w:rsidR="008E0D62" w:rsidRPr="0093006A" w:rsidRDefault="008E0D62">
      <w:pPr>
        <w:rPr>
          <w:b/>
          <w:bCs/>
          <w:color w:val="595959" w:themeColor="text1" w:themeTint="A6"/>
          <w:sz w:val="24"/>
          <w:szCs w:val="24"/>
        </w:rPr>
      </w:pPr>
    </w:p>
    <w:p w14:paraId="3CFCDDB2" w14:textId="53216F1B" w:rsidR="0025689A" w:rsidRPr="0093006A" w:rsidRDefault="0025689A" w:rsidP="003769B7">
      <w:pPr>
        <w:pStyle w:val="ListParagraph"/>
        <w:numPr>
          <w:ilvl w:val="0"/>
          <w:numId w:val="47"/>
        </w:numPr>
        <w:tabs>
          <w:tab w:val="left" w:pos="284"/>
        </w:tabs>
        <w:spacing w:after="120" w:line="264" w:lineRule="auto"/>
        <w:ind w:left="0" w:hanging="11"/>
        <w:rPr>
          <w:b/>
          <w:bCs/>
          <w:color w:val="595959" w:themeColor="text1" w:themeTint="A6"/>
          <w:sz w:val="24"/>
          <w:szCs w:val="24"/>
        </w:rPr>
      </w:pPr>
      <w:r w:rsidRPr="0093006A">
        <w:rPr>
          <w:b/>
          <w:bCs/>
          <w:color w:val="595959" w:themeColor="text1" w:themeTint="A6"/>
          <w:sz w:val="24"/>
          <w:szCs w:val="24"/>
        </w:rPr>
        <w:t>What do employers need to improve to provide safe and culturally appropriate work environments?</w:t>
      </w:r>
    </w:p>
    <w:p w14:paraId="4BD1CBC2" w14:textId="7F0E1C00" w:rsidR="0025689A" w:rsidRPr="0093006A" w:rsidRDefault="0025689A" w:rsidP="0025689A">
      <w:pPr>
        <w:spacing w:after="120"/>
        <w:rPr>
          <w:color w:val="595959" w:themeColor="text1" w:themeTint="A6"/>
          <w:lang w:val="en-US"/>
        </w:rPr>
      </w:pPr>
      <w:r w:rsidRPr="0093006A">
        <w:rPr>
          <w:color w:val="595959" w:themeColor="text1" w:themeTint="A6"/>
          <w:lang w:val="en-US"/>
        </w:rPr>
        <w:t xml:space="preserve">The ISEP </w:t>
      </w:r>
      <w:r w:rsidR="005D09DC" w:rsidRPr="0093006A">
        <w:rPr>
          <w:color w:val="595959" w:themeColor="text1" w:themeTint="A6"/>
          <w:lang w:val="en-US"/>
        </w:rPr>
        <w:t xml:space="preserve">should </w:t>
      </w:r>
      <w:r w:rsidRPr="0093006A">
        <w:rPr>
          <w:color w:val="595959" w:themeColor="text1" w:themeTint="A6"/>
          <w:lang w:val="en-US"/>
        </w:rPr>
        <w:t xml:space="preserve">include a focus on the provision of Indigenous-led supports for industry to build </w:t>
      </w:r>
      <w:r w:rsidRPr="0093006A">
        <w:rPr>
          <w:color w:val="595959" w:themeColor="text1" w:themeTint="A6"/>
        </w:rPr>
        <w:t xml:space="preserve">accountable, proactive and flexible workplaces </w:t>
      </w:r>
      <w:r w:rsidRPr="0093006A">
        <w:rPr>
          <w:color w:val="595959" w:themeColor="text1" w:themeTint="A6"/>
          <w:lang w:val="en-US"/>
        </w:rPr>
        <w:t xml:space="preserve">to ensure cultural safety </w:t>
      </w:r>
    </w:p>
    <w:p w14:paraId="4A82A000" w14:textId="5B55241C" w:rsidR="0025689A" w:rsidRPr="0093006A" w:rsidRDefault="005D09DC" w:rsidP="0039487B">
      <w:pPr>
        <w:spacing w:after="120"/>
        <w:rPr>
          <w:color w:val="595959" w:themeColor="text1" w:themeTint="A6"/>
        </w:rPr>
      </w:pPr>
      <w:r w:rsidRPr="0093006A">
        <w:rPr>
          <w:color w:val="595959" w:themeColor="text1" w:themeTint="A6"/>
          <w:lang w:val="en-US"/>
        </w:rPr>
        <w:t>Participants</w:t>
      </w:r>
      <w:r w:rsidR="0025689A" w:rsidRPr="0093006A">
        <w:rPr>
          <w:color w:val="595959" w:themeColor="text1" w:themeTint="A6"/>
          <w:lang w:val="en-US"/>
        </w:rPr>
        <w:t xml:space="preserve"> agreed that there is a general lack of cultural safety in workplaces nationally. Employers do not yet understand cultural safety, </w:t>
      </w:r>
      <w:r w:rsidR="00945DD7" w:rsidRPr="0093006A">
        <w:rPr>
          <w:color w:val="595959" w:themeColor="text1" w:themeTint="A6"/>
          <w:lang w:val="en-US"/>
        </w:rPr>
        <w:t xml:space="preserve">the </w:t>
      </w:r>
      <w:r w:rsidR="0025689A" w:rsidRPr="0093006A">
        <w:rPr>
          <w:color w:val="595959" w:themeColor="text1" w:themeTint="A6"/>
          <w:lang w:val="en-US"/>
        </w:rPr>
        <w:t xml:space="preserve">cultural obligations of Indigenous employees or the skills they bring to the workplace. Some participants felt that </w:t>
      </w:r>
      <w:r w:rsidR="0025689A" w:rsidRPr="0093006A">
        <w:rPr>
          <w:color w:val="595959" w:themeColor="text1" w:themeTint="A6"/>
        </w:rPr>
        <w:t xml:space="preserve">employers seeking Indigenous </w:t>
      </w:r>
      <w:r w:rsidR="00563300" w:rsidRPr="0093006A">
        <w:rPr>
          <w:color w:val="595959" w:themeColor="text1" w:themeTint="A6"/>
        </w:rPr>
        <w:t>Australians</w:t>
      </w:r>
      <w:r w:rsidR="0025689A" w:rsidRPr="0093006A">
        <w:rPr>
          <w:color w:val="595959" w:themeColor="text1" w:themeTint="A6"/>
        </w:rPr>
        <w:t xml:space="preserve"> to </w:t>
      </w:r>
      <w:r w:rsidR="00945DD7" w:rsidRPr="0093006A">
        <w:rPr>
          <w:color w:val="595959" w:themeColor="text1" w:themeTint="A6"/>
        </w:rPr>
        <w:t>“</w:t>
      </w:r>
      <w:r w:rsidR="0025689A" w:rsidRPr="0093006A">
        <w:rPr>
          <w:color w:val="595959" w:themeColor="text1" w:themeTint="A6"/>
        </w:rPr>
        <w:t>tick boxes</w:t>
      </w:r>
      <w:r w:rsidR="00945DD7" w:rsidRPr="0093006A">
        <w:rPr>
          <w:color w:val="595959" w:themeColor="text1" w:themeTint="A6"/>
        </w:rPr>
        <w:t>”</w:t>
      </w:r>
      <w:r w:rsidR="0025689A" w:rsidRPr="0093006A">
        <w:rPr>
          <w:color w:val="595959" w:themeColor="text1" w:themeTint="A6"/>
        </w:rPr>
        <w:t xml:space="preserve"> or meet R</w:t>
      </w:r>
      <w:r w:rsidR="00945DD7" w:rsidRPr="0093006A">
        <w:rPr>
          <w:color w:val="595959" w:themeColor="text1" w:themeTint="A6"/>
        </w:rPr>
        <w:t>econciliation Action Plan (RAP)</w:t>
      </w:r>
      <w:r w:rsidR="0025689A" w:rsidRPr="0093006A">
        <w:rPr>
          <w:color w:val="595959" w:themeColor="text1" w:themeTint="A6"/>
        </w:rPr>
        <w:t xml:space="preserve"> requirements often lack the cultural awareness and understanding to retain them.</w:t>
      </w:r>
    </w:p>
    <w:p w14:paraId="104107A1" w14:textId="6A0805E0" w:rsidR="0025689A" w:rsidRPr="0093006A" w:rsidRDefault="0025689A" w:rsidP="0039487B">
      <w:pPr>
        <w:tabs>
          <w:tab w:val="left" w:pos="384"/>
        </w:tabs>
        <w:spacing w:after="120"/>
        <w:rPr>
          <w:color w:val="595959" w:themeColor="text1" w:themeTint="A6"/>
        </w:rPr>
      </w:pPr>
      <w:r w:rsidRPr="0093006A">
        <w:rPr>
          <w:color w:val="595959" w:themeColor="text1" w:themeTint="A6"/>
          <w:lang w:val="en-US"/>
        </w:rPr>
        <w:t xml:space="preserve">Many participants felt that racism, bias and discrimination in the workplace </w:t>
      </w:r>
      <w:r w:rsidRPr="0093006A">
        <w:rPr>
          <w:rFonts w:cs="Arial"/>
          <w:color w:val="595959" w:themeColor="text1" w:themeTint="A6"/>
        </w:rPr>
        <w:t xml:space="preserve">includes entrenched ideas about Indigenous </w:t>
      </w:r>
      <w:r w:rsidR="00563300" w:rsidRPr="0093006A">
        <w:rPr>
          <w:color w:val="595959" w:themeColor="text1" w:themeTint="A6"/>
        </w:rPr>
        <w:t>Australians</w:t>
      </w:r>
      <w:r w:rsidRPr="0093006A">
        <w:rPr>
          <w:rFonts w:cs="Arial"/>
          <w:color w:val="595959" w:themeColor="text1" w:themeTint="A6"/>
        </w:rPr>
        <w:t xml:space="preserve"> and their capacity, </w:t>
      </w:r>
      <w:r w:rsidRPr="0093006A">
        <w:rPr>
          <w:color w:val="595959" w:themeColor="text1" w:themeTint="A6"/>
          <w:lang w:val="en-US"/>
        </w:rPr>
        <w:t xml:space="preserve">and that there is a lack of robust and appropriate </w:t>
      </w:r>
      <w:r w:rsidR="0004173F" w:rsidRPr="0093006A">
        <w:rPr>
          <w:color w:val="595959" w:themeColor="text1" w:themeTint="A6"/>
          <w:lang w:val="en-US"/>
        </w:rPr>
        <w:t>responses</w:t>
      </w:r>
      <w:r w:rsidRPr="0093006A">
        <w:rPr>
          <w:color w:val="595959" w:themeColor="text1" w:themeTint="A6"/>
          <w:lang w:val="en-US"/>
        </w:rPr>
        <w:t xml:space="preserve">. </w:t>
      </w:r>
      <w:r w:rsidRPr="0093006A">
        <w:rPr>
          <w:rFonts w:cs="Arial"/>
          <w:color w:val="595959" w:themeColor="text1" w:themeTint="A6"/>
        </w:rPr>
        <w:t xml:space="preserve">The </w:t>
      </w:r>
      <w:r w:rsidRPr="0093006A">
        <w:rPr>
          <w:color w:val="595959" w:themeColor="text1" w:themeTint="A6"/>
          <w:lang w:val="en-US"/>
        </w:rPr>
        <w:t xml:space="preserve">lack of </w:t>
      </w:r>
      <w:r w:rsidR="0004173F" w:rsidRPr="0093006A">
        <w:rPr>
          <w:color w:val="595959" w:themeColor="text1" w:themeTint="A6"/>
          <w:lang w:val="en-US"/>
        </w:rPr>
        <w:t xml:space="preserve">employer </w:t>
      </w:r>
      <w:r w:rsidRPr="0093006A">
        <w:rPr>
          <w:color w:val="595959" w:themeColor="text1" w:themeTint="A6"/>
          <w:lang w:val="en-US"/>
        </w:rPr>
        <w:t>understanding and recognition of traditional and cultural knowledge and obligations o</w:t>
      </w:r>
      <w:r w:rsidR="0004173F" w:rsidRPr="0093006A">
        <w:rPr>
          <w:color w:val="595959" w:themeColor="text1" w:themeTint="A6"/>
          <w:lang w:val="en-US"/>
        </w:rPr>
        <w:t>f</w:t>
      </w:r>
      <w:r w:rsidRPr="0093006A">
        <w:rPr>
          <w:color w:val="595959" w:themeColor="text1" w:themeTint="A6"/>
          <w:lang w:val="en-US"/>
        </w:rPr>
        <w:t xml:space="preserve"> Indigenous </w:t>
      </w:r>
      <w:r w:rsidR="00563300" w:rsidRPr="0093006A">
        <w:rPr>
          <w:color w:val="595959" w:themeColor="text1" w:themeTint="A6"/>
        </w:rPr>
        <w:t>Australians</w:t>
      </w:r>
      <w:r w:rsidRPr="0093006A">
        <w:rPr>
          <w:color w:val="595959" w:themeColor="text1" w:themeTint="A6"/>
          <w:lang w:val="en-US"/>
        </w:rPr>
        <w:t xml:space="preserve"> </w:t>
      </w:r>
      <w:r w:rsidR="0004173F" w:rsidRPr="0093006A">
        <w:rPr>
          <w:rFonts w:cs="Arial"/>
          <w:color w:val="595959" w:themeColor="text1" w:themeTint="A6"/>
        </w:rPr>
        <w:t>results in</w:t>
      </w:r>
      <w:r w:rsidRPr="0093006A">
        <w:rPr>
          <w:rFonts w:cs="Arial"/>
          <w:color w:val="595959" w:themeColor="text1" w:themeTint="A6"/>
        </w:rPr>
        <w:t xml:space="preserve"> an absence of flexibility and understanding</w:t>
      </w:r>
      <w:r w:rsidR="0004173F" w:rsidRPr="0093006A">
        <w:rPr>
          <w:rFonts w:cs="Arial"/>
          <w:color w:val="595959" w:themeColor="text1" w:themeTint="A6"/>
        </w:rPr>
        <w:t xml:space="preserve">. This leads </w:t>
      </w:r>
      <w:r w:rsidRPr="0093006A">
        <w:rPr>
          <w:color w:val="595959" w:themeColor="text1" w:themeTint="A6"/>
          <w:lang w:val="en-US"/>
        </w:rPr>
        <w:t xml:space="preserve">to contradictions and tension </w:t>
      </w:r>
      <w:r w:rsidRPr="0093006A">
        <w:rPr>
          <w:rFonts w:cs="Arial"/>
          <w:color w:val="595959" w:themeColor="text1" w:themeTint="A6"/>
        </w:rPr>
        <w:t>between standard business practices and Indigenous culture</w:t>
      </w:r>
      <w:r w:rsidR="0004173F" w:rsidRPr="0093006A">
        <w:rPr>
          <w:rFonts w:cs="Arial"/>
          <w:color w:val="595959" w:themeColor="text1" w:themeTint="A6"/>
        </w:rPr>
        <w:t>,</w:t>
      </w:r>
      <w:r w:rsidRPr="0093006A">
        <w:rPr>
          <w:rFonts w:cs="Arial"/>
          <w:color w:val="595959" w:themeColor="text1" w:themeTint="A6"/>
        </w:rPr>
        <w:t xml:space="preserve"> and a lack of understanding </w:t>
      </w:r>
      <w:r w:rsidR="0004173F" w:rsidRPr="0093006A">
        <w:rPr>
          <w:rFonts w:cs="Arial"/>
          <w:color w:val="595959" w:themeColor="text1" w:themeTint="A6"/>
        </w:rPr>
        <w:t>by</w:t>
      </w:r>
      <w:r w:rsidRPr="0093006A">
        <w:rPr>
          <w:color w:val="595959" w:themeColor="text1" w:themeTint="A6"/>
        </w:rPr>
        <w:t xml:space="preserve"> non-Indigenous workers o</w:t>
      </w:r>
      <w:r w:rsidR="0004173F" w:rsidRPr="0093006A">
        <w:rPr>
          <w:color w:val="595959" w:themeColor="text1" w:themeTint="A6"/>
        </w:rPr>
        <w:t>f</w:t>
      </w:r>
      <w:r w:rsidRPr="0093006A">
        <w:rPr>
          <w:color w:val="595959" w:themeColor="text1" w:themeTint="A6"/>
        </w:rPr>
        <w:t xml:space="preserve"> Indigenous cultural practices and obligations as distinct </w:t>
      </w:r>
      <w:r w:rsidR="0004173F" w:rsidRPr="0093006A">
        <w:rPr>
          <w:color w:val="595959" w:themeColor="text1" w:themeTint="A6"/>
        </w:rPr>
        <w:t xml:space="preserve">to </w:t>
      </w:r>
      <w:r w:rsidRPr="0093006A">
        <w:rPr>
          <w:color w:val="595959" w:themeColor="text1" w:themeTint="A6"/>
        </w:rPr>
        <w:t xml:space="preserve">those of non-Indigenous employees. </w:t>
      </w:r>
    </w:p>
    <w:p w14:paraId="29CE66FC" w14:textId="7E13C9F2" w:rsidR="0025689A" w:rsidRPr="0093006A" w:rsidRDefault="0025689A" w:rsidP="0039487B">
      <w:pPr>
        <w:spacing w:after="120"/>
        <w:rPr>
          <w:color w:val="595959" w:themeColor="text1" w:themeTint="A6"/>
        </w:rPr>
      </w:pPr>
      <w:r w:rsidRPr="0093006A">
        <w:rPr>
          <w:color w:val="595959" w:themeColor="text1" w:themeTint="A6"/>
          <w:lang w:val="en-US"/>
        </w:rPr>
        <w:t>Workplaces that are not culturally safe lead to a devaluing of Indigenous employees and the skills they bring to the workplace</w:t>
      </w:r>
      <w:r w:rsidR="0004173F" w:rsidRPr="0093006A">
        <w:rPr>
          <w:color w:val="595959" w:themeColor="text1" w:themeTint="A6"/>
          <w:lang w:val="en-US"/>
        </w:rPr>
        <w:t xml:space="preserve"> and a</w:t>
      </w:r>
      <w:r w:rsidRPr="0093006A">
        <w:rPr>
          <w:color w:val="595959" w:themeColor="text1" w:themeTint="A6"/>
        </w:rPr>
        <w:t xml:space="preserve"> lack of Aboriginal representation, particularly </w:t>
      </w:r>
      <w:r w:rsidR="0004173F" w:rsidRPr="0093006A">
        <w:rPr>
          <w:color w:val="595959" w:themeColor="text1" w:themeTint="A6"/>
        </w:rPr>
        <w:t>at</w:t>
      </w:r>
      <w:r w:rsidRPr="0093006A">
        <w:rPr>
          <w:color w:val="595959" w:themeColor="text1" w:themeTint="A6"/>
        </w:rPr>
        <w:t xml:space="preserve"> senior levels</w:t>
      </w:r>
      <w:r w:rsidR="0004173F" w:rsidRPr="0093006A">
        <w:rPr>
          <w:color w:val="595959" w:themeColor="text1" w:themeTint="A6"/>
        </w:rPr>
        <w:t>. This contributes to</w:t>
      </w:r>
      <w:r w:rsidRPr="0093006A">
        <w:rPr>
          <w:color w:val="595959" w:themeColor="text1" w:themeTint="A6"/>
        </w:rPr>
        <w:t xml:space="preserve"> an absence of Indigenous guidance and leadership in the workplace.</w:t>
      </w:r>
    </w:p>
    <w:p w14:paraId="6E518D90" w14:textId="6C10B324" w:rsidR="0025689A" w:rsidRPr="0093006A" w:rsidRDefault="0025689A" w:rsidP="0039487B">
      <w:pPr>
        <w:spacing w:after="120"/>
        <w:rPr>
          <w:rFonts w:cs="Arial"/>
          <w:color w:val="595959" w:themeColor="text1" w:themeTint="A6"/>
        </w:rPr>
      </w:pPr>
      <w:r w:rsidRPr="0093006A">
        <w:rPr>
          <w:color w:val="595959" w:themeColor="text1" w:themeTint="A6"/>
        </w:rPr>
        <w:t>Some remote area participants saw the need for engagement of the broader family network</w:t>
      </w:r>
      <w:r w:rsidR="00A127B6" w:rsidRPr="0093006A">
        <w:rPr>
          <w:color w:val="595959" w:themeColor="text1" w:themeTint="A6"/>
        </w:rPr>
        <w:t>. M</w:t>
      </w:r>
      <w:r w:rsidRPr="0093006A">
        <w:rPr>
          <w:color w:val="595959" w:themeColor="text1" w:themeTint="A6"/>
        </w:rPr>
        <w:t>ore broadly</w:t>
      </w:r>
      <w:r w:rsidR="00A127B6" w:rsidRPr="0093006A">
        <w:rPr>
          <w:color w:val="595959" w:themeColor="text1" w:themeTint="A6"/>
        </w:rPr>
        <w:t>,</w:t>
      </w:r>
      <w:r w:rsidRPr="0093006A">
        <w:rPr>
          <w:color w:val="595959" w:themeColor="text1" w:themeTint="A6"/>
        </w:rPr>
        <w:t xml:space="preserve"> participants </w:t>
      </w:r>
      <w:r w:rsidR="00A127B6" w:rsidRPr="0093006A">
        <w:rPr>
          <w:color w:val="595959" w:themeColor="text1" w:themeTint="A6"/>
        </w:rPr>
        <w:t xml:space="preserve">identified </w:t>
      </w:r>
      <w:r w:rsidRPr="0093006A">
        <w:rPr>
          <w:color w:val="595959" w:themeColor="text1" w:themeTint="A6"/>
        </w:rPr>
        <w:t>a</w:t>
      </w:r>
      <w:r w:rsidRPr="0093006A">
        <w:rPr>
          <w:rFonts w:cs="Arial"/>
          <w:color w:val="595959" w:themeColor="text1" w:themeTint="A6"/>
        </w:rPr>
        <w:t xml:space="preserve">ccess to supports such as culturally appropriate childcare to support parents into employment is a requirement. </w:t>
      </w:r>
    </w:p>
    <w:p w14:paraId="49B0BA1C" w14:textId="78296D28" w:rsidR="0025689A" w:rsidRPr="0093006A" w:rsidRDefault="0025689A" w:rsidP="0039487B">
      <w:pPr>
        <w:spacing w:after="120"/>
        <w:rPr>
          <w:color w:val="595959" w:themeColor="text1" w:themeTint="A6"/>
        </w:rPr>
      </w:pPr>
      <w:r w:rsidRPr="0093006A">
        <w:rPr>
          <w:color w:val="595959" w:themeColor="text1" w:themeTint="A6"/>
        </w:rPr>
        <w:t xml:space="preserve">Participants felt strongly that ACCOs have a central role in supporting employers to develop their cultural safety capabilities and deliver appropriate on the job supports. </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6"/>
        <w:tblDescription w:val="Ensuring and positively obligating cultural safety in the workplace should be a critical feature of the ISEP "/>
      </w:tblPr>
      <w:tblGrid>
        <w:gridCol w:w="8930"/>
      </w:tblGrid>
      <w:tr w:rsidR="0093006A" w:rsidRPr="0093006A" w14:paraId="119F3BD6" w14:textId="77777777" w:rsidTr="00CE6A8A">
        <w:trPr>
          <w:cantSplit/>
          <w:tblHeader/>
        </w:trPr>
        <w:tc>
          <w:tcPr>
            <w:tcW w:w="8930" w:type="dxa"/>
            <w:shd w:val="clear" w:color="auto" w:fill="auto"/>
          </w:tcPr>
          <w:p w14:paraId="1BE0941F" w14:textId="079C7698" w:rsidR="0039487B" w:rsidRPr="0093006A" w:rsidRDefault="0039487B" w:rsidP="0048465C">
            <w:pPr>
              <w:spacing w:after="120"/>
              <w:rPr>
                <w:b/>
                <w:bCs/>
                <w:i/>
                <w:iCs/>
                <w:color w:val="595959" w:themeColor="text1" w:themeTint="A6"/>
              </w:rPr>
            </w:pPr>
            <w:r w:rsidRPr="0093006A">
              <w:rPr>
                <w:b/>
                <w:bCs/>
                <w:i/>
                <w:iCs/>
                <w:color w:val="595959" w:themeColor="text1" w:themeTint="A6"/>
              </w:rPr>
              <w:t xml:space="preserve">Key </w:t>
            </w:r>
            <w:r w:rsidR="00D84544" w:rsidRPr="0093006A">
              <w:rPr>
                <w:b/>
                <w:bCs/>
                <w:i/>
                <w:iCs/>
                <w:color w:val="595959" w:themeColor="text1" w:themeTint="A6"/>
              </w:rPr>
              <w:t>I</w:t>
            </w:r>
            <w:r w:rsidRPr="0093006A">
              <w:rPr>
                <w:b/>
                <w:bCs/>
                <w:i/>
                <w:iCs/>
                <w:color w:val="595959" w:themeColor="text1" w:themeTint="A6"/>
              </w:rPr>
              <w:t>nsight</w:t>
            </w:r>
            <w:r w:rsidR="00055EF2" w:rsidRPr="0093006A">
              <w:rPr>
                <w:b/>
                <w:bCs/>
                <w:i/>
                <w:iCs/>
                <w:color w:val="595959" w:themeColor="text1" w:themeTint="A6"/>
              </w:rPr>
              <w:t xml:space="preserve"> </w:t>
            </w:r>
            <w:r w:rsidR="0073627A" w:rsidRPr="0093006A">
              <w:rPr>
                <w:b/>
                <w:bCs/>
                <w:i/>
                <w:iCs/>
                <w:color w:val="595959" w:themeColor="text1" w:themeTint="A6"/>
              </w:rPr>
              <w:t>6</w:t>
            </w:r>
          </w:p>
        </w:tc>
      </w:tr>
      <w:tr w:rsidR="0039487B" w:rsidRPr="0093006A" w14:paraId="61397770" w14:textId="77777777" w:rsidTr="00CE6A8A">
        <w:trPr>
          <w:cantSplit/>
          <w:tblHeader/>
        </w:trPr>
        <w:tc>
          <w:tcPr>
            <w:tcW w:w="8930" w:type="dxa"/>
          </w:tcPr>
          <w:p w14:paraId="74F8FE80" w14:textId="437E1201" w:rsidR="00140BFC" w:rsidRPr="0093006A" w:rsidRDefault="00140BFC" w:rsidP="00140BFC">
            <w:pPr>
              <w:spacing w:after="120"/>
              <w:textDirection w:val="btLr"/>
              <w:rPr>
                <w:b/>
                <w:bCs/>
                <w:color w:val="595959" w:themeColor="text1" w:themeTint="A6"/>
              </w:rPr>
            </w:pPr>
            <w:r w:rsidRPr="0093006A">
              <w:rPr>
                <w:b/>
                <w:bCs/>
                <w:color w:val="595959" w:themeColor="text1" w:themeTint="A6"/>
              </w:rPr>
              <w:t xml:space="preserve">Ensuring and positively obligating cultural safety in the workplace </w:t>
            </w:r>
            <w:r w:rsidR="00DF4609" w:rsidRPr="0093006A">
              <w:rPr>
                <w:b/>
                <w:bCs/>
                <w:color w:val="595959" w:themeColor="text1" w:themeTint="A6"/>
              </w:rPr>
              <w:t xml:space="preserve">should </w:t>
            </w:r>
            <w:r w:rsidRPr="0093006A">
              <w:rPr>
                <w:b/>
                <w:bCs/>
                <w:color w:val="595959" w:themeColor="text1" w:themeTint="A6"/>
              </w:rPr>
              <w:t xml:space="preserve">be a critical feature of the ISEP </w:t>
            </w:r>
          </w:p>
          <w:p w14:paraId="0A224EE6" w14:textId="6C57269A" w:rsidR="0039487B" w:rsidRPr="0093006A" w:rsidRDefault="00140BFC" w:rsidP="00981521">
            <w:pPr>
              <w:spacing w:after="120"/>
              <w:rPr>
                <w:color w:val="595959" w:themeColor="text1" w:themeTint="A6"/>
              </w:rPr>
            </w:pPr>
            <w:r w:rsidRPr="0093006A">
              <w:rPr>
                <w:color w:val="595959" w:themeColor="text1" w:themeTint="A6"/>
              </w:rPr>
              <w:t xml:space="preserve">Building cultural safety in the workplace is critical to successful outcomes of the new ISEP. This includes positive obligations on employers to make workplaces culturally safe, a view that was strongly expressed by industry leaders. </w:t>
            </w:r>
            <w:r w:rsidR="00DF4609" w:rsidRPr="0093006A">
              <w:rPr>
                <w:color w:val="595959" w:themeColor="text1" w:themeTint="A6"/>
              </w:rPr>
              <w:t>Stakeholders</w:t>
            </w:r>
            <w:r w:rsidRPr="0093006A">
              <w:rPr>
                <w:color w:val="595959" w:themeColor="text1" w:themeTint="A6"/>
              </w:rPr>
              <w:t xml:space="preserve"> agreed that ACCOs and Indigenous communities </w:t>
            </w:r>
            <w:r w:rsidR="005D09DC" w:rsidRPr="0093006A">
              <w:rPr>
                <w:color w:val="595959" w:themeColor="text1" w:themeTint="A6"/>
              </w:rPr>
              <w:t xml:space="preserve">can </w:t>
            </w:r>
            <w:r w:rsidRPr="0093006A">
              <w:rPr>
                <w:color w:val="595959" w:themeColor="text1" w:themeTint="A6"/>
              </w:rPr>
              <w:t>play a key role in this and that employers require support, training, accreditation, and positive obligations to develop such measures within local Indigenous community contexts.</w:t>
            </w:r>
          </w:p>
        </w:tc>
      </w:tr>
    </w:tbl>
    <w:p w14:paraId="74A7F221" w14:textId="77777777" w:rsidR="0025689A" w:rsidRPr="0093006A" w:rsidRDefault="0025689A" w:rsidP="0025689A">
      <w:pPr>
        <w:rPr>
          <w:color w:val="595959" w:themeColor="text1" w:themeTint="A6"/>
        </w:rPr>
      </w:pPr>
    </w:p>
    <w:p w14:paraId="5DF6B125" w14:textId="77777777" w:rsidR="008E0D62" w:rsidRPr="0093006A" w:rsidRDefault="008E0D62">
      <w:pPr>
        <w:rPr>
          <w:b/>
          <w:bCs/>
          <w:color w:val="595959" w:themeColor="text1" w:themeTint="A6"/>
          <w:sz w:val="24"/>
          <w:szCs w:val="24"/>
        </w:rPr>
      </w:pPr>
      <w:r w:rsidRPr="0093006A">
        <w:rPr>
          <w:b/>
          <w:bCs/>
          <w:color w:val="595959" w:themeColor="text1" w:themeTint="A6"/>
          <w:sz w:val="24"/>
          <w:szCs w:val="24"/>
        </w:rPr>
        <w:br w:type="page"/>
      </w:r>
    </w:p>
    <w:p w14:paraId="6A00D226" w14:textId="37128EA2" w:rsidR="0025689A" w:rsidRPr="0093006A" w:rsidRDefault="0039487B" w:rsidP="003769B7">
      <w:pPr>
        <w:pStyle w:val="ListParagraph"/>
        <w:numPr>
          <w:ilvl w:val="0"/>
          <w:numId w:val="47"/>
        </w:numPr>
        <w:tabs>
          <w:tab w:val="left" w:pos="284"/>
        </w:tabs>
        <w:spacing w:after="120" w:line="264" w:lineRule="auto"/>
        <w:ind w:left="0" w:hanging="11"/>
        <w:rPr>
          <w:b/>
          <w:bCs/>
          <w:color w:val="595959" w:themeColor="text1" w:themeTint="A6"/>
          <w:sz w:val="24"/>
          <w:szCs w:val="24"/>
        </w:rPr>
      </w:pPr>
      <w:r w:rsidRPr="0093006A">
        <w:rPr>
          <w:b/>
          <w:bCs/>
          <w:color w:val="595959" w:themeColor="text1" w:themeTint="A6"/>
          <w:sz w:val="24"/>
          <w:szCs w:val="24"/>
        </w:rPr>
        <w:t>A</w:t>
      </w:r>
      <w:r w:rsidR="0025689A" w:rsidRPr="0093006A">
        <w:rPr>
          <w:b/>
          <w:bCs/>
          <w:color w:val="595959" w:themeColor="text1" w:themeTint="A6"/>
          <w:sz w:val="24"/>
          <w:szCs w:val="24"/>
        </w:rPr>
        <w:t xml:space="preserve">re there specific cohorts (inc. cohorts not currently jobseekers e.g. entry level workers looking for promotions; school leavers considering work/study) you see needing greater assistance than others in your region? </w:t>
      </w:r>
    </w:p>
    <w:p w14:paraId="3C8AE6E1" w14:textId="6A69124D" w:rsidR="0025689A" w:rsidRPr="0093006A" w:rsidRDefault="003C2D64" w:rsidP="0025689A">
      <w:pPr>
        <w:spacing w:after="120"/>
        <w:rPr>
          <w:bCs/>
          <w:color w:val="595959" w:themeColor="text1" w:themeTint="A6"/>
          <w:lang w:val="en-US"/>
        </w:rPr>
      </w:pPr>
      <w:r w:rsidRPr="0093006A">
        <w:rPr>
          <w:bCs/>
          <w:color w:val="595959" w:themeColor="text1" w:themeTint="A6"/>
        </w:rPr>
        <w:t xml:space="preserve">Discussions identified a set of specific cohorts that could be targeted by ISEP. </w:t>
      </w:r>
    </w:p>
    <w:p w14:paraId="37C80EDE" w14:textId="5BF01320" w:rsidR="0025689A" w:rsidRPr="0093006A" w:rsidRDefault="0025689A" w:rsidP="0025689A">
      <w:pPr>
        <w:spacing w:after="120"/>
        <w:rPr>
          <w:color w:val="595959" w:themeColor="text1" w:themeTint="A6"/>
          <w:lang w:val="en-US"/>
        </w:rPr>
      </w:pPr>
      <w:r w:rsidRPr="0093006A">
        <w:rPr>
          <w:color w:val="595959" w:themeColor="text1" w:themeTint="A6"/>
          <w:lang w:val="en-US"/>
        </w:rPr>
        <w:t xml:space="preserve">Participants </w:t>
      </w:r>
      <w:r w:rsidR="00E81AE2" w:rsidRPr="0093006A">
        <w:rPr>
          <w:color w:val="595959" w:themeColor="text1" w:themeTint="A6"/>
          <w:lang w:val="en-US"/>
        </w:rPr>
        <w:t xml:space="preserve">discussed </w:t>
      </w:r>
      <w:r w:rsidRPr="0093006A">
        <w:rPr>
          <w:color w:val="595959" w:themeColor="text1" w:themeTint="A6"/>
          <w:lang w:val="en-US"/>
        </w:rPr>
        <w:t>a key set of common cohorts requiring greater assistance.  The main cohorts were:</w:t>
      </w:r>
    </w:p>
    <w:p w14:paraId="10EF3F48" w14:textId="4D514E08" w:rsidR="0025689A" w:rsidRPr="0093006A" w:rsidRDefault="00140BFC" w:rsidP="003769B7">
      <w:pPr>
        <w:pStyle w:val="ListParagraph"/>
        <w:numPr>
          <w:ilvl w:val="0"/>
          <w:numId w:val="37"/>
        </w:numPr>
        <w:spacing w:after="120"/>
        <w:rPr>
          <w:rFonts w:cstheme="minorHAnsi"/>
          <w:color w:val="595959" w:themeColor="text1" w:themeTint="A6"/>
        </w:rPr>
      </w:pPr>
      <w:r w:rsidRPr="0093006A">
        <w:rPr>
          <w:rFonts w:cstheme="minorHAnsi"/>
          <w:color w:val="595959" w:themeColor="text1" w:themeTint="A6"/>
        </w:rPr>
        <w:t>Y</w:t>
      </w:r>
      <w:r w:rsidR="0025689A" w:rsidRPr="0093006A">
        <w:rPr>
          <w:rFonts w:cstheme="minorHAnsi"/>
          <w:color w:val="595959" w:themeColor="text1" w:themeTint="A6"/>
        </w:rPr>
        <w:t>outh</w:t>
      </w:r>
      <w:r w:rsidRPr="0093006A">
        <w:rPr>
          <w:rFonts w:cstheme="minorHAnsi"/>
          <w:color w:val="595959" w:themeColor="text1" w:themeTint="A6"/>
        </w:rPr>
        <w:t>,</w:t>
      </w:r>
    </w:p>
    <w:p w14:paraId="455B5E76" w14:textId="0AEB3883" w:rsidR="0025689A" w:rsidRPr="0093006A" w:rsidRDefault="00140BFC" w:rsidP="003769B7">
      <w:pPr>
        <w:pStyle w:val="ListParagraph"/>
        <w:numPr>
          <w:ilvl w:val="0"/>
          <w:numId w:val="37"/>
        </w:numPr>
        <w:spacing w:after="120"/>
        <w:rPr>
          <w:rFonts w:cstheme="minorHAnsi"/>
          <w:color w:val="595959" w:themeColor="text1" w:themeTint="A6"/>
        </w:rPr>
      </w:pPr>
      <w:r w:rsidRPr="0093006A">
        <w:rPr>
          <w:rFonts w:cstheme="minorHAnsi"/>
          <w:color w:val="595959" w:themeColor="text1" w:themeTint="A6"/>
        </w:rPr>
        <w:t>E</w:t>
      </w:r>
      <w:r w:rsidR="0025689A" w:rsidRPr="0093006A">
        <w:rPr>
          <w:rFonts w:cstheme="minorHAnsi"/>
          <w:color w:val="595959" w:themeColor="text1" w:themeTint="A6"/>
        </w:rPr>
        <w:t>arly school leavers</w:t>
      </w:r>
      <w:r w:rsidRPr="0093006A">
        <w:rPr>
          <w:rFonts w:cstheme="minorHAnsi"/>
          <w:color w:val="595959" w:themeColor="text1" w:themeTint="A6"/>
        </w:rPr>
        <w:t>,</w:t>
      </w:r>
    </w:p>
    <w:p w14:paraId="5D439C46" w14:textId="5C7484B4" w:rsidR="0025689A" w:rsidRPr="0093006A" w:rsidRDefault="00140BFC" w:rsidP="003769B7">
      <w:pPr>
        <w:pStyle w:val="ListParagraph"/>
        <w:numPr>
          <w:ilvl w:val="0"/>
          <w:numId w:val="37"/>
        </w:numPr>
        <w:spacing w:after="120"/>
        <w:rPr>
          <w:color w:val="595959" w:themeColor="text1" w:themeTint="A6"/>
        </w:rPr>
      </w:pPr>
      <w:r w:rsidRPr="0093006A">
        <w:rPr>
          <w:color w:val="595959" w:themeColor="text1" w:themeTint="A6"/>
        </w:rPr>
        <w:t>P</w:t>
      </w:r>
      <w:r w:rsidR="0025689A" w:rsidRPr="0093006A">
        <w:rPr>
          <w:color w:val="595959" w:themeColor="text1" w:themeTint="A6"/>
        </w:rPr>
        <w:t>eople with disability</w:t>
      </w:r>
      <w:r w:rsidRPr="0093006A">
        <w:rPr>
          <w:color w:val="595959" w:themeColor="text1" w:themeTint="A6"/>
        </w:rPr>
        <w:t>,</w:t>
      </w:r>
    </w:p>
    <w:p w14:paraId="05CF073E" w14:textId="0EBAB3BC" w:rsidR="0025689A" w:rsidRPr="0093006A" w:rsidRDefault="00140BFC" w:rsidP="003769B7">
      <w:pPr>
        <w:pStyle w:val="ListParagraph"/>
        <w:numPr>
          <w:ilvl w:val="0"/>
          <w:numId w:val="37"/>
        </w:numPr>
        <w:spacing w:after="120"/>
        <w:rPr>
          <w:color w:val="595959" w:themeColor="text1" w:themeTint="A6"/>
        </w:rPr>
      </w:pPr>
      <w:r w:rsidRPr="0093006A">
        <w:rPr>
          <w:color w:val="595959" w:themeColor="text1" w:themeTint="A6"/>
        </w:rPr>
        <w:t>M</w:t>
      </w:r>
      <w:r w:rsidR="0025689A" w:rsidRPr="0093006A">
        <w:rPr>
          <w:color w:val="595959" w:themeColor="text1" w:themeTint="A6"/>
        </w:rPr>
        <w:t>others and teenage parents</w:t>
      </w:r>
      <w:r w:rsidRPr="0093006A">
        <w:rPr>
          <w:color w:val="595959" w:themeColor="text1" w:themeTint="A6"/>
        </w:rPr>
        <w:t>,</w:t>
      </w:r>
    </w:p>
    <w:p w14:paraId="725598E2" w14:textId="50E0A220" w:rsidR="0025689A" w:rsidRPr="0093006A" w:rsidRDefault="002101BC" w:rsidP="003769B7">
      <w:pPr>
        <w:pStyle w:val="ListParagraph"/>
        <w:numPr>
          <w:ilvl w:val="0"/>
          <w:numId w:val="36"/>
        </w:numPr>
        <w:spacing w:after="120"/>
        <w:rPr>
          <w:color w:val="595959" w:themeColor="text1" w:themeTint="A6"/>
          <w:lang w:val="en-US"/>
        </w:rPr>
      </w:pPr>
      <w:r w:rsidRPr="0093006A">
        <w:rPr>
          <w:color w:val="595959" w:themeColor="text1" w:themeTint="A6"/>
        </w:rPr>
        <w:t>mature age</w:t>
      </w:r>
      <w:r w:rsidR="00961613" w:rsidRPr="0093006A">
        <w:rPr>
          <w:color w:val="595959" w:themeColor="text1" w:themeTint="A6"/>
        </w:rPr>
        <w:t xml:space="preserve"> workers</w:t>
      </w:r>
      <w:r w:rsidR="00140BFC" w:rsidRPr="0093006A">
        <w:rPr>
          <w:color w:val="595959" w:themeColor="text1" w:themeTint="A6"/>
        </w:rPr>
        <w:t>,</w:t>
      </w:r>
    </w:p>
    <w:p w14:paraId="58D6FB41" w14:textId="54B89558" w:rsidR="0025689A" w:rsidRPr="0093006A" w:rsidRDefault="00140BFC" w:rsidP="003769B7">
      <w:pPr>
        <w:pStyle w:val="ListParagraph"/>
        <w:numPr>
          <w:ilvl w:val="0"/>
          <w:numId w:val="36"/>
        </w:numPr>
        <w:spacing w:after="120"/>
        <w:rPr>
          <w:color w:val="595959" w:themeColor="text1" w:themeTint="A6"/>
          <w:lang w:val="en-US"/>
        </w:rPr>
      </w:pPr>
      <w:r w:rsidRPr="0093006A">
        <w:rPr>
          <w:color w:val="595959" w:themeColor="text1" w:themeTint="A6"/>
        </w:rPr>
        <w:t>P</w:t>
      </w:r>
      <w:r w:rsidR="0025689A" w:rsidRPr="0093006A">
        <w:rPr>
          <w:color w:val="595959" w:themeColor="text1" w:themeTint="A6"/>
        </w:rPr>
        <w:t>ost release prisoners / criminal record</w:t>
      </w:r>
      <w:r w:rsidR="00961613" w:rsidRPr="0093006A">
        <w:rPr>
          <w:color w:val="595959" w:themeColor="text1" w:themeTint="A6"/>
        </w:rPr>
        <w:t xml:space="preserve"> holders</w:t>
      </w:r>
      <w:r w:rsidRPr="0093006A">
        <w:rPr>
          <w:color w:val="595959" w:themeColor="text1" w:themeTint="A6"/>
        </w:rPr>
        <w:t>, and</w:t>
      </w:r>
    </w:p>
    <w:p w14:paraId="4A71CED8" w14:textId="1951B333" w:rsidR="0025689A" w:rsidRPr="0093006A" w:rsidRDefault="00140BFC" w:rsidP="003769B7">
      <w:pPr>
        <w:pStyle w:val="ListParagraph"/>
        <w:numPr>
          <w:ilvl w:val="0"/>
          <w:numId w:val="36"/>
        </w:numPr>
        <w:spacing w:after="120"/>
        <w:rPr>
          <w:color w:val="595959" w:themeColor="text1" w:themeTint="A6"/>
          <w:lang w:val="en-US"/>
        </w:rPr>
      </w:pPr>
      <w:r w:rsidRPr="0093006A">
        <w:rPr>
          <w:color w:val="595959" w:themeColor="text1" w:themeTint="A6"/>
        </w:rPr>
        <w:t>L</w:t>
      </w:r>
      <w:r w:rsidR="0025689A" w:rsidRPr="0093006A">
        <w:rPr>
          <w:color w:val="595959" w:themeColor="text1" w:themeTint="A6"/>
        </w:rPr>
        <w:t>ong</w:t>
      </w:r>
      <w:r w:rsidR="007C6D06" w:rsidRPr="0093006A">
        <w:rPr>
          <w:color w:val="595959" w:themeColor="text1" w:themeTint="A6"/>
        </w:rPr>
        <w:t>-</w:t>
      </w:r>
      <w:r w:rsidR="0025689A" w:rsidRPr="0093006A">
        <w:rPr>
          <w:color w:val="595959" w:themeColor="text1" w:themeTint="A6"/>
        </w:rPr>
        <w:t>term unemployed.</w:t>
      </w:r>
    </w:p>
    <w:p w14:paraId="0B191355" w14:textId="077D2C23" w:rsidR="0025689A" w:rsidRPr="0093006A" w:rsidRDefault="0025689A" w:rsidP="0025689A">
      <w:pPr>
        <w:spacing w:after="120"/>
        <w:rPr>
          <w:color w:val="595959" w:themeColor="text1" w:themeTint="A6"/>
          <w:lang w:val="en-US"/>
        </w:rPr>
      </w:pPr>
      <w:r w:rsidRPr="0093006A">
        <w:rPr>
          <w:color w:val="595959" w:themeColor="text1" w:themeTint="A6"/>
          <w:lang w:val="en-US"/>
        </w:rPr>
        <w:t>Beyond these was a diverse range of cohorts nominated by participants across regions, speaking to the complexity of barriers Indigenous communities face. The following table provides an overview of the specific cohorts identified attributed to region</w:t>
      </w:r>
      <w:r w:rsidR="003C2D64" w:rsidRPr="0093006A">
        <w:rPr>
          <w:color w:val="595959" w:themeColor="text1" w:themeTint="A6"/>
          <w:lang w:val="en-US"/>
        </w:rPr>
        <w:t xml:space="preserve"> during consultations (noting these were limited by the stakeholders present and </w:t>
      </w:r>
      <w:r w:rsidR="00B727D0" w:rsidRPr="0093006A">
        <w:rPr>
          <w:color w:val="595959" w:themeColor="text1" w:themeTint="A6"/>
          <w:lang w:val="en-US"/>
        </w:rPr>
        <w:t xml:space="preserve">the </w:t>
      </w:r>
      <w:r w:rsidR="003C2D64" w:rsidRPr="0093006A">
        <w:rPr>
          <w:color w:val="595959" w:themeColor="text1" w:themeTint="A6"/>
          <w:lang w:val="en-US"/>
        </w:rPr>
        <w:t xml:space="preserve">direction </w:t>
      </w:r>
      <w:r w:rsidR="00961613" w:rsidRPr="0093006A">
        <w:rPr>
          <w:color w:val="595959" w:themeColor="text1" w:themeTint="A6"/>
          <w:lang w:val="en-US"/>
        </w:rPr>
        <w:t xml:space="preserve">of </w:t>
      </w:r>
      <w:r w:rsidR="003C2D64" w:rsidRPr="0093006A">
        <w:rPr>
          <w:color w:val="595959" w:themeColor="text1" w:themeTint="A6"/>
          <w:lang w:val="en-US"/>
        </w:rPr>
        <w:t>discussions)</w:t>
      </w:r>
      <w:r w:rsidRPr="0093006A">
        <w:rPr>
          <w:color w:val="595959" w:themeColor="text1" w:themeTint="A6"/>
          <w:lang w:val="en-US"/>
        </w:rPr>
        <w:t>.</w:t>
      </w:r>
      <w:r w:rsidR="003C2D64" w:rsidRPr="0093006A">
        <w:rPr>
          <w:color w:val="595959" w:themeColor="text1" w:themeTint="A6"/>
          <w:lang w:val="en-US"/>
        </w:rPr>
        <w:t xml:space="preserve"> NIAA notes further discussions with key </w:t>
      </w:r>
      <w:r w:rsidR="00DC342C" w:rsidRPr="0093006A">
        <w:rPr>
          <w:color w:val="595959" w:themeColor="text1" w:themeTint="A6"/>
          <w:lang w:val="en-US"/>
        </w:rPr>
        <w:t>stakeholders</w:t>
      </w:r>
      <w:r w:rsidR="003C2D64" w:rsidRPr="0093006A">
        <w:rPr>
          <w:color w:val="595959" w:themeColor="text1" w:themeTint="A6"/>
          <w:lang w:val="en-US"/>
        </w:rPr>
        <w:t xml:space="preserve"> in each region may further refine cohorts for ISEP funding. </w:t>
      </w:r>
    </w:p>
    <w:p w14:paraId="5C0755B4" w14:textId="2AF2D2BD" w:rsidR="0025689A" w:rsidRPr="0093006A" w:rsidRDefault="0025689A" w:rsidP="0025689A">
      <w:pPr>
        <w:spacing w:after="120"/>
        <w:rPr>
          <w:b/>
          <w:bCs/>
          <w:color w:val="595959" w:themeColor="text1" w:themeTint="A6"/>
          <w:sz w:val="24"/>
          <w:szCs w:val="24"/>
          <w:lang w:val="en-US"/>
        </w:rPr>
      </w:pPr>
      <w:r w:rsidRPr="0093006A">
        <w:rPr>
          <w:b/>
          <w:bCs/>
          <w:color w:val="595959" w:themeColor="text1" w:themeTint="A6"/>
          <w:sz w:val="24"/>
          <w:szCs w:val="24"/>
          <w:lang w:val="en-US"/>
        </w:rPr>
        <w:t xml:space="preserve">Table </w:t>
      </w:r>
      <w:r w:rsidR="009E7864" w:rsidRPr="0093006A">
        <w:rPr>
          <w:b/>
          <w:bCs/>
          <w:color w:val="595959" w:themeColor="text1" w:themeTint="A6"/>
          <w:sz w:val="24"/>
          <w:szCs w:val="24"/>
          <w:lang w:val="en-US"/>
        </w:rPr>
        <w:t>4</w:t>
      </w:r>
      <w:r w:rsidRPr="0093006A">
        <w:rPr>
          <w:b/>
          <w:bCs/>
          <w:color w:val="595959" w:themeColor="text1" w:themeTint="A6"/>
          <w:sz w:val="24"/>
          <w:szCs w:val="24"/>
          <w:lang w:val="en-US"/>
        </w:rPr>
        <w:t xml:space="preserve">: </w:t>
      </w:r>
      <w:r w:rsidR="00E81AE2" w:rsidRPr="0093006A">
        <w:rPr>
          <w:b/>
          <w:bCs/>
          <w:color w:val="595959" w:themeColor="text1" w:themeTint="A6"/>
          <w:sz w:val="24"/>
          <w:szCs w:val="24"/>
          <w:lang w:val="en-US"/>
        </w:rPr>
        <w:t xml:space="preserve">Cohorts discussed </w:t>
      </w:r>
      <w:r w:rsidR="007C6D06" w:rsidRPr="0093006A">
        <w:rPr>
          <w:b/>
          <w:bCs/>
          <w:color w:val="595959" w:themeColor="text1" w:themeTint="A6"/>
          <w:sz w:val="24"/>
          <w:szCs w:val="24"/>
          <w:lang w:val="en-US"/>
        </w:rPr>
        <w:t>by NIAA</w:t>
      </w:r>
      <w:r w:rsidRPr="0093006A">
        <w:rPr>
          <w:b/>
          <w:bCs/>
          <w:color w:val="595959" w:themeColor="text1" w:themeTint="A6"/>
          <w:sz w:val="24"/>
          <w:szCs w:val="24"/>
          <w:lang w:val="en-US"/>
        </w:rPr>
        <w:t xml:space="preserve"> region</w:t>
      </w:r>
      <w:r w:rsidR="007C6D06" w:rsidRPr="0093006A">
        <w:rPr>
          <w:b/>
          <w:bCs/>
          <w:color w:val="595959" w:themeColor="text1" w:themeTint="A6"/>
          <w:sz w:val="24"/>
          <w:szCs w:val="24"/>
          <w:lang w:val="en-US"/>
        </w:rPr>
        <w:t xml:space="preserve"> and location</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horts discussed by NIAA region and location"/>
        <w:tblDescription w:val="Details specific cohorts highlighted by each NIAA Region and Location"/>
      </w:tblPr>
      <w:tblGrid>
        <w:gridCol w:w="2607"/>
        <w:gridCol w:w="3522"/>
        <w:gridCol w:w="2996"/>
      </w:tblGrid>
      <w:tr w:rsidR="00730C25" w:rsidRPr="00730C25" w14:paraId="5BBECE07" w14:textId="77777777" w:rsidTr="004976E1">
        <w:trPr>
          <w:cantSplit/>
          <w:trHeight w:val="620"/>
          <w:tblHeader/>
        </w:trPr>
        <w:tc>
          <w:tcPr>
            <w:tcW w:w="2607" w:type="dxa"/>
            <w:shd w:val="clear" w:color="auto" w:fill="auto"/>
            <w:vAlign w:val="center"/>
            <w:hideMark/>
          </w:tcPr>
          <w:p w14:paraId="7D6EA4A7" w14:textId="77777777" w:rsidR="00730C25" w:rsidRPr="00730C25" w:rsidRDefault="00730C25" w:rsidP="00730C25">
            <w:pPr>
              <w:jc w:val="center"/>
              <w:rPr>
                <w:rFonts w:eastAsia="Times New Roman" w:cs="Calibri"/>
                <w:b/>
                <w:bCs/>
                <w:color w:val="595959" w:themeColor="text1" w:themeTint="A6"/>
              </w:rPr>
            </w:pPr>
            <w:r w:rsidRPr="00730C25">
              <w:rPr>
                <w:rFonts w:eastAsia="Times New Roman" w:cs="Calibri"/>
                <w:b/>
                <w:bCs/>
                <w:color w:val="595959" w:themeColor="text1" w:themeTint="A6"/>
              </w:rPr>
              <w:t xml:space="preserve">NIAA Region </w:t>
            </w:r>
          </w:p>
        </w:tc>
        <w:tc>
          <w:tcPr>
            <w:tcW w:w="3522" w:type="dxa"/>
            <w:shd w:val="clear" w:color="auto" w:fill="auto"/>
            <w:vAlign w:val="center"/>
            <w:hideMark/>
          </w:tcPr>
          <w:p w14:paraId="18AFA7C3" w14:textId="77777777" w:rsidR="00730C25" w:rsidRPr="00730C25" w:rsidRDefault="00730C25" w:rsidP="00730C25">
            <w:pPr>
              <w:jc w:val="center"/>
              <w:rPr>
                <w:rFonts w:eastAsia="Times New Roman" w:cs="Calibri"/>
                <w:b/>
                <w:bCs/>
                <w:color w:val="595959" w:themeColor="text1" w:themeTint="A6"/>
              </w:rPr>
            </w:pPr>
            <w:r w:rsidRPr="00730C25">
              <w:rPr>
                <w:rFonts w:eastAsia="Times New Roman" w:cs="Calibri"/>
                <w:b/>
                <w:bCs/>
                <w:color w:val="595959" w:themeColor="text1" w:themeTint="A6"/>
              </w:rPr>
              <w:t xml:space="preserve">Location </w:t>
            </w:r>
          </w:p>
        </w:tc>
        <w:tc>
          <w:tcPr>
            <w:tcW w:w="2996" w:type="dxa"/>
            <w:shd w:val="clear" w:color="auto" w:fill="auto"/>
            <w:vAlign w:val="center"/>
            <w:hideMark/>
          </w:tcPr>
          <w:p w14:paraId="25C39884" w14:textId="77777777" w:rsidR="00730C25" w:rsidRPr="00730C25" w:rsidRDefault="00730C25" w:rsidP="00730C25">
            <w:pPr>
              <w:jc w:val="center"/>
              <w:rPr>
                <w:rFonts w:eastAsia="Times New Roman" w:cs="Calibri"/>
                <w:b/>
                <w:bCs/>
                <w:color w:val="595959" w:themeColor="text1" w:themeTint="A6"/>
              </w:rPr>
            </w:pPr>
            <w:r w:rsidRPr="00730C25">
              <w:rPr>
                <w:rFonts w:eastAsia="Times New Roman" w:cs="Calibri"/>
                <w:b/>
                <w:bCs/>
                <w:color w:val="595959" w:themeColor="text1" w:themeTint="A6"/>
              </w:rPr>
              <w:t>Specific cohorts</w:t>
            </w:r>
          </w:p>
        </w:tc>
      </w:tr>
      <w:tr w:rsidR="00730C25" w:rsidRPr="00730C25" w14:paraId="6700B57E" w14:textId="77777777" w:rsidTr="004976E1">
        <w:trPr>
          <w:cantSplit/>
          <w:trHeight w:val="1221"/>
        </w:trPr>
        <w:tc>
          <w:tcPr>
            <w:tcW w:w="2607" w:type="dxa"/>
            <w:shd w:val="clear" w:color="auto" w:fill="auto"/>
            <w:vAlign w:val="center"/>
            <w:hideMark/>
          </w:tcPr>
          <w:p w14:paraId="41F2C6B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19BE7B6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Nhulunbuy</w:t>
            </w:r>
          </w:p>
        </w:tc>
        <w:tc>
          <w:tcPr>
            <w:tcW w:w="2996" w:type="dxa"/>
            <w:shd w:val="clear" w:color="auto" w:fill="auto"/>
            <w:vAlign w:val="center"/>
            <w:hideMark/>
          </w:tcPr>
          <w:p w14:paraId="3B91E4BB"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046F16D6" w14:textId="77777777" w:rsidTr="004976E1">
        <w:trPr>
          <w:cantSplit/>
          <w:trHeight w:val="1221"/>
        </w:trPr>
        <w:tc>
          <w:tcPr>
            <w:tcW w:w="2607" w:type="dxa"/>
            <w:shd w:val="clear" w:color="auto" w:fill="auto"/>
            <w:vAlign w:val="center"/>
            <w:hideMark/>
          </w:tcPr>
          <w:p w14:paraId="213FA1A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212864D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Nhulunbuy</w:t>
            </w:r>
          </w:p>
        </w:tc>
        <w:tc>
          <w:tcPr>
            <w:tcW w:w="2996" w:type="dxa"/>
            <w:shd w:val="clear" w:color="auto" w:fill="auto"/>
            <w:vAlign w:val="center"/>
            <w:hideMark/>
          </w:tcPr>
          <w:p w14:paraId="25B0A322" w14:textId="77777777" w:rsidR="00730C25" w:rsidRPr="00730C25" w:rsidRDefault="00730C25" w:rsidP="00730C25">
            <w:pPr>
              <w:rPr>
                <w:rFonts w:eastAsia="Times New Roman" w:cs="Calibri"/>
                <w:color w:val="404040"/>
              </w:rPr>
            </w:pPr>
            <w:r w:rsidRPr="00730C25">
              <w:rPr>
                <w:rFonts w:eastAsia="Times New Roman" w:cs="Calibri"/>
                <w:color w:val="404040"/>
              </w:rPr>
              <w:t>People with a disability</w:t>
            </w:r>
          </w:p>
        </w:tc>
      </w:tr>
      <w:tr w:rsidR="00730C25" w:rsidRPr="00730C25" w14:paraId="7759894B" w14:textId="77777777" w:rsidTr="004976E1">
        <w:trPr>
          <w:cantSplit/>
          <w:trHeight w:val="1221"/>
        </w:trPr>
        <w:tc>
          <w:tcPr>
            <w:tcW w:w="2607" w:type="dxa"/>
            <w:shd w:val="clear" w:color="auto" w:fill="auto"/>
            <w:vAlign w:val="center"/>
            <w:hideMark/>
          </w:tcPr>
          <w:p w14:paraId="34CBCE2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09B0BA23"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Nhulunbuy</w:t>
            </w:r>
          </w:p>
        </w:tc>
        <w:tc>
          <w:tcPr>
            <w:tcW w:w="2996" w:type="dxa"/>
            <w:shd w:val="clear" w:color="auto" w:fill="auto"/>
            <w:vAlign w:val="center"/>
            <w:hideMark/>
          </w:tcPr>
          <w:p w14:paraId="5BE18FE1"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611C81A9" w14:textId="77777777" w:rsidTr="004976E1">
        <w:trPr>
          <w:cantSplit/>
          <w:trHeight w:val="1221"/>
        </w:trPr>
        <w:tc>
          <w:tcPr>
            <w:tcW w:w="2607" w:type="dxa"/>
            <w:shd w:val="clear" w:color="auto" w:fill="auto"/>
            <w:vAlign w:val="center"/>
            <w:hideMark/>
          </w:tcPr>
          <w:p w14:paraId="40F50B4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13BEF84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Nhulunbuy</w:t>
            </w:r>
          </w:p>
        </w:tc>
        <w:tc>
          <w:tcPr>
            <w:tcW w:w="2996" w:type="dxa"/>
            <w:shd w:val="clear" w:color="auto" w:fill="auto"/>
            <w:vAlign w:val="center"/>
            <w:hideMark/>
          </w:tcPr>
          <w:p w14:paraId="20470F23" w14:textId="77777777" w:rsidR="00730C25" w:rsidRPr="00730C25" w:rsidRDefault="00730C25" w:rsidP="00730C25">
            <w:pPr>
              <w:rPr>
                <w:rFonts w:eastAsia="Times New Roman" w:cs="Calibri"/>
                <w:color w:val="404040"/>
              </w:rPr>
            </w:pPr>
            <w:r w:rsidRPr="00730C25">
              <w:rPr>
                <w:rFonts w:eastAsia="Times New Roman" w:cs="Calibri"/>
                <w:color w:val="404040"/>
              </w:rPr>
              <w:t>Mothers</w:t>
            </w:r>
          </w:p>
        </w:tc>
      </w:tr>
      <w:tr w:rsidR="00730C25" w:rsidRPr="00730C25" w14:paraId="029952ED" w14:textId="77777777" w:rsidTr="004976E1">
        <w:trPr>
          <w:cantSplit/>
          <w:trHeight w:val="1221"/>
        </w:trPr>
        <w:tc>
          <w:tcPr>
            <w:tcW w:w="2607" w:type="dxa"/>
            <w:shd w:val="clear" w:color="auto" w:fill="auto"/>
            <w:vAlign w:val="center"/>
            <w:hideMark/>
          </w:tcPr>
          <w:p w14:paraId="1DA72955"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30E95BC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Nhulunbuy</w:t>
            </w:r>
          </w:p>
        </w:tc>
        <w:tc>
          <w:tcPr>
            <w:tcW w:w="2996" w:type="dxa"/>
            <w:shd w:val="clear" w:color="auto" w:fill="auto"/>
            <w:vAlign w:val="center"/>
            <w:hideMark/>
          </w:tcPr>
          <w:p w14:paraId="03738A9D" w14:textId="77777777" w:rsidR="00730C25" w:rsidRPr="00730C25" w:rsidRDefault="00730C25" w:rsidP="00730C25">
            <w:pPr>
              <w:rPr>
                <w:rFonts w:eastAsia="Times New Roman" w:cs="Calibri"/>
                <w:color w:val="404040"/>
              </w:rPr>
            </w:pPr>
            <w:r w:rsidRPr="00730C25">
              <w:rPr>
                <w:rFonts w:eastAsia="Times New Roman" w:cs="Calibri"/>
                <w:color w:val="404040"/>
              </w:rPr>
              <w:t>Entrepreneurs</w:t>
            </w:r>
          </w:p>
        </w:tc>
      </w:tr>
      <w:tr w:rsidR="00730C25" w:rsidRPr="00730C25" w14:paraId="40A853B6" w14:textId="77777777" w:rsidTr="004976E1">
        <w:trPr>
          <w:cantSplit/>
          <w:trHeight w:val="1221"/>
        </w:trPr>
        <w:tc>
          <w:tcPr>
            <w:tcW w:w="2607" w:type="dxa"/>
            <w:shd w:val="clear" w:color="auto" w:fill="auto"/>
            <w:vAlign w:val="center"/>
            <w:hideMark/>
          </w:tcPr>
          <w:p w14:paraId="4F0EEFD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0B12F4B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Nhulunbuy</w:t>
            </w:r>
          </w:p>
        </w:tc>
        <w:tc>
          <w:tcPr>
            <w:tcW w:w="2996" w:type="dxa"/>
            <w:shd w:val="clear" w:color="auto" w:fill="auto"/>
            <w:vAlign w:val="center"/>
            <w:hideMark/>
          </w:tcPr>
          <w:p w14:paraId="71435F34" w14:textId="77777777" w:rsidR="00730C25" w:rsidRPr="00730C25" w:rsidRDefault="00730C25" w:rsidP="00730C25">
            <w:pPr>
              <w:rPr>
                <w:rFonts w:eastAsia="Times New Roman" w:cs="Calibri"/>
                <w:color w:val="404040"/>
              </w:rPr>
            </w:pPr>
            <w:r w:rsidRPr="00730C25">
              <w:rPr>
                <w:rFonts w:eastAsia="Times New Roman" w:cs="Calibri"/>
                <w:color w:val="404040"/>
              </w:rPr>
              <w:t>Mature age workers</w:t>
            </w:r>
          </w:p>
        </w:tc>
      </w:tr>
      <w:tr w:rsidR="00730C25" w:rsidRPr="00730C25" w14:paraId="27DF7160" w14:textId="77777777" w:rsidTr="004976E1">
        <w:trPr>
          <w:cantSplit/>
          <w:trHeight w:val="1221"/>
        </w:trPr>
        <w:tc>
          <w:tcPr>
            <w:tcW w:w="2607" w:type="dxa"/>
            <w:shd w:val="clear" w:color="auto" w:fill="auto"/>
            <w:vAlign w:val="center"/>
            <w:hideMark/>
          </w:tcPr>
          <w:p w14:paraId="14A056D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66305B4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Groote Eylandt</w:t>
            </w:r>
          </w:p>
        </w:tc>
        <w:tc>
          <w:tcPr>
            <w:tcW w:w="2996" w:type="dxa"/>
            <w:shd w:val="clear" w:color="auto" w:fill="auto"/>
            <w:vAlign w:val="center"/>
            <w:hideMark/>
          </w:tcPr>
          <w:p w14:paraId="6829D50E"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6176CE33" w14:textId="77777777" w:rsidTr="004976E1">
        <w:trPr>
          <w:cantSplit/>
          <w:trHeight w:val="1221"/>
        </w:trPr>
        <w:tc>
          <w:tcPr>
            <w:tcW w:w="2607" w:type="dxa"/>
            <w:shd w:val="clear" w:color="auto" w:fill="auto"/>
            <w:vAlign w:val="center"/>
            <w:hideMark/>
          </w:tcPr>
          <w:p w14:paraId="420D29F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0E0EF9F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Groote Eylandt</w:t>
            </w:r>
          </w:p>
        </w:tc>
        <w:tc>
          <w:tcPr>
            <w:tcW w:w="2996" w:type="dxa"/>
            <w:shd w:val="clear" w:color="auto" w:fill="auto"/>
            <w:vAlign w:val="center"/>
            <w:hideMark/>
          </w:tcPr>
          <w:p w14:paraId="6F9926EA" w14:textId="77777777" w:rsidR="00730C25" w:rsidRPr="00730C25" w:rsidRDefault="00730C25" w:rsidP="00730C25">
            <w:pPr>
              <w:rPr>
                <w:rFonts w:eastAsia="Times New Roman" w:cs="Calibri"/>
                <w:color w:val="404040"/>
              </w:rPr>
            </w:pPr>
            <w:r w:rsidRPr="00730C25">
              <w:rPr>
                <w:rFonts w:eastAsia="Times New Roman" w:cs="Calibri"/>
                <w:color w:val="404040"/>
              </w:rPr>
              <w:t xml:space="preserve">Women </w:t>
            </w:r>
          </w:p>
        </w:tc>
      </w:tr>
      <w:tr w:rsidR="00730C25" w:rsidRPr="00730C25" w14:paraId="37504B19" w14:textId="77777777" w:rsidTr="004976E1">
        <w:trPr>
          <w:cantSplit/>
          <w:trHeight w:val="1522"/>
        </w:trPr>
        <w:tc>
          <w:tcPr>
            <w:tcW w:w="2607" w:type="dxa"/>
            <w:shd w:val="clear" w:color="auto" w:fill="auto"/>
            <w:vAlign w:val="center"/>
            <w:hideMark/>
          </w:tcPr>
          <w:p w14:paraId="25D169A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6DCEC71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Groote Eylandt</w:t>
            </w:r>
          </w:p>
        </w:tc>
        <w:tc>
          <w:tcPr>
            <w:tcW w:w="2996" w:type="dxa"/>
            <w:shd w:val="clear" w:color="auto" w:fill="auto"/>
            <w:vAlign w:val="center"/>
            <w:hideMark/>
          </w:tcPr>
          <w:p w14:paraId="30B8A9A1" w14:textId="77777777" w:rsidR="00730C25" w:rsidRPr="00730C25" w:rsidRDefault="00730C25" w:rsidP="00730C25">
            <w:pPr>
              <w:rPr>
                <w:rFonts w:eastAsia="Times New Roman" w:cs="Calibri"/>
                <w:color w:val="404040"/>
              </w:rPr>
            </w:pPr>
            <w:r w:rsidRPr="00730C25">
              <w:rPr>
                <w:rFonts w:eastAsia="Times New Roman" w:cs="Calibri"/>
                <w:color w:val="404040"/>
              </w:rPr>
              <w:t>Women experiencing domestic and family violence</w:t>
            </w:r>
          </w:p>
        </w:tc>
      </w:tr>
      <w:tr w:rsidR="00730C25" w:rsidRPr="00730C25" w14:paraId="1629C8A6" w14:textId="77777777" w:rsidTr="004976E1">
        <w:trPr>
          <w:cantSplit/>
          <w:trHeight w:val="1221"/>
        </w:trPr>
        <w:tc>
          <w:tcPr>
            <w:tcW w:w="2607" w:type="dxa"/>
            <w:shd w:val="clear" w:color="auto" w:fill="auto"/>
            <w:vAlign w:val="center"/>
            <w:hideMark/>
          </w:tcPr>
          <w:p w14:paraId="1E5DCE1C"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0FB8BB5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Groote Eylandt</w:t>
            </w:r>
          </w:p>
        </w:tc>
        <w:tc>
          <w:tcPr>
            <w:tcW w:w="2996" w:type="dxa"/>
            <w:shd w:val="clear" w:color="auto" w:fill="auto"/>
            <w:vAlign w:val="center"/>
            <w:hideMark/>
          </w:tcPr>
          <w:p w14:paraId="3CF8217F" w14:textId="77777777" w:rsidR="00730C25" w:rsidRPr="00730C25" w:rsidRDefault="00730C25" w:rsidP="00730C25">
            <w:pPr>
              <w:rPr>
                <w:rFonts w:eastAsia="Times New Roman" w:cs="Calibri"/>
                <w:color w:val="404040"/>
              </w:rPr>
            </w:pPr>
            <w:r w:rsidRPr="00730C25">
              <w:rPr>
                <w:rFonts w:eastAsia="Times New Roman" w:cs="Calibri"/>
                <w:color w:val="404040"/>
              </w:rPr>
              <w:t>Mature-aged workers</w:t>
            </w:r>
          </w:p>
        </w:tc>
      </w:tr>
      <w:tr w:rsidR="00730C25" w:rsidRPr="00730C25" w14:paraId="263F3AD7" w14:textId="77777777" w:rsidTr="004976E1">
        <w:trPr>
          <w:cantSplit/>
          <w:trHeight w:val="1221"/>
        </w:trPr>
        <w:tc>
          <w:tcPr>
            <w:tcW w:w="2607" w:type="dxa"/>
            <w:shd w:val="clear" w:color="auto" w:fill="auto"/>
            <w:vAlign w:val="center"/>
            <w:hideMark/>
          </w:tcPr>
          <w:p w14:paraId="5C03550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06E1EDC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Maningrida</w:t>
            </w:r>
          </w:p>
        </w:tc>
        <w:tc>
          <w:tcPr>
            <w:tcW w:w="2996" w:type="dxa"/>
            <w:shd w:val="clear" w:color="auto" w:fill="auto"/>
            <w:vAlign w:val="center"/>
            <w:hideMark/>
          </w:tcPr>
          <w:p w14:paraId="246A8A10"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21496FE6" w14:textId="77777777" w:rsidTr="004976E1">
        <w:trPr>
          <w:cantSplit/>
          <w:trHeight w:val="1221"/>
        </w:trPr>
        <w:tc>
          <w:tcPr>
            <w:tcW w:w="2607" w:type="dxa"/>
            <w:shd w:val="clear" w:color="auto" w:fill="auto"/>
            <w:vAlign w:val="center"/>
            <w:hideMark/>
          </w:tcPr>
          <w:p w14:paraId="62C1185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Arnhem Land and Groote Eylandt</w:t>
            </w:r>
          </w:p>
        </w:tc>
        <w:tc>
          <w:tcPr>
            <w:tcW w:w="3522" w:type="dxa"/>
            <w:shd w:val="clear" w:color="auto" w:fill="auto"/>
            <w:vAlign w:val="center"/>
            <w:hideMark/>
          </w:tcPr>
          <w:p w14:paraId="24CF40A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Maningrida</w:t>
            </w:r>
          </w:p>
        </w:tc>
        <w:tc>
          <w:tcPr>
            <w:tcW w:w="2996" w:type="dxa"/>
            <w:shd w:val="clear" w:color="auto" w:fill="auto"/>
            <w:vAlign w:val="center"/>
            <w:hideMark/>
          </w:tcPr>
          <w:p w14:paraId="3DEF52D4"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56621B2D" w14:textId="77777777" w:rsidTr="004976E1">
        <w:trPr>
          <w:cantSplit/>
          <w:trHeight w:val="921"/>
        </w:trPr>
        <w:tc>
          <w:tcPr>
            <w:tcW w:w="2607" w:type="dxa"/>
            <w:shd w:val="clear" w:color="auto" w:fill="auto"/>
            <w:vAlign w:val="center"/>
            <w:hideMark/>
          </w:tcPr>
          <w:p w14:paraId="19569F1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Top End and Tiwi Islands</w:t>
            </w:r>
          </w:p>
        </w:tc>
        <w:tc>
          <w:tcPr>
            <w:tcW w:w="3522" w:type="dxa"/>
            <w:shd w:val="clear" w:color="auto" w:fill="auto"/>
            <w:vAlign w:val="center"/>
            <w:hideMark/>
          </w:tcPr>
          <w:p w14:paraId="2B21718C" w14:textId="77777777" w:rsidR="00730C25" w:rsidRPr="00730C25" w:rsidRDefault="00730C25" w:rsidP="00730C25">
            <w:pPr>
              <w:jc w:val="center"/>
              <w:rPr>
                <w:rFonts w:eastAsia="Times New Roman" w:cs="Calibri"/>
                <w:color w:val="404040"/>
              </w:rPr>
            </w:pPr>
            <w:r w:rsidRPr="00730C25">
              <w:rPr>
                <w:rFonts w:eastAsia="Times New Roman" w:cs="Calibri"/>
                <w:color w:val="404040"/>
              </w:rPr>
              <w:t>Darwin</w:t>
            </w:r>
          </w:p>
        </w:tc>
        <w:tc>
          <w:tcPr>
            <w:tcW w:w="2996" w:type="dxa"/>
            <w:shd w:val="clear" w:color="auto" w:fill="auto"/>
            <w:vAlign w:val="center"/>
            <w:hideMark/>
          </w:tcPr>
          <w:p w14:paraId="3D0DD2F0"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38EDDF27" w14:textId="77777777" w:rsidTr="004976E1">
        <w:trPr>
          <w:cantSplit/>
          <w:trHeight w:val="921"/>
        </w:trPr>
        <w:tc>
          <w:tcPr>
            <w:tcW w:w="2607" w:type="dxa"/>
            <w:shd w:val="clear" w:color="auto" w:fill="auto"/>
            <w:vAlign w:val="center"/>
            <w:hideMark/>
          </w:tcPr>
          <w:p w14:paraId="0CB96CF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Top End and Tiwi Islands</w:t>
            </w:r>
          </w:p>
        </w:tc>
        <w:tc>
          <w:tcPr>
            <w:tcW w:w="3522" w:type="dxa"/>
            <w:shd w:val="clear" w:color="auto" w:fill="auto"/>
            <w:vAlign w:val="center"/>
            <w:hideMark/>
          </w:tcPr>
          <w:p w14:paraId="4095C42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Darwin</w:t>
            </w:r>
          </w:p>
        </w:tc>
        <w:tc>
          <w:tcPr>
            <w:tcW w:w="2996" w:type="dxa"/>
            <w:shd w:val="clear" w:color="auto" w:fill="auto"/>
            <w:vAlign w:val="center"/>
            <w:hideMark/>
          </w:tcPr>
          <w:p w14:paraId="4C92DB24"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77B4776B" w14:textId="77777777" w:rsidTr="004976E1">
        <w:trPr>
          <w:cantSplit/>
          <w:trHeight w:val="921"/>
        </w:trPr>
        <w:tc>
          <w:tcPr>
            <w:tcW w:w="2607" w:type="dxa"/>
            <w:shd w:val="clear" w:color="auto" w:fill="auto"/>
            <w:vAlign w:val="center"/>
            <w:hideMark/>
          </w:tcPr>
          <w:p w14:paraId="1896A44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Top End and Tiwi Islands</w:t>
            </w:r>
          </w:p>
        </w:tc>
        <w:tc>
          <w:tcPr>
            <w:tcW w:w="3522" w:type="dxa"/>
            <w:shd w:val="clear" w:color="auto" w:fill="auto"/>
            <w:vAlign w:val="center"/>
            <w:hideMark/>
          </w:tcPr>
          <w:p w14:paraId="6629DC3C" w14:textId="77777777" w:rsidR="00730C25" w:rsidRPr="00730C25" w:rsidRDefault="00730C25" w:rsidP="00730C25">
            <w:pPr>
              <w:jc w:val="center"/>
              <w:rPr>
                <w:rFonts w:eastAsia="Times New Roman" w:cs="Calibri"/>
                <w:color w:val="404040"/>
              </w:rPr>
            </w:pPr>
            <w:r w:rsidRPr="00730C25">
              <w:rPr>
                <w:rFonts w:eastAsia="Times New Roman" w:cs="Calibri"/>
                <w:color w:val="404040"/>
              </w:rPr>
              <w:t>Darwin</w:t>
            </w:r>
          </w:p>
        </w:tc>
        <w:tc>
          <w:tcPr>
            <w:tcW w:w="2996" w:type="dxa"/>
            <w:shd w:val="clear" w:color="auto" w:fill="auto"/>
            <w:vAlign w:val="center"/>
            <w:hideMark/>
          </w:tcPr>
          <w:p w14:paraId="6EF2E7D3" w14:textId="77777777" w:rsidR="00730C25" w:rsidRPr="00730C25" w:rsidRDefault="00730C25" w:rsidP="00730C25">
            <w:pPr>
              <w:rPr>
                <w:rFonts w:eastAsia="Times New Roman" w:cs="Calibri"/>
                <w:color w:val="404040"/>
              </w:rPr>
            </w:pPr>
            <w:r w:rsidRPr="00730C25">
              <w:rPr>
                <w:rFonts w:eastAsia="Times New Roman" w:cs="Calibri"/>
                <w:color w:val="404040"/>
              </w:rPr>
              <w:t>Long-term unemployed</w:t>
            </w:r>
          </w:p>
        </w:tc>
      </w:tr>
      <w:tr w:rsidR="00730C25" w:rsidRPr="00730C25" w14:paraId="4213BCD0" w14:textId="77777777" w:rsidTr="004976E1">
        <w:trPr>
          <w:cantSplit/>
          <w:trHeight w:val="921"/>
        </w:trPr>
        <w:tc>
          <w:tcPr>
            <w:tcW w:w="2607" w:type="dxa"/>
            <w:shd w:val="clear" w:color="auto" w:fill="auto"/>
            <w:vAlign w:val="center"/>
            <w:hideMark/>
          </w:tcPr>
          <w:p w14:paraId="6156481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Top End and Tiwi Islands</w:t>
            </w:r>
          </w:p>
        </w:tc>
        <w:tc>
          <w:tcPr>
            <w:tcW w:w="3522" w:type="dxa"/>
            <w:shd w:val="clear" w:color="auto" w:fill="auto"/>
            <w:vAlign w:val="center"/>
            <w:hideMark/>
          </w:tcPr>
          <w:p w14:paraId="461997A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Darwin</w:t>
            </w:r>
          </w:p>
        </w:tc>
        <w:tc>
          <w:tcPr>
            <w:tcW w:w="2996" w:type="dxa"/>
            <w:shd w:val="clear" w:color="auto" w:fill="auto"/>
            <w:vAlign w:val="center"/>
            <w:hideMark/>
          </w:tcPr>
          <w:p w14:paraId="5EDC3CC2" w14:textId="77777777" w:rsidR="00730C25" w:rsidRPr="00730C25" w:rsidRDefault="00730C25" w:rsidP="00730C25">
            <w:pPr>
              <w:rPr>
                <w:rFonts w:eastAsia="Times New Roman" w:cs="Calibri"/>
                <w:color w:val="404040"/>
              </w:rPr>
            </w:pPr>
            <w:r w:rsidRPr="00730C25">
              <w:rPr>
                <w:rFonts w:eastAsia="Times New Roman" w:cs="Calibri"/>
                <w:color w:val="404040"/>
              </w:rPr>
              <w:t>Rural and remote job seekers</w:t>
            </w:r>
          </w:p>
        </w:tc>
      </w:tr>
      <w:tr w:rsidR="00730C25" w:rsidRPr="00730C25" w14:paraId="59E8D9F7" w14:textId="77777777" w:rsidTr="004976E1">
        <w:trPr>
          <w:cantSplit/>
          <w:trHeight w:val="921"/>
        </w:trPr>
        <w:tc>
          <w:tcPr>
            <w:tcW w:w="2607" w:type="dxa"/>
            <w:shd w:val="clear" w:color="auto" w:fill="auto"/>
            <w:vAlign w:val="center"/>
            <w:hideMark/>
          </w:tcPr>
          <w:p w14:paraId="0A3F455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Top End and Tiwi Islands</w:t>
            </w:r>
          </w:p>
        </w:tc>
        <w:tc>
          <w:tcPr>
            <w:tcW w:w="3522" w:type="dxa"/>
            <w:shd w:val="clear" w:color="auto" w:fill="auto"/>
            <w:vAlign w:val="center"/>
            <w:hideMark/>
          </w:tcPr>
          <w:p w14:paraId="3853E2E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Darwin</w:t>
            </w:r>
          </w:p>
        </w:tc>
        <w:tc>
          <w:tcPr>
            <w:tcW w:w="2996" w:type="dxa"/>
            <w:shd w:val="clear" w:color="auto" w:fill="auto"/>
            <w:vAlign w:val="center"/>
            <w:hideMark/>
          </w:tcPr>
          <w:p w14:paraId="0534E95A" w14:textId="77777777" w:rsidR="00730C25" w:rsidRPr="00730C25" w:rsidRDefault="00730C25" w:rsidP="00730C25">
            <w:pPr>
              <w:rPr>
                <w:rFonts w:eastAsia="Times New Roman" w:cs="Calibri"/>
                <w:color w:val="404040"/>
              </w:rPr>
            </w:pPr>
            <w:r w:rsidRPr="00730C25">
              <w:rPr>
                <w:rFonts w:eastAsia="Times New Roman" w:cs="Calibri"/>
                <w:color w:val="404040"/>
              </w:rPr>
              <w:t>People without a fixed home</w:t>
            </w:r>
          </w:p>
        </w:tc>
      </w:tr>
      <w:tr w:rsidR="00730C25" w:rsidRPr="00730C25" w14:paraId="38E4E33C" w14:textId="77777777" w:rsidTr="004976E1">
        <w:trPr>
          <w:cantSplit/>
          <w:trHeight w:val="620"/>
        </w:trPr>
        <w:tc>
          <w:tcPr>
            <w:tcW w:w="2607" w:type="dxa"/>
            <w:shd w:val="clear" w:color="auto" w:fill="auto"/>
            <w:vAlign w:val="center"/>
            <w:hideMark/>
          </w:tcPr>
          <w:p w14:paraId="54FEC26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Central Australia</w:t>
            </w:r>
          </w:p>
        </w:tc>
        <w:tc>
          <w:tcPr>
            <w:tcW w:w="3522" w:type="dxa"/>
            <w:shd w:val="clear" w:color="auto" w:fill="auto"/>
            <w:vAlign w:val="center"/>
            <w:hideMark/>
          </w:tcPr>
          <w:p w14:paraId="4C73E16C"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Alice Springs</w:t>
            </w:r>
          </w:p>
        </w:tc>
        <w:tc>
          <w:tcPr>
            <w:tcW w:w="2996" w:type="dxa"/>
            <w:shd w:val="clear" w:color="auto" w:fill="auto"/>
            <w:vAlign w:val="center"/>
            <w:hideMark/>
          </w:tcPr>
          <w:p w14:paraId="149BD271"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74DB6828" w14:textId="77777777" w:rsidTr="004976E1">
        <w:trPr>
          <w:cantSplit/>
          <w:trHeight w:val="620"/>
        </w:trPr>
        <w:tc>
          <w:tcPr>
            <w:tcW w:w="2607" w:type="dxa"/>
            <w:shd w:val="clear" w:color="auto" w:fill="auto"/>
            <w:vAlign w:val="center"/>
            <w:hideMark/>
          </w:tcPr>
          <w:p w14:paraId="3FEE58C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Central Australia</w:t>
            </w:r>
          </w:p>
        </w:tc>
        <w:tc>
          <w:tcPr>
            <w:tcW w:w="3522" w:type="dxa"/>
            <w:shd w:val="clear" w:color="auto" w:fill="auto"/>
            <w:vAlign w:val="center"/>
            <w:hideMark/>
          </w:tcPr>
          <w:p w14:paraId="35CFA36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Tennant Creek</w:t>
            </w:r>
          </w:p>
        </w:tc>
        <w:tc>
          <w:tcPr>
            <w:tcW w:w="2996" w:type="dxa"/>
            <w:shd w:val="clear" w:color="auto" w:fill="auto"/>
            <w:vAlign w:val="center"/>
            <w:hideMark/>
          </w:tcPr>
          <w:p w14:paraId="79BD7917" w14:textId="77777777" w:rsidR="00730C25" w:rsidRPr="00730C25" w:rsidRDefault="00730C25" w:rsidP="00730C25">
            <w:pPr>
              <w:rPr>
                <w:rFonts w:eastAsia="Times New Roman" w:cs="Calibri"/>
                <w:color w:val="404040"/>
              </w:rPr>
            </w:pPr>
            <w:r w:rsidRPr="00730C25">
              <w:rPr>
                <w:rFonts w:eastAsia="Times New Roman" w:cs="Calibri"/>
                <w:color w:val="404040"/>
              </w:rPr>
              <w:t>Teenage parents</w:t>
            </w:r>
          </w:p>
        </w:tc>
      </w:tr>
      <w:tr w:rsidR="00730C25" w:rsidRPr="00730C25" w14:paraId="1617D87E" w14:textId="77777777" w:rsidTr="004976E1">
        <w:trPr>
          <w:cantSplit/>
          <w:trHeight w:val="921"/>
        </w:trPr>
        <w:tc>
          <w:tcPr>
            <w:tcW w:w="2607" w:type="dxa"/>
            <w:shd w:val="clear" w:color="auto" w:fill="auto"/>
            <w:vAlign w:val="center"/>
            <w:hideMark/>
          </w:tcPr>
          <w:p w14:paraId="2037A9A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Central Australia</w:t>
            </w:r>
          </w:p>
        </w:tc>
        <w:tc>
          <w:tcPr>
            <w:tcW w:w="3522" w:type="dxa"/>
            <w:shd w:val="clear" w:color="auto" w:fill="auto"/>
            <w:vAlign w:val="center"/>
            <w:hideMark/>
          </w:tcPr>
          <w:p w14:paraId="12749E3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Tennant Creek</w:t>
            </w:r>
          </w:p>
        </w:tc>
        <w:tc>
          <w:tcPr>
            <w:tcW w:w="2996" w:type="dxa"/>
            <w:shd w:val="clear" w:color="auto" w:fill="auto"/>
            <w:vAlign w:val="center"/>
            <w:hideMark/>
          </w:tcPr>
          <w:p w14:paraId="1EE6C4C7" w14:textId="77777777" w:rsidR="00730C25" w:rsidRPr="00730C25" w:rsidRDefault="00730C25" w:rsidP="00730C25">
            <w:pPr>
              <w:rPr>
                <w:rFonts w:eastAsia="Times New Roman" w:cs="Calibri"/>
                <w:color w:val="404040"/>
              </w:rPr>
            </w:pPr>
            <w:r w:rsidRPr="00730C25">
              <w:rPr>
                <w:rFonts w:eastAsia="Times New Roman" w:cs="Calibri"/>
                <w:color w:val="404040"/>
              </w:rPr>
              <w:t>Long-term unemployed</w:t>
            </w:r>
          </w:p>
        </w:tc>
      </w:tr>
      <w:tr w:rsidR="00730C25" w:rsidRPr="00730C25" w14:paraId="662A28D1" w14:textId="77777777" w:rsidTr="004976E1">
        <w:trPr>
          <w:cantSplit/>
          <w:trHeight w:val="921"/>
        </w:trPr>
        <w:tc>
          <w:tcPr>
            <w:tcW w:w="2607" w:type="dxa"/>
            <w:shd w:val="clear" w:color="auto" w:fill="auto"/>
            <w:vAlign w:val="center"/>
            <w:hideMark/>
          </w:tcPr>
          <w:p w14:paraId="2BD9173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Central Australia</w:t>
            </w:r>
          </w:p>
        </w:tc>
        <w:tc>
          <w:tcPr>
            <w:tcW w:w="3522" w:type="dxa"/>
            <w:shd w:val="clear" w:color="auto" w:fill="auto"/>
            <w:vAlign w:val="center"/>
            <w:hideMark/>
          </w:tcPr>
          <w:p w14:paraId="425C70B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Tennant Creek</w:t>
            </w:r>
          </w:p>
        </w:tc>
        <w:tc>
          <w:tcPr>
            <w:tcW w:w="2996" w:type="dxa"/>
            <w:shd w:val="clear" w:color="auto" w:fill="auto"/>
            <w:vAlign w:val="center"/>
            <w:hideMark/>
          </w:tcPr>
          <w:p w14:paraId="6F5D3794" w14:textId="77777777" w:rsidR="00730C25" w:rsidRPr="00730C25" w:rsidRDefault="00730C25" w:rsidP="00730C25">
            <w:pPr>
              <w:rPr>
                <w:rFonts w:eastAsia="Times New Roman" w:cs="Calibri"/>
                <w:color w:val="404040"/>
              </w:rPr>
            </w:pPr>
            <w:r w:rsidRPr="00730C25">
              <w:rPr>
                <w:rFonts w:eastAsia="Times New Roman" w:cs="Calibri"/>
                <w:color w:val="404040"/>
              </w:rPr>
              <w:t>Mature-aged workers</w:t>
            </w:r>
          </w:p>
        </w:tc>
      </w:tr>
      <w:tr w:rsidR="00730C25" w:rsidRPr="00730C25" w14:paraId="50462AA1" w14:textId="77777777" w:rsidTr="004976E1">
        <w:trPr>
          <w:cantSplit/>
          <w:trHeight w:val="921"/>
        </w:trPr>
        <w:tc>
          <w:tcPr>
            <w:tcW w:w="2607" w:type="dxa"/>
            <w:shd w:val="clear" w:color="auto" w:fill="auto"/>
            <w:vAlign w:val="center"/>
            <w:hideMark/>
          </w:tcPr>
          <w:p w14:paraId="7A6CC41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39ABDBA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Perth</w:t>
            </w:r>
          </w:p>
        </w:tc>
        <w:tc>
          <w:tcPr>
            <w:tcW w:w="2996" w:type="dxa"/>
            <w:shd w:val="clear" w:color="auto" w:fill="auto"/>
            <w:vAlign w:val="center"/>
            <w:hideMark/>
          </w:tcPr>
          <w:p w14:paraId="111791EF"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21ADA9B9" w14:textId="77777777" w:rsidTr="004976E1">
        <w:trPr>
          <w:cantSplit/>
          <w:trHeight w:val="921"/>
        </w:trPr>
        <w:tc>
          <w:tcPr>
            <w:tcW w:w="2607" w:type="dxa"/>
            <w:shd w:val="clear" w:color="auto" w:fill="auto"/>
            <w:vAlign w:val="center"/>
            <w:hideMark/>
          </w:tcPr>
          <w:p w14:paraId="2EDE542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224F4B1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Perth</w:t>
            </w:r>
          </w:p>
        </w:tc>
        <w:tc>
          <w:tcPr>
            <w:tcW w:w="2996" w:type="dxa"/>
            <w:shd w:val="clear" w:color="auto" w:fill="auto"/>
            <w:vAlign w:val="center"/>
            <w:hideMark/>
          </w:tcPr>
          <w:p w14:paraId="56FF780F"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2241D9D8" w14:textId="77777777" w:rsidTr="004976E1">
        <w:trPr>
          <w:cantSplit/>
          <w:trHeight w:val="921"/>
        </w:trPr>
        <w:tc>
          <w:tcPr>
            <w:tcW w:w="2607" w:type="dxa"/>
            <w:shd w:val="clear" w:color="auto" w:fill="auto"/>
            <w:vAlign w:val="center"/>
            <w:hideMark/>
          </w:tcPr>
          <w:p w14:paraId="1E54E29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39869B05" w14:textId="77777777" w:rsidR="00730C25" w:rsidRPr="00730C25" w:rsidRDefault="00730C25" w:rsidP="00730C25">
            <w:pPr>
              <w:jc w:val="center"/>
              <w:rPr>
                <w:rFonts w:eastAsia="Times New Roman" w:cs="Calibri"/>
                <w:color w:val="404040"/>
              </w:rPr>
            </w:pPr>
            <w:r w:rsidRPr="00730C25">
              <w:rPr>
                <w:rFonts w:eastAsia="Times New Roman" w:cs="Calibri"/>
                <w:color w:val="404040"/>
              </w:rPr>
              <w:t>Perth</w:t>
            </w:r>
          </w:p>
        </w:tc>
        <w:tc>
          <w:tcPr>
            <w:tcW w:w="2996" w:type="dxa"/>
            <w:shd w:val="clear" w:color="auto" w:fill="auto"/>
            <w:vAlign w:val="center"/>
            <w:hideMark/>
          </w:tcPr>
          <w:p w14:paraId="7BF5DD90" w14:textId="77777777" w:rsidR="00730C25" w:rsidRPr="00730C25" w:rsidRDefault="00730C25" w:rsidP="00730C25">
            <w:pPr>
              <w:rPr>
                <w:rFonts w:eastAsia="Times New Roman" w:cs="Calibri"/>
                <w:color w:val="404040"/>
              </w:rPr>
            </w:pPr>
            <w:r w:rsidRPr="00730C25">
              <w:rPr>
                <w:rFonts w:eastAsia="Times New Roman" w:cs="Calibri"/>
                <w:color w:val="404040"/>
              </w:rPr>
              <w:t>Mature-aged</w:t>
            </w:r>
          </w:p>
        </w:tc>
      </w:tr>
      <w:tr w:rsidR="00730C25" w:rsidRPr="00730C25" w14:paraId="2C89AACA" w14:textId="77777777" w:rsidTr="004976E1">
        <w:trPr>
          <w:cantSplit/>
          <w:trHeight w:val="921"/>
        </w:trPr>
        <w:tc>
          <w:tcPr>
            <w:tcW w:w="2607" w:type="dxa"/>
            <w:shd w:val="clear" w:color="auto" w:fill="auto"/>
            <w:vAlign w:val="center"/>
            <w:hideMark/>
          </w:tcPr>
          <w:p w14:paraId="534F091C"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1A1D689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Perth</w:t>
            </w:r>
          </w:p>
        </w:tc>
        <w:tc>
          <w:tcPr>
            <w:tcW w:w="2996" w:type="dxa"/>
            <w:shd w:val="clear" w:color="auto" w:fill="auto"/>
            <w:vAlign w:val="center"/>
            <w:hideMark/>
          </w:tcPr>
          <w:p w14:paraId="75432905" w14:textId="77777777" w:rsidR="00730C25" w:rsidRPr="00730C25" w:rsidRDefault="00730C25" w:rsidP="00730C25">
            <w:pPr>
              <w:rPr>
                <w:rFonts w:eastAsia="Times New Roman" w:cs="Calibri"/>
                <w:color w:val="404040"/>
              </w:rPr>
            </w:pPr>
            <w:r w:rsidRPr="00730C25">
              <w:rPr>
                <w:rFonts w:eastAsia="Times New Roman" w:cs="Calibri"/>
                <w:color w:val="404040"/>
              </w:rPr>
              <w:t>People with a disability</w:t>
            </w:r>
          </w:p>
        </w:tc>
      </w:tr>
      <w:tr w:rsidR="00730C25" w:rsidRPr="00730C25" w14:paraId="7799D230" w14:textId="77777777" w:rsidTr="004976E1">
        <w:trPr>
          <w:cantSplit/>
          <w:trHeight w:val="921"/>
        </w:trPr>
        <w:tc>
          <w:tcPr>
            <w:tcW w:w="2607" w:type="dxa"/>
            <w:shd w:val="clear" w:color="auto" w:fill="auto"/>
            <w:vAlign w:val="center"/>
            <w:hideMark/>
          </w:tcPr>
          <w:p w14:paraId="3869D88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4FA4A86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Pilbara</w:t>
            </w:r>
          </w:p>
        </w:tc>
        <w:tc>
          <w:tcPr>
            <w:tcW w:w="2996" w:type="dxa"/>
            <w:shd w:val="clear" w:color="auto" w:fill="auto"/>
            <w:vAlign w:val="center"/>
            <w:hideMark/>
          </w:tcPr>
          <w:p w14:paraId="7ADC7C4F"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4FCC4CE4" w14:textId="77777777" w:rsidTr="004976E1">
        <w:trPr>
          <w:cantSplit/>
          <w:trHeight w:val="921"/>
        </w:trPr>
        <w:tc>
          <w:tcPr>
            <w:tcW w:w="2607" w:type="dxa"/>
            <w:shd w:val="clear" w:color="auto" w:fill="auto"/>
            <w:vAlign w:val="center"/>
            <w:hideMark/>
          </w:tcPr>
          <w:p w14:paraId="6321866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182F01B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Pilbara</w:t>
            </w:r>
          </w:p>
        </w:tc>
        <w:tc>
          <w:tcPr>
            <w:tcW w:w="2996" w:type="dxa"/>
            <w:shd w:val="clear" w:color="auto" w:fill="auto"/>
            <w:vAlign w:val="center"/>
            <w:hideMark/>
          </w:tcPr>
          <w:p w14:paraId="5E6124C4"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1ABFD2D0" w14:textId="77777777" w:rsidTr="004976E1">
        <w:trPr>
          <w:cantSplit/>
          <w:trHeight w:val="921"/>
        </w:trPr>
        <w:tc>
          <w:tcPr>
            <w:tcW w:w="2607" w:type="dxa"/>
            <w:shd w:val="clear" w:color="auto" w:fill="auto"/>
            <w:vAlign w:val="center"/>
            <w:hideMark/>
          </w:tcPr>
          <w:p w14:paraId="6BAEB0E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27C655B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Pilbara</w:t>
            </w:r>
          </w:p>
        </w:tc>
        <w:tc>
          <w:tcPr>
            <w:tcW w:w="2996" w:type="dxa"/>
            <w:shd w:val="clear" w:color="auto" w:fill="auto"/>
            <w:vAlign w:val="center"/>
            <w:hideMark/>
          </w:tcPr>
          <w:p w14:paraId="7ED3B47B" w14:textId="77777777" w:rsidR="00730C25" w:rsidRPr="00730C25" w:rsidRDefault="00730C25" w:rsidP="00730C25">
            <w:pPr>
              <w:rPr>
                <w:rFonts w:eastAsia="Times New Roman" w:cs="Calibri"/>
                <w:color w:val="404040"/>
              </w:rPr>
            </w:pPr>
            <w:r w:rsidRPr="00730C25">
              <w:rPr>
                <w:rFonts w:eastAsia="Times New Roman" w:cs="Calibri"/>
                <w:color w:val="404040"/>
              </w:rPr>
              <w:t>Long-term unemployed</w:t>
            </w:r>
          </w:p>
        </w:tc>
      </w:tr>
      <w:tr w:rsidR="00730C25" w:rsidRPr="00730C25" w14:paraId="3AA0980F" w14:textId="77777777" w:rsidTr="004976E1">
        <w:trPr>
          <w:cantSplit/>
          <w:trHeight w:val="1822"/>
        </w:trPr>
        <w:tc>
          <w:tcPr>
            <w:tcW w:w="2607" w:type="dxa"/>
            <w:shd w:val="clear" w:color="auto" w:fill="auto"/>
            <w:vAlign w:val="center"/>
            <w:hideMark/>
          </w:tcPr>
          <w:p w14:paraId="4C07406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4D3F0DF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Pilbara</w:t>
            </w:r>
          </w:p>
        </w:tc>
        <w:tc>
          <w:tcPr>
            <w:tcW w:w="2996" w:type="dxa"/>
            <w:shd w:val="clear" w:color="auto" w:fill="auto"/>
            <w:vAlign w:val="center"/>
            <w:hideMark/>
          </w:tcPr>
          <w:p w14:paraId="0707359E" w14:textId="77777777" w:rsidR="00730C25" w:rsidRPr="00730C25" w:rsidRDefault="00730C25" w:rsidP="00730C25">
            <w:pPr>
              <w:rPr>
                <w:rFonts w:eastAsia="Times New Roman" w:cs="Calibri"/>
                <w:color w:val="404040"/>
              </w:rPr>
            </w:pPr>
            <w:r w:rsidRPr="00730C25">
              <w:rPr>
                <w:rFonts w:eastAsia="Times New Roman" w:cs="Calibri"/>
                <w:color w:val="404040"/>
              </w:rPr>
              <w:t>Post release prisoners / criminal record holders</w:t>
            </w:r>
          </w:p>
        </w:tc>
      </w:tr>
      <w:tr w:rsidR="00730C25" w:rsidRPr="00730C25" w14:paraId="664B613B" w14:textId="77777777" w:rsidTr="004976E1">
        <w:trPr>
          <w:cantSplit/>
          <w:trHeight w:val="921"/>
        </w:trPr>
        <w:tc>
          <w:tcPr>
            <w:tcW w:w="2607" w:type="dxa"/>
            <w:shd w:val="clear" w:color="auto" w:fill="auto"/>
            <w:vAlign w:val="center"/>
            <w:hideMark/>
          </w:tcPr>
          <w:p w14:paraId="3DF650F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2D8DD613"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Goldfields</w:t>
            </w:r>
          </w:p>
        </w:tc>
        <w:tc>
          <w:tcPr>
            <w:tcW w:w="2996" w:type="dxa"/>
            <w:shd w:val="clear" w:color="auto" w:fill="auto"/>
            <w:vAlign w:val="center"/>
            <w:hideMark/>
          </w:tcPr>
          <w:p w14:paraId="355A5A6A"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4501BA86" w14:textId="77777777" w:rsidTr="004976E1">
        <w:trPr>
          <w:cantSplit/>
          <w:trHeight w:val="921"/>
        </w:trPr>
        <w:tc>
          <w:tcPr>
            <w:tcW w:w="2607" w:type="dxa"/>
            <w:shd w:val="clear" w:color="auto" w:fill="auto"/>
            <w:vAlign w:val="center"/>
            <w:hideMark/>
          </w:tcPr>
          <w:p w14:paraId="74DE14A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06CA82E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Goldfields</w:t>
            </w:r>
          </w:p>
        </w:tc>
        <w:tc>
          <w:tcPr>
            <w:tcW w:w="2996" w:type="dxa"/>
            <w:shd w:val="clear" w:color="auto" w:fill="auto"/>
            <w:vAlign w:val="center"/>
            <w:hideMark/>
          </w:tcPr>
          <w:p w14:paraId="220C1802"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75D2B196" w14:textId="77777777" w:rsidTr="004976E1">
        <w:trPr>
          <w:cantSplit/>
          <w:trHeight w:val="921"/>
        </w:trPr>
        <w:tc>
          <w:tcPr>
            <w:tcW w:w="2607" w:type="dxa"/>
            <w:shd w:val="clear" w:color="auto" w:fill="auto"/>
            <w:vAlign w:val="center"/>
            <w:hideMark/>
          </w:tcPr>
          <w:p w14:paraId="6E5D908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167F645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Goldfields</w:t>
            </w:r>
          </w:p>
        </w:tc>
        <w:tc>
          <w:tcPr>
            <w:tcW w:w="2996" w:type="dxa"/>
            <w:shd w:val="clear" w:color="auto" w:fill="auto"/>
            <w:vAlign w:val="center"/>
            <w:hideMark/>
          </w:tcPr>
          <w:p w14:paraId="30382AE7" w14:textId="77777777" w:rsidR="00730C25" w:rsidRPr="00730C25" w:rsidRDefault="00730C25" w:rsidP="00730C25">
            <w:pPr>
              <w:rPr>
                <w:rFonts w:eastAsia="Times New Roman" w:cs="Calibri"/>
                <w:color w:val="404040"/>
              </w:rPr>
            </w:pPr>
            <w:r w:rsidRPr="00730C25">
              <w:rPr>
                <w:rFonts w:eastAsia="Times New Roman" w:cs="Calibri"/>
                <w:color w:val="404040"/>
              </w:rPr>
              <w:t>Long-term unemployed</w:t>
            </w:r>
          </w:p>
        </w:tc>
      </w:tr>
      <w:tr w:rsidR="00730C25" w:rsidRPr="00730C25" w14:paraId="7F25BABF" w14:textId="77777777" w:rsidTr="004976E1">
        <w:trPr>
          <w:cantSplit/>
          <w:trHeight w:val="3024"/>
        </w:trPr>
        <w:tc>
          <w:tcPr>
            <w:tcW w:w="2607" w:type="dxa"/>
            <w:shd w:val="clear" w:color="auto" w:fill="auto"/>
            <w:vAlign w:val="center"/>
            <w:hideMark/>
          </w:tcPr>
          <w:p w14:paraId="2EF3C73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592F8A3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Goldfields</w:t>
            </w:r>
          </w:p>
        </w:tc>
        <w:tc>
          <w:tcPr>
            <w:tcW w:w="2996" w:type="dxa"/>
            <w:shd w:val="clear" w:color="auto" w:fill="auto"/>
            <w:vAlign w:val="center"/>
            <w:hideMark/>
          </w:tcPr>
          <w:p w14:paraId="0FD52629" w14:textId="77777777" w:rsidR="00730C25" w:rsidRPr="00730C25" w:rsidRDefault="00730C25" w:rsidP="00730C25">
            <w:pPr>
              <w:rPr>
                <w:rFonts w:eastAsia="Times New Roman" w:cs="Calibri"/>
                <w:color w:val="404040"/>
              </w:rPr>
            </w:pPr>
            <w:r w:rsidRPr="00730C25">
              <w:rPr>
                <w:rFonts w:eastAsia="Times New Roman" w:cs="Calibri"/>
                <w:color w:val="404040"/>
              </w:rPr>
              <w:t>Unregistered job seekers (not registered for Centrelink or other government supports)</w:t>
            </w:r>
          </w:p>
        </w:tc>
      </w:tr>
      <w:tr w:rsidR="00730C25" w:rsidRPr="00730C25" w14:paraId="5ED30367" w14:textId="77777777" w:rsidTr="004976E1">
        <w:trPr>
          <w:cantSplit/>
          <w:trHeight w:val="921"/>
        </w:trPr>
        <w:tc>
          <w:tcPr>
            <w:tcW w:w="2607" w:type="dxa"/>
            <w:shd w:val="clear" w:color="auto" w:fill="auto"/>
            <w:vAlign w:val="center"/>
            <w:hideMark/>
          </w:tcPr>
          <w:p w14:paraId="657A390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1CE9D2E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Midwest</w:t>
            </w:r>
          </w:p>
        </w:tc>
        <w:tc>
          <w:tcPr>
            <w:tcW w:w="2996" w:type="dxa"/>
            <w:shd w:val="clear" w:color="auto" w:fill="auto"/>
            <w:vAlign w:val="center"/>
            <w:hideMark/>
          </w:tcPr>
          <w:p w14:paraId="514BAA59"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59FD377D" w14:textId="77777777" w:rsidTr="004976E1">
        <w:trPr>
          <w:cantSplit/>
          <w:trHeight w:val="3024"/>
        </w:trPr>
        <w:tc>
          <w:tcPr>
            <w:tcW w:w="2607" w:type="dxa"/>
            <w:shd w:val="clear" w:color="auto" w:fill="auto"/>
            <w:vAlign w:val="center"/>
            <w:hideMark/>
          </w:tcPr>
          <w:p w14:paraId="603675E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2456504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Midwest</w:t>
            </w:r>
          </w:p>
        </w:tc>
        <w:tc>
          <w:tcPr>
            <w:tcW w:w="2996" w:type="dxa"/>
            <w:shd w:val="clear" w:color="auto" w:fill="auto"/>
            <w:vAlign w:val="center"/>
            <w:hideMark/>
          </w:tcPr>
          <w:p w14:paraId="1E526519" w14:textId="77777777" w:rsidR="00730C25" w:rsidRPr="00730C25" w:rsidRDefault="00730C25" w:rsidP="00730C25">
            <w:pPr>
              <w:rPr>
                <w:rFonts w:eastAsia="Times New Roman" w:cs="Calibri"/>
                <w:color w:val="404040"/>
              </w:rPr>
            </w:pPr>
            <w:r w:rsidRPr="00730C25">
              <w:rPr>
                <w:rFonts w:eastAsia="Times New Roman" w:cs="Calibri"/>
                <w:color w:val="404040"/>
              </w:rPr>
              <w:t>Unregistered job seekers (not registered for Centrelink or other government supports)</w:t>
            </w:r>
          </w:p>
        </w:tc>
      </w:tr>
      <w:tr w:rsidR="00730C25" w:rsidRPr="00730C25" w14:paraId="75CCA798" w14:textId="77777777" w:rsidTr="004976E1">
        <w:trPr>
          <w:cantSplit/>
          <w:trHeight w:val="1221"/>
        </w:trPr>
        <w:tc>
          <w:tcPr>
            <w:tcW w:w="2607" w:type="dxa"/>
            <w:shd w:val="clear" w:color="auto" w:fill="auto"/>
            <w:vAlign w:val="center"/>
            <w:hideMark/>
          </w:tcPr>
          <w:p w14:paraId="6246943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48B1121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Southwest/Great Southern WA</w:t>
            </w:r>
          </w:p>
        </w:tc>
        <w:tc>
          <w:tcPr>
            <w:tcW w:w="2996" w:type="dxa"/>
            <w:shd w:val="clear" w:color="auto" w:fill="auto"/>
            <w:vAlign w:val="center"/>
            <w:hideMark/>
          </w:tcPr>
          <w:p w14:paraId="4C0EFB54"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1A7C8FBC" w14:textId="77777777" w:rsidTr="004976E1">
        <w:trPr>
          <w:cantSplit/>
          <w:trHeight w:val="1522"/>
        </w:trPr>
        <w:tc>
          <w:tcPr>
            <w:tcW w:w="2607" w:type="dxa"/>
            <w:shd w:val="clear" w:color="auto" w:fill="auto"/>
            <w:vAlign w:val="center"/>
            <w:hideMark/>
          </w:tcPr>
          <w:p w14:paraId="4746698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734A5A4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Southwest/Great Southern WA</w:t>
            </w:r>
          </w:p>
        </w:tc>
        <w:tc>
          <w:tcPr>
            <w:tcW w:w="2996" w:type="dxa"/>
            <w:shd w:val="clear" w:color="auto" w:fill="auto"/>
            <w:vAlign w:val="center"/>
            <w:hideMark/>
          </w:tcPr>
          <w:p w14:paraId="0676E6B0" w14:textId="77777777" w:rsidR="00730C25" w:rsidRPr="00730C25" w:rsidRDefault="00730C25" w:rsidP="00730C25">
            <w:pPr>
              <w:rPr>
                <w:rFonts w:eastAsia="Times New Roman" w:cs="Calibri"/>
                <w:color w:val="404040"/>
              </w:rPr>
            </w:pPr>
            <w:r w:rsidRPr="00730C25">
              <w:rPr>
                <w:rFonts w:eastAsia="Times New Roman" w:cs="Calibri"/>
                <w:color w:val="404040"/>
              </w:rPr>
              <w:t>Post release prisoners / criminal records</w:t>
            </w:r>
          </w:p>
        </w:tc>
      </w:tr>
      <w:tr w:rsidR="00730C25" w:rsidRPr="00730C25" w14:paraId="1AFF3128" w14:textId="77777777" w:rsidTr="004976E1">
        <w:trPr>
          <w:cantSplit/>
          <w:trHeight w:val="921"/>
        </w:trPr>
        <w:tc>
          <w:tcPr>
            <w:tcW w:w="2607" w:type="dxa"/>
            <w:shd w:val="clear" w:color="auto" w:fill="auto"/>
            <w:vAlign w:val="center"/>
            <w:hideMark/>
          </w:tcPr>
          <w:p w14:paraId="37A2CFB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Western Australia</w:t>
            </w:r>
          </w:p>
        </w:tc>
        <w:tc>
          <w:tcPr>
            <w:tcW w:w="3522" w:type="dxa"/>
            <w:shd w:val="clear" w:color="auto" w:fill="auto"/>
            <w:vAlign w:val="center"/>
            <w:hideMark/>
          </w:tcPr>
          <w:p w14:paraId="7C06ECE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Greater WA</w:t>
            </w:r>
          </w:p>
        </w:tc>
        <w:tc>
          <w:tcPr>
            <w:tcW w:w="2996" w:type="dxa"/>
            <w:shd w:val="clear" w:color="auto" w:fill="auto"/>
            <w:vAlign w:val="center"/>
            <w:hideMark/>
          </w:tcPr>
          <w:p w14:paraId="30BB42D2" w14:textId="77777777" w:rsidR="00730C25" w:rsidRPr="00730C25" w:rsidRDefault="00730C25" w:rsidP="00730C25">
            <w:pPr>
              <w:rPr>
                <w:rFonts w:eastAsia="Times New Roman" w:cs="Calibri"/>
                <w:color w:val="404040"/>
              </w:rPr>
            </w:pPr>
            <w:r w:rsidRPr="00730C25">
              <w:rPr>
                <w:rFonts w:eastAsia="Times New Roman" w:cs="Calibri"/>
                <w:color w:val="404040"/>
              </w:rPr>
              <w:t>Youth aged 15-24</w:t>
            </w:r>
          </w:p>
        </w:tc>
      </w:tr>
      <w:tr w:rsidR="00730C25" w:rsidRPr="00730C25" w14:paraId="3CD3DFCD" w14:textId="77777777" w:rsidTr="004976E1">
        <w:trPr>
          <w:cantSplit/>
          <w:trHeight w:val="620"/>
        </w:trPr>
        <w:tc>
          <w:tcPr>
            <w:tcW w:w="2607" w:type="dxa"/>
            <w:shd w:val="clear" w:color="auto" w:fill="auto"/>
            <w:vAlign w:val="center"/>
            <w:hideMark/>
          </w:tcPr>
          <w:p w14:paraId="4B0D8E3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Kimberley Region</w:t>
            </w:r>
          </w:p>
        </w:tc>
        <w:tc>
          <w:tcPr>
            <w:tcW w:w="3522" w:type="dxa"/>
            <w:shd w:val="clear" w:color="auto" w:fill="auto"/>
            <w:vAlign w:val="center"/>
            <w:hideMark/>
          </w:tcPr>
          <w:p w14:paraId="6215C725" w14:textId="77777777" w:rsidR="00730C25" w:rsidRPr="00730C25" w:rsidRDefault="00730C25" w:rsidP="00730C25">
            <w:pPr>
              <w:jc w:val="center"/>
              <w:rPr>
                <w:rFonts w:eastAsia="Times New Roman" w:cs="Calibri"/>
                <w:color w:val="404040"/>
              </w:rPr>
            </w:pPr>
            <w:r w:rsidRPr="00730C25">
              <w:rPr>
                <w:rFonts w:eastAsia="Times New Roman" w:cs="Calibri"/>
                <w:color w:val="404040"/>
              </w:rPr>
              <w:t>Derby</w:t>
            </w:r>
          </w:p>
        </w:tc>
        <w:tc>
          <w:tcPr>
            <w:tcW w:w="2996" w:type="dxa"/>
            <w:shd w:val="clear" w:color="auto" w:fill="auto"/>
            <w:vAlign w:val="center"/>
            <w:hideMark/>
          </w:tcPr>
          <w:p w14:paraId="7885B73F"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07F7A62B" w14:textId="77777777" w:rsidTr="004976E1">
        <w:trPr>
          <w:cantSplit/>
          <w:trHeight w:val="921"/>
        </w:trPr>
        <w:tc>
          <w:tcPr>
            <w:tcW w:w="2607" w:type="dxa"/>
            <w:shd w:val="clear" w:color="auto" w:fill="auto"/>
            <w:vAlign w:val="center"/>
            <w:hideMark/>
          </w:tcPr>
          <w:p w14:paraId="273D955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Kimberley Region</w:t>
            </w:r>
          </w:p>
        </w:tc>
        <w:tc>
          <w:tcPr>
            <w:tcW w:w="3522" w:type="dxa"/>
            <w:shd w:val="clear" w:color="auto" w:fill="auto"/>
            <w:vAlign w:val="center"/>
            <w:hideMark/>
          </w:tcPr>
          <w:p w14:paraId="0095EFB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Derby</w:t>
            </w:r>
          </w:p>
        </w:tc>
        <w:tc>
          <w:tcPr>
            <w:tcW w:w="2996" w:type="dxa"/>
            <w:shd w:val="clear" w:color="auto" w:fill="auto"/>
            <w:vAlign w:val="center"/>
            <w:hideMark/>
          </w:tcPr>
          <w:p w14:paraId="131AD8B0" w14:textId="77777777" w:rsidR="00730C25" w:rsidRPr="00730C25" w:rsidRDefault="00730C25" w:rsidP="00730C25">
            <w:pPr>
              <w:rPr>
                <w:rFonts w:eastAsia="Times New Roman" w:cs="Calibri"/>
                <w:color w:val="404040"/>
              </w:rPr>
            </w:pPr>
            <w:r w:rsidRPr="00730C25">
              <w:rPr>
                <w:rFonts w:eastAsia="Times New Roman" w:cs="Calibri"/>
                <w:color w:val="404040"/>
              </w:rPr>
              <w:t>Long-term unemployed</w:t>
            </w:r>
          </w:p>
        </w:tc>
      </w:tr>
      <w:tr w:rsidR="00730C25" w:rsidRPr="00730C25" w14:paraId="4551C428" w14:textId="77777777" w:rsidTr="004976E1">
        <w:trPr>
          <w:cantSplit/>
          <w:trHeight w:val="1822"/>
        </w:trPr>
        <w:tc>
          <w:tcPr>
            <w:tcW w:w="2607" w:type="dxa"/>
            <w:shd w:val="clear" w:color="auto" w:fill="auto"/>
            <w:vAlign w:val="center"/>
            <w:hideMark/>
          </w:tcPr>
          <w:p w14:paraId="42AE7083"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Kimberley Region</w:t>
            </w:r>
          </w:p>
        </w:tc>
        <w:tc>
          <w:tcPr>
            <w:tcW w:w="3522" w:type="dxa"/>
            <w:shd w:val="clear" w:color="auto" w:fill="auto"/>
            <w:vAlign w:val="center"/>
            <w:hideMark/>
          </w:tcPr>
          <w:p w14:paraId="391F2C3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Derby</w:t>
            </w:r>
          </w:p>
        </w:tc>
        <w:tc>
          <w:tcPr>
            <w:tcW w:w="2996" w:type="dxa"/>
            <w:shd w:val="clear" w:color="auto" w:fill="auto"/>
            <w:vAlign w:val="center"/>
            <w:hideMark/>
          </w:tcPr>
          <w:p w14:paraId="7BF01B3C" w14:textId="77777777" w:rsidR="00730C25" w:rsidRPr="00730C25" w:rsidRDefault="00730C25" w:rsidP="00730C25">
            <w:pPr>
              <w:rPr>
                <w:rFonts w:eastAsia="Times New Roman" w:cs="Calibri"/>
                <w:color w:val="404040"/>
              </w:rPr>
            </w:pPr>
            <w:r w:rsidRPr="00730C25">
              <w:rPr>
                <w:rFonts w:eastAsia="Times New Roman" w:cs="Calibri"/>
                <w:color w:val="404040"/>
              </w:rPr>
              <w:t>Post release prisoners / criminal record holders</w:t>
            </w:r>
          </w:p>
        </w:tc>
      </w:tr>
      <w:tr w:rsidR="00730C25" w:rsidRPr="00730C25" w14:paraId="36C0B65C" w14:textId="77777777" w:rsidTr="004976E1">
        <w:trPr>
          <w:cantSplit/>
          <w:trHeight w:val="620"/>
        </w:trPr>
        <w:tc>
          <w:tcPr>
            <w:tcW w:w="2607" w:type="dxa"/>
            <w:shd w:val="clear" w:color="auto" w:fill="auto"/>
            <w:vAlign w:val="center"/>
            <w:hideMark/>
          </w:tcPr>
          <w:p w14:paraId="6CDF1A0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Kimberley Region</w:t>
            </w:r>
          </w:p>
        </w:tc>
        <w:tc>
          <w:tcPr>
            <w:tcW w:w="3522" w:type="dxa"/>
            <w:shd w:val="clear" w:color="auto" w:fill="auto"/>
            <w:vAlign w:val="center"/>
            <w:hideMark/>
          </w:tcPr>
          <w:p w14:paraId="45F592A5" w14:textId="77777777" w:rsidR="00730C25" w:rsidRPr="00730C25" w:rsidRDefault="00730C25" w:rsidP="00730C25">
            <w:pPr>
              <w:jc w:val="center"/>
              <w:rPr>
                <w:rFonts w:eastAsia="Times New Roman" w:cs="Calibri"/>
                <w:color w:val="404040"/>
              </w:rPr>
            </w:pPr>
            <w:r w:rsidRPr="00730C25">
              <w:rPr>
                <w:rFonts w:eastAsia="Times New Roman" w:cs="Calibri"/>
                <w:color w:val="404040"/>
              </w:rPr>
              <w:t>Broome</w:t>
            </w:r>
          </w:p>
        </w:tc>
        <w:tc>
          <w:tcPr>
            <w:tcW w:w="2996" w:type="dxa"/>
            <w:shd w:val="clear" w:color="auto" w:fill="auto"/>
            <w:vAlign w:val="center"/>
            <w:hideMark/>
          </w:tcPr>
          <w:p w14:paraId="7907AE90"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674B12AF" w14:textId="77777777" w:rsidTr="004976E1">
        <w:trPr>
          <w:cantSplit/>
          <w:trHeight w:val="620"/>
        </w:trPr>
        <w:tc>
          <w:tcPr>
            <w:tcW w:w="2607" w:type="dxa"/>
            <w:shd w:val="clear" w:color="auto" w:fill="auto"/>
            <w:vAlign w:val="center"/>
            <w:hideMark/>
          </w:tcPr>
          <w:p w14:paraId="1A20BE9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Kimberley Region</w:t>
            </w:r>
          </w:p>
        </w:tc>
        <w:tc>
          <w:tcPr>
            <w:tcW w:w="3522" w:type="dxa"/>
            <w:shd w:val="clear" w:color="auto" w:fill="auto"/>
            <w:vAlign w:val="center"/>
            <w:hideMark/>
          </w:tcPr>
          <w:p w14:paraId="753B7DA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Kununurra</w:t>
            </w:r>
          </w:p>
        </w:tc>
        <w:tc>
          <w:tcPr>
            <w:tcW w:w="2996" w:type="dxa"/>
            <w:shd w:val="clear" w:color="auto" w:fill="auto"/>
            <w:vAlign w:val="center"/>
            <w:hideMark/>
          </w:tcPr>
          <w:p w14:paraId="0650DD6B"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6F303B09" w14:textId="77777777" w:rsidTr="004976E1">
        <w:trPr>
          <w:cantSplit/>
          <w:trHeight w:val="921"/>
        </w:trPr>
        <w:tc>
          <w:tcPr>
            <w:tcW w:w="2607" w:type="dxa"/>
            <w:shd w:val="clear" w:color="auto" w:fill="auto"/>
            <w:vAlign w:val="center"/>
            <w:hideMark/>
          </w:tcPr>
          <w:p w14:paraId="4618A1FC"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Kimberley Region</w:t>
            </w:r>
          </w:p>
        </w:tc>
        <w:tc>
          <w:tcPr>
            <w:tcW w:w="3522" w:type="dxa"/>
            <w:shd w:val="clear" w:color="auto" w:fill="auto"/>
            <w:vAlign w:val="center"/>
            <w:hideMark/>
          </w:tcPr>
          <w:p w14:paraId="3A0B154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Kununurra</w:t>
            </w:r>
          </w:p>
        </w:tc>
        <w:tc>
          <w:tcPr>
            <w:tcW w:w="2996" w:type="dxa"/>
            <w:shd w:val="clear" w:color="auto" w:fill="auto"/>
            <w:vAlign w:val="center"/>
            <w:hideMark/>
          </w:tcPr>
          <w:p w14:paraId="563CA26E" w14:textId="77777777" w:rsidR="00730C25" w:rsidRPr="00730C25" w:rsidRDefault="00730C25" w:rsidP="00730C25">
            <w:pPr>
              <w:rPr>
                <w:rFonts w:eastAsia="Times New Roman" w:cs="Calibri"/>
                <w:color w:val="404040"/>
              </w:rPr>
            </w:pPr>
            <w:r w:rsidRPr="00730C25">
              <w:rPr>
                <w:rFonts w:eastAsia="Times New Roman" w:cs="Calibri"/>
                <w:color w:val="404040"/>
              </w:rPr>
              <w:t>Long-term unemployed</w:t>
            </w:r>
          </w:p>
        </w:tc>
      </w:tr>
      <w:tr w:rsidR="00730C25" w:rsidRPr="00730C25" w14:paraId="4445018F" w14:textId="77777777" w:rsidTr="004976E1">
        <w:trPr>
          <w:cantSplit/>
          <w:trHeight w:val="620"/>
        </w:trPr>
        <w:tc>
          <w:tcPr>
            <w:tcW w:w="2607" w:type="dxa"/>
            <w:shd w:val="clear" w:color="auto" w:fill="auto"/>
            <w:vAlign w:val="center"/>
            <w:hideMark/>
          </w:tcPr>
          <w:p w14:paraId="2855C9B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Kimberley Region</w:t>
            </w:r>
          </w:p>
        </w:tc>
        <w:tc>
          <w:tcPr>
            <w:tcW w:w="3522" w:type="dxa"/>
            <w:shd w:val="clear" w:color="auto" w:fill="auto"/>
            <w:vAlign w:val="center"/>
            <w:hideMark/>
          </w:tcPr>
          <w:p w14:paraId="7E29796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Kununurra</w:t>
            </w:r>
          </w:p>
        </w:tc>
        <w:tc>
          <w:tcPr>
            <w:tcW w:w="2996" w:type="dxa"/>
            <w:shd w:val="clear" w:color="auto" w:fill="auto"/>
            <w:vAlign w:val="center"/>
            <w:hideMark/>
          </w:tcPr>
          <w:p w14:paraId="18245106" w14:textId="77777777" w:rsidR="00730C25" w:rsidRPr="00730C25" w:rsidRDefault="00730C25" w:rsidP="00730C25">
            <w:pPr>
              <w:rPr>
                <w:rFonts w:eastAsia="Times New Roman" w:cs="Calibri"/>
                <w:color w:val="404040"/>
              </w:rPr>
            </w:pPr>
            <w:r w:rsidRPr="00730C25">
              <w:rPr>
                <w:rFonts w:eastAsia="Times New Roman" w:cs="Calibri"/>
                <w:color w:val="404040"/>
              </w:rPr>
              <w:t xml:space="preserve">Women </w:t>
            </w:r>
          </w:p>
        </w:tc>
      </w:tr>
      <w:tr w:rsidR="00730C25" w:rsidRPr="00730C25" w14:paraId="48A320C3" w14:textId="77777777" w:rsidTr="004976E1">
        <w:trPr>
          <w:cantSplit/>
          <w:trHeight w:val="921"/>
        </w:trPr>
        <w:tc>
          <w:tcPr>
            <w:tcW w:w="2607" w:type="dxa"/>
            <w:shd w:val="clear" w:color="auto" w:fill="auto"/>
            <w:vAlign w:val="center"/>
            <w:hideMark/>
          </w:tcPr>
          <w:p w14:paraId="2659B58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5A94AE3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Brisbane</w:t>
            </w:r>
          </w:p>
        </w:tc>
        <w:tc>
          <w:tcPr>
            <w:tcW w:w="2996" w:type="dxa"/>
            <w:shd w:val="clear" w:color="auto" w:fill="auto"/>
            <w:vAlign w:val="center"/>
            <w:hideMark/>
          </w:tcPr>
          <w:p w14:paraId="14EC4F19"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4ACCA9D4" w14:textId="77777777" w:rsidTr="004976E1">
        <w:trPr>
          <w:cantSplit/>
          <w:trHeight w:val="921"/>
        </w:trPr>
        <w:tc>
          <w:tcPr>
            <w:tcW w:w="2607" w:type="dxa"/>
            <w:shd w:val="clear" w:color="auto" w:fill="auto"/>
            <w:vAlign w:val="center"/>
            <w:hideMark/>
          </w:tcPr>
          <w:p w14:paraId="352CB8E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0FBE242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Brisbane</w:t>
            </w:r>
          </w:p>
        </w:tc>
        <w:tc>
          <w:tcPr>
            <w:tcW w:w="2996" w:type="dxa"/>
            <w:shd w:val="clear" w:color="auto" w:fill="auto"/>
            <w:vAlign w:val="center"/>
            <w:hideMark/>
          </w:tcPr>
          <w:p w14:paraId="0C7DA26B" w14:textId="77777777" w:rsidR="00730C25" w:rsidRPr="00730C25" w:rsidRDefault="00730C25" w:rsidP="00730C25">
            <w:pPr>
              <w:rPr>
                <w:rFonts w:eastAsia="Times New Roman" w:cs="Calibri"/>
                <w:color w:val="404040"/>
              </w:rPr>
            </w:pPr>
            <w:r w:rsidRPr="00730C25">
              <w:rPr>
                <w:rFonts w:eastAsia="Times New Roman" w:cs="Calibri"/>
                <w:color w:val="404040"/>
              </w:rPr>
              <w:t>Rural and remote job seekers</w:t>
            </w:r>
          </w:p>
        </w:tc>
      </w:tr>
      <w:tr w:rsidR="00730C25" w:rsidRPr="00730C25" w14:paraId="0CD3984D" w14:textId="77777777" w:rsidTr="004976E1">
        <w:trPr>
          <w:cantSplit/>
          <w:trHeight w:val="921"/>
        </w:trPr>
        <w:tc>
          <w:tcPr>
            <w:tcW w:w="2607" w:type="dxa"/>
            <w:shd w:val="clear" w:color="auto" w:fill="auto"/>
            <w:vAlign w:val="center"/>
            <w:hideMark/>
          </w:tcPr>
          <w:p w14:paraId="289C046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0460D95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Toowoomba</w:t>
            </w:r>
          </w:p>
        </w:tc>
        <w:tc>
          <w:tcPr>
            <w:tcW w:w="2996" w:type="dxa"/>
            <w:shd w:val="clear" w:color="auto" w:fill="auto"/>
            <w:vAlign w:val="center"/>
            <w:hideMark/>
          </w:tcPr>
          <w:p w14:paraId="127E2810" w14:textId="77777777" w:rsidR="00730C25" w:rsidRPr="00730C25" w:rsidRDefault="00730C25" w:rsidP="00730C25">
            <w:pPr>
              <w:rPr>
                <w:rFonts w:eastAsia="Times New Roman" w:cs="Calibri"/>
                <w:color w:val="404040"/>
              </w:rPr>
            </w:pPr>
            <w:r w:rsidRPr="00730C25">
              <w:rPr>
                <w:rFonts w:eastAsia="Times New Roman" w:cs="Calibri"/>
                <w:color w:val="404040"/>
              </w:rPr>
              <w:t>25 to 44 age group.</w:t>
            </w:r>
          </w:p>
        </w:tc>
      </w:tr>
      <w:tr w:rsidR="00730C25" w:rsidRPr="00730C25" w14:paraId="61DACDD5" w14:textId="77777777" w:rsidTr="004976E1">
        <w:trPr>
          <w:cantSplit/>
          <w:trHeight w:val="921"/>
        </w:trPr>
        <w:tc>
          <w:tcPr>
            <w:tcW w:w="2607" w:type="dxa"/>
            <w:shd w:val="clear" w:color="auto" w:fill="auto"/>
            <w:vAlign w:val="center"/>
            <w:hideMark/>
          </w:tcPr>
          <w:p w14:paraId="2C867513"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3D462F1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Rockhampton</w:t>
            </w:r>
          </w:p>
        </w:tc>
        <w:tc>
          <w:tcPr>
            <w:tcW w:w="2996" w:type="dxa"/>
            <w:shd w:val="clear" w:color="auto" w:fill="auto"/>
            <w:vAlign w:val="center"/>
            <w:hideMark/>
          </w:tcPr>
          <w:p w14:paraId="488999B7"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2C67EC3A" w14:textId="77777777" w:rsidTr="004976E1">
        <w:trPr>
          <w:cantSplit/>
          <w:trHeight w:val="921"/>
        </w:trPr>
        <w:tc>
          <w:tcPr>
            <w:tcW w:w="2607" w:type="dxa"/>
            <w:shd w:val="clear" w:color="auto" w:fill="auto"/>
            <w:vAlign w:val="center"/>
            <w:hideMark/>
          </w:tcPr>
          <w:p w14:paraId="221741B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7141D5E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Rockhampton</w:t>
            </w:r>
          </w:p>
        </w:tc>
        <w:tc>
          <w:tcPr>
            <w:tcW w:w="2996" w:type="dxa"/>
            <w:shd w:val="clear" w:color="auto" w:fill="auto"/>
            <w:vAlign w:val="center"/>
            <w:hideMark/>
          </w:tcPr>
          <w:p w14:paraId="05B92FB5"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2DEC4F63" w14:textId="77777777" w:rsidTr="004976E1">
        <w:trPr>
          <w:cantSplit/>
          <w:trHeight w:val="921"/>
        </w:trPr>
        <w:tc>
          <w:tcPr>
            <w:tcW w:w="2607" w:type="dxa"/>
            <w:shd w:val="clear" w:color="auto" w:fill="auto"/>
            <w:vAlign w:val="center"/>
            <w:hideMark/>
          </w:tcPr>
          <w:p w14:paraId="29DE2CC3"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4B67F773" w14:textId="77777777" w:rsidR="00730C25" w:rsidRPr="00730C25" w:rsidRDefault="00730C25" w:rsidP="00730C25">
            <w:pPr>
              <w:jc w:val="center"/>
              <w:rPr>
                <w:rFonts w:eastAsia="Times New Roman" w:cs="Calibri"/>
                <w:color w:val="404040"/>
              </w:rPr>
            </w:pPr>
            <w:r w:rsidRPr="00730C25">
              <w:rPr>
                <w:rFonts w:eastAsia="Times New Roman" w:cs="Calibri"/>
                <w:color w:val="404040"/>
              </w:rPr>
              <w:t>Rockhampton</w:t>
            </w:r>
          </w:p>
        </w:tc>
        <w:tc>
          <w:tcPr>
            <w:tcW w:w="2996" w:type="dxa"/>
            <w:shd w:val="clear" w:color="auto" w:fill="auto"/>
            <w:vAlign w:val="center"/>
            <w:hideMark/>
          </w:tcPr>
          <w:p w14:paraId="6E8CE2F9" w14:textId="77777777" w:rsidR="00730C25" w:rsidRPr="00730C25" w:rsidRDefault="00730C25" w:rsidP="00730C25">
            <w:pPr>
              <w:rPr>
                <w:rFonts w:eastAsia="Times New Roman" w:cs="Calibri"/>
                <w:color w:val="404040"/>
              </w:rPr>
            </w:pPr>
            <w:r w:rsidRPr="00730C25">
              <w:rPr>
                <w:rFonts w:eastAsia="Times New Roman" w:cs="Calibri"/>
                <w:color w:val="404040"/>
              </w:rPr>
              <w:t>Mature-aged workers</w:t>
            </w:r>
          </w:p>
        </w:tc>
      </w:tr>
      <w:tr w:rsidR="00730C25" w:rsidRPr="00730C25" w14:paraId="557B778F" w14:textId="77777777" w:rsidTr="004976E1">
        <w:trPr>
          <w:cantSplit/>
          <w:trHeight w:val="921"/>
        </w:trPr>
        <w:tc>
          <w:tcPr>
            <w:tcW w:w="2607" w:type="dxa"/>
            <w:shd w:val="clear" w:color="auto" w:fill="auto"/>
            <w:vAlign w:val="center"/>
            <w:hideMark/>
          </w:tcPr>
          <w:p w14:paraId="5DAE563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042E603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Rockhampton</w:t>
            </w:r>
          </w:p>
        </w:tc>
        <w:tc>
          <w:tcPr>
            <w:tcW w:w="2996" w:type="dxa"/>
            <w:shd w:val="clear" w:color="auto" w:fill="auto"/>
            <w:vAlign w:val="center"/>
            <w:hideMark/>
          </w:tcPr>
          <w:p w14:paraId="022EB8FD" w14:textId="77777777" w:rsidR="00730C25" w:rsidRPr="00730C25" w:rsidRDefault="00730C25" w:rsidP="00730C25">
            <w:pPr>
              <w:rPr>
                <w:rFonts w:eastAsia="Times New Roman" w:cs="Calibri"/>
                <w:color w:val="404040"/>
              </w:rPr>
            </w:pPr>
            <w:r w:rsidRPr="00730C25">
              <w:rPr>
                <w:rFonts w:eastAsia="Times New Roman" w:cs="Calibri"/>
                <w:color w:val="404040"/>
              </w:rPr>
              <w:t>People with a disability</w:t>
            </w:r>
          </w:p>
        </w:tc>
      </w:tr>
      <w:tr w:rsidR="00730C25" w:rsidRPr="00730C25" w14:paraId="3AE63B87" w14:textId="77777777" w:rsidTr="004976E1">
        <w:trPr>
          <w:cantSplit/>
          <w:trHeight w:val="921"/>
        </w:trPr>
        <w:tc>
          <w:tcPr>
            <w:tcW w:w="2607" w:type="dxa"/>
            <w:shd w:val="clear" w:color="auto" w:fill="auto"/>
            <w:vAlign w:val="center"/>
            <w:hideMark/>
          </w:tcPr>
          <w:p w14:paraId="7CA684E3"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1B44E47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Rockhampton</w:t>
            </w:r>
          </w:p>
        </w:tc>
        <w:tc>
          <w:tcPr>
            <w:tcW w:w="2996" w:type="dxa"/>
            <w:shd w:val="clear" w:color="auto" w:fill="auto"/>
            <w:vAlign w:val="center"/>
            <w:hideMark/>
          </w:tcPr>
          <w:p w14:paraId="3CFC6CC9" w14:textId="77777777" w:rsidR="00730C25" w:rsidRPr="00730C25" w:rsidRDefault="00730C25" w:rsidP="00730C25">
            <w:pPr>
              <w:rPr>
                <w:rFonts w:eastAsia="Times New Roman" w:cs="Calibri"/>
                <w:color w:val="404040"/>
              </w:rPr>
            </w:pPr>
            <w:r w:rsidRPr="00730C25">
              <w:rPr>
                <w:rFonts w:eastAsia="Times New Roman" w:cs="Calibri"/>
                <w:color w:val="404040"/>
              </w:rPr>
              <w:t>Long-term unemployed</w:t>
            </w:r>
          </w:p>
        </w:tc>
      </w:tr>
      <w:tr w:rsidR="00730C25" w:rsidRPr="00730C25" w14:paraId="4CF4DA26" w14:textId="77777777" w:rsidTr="004976E1">
        <w:trPr>
          <w:cantSplit/>
          <w:trHeight w:val="1822"/>
        </w:trPr>
        <w:tc>
          <w:tcPr>
            <w:tcW w:w="2607" w:type="dxa"/>
            <w:shd w:val="clear" w:color="auto" w:fill="auto"/>
            <w:vAlign w:val="center"/>
            <w:hideMark/>
          </w:tcPr>
          <w:p w14:paraId="2D86821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1C3949E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Rockhampton</w:t>
            </w:r>
          </w:p>
        </w:tc>
        <w:tc>
          <w:tcPr>
            <w:tcW w:w="2996" w:type="dxa"/>
            <w:shd w:val="clear" w:color="auto" w:fill="auto"/>
            <w:vAlign w:val="center"/>
            <w:hideMark/>
          </w:tcPr>
          <w:p w14:paraId="5CD405F1" w14:textId="77777777" w:rsidR="00730C25" w:rsidRPr="00730C25" w:rsidRDefault="00730C25" w:rsidP="00730C25">
            <w:pPr>
              <w:rPr>
                <w:rFonts w:eastAsia="Times New Roman" w:cs="Calibri"/>
                <w:color w:val="404040"/>
              </w:rPr>
            </w:pPr>
            <w:r w:rsidRPr="00730C25">
              <w:rPr>
                <w:rFonts w:eastAsia="Times New Roman" w:cs="Calibri"/>
                <w:color w:val="404040"/>
              </w:rPr>
              <w:t>Post release prisoners / criminal record holders</w:t>
            </w:r>
          </w:p>
        </w:tc>
      </w:tr>
      <w:tr w:rsidR="00730C25" w:rsidRPr="00730C25" w14:paraId="323386CB" w14:textId="77777777" w:rsidTr="004976E1">
        <w:trPr>
          <w:cantSplit/>
          <w:trHeight w:val="921"/>
        </w:trPr>
        <w:tc>
          <w:tcPr>
            <w:tcW w:w="2607" w:type="dxa"/>
            <w:shd w:val="clear" w:color="auto" w:fill="auto"/>
            <w:vAlign w:val="center"/>
            <w:hideMark/>
          </w:tcPr>
          <w:p w14:paraId="6861B75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07C3BF7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Woorabinda</w:t>
            </w:r>
          </w:p>
        </w:tc>
        <w:tc>
          <w:tcPr>
            <w:tcW w:w="2996" w:type="dxa"/>
            <w:shd w:val="clear" w:color="auto" w:fill="auto"/>
            <w:vAlign w:val="center"/>
            <w:hideMark/>
          </w:tcPr>
          <w:p w14:paraId="7B95859B"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31DBA925" w14:textId="77777777" w:rsidTr="004976E1">
        <w:trPr>
          <w:cantSplit/>
          <w:trHeight w:val="921"/>
        </w:trPr>
        <w:tc>
          <w:tcPr>
            <w:tcW w:w="2607" w:type="dxa"/>
            <w:shd w:val="clear" w:color="auto" w:fill="auto"/>
            <w:vAlign w:val="center"/>
            <w:hideMark/>
          </w:tcPr>
          <w:p w14:paraId="7DC6DA6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50B5BE9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Woorabinda</w:t>
            </w:r>
          </w:p>
        </w:tc>
        <w:tc>
          <w:tcPr>
            <w:tcW w:w="2996" w:type="dxa"/>
            <w:shd w:val="clear" w:color="auto" w:fill="auto"/>
            <w:vAlign w:val="center"/>
            <w:hideMark/>
          </w:tcPr>
          <w:p w14:paraId="675E9088"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6DA7025C" w14:textId="77777777" w:rsidTr="004976E1">
        <w:trPr>
          <w:cantSplit/>
          <w:trHeight w:val="921"/>
        </w:trPr>
        <w:tc>
          <w:tcPr>
            <w:tcW w:w="2607" w:type="dxa"/>
            <w:shd w:val="clear" w:color="auto" w:fill="auto"/>
            <w:vAlign w:val="center"/>
            <w:hideMark/>
          </w:tcPr>
          <w:p w14:paraId="52F4ADF5"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Queensland Region</w:t>
            </w:r>
          </w:p>
        </w:tc>
        <w:tc>
          <w:tcPr>
            <w:tcW w:w="3522" w:type="dxa"/>
            <w:shd w:val="clear" w:color="auto" w:fill="auto"/>
            <w:vAlign w:val="center"/>
            <w:hideMark/>
          </w:tcPr>
          <w:p w14:paraId="0FC26EB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Woorabinda</w:t>
            </w:r>
          </w:p>
        </w:tc>
        <w:tc>
          <w:tcPr>
            <w:tcW w:w="2996" w:type="dxa"/>
            <w:shd w:val="clear" w:color="auto" w:fill="auto"/>
            <w:vAlign w:val="center"/>
            <w:hideMark/>
          </w:tcPr>
          <w:p w14:paraId="311E2CBC" w14:textId="77777777" w:rsidR="00730C25" w:rsidRPr="00730C25" w:rsidRDefault="00730C25" w:rsidP="00730C25">
            <w:pPr>
              <w:rPr>
                <w:rFonts w:eastAsia="Times New Roman" w:cs="Calibri"/>
                <w:color w:val="404040"/>
              </w:rPr>
            </w:pPr>
            <w:r w:rsidRPr="00730C25">
              <w:rPr>
                <w:rFonts w:eastAsia="Times New Roman" w:cs="Calibri"/>
                <w:color w:val="404040"/>
              </w:rPr>
              <w:t>Mothers</w:t>
            </w:r>
          </w:p>
        </w:tc>
      </w:tr>
      <w:tr w:rsidR="00730C25" w:rsidRPr="00730C25" w14:paraId="77921244" w14:textId="77777777" w:rsidTr="004976E1">
        <w:trPr>
          <w:cantSplit/>
          <w:trHeight w:val="921"/>
        </w:trPr>
        <w:tc>
          <w:tcPr>
            <w:tcW w:w="2607" w:type="dxa"/>
            <w:shd w:val="clear" w:color="auto" w:fill="auto"/>
            <w:vAlign w:val="center"/>
            <w:hideMark/>
          </w:tcPr>
          <w:p w14:paraId="3B126A0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4C794F1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 xml:space="preserve">Cairns </w:t>
            </w:r>
          </w:p>
        </w:tc>
        <w:tc>
          <w:tcPr>
            <w:tcW w:w="2996" w:type="dxa"/>
            <w:shd w:val="clear" w:color="auto" w:fill="auto"/>
            <w:vAlign w:val="center"/>
            <w:hideMark/>
          </w:tcPr>
          <w:p w14:paraId="64DC6EC3"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69C3E9C3" w14:textId="77777777" w:rsidTr="004976E1">
        <w:trPr>
          <w:cantSplit/>
          <w:trHeight w:val="921"/>
        </w:trPr>
        <w:tc>
          <w:tcPr>
            <w:tcW w:w="2607" w:type="dxa"/>
            <w:shd w:val="clear" w:color="auto" w:fill="auto"/>
            <w:vAlign w:val="center"/>
            <w:hideMark/>
          </w:tcPr>
          <w:p w14:paraId="39D3BC5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0AECC5A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 xml:space="preserve">Cairns </w:t>
            </w:r>
          </w:p>
        </w:tc>
        <w:tc>
          <w:tcPr>
            <w:tcW w:w="2996" w:type="dxa"/>
            <w:shd w:val="clear" w:color="auto" w:fill="auto"/>
            <w:vAlign w:val="center"/>
            <w:hideMark/>
          </w:tcPr>
          <w:p w14:paraId="386730B2" w14:textId="77777777" w:rsidR="00730C25" w:rsidRPr="00730C25" w:rsidRDefault="00730C25" w:rsidP="00730C25">
            <w:pPr>
              <w:rPr>
                <w:rFonts w:eastAsia="Times New Roman" w:cs="Calibri"/>
                <w:color w:val="404040"/>
              </w:rPr>
            </w:pPr>
            <w:r w:rsidRPr="00730C25">
              <w:rPr>
                <w:rFonts w:eastAsia="Times New Roman" w:cs="Calibri"/>
                <w:color w:val="404040"/>
              </w:rPr>
              <w:t>Young Mothers</w:t>
            </w:r>
          </w:p>
        </w:tc>
      </w:tr>
      <w:tr w:rsidR="00730C25" w:rsidRPr="00730C25" w14:paraId="134F704A" w14:textId="77777777" w:rsidTr="004976E1">
        <w:trPr>
          <w:cantSplit/>
          <w:trHeight w:val="921"/>
        </w:trPr>
        <w:tc>
          <w:tcPr>
            <w:tcW w:w="2607" w:type="dxa"/>
            <w:shd w:val="clear" w:color="auto" w:fill="auto"/>
            <w:vAlign w:val="center"/>
            <w:hideMark/>
          </w:tcPr>
          <w:p w14:paraId="1BEBDA8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422B03B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 xml:space="preserve">Cairns </w:t>
            </w:r>
          </w:p>
        </w:tc>
        <w:tc>
          <w:tcPr>
            <w:tcW w:w="2996" w:type="dxa"/>
            <w:shd w:val="clear" w:color="auto" w:fill="auto"/>
            <w:vAlign w:val="center"/>
            <w:hideMark/>
          </w:tcPr>
          <w:p w14:paraId="073B91A7"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6E6E09EB" w14:textId="77777777" w:rsidTr="004976E1">
        <w:trPr>
          <w:cantSplit/>
          <w:trHeight w:val="921"/>
        </w:trPr>
        <w:tc>
          <w:tcPr>
            <w:tcW w:w="2607" w:type="dxa"/>
            <w:shd w:val="clear" w:color="auto" w:fill="auto"/>
            <w:vAlign w:val="center"/>
            <w:hideMark/>
          </w:tcPr>
          <w:p w14:paraId="69937855"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597C509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 xml:space="preserve">Cairns </w:t>
            </w:r>
          </w:p>
        </w:tc>
        <w:tc>
          <w:tcPr>
            <w:tcW w:w="2996" w:type="dxa"/>
            <w:shd w:val="clear" w:color="auto" w:fill="auto"/>
            <w:vAlign w:val="center"/>
            <w:hideMark/>
          </w:tcPr>
          <w:p w14:paraId="112C6010" w14:textId="77777777" w:rsidR="00730C25" w:rsidRPr="00730C25" w:rsidRDefault="00730C25" w:rsidP="00730C25">
            <w:pPr>
              <w:rPr>
                <w:rFonts w:eastAsia="Times New Roman" w:cs="Calibri"/>
                <w:color w:val="404040"/>
              </w:rPr>
            </w:pPr>
            <w:r w:rsidRPr="00730C25">
              <w:rPr>
                <w:rFonts w:eastAsia="Times New Roman" w:cs="Calibri"/>
                <w:color w:val="404040"/>
              </w:rPr>
              <w:t>People without a fixed home</w:t>
            </w:r>
          </w:p>
        </w:tc>
      </w:tr>
      <w:tr w:rsidR="00730C25" w:rsidRPr="00730C25" w14:paraId="05245E08" w14:textId="77777777" w:rsidTr="004976E1">
        <w:trPr>
          <w:cantSplit/>
          <w:trHeight w:val="921"/>
        </w:trPr>
        <w:tc>
          <w:tcPr>
            <w:tcW w:w="2607" w:type="dxa"/>
            <w:shd w:val="clear" w:color="auto" w:fill="auto"/>
            <w:vAlign w:val="center"/>
            <w:hideMark/>
          </w:tcPr>
          <w:p w14:paraId="0E7F80D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4C7EBDB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 xml:space="preserve">Cairns </w:t>
            </w:r>
          </w:p>
        </w:tc>
        <w:tc>
          <w:tcPr>
            <w:tcW w:w="2996" w:type="dxa"/>
            <w:shd w:val="clear" w:color="auto" w:fill="auto"/>
            <w:vAlign w:val="center"/>
            <w:hideMark/>
          </w:tcPr>
          <w:p w14:paraId="35407710" w14:textId="77777777" w:rsidR="00730C25" w:rsidRPr="00730C25" w:rsidRDefault="00730C25" w:rsidP="00730C25">
            <w:pPr>
              <w:rPr>
                <w:rFonts w:eastAsia="Times New Roman" w:cs="Calibri"/>
                <w:color w:val="404040"/>
              </w:rPr>
            </w:pPr>
            <w:r w:rsidRPr="00730C25">
              <w:rPr>
                <w:rFonts w:eastAsia="Times New Roman" w:cs="Calibri"/>
                <w:color w:val="404040"/>
              </w:rPr>
              <w:t>People with a disability</w:t>
            </w:r>
          </w:p>
        </w:tc>
      </w:tr>
      <w:tr w:rsidR="00730C25" w:rsidRPr="00730C25" w14:paraId="6CD44314" w14:textId="77777777" w:rsidTr="004976E1">
        <w:trPr>
          <w:cantSplit/>
          <w:trHeight w:val="921"/>
        </w:trPr>
        <w:tc>
          <w:tcPr>
            <w:tcW w:w="2607" w:type="dxa"/>
            <w:shd w:val="clear" w:color="auto" w:fill="auto"/>
            <w:vAlign w:val="center"/>
            <w:hideMark/>
          </w:tcPr>
          <w:p w14:paraId="5F381BB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068D22C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Mt Isa</w:t>
            </w:r>
          </w:p>
        </w:tc>
        <w:tc>
          <w:tcPr>
            <w:tcW w:w="2996" w:type="dxa"/>
            <w:shd w:val="clear" w:color="auto" w:fill="auto"/>
            <w:vAlign w:val="center"/>
            <w:hideMark/>
          </w:tcPr>
          <w:p w14:paraId="6F7B6B67"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657BA2C6" w14:textId="77777777" w:rsidTr="004976E1">
        <w:trPr>
          <w:cantSplit/>
          <w:trHeight w:val="921"/>
        </w:trPr>
        <w:tc>
          <w:tcPr>
            <w:tcW w:w="2607" w:type="dxa"/>
            <w:shd w:val="clear" w:color="auto" w:fill="auto"/>
            <w:vAlign w:val="center"/>
            <w:hideMark/>
          </w:tcPr>
          <w:p w14:paraId="261E4F6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73D9D77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Mt Isa</w:t>
            </w:r>
          </w:p>
        </w:tc>
        <w:tc>
          <w:tcPr>
            <w:tcW w:w="2996" w:type="dxa"/>
            <w:shd w:val="clear" w:color="auto" w:fill="auto"/>
            <w:vAlign w:val="center"/>
            <w:hideMark/>
          </w:tcPr>
          <w:p w14:paraId="072D073F"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366F8EA2" w14:textId="77777777" w:rsidTr="004976E1">
        <w:trPr>
          <w:cantSplit/>
          <w:trHeight w:val="921"/>
        </w:trPr>
        <w:tc>
          <w:tcPr>
            <w:tcW w:w="2607" w:type="dxa"/>
            <w:shd w:val="clear" w:color="auto" w:fill="auto"/>
            <w:vAlign w:val="center"/>
            <w:hideMark/>
          </w:tcPr>
          <w:p w14:paraId="53206A2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1D96684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Mt Isa</w:t>
            </w:r>
          </w:p>
        </w:tc>
        <w:tc>
          <w:tcPr>
            <w:tcW w:w="2996" w:type="dxa"/>
            <w:shd w:val="clear" w:color="auto" w:fill="auto"/>
            <w:vAlign w:val="center"/>
            <w:hideMark/>
          </w:tcPr>
          <w:p w14:paraId="2E2AAE5A" w14:textId="77777777" w:rsidR="00730C25" w:rsidRPr="00730C25" w:rsidRDefault="00730C25" w:rsidP="00730C25">
            <w:pPr>
              <w:rPr>
                <w:rFonts w:eastAsia="Times New Roman" w:cs="Calibri"/>
                <w:color w:val="404040"/>
              </w:rPr>
            </w:pPr>
            <w:r w:rsidRPr="00730C25">
              <w:rPr>
                <w:rFonts w:eastAsia="Times New Roman" w:cs="Calibri"/>
                <w:color w:val="404040"/>
              </w:rPr>
              <w:t xml:space="preserve">Young women </w:t>
            </w:r>
          </w:p>
        </w:tc>
      </w:tr>
      <w:tr w:rsidR="00730C25" w:rsidRPr="00730C25" w14:paraId="5A2B97BF" w14:textId="77777777" w:rsidTr="004976E1">
        <w:trPr>
          <w:cantSplit/>
          <w:trHeight w:val="921"/>
        </w:trPr>
        <w:tc>
          <w:tcPr>
            <w:tcW w:w="2607" w:type="dxa"/>
            <w:shd w:val="clear" w:color="auto" w:fill="auto"/>
            <w:vAlign w:val="center"/>
            <w:hideMark/>
          </w:tcPr>
          <w:p w14:paraId="70BFB1D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05159E6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Mt Isa</w:t>
            </w:r>
          </w:p>
        </w:tc>
        <w:tc>
          <w:tcPr>
            <w:tcW w:w="2996" w:type="dxa"/>
            <w:shd w:val="clear" w:color="auto" w:fill="auto"/>
            <w:vAlign w:val="center"/>
            <w:hideMark/>
          </w:tcPr>
          <w:p w14:paraId="2969C808" w14:textId="77777777" w:rsidR="00730C25" w:rsidRPr="00730C25" w:rsidRDefault="00730C25" w:rsidP="00730C25">
            <w:pPr>
              <w:rPr>
                <w:rFonts w:eastAsia="Times New Roman" w:cs="Calibri"/>
                <w:color w:val="404040"/>
              </w:rPr>
            </w:pPr>
            <w:r w:rsidRPr="00730C25">
              <w:rPr>
                <w:rFonts w:eastAsia="Times New Roman" w:cs="Calibri"/>
                <w:color w:val="404040"/>
              </w:rPr>
              <w:t>Young parents</w:t>
            </w:r>
          </w:p>
        </w:tc>
      </w:tr>
      <w:tr w:rsidR="00730C25" w:rsidRPr="00730C25" w14:paraId="2DF623D5" w14:textId="77777777" w:rsidTr="004976E1">
        <w:trPr>
          <w:cantSplit/>
          <w:trHeight w:val="1522"/>
        </w:trPr>
        <w:tc>
          <w:tcPr>
            <w:tcW w:w="2607" w:type="dxa"/>
            <w:shd w:val="clear" w:color="auto" w:fill="auto"/>
            <w:vAlign w:val="center"/>
            <w:hideMark/>
          </w:tcPr>
          <w:p w14:paraId="5569671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47A5662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Mt Isa</w:t>
            </w:r>
          </w:p>
        </w:tc>
        <w:tc>
          <w:tcPr>
            <w:tcW w:w="2996" w:type="dxa"/>
            <w:shd w:val="clear" w:color="auto" w:fill="auto"/>
            <w:vAlign w:val="center"/>
            <w:hideMark/>
          </w:tcPr>
          <w:p w14:paraId="2F4CBCDD" w14:textId="77777777" w:rsidR="00730C25" w:rsidRPr="00730C25" w:rsidRDefault="00730C25" w:rsidP="00730C25">
            <w:pPr>
              <w:rPr>
                <w:rFonts w:eastAsia="Times New Roman" w:cs="Calibri"/>
                <w:color w:val="404040"/>
              </w:rPr>
            </w:pPr>
            <w:r w:rsidRPr="00730C25">
              <w:rPr>
                <w:rFonts w:eastAsia="Times New Roman" w:cs="Calibri"/>
                <w:color w:val="404040"/>
              </w:rPr>
              <w:t>Older job seekers wanting to change career</w:t>
            </w:r>
          </w:p>
        </w:tc>
      </w:tr>
      <w:tr w:rsidR="00730C25" w:rsidRPr="00730C25" w14:paraId="270034CA" w14:textId="77777777" w:rsidTr="004976E1">
        <w:trPr>
          <w:cantSplit/>
          <w:trHeight w:val="921"/>
        </w:trPr>
        <w:tc>
          <w:tcPr>
            <w:tcW w:w="2607" w:type="dxa"/>
            <w:shd w:val="clear" w:color="auto" w:fill="auto"/>
            <w:vAlign w:val="center"/>
            <w:hideMark/>
          </w:tcPr>
          <w:p w14:paraId="56C9690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07CF632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Mackay</w:t>
            </w:r>
          </w:p>
        </w:tc>
        <w:tc>
          <w:tcPr>
            <w:tcW w:w="2996" w:type="dxa"/>
            <w:shd w:val="clear" w:color="auto" w:fill="auto"/>
            <w:vAlign w:val="center"/>
            <w:hideMark/>
          </w:tcPr>
          <w:p w14:paraId="3A1A88D5"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2A1FB9C3" w14:textId="77777777" w:rsidTr="004976E1">
        <w:trPr>
          <w:cantSplit/>
          <w:trHeight w:val="921"/>
        </w:trPr>
        <w:tc>
          <w:tcPr>
            <w:tcW w:w="2607" w:type="dxa"/>
            <w:shd w:val="clear" w:color="auto" w:fill="auto"/>
            <w:vAlign w:val="center"/>
            <w:hideMark/>
          </w:tcPr>
          <w:p w14:paraId="4DF5E1F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6CEA2CCC" w14:textId="77777777" w:rsidR="00730C25" w:rsidRPr="00730C25" w:rsidRDefault="00730C25" w:rsidP="00730C25">
            <w:pPr>
              <w:jc w:val="center"/>
              <w:rPr>
                <w:rFonts w:eastAsia="Times New Roman" w:cs="Calibri"/>
                <w:color w:val="404040"/>
              </w:rPr>
            </w:pPr>
            <w:r w:rsidRPr="00730C25">
              <w:rPr>
                <w:rFonts w:eastAsia="Times New Roman" w:cs="Calibri"/>
                <w:color w:val="404040"/>
              </w:rPr>
              <w:t>Mackay</w:t>
            </w:r>
          </w:p>
        </w:tc>
        <w:tc>
          <w:tcPr>
            <w:tcW w:w="2996" w:type="dxa"/>
            <w:shd w:val="clear" w:color="auto" w:fill="auto"/>
            <w:vAlign w:val="center"/>
            <w:hideMark/>
          </w:tcPr>
          <w:p w14:paraId="6EC5822C"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425A45CC" w14:textId="77777777" w:rsidTr="004976E1">
        <w:trPr>
          <w:cantSplit/>
          <w:trHeight w:val="921"/>
        </w:trPr>
        <w:tc>
          <w:tcPr>
            <w:tcW w:w="2607" w:type="dxa"/>
            <w:shd w:val="clear" w:color="auto" w:fill="auto"/>
            <w:vAlign w:val="center"/>
            <w:hideMark/>
          </w:tcPr>
          <w:p w14:paraId="1E26375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3B260C1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Townsville</w:t>
            </w:r>
          </w:p>
        </w:tc>
        <w:tc>
          <w:tcPr>
            <w:tcW w:w="2996" w:type="dxa"/>
            <w:shd w:val="clear" w:color="auto" w:fill="auto"/>
            <w:vAlign w:val="center"/>
            <w:hideMark/>
          </w:tcPr>
          <w:p w14:paraId="3DAA1E54"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6CD97F71" w14:textId="77777777" w:rsidTr="004976E1">
        <w:trPr>
          <w:cantSplit/>
          <w:trHeight w:val="921"/>
        </w:trPr>
        <w:tc>
          <w:tcPr>
            <w:tcW w:w="2607" w:type="dxa"/>
            <w:shd w:val="clear" w:color="auto" w:fill="auto"/>
            <w:vAlign w:val="center"/>
            <w:hideMark/>
          </w:tcPr>
          <w:p w14:paraId="1C346F5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229F1F7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Townsville</w:t>
            </w:r>
          </w:p>
        </w:tc>
        <w:tc>
          <w:tcPr>
            <w:tcW w:w="2996" w:type="dxa"/>
            <w:shd w:val="clear" w:color="auto" w:fill="auto"/>
            <w:vAlign w:val="center"/>
            <w:hideMark/>
          </w:tcPr>
          <w:p w14:paraId="4D87C691" w14:textId="77777777" w:rsidR="00730C25" w:rsidRPr="00730C25" w:rsidRDefault="00730C25" w:rsidP="00730C25">
            <w:pPr>
              <w:rPr>
                <w:rFonts w:eastAsia="Times New Roman" w:cs="Calibri"/>
                <w:color w:val="404040"/>
              </w:rPr>
            </w:pPr>
            <w:r w:rsidRPr="00730C25">
              <w:rPr>
                <w:rFonts w:eastAsia="Times New Roman" w:cs="Calibri"/>
                <w:color w:val="404040"/>
              </w:rPr>
              <w:t>25 to 44 age group</w:t>
            </w:r>
          </w:p>
        </w:tc>
      </w:tr>
      <w:tr w:rsidR="00730C25" w:rsidRPr="00730C25" w14:paraId="5271C418" w14:textId="77777777" w:rsidTr="004976E1">
        <w:trPr>
          <w:cantSplit/>
          <w:trHeight w:val="921"/>
        </w:trPr>
        <w:tc>
          <w:tcPr>
            <w:tcW w:w="2607" w:type="dxa"/>
            <w:shd w:val="clear" w:color="auto" w:fill="auto"/>
            <w:vAlign w:val="center"/>
            <w:hideMark/>
          </w:tcPr>
          <w:p w14:paraId="6EFAF8E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2D2C8513"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Townsville</w:t>
            </w:r>
          </w:p>
        </w:tc>
        <w:tc>
          <w:tcPr>
            <w:tcW w:w="2996" w:type="dxa"/>
            <w:shd w:val="clear" w:color="auto" w:fill="auto"/>
            <w:vAlign w:val="center"/>
            <w:hideMark/>
          </w:tcPr>
          <w:p w14:paraId="1FF9EFD0" w14:textId="77777777" w:rsidR="00730C25" w:rsidRPr="00730C25" w:rsidRDefault="00730C25" w:rsidP="00730C25">
            <w:pPr>
              <w:rPr>
                <w:rFonts w:eastAsia="Times New Roman" w:cs="Calibri"/>
                <w:color w:val="404040"/>
              </w:rPr>
            </w:pPr>
            <w:r w:rsidRPr="00730C25">
              <w:rPr>
                <w:rFonts w:eastAsia="Times New Roman" w:cs="Calibri"/>
                <w:color w:val="404040"/>
              </w:rPr>
              <w:t>School leavers</w:t>
            </w:r>
          </w:p>
        </w:tc>
      </w:tr>
      <w:tr w:rsidR="00730C25" w:rsidRPr="00730C25" w14:paraId="21792E89" w14:textId="77777777" w:rsidTr="004976E1">
        <w:trPr>
          <w:cantSplit/>
          <w:trHeight w:val="1822"/>
        </w:trPr>
        <w:tc>
          <w:tcPr>
            <w:tcW w:w="2607" w:type="dxa"/>
            <w:shd w:val="clear" w:color="auto" w:fill="auto"/>
            <w:vAlign w:val="center"/>
            <w:hideMark/>
          </w:tcPr>
          <w:p w14:paraId="717CBC2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594A686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Townsville</w:t>
            </w:r>
          </w:p>
        </w:tc>
        <w:tc>
          <w:tcPr>
            <w:tcW w:w="2996" w:type="dxa"/>
            <w:shd w:val="clear" w:color="auto" w:fill="auto"/>
            <w:vAlign w:val="center"/>
            <w:hideMark/>
          </w:tcPr>
          <w:p w14:paraId="169306D1" w14:textId="77777777" w:rsidR="00730C25" w:rsidRPr="00730C25" w:rsidRDefault="00730C25" w:rsidP="00730C25">
            <w:pPr>
              <w:rPr>
                <w:rFonts w:eastAsia="Times New Roman" w:cs="Calibri"/>
                <w:color w:val="404040"/>
              </w:rPr>
            </w:pPr>
            <w:r w:rsidRPr="00730C25">
              <w:rPr>
                <w:rFonts w:eastAsia="Times New Roman" w:cs="Calibri"/>
                <w:color w:val="404040"/>
              </w:rPr>
              <w:t>Post release prisoners / criminal record holders</w:t>
            </w:r>
          </w:p>
        </w:tc>
      </w:tr>
      <w:tr w:rsidR="00730C25" w:rsidRPr="00730C25" w14:paraId="517F07E1" w14:textId="77777777" w:rsidTr="004976E1">
        <w:trPr>
          <w:cantSplit/>
          <w:trHeight w:val="921"/>
        </w:trPr>
        <w:tc>
          <w:tcPr>
            <w:tcW w:w="2607" w:type="dxa"/>
            <w:shd w:val="clear" w:color="auto" w:fill="auto"/>
            <w:vAlign w:val="center"/>
            <w:hideMark/>
          </w:tcPr>
          <w:p w14:paraId="40FAF07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North Queensland</w:t>
            </w:r>
          </w:p>
        </w:tc>
        <w:tc>
          <w:tcPr>
            <w:tcW w:w="3522" w:type="dxa"/>
            <w:shd w:val="clear" w:color="auto" w:fill="auto"/>
            <w:vAlign w:val="center"/>
            <w:hideMark/>
          </w:tcPr>
          <w:p w14:paraId="75E910D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Townsville</w:t>
            </w:r>
          </w:p>
        </w:tc>
        <w:tc>
          <w:tcPr>
            <w:tcW w:w="2996" w:type="dxa"/>
            <w:shd w:val="clear" w:color="auto" w:fill="auto"/>
            <w:vAlign w:val="center"/>
            <w:hideMark/>
          </w:tcPr>
          <w:p w14:paraId="09385770" w14:textId="77777777" w:rsidR="00730C25" w:rsidRPr="00730C25" w:rsidRDefault="00730C25" w:rsidP="00730C25">
            <w:pPr>
              <w:rPr>
                <w:rFonts w:eastAsia="Times New Roman" w:cs="Calibri"/>
                <w:color w:val="404040"/>
              </w:rPr>
            </w:pPr>
            <w:r w:rsidRPr="00730C25">
              <w:rPr>
                <w:rFonts w:eastAsia="Times New Roman" w:cs="Calibri"/>
                <w:color w:val="404040"/>
              </w:rPr>
              <w:t>Parents returning to work</w:t>
            </w:r>
          </w:p>
        </w:tc>
      </w:tr>
      <w:tr w:rsidR="00730C25" w:rsidRPr="00730C25" w14:paraId="6D7C7EB6" w14:textId="77777777" w:rsidTr="004976E1">
        <w:trPr>
          <w:cantSplit/>
          <w:trHeight w:val="921"/>
        </w:trPr>
        <w:tc>
          <w:tcPr>
            <w:tcW w:w="2607" w:type="dxa"/>
            <w:shd w:val="clear" w:color="auto" w:fill="auto"/>
            <w:vAlign w:val="center"/>
            <w:hideMark/>
          </w:tcPr>
          <w:p w14:paraId="115E125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Eastern New South Wales</w:t>
            </w:r>
          </w:p>
        </w:tc>
        <w:tc>
          <w:tcPr>
            <w:tcW w:w="3522" w:type="dxa"/>
            <w:shd w:val="clear" w:color="auto" w:fill="auto"/>
            <w:vAlign w:val="center"/>
            <w:hideMark/>
          </w:tcPr>
          <w:p w14:paraId="60F15D2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Sydney</w:t>
            </w:r>
          </w:p>
        </w:tc>
        <w:tc>
          <w:tcPr>
            <w:tcW w:w="2996" w:type="dxa"/>
            <w:shd w:val="clear" w:color="auto" w:fill="auto"/>
            <w:vAlign w:val="center"/>
            <w:hideMark/>
          </w:tcPr>
          <w:p w14:paraId="268F960F" w14:textId="77777777" w:rsidR="00730C25" w:rsidRPr="00730C25" w:rsidRDefault="00730C25" w:rsidP="00730C25">
            <w:pPr>
              <w:rPr>
                <w:rFonts w:eastAsia="Times New Roman" w:cs="Calibri"/>
                <w:color w:val="404040"/>
              </w:rPr>
            </w:pPr>
            <w:r w:rsidRPr="00730C25">
              <w:rPr>
                <w:rFonts w:eastAsia="Times New Roman" w:cs="Calibri"/>
                <w:color w:val="404040"/>
              </w:rPr>
              <w:t>School leavers</w:t>
            </w:r>
          </w:p>
        </w:tc>
      </w:tr>
      <w:tr w:rsidR="00730C25" w:rsidRPr="00730C25" w14:paraId="00A37ADE" w14:textId="77777777" w:rsidTr="004976E1">
        <w:trPr>
          <w:cantSplit/>
          <w:trHeight w:val="921"/>
        </w:trPr>
        <w:tc>
          <w:tcPr>
            <w:tcW w:w="2607" w:type="dxa"/>
            <w:shd w:val="clear" w:color="auto" w:fill="auto"/>
            <w:vAlign w:val="center"/>
            <w:hideMark/>
          </w:tcPr>
          <w:p w14:paraId="5C15EDF9"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Eastern New South Wales</w:t>
            </w:r>
          </w:p>
        </w:tc>
        <w:tc>
          <w:tcPr>
            <w:tcW w:w="3522" w:type="dxa"/>
            <w:shd w:val="clear" w:color="auto" w:fill="auto"/>
            <w:vAlign w:val="center"/>
            <w:hideMark/>
          </w:tcPr>
          <w:p w14:paraId="50574BFD"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Sydney</w:t>
            </w:r>
          </w:p>
        </w:tc>
        <w:tc>
          <w:tcPr>
            <w:tcW w:w="2996" w:type="dxa"/>
            <w:shd w:val="clear" w:color="auto" w:fill="auto"/>
            <w:vAlign w:val="center"/>
            <w:hideMark/>
          </w:tcPr>
          <w:p w14:paraId="400AFD48" w14:textId="77777777" w:rsidR="00730C25" w:rsidRPr="00730C25" w:rsidRDefault="00730C25" w:rsidP="00730C25">
            <w:pPr>
              <w:rPr>
                <w:rFonts w:eastAsia="Times New Roman" w:cs="Calibri"/>
                <w:color w:val="404040"/>
              </w:rPr>
            </w:pPr>
            <w:r w:rsidRPr="00730C25">
              <w:rPr>
                <w:rFonts w:eastAsia="Times New Roman" w:cs="Calibri"/>
                <w:color w:val="404040"/>
              </w:rPr>
              <w:t>People with a disability</w:t>
            </w:r>
          </w:p>
        </w:tc>
      </w:tr>
      <w:tr w:rsidR="00730C25" w:rsidRPr="00730C25" w14:paraId="38A2A8BC" w14:textId="77777777" w:rsidTr="004976E1">
        <w:trPr>
          <w:cantSplit/>
          <w:trHeight w:val="1822"/>
        </w:trPr>
        <w:tc>
          <w:tcPr>
            <w:tcW w:w="2607" w:type="dxa"/>
            <w:shd w:val="clear" w:color="auto" w:fill="auto"/>
            <w:vAlign w:val="center"/>
            <w:hideMark/>
          </w:tcPr>
          <w:p w14:paraId="1AAD439C"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Eastern New South Wales</w:t>
            </w:r>
          </w:p>
        </w:tc>
        <w:tc>
          <w:tcPr>
            <w:tcW w:w="3522" w:type="dxa"/>
            <w:shd w:val="clear" w:color="auto" w:fill="auto"/>
            <w:vAlign w:val="center"/>
            <w:hideMark/>
          </w:tcPr>
          <w:p w14:paraId="04076A8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Sydney</w:t>
            </w:r>
          </w:p>
        </w:tc>
        <w:tc>
          <w:tcPr>
            <w:tcW w:w="2996" w:type="dxa"/>
            <w:shd w:val="clear" w:color="auto" w:fill="auto"/>
            <w:vAlign w:val="center"/>
            <w:hideMark/>
          </w:tcPr>
          <w:p w14:paraId="2B8F6F04" w14:textId="77777777" w:rsidR="00730C25" w:rsidRPr="00730C25" w:rsidRDefault="00730C25" w:rsidP="00730C25">
            <w:pPr>
              <w:rPr>
                <w:rFonts w:eastAsia="Times New Roman" w:cs="Calibri"/>
                <w:color w:val="404040"/>
              </w:rPr>
            </w:pPr>
            <w:r w:rsidRPr="00730C25">
              <w:rPr>
                <w:rFonts w:eastAsia="Times New Roman" w:cs="Calibri"/>
                <w:color w:val="404040"/>
              </w:rPr>
              <w:t>Post release prisoners / criminal record holders</w:t>
            </w:r>
          </w:p>
        </w:tc>
      </w:tr>
      <w:tr w:rsidR="00730C25" w:rsidRPr="00730C25" w14:paraId="63E146FD" w14:textId="77777777" w:rsidTr="004976E1">
        <w:trPr>
          <w:cantSplit/>
          <w:trHeight w:val="921"/>
        </w:trPr>
        <w:tc>
          <w:tcPr>
            <w:tcW w:w="2607" w:type="dxa"/>
            <w:shd w:val="clear" w:color="auto" w:fill="auto"/>
            <w:vAlign w:val="center"/>
            <w:hideMark/>
          </w:tcPr>
          <w:p w14:paraId="532FFFF0"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Eastern New South Wales</w:t>
            </w:r>
          </w:p>
        </w:tc>
        <w:tc>
          <w:tcPr>
            <w:tcW w:w="3522" w:type="dxa"/>
            <w:shd w:val="clear" w:color="auto" w:fill="auto"/>
            <w:vAlign w:val="center"/>
            <w:hideMark/>
          </w:tcPr>
          <w:p w14:paraId="737A6ED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NSW South Coast</w:t>
            </w:r>
          </w:p>
        </w:tc>
        <w:tc>
          <w:tcPr>
            <w:tcW w:w="2996" w:type="dxa"/>
            <w:shd w:val="clear" w:color="auto" w:fill="auto"/>
            <w:vAlign w:val="center"/>
            <w:hideMark/>
          </w:tcPr>
          <w:p w14:paraId="3AFBAB24"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26BA19CB" w14:textId="77777777" w:rsidTr="004976E1">
        <w:trPr>
          <w:cantSplit/>
          <w:trHeight w:val="921"/>
        </w:trPr>
        <w:tc>
          <w:tcPr>
            <w:tcW w:w="2607" w:type="dxa"/>
            <w:shd w:val="clear" w:color="auto" w:fill="auto"/>
            <w:vAlign w:val="center"/>
            <w:hideMark/>
          </w:tcPr>
          <w:p w14:paraId="546D399E"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Eastern New South Wales</w:t>
            </w:r>
          </w:p>
        </w:tc>
        <w:tc>
          <w:tcPr>
            <w:tcW w:w="3522" w:type="dxa"/>
            <w:shd w:val="clear" w:color="auto" w:fill="auto"/>
            <w:vAlign w:val="center"/>
            <w:hideMark/>
          </w:tcPr>
          <w:p w14:paraId="7D4836D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NSW South Coast</w:t>
            </w:r>
          </w:p>
        </w:tc>
        <w:tc>
          <w:tcPr>
            <w:tcW w:w="2996" w:type="dxa"/>
            <w:shd w:val="clear" w:color="auto" w:fill="auto"/>
            <w:vAlign w:val="center"/>
            <w:hideMark/>
          </w:tcPr>
          <w:p w14:paraId="566CCB24"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6FEF1DD1" w14:textId="77777777" w:rsidTr="004976E1">
        <w:trPr>
          <w:cantSplit/>
          <w:trHeight w:val="921"/>
        </w:trPr>
        <w:tc>
          <w:tcPr>
            <w:tcW w:w="2607" w:type="dxa"/>
            <w:shd w:val="clear" w:color="auto" w:fill="auto"/>
            <w:vAlign w:val="center"/>
            <w:hideMark/>
          </w:tcPr>
          <w:p w14:paraId="4C7C41E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Eastern New South Wales</w:t>
            </w:r>
          </w:p>
        </w:tc>
        <w:tc>
          <w:tcPr>
            <w:tcW w:w="3522" w:type="dxa"/>
            <w:shd w:val="clear" w:color="auto" w:fill="auto"/>
            <w:vAlign w:val="center"/>
            <w:hideMark/>
          </w:tcPr>
          <w:p w14:paraId="55FA48B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NSW North Coast</w:t>
            </w:r>
          </w:p>
        </w:tc>
        <w:tc>
          <w:tcPr>
            <w:tcW w:w="2996" w:type="dxa"/>
            <w:shd w:val="clear" w:color="auto" w:fill="auto"/>
            <w:vAlign w:val="center"/>
            <w:hideMark/>
          </w:tcPr>
          <w:p w14:paraId="7DC4549E" w14:textId="77777777" w:rsidR="00730C25" w:rsidRPr="00730C25" w:rsidRDefault="00730C25" w:rsidP="00730C25">
            <w:pPr>
              <w:rPr>
                <w:rFonts w:eastAsia="Times New Roman" w:cs="Calibri"/>
                <w:color w:val="404040"/>
              </w:rPr>
            </w:pPr>
            <w:r w:rsidRPr="00730C25">
              <w:rPr>
                <w:rFonts w:eastAsia="Times New Roman" w:cs="Calibri"/>
                <w:color w:val="404040"/>
              </w:rPr>
              <w:t>Mature-aged workers</w:t>
            </w:r>
          </w:p>
        </w:tc>
      </w:tr>
      <w:tr w:rsidR="00730C25" w:rsidRPr="00730C25" w14:paraId="4B85641A" w14:textId="77777777" w:rsidTr="004976E1">
        <w:trPr>
          <w:cantSplit/>
          <w:trHeight w:val="921"/>
        </w:trPr>
        <w:tc>
          <w:tcPr>
            <w:tcW w:w="2607" w:type="dxa"/>
            <w:shd w:val="clear" w:color="auto" w:fill="auto"/>
            <w:vAlign w:val="center"/>
            <w:hideMark/>
          </w:tcPr>
          <w:p w14:paraId="4357D4D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Eastern New South Wales</w:t>
            </w:r>
          </w:p>
        </w:tc>
        <w:tc>
          <w:tcPr>
            <w:tcW w:w="3522" w:type="dxa"/>
            <w:shd w:val="clear" w:color="auto" w:fill="auto"/>
            <w:vAlign w:val="center"/>
            <w:hideMark/>
          </w:tcPr>
          <w:p w14:paraId="1B8CDD9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NSW North Coast</w:t>
            </w:r>
          </w:p>
        </w:tc>
        <w:tc>
          <w:tcPr>
            <w:tcW w:w="2996" w:type="dxa"/>
            <w:shd w:val="clear" w:color="auto" w:fill="auto"/>
            <w:vAlign w:val="center"/>
            <w:hideMark/>
          </w:tcPr>
          <w:p w14:paraId="061E17D8"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303458BA" w14:textId="77777777" w:rsidTr="004976E1">
        <w:trPr>
          <w:cantSplit/>
          <w:trHeight w:val="921"/>
        </w:trPr>
        <w:tc>
          <w:tcPr>
            <w:tcW w:w="2607" w:type="dxa"/>
            <w:shd w:val="clear" w:color="auto" w:fill="auto"/>
            <w:vAlign w:val="center"/>
            <w:hideMark/>
          </w:tcPr>
          <w:p w14:paraId="575E20D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Eastern New South Wales</w:t>
            </w:r>
          </w:p>
        </w:tc>
        <w:tc>
          <w:tcPr>
            <w:tcW w:w="3522" w:type="dxa"/>
            <w:shd w:val="clear" w:color="auto" w:fill="auto"/>
            <w:vAlign w:val="center"/>
            <w:hideMark/>
          </w:tcPr>
          <w:p w14:paraId="511EF1C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NSW North Coast</w:t>
            </w:r>
          </w:p>
        </w:tc>
        <w:tc>
          <w:tcPr>
            <w:tcW w:w="2996" w:type="dxa"/>
            <w:shd w:val="clear" w:color="auto" w:fill="auto"/>
            <w:vAlign w:val="center"/>
            <w:hideMark/>
          </w:tcPr>
          <w:p w14:paraId="2B2E7467" w14:textId="77777777" w:rsidR="00730C25" w:rsidRPr="00730C25" w:rsidRDefault="00730C25" w:rsidP="00730C25">
            <w:pPr>
              <w:rPr>
                <w:rFonts w:eastAsia="Times New Roman" w:cs="Calibri"/>
                <w:color w:val="404040"/>
              </w:rPr>
            </w:pPr>
            <w:r w:rsidRPr="00730C25">
              <w:rPr>
                <w:rFonts w:eastAsia="Times New Roman" w:cs="Calibri"/>
                <w:color w:val="404040"/>
              </w:rPr>
              <w:t>Young parents</w:t>
            </w:r>
          </w:p>
        </w:tc>
      </w:tr>
      <w:tr w:rsidR="00730C25" w:rsidRPr="00730C25" w14:paraId="74308C79" w14:textId="77777777" w:rsidTr="004976E1">
        <w:trPr>
          <w:cantSplit/>
          <w:trHeight w:val="1221"/>
        </w:trPr>
        <w:tc>
          <w:tcPr>
            <w:tcW w:w="2607" w:type="dxa"/>
            <w:shd w:val="clear" w:color="auto" w:fill="auto"/>
            <w:vAlign w:val="center"/>
            <w:hideMark/>
          </w:tcPr>
          <w:p w14:paraId="633CB215"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Eastern New South Wales</w:t>
            </w:r>
          </w:p>
        </w:tc>
        <w:tc>
          <w:tcPr>
            <w:tcW w:w="3522" w:type="dxa"/>
            <w:shd w:val="clear" w:color="auto" w:fill="auto"/>
            <w:vAlign w:val="center"/>
            <w:hideMark/>
          </w:tcPr>
          <w:p w14:paraId="2A88B9A7" w14:textId="77777777" w:rsidR="00730C25" w:rsidRPr="00730C25" w:rsidRDefault="00730C25" w:rsidP="00730C25">
            <w:pPr>
              <w:jc w:val="center"/>
              <w:rPr>
                <w:rFonts w:eastAsia="Times New Roman" w:cs="Calibri"/>
                <w:color w:val="404040"/>
              </w:rPr>
            </w:pPr>
            <w:r w:rsidRPr="00730C25">
              <w:rPr>
                <w:rFonts w:eastAsia="Times New Roman" w:cs="Calibri"/>
                <w:color w:val="404040"/>
              </w:rPr>
              <w:t>Empowered Communities</w:t>
            </w:r>
          </w:p>
        </w:tc>
        <w:tc>
          <w:tcPr>
            <w:tcW w:w="2996" w:type="dxa"/>
            <w:shd w:val="clear" w:color="auto" w:fill="auto"/>
            <w:vAlign w:val="center"/>
            <w:hideMark/>
          </w:tcPr>
          <w:p w14:paraId="5A471654" w14:textId="77777777" w:rsidR="00730C25" w:rsidRPr="00730C25" w:rsidRDefault="00730C25" w:rsidP="00730C25">
            <w:pPr>
              <w:rPr>
                <w:rFonts w:eastAsia="Times New Roman" w:cs="Calibri"/>
                <w:color w:val="404040"/>
              </w:rPr>
            </w:pPr>
            <w:r w:rsidRPr="00730C25">
              <w:rPr>
                <w:rFonts w:eastAsia="Times New Roman" w:cs="Calibri"/>
                <w:color w:val="404040"/>
              </w:rPr>
              <w:t>Not identified</w:t>
            </w:r>
          </w:p>
        </w:tc>
      </w:tr>
      <w:tr w:rsidR="00730C25" w:rsidRPr="00730C25" w14:paraId="61B73653" w14:textId="77777777" w:rsidTr="004976E1">
        <w:trPr>
          <w:cantSplit/>
          <w:trHeight w:val="921"/>
        </w:trPr>
        <w:tc>
          <w:tcPr>
            <w:tcW w:w="2607" w:type="dxa"/>
            <w:shd w:val="clear" w:color="auto" w:fill="auto"/>
            <w:vAlign w:val="center"/>
            <w:hideMark/>
          </w:tcPr>
          <w:p w14:paraId="0589F6B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Western New South Wales</w:t>
            </w:r>
          </w:p>
        </w:tc>
        <w:tc>
          <w:tcPr>
            <w:tcW w:w="3522" w:type="dxa"/>
            <w:shd w:val="clear" w:color="auto" w:fill="auto"/>
            <w:vAlign w:val="center"/>
            <w:hideMark/>
          </w:tcPr>
          <w:p w14:paraId="18CBA95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Wagga Wagga</w:t>
            </w:r>
          </w:p>
        </w:tc>
        <w:tc>
          <w:tcPr>
            <w:tcW w:w="2996" w:type="dxa"/>
            <w:shd w:val="clear" w:color="auto" w:fill="auto"/>
            <w:vAlign w:val="center"/>
            <w:hideMark/>
          </w:tcPr>
          <w:p w14:paraId="582D6CE3" w14:textId="77777777" w:rsidR="00730C25" w:rsidRPr="00730C25" w:rsidRDefault="00730C25" w:rsidP="00730C25">
            <w:pPr>
              <w:rPr>
                <w:rFonts w:eastAsia="Times New Roman" w:cs="Calibri"/>
                <w:color w:val="404040"/>
              </w:rPr>
            </w:pPr>
            <w:r w:rsidRPr="00730C25">
              <w:rPr>
                <w:rFonts w:eastAsia="Times New Roman" w:cs="Calibri"/>
                <w:color w:val="404040"/>
              </w:rPr>
              <w:t>Mature-aged workers</w:t>
            </w:r>
          </w:p>
        </w:tc>
      </w:tr>
      <w:tr w:rsidR="00730C25" w:rsidRPr="00730C25" w14:paraId="0220CE89" w14:textId="77777777" w:rsidTr="004976E1">
        <w:trPr>
          <w:cantSplit/>
          <w:trHeight w:val="921"/>
        </w:trPr>
        <w:tc>
          <w:tcPr>
            <w:tcW w:w="2607" w:type="dxa"/>
            <w:shd w:val="clear" w:color="auto" w:fill="auto"/>
            <w:vAlign w:val="center"/>
            <w:hideMark/>
          </w:tcPr>
          <w:p w14:paraId="4CAC03A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Victoria-Tasmania</w:t>
            </w:r>
          </w:p>
        </w:tc>
        <w:tc>
          <w:tcPr>
            <w:tcW w:w="3522" w:type="dxa"/>
            <w:shd w:val="clear" w:color="auto" w:fill="auto"/>
            <w:vAlign w:val="center"/>
            <w:hideMark/>
          </w:tcPr>
          <w:p w14:paraId="7E147D3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Victoria</w:t>
            </w:r>
          </w:p>
        </w:tc>
        <w:tc>
          <w:tcPr>
            <w:tcW w:w="2996" w:type="dxa"/>
            <w:shd w:val="clear" w:color="auto" w:fill="auto"/>
            <w:vAlign w:val="center"/>
            <w:hideMark/>
          </w:tcPr>
          <w:p w14:paraId="7314DAF5" w14:textId="77777777" w:rsidR="00730C25" w:rsidRPr="00730C25" w:rsidRDefault="00730C25" w:rsidP="00730C25">
            <w:pPr>
              <w:rPr>
                <w:rFonts w:eastAsia="Times New Roman" w:cs="Calibri"/>
                <w:color w:val="404040"/>
              </w:rPr>
            </w:pPr>
            <w:r w:rsidRPr="00730C25">
              <w:rPr>
                <w:rFonts w:eastAsia="Times New Roman" w:cs="Calibri"/>
                <w:color w:val="404040"/>
              </w:rPr>
              <w:t>Mature-aged workers</w:t>
            </w:r>
          </w:p>
        </w:tc>
      </w:tr>
      <w:tr w:rsidR="00730C25" w:rsidRPr="00730C25" w14:paraId="233A4F1B" w14:textId="77777777" w:rsidTr="004976E1">
        <w:trPr>
          <w:cantSplit/>
          <w:trHeight w:val="620"/>
        </w:trPr>
        <w:tc>
          <w:tcPr>
            <w:tcW w:w="2607" w:type="dxa"/>
            <w:shd w:val="clear" w:color="auto" w:fill="auto"/>
            <w:vAlign w:val="center"/>
            <w:hideMark/>
          </w:tcPr>
          <w:p w14:paraId="3FA0160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Victoria-Tasmania</w:t>
            </w:r>
          </w:p>
        </w:tc>
        <w:tc>
          <w:tcPr>
            <w:tcW w:w="3522" w:type="dxa"/>
            <w:shd w:val="clear" w:color="auto" w:fill="auto"/>
            <w:vAlign w:val="center"/>
            <w:hideMark/>
          </w:tcPr>
          <w:p w14:paraId="7B7A674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Victoria</w:t>
            </w:r>
          </w:p>
        </w:tc>
        <w:tc>
          <w:tcPr>
            <w:tcW w:w="2996" w:type="dxa"/>
            <w:shd w:val="clear" w:color="auto" w:fill="auto"/>
            <w:vAlign w:val="center"/>
            <w:hideMark/>
          </w:tcPr>
          <w:p w14:paraId="21D92A59" w14:textId="77777777" w:rsidR="00730C25" w:rsidRPr="00730C25" w:rsidRDefault="00730C25" w:rsidP="00730C25">
            <w:pPr>
              <w:rPr>
                <w:rFonts w:eastAsia="Times New Roman" w:cs="Calibri"/>
                <w:color w:val="404040"/>
              </w:rPr>
            </w:pPr>
            <w:r w:rsidRPr="00730C25">
              <w:rPr>
                <w:rFonts w:eastAsia="Times New Roman" w:cs="Calibri"/>
                <w:color w:val="404040"/>
              </w:rPr>
              <w:t>People with a disability</w:t>
            </w:r>
          </w:p>
        </w:tc>
      </w:tr>
      <w:tr w:rsidR="00730C25" w:rsidRPr="00730C25" w14:paraId="44717FEE" w14:textId="77777777" w:rsidTr="004976E1">
        <w:trPr>
          <w:cantSplit/>
          <w:trHeight w:val="620"/>
        </w:trPr>
        <w:tc>
          <w:tcPr>
            <w:tcW w:w="2607" w:type="dxa"/>
            <w:shd w:val="clear" w:color="auto" w:fill="auto"/>
            <w:vAlign w:val="center"/>
            <w:hideMark/>
          </w:tcPr>
          <w:p w14:paraId="0EF9902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Victoria-Tasmania</w:t>
            </w:r>
          </w:p>
        </w:tc>
        <w:tc>
          <w:tcPr>
            <w:tcW w:w="3522" w:type="dxa"/>
            <w:shd w:val="clear" w:color="auto" w:fill="auto"/>
            <w:vAlign w:val="center"/>
            <w:hideMark/>
          </w:tcPr>
          <w:p w14:paraId="171D1898" w14:textId="77777777" w:rsidR="00730C25" w:rsidRPr="00730C25" w:rsidRDefault="00730C25" w:rsidP="00730C25">
            <w:pPr>
              <w:jc w:val="center"/>
              <w:rPr>
                <w:rFonts w:eastAsia="Times New Roman" w:cs="Calibri"/>
                <w:color w:val="404040"/>
              </w:rPr>
            </w:pPr>
            <w:r w:rsidRPr="00730C25">
              <w:rPr>
                <w:rFonts w:eastAsia="Times New Roman" w:cs="Calibri"/>
                <w:color w:val="404040"/>
              </w:rPr>
              <w:t>Victoria</w:t>
            </w:r>
          </w:p>
        </w:tc>
        <w:tc>
          <w:tcPr>
            <w:tcW w:w="2996" w:type="dxa"/>
            <w:shd w:val="clear" w:color="auto" w:fill="auto"/>
            <w:vAlign w:val="center"/>
            <w:hideMark/>
          </w:tcPr>
          <w:p w14:paraId="52453790"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619998B6" w14:textId="77777777" w:rsidTr="004976E1">
        <w:trPr>
          <w:cantSplit/>
          <w:trHeight w:val="620"/>
        </w:trPr>
        <w:tc>
          <w:tcPr>
            <w:tcW w:w="2607" w:type="dxa"/>
            <w:shd w:val="clear" w:color="auto" w:fill="auto"/>
            <w:vAlign w:val="center"/>
            <w:hideMark/>
          </w:tcPr>
          <w:p w14:paraId="5145A786" w14:textId="77777777" w:rsidR="00730C25" w:rsidRPr="00730C25" w:rsidRDefault="00730C25" w:rsidP="00730C25">
            <w:pPr>
              <w:jc w:val="center"/>
              <w:rPr>
                <w:rFonts w:eastAsia="Times New Roman" w:cs="Calibri"/>
                <w:color w:val="404040"/>
              </w:rPr>
            </w:pPr>
            <w:r w:rsidRPr="00730C25">
              <w:rPr>
                <w:rFonts w:eastAsia="Times New Roman" w:cs="Calibri"/>
                <w:color w:val="404040"/>
              </w:rPr>
              <w:t>Victoria-Tasmania</w:t>
            </w:r>
          </w:p>
        </w:tc>
        <w:tc>
          <w:tcPr>
            <w:tcW w:w="3522" w:type="dxa"/>
            <w:shd w:val="clear" w:color="auto" w:fill="auto"/>
            <w:vAlign w:val="center"/>
            <w:hideMark/>
          </w:tcPr>
          <w:p w14:paraId="7838A64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Bendigo</w:t>
            </w:r>
          </w:p>
        </w:tc>
        <w:tc>
          <w:tcPr>
            <w:tcW w:w="2996" w:type="dxa"/>
            <w:shd w:val="clear" w:color="auto" w:fill="auto"/>
            <w:vAlign w:val="center"/>
            <w:hideMark/>
          </w:tcPr>
          <w:p w14:paraId="304EFF01"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5FF6B07D" w14:textId="77777777" w:rsidTr="004976E1">
        <w:trPr>
          <w:cantSplit/>
          <w:trHeight w:val="620"/>
        </w:trPr>
        <w:tc>
          <w:tcPr>
            <w:tcW w:w="2607" w:type="dxa"/>
            <w:shd w:val="clear" w:color="auto" w:fill="auto"/>
            <w:vAlign w:val="center"/>
            <w:hideMark/>
          </w:tcPr>
          <w:p w14:paraId="5C8465A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Victoria-Tasmania</w:t>
            </w:r>
          </w:p>
        </w:tc>
        <w:tc>
          <w:tcPr>
            <w:tcW w:w="3522" w:type="dxa"/>
            <w:shd w:val="clear" w:color="auto" w:fill="auto"/>
            <w:vAlign w:val="center"/>
            <w:hideMark/>
          </w:tcPr>
          <w:p w14:paraId="5E3D2C0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Hobart</w:t>
            </w:r>
          </w:p>
        </w:tc>
        <w:tc>
          <w:tcPr>
            <w:tcW w:w="2996" w:type="dxa"/>
            <w:shd w:val="clear" w:color="auto" w:fill="auto"/>
            <w:vAlign w:val="center"/>
            <w:hideMark/>
          </w:tcPr>
          <w:p w14:paraId="6BCE2F3A"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2AF0ECB6" w14:textId="77777777" w:rsidTr="004976E1">
        <w:trPr>
          <w:cantSplit/>
          <w:trHeight w:val="620"/>
        </w:trPr>
        <w:tc>
          <w:tcPr>
            <w:tcW w:w="2607" w:type="dxa"/>
            <w:shd w:val="clear" w:color="auto" w:fill="auto"/>
            <w:vAlign w:val="center"/>
            <w:hideMark/>
          </w:tcPr>
          <w:p w14:paraId="15DDA55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Australia</w:t>
            </w:r>
          </w:p>
        </w:tc>
        <w:tc>
          <w:tcPr>
            <w:tcW w:w="3522" w:type="dxa"/>
            <w:shd w:val="clear" w:color="auto" w:fill="auto"/>
            <w:vAlign w:val="center"/>
            <w:hideMark/>
          </w:tcPr>
          <w:p w14:paraId="731C0291"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Adelaide</w:t>
            </w:r>
          </w:p>
        </w:tc>
        <w:tc>
          <w:tcPr>
            <w:tcW w:w="2996" w:type="dxa"/>
            <w:shd w:val="clear" w:color="auto" w:fill="auto"/>
            <w:vAlign w:val="center"/>
            <w:hideMark/>
          </w:tcPr>
          <w:p w14:paraId="149B7555" w14:textId="77777777" w:rsidR="00730C25" w:rsidRPr="00730C25" w:rsidRDefault="00730C25" w:rsidP="00730C25">
            <w:pPr>
              <w:rPr>
                <w:rFonts w:eastAsia="Times New Roman" w:cs="Calibri"/>
                <w:color w:val="404040"/>
              </w:rPr>
            </w:pPr>
            <w:r w:rsidRPr="00730C25">
              <w:rPr>
                <w:rFonts w:eastAsia="Times New Roman" w:cs="Calibri"/>
                <w:color w:val="404040"/>
              </w:rPr>
              <w:t>Youth</w:t>
            </w:r>
          </w:p>
        </w:tc>
      </w:tr>
      <w:tr w:rsidR="00730C25" w:rsidRPr="00730C25" w14:paraId="6613ADFB" w14:textId="77777777" w:rsidTr="004976E1">
        <w:trPr>
          <w:cantSplit/>
          <w:trHeight w:val="921"/>
        </w:trPr>
        <w:tc>
          <w:tcPr>
            <w:tcW w:w="2607" w:type="dxa"/>
            <w:shd w:val="clear" w:color="auto" w:fill="auto"/>
            <w:vAlign w:val="center"/>
            <w:hideMark/>
          </w:tcPr>
          <w:p w14:paraId="77B5C9BF"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Australia</w:t>
            </w:r>
          </w:p>
        </w:tc>
        <w:tc>
          <w:tcPr>
            <w:tcW w:w="3522" w:type="dxa"/>
            <w:shd w:val="clear" w:color="auto" w:fill="auto"/>
            <w:vAlign w:val="center"/>
            <w:hideMark/>
          </w:tcPr>
          <w:p w14:paraId="1409971B"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Adelaide</w:t>
            </w:r>
          </w:p>
        </w:tc>
        <w:tc>
          <w:tcPr>
            <w:tcW w:w="2996" w:type="dxa"/>
            <w:shd w:val="clear" w:color="auto" w:fill="auto"/>
            <w:vAlign w:val="center"/>
            <w:hideMark/>
          </w:tcPr>
          <w:p w14:paraId="4EF69DE1" w14:textId="77777777" w:rsidR="00730C25" w:rsidRPr="00730C25" w:rsidRDefault="00730C25" w:rsidP="00730C25">
            <w:pPr>
              <w:rPr>
                <w:rFonts w:eastAsia="Times New Roman" w:cs="Calibri"/>
                <w:color w:val="404040"/>
              </w:rPr>
            </w:pPr>
            <w:r w:rsidRPr="00730C25">
              <w:rPr>
                <w:rFonts w:eastAsia="Times New Roman" w:cs="Calibri"/>
                <w:color w:val="404040"/>
              </w:rPr>
              <w:t>Early school leavers</w:t>
            </w:r>
          </w:p>
        </w:tc>
      </w:tr>
      <w:tr w:rsidR="00730C25" w:rsidRPr="00730C25" w14:paraId="0AC0F219" w14:textId="77777777" w:rsidTr="004976E1">
        <w:trPr>
          <w:cantSplit/>
          <w:trHeight w:val="620"/>
        </w:trPr>
        <w:tc>
          <w:tcPr>
            <w:tcW w:w="2607" w:type="dxa"/>
            <w:shd w:val="clear" w:color="auto" w:fill="auto"/>
            <w:vAlign w:val="center"/>
            <w:hideMark/>
          </w:tcPr>
          <w:p w14:paraId="1C066FF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Australia</w:t>
            </w:r>
          </w:p>
        </w:tc>
        <w:tc>
          <w:tcPr>
            <w:tcW w:w="3522" w:type="dxa"/>
            <w:shd w:val="clear" w:color="auto" w:fill="auto"/>
            <w:vAlign w:val="center"/>
            <w:hideMark/>
          </w:tcPr>
          <w:p w14:paraId="3E0150C2" w14:textId="77777777" w:rsidR="00730C25" w:rsidRPr="00730C25" w:rsidRDefault="00730C25" w:rsidP="00730C25">
            <w:pPr>
              <w:jc w:val="center"/>
              <w:rPr>
                <w:rFonts w:eastAsia="Times New Roman" w:cs="Calibri"/>
                <w:color w:val="404040"/>
              </w:rPr>
            </w:pPr>
            <w:r w:rsidRPr="00730C25">
              <w:rPr>
                <w:rFonts w:eastAsia="Times New Roman" w:cs="Calibri"/>
                <w:color w:val="404040"/>
              </w:rPr>
              <w:t>Adelaide</w:t>
            </w:r>
          </w:p>
        </w:tc>
        <w:tc>
          <w:tcPr>
            <w:tcW w:w="2996" w:type="dxa"/>
            <w:shd w:val="clear" w:color="auto" w:fill="auto"/>
            <w:vAlign w:val="center"/>
            <w:hideMark/>
          </w:tcPr>
          <w:p w14:paraId="53840502" w14:textId="77777777" w:rsidR="00730C25" w:rsidRPr="00730C25" w:rsidRDefault="00730C25" w:rsidP="00730C25">
            <w:pPr>
              <w:rPr>
                <w:rFonts w:eastAsia="Times New Roman" w:cs="Calibri"/>
                <w:color w:val="404040"/>
              </w:rPr>
            </w:pPr>
            <w:r w:rsidRPr="00730C25">
              <w:rPr>
                <w:rFonts w:eastAsia="Times New Roman" w:cs="Calibri"/>
                <w:color w:val="404040"/>
              </w:rPr>
              <w:t>Women</w:t>
            </w:r>
          </w:p>
        </w:tc>
      </w:tr>
      <w:tr w:rsidR="00730C25" w:rsidRPr="00730C25" w14:paraId="7A3C5923" w14:textId="77777777" w:rsidTr="004976E1">
        <w:trPr>
          <w:cantSplit/>
          <w:trHeight w:val="620"/>
        </w:trPr>
        <w:tc>
          <w:tcPr>
            <w:tcW w:w="2607" w:type="dxa"/>
            <w:shd w:val="clear" w:color="auto" w:fill="auto"/>
            <w:vAlign w:val="center"/>
            <w:hideMark/>
          </w:tcPr>
          <w:p w14:paraId="271470CA" w14:textId="77777777" w:rsidR="00730C25" w:rsidRPr="00730C25" w:rsidRDefault="00730C25" w:rsidP="00730C25">
            <w:pPr>
              <w:jc w:val="center"/>
              <w:rPr>
                <w:rFonts w:eastAsia="Times New Roman" w:cs="Calibri"/>
                <w:color w:val="404040"/>
              </w:rPr>
            </w:pPr>
            <w:r w:rsidRPr="00730C25">
              <w:rPr>
                <w:rFonts w:eastAsia="Times New Roman" w:cs="Calibri"/>
                <w:color w:val="404040"/>
              </w:rPr>
              <w:t>South Australia</w:t>
            </w:r>
          </w:p>
        </w:tc>
        <w:tc>
          <w:tcPr>
            <w:tcW w:w="3522" w:type="dxa"/>
            <w:shd w:val="clear" w:color="auto" w:fill="auto"/>
            <w:vAlign w:val="center"/>
            <w:hideMark/>
          </w:tcPr>
          <w:p w14:paraId="5637C8B4" w14:textId="77777777" w:rsidR="00730C25" w:rsidRPr="00730C25" w:rsidRDefault="00730C25" w:rsidP="00730C25">
            <w:pPr>
              <w:jc w:val="center"/>
              <w:rPr>
                <w:rFonts w:eastAsia="Times New Roman" w:cs="Calibri"/>
                <w:color w:val="404040"/>
              </w:rPr>
            </w:pPr>
            <w:r w:rsidRPr="00730C25">
              <w:rPr>
                <w:rFonts w:eastAsia="Times New Roman" w:cs="Calibri"/>
                <w:color w:val="404040"/>
              </w:rPr>
              <w:t>Port Augusta</w:t>
            </w:r>
          </w:p>
        </w:tc>
        <w:tc>
          <w:tcPr>
            <w:tcW w:w="2996" w:type="dxa"/>
            <w:shd w:val="clear" w:color="auto" w:fill="auto"/>
            <w:vAlign w:val="center"/>
            <w:hideMark/>
          </w:tcPr>
          <w:p w14:paraId="351B7AA2" w14:textId="77777777" w:rsidR="00730C25" w:rsidRPr="00730C25" w:rsidRDefault="00730C25" w:rsidP="00730C25">
            <w:pPr>
              <w:rPr>
                <w:rFonts w:eastAsia="Times New Roman" w:cs="Calibri"/>
                <w:color w:val="404040"/>
              </w:rPr>
            </w:pPr>
            <w:r w:rsidRPr="00730C25">
              <w:rPr>
                <w:rFonts w:eastAsia="Times New Roman" w:cs="Calibri"/>
                <w:color w:val="404040"/>
              </w:rPr>
              <w:t xml:space="preserve">Youth </w:t>
            </w:r>
          </w:p>
        </w:tc>
      </w:tr>
    </w:tbl>
    <w:p w14:paraId="23796EE1" w14:textId="77777777" w:rsidR="0025689A" w:rsidRPr="0093006A" w:rsidRDefault="0025689A" w:rsidP="0025689A">
      <w:pPr>
        <w:spacing w:after="120"/>
        <w:rPr>
          <w:b/>
          <w:bCs/>
          <w:color w:val="595959" w:themeColor="text1" w:themeTint="A6"/>
          <w:lang w:val="en-US"/>
        </w:rPr>
      </w:pPr>
    </w:p>
    <w:p w14:paraId="3CF5E79B" w14:textId="6EC3E5CB" w:rsidR="0025689A" w:rsidRPr="0093006A" w:rsidRDefault="0025689A" w:rsidP="0039487B">
      <w:pPr>
        <w:spacing w:after="120"/>
        <w:rPr>
          <w:color w:val="595959" w:themeColor="text1" w:themeTint="A6"/>
        </w:rPr>
      </w:pPr>
      <w:r w:rsidRPr="0093006A">
        <w:rPr>
          <w:color w:val="595959" w:themeColor="text1" w:themeTint="A6"/>
          <w:lang w:val="en-US"/>
        </w:rPr>
        <w:t xml:space="preserve">The ISEP design should be responsive to the inability of a </w:t>
      </w:r>
      <w:r w:rsidR="00D84544" w:rsidRPr="0093006A">
        <w:rPr>
          <w:color w:val="595959" w:themeColor="text1" w:themeTint="A6"/>
          <w:lang w:val="en-US"/>
        </w:rPr>
        <w:t>‘</w:t>
      </w:r>
      <w:r w:rsidRPr="0093006A">
        <w:rPr>
          <w:color w:val="595959" w:themeColor="text1" w:themeTint="A6"/>
          <w:lang w:val="en-US"/>
        </w:rPr>
        <w:t>one size fits all</w:t>
      </w:r>
      <w:r w:rsidR="00D84544" w:rsidRPr="0093006A">
        <w:rPr>
          <w:color w:val="595959" w:themeColor="text1" w:themeTint="A6"/>
          <w:lang w:val="en-US"/>
        </w:rPr>
        <w:t>’</w:t>
      </w:r>
      <w:r w:rsidRPr="0093006A">
        <w:rPr>
          <w:color w:val="595959" w:themeColor="text1" w:themeTint="A6"/>
          <w:lang w:val="en-US"/>
        </w:rPr>
        <w:t xml:space="preserve"> approach to address characteristics specific to remote and very remote communities </w:t>
      </w:r>
    </w:p>
    <w:p w14:paraId="40C2F6AE" w14:textId="51B8B9AA" w:rsidR="0025689A" w:rsidRPr="0093006A" w:rsidRDefault="0025689A" w:rsidP="0039487B">
      <w:pPr>
        <w:spacing w:after="120"/>
        <w:rPr>
          <w:color w:val="595959" w:themeColor="text1" w:themeTint="A6"/>
        </w:rPr>
      </w:pPr>
      <w:r w:rsidRPr="0093006A">
        <w:rPr>
          <w:color w:val="595959" w:themeColor="text1" w:themeTint="A6"/>
          <w:lang w:val="en-US"/>
        </w:rPr>
        <w:t xml:space="preserve">Participants from or familiar with remote and very remote communities were unanimous in their view that a </w:t>
      </w:r>
      <w:r w:rsidR="00D32B16" w:rsidRPr="0093006A">
        <w:rPr>
          <w:color w:val="595959" w:themeColor="text1" w:themeTint="A6"/>
          <w:lang w:val="en-US"/>
        </w:rPr>
        <w:t>‘</w:t>
      </w:r>
      <w:r w:rsidRPr="0093006A">
        <w:rPr>
          <w:color w:val="595959" w:themeColor="text1" w:themeTint="A6"/>
          <w:lang w:val="en-US"/>
        </w:rPr>
        <w:t>one size fits all</w:t>
      </w:r>
      <w:r w:rsidR="00D32B16" w:rsidRPr="0093006A">
        <w:rPr>
          <w:color w:val="595959" w:themeColor="text1" w:themeTint="A6"/>
          <w:lang w:val="en-US"/>
        </w:rPr>
        <w:t>’</w:t>
      </w:r>
      <w:r w:rsidRPr="0093006A">
        <w:rPr>
          <w:color w:val="595959" w:themeColor="text1" w:themeTint="A6"/>
          <w:lang w:val="en-US"/>
        </w:rPr>
        <w:t xml:space="preserve"> approach does not consider characteristics specific to remote communities.</w:t>
      </w:r>
    </w:p>
    <w:p w14:paraId="127E5518" w14:textId="77777777" w:rsidR="0025689A" w:rsidRPr="0093006A" w:rsidRDefault="0025689A" w:rsidP="0039487B">
      <w:pPr>
        <w:spacing w:after="120"/>
        <w:rPr>
          <w:color w:val="595959" w:themeColor="text1" w:themeTint="A6"/>
          <w:lang w:val="en-US"/>
        </w:rPr>
      </w:pPr>
      <w:r w:rsidRPr="0093006A">
        <w:rPr>
          <w:color w:val="595959" w:themeColor="text1" w:themeTint="A6"/>
          <w:lang w:val="en-US"/>
        </w:rPr>
        <w:t>Some issues raised specific to remote and very remote communities included:</w:t>
      </w:r>
    </w:p>
    <w:p w14:paraId="13933211" w14:textId="56747C6E" w:rsidR="0025689A" w:rsidRPr="0093006A" w:rsidRDefault="00D32B16" w:rsidP="003769B7">
      <w:pPr>
        <w:numPr>
          <w:ilvl w:val="0"/>
          <w:numId w:val="38"/>
        </w:numPr>
        <w:ind w:left="714" w:hanging="357"/>
        <w:contextualSpacing/>
        <w:rPr>
          <w:color w:val="595959" w:themeColor="text1" w:themeTint="A6"/>
        </w:rPr>
      </w:pPr>
      <w:r w:rsidRPr="0093006A">
        <w:rPr>
          <w:color w:val="595959" w:themeColor="text1" w:themeTint="A6"/>
        </w:rPr>
        <w:t>C</w:t>
      </w:r>
      <w:r w:rsidR="0025689A" w:rsidRPr="0093006A">
        <w:rPr>
          <w:color w:val="595959" w:themeColor="text1" w:themeTint="A6"/>
        </w:rPr>
        <w:t xml:space="preserve">areer pathways and the </w:t>
      </w:r>
      <w:r w:rsidR="006F1916" w:rsidRPr="0093006A">
        <w:rPr>
          <w:color w:val="595959" w:themeColor="text1" w:themeTint="A6"/>
        </w:rPr>
        <w:t>need</w:t>
      </w:r>
      <w:r w:rsidR="0025689A" w:rsidRPr="0093006A">
        <w:rPr>
          <w:color w:val="595959" w:themeColor="text1" w:themeTint="A6"/>
        </w:rPr>
        <w:t xml:space="preserve"> to resolve the structural challenges in remote communities where a genuine local economy may not exist and therefore jobs and </w:t>
      </w:r>
      <w:r w:rsidR="006F1916" w:rsidRPr="0093006A">
        <w:rPr>
          <w:color w:val="595959" w:themeColor="text1" w:themeTint="A6"/>
        </w:rPr>
        <w:t xml:space="preserve">the </w:t>
      </w:r>
      <w:r w:rsidR="0025689A" w:rsidRPr="0093006A">
        <w:rPr>
          <w:color w:val="595959" w:themeColor="text1" w:themeTint="A6"/>
        </w:rPr>
        <w:t xml:space="preserve">ability to have a career </w:t>
      </w:r>
      <w:r w:rsidR="006F1916" w:rsidRPr="0093006A">
        <w:rPr>
          <w:color w:val="595959" w:themeColor="text1" w:themeTint="A6"/>
        </w:rPr>
        <w:t>are not currently options</w:t>
      </w:r>
      <w:r w:rsidRPr="0093006A">
        <w:rPr>
          <w:color w:val="595959" w:themeColor="text1" w:themeTint="A6"/>
        </w:rPr>
        <w:t>.</w:t>
      </w:r>
    </w:p>
    <w:p w14:paraId="10F4806F" w14:textId="4DD65B81" w:rsidR="0025689A" w:rsidRPr="0093006A" w:rsidRDefault="006F1916" w:rsidP="003769B7">
      <w:pPr>
        <w:pStyle w:val="ListParagraph"/>
        <w:numPr>
          <w:ilvl w:val="0"/>
          <w:numId w:val="38"/>
        </w:numPr>
        <w:rPr>
          <w:color w:val="595959" w:themeColor="text1" w:themeTint="A6"/>
          <w:lang w:val="en-US"/>
        </w:rPr>
      </w:pPr>
      <w:r w:rsidRPr="0093006A">
        <w:rPr>
          <w:color w:val="595959" w:themeColor="text1" w:themeTint="A6"/>
          <w:lang w:val="en-US"/>
        </w:rPr>
        <w:t>A</w:t>
      </w:r>
      <w:r w:rsidR="0025689A" w:rsidRPr="0093006A">
        <w:rPr>
          <w:color w:val="595959" w:themeColor="text1" w:themeTint="A6"/>
          <w:lang w:val="en-US"/>
        </w:rPr>
        <w:t>vailability of local / regional jobs is an important issue for many remote communities as the results are either high levels of local unemployment or an inability for people to remain on Country and be employed.  FIFO and DIDO workforces keep Indigenous communities locked out of local employment</w:t>
      </w:r>
      <w:r w:rsidR="00203A70" w:rsidRPr="0093006A">
        <w:rPr>
          <w:color w:val="595959" w:themeColor="text1" w:themeTint="A6"/>
          <w:lang w:val="en-US"/>
        </w:rPr>
        <w:t>.</w:t>
      </w:r>
    </w:p>
    <w:p w14:paraId="0EEFD607" w14:textId="190CF712" w:rsidR="0025689A" w:rsidRPr="0093006A" w:rsidRDefault="00203A70" w:rsidP="003769B7">
      <w:pPr>
        <w:pStyle w:val="ListParagraph"/>
        <w:numPr>
          <w:ilvl w:val="0"/>
          <w:numId w:val="38"/>
        </w:numPr>
        <w:rPr>
          <w:color w:val="595959" w:themeColor="text1" w:themeTint="A6"/>
        </w:rPr>
      </w:pPr>
      <w:r w:rsidRPr="0093006A">
        <w:rPr>
          <w:color w:val="595959" w:themeColor="text1" w:themeTint="A6"/>
          <w:lang w:val="en-US"/>
        </w:rPr>
        <w:t>T</w:t>
      </w:r>
      <w:r w:rsidR="0025689A" w:rsidRPr="0093006A">
        <w:rPr>
          <w:color w:val="595959" w:themeColor="text1" w:themeTint="A6"/>
          <w:lang w:val="en-US"/>
        </w:rPr>
        <w:t xml:space="preserve">he sheer remoteness of some regions and the distance between communities such as those in the Pilbara and </w:t>
      </w:r>
      <w:r w:rsidRPr="0093006A">
        <w:rPr>
          <w:color w:val="595959" w:themeColor="text1" w:themeTint="A6"/>
          <w:lang w:val="en-US"/>
        </w:rPr>
        <w:t xml:space="preserve">the </w:t>
      </w:r>
      <w:r w:rsidR="0025689A" w:rsidRPr="0093006A">
        <w:rPr>
          <w:color w:val="595959" w:themeColor="text1" w:themeTint="A6"/>
          <w:lang w:val="en-US"/>
        </w:rPr>
        <w:t>Kimberley in W</w:t>
      </w:r>
      <w:r w:rsidRPr="0093006A">
        <w:rPr>
          <w:color w:val="595959" w:themeColor="text1" w:themeTint="A6"/>
          <w:lang w:val="en-US"/>
        </w:rPr>
        <w:t>estern Australia</w:t>
      </w:r>
      <w:r w:rsidR="0025689A" w:rsidRPr="0093006A">
        <w:rPr>
          <w:color w:val="595959" w:themeColor="text1" w:themeTint="A6"/>
          <w:lang w:val="en-US"/>
        </w:rPr>
        <w:t xml:space="preserve"> makes transport a major</w:t>
      </w:r>
      <w:r w:rsidRPr="0093006A">
        <w:rPr>
          <w:color w:val="595959" w:themeColor="text1" w:themeTint="A6"/>
          <w:lang w:val="en-US"/>
        </w:rPr>
        <w:t xml:space="preserve">, </w:t>
      </w:r>
      <w:r w:rsidR="0025689A" w:rsidRPr="0093006A">
        <w:rPr>
          <w:color w:val="595959" w:themeColor="text1" w:themeTint="A6"/>
          <w:lang w:val="en-US"/>
        </w:rPr>
        <w:t>and often insurmountable barrier</w:t>
      </w:r>
      <w:r w:rsidRPr="0093006A">
        <w:rPr>
          <w:color w:val="595959" w:themeColor="text1" w:themeTint="A6"/>
          <w:lang w:val="en-US"/>
        </w:rPr>
        <w:t>.</w:t>
      </w:r>
    </w:p>
    <w:p w14:paraId="21F28AC2" w14:textId="415D9097" w:rsidR="0025689A" w:rsidRPr="0093006A" w:rsidRDefault="00203A70" w:rsidP="003769B7">
      <w:pPr>
        <w:pStyle w:val="ListParagraph"/>
        <w:numPr>
          <w:ilvl w:val="0"/>
          <w:numId w:val="38"/>
        </w:numPr>
        <w:rPr>
          <w:color w:val="595959" w:themeColor="text1" w:themeTint="A6"/>
        </w:rPr>
      </w:pPr>
      <w:r w:rsidRPr="0093006A">
        <w:rPr>
          <w:color w:val="595959" w:themeColor="text1" w:themeTint="A6"/>
          <w:lang w:val="en-US"/>
        </w:rPr>
        <w:t>S</w:t>
      </w:r>
      <w:r w:rsidR="0025689A" w:rsidRPr="0093006A">
        <w:rPr>
          <w:color w:val="595959" w:themeColor="text1" w:themeTint="A6"/>
          <w:lang w:val="en-US"/>
        </w:rPr>
        <w:t xml:space="preserve">ome areas do not have a </w:t>
      </w:r>
      <w:r w:rsidRPr="0093006A">
        <w:rPr>
          <w:color w:val="595959" w:themeColor="text1" w:themeTint="A6"/>
          <w:lang w:val="en-US"/>
        </w:rPr>
        <w:t xml:space="preserve">local </w:t>
      </w:r>
      <w:r w:rsidR="0025689A" w:rsidRPr="0093006A">
        <w:rPr>
          <w:color w:val="595959" w:themeColor="text1" w:themeTint="A6"/>
          <w:lang w:val="en-US"/>
        </w:rPr>
        <w:t>high school and early school leavers are more common</w:t>
      </w:r>
      <w:r w:rsidRPr="0093006A">
        <w:rPr>
          <w:color w:val="595959" w:themeColor="text1" w:themeTint="A6"/>
          <w:lang w:val="en-US"/>
        </w:rPr>
        <w:t>.</w:t>
      </w:r>
    </w:p>
    <w:p w14:paraId="2CBBC9F4" w14:textId="3D80B51E" w:rsidR="00C676A4" w:rsidRPr="0093006A" w:rsidRDefault="00203A70" w:rsidP="00761151">
      <w:pPr>
        <w:pStyle w:val="ListParagraph"/>
        <w:numPr>
          <w:ilvl w:val="0"/>
          <w:numId w:val="38"/>
        </w:numPr>
        <w:spacing w:after="120"/>
        <w:rPr>
          <w:bCs/>
          <w:color w:val="595959" w:themeColor="text1" w:themeTint="A6"/>
        </w:rPr>
      </w:pPr>
      <w:r w:rsidRPr="0093006A">
        <w:rPr>
          <w:color w:val="595959" w:themeColor="text1" w:themeTint="A6"/>
          <w:lang w:val="en-US"/>
        </w:rPr>
        <w:t>T</w:t>
      </w:r>
      <w:r w:rsidR="0025689A" w:rsidRPr="0093006A">
        <w:rPr>
          <w:color w:val="595959" w:themeColor="text1" w:themeTint="A6"/>
          <w:lang w:val="en-US"/>
        </w:rPr>
        <w:t xml:space="preserve">he absence of </w:t>
      </w:r>
      <w:r w:rsidR="0025689A" w:rsidRPr="0093006A">
        <w:rPr>
          <w:bCs/>
          <w:color w:val="595959" w:themeColor="text1" w:themeTint="A6"/>
        </w:rPr>
        <w:t xml:space="preserve">appropriate training options in remote areas impedes Indigenous employment. </w:t>
      </w:r>
      <w:r w:rsidR="00C676A4" w:rsidRPr="0093006A">
        <w:rPr>
          <w:bCs/>
          <w:color w:val="595959" w:themeColor="text1" w:themeTint="A6"/>
        </w:rPr>
        <w:t>Importantly, t</w:t>
      </w:r>
      <w:r w:rsidR="0025689A" w:rsidRPr="0093006A">
        <w:rPr>
          <w:bCs/>
          <w:color w:val="595959" w:themeColor="text1" w:themeTint="A6"/>
        </w:rPr>
        <w:t xml:space="preserve">his </w:t>
      </w:r>
      <w:r w:rsidR="00C676A4" w:rsidRPr="0093006A">
        <w:rPr>
          <w:bCs/>
          <w:color w:val="595959" w:themeColor="text1" w:themeTint="A6"/>
        </w:rPr>
        <w:t>was</w:t>
      </w:r>
      <w:r w:rsidR="0025689A" w:rsidRPr="0093006A">
        <w:rPr>
          <w:bCs/>
          <w:color w:val="595959" w:themeColor="text1" w:themeTint="A6"/>
        </w:rPr>
        <w:t xml:space="preserve"> an issue raised in regional areas as well.</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7"/>
        <w:tblDescription w:val="The ISEP should recognise that structural challenges exist in remote communities that impede the growth of local jobs markets "/>
      </w:tblPr>
      <w:tblGrid>
        <w:gridCol w:w="8930"/>
      </w:tblGrid>
      <w:tr w:rsidR="0093006A" w:rsidRPr="0093006A" w14:paraId="3D29DC3E" w14:textId="77777777" w:rsidTr="00091525">
        <w:trPr>
          <w:cantSplit/>
          <w:tblHeader/>
        </w:trPr>
        <w:tc>
          <w:tcPr>
            <w:tcW w:w="8930" w:type="dxa"/>
            <w:shd w:val="clear" w:color="auto" w:fill="auto"/>
          </w:tcPr>
          <w:p w14:paraId="5DC08136" w14:textId="0361C37E" w:rsidR="0039487B" w:rsidRPr="0093006A" w:rsidRDefault="0039487B" w:rsidP="0048465C">
            <w:pPr>
              <w:spacing w:after="120"/>
              <w:rPr>
                <w:b/>
                <w:bCs/>
                <w:i/>
                <w:iCs/>
                <w:color w:val="595959" w:themeColor="text1" w:themeTint="A6"/>
              </w:rPr>
            </w:pPr>
            <w:r w:rsidRPr="0093006A">
              <w:rPr>
                <w:b/>
                <w:bCs/>
                <w:i/>
                <w:iCs/>
                <w:color w:val="595959" w:themeColor="text1" w:themeTint="A6"/>
              </w:rPr>
              <w:t xml:space="preserve">Key </w:t>
            </w:r>
            <w:r w:rsidR="005A2FA9" w:rsidRPr="0093006A">
              <w:rPr>
                <w:b/>
                <w:bCs/>
                <w:i/>
                <w:iCs/>
                <w:color w:val="595959" w:themeColor="text1" w:themeTint="A6"/>
              </w:rPr>
              <w:t>I</w:t>
            </w:r>
            <w:r w:rsidRPr="0093006A">
              <w:rPr>
                <w:b/>
                <w:bCs/>
                <w:i/>
                <w:iCs/>
                <w:color w:val="595959" w:themeColor="text1" w:themeTint="A6"/>
              </w:rPr>
              <w:t>nsight</w:t>
            </w:r>
            <w:r w:rsidR="00055EF2" w:rsidRPr="0093006A">
              <w:rPr>
                <w:b/>
                <w:bCs/>
                <w:i/>
                <w:iCs/>
                <w:color w:val="595959" w:themeColor="text1" w:themeTint="A6"/>
              </w:rPr>
              <w:t xml:space="preserve"> </w:t>
            </w:r>
            <w:r w:rsidR="0073627A" w:rsidRPr="0093006A">
              <w:rPr>
                <w:b/>
                <w:bCs/>
                <w:i/>
                <w:iCs/>
                <w:color w:val="595959" w:themeColor="text1" w:themeTint="A6"/>
              </w:rPr>
              <w:t>7</w:t>
            </w:r>
          </w:p>
        </w:tc>
      </w:tr>
      <w:tr w:rsidR="0039487B" w:rsidRPr="0093006A" w14:paraId="36925132" w14:textId="77777777" w:rsidTr="00091525">
        <w:trPr>
          <w:cantSplit/>
          <w:tblHeader/>
        </w:trPr>
        <w:tc>
          <w:tcPr>
            <w:tcW w:w="8930" w:type="dxa"/>
          </w:tcPr>
          <w:p w14:paraId="5F22C4EB" w14:textId="39546097" w:rsidR="00140BFC" w:rsidRPr="0093006A" w:rsidRDefault="00140BFC" w:rsidP="00140BFC">
            <w:pPr>
              <w:spacing w:after="120"/>
              <w:rPr>
                <w:b/>
                <w:bCs/>
                <w:color w:val="595959" w:themeColor="text1" w:themeTint="A6"/>
              </w:rPr>
            </w:pPr>
            <w:r w:rsidRPr="0093006A">
              <w:rPr>
                <w:b/>
                <w:bCs/>
                <w:color w:val="595959" w:themeColor="text1" w:themeTint="A6"/>
              </w:rPr>
              <w:t xml:space="preserve">The ISEP </w:t>
            </w:r>
            <w:r w:rsidR="00DF4609" w:rsidRPr="0093006A">
              <w:rPr>
                <w:b/>
                <w:bCs/>
                <w:color w:val="595959" w:themeColor="text1" w:themeTint="A6"/>
              </w:rPr>
              <w:t>should</w:t>
            </w:r>
            <w:r w:rsidRPr="0093006A">
              <w:rPr>
                <w:b/>
                <w:bCs/>
                <w:color w:val="595959" w:themeColor="text1" w:themeTint="A6"/>
              </w:rPr>
              <w:t xml:space="preserve"> recognise that structural challenges exist in remote communities that impede the growth of local jobs markets </w:t>
            </w:r>
          </w:p>
          <w:p w14:paraId="4DFB239E" w14:textId="2F17F281" w:rsidR="0039487B" w:rsidRPr="0093006A" w:rsidRDefault="00140BFC" w:rsidP="0039487B">
            <w:pPr>
              <w:spacing w:after="120"/>
              <w:textDirection w:val="btLr"/>
              <w:rPr>
                <w:color w:val="595959" w:themeColor="text1" w:themeTint="A6"/>
              </w:rPr>
            </w:pPr>
            <w:r w:rsidRPr="0093006A">
              <w:rPr>
                <w:color w:val="595959" w:themeColor="text1" w:themeTint="A6"/>
              </w:rPr>
              <w:t>Some remote communities may lack a genuine local economy. A responsive, flexibly designed ISEP that allows for local solutions could address these structural challenges in innovative ways that are community led and supported by industry and government.</w:t>
            </w:r>
          </w:p>
        </w:tc>
      </w:tr>
    </w:tbl>
    <w:p w14:paraId="2641BB1D" w14:textId="77777777" w:rsidR="0070407E" w:rsidRPr="0093006A" w:rsidRDefault="0070407E" w:rsidP="00AB65E8">
      <w:pPr>
        <w:spacing w:after="120"/>
        <w:rPr>
          <w:bCs/>
          <w:color w:val="595959" w:themeColor="text1" w:themeTint="A6"/>
        </w:rPr>
      </w:pPr>
    </w:p>
    <w:p w14:paraId="42B41A1B" w14:textId="77777777" w:rsidR="007C6D06" w:rsidRPr="0093006A" w:rsidRDefault="007C6D06">
      <w:pPr>
        <w:rPr>
          <w:b/>
          <w:color w:val="595959" w:themeColor="text1" w:themeTint="A6"/>
          <w:sz w:val="28"/>
          <w:szCs w:val="28"/>
        </w:rPr>
      </w:pPr>
      <w:r w:rsidRPr="0093006A">
        <w:rPr>
          <w:color w:val="595959" w:themeColor="text1" w:themeTint="A6"/>
        </w:rPr>
        <w:br w:type="page"/>
      </w:r>
    </w:p>
    <w:p w14:paraId="125A5E18" w14:textId="77777777" w:rsidR="0025689A" w:rsidRPr="0093006A" w:rsidRDefault="0025689A" w:rsidP="00AB65E8">
      <w:pPr>
        <w:pStyle w:val="Heading3"/>
        <w:spacing w:before="0" w:after="120"/>
        <w:rPr>
          <w:color w:val="595959" w:themeColor="text1" w:themeTint="A6"/>
        </w:rPr>
      </w:pPr>
      <w:r w:rsidRPr="0093006A">
        <w:rPr>
          <w:color w:val="595959" w:themeColor="text1" w:themeTint="A6"/>
        </w:rPr>
        <w:t>Discussion Question Two: Opportunities in this region</w:t>
      </w:r>
    </w:p>
    <w:p w14:paraId="2FD881DB" w14:textId="77777777" w:rsidR="0025689A" w:rsidRPr="0093006A" w:rsidRDefault="0025689A" w:rsidP="00AB65E8">
      <w:pPr>
        <w:spacing w:after="120"/>
        <w:rPr>
          <w:color w:val="595959" w:themeColor="text1" w:themeTint="A6"/>
        </w:rPr>
      </w:pPr>
      <w:r w:rsidRPr="0093006A">
        <w:rPr>
          <w:color w:val="595959" w:themeColor="text1" w:themeTint="A6"/>
        </w:rPr>
        <w:t>With respect to opportunities in this region, participants answered the following questions:</w:t>
      </w:r>
    </w:p>
    <w:p w14:paraId="1FFA7ECF" w14:textId="77777777" w:rsidR="0025689A" w:rsidRPr="0093006A" w:rsidRDefault="0025689A" w:rsidP="003769B7">
      <w:pPr>
        <w:pStyle w:val="ListParagraph"/>
        <w:numPr>
          <w:ilvl w:val="0"/>
          <w:numId w:val="31"/>
        </w:numPr>
        <w:ind w:left="714" w:hanging="357"/>
        <w:contextualSpacing w:val="0"/>
        <w:rPr>
          <w:iCs/>
          <w:color w:val="595959" w:themeColor="text1" w:themeTint="A6"/>
        </w:rPr>
      </w:pPr>
      <w:r w:rsidRPr="0093006A">
        <w:rPr>
          <w:iCs/>
          <w:color w:val="595959" w:themeColor="text1" w:themeTint="A6"/>
        </w:rPr>
        <w:t>What are the key opportunities in your region?</w:t>
      </w:r>
    </w:p>
    <w:p w14:paraId="67DF9347" w14:textId="77777777" w:rsidR="0025689A" w:rsidRPr="0093006A" w:rsidRDefault="0025689A" w:rsidP="003769B7">
      <w:pPr>
        <w:pStyle w:val="ListParagraph"/>
        <w:numPr>
          <w:ilvl w:val="0"/>
          <w:numId w:val="31"/>
        </w:numPr>
        <w:spacing w:after="120"/>
        <w:ind w:left="714" w:hanging="357"/>
        <w:contextualSpacing w:val="0"/>
        <w:rPr>
          <w:iCs/>
          <w:color w:val="595959" w:themeColor="text1" w:themeTint="A6"/>
        </w:rPr>
      </w:pPr>
      <w:r w:rsidRPr="0093006A">
        <w:rPr>
          <w:iCs/>
          <w:color w:val="595959" w:themeColor="text1" w:themeTint="A6"/>
        </w:rPr>
        <w:t>What are the training or employment aspirations of local Indigenous jobseekers or local communities?</w:t>
      </w:r>
    </w:p>
    <w:p w14:paraId="072200F5" w14:textId="77777777" w:rsidR="0025689A" w:rsidRPr="0093006A" w:rsidDel="002623BF" w:rsidRDefault="00AB65E8" w:rsidP="00AB65E8">
      <w:pPr>
        <w:spacing w:after="120"/>
        <w:rPr>
          <w:b/>
          <w:bCs/>
          <w:iCs/>
          <w:color w:val="595959" w:themeColor="text1" w:themeTint="A6"/>
          <w:sz w:val="24"/>
          <w:szCs w:val="24"/>
        </w:rPr>
      </w:pPr>
      <w:r w:rsidRPr="0093006A">
        <w:rPr>
          <w:b/>
          <w:bCs/>
          <w:iCs/>
          <w:color w:val="595959" w:themeColor="text1" w:themeTint="A6"/>
          <w:sz w:val="24"/>
          <w:szCs w:val="24"/>
        </w:rPr>
        <w:t xml:space="preserve">A. </w:t>
      </w:r>
      <w:r w:rsidR="0025689A" w:rsidRPr="0093006A">
        <w:rPr>
          <w:b/>
          <w:bCs/>
          <w:iCs/>
          <w:color w:val="595959" w:themeColor="text1" w:themeTint="A6"/>
          <w:sz w:val="24"/>
          <w:szCs w:val="24"/>
        </w:rPr>
        <w:t>What are the key opportunities in your region?</w:t>
      </w:r>
    </w:p>
    <w:p w14:paraId="3E8B7BA3" w14:textId="77777777" w:rsidR="0025689A" w:rsidRPr="0093006A" w:rsidRDefault="0025689A" w:rsidP="00AB65E8">
      <w:pPr>
        <w:spacing w:after="120"/>
        <w:rPr>
          <w:color w:val="595959" w:themeColor="text1" w:themeTint="A6"/>
          <w:lang w:val="en-US"/>
        </w:rPr>
      </w:pPr>
      <w:r w:rsidRPr="0093006A">
        <w:rPr>
          <w:color w:val="595959" w:themeColor="text1" w:themeTint="A6"/>
          <w:lang w:val="en-US"/>
        </w:rPr>
        <w:t>Regional / sectoral opportunities</w:t>
      </w:r>
    </w:p>
    <w:p w14:paraId="081304BE" w14:textId="77777777" w:rsidR="0025689A" w:rsidRPr="0093006A" w:rsidRDefault="0025689A" w:rsidP="00AB65E8">
      <w:pPr>
        <w:spacing w:after="120"/>
        <w:rPr>
          <w:b/>
          <w:bCs/>
          <w:color w:val="595959" w:themeColor="text1" w:themeTint="A6"/>
          <w:lang w:val="en-US"/>
        </w:rPr>
      </w:pPr>
      <w:r w:rsidRPr="0093006A">
        <w:rPr>
          <w:color w:val="595959" w:themeColor="text1" w:themeTint="A6"/>
          <w:lang w:val="en-US"/>
        </w:rPr>
        <w:t>A range of sectoral opportunities relevant to regional location was provided by participants.</w:t>
      </w:r>
      <w:r w:rsidRPr="0093006A">
        <w:rPr>
          <w:b/>
          <w:bCs/>
          <w:color w:val="595959" w:themeColor="text1" w:themeTint="A6"/>
          <w:lang w:val="en-US"/>
        </w:rPr>
        <w:t xml:space="preserve"> </w:t>
      </w:r>
    </w:p>
    <w:p w14:paraId="5CA9AF69" w14:textId="00E71948" w:rsidR="0025689A" w:rsidRPr="0093006A" w:rsidRDefault="0025689A" w:rsidP="00AB65E8">
      <w:pPr>
        <w:spacing w:after="120"/>
        <w:rPr>
          <w:color w:val="595959" w:themeColor="text1" w:themeTint="A6"/>
        </w:rPr>
      </w:pPr>
      <w:r w:rsidRPr="0093006A">
        <w:rPr>
          <w:color w:val="595959" w:themeColor="text1" w:themeTint="A6"/>
          <w:lang w:val="en-US"/>
        </w:rPr>
        <w:t xml:space="preserve">The NDIS was nominated in many regions as an opportunity for Indigenous </w:t>
      </w:r>
      <w:r w:rsidR="00563300" w:rsidRPr="0093006A">
        <w:rPr>
          <w:color w:val="595959" w:themeColor="text1" w:themeTint="A6"/>
        </w:rPr>
        <w:t>Australians</w:t>
      </w:r>
      <w:r w:rsidRPr="0093006A">
        <w:rPr>
          <w:color w:val="595959" w:themeColor="text1" w:themeTint="A6"/>
          <w:lang w:val="en-US"/>
        </w:rPr>
        <w:t xml:space="preserve"> to be trained to provide culturally appropriate support services back into their communities, as there is a lack of Indigenous support workers in the NDIS. </w:t>
      </w:r>
      <w:r w:rsidRPr="0093006A">
        <w:rPr>
          <w:rFonts w:cstheme="minorHAnsi"/>
          <w:color w:val="595959" w:themeColor="text1" w:themeTint="A6"/>
        </w:rPr>
        <w:t xml:space="preserve">Targeted training to support entry into the digital economy was seen by some participants as an opportunity to both create local jobs markets and protect local economies from COVID-19. </w:t>
      </w:r>
    </w:p>
    <w:p w14:paraId="74BB266F" w14:textId="77777777" w:rsidR="0070407E" w:rsidRPr="0093006A" w:rsidRDefault="0025689A" w:rsidP="007C6D06">
      <w:pPr>
        <w:spacing w:after="120"/>
        <w:rPr>
          <w:color w:val="595959" w:themeColor="text1" w:themeTint="A6"/>
        </w:rPr>
      </w:pPr>
      <w:r w:rsidRPr="0093006A">
        <w:rPr>
          <w:color w:val="595959" w:themeColor="text1" w:themeTint="A6"/>
          <w:lang w:val="en-US"/>
        </w:rPr>
        <w:t>The following table provides the sectoral opportunities nominated by each region</w:t>
      </w:r>
      <w:r w:rsidR="009F464C" w:rsidRPr="0093006A">
        <w:rPr>
          <w:color w:val="595959" w:themeColor="text1" w:themeTint="A6"/>
          <w:lang w:val="en-US"/>
        </w:rPr>
        <w:t xml:space="preserve"> during the consultations (noting opportunities listed may be applicable to other regions not listed)</w:t>
      </w:r>
      <w:r w:rsidRPr="0093006A">
        <w:rPr>
          <w:color w:val="595959" w:themeColor="text1" w:themeTint="A6"/>
          <w:lang w:val="en-US"/>
        </w:rPr>
        <w:t xml:space="preserve">. </w:t>
      </w:r>
    </w:p>
    <w:p w14:paraId="4ABE619E" w14:textId="6A62342B" w:rsidR="0025689A" w:rsidRPr="0093006A" w:rsidRDefault="0025689A" w:rsidP="00AB65E8">
      <w:pPr>
        <w:pStyle w:val="NormalWeb"/>
        <w:spacing w:before="0" w:beforeAutospacing="0" w:after="120" w:afterAutospacing="0"/>
        <w:rPr>
          <w:rFonts w:ascii="Helvetica Neue" w:hAnsi="Helvetica Neue"/>
          <w:b/>
          <w:bCs/>
          <w:color w:val="595959" w:themeColor="text1" w:themeTint="A6"/>
          <w:sz w:val="24"/>
          <w:szCs w:val="24"/>
        </w:rPr>
      </w:pPr>
      <w:r w:rsidRPr="0093006A">
        <w:rPr>
          <w:rFonts w:ascii="Helvetica Neue" w:hAnsi="Helvetica Neue"/>
          <w:b/>
          <w:bCs/>
          <w:color w:val="595959" w:themeColor="text1" w:themeTint="A6"/>
          <w:sz w:val="24"/>
          <w:szCs w:val="24"/>
          <w:lang w:val="en-US"/>
        </w:rPr>
        <w:t xml:space="preserve">Table </w:t>
      </w:r>
      <w:r w:rsidR="009E7864" w:rsidRPr="0093006A">
        <w:rPr>
          <w:rFonts w:ascii="Helvetica Neue" w:hAnsi="Helvetica Neue"/>
          <w:b/>
          <w:bCs/>
          <w:color w:val="595959" w:themeColor="text1" w:themeTint="A6"/>
          <w:sz w:val="24"/>
          <w:szCs w:val="24"/>
          <w:lang w:val="en-US"/>
        </w:rPr>
        <w:t>5</w:t>
      </w:r>
      <w:r w:rsidRPr="0093006A">
        <w:rPr>
          <w:rFonts w:ascii="Helvetica Neue" w:hAnsi="Helvetica Neue"/>
          <w:b/>
          <w:bCs/>
          <w:color w:val="595959" w:themeColor="text1" w:themeTint="A6"/>
          <w:sz w:val="24"/>
          <w:szCs w:val="24"/>
          <w:lang w:val="en-US"/>
        </w:rPr>
        <w:t xml:space="preserve">: </w:t>
      </w:r>
      <w:r w:rsidRPr="0093006A">
        <w:rPr>
          <w:rFonts w:ascii="Helvetica Neue" w:hAnsi="Helvetica Neue" w:cstheme="minorHAnsi"/>
          <w:b/>
          <w:bCs/>
          <w:color w:val="595959" w:themeColor="text1" w:themeTint="A6"/>
          <w:sz w:val="24"/>
          <w:szCs w:val="24"/>
        </w:rPr>
        <w:t xml:space="preserve">Sector </w:t>
      </w:r>
      <w:r w:rsidR="00B811FA" w:rsidRPr="0093006A">
        <w:rPr>
          <w:rFonts w:ascii="Helvetica Neue" w:hAnsi="Helvetica Neue" w:cstheme="minorHAnsi"/>
          <w:b/>
          <w:bCs/>
          <w:color w:val="595959" w:themeColor="text1" w:themeTint="A6"/>
          <w:sz w:val="24"/>
          <w:szCs w:val="24"/>
        </w:rPr>
        <w:t>O</w:t>
      </w:r>
      <w:r w:rsidRPr="0093006A">
        <w:rPr>
          <w:rFonts w:ascii="Helvetica Neue" w:hAnsi="Helvetica Neue" w:cstheme="minorHAnsi"/>
          <w:b/>
          <w:bCs/>
          <w:color w:val="595959" w:themeColor="text1" w:themeTint="A6"/>
          <w:sz w:val="24"/>
          <w:szCs w:val="24"/>
        </w:rPr>
        <w:t xml:space="preserve">pportunities </w:t>
      </w:r>
      <w:r w:rsidR="007C6D06" w:rsidRPr="0093006A">
        <w:rPr>
          <w:rFonts w:ascii="Helvetica Neue" w:hAnsi="Helvetica Neue" w:cstheme="minorHAnsi"/>
          <w:b/>
          <w:bCs/>
          <w:color w:val="595959" w:themeColor="text1" w:themeTint="A6"/>
          <w:sz w:val="24"/>
          <w:szCs w:val="24"/>
        </w:rPr>
        <w:t>by</w:t>
      </w:r>
      <w:r w:rsidRPr="0093006A">
        <w:rPr>
          <w:rFonts w:ascii="Helvetica Neue" w:hAnsi="Helvetica Neue" w:cstheme="minorHAnsi"/>
          <w:b/>
          <w:bCs/>
          <w:color w:val="595959" w:themeColor="text1" w:themeTint="A6"/>
          <w:sz w:val="24"/>
          <w:szCs w:val="24"/>
        </w:rPr>
        <w:t xml:space="preserve"> </w:t>
      </w:r>
      <w:r w:rsidR="00B811FA" w:rsidRPr="0093006A">
        <w:rPr>
          <w:rFonts w:ascii="Helvetica Neue" w:hAnsi="Helvetica Neue" w:cstheme="minorHAnsi"/>
          <w:b/>
          <w:bCs/>
          <w:color w:val="595959" w:themeColor="text1" w:themeTint="A6"/>
          <w:sz w:val="24"/>
          <w:szCs w:val="24"/>
        </w:rPr>
        <w:t>L</w:t>
      </w:r>
      <w:r w:rsidR="007C6D06" w:rsidRPr="0093006A">
        <w:rPr>
          <w:rFonts w:ascii="Helvetica Neue" w:hAnsi="Helvetica Neue" w:cstheme="minorHAnsi"/>
          <w:b/>
          <w:bCs/>
          <w:color w:val="595959" w:themeColor="text1" w:themeTint="A6"/>
          <w:sz w:val="24"/>
          <w:szCs w:val="24"/>
        </w:rPr>
        <w:t>ocation</w:t>
      </w:r>
    </w:p>
    <w:tbl>
      <w:tblPr>
        <w:tblStyle w:val="TableGrid"/>
        <w:tblW w:w="9067" w:type="dxa"/>
        <w:tblLook w:val="04A0" w:firstRow="1" w:lastRow="0" w:firstColumn="1" w:lastColumn="0" w:noHBand="0" w:noVBand="1"/>
        <w:tblCaption w:val="Sector Opportunities by Location"/>
        <w:tblDescription w:val="Differing sectors listed by mention by location."/>
      </w:tblPr>
      <w:tblGrid>
        <w:gridCol w:w="3267"/>
        <w:gridCol w:w="5800"/>
      </w:tblGrid>
      <w:tr w:rsidR="0093006A" w:rsidRPr="0093006A" w14:paraId="16C18DE4" w14:textId="77777777" w:rsidTr="004976E1">
        <w:trPr>
          <w:cantSplit/>
          <w:tblHeader/>
        </w:trPr>
        <w:tc>
          <w:tcPr>
            <w:tcW w:w="3267" w:type="dxa"/>
            <w:tcBorders>
              <w:top w:val="single" w:sz="4" w:space="0" w:color="1E9995"/>
              <w:left w:val="single" w:sz="4" w:space="0" w:color="1E9995"/>
              <w:bottom w:val="single" w:sz="4" w:space="0" w:color="1E9995"/>
              <w:right w:val="single" w:sz="4" w:space="0" w:color="1E9995"/>
            </w:tcBorders>
            <w:shd w:val="clear" w:color="auto" w:fill="auto"/>
          </w:tcPr>
          <w:p w14:paraId="04B3B674" w14:textId="77777777" w:rsidR="0025689A" w:rsidRPr="0093006A" w:rsidRDefault="0025689A" w:rsidP="0048465C">
            <w:pPr>
              <w:spacing w:after="120"/>
              <w:jc w:val="center"/>
              <w:rPr>
                <w:b/>
                <w:bCs/>
                <w:color w:val="595959" w:themeColor="text1" w:themeTint="A6"/>
              </w:rPr>
            </w:pPr>
            <w:r w:rsidRPr="0093006A">
              <w:rPr>
                <w:b/>
                <w:bCs/>
                <w:color w:val="595959" w:themeColor="text1" w:themeTint="A6"/>
              </w:rPr>
              <w:t>Sector</w:t>
            </w:r>
          </w:p>
        </w:tc>
        <w:tc>
          <w:tcPr>
            <w:tcW w:w="5800" w:type="dxa"/>
            <w:tcBorders>
              <w:top w:val="single" w:sz="4" w:space="0" w:color="1E9995"/>
              <w:left w:val="single" w:sz="4" w:space="0" w:color="1E9995"/>
              <w:bottom w:val="single" w:sz="4" w:space="0" w:color="1E9995"/>
              <w:right w:val="single" w:sz="4" w:space="0" w:color="1E9995"/>
            </w:tcBorders>
            <w:shd w:val="clear" w:color="auto" w:fill="auto"/>
          </w:tcPr>
          <w:p w14:paraId="7D6B41A0" w14:textId="77777777" w:rsidR="0025689A" w:rsidRPr="0093006A" w:rsidRDefault="007C6D06" w:rsidP="0048465C">
            <w:pPr>
              <w:spacing w:after="120"/>
              <w:jc w:val="center"/>
              <w:rPr>
                <w:b/>
                <w:bCs/>
                <w:color w:val="595959" w:themeColor="text1" w:themeTint="A6"/>
              </w:rPr>
            </w:pPr>
            <w:r w:rsidRPr="0093006A">
              <w:rPr>
                <w:b/>
                <w:bCs/>
                <w:color w:val="595959" w:themeColor="text1" w:themeTint="A6"/>
              </w:rPr>
              <w:t>Location</w:t>
            </w:r>
          </w:p>
        </w:tc>
      </w:tr>
      <w:tr w:rsidR="0093006A" w:rsidRPr="0093006A" w14:paraId="7F21C094" w14:textId="77777777" w:rsidTr="004976E1">
        <w:trPr>
          <w:cantSplit/>
        </w:trPr>
        <w:tc>
          <w:tcPr>
            <w:tcW w:w="3267" w:type="dxa"/>
            <w:tcBorders>
              <w:top w:val="single" w:sz="4" w:space="0" w:color="1E9995"/>
            </w:tcBorders>
          </w:tcPr>
          <w:p w14:paraId="1A6D138F" w14:textId="77777777" w:rsidR="0025689A" w:rsidRPr="0093006A" w:rsidRDefault="0025689A" w:rsidP="0048465C">
            <w:pPr>
              <w:spacing w:after="120"/>
              <w:rPr>
                <w:b/>
                <w:bCs/>
                <w:color w:val="595959" w:themeColor="text1" w:themeTint="A6"/>
              </w:rPr>
            </w:pPr>
            <w:r w:rsidRPr="0093006A">
              <w:rPr>
                <w:b/>
                <w:bCs/>
                <w:color w:val="595959" w:themeColor="text1" w:themeTint="A6"/>
              </w:rPr>
              <w:t>Construction including civic infrastructure projects</w:t>
            </w:r>
          </w:p>
        </w:tc>
        <w:tc>
          <w:tcPr>
            <w:tcW w:w="5800" w:type="dxa"/>
            <w:tcBorders>
              <w:top w:val="single" w:sz="4" w:space="0" w:color="1E9995"/>
            </w:tcBorders>
          </w:tcPr>
          <w:p w14:paraId="65942379" w14:textId="77777777" w:rsidR="0025689A" w:rsidRPr="0093006A" w:rsidRDefault="0025689A" w:rsidP="0048465C">
            <w:pPr>
              <w:spacing w:after="120"/>
              <w:rPr>
                <w:color w:val="595959" w:themeColor="text1" w:themeTint="A6"/>
              </w:rPr>
            </w:pPr>
            <w:r w:rsidRPr="0093006A">
              <w:rPr>
                <w:color w:val="595959" w:themeColor="text1" w:themeTint="A6"/>
              </w:rPr>
              <w:t xml:space="preserve">Brisbane, </w:t>
            </w:r>
            <w:r w:rsidRPr="0093006A">
              <w:rPr>
                <w:rFonts w:cstheme="minorHAnsi"/>
                <w:color w:val="595959" w:themeColor="text1" w:themeTint="A6"/>
              </w:rPr>
              <w:t xml:space="preserve">Toowoomba, Victoria, Rockhampton, Perth, Darwin, Midwest, Greater Western, Bendigo, Nhulunbuy, Southwest and Great Southern WA, </w:t>
            </w:r>
            <w:r w:rsidRPr="0093006A">
              <w:rPr>
                <w:color w:val="595959" w:themeColor="text1" w:themeTint="A6"/>
              </w:rPr>
              <w:t>Adelaide, Cairns,</w:t>
            </w:r>
            <w:r w:rsidRPr="0093006A">
              <w:rPr>
                <w:bCs/>
                <w:color w:val="595959" w:themeColor="text1" w:themeTint="A6"/>
              </w:rPr>
              <w:t xml:space="preserve"> NSW South Coast, </w:t>
            </w:r>
            <w:r w:rsidRPr="0093006A">
              <w:rPr>
                <w:rFonts w:cstheme="minorHAnsi"/>
                <w:color w:val="595959" w:themeColor="text1" w:themeTint="A6"/>
              </w:rPr>
              <w:t>Sydney, Mt Isa, Townsville, Mackay,</w:t>
            </w:r>
            <w:r w:rsidRPr="0093006A">
              <w:rPr>
                <w:rFonts w:cs="Arial"/>
                <w:color w:val="595959" w:themeColor="text1" w:themeTint="A6"/>
              </w:rPr>
              <w:t xml:space="preserve"> NSW North Coast, Wagga Wagga</w:t>
            </w:r>
          </w:p>
        </w:tc>
      </w:tr>
      <w:tr w:rsidR="0093006A" w:rsidRPr="0093006A" w14:paraId="72887EA2" w14:textId="77777777" w:rsidTr="004976E1">
        <w:trPr>
          <w:cantSplit/>
        </w:trPr>
        <w:tc>
          <w:tcPr>
            <w:tcW w:w="3267" w:type="dxa"/>
          </w:tcPr>
          <w:p w14:paraId="4CE5F5FC" w14:textId="77777777" w:rsidR="0025689A" w:rsidRPr="0093006A" w:rsidRDefault="0025689A" w:rsidP="0048465C">
            <w:pPr>
              <w:spacing w:after="120"/>
              <w:rPr>
                <w:b/>
                <w:bCs/>
                <w:color w:val="595959" w:themeColor="text1" w:themeTint="A6"/>
              </w:rPr>
            </w:pPr>
            <w:r w:rsidRPr="0093006A">
              <w:rPr>
                <w:b/>
                <w:bCs/>
                <w:color w:val="595959" w:themeColor="text1" w:themeTint="A6"/>
              </w:rPr>
              <w:t>Tourism, Ecotourism, Educational Tourism</w:t>
            </w:r>
          </w:p>
        </w:tc>
        <w:tc>
          <w:tcPr>
            <w:tcW w:w="5800" w:type="dxa"/>
          </w:tcPr>
          <w:p w14:paraId="2D1AA714" w14:textId="77777777" w:rsidR="0025689A" w:rsidRPr="0093006A" w:rsidRDefault="0025689A" w:rsidP="0048465C">
            <w:pPr>
              <w:rPr>
                <w:color w:val="595959" w:themeColor="text1" w:themeTint="A6"/>
              </w:rPr>
            </w:pPr>
            <w:r w:rsidRPr="0093006A">
              <w:rPr>
                <w:color w:val="595959" w:themeColor="text1" w:themeTint="A6"/>
              </w:rPr>
              <w:t xml:space="preserve">Alice Springs, Brisbane, Toowoomba, Victoria, Darwin, Midwest, Nhulunbuy, Groote Eylandt, Derby, Cairns, </w:t>
            </w:r>
            <w:r w:rsidRPr="0093006A">
              <w:rPr>
                <w:bCs/>
                <w:color w:val="595959" w:themeColor="text1" w:themeTint="A6"/>
              </w:rPr>
              <w:t xml:space="preserve">NSW South Coast, </w:t>
            </w:r>
            <w:r w:rsidRPr="0093006A">
              <w:rPr>
                <w:color w:val="595959" w:themeColor="text1" w:themeTint="A6"/>
              </w:rPr>
              <w:t>Mt Isa, Townsville, Mackay, NSW North Coast</w:t>
            </w:r>
          </w:p>
        </w:tc>
      </w:tr>
      <w:tr w:rsidR="0093006A" w:rsidRPr="0093006A" w14:paraId="6F8DE945" w14:textId="77777777" w:rsidTr="004976E1">
        <w:trPr>
          <w:cantSplit/>
        </w:trPr>
        <w:tc>
          <w:tcPr>
            <w:tcW w:w="3267" w:type="dxa"/>
          </w:tcPr>
          <w:p w14:paraId="796EFAEB" w14:textId="77777777" w:rsidR="0025689A" w:rsidRPr="0093006A" w:rsidRDefault="0025689A" w:rsidP="0048465C">
            <w:pPr>
              <w:spacing w:after="120"/>
              <w:rPr>
                <w:b/>
                <w:bCs/>
                <w:color w:val="595959" w:themeColor="text1" w:themeTint="A6"/>
              </w:rPr>
            </w:pPr>
            <w:r w:rsidRPr="0093006A">
              <w:rPr>
                <w:b/>
                <w:bCs/>
                <w:color w:val="595959" w:themeColor="text1" w:themeTint="A6"/>
              </w:rPr>
              <w:t xml:space="preserve">Health and Allied Health </w:t>
            </w:r>
          </w:p>
        </w:tc>
        <w:tc>
          <w:tcPr>
            <w:tcW w:w="5800" w:type="dxa"/>
          </w:tcPr>
          <w:p w14:paraId="319D0321" w14:textId="77777777" w:rsidR="0025689A" w:rsidRPr="0093006A" w:rsidRDefault="0025689A" w:rsidP="0048465C">
            <w:pPr>
              <w:pStyle w:val="NoSpacing"/>
              <w:rPr>
                <w:color w:val="595959" w:themeColor="text1" w:themeTint="A6"/>
              </w:rPr>
            </w:pPr>
            <w:r w:rsidRPr="0093006A">
              <w:rPr>
                <w:color w:val="595959" w:themeColor="text1" w:themeTint="A6"/>
              </w:rPr>
              <w:t xml:space="preserve">Sydney, Alice Springs, Darwin, Groote Eylandt, Maningrida, Rockhampton, </w:t>
            </w:r>
            <w:r w:rsidRPr="0093006A">
              <w:rPr>
                <w:rFonts w:cstheme="minorHAnsi"/>
                <w:color w:val="595959" w:themeColor="text1" w:themeTint="A6"/>
              </w:rPr>
              <w:t xml:space="preserve">Mt Isa,, </w:t>
            </w:r>
            <w:r w:rsidRPr="0093006A">
              <w:rPr>
                <w:color w:val="595959" w:themeColor="text1" w:themeTint="A6"/>
              </w:rPr>
              <w:t>Townsville, Cairns, Mackay, Adelaide, Port Augusta, Hobart, Bendigo, Derby, Greater WA, Kununurra, Pilbara</w:t>
            </w:r>
          </w:p>
        </w:tc>
      </w:tr>
      <w:tr w:rsidR="0093006A" w:rsidRPr="0093006A" w14:paraId="5D873B2D" w14:textId="77777777" w:rsidTr="004976E1">
        <w:trPr>
          <w:cantSplit/>
        </w:trPr>
        <w:tc>
          <w:tcPr>
            <w:tcW w:w="3267" w:type="dxa"/>
          </w:tcPr>
          <w:p w14:paraId="323AE591" w14:textId="77777777" w:rsidR="0025689A" w:rsidRPr="0093006A" w:rsidRDefault="0025689A" w:rsidP="0048465C">
            <w:pPr>
              <w:spacing w:after="120"/>
              <w:rPr>
                <w:b/>
                <w:bCs/>
                <w:color w:val="595959" w:themeColor="text1" w:themeTint="A6"/>
              </w:rPr>
            </w:pPr>
            <w:r w:rsidRPr="0093006A">
              <w:rPr>
                <w:b/>
                <w:bCs/>
                <w:color w:val="595959" w:themeColor="text1" w:themeTint="A6"/>
              </w:rPr>
              <w:t>Aged Care and NDIS</w:t>
            </w:r>
          </w:p>
        </w:tc>
        <w:tc>
          <w:tcPr>
            <w:tcW w:w="5800" w:type="dxa"/>
          </w:tcPr>
          <w:p w14:paraId="1885BBED"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NSW North Coast, NSW South Coast, Darwin, Brisbane, Toowoomba, Rockhampton, Mt Isa, Townsville, Mackay, Derby, Kununurra, Perth, Tennant Creek</w:t>
            </w:r>
          </w:p>
        </w:tc>
      </w:tr>
      <w:tr w:rsidR="0093006A" w:rsidRPr="0093006A" w14:paraId="7A16FC3B" w14:textId="77777777" w:rsidTr="004976E1">
        <w:trPr>
          <w:cantSplit/>
        </w:trPr>
        <w:tc>
          <w:tcPr>
            <w:tcW w:w="3267" w:type="dxa"/>
          </w:tcPr>
          <w:p w14:paraId="27F62383" w14:textId="77777777" w:rsidR="0025689A" w:rsidRPr="0093006A" w:rsidRDefault="0025689A" w:rsidP="0048465C">
            <w:pPr>
              <w:spacing w:after="120"/>
              <w:rPr>
                <w:b/>
                <w:bCs/>
                <w:color w:val="595959" w:themeColor="text1" w:themeTint="A6"/>
              </w:rPr>
            </w:pPr>
            <w:r w:rsidRPr="0093006A">
              <w:rPr>
                <w:b/>
                <w:bCs/>
                <w:color w:val="595959" w:themeColor="text1" w:themeTint="A6"/>
              </w:rPr>
              <w:t xml:space="preserve">Social Assistance services </w:t>
            </w:r>
          </w:p>
        </w:tc>
        <w:tc>
          <w:tcPr>
            <w:tcW w:w="5800" w:type="dxa"/>
          </w:tcPr>
          <w:p w14:paraId="28BD1D3A"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Sydney, Darwin, Groote Eylandt, Rockhampton, Townsville, Mackay, Port Augusta, Hobart, Greater WA, Kununurra, Perth, Pilbara</w:t>
            </w:r>
          </w:p>
        </w:tc>
      </w:tr>
      <w:tr w:rsidR="0093006A" w:rsidRPr="0093006A" w14:paraId="030C66D2" w14:textId="77777777" w:rsidTr="004976E1">
        <w:trPr>
          <w:cantSplit/>
        </w:trPr>
        <w:tc>
          <w:tcPr>
            <w:tcW w:w="3267" w:type="dxa"/>
          </w:tcPr>
          <w:p w14:paraId="5ED74C2F"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b/>
                <w:bCs/>
                <w:color w:val="595959" w:themeColor="text1" w:themeTint="A6"/>
              </w:rPr>
              <w:t>Working on Country / Cultural Industries /Ranger program</w:t>
            </w:r>
            <w:r w:rsidRPr="0093006A">
              <w:rPr>
                <w:rFonts w:ascii="Helvetica Neue" w:hAnsi="Helvetica Neue" w:cstheme="minorHAnsi"/>
                <w:b/>
                <w:bCs/>
                <w:color w:val="595959" w:themeColor="text1" w:themeTint="A6"/>
              </w:rPr>
              <w:t xml:space="preserve"> /National Parks and conservation</w:t>
            </w:r>
          </w:p>
        </w:tc>
        <w:tc>
          <w:tcPr>
            <w:tcW w:w="5800" w:type="dxa"/>
          </w:tcPr>
          <w:p w14:paraId="04927E85"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 xml:space="preserve">Midwest, </w:t>
            </w:r>
            <w:r w:rsidRPr="0093006A">
              <w:rPr>
                <w:color w:val="595959" w:themeColor="text1" w:themeTint="A6"/>
              </w:rPr>
              <w:t>Kununurra,</w:t>
            </w:r>
            <w:r w:rsidRPr="0093006A">
              <w:rPr>
                <w:b/>
                <w:bCs/>
                <w:color w:val="595959" w:themeColor="text1" w:themeTint="A6"/>
              </w:rPr>
              <w:t xml:space="preserve"> </w:t>
            </w:r>
            <w:r w:rsidRPr="0093006A">
              <w:rPr>
                <w:rFonts w:cstheme="minorHAnsi"/>
                <w:color w:val="595959" w:themeColor="text1" w:themeTint="A6"/>
              </w:rPr>
              <w:t xml:space="preserve">Nhulunbuy, Groote Eylandt, </w:t>
            </w:r>
            <w:r w:rsidRPr="0093006A">
              <w:rPr>
                <w:color w:val="595959" w:themeColor="text1" w:themeTint="A6"/>
              </w:rPr>
              <w:t>Cairns,</w:t>
            </w:r>
            <w:r w:rsidRPr="0093006A">
              <w:rPr>
                <w:bCs/>
                <w:color w:val="595959" w:themeColor="text1" w:themeTint="A6"/>
              </w:rPr>
              <w:t xml:space="preserve"> NSW South Coast, </w:t>
            </w:r>
            <w:r w:rsidRPr="0093006A">
              <w:rPr>
                <w:rFonts w:cstheme="minorHAnsi"/>
                <w:color w:val="595959" w:themeColor="text1" w:themeTint="A6"/>
              </w:rPr>
              <w:t>Sydney, Mt Isa,</w:t>
            </w:r>
            <w:r w:rsidRPr="0093006A">
              <w:rPr>
                <w:color w:val="595959" w:themeColor="text1" w:themeTint="A6"/>
              </w:rPr>
              <w:t xml:space="preserve"> </w:t>
            </w:r>
            <w:r w:rsidRPr="0093006A">
              <w:rPr>
                <w:rFonts w:cstheme="minorHAnsi"/>
                <w:color w:val="595959" w:themeColor="text1" w:themeTint="A6"/>
              </w:rPr>
              <w:t>Mackay,</w:t>
            </w:r>
            <w:r w:rsidRPr="0093006A">
              <w:rPr>
                <w:color w:val="595959" w:themeColor="text1" w:themeTint="A6"/>
              </w:rPr>
              <w:t xml:space="preserve"> </w:t>
            </w:r>
            <w:r w:rsidRPr="0093006A">
              <w:rPr>
                <w:rFonts w:cstheme="minorHAnsi"/>
                <w:color w:val="595959" w:themeColor="text1" w:themeTint="A6"/>
              </w:rPr>
              <w:t>NSW North Coast, Wagga Wagga</w:t>
            </w:r>
          </w:p>
        </w:tc>
      </w:tr>
      <w:tr w:rsidR="0093006A" w:rsidRPr="0093006A" w14:paraId="7BF2DEEE" w14:textId="77777777" w:rsidTr="004976E1">
        <w:trPr>
          <w:cantSplit/>
        </w:trPr>
        <w:tc>
          <w:tcPr>
            <w:tcW w:w="3267" w:type="dxa"/>
          </w:tcPr>
          <w:p w14:paraId="0DD14A1A" w14:textId="77777777" w:rsidR="0025689A" w:rsidRPr="0093006A" w:rsidRDefault="0025689A" w:rsidP="0048465C">
            <w:pPr>
              <w:pStyle w:val="NormalWeb"/>
              <w:rPr>
                <w:rFonts w:ascii="Helvetica Neue" w:hAnsi="Helvetica Neue"/>
                <w:b/>
                <w:bCs/>
                <w:color w:val="595959" w:themeColor="text1" w:themeTint="A6"/>
              </w:rPr>
            </w:pPr>
            <w:r w:rsidRPr="0093006A">
              <w:rPr>
                <w:rFonts w:ascii="Helvetica Neue" w:hAnsi="Helvetica Neue" w:cstheme="minorHAnsi"/>
                <w:b/>
                <w:bCs/>
                <w:color w:val="595959" w:themeColor="text1" w:themeTint="A6"/>
              </w:rPr>
              <w:t>STEM</w:t>
            </w:r>
          </w:p>
        </w:tc>
        <w:tc>
          <w:tcPr>
            <w:tcW w:w="5800" w:type="dxa"/>
          </w:tcPr>
          <w:p w14:paraId="311489AF"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 xml:space="preserve">Brisbane, </w:t>
            </w:r>
            <w:r w:rsidRPr="0093006A">
              <w:rPr>
                <w:color w:val="595959" w:themeColor="text1" w:themeTint="A6"/>
              </w:rPr>
              <w:t xml:space="preserve">Adelaide, </w:t>
            </w:r>
            <w:r w:rsidRPr="0093006A">
              <w:rPr>
                <w:rFonts w:cs="Arial"/>
                <w:color w:val="595959" w:themeColor="text1" w:themeTint="A6"/>
              </w:rPr>
              <w:t xml:space="preserve">NSW South Coast, </w:t>
            </w:r>
            <w:r w:rsidRPr="0093006A">
              <w:rPr>
                <w:rFonts w:cstheme="minorHAnsi"/>
                <w:color w:val="595959" w:themeColor="text1" w:themeTint="A6"/>
              </w:rPr>
              <w:t xml:space="preserve">Mt Isa, National </w:t>
            </w:r>
          </w:p>
        </w:tc>
      </w:tr>
      <w:tr w:rsidR="0093006A" w:rsidRPr="0093006A" w14:paraId="714E672E" w14:textId="77777777" w:rsidTr="004976E1">
        <w:trPr>
          <w:cantSplit/>
        </w:trPr>
        <w:tc>
          <w:tcPr>
            <w:tcW w:w="3267" w:type="dxa"/>
          </w:tcPr>
          <w:p w14:paraId="2F5F40EE"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cstheme="minorHAnsi"/>
                <w:b/>
                <w:bCs/>
                <w:color w:val="595959" w:themeColor="text1" w:themeTint="A6"/>
              </w:rPr>
              <w:t xml:space="preserve">Education and Training </w:t>
            </w:r>
          </w:p>
        </w:tc>
        <w:tc>
          <w:tcPr>
            <w:tcW w:w="5800" w:type="dxa"/>
          </w:tcPr>
          <w:p w14:paraId="744AB6A9"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Tennant Creek, Victoria, Derby,</w:t>
            </w:r>
            <w:r w:rsidRPr="0093006A">
              <w:rPr>
                <w:color w:val="595959" w:themeColor="text1" w:themeTint="A6"/>
              </w:rPr>
              <w:t xml:space="preserve"> Adelaide</w:t>
            </w:r>
          </w:p>
        </w:tc>
      </w:tr>
      <w:tr w:rsidR="0093006A" w:rsidRPr="0093006A" w14:paraId="58234F46" w14:textId="77777777" w:rsidTr="004976E1">
        <w:trPr>
          <w:cantSplit/>
        </w:trPr>
        <w:tc>
          <w:tcPr>
            <w:tcW w:w="3267" w:type="dxa"/>
          </w:tcPr>
          <w:p w14:paraId="67D93E3A"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cstheme="minorHAnsi"/>
                <w:b/>
                <w:bCs/>
                <w:color w:val="595959" w:themeColor="text1" w:themeTint="A6"/>
              </w:rPr>
              <w:t>Renewable energy</w:t>
            </w:r>
          </w:p>
        </w:tc>
        <w:tc>
          <w:tcPr>
            <w:tcW w:w="5800" w:type="dxa"/>
          </w:tcPr>
          <w:p w14:paraId="14353447"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 xml:space="preserve">Tennant Creek, Victoria, Nhulunbuy, Derby, </w:t>
            </w:r>
            <w:r w:rsidRPr="0093006A">
              <w:rPr>
                <w:color w:val="595959" w:themeColor="text1" w:themeTint="A6"/>
              </w:rPr>
              <w:t xml:space="preserve">Adelaide, </w:t>
            </w:r>
            <w:r w:rsidRPr="0093006A">
              <w:rPr>
                <w:rFonts w:cstheme="minorHAnsi"/>
                <w:color w:val="595959" w:themeColor="text1" w:themeTint="A6"/>
              </w:rPr>
              <w:t>Mt Isa, Townsville</w:t>
            </w:r>
          </w:p>
        </w:tc>
      </w:tr>
      <w:tr w:rsidR="0093006A" w:rsidRPr="0093006A" w14:paraId="1BA1F217" w14:textId="77777777" w:rsidTr="004976E1">
        <w:trPr>
          <w:cantSplit/>
        </w:trPr>
        <w:tc>
          <w:tcPr>
            <w:tcW w:w="3267" w:type="dxa"/>
          </w:tcPr>
          <w:p w14:paraId="5DA51535"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b/>
                <w:bCs/>
                <w:color w:val="595959" w:themeColor="text1" w:themeTint="A6"/>
              </w:rPr>
              <w:t>Public Administration</w:t>
            </w:r>
          </w:p>
        </w:tc>
        <w:tc>
          <w:tcPr>
            <w:tcW w:w="5800" w:type="dxa"/>
          </w:tcPr>
          <w:p w14:paraId="212B77DC"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Goldfields, Darwin, Perth, Port Augusta, Cairns</w:t>
            </w:r>
          </w:p>
        </w:tc>
      </w:tr>
      <w:tr w:rsidR="0093006A" w:rsidRPr="0093006A" w14:paraId="0CE94B3A" w14:textId="77777777" w:rsidTr="004976E1">
        <w:trPr>
          <w:cantSplit/>
        </w:trPr>
        <w:tc>
          <w:tcPr>
            <w:tcW w:w="3267" w:type="dxa"/>
          </w:tcPr>
          <w:p w14:paraId="2ED1148E"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cstheme="minorHAnsi"/>
                <w:b/>
                <w:bCs/>
                <w:color w:val="595959" w:themeColor="text1" w:themeTint="A6"/>
              </w:rPr>
              <w:t>Agriculture</w:t>
            </w:r>
          </w:p>
        </w:tc>
        <w:tc>
          <w:tcPr>
            <w:tcW w:w="5800" w:type="dxa"/>
          </w:tcPr>
          <w:p w14:paraId="260E47E8"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 xml:space="preserve">Toowoomba, Darwin, Midwest, Bendigo, Southwest and Great Southern WA, </w:t>
            </w:r>
            <w:r w:rsidRPr="0093006A">
              <w:rPr>
                <w:color w:val="595959" w:themeColor="text1" w:themeTint="A6"/>
              </w:rPr>
              <w:t>Kununurra, Adelaide,</w:t>
            </w:r>
            <w:r w:rsidRPr="0093006A">
              <w:rPr>
                <w:rFonts w:cs="Arial"/>
                <w:color w:val="595959" w:themeColor="text1" w:themeTint="A6"/>
              </w:rPr>
              <w:t xml:space="preserve"> NSW South Coast, </w:t>
            </w:r>
            <w:r w:rsidRPr="0093006A">
              <w:rPr>
                <w:rFonts w:cstheme="minorHAnsi"/>
                <w:color w:val="595959" w:themeColor="text1" w:themeTint="A6"/>
              </w:rPr>
              <w:t>Mt Isa, Townsville,</w:t>
            </w:r>
            <w:r w:rsidRPr="0093006A">
              <w:rPr>
                <w:rFonts w:cstheme="minorHAnsi"/>
                <w:bCs/>
                <w:color w:val="595959" w:themeColor="text1" w:themeTint="A6"/>
              </w:rPr>
              <w:t xml:space="preserve"> Woorabinda,</w:t>
            </w:r>
            <w:r w:rsidRPr="0093006A">
              <w:rPr>
                <w:rFonts w:cs="Arial"/>
                <w:color w:val="595959" w:themeColor="text1" w:themeTint="A6"/>
              </w:rPr>
              <w:t xml:space="preserve"> NSW North Coast</w:t>
            </w:r>
          </w:p>
        </w:tc>
      </w:tr>
      <w:tr w:rsidR="0093006A" w:rsidRPr="0093006A" w14:paraId="65788073" w14:textId="77777777" w:rsidTr="004976E1">
        <w:trPr>
          <w:cantSplit/>
        </w:trPr>
        <w:tc>
          <w:tcPr>
            <w:tcW w:w="3267" w:type="dxa"/>
          </w:tcPr>
          <w:p w14:paraId="6CF7AF88"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cstheme="minorHAnsi"/>
                <w:b/>
                <w:bCs/>
                <w:color w:val="595959" w:themeColor="text1" w:themeTint="A6"/>
              </w:rPr>
              <w:t>Hospitality</w:t>
            </w:r>
          </w:p>
        </w:tc>
        <w:tc>
          <w:tcPr>
            <w:tcW w:w="5800" w:type="dxa"/>
          </w:tcPr>
          <w:p w14:paraId="7515EED6"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Toowoomba, Rockhampton, Perth, Darwin, Pilbara, Midwest, Greater Western, Bendigo,</w:t>
            </w:r>
            <w:r w:rsidRPr="0093006A">
              <w:rPr>
                <w:color w:val="595959" w:themeColor="text1" w:themeTint="A6"/>
              </w:rPr>
              <w:t xml:space="preserve"> Adelaide,</w:t>
            </w:r>
            <w:r w:rsidRPr="0093006A">
              <w:rPr>
                <w:rFonts w:cs="Arial"/>
                <w:color w:val="595959" w:themeColor="text1" w:themeTint="A6"/>
              </w:rPr>
              <w:t xml:space="preserve"> NSW South Coast, </w:t>
            </w:r>
            <w:r w:rsidRPr="0093006A">
              <w:rPr>
                <w:rFonts w:cstheme="minorHAnsi"/>
                <w:color w:val="595959" w:themeColor="text1" w:themeTint="A6"/>
              </w:rPr>
              <w:t>Mt Isa,</w:t>
            </w:r>
            <w:r w:rsidRPr="0093006A">
              <w:rPr>
                <w:rFonts w:cs="Arial"/>
                <w:color w:val="595959" w:themeColor="text1" w:themeTint="A6"/>
              </w:rPr>
              <w:t xml:space="preserve"> NSW North Coast</w:t>
            </w:r>
          </w:p>
        </w:tc>
      </w:tr>
      <w:tr w:rsidR="0093006A" w:rsidRPr="0093006A" w14:paraId="04AA08F2" w14:textId="77777777" w:rsidTr="004976E1">
        <w:trPr>
          <w:cantSplit/>
        </w:trPr>
        <w:tc>
          <w:tcPr>
            <w:tcW w:w="3267" w:type="dxa"/>
          </w:tcPr>
          <w:p w14:paraId="5AE4AD98"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cstheme="minorHAnsi"/>
                <w:b/>
                <w:bCs/>
                <w:color w:val="595959" w:themeColor="text1" w:themeTint="A6"/>
              </w:rPr>
              <w:t>Retail/supermarkets and customer service</w:t>
            </w:r>
          </w:p>
        </w:tc>
        <w:tc>
          <w:tcPr>
            <w:tcW w:w="5800" w:type="dxa"/>
          </w:tcPr>
          <w:p w14:paraId="11E476B0"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Victoria, Pilbara,</w:t>
            </w:r>
            <w:r w:rsidRPr="0093006A">
              <w:rPr>
                <w:color w:val="595959" w:themeColor="text1" w:themeTint="A6"/>
              </w:rPr>
              <w:t xml:space="preserve"> Adelaide,</w:t>
            </w:r>
            <w:r w:rsidRPr="0093006A">
              <w:rPr>
                <w:rFonts w:cstheme="minorHAnsi"/>
                <w:color w:val="595959" w:themeColor="text1" w:themeTint="A6"/>
              </w:rPr>
              <w:t xml:space="preserve"> Townsville</w:t>
            </w:r>
          </w:p>
        </w:tc>
      </w:tr>
      <w:tr w:rsidR="0093006A" w:rsidRPr="0093006A" w14:paraId="30122257" w14:textId="77777777" w:rsidTr="004976E1">
        <w:trPr>
          <w:cantSplit/>
        </w:trPr>
        <w:tc>
          <w:tcPr>
            <w:tcW w:w="3267" w:type="dxa"/>
          </w:tcPr>
          <w:p w14:paraId="0A25D893"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cstheme="minorHAnsi"/>
                <w:b/>
                <w:bCs/>
                <w:color w:val="595959" w:themeColor="text1" w:themeTint="A6"/>
              </w:rPr>
              <w:t>Defence</w:t>
            </w:r>
          </w:p>
        </w:tc>
        <w:tc>
          <w:tcPr>
            <w:tcW w:w="5800" w:type="dxa"/>
          </w:tcPr>
          <w:p w14:paraId="68F23CC4"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Rockhampton, Derby, Adelaide,</w:t>
            </w:r>
            <w:r w:rsidRPr="0093006A">
              <w:rPr>
                <w:color w:val="595959" w:themeColor="text1" w:themeTint="A6"/>
              </w:rPr>
              <w:t xml:space="preserve"> Cairns,</w:t>
            </w:r>
            <w:r w:rsidRPr="0093006A">
              <w:rPr>
                <w:rFonts w:cs="Arial"/>
                <w:color w:val="595959" w:themeColor="text1" w:themeTint="A6"/>
              </w:rPr>
              <w:t xml:space="preserve"> NSW South Coast, </w:t>
            </w:r>
            <w:r w:rsidRPr="0093006A">
              <w:rPr>
                <w:rFonts w:cstheme="minorHAnsi"/>
                <w:color w:val="595959" w:themeColor="text1" w:themeTint="A6"/>
              </w:rPr>
              <w:t>Townsville,</w:t>
            </w:r>
            <w:r w:rsidRPr="0093006A">
              <w:rPr>
                <w:color w:val="595959" w:themeColor="text1" w:themeTint="A6"/>
              </w:rPr>
              <w:t xml:space="preserve"> </w:t>
            </w:r>
            <w:r w:rsidRPr="0093006A">
              <w:rPr>
                <w:rFonts w:cstheme="minorHAnsi"/>
                <w:color w:val="595959" w:themeColor="text1" w:themeTint="A6"/>
              </w:rPr>
              <w:t>Mackay</w:t>
            </w:r>
          </w:p>
        </w:tc>
      </w:tr>
      <w:tr w:rsidR="0093006A" w:rsidRPr="0093006A" w14:paraId="10176C1A" w14:textId="77777777" w:rsidTr="004976E1">
        <w:trPr>
          <w:cantSplit/>
        </w:trPr>
        <w:tc>
          <w:tcPr>
            <w:tcW w:w="3267" w:type="dxa"/>
          </w:tcPr>
          <w:p w14:paraId="42BC361A"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cstheme="minorHAnsi"/>
                <w:b/>
                <w:bCs/>
                <w:color w:val="595959" w:themeColor="text1" w:themeTint="A6"/>
              </w:rPr>
              <w:t>Mining/resource sector</w:t>
            </w:r>
          </w:p>
        </w:tc>
        <w:tc>
          <w:tcPr>
            <w:tcW w:w="5800" w:type="dxa"/>
          </w:tcPr>
          <w:p w14:paraId="49745CC2"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Rockhampton, Perth, Pilbara, Goldfields, Derby, Mt Isa, Townsville,</w:t>
            </w:r>
            <w:r w:rsidRPr="0093006A">
              <w:rPr>
                <w:b/>
                <w:color w:val="595959" w:themeColor="text1" w:themeTint="A6"/>
              </w:rPr>
              <w:t xml:space="preserve"> </w:t>
            </w:r>
            <w:r w:rsidRPr="0093006A">
              <w:rPr>
                <w:rFonts w:cstheme="minorHAnsi"/>
                <w:bCs/>
                <w:color w:val="595959" w:themeColor="text1" w:themeTint="A6"/>
              </w:rPr>
              <w:t>Woorabinda</w:t>
            </w:r>
          </w:p>
        </w:tc>
      </w:tr>
      <w:tr w:rsidR="0093006A" w:rsidRPr="0093006A" w14:paraId="6116F2C9" w14:textId="77777777" w:rsidTr="004976E1">
        <w:trPr>
          <w:cantSplit/>
        </w:trPr>
        <w:tc>
          <w:tcPr>
            <w:tcW w:w="3267" w:type="dxa"/>
          </w:tcPr>
          <w:p w14:paraId="6D9ACAF4"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cstheme="minorHAnsi"/>
                <w:b/>
                <w:bCs/>
                <w:color w:val="595959" w:themeColor="text1" w:themeTint="A6"/>
              </w:rPr>
              <w:t>Local government</w:t>
            </w:r>
          </w:p>
        </w:tc>
        <w:tc>
          <w:tcPr>
            <w:tcW w:w="5800" w:type="dxa"/>
          </w:tcPr>
          <w:p w14:paraId="6668E49B"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Goldfields, Darwin, Perth, Port Augusta,</w:t>
            </w:r>
            <w:r w:rsidRPr="0093006A">
              <w:rPr>
                <w:color w:val="595959" w:themeColor="text1" w:themeTint="A6"/>
              </w:rPr>
              <w:t xml:space="preserve"> Cairns</w:t>
            </w:r>
          </w:p>
        </w:tc>
      </w:tr>
      <w:tr w:rsidR="0093006A" w:rsidRPr="0093006A" w14:paraId="14A3F123" w14:textId="77777777" w:rsidTr="004976E1">
        <w:trPr>
          <w:cantSplit/>
        </w:trPr>
        <w:tc>
          <w:tcPr>
            <w:tcW w:w="3267" w:type="dxa"/>
          </w:tcPr>
          <w:p w14:paraId="486CF91D" w14:textId="77777777" w:rsidR="0025689A" w:rsidRPr="0093006A" w:rsidRDefault="0025689A" w:rsidP="0048465C">
            <w:pPr>
              <w:pStyle w:val="NormalWeb"/>
              <w:rPr>
                <w:rFonts w:ascii="Helvetica Neue" w:hAnsi="Helvetica Neue" w:cstheme="minorHAnsi"/>
                <w:b/>
                <w:bCs/>
                <w:color w:val="595959" w:themeColor="text1" w:themeTint="A6"/>
              </w:rPr>
            </w:pPr>
            <w:r w:rsidRPr="0093006A">
              <w:rPr>
                <w:rFonts w:ascii="Helvetica Neue" w:hAnsi="Helvetica Neue"/>
                <w:b/>
                <w:bCs/>
                <w:color w:val="595959" w:themeColor="text1" w:themeTint="A6"/>
              </w:rPr>
              <w:t>Professional, Scientific, and</w:t>
            </w:r>
            <w:r w:rsidRPr="0093006A">
              <w:rPr>
                <w:rFonts w:ascii="Helvetica Neue" w:hAnsi="Helvetica Neue"/>
                <w:color w:val="595959" w:themeColor="text1" w:themeTint="A6"/>
              </w:rPr>
              <w:t xml:space="preserve"> </w:t>
            </w:r>
            <w:r w:rsidRPr="0093006A">
              <w:rPr>
                <w:rFonts w:ascii="Helvetica Neue" w:hAnsi="Helvetica Neue"/>
                <w:b/>
                <w:bCs/>
                <w:color w:val="595959" w:themeColor="text1" w:themeTint="A6"/>
              </w:rPr>
              <w:t>Technical services</w:t>
            </w:r>
          </w:p>
        </w:tc>
        <w:tc>
          <w:tcPr>
            <w:tcW w:w="5800" w:type="dxa"/>
          </w:tcPr>
          <w:p w14:paraId="179D9D30" w14:textId="77777777" w:rsidR="0025689A" w:rsidRPr="0093006A" w:rsidRDefault="0025689A" w:rsidP="0048465C">
            <w:pPr>
              <w:spacing w:after="120"/>
              <w:rPr>
                <w:rFonts w:cstheme="minorHAnsi"/>
                <w:color w:val="595959" w:themeColor="text1" w:themeTint="A6"/>
              </w:rPr>
            </w:pPr>
            <w:r w:rsidRPr="0093006A">
              <w:rPr>
                <w:rFonts w:cstheme="minorHAnsi"/>
                <w:color w:val="595959" w:themeColor="text1" w:themeTint="A6"/>
              </w:rPr>
              <w:t>Adelaide, Sydney, Darwin, Perth, NSW South Coast, NSW North Coast, Hobart</w:t>
            </w:r>
          </w:p>
        </w:tc>
      </w:tr>
      <w:tr w:rsidR="0093006A" w:rsidRPr="0093006A" w14:paraId="24104BC4" w14:textId="77777777" w:rsidTr="004976E1">
        <w:trPr>
          <w:cantSplit/>
          <w:trHeight w:val="844"/>
        </w:trPr>
        <w:tc>
          <w:tcPr>
            <w:tcW w:w="3267" w:type="dxa"/>
          </w:tcPr>
          <w:p w14:paraId="7066961E" w14:textId="77777777" w:rsidR="0025689A" w:rsidRPr="0093006A" w:rsidRDefault="0025689A" w:rsidP="0048465C">
            <w:pPr>
              <w:pStyle w:val="NoSpacing"/>
              <w:rPr>
                <w:b/>
                <w:bCs/>
                <w:color w:val="595959" w:themeColor="text1" w:themeTint="A6"/>
              </w:rPr>
            </w:pPr>
            <w:r w:rsidRPr="0093006A">
              <w:rPr>
                <w:b/>
                <w:bCs/>
                <w:color w:val="595959" w:themeColor="text1" w:themeTint="A6"/>
              </w:rPr>
              <w:t>Agriculture Forestry and Fishing</w:t>
            </w:r>
          </w:p>
          <w:p w14:paraId="2A99E4E7" w14:textId="77777777" w:rsidR="0025689A" w:rsidRPr="0093006A" w:rsidRDefault="0025689A" w:rsidP="0048465C">
            <w:pPr>
              <w:pStyle w:val="NormalWeb"/>
              <w:rPr>
                <w:rFonts w:ascii="Helvetica Neue" w:hAnsi="Helvetica Neue"/>
                <w:b/>
                <w:bCs/>
                <w:color w:val="595959" w:themeColor="text1" w:themeTint="A6"/>
              </w:rPr>
            </w:pPr>
          </w:p>
        </w:tc>
        <w:tc>
          <w:tcPr>
            <w:tcW w:w="5800" w:type="dxa"/>
          </w:tcPr>
          <w:p w14:paraId="6CEF29E3" w14:textId="77777777" w:rsidR="0025689A" w:rsidRPr="0093006A" w:rsidRDefault="0025689A" w:rsidP="0048465C">
            <w:pPr>
              <w:pStyle w:val="NoSpacing"/>
              <w:rPr>
                <w:color w:val="595959" w:themeColor="text1" w:themeTint="A6"/>
              </w:rPr>
            </w:pPr>
            <w:r w:rsidRPr="0093006A">
              <w:rPr>
                <w:rFonts w:cstheme="minorHAnsi"/>
                <w:color w:val="595959" w:themeColor="text1" w:themeTint="A6"/>
              </w:rPr>
              <w:t xml:space="preserve">Toowoomba, Darwin, Midwest, Bendigo, Southwest- and-Great Southern-WA, </w:t>
            </w:r>
            <w:r w:rsidRPr="0093006A">
              <w:rPr>
                <w:color w:val="595959" w:themeColor="text1" w:themeTint="A6"/>
              </w:rPr>
              <w:t xml:space="preserve">Kununurra, Adelaide, </w:t>
            </w:r>
            <w:r w:rsidRPr="0093006A">
              <w:rPr>
                <w:rFonts w:cs="Arial"/>
                <w:color w:val="595959" w:themeColor="text1" w:themeTint="A6"/>
              </w:rPr>
              <w:t xml:space="preserve">NSW South- Coast, </w:t>
            </w:r>
          </w:p>
          <w:p w14:paraId="2E26DD9B" w14:textId="77777777" w:rsidR="0025689A" w:rsidRPr="0093006A" w:rsidRDefault="0025689A" w:rsidP="0048465C">
            <w:pPr>
              <w:pStyle w:val="NoSpacing"/>
              <w:rPr>
                <w:rFonts w:cstheme="minorHAnsi"/>
                <w:color w:val="595959" w:themeColor="text1" w:themeTint="A6"/>
              </w:rPr>
            </w:pPr>
            <w:r w:rsidRPr="0093006A">
              <w:rPr>
                <w:rFonts w:cstheme="minorHAnsi"/>
                <w:color w:val="595959" w:themeColor="text1" w:themeTint="A6"/>
              </w:rPr>
              <w:t>Mt Isa, Townsville,</w:t>
            </w:r>
            <w:r w:rsidRPr="0093006A">
              <w:rPr>
                <w:rFonts w:cstheme="minorHAnsi"/>
                <w:bCs/>
                <w:color w:val="595959" w:themeColor="text1" w:themeTint="A6"/>
              </w:rPr>
              <w:t xml:space="preserve"> Woorabinda,</w:t>
            </w:r>
            <w:r w:rsidRPr="0093006A">
              <w:rPr>
                <w:rFonts w:cs="Arial"/>
                <w:color w:val="595959" w:themeColor="text1" w:themeTint="A6"/>
              </w:rPr>
              <w:t xml:space="preserve"> NSW North- Coast</w:t>
            </w:r>
          </w:p>
        </w:tc>
      </w:tr>
      <w:tr w:rsidR="0025689A" w:rsidRPr="0093006A" w14:paraId="646E0E4C" w14:textId="77777777" w:rsidTr="004976E1">
        <w:trPr>
          <w:cantSplit/>
          <w:trHeight w:val="416"/>
        </w:trPr>
        <w:tc>
          <w:tcPr>
            <w:tcW w:w="3267" w:type="dxa"/>
          </w:tcPr>
          <w:p w14:paraId="20376A7B" w14:textId="77777777" w:rsidR="0025689A" w:rsidRPr="0093006A" w:rsidRDefault="0025689A" w:rsidP="0048465C">
            <w:pPr>
              <w:pStyle w:val="NoSpacing"/>
              <w:rPr>
                <w:b/>
                <w:bCs/>
                <w:color w:val="595959" w:themeColor="text1" w:themeTint="A6"/>
              </w:rPr>
            </w:pPr>
            <w:r w:rsidRPr="0093006A">
              <w:rPr>
                <w:b/>
                <w:bCs/>
                <w:color w:val="595959" w:themeColor="text1" w:themeTint="A6"/>
              </w:rPr>
              <w:t xml:space="preserve">Juvenile Justice / Corrections </w:t>
            </w:r>
          </w:p>
        </w:tc>
        <w:tc>
          <w:tcPr>
            <w:tcW w:w="5800" w:type="dxa"/>
          </w:tcPr>
          <w:p w14:paraId="08FCC714" w14:textId="77777777" w:rsidR="0025689A" w:rsidRPr="0093006A" w:rsidRDefault="0025689A" w:rsidP="0048465C">
            <w:pPr>
              <w:pStyle w:val="NoSpacing"/>
              <w:rPr>
                <w:rFonts w:cstheme="minorHAnsi"/>
                <w:color w:val="595959" w:themeColor="text1" w:themeTint="A6"/>
              </w:rPr>
            </w:pPr>
            <w:r w:rsidRPr="0093006A">
              <w:rPr>
                <w:rFonts w:cstheme="minorHAnsi"/>
                <w:color w:val="595959" w:themeColor="text1" w:themeTint="A6"/>
              </w:rPr>
              <w:t>Wagga Wagga</w:t>
            </w:r>
          </w:p>
        </w:tc>
      </w:tr>
    </w:tbl>
    <w:p w14:paraId="6D27771D" w14:textId="77777777" w:rsidR="00AB65E8" w:rsidRPr="0093006A" w:rsidRDefault="00AB65E8" w:rsidP="00AB65E8">
      <w:pPr>
        <w:pStyle w:val="NormalWeb"/>
        <w:spacing w:before="0" w:beforeAutospacing="0" w:after="120" w:afterAutospacing="0"/>
        <w:rPr>
          <w:rFonts w:ascii="Helvetica Neue" w:hAnsi="Helvetica Neue" w:cstheme="minorHAnsi"/>
          <w:b/>
          <w:bCs/>
          <w:color w:val="595959" w:themeColor="text1" w:themeTint="A6"/>
        </w:rPr>
      </w:pPr>
    </w:p>
    <w:p w14:paraId="1E1176E4" w14:textId="77777777" w:rsidR="0025689A"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 xml:space="preserve">Building the Indigenous business and entrepreneurial sector is a key priority to provide opportunities for Indigenous economies and expand the Indigenous employer base. </w:t>
      </w:r>
    </w:p>
    <w:p w14:paraId="1F0ADD46" w14:textId="6E29F0D7" w:rsidR="0025689A" w:rsidRPr="0093006A" w:rsidRDefault="0025689A" w:rsidP="00AB65E8">
      <w:pPr>
        <w:spacing w:after="120"/>
        <w:rPr>
          <w:rFonts w:cstheme="minorHAnsi"/>
          <w:color w:val="595959" w:themeColor="text1" w:themeTint="A6"/>
        </w:rPr>
      </w:pPr>
      <w:r w:rsidRPr="0093006A">
        <w:rPr>
          <w:rFonts w:cs="Segoe UI"/>
          <w:color w:val="595959" w:themeColor="text1" w:themeTint="A6"/>
        </w:rPr>
        <w:t xml:space="preserve">A key theme across the roundtables was the need for supports within the ISEP to build the Indigenous business sector. Tourism and Indigenous cultural industry were commonly raised. Many Indigenous </w:t>
      </w:r>
      <w:r w:rsidR="00563300" w:rsidRPr="0093006A">
        <w:rPr>
          <w:color w:val="595959" w:themeColor="text1" w:themeTint="A6"/>
        </w:rPr>
        <w:t>Australians</w:t>
      </w:r>
      <w:r w:rsidRPr="0093006A">
        <w:rPr>
          <w:rFonts w:cs="Segoe UI"/>
          <w:color w:val="595959" w:themeColor="text1" w:themeTint="A6"/>
        </w:rPr>
        <w:t xml:space="preserve"> do not have the support or existing knowledge to establish a business or access grant </w:t>
      </w:r>
      <w:r w:rsidR="00220337" w:rsidRPr="0093006A">
        <w:rPr>
          <w:rFonts w:cs="Segoe UI"/>
          <w:color w:val="595959" w:themeColor="text1" w:themeTint="A6"/>
        </w:rPr>
        <w:t>opportunities</w:t>
      </w:r>
      <w:r w:rsidRPr="0093006A">
        <w:rPr>
          <w:rFonts w:cs="Segoe UI"/>
          <w:color w:val="595959" w:themeColor="text1" w:themeTint="A6"/>
        </w:rPr>
        <w:t xml:space="preserve">. </w:t>
      </w:r>
      <w:r w:rsidRPr="0093006A">
        <w:rPr>
          <w:color w:val="595959" w:themeColor="text1" w:themeTint="A6"/>
        </w:rPr>
        <w:t>Participants were very enthusiastic about courses that build skills in areas such as administration and other areas relating to business management, business development and s</w:t>
      </w:r>
      <w:r w:rsidRPr="0093006A">
        <w:rPr>
          <w:rFonts w:cstheme="minorHAnsi"/>
          <w:color w:val="595959" w:themeColor="text1" w:themeTint="A6"/>
        </w:rPr>
        <w:t xml:space="preserve">ocial enterprises. </w:t>
      </w:r>
    </w:p>
    <w:p w14:paraId="7ED7951A" w14:textId="77777777" w:rsidR="0025689A" w:rsidRPr="0093006A" w:rsidRDefault="0025689A" w:rsidP="00AB65E8">
      <w:pPr>
        <w:spacing w:after="120"/>
        <w:rPr>
          <w:rFonts w:cstheme="minorHAnsi"/>
          <w:color w:val="595959" w:themeColor="text1" w:themeTint="A6"/>
        </w:rPr>
      </w:pPr>
      <w:r w:rsidRPr="0093006A">
        <w:rPr>
          <w:rFonts w:cstheme="minorHAnsi"/>
          <w:color w:val="595959" w:themeColor="text1" w:themeTint="A6"/>
        </w:rPr>
        <w:t>Participants offered a range of opportunities to support the development of the Indigenous business sector including:</w:t>
      </w:r>
    </w:p>
    <w:p w14:paraId="2F7FFC02" w14:textId="6A619D62" w:rsidR="0025689A" w:rsidRPr="0093006A" w:rsidRDefault="009170D8" w:rsidP="003769B7">
      <w:pPr>
        <w:pStyle w:val="ListParagraph"/>
        <w:numPr>
          <w:ilvl w:val="0"/>
          <w:numId w:val="22"/>
        </w:numPr>
        <w:spacing w:after="120"/>
        <w:rPr>
          <w:rFonts w:cstheme="minorHAnsi"/>
          <w:color w:val="595959" w:themeColor="text1" w:themeTint="A6"/>
        </w:rPr>
      </w:pPr>
      <w:r w:rsidRPr="0093006A">
        <w:rPr>
          <w:rFonts w:cstheme="minorHAnsi"/>
          <w:color w:val="595959" w:themeColor="text1" w:themeTint="A6"/>
        </w:rPr>
        <w:t>B</w:t>
      </w:r>
      <w:r w:rsidR="0025689A" w:rsidRPr="0093006A">
        <w:rPr>
          <w:rFonts w:cstheme="minorHAnsi"/>
          <w:color w:val="595959" w:themeColor="text1" w:themeTint="A6"/>
        </w:rPr>
        <w:t>usiness hubs</w:t>
      </w:r>
    </w:p>
    <w:p w14:paraId="5BF3B26A" w14:textId="4A6B4C63" w:rsidR="0025689A" w:rsidRPr="0093006A" w:rsidRDefault="009170D8" w:rsidP="003769B7">
      <w:pPr>
        <w:pStyle w:val="ListParagraph"/>
        <w:numPr>
          <w:ilvl w:val="0"/>
          <w:numId w:val="22"/>
        </w:numPr>
        <w:spacing w:after="120"/>
        <w:rPr>
          <w:rFonts w:cstheme="minorHAnsi"/>
          <w:color w:val="595959" w:themeColor="text1" w:themeTint="A6"/>
        </w:rPr>
      </w:pPr>
      <w:r w:rsidRPr="0093006A">
        <w:rPr>
          <w:rFonts w:cstheme="minorHAnsi"/>
          <w:color w:val="595959" w:themeColor="text1" w:themeTint="A6"/>
        </w:rPr>
        <w:t>B</w:t>
      </w:r>
      <w:r w:rsidR="0025689A" w:rsidRPr="0093006A">
        <w:rPr>
          <w:rFonts w:cstheme="minorHAnsi"/>
          <w:color w:val="595959" w:themeColor="text1" w:themeTint="A6"/>
        </w:rPr>
        <w:t>usiness literacy courses</w:t>
      </w:r>
    </w:p>
    <w:p w14:paraId="2F10769C" w14:textId="5F397C98" w:rsidR="0025689A" w:rsidRPr="0093006A" w:rsidRDefault="009170D8" w:rsidP="003769B7">
      <w:pPr>
        <w:pStyle w:val="ListParagraph"/>
        <w:numPr>
          <w:ilvl w:val="0"/>
          <w:numId w:val="22"/>
        </w:numPr>
        <w:spacing w:after="120"/>
        <w:rPr>
          <w:rFonts w:cstheme="minorHAnsi"/>
          <w:color w:val="595959" w:themeColor="text1" w:themeTint="A6"/>
        </w:rPr>
      </w:pPr>
      <w:r w:rsidRPr="0093006A">
        <w:rPr>
          <w:rFonts w:cstheme="minorHAnsi"/>
          <w:color w:val="595959" w:themeColor="text1" w:themeTint="A6"/>
        </w:rPr>
        <w:t>Investment in indigenous business</w:t>
      </w:r>
      <w:r w:rsidR="00220337" w:rsidRPr="0093006A">
        <w:rPr>
          <w:rFonts w:cstheme="minorHAnsi"/>
          <w:color w:val="595959" w:themeColor="text1" w:themeTint="A6"/>
        </w:rPr>
        <w:t>, and</w:t>
      </w:r>
    </w:p>
    <w:p w14:paraId="079A6C1F" w14:textId="7EC20E80" w:rsidR="00FE025C" w:rsidRPr="0093006A" w:rsidRDefault="009170D8">
      <w:pPr>
        <w:pStyle w:val="ListParagraph"/>
        <w:numPr>
          <w:ilvl w:val="0"/>
          <w:numId w:val="22"/>
        </w:numPr>
        <w:spacing w:after="120"/>
        <w:rPr>
          <w:rFonts w:cstheme="minorHAnsi"/>
          <w:color w:val="595959" w:themeColor="text1" w:themeTint="A6"/>
        </w:rPr>
      </w:pPr>
      <w:r w:rsidRPr="0093006A">
        <w:rPr>
          <w:rFonts w:cstheme="minorHAnsi"/>
          <w:color w:val="595959" w:themeColor="text1" w:themeTint="A6"/>
        </w:rPr>
        <w:t>W</w:t>
      </w:r>
      <w:r w:rsidR="0025689A" w:rsidRPr="0093006A">
        <w:rPr>
          <w:rFonts w:cstheme="minorHAnsi"/>
          <w:color w:val="595959" w:themeColor="text1" w:themeTint="A6"/>
        </w:rPr>
        <w:t>orking with communities to identify business opportunities</w:t>
      </w:r>
      <w:r w:rsidR="00B811FA" w:rsidRPr="0093006A">
        <w:rPr>
          <w:rFonts w:cstheme="minorHAnsi"/>
          <w:color w:val="595959" w:themeColor="text1" w:themeTint="A6"/>
        </w:rPr>
        <w:t>.</w:t>
      </w:r>
    </w:p>
    <w:p w14:paraId="785B6006" w14:textId="77777777" w:rsidR="0025689A"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The fundamental objectives of the ISEP should be systems reform, a strengths-based approach to Indigenous capacity, improving education and training opportunities, providing opportunities to industry to strengthen capacity and leveraging government policy opportunities</w:t>
      </w:r>
    </w:p>
    <w:p w14:paraId="647FBF56" w14:textId="4960F4E6" w:rsidR="0025689A"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 xml:space="preserve">Participants reported the need for wide-ranging systems reform in the ISEP design, much of which </w:t>
      </w:r>
      <w:r w:rsidR="00220337" w:rsidRPr="0093006A">
        <w:rPr>
          <w:rFonts w:ascii="Helvetica Neue" w:hAnsi="Helvetica Neue" w:cstheme="minorHAnsi"/>
          <w:color w:val="595959" w:themeColor="text1" w:themeTint="A6"/>
        </w:rPr>
        <w:t xml:space="preserve">requires a </w:t>
      </w:r>
      <w:r w:rsidRPr="0093006A">
        <w:rPr>
          <w:rFonts w:ascii="Helvetica Neue" w:hAnsi="Helvetica Neue" w:cstheme="minorHAnsi"/>
          <w:color w:val="595959" w:themeColor="text1" w:themeTint="A6"/>
        </w:rPr>
        <w:t xml:space="preserve">significant shift to place ACCOs and </w:t>
      </w:r>
      <w:r w:rsidRPr="0093006A">
        <w:rPr>
          <w:rFonts w:ascii="Helvetica Neue" w:hAnsi="Helvetica Neue"/>
          <w:color w:val="595959" w:themeColor="text1" w:themeTint="A6"/>
          <w:lang w:val="en-US"/>
        </w:rPr>
        <w:t>community</w:t>
      </w:r>
      <w:r w:rsidR="00220337" w:rsidRPr="0093006A">
        <w:rPr>
          <w:rFonts w:ascii="Helvetica Neue" w:hAnsi="Helvetica Neue"/>
          <w:color w:val="595959" w:themeColor="text1" w:themeTint="A6"/>
          <w:lang w:val="en-US"/>
        </w:rPr>
        <w:t>-</w:t>
      </w:r>
      <w:r w:rsidRPr="0093006A">
        <w:rPr>
          <w:rFonts w:ascii="Helvetica Neue" w:hAnsi="Helvetica Neue"/>
          <w:color w:val="595959" w:themeColor="text1" w:themeTint="A6"/>
          <w:lang w:val="en-US"/>
        </w:rPr>
        <w:t xml:space="preserve">led collaboration, co-design and implementation of Indigenous employment services at the centre of the program. </w:t>
      </w:r>
    </w:p>
    <w:p w14:paraId="13DC3B82" w14:textId="4972748A" w:rsidR="0025689A"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 xml:space="preserve">Many participants noted the lack of integration between </w:t>
      </w:r>
      <w:r w:rsidR="00220337" w:rsidRPr="0093006A">
        <w:rPr>
          <w:rFonts w:ascii="Helvetica Neue" w:hAnsi="Helvetica Neue" w:cstheme="minorHAnsi"/>
          <w:color w:val="595959" w:themeColor="text1" w:themeTint="A6"/>
        </w:rPr>
        <w:t>F</w:t>
      </w:r>
      <w:r w:rsidRPr="0093006A">
        <w:rPr>
          <w:rFonts w:ascii="Helvetica Neue" w:hAnsi="Helvetica Neue" w:cstheme="minorHAnsi"/>
          <w:color w:val="595959" w:themeColor="text1" w:themeTint="A6"/>
        </w:rPr>
        <w:t>ederal agencies and other jurisdiction</w:t>
      </w:r>
      <w:r w:rsidR="00220337" w:rsidRPr="0093006A">
        <w:rPr>
          <w:rFonts w:ascii="Helvetica Neue" w:hAnsi="Helvetica Neue" w:cstheme="minorHAnsi"/>
          <w:color w:val="595959" w:themeColor="text1" w:themeTint="A6"/>
        </w:rPr>
        <w:t>s</w:t>
      </w:r>
      <w:r w:rsidRPr="0093006A">
        <w:rPr>
          <w:rFonts w:ascii="Helvetica Neue" w:hAnsi="Helvetica Neue" w:cstheme="minorHAnsi"/>
          <w:color w:val="595959" w:themeColor="text1" w:themeTint="A6"/>
        </w:rPr>
        <w:t xml:space="preserve"> and </w:t>
      </w:r>
      <w:r w:rsidR="00220337" w:rsidRPr="0093006A">
        <w:rPr>
          <w:rFonts w:ascii="Helvetica Neue" w:hAnsi="Helvetica Neue" w:cstheme="minorHAnsi"/>
          <w:color w:val="595959" w:themeColor="text1" w:themeTint="A6"/>
        </w:rPr>
        <w:t xml:space="preserve">the resulting </w:t>
      </w:r>
      <w:r w:rsidRPr="0093006A">
        <w:rPr>
          <w:rFonts w:ascii="Helvetica Neue" w:hAnsi="Helvetica Neue" w:cstheme="minorHAnsi"/>
          <w:color w:val="595959" w:themeColor="text1" w:themeTint="A6"/>
        </w:rPr>
        <w:t xml:space="preserve">funding siloing as both a key impediment and an opportunity for reform </w:t>
      </w:r>
      <w:r w:rsidR="00220337" w:rsidRPr="0093006A">
        <w:rPr>
          <w:rFonts w:ascii="Helvetica Neue" w:hAnsi="Helvetica Neue" w:cstheme="minorHAnsi"/>
          <w:color w:val="595959" w:themeColor="text1" w:themeTint="A6"/>
        </w:rPr>
        <w:t>of</w:t>
      </w:r>
      <w:r w:rsidRPr="0093006A">
        <w:rPr>
          <w:rFonts w:ascii="Helvetica Neue" w:hAnsi="Helvetica Neue" w:cstheme="minorHAnsi"/>
          <w:color w:val="595959" w:themeColor="text1" w:themeTint="A6"/>
        </w:rPr>
        <w:t xml:space="preserve"> the Indigenous employment system </w:t>
      </w:r>
      <w:r w:rsidR="00220337" w:rsidRPr="0093006A">
        <w:rPr>
          <w:rFonts w:ascii="Helvetica Neue" w:hAnsi="Helvetica Neue" w:cstheme="minorHAnsi"/>
          <w:color w:val="595959" w:themeColor="text1" w:themeTint="A6"/>
        </w:rPr>
        <w:t xml:space="preserve">so it is </w:t>
      </w:r>
      <w:r w:rsidR="00DF4609" w:rsidRPr="0093006A">
        <w:rPr>
          <w:rFonts w:ascii="Helvetica Neue" w:hAnsi="Helvetica Neue" w:cstheme="minorHAnsi"/>
          <w:color w:val="595959" w:themeColor="text1" w:themeTint="A6"/>
        </w:rPr>
        <w:t xml:space="preserve">firmly </w:t>
      </w:r>
      <w:r w:rsidRPr="0093006A">
        <w:rPr>
          <w:rFonts w:ascii="Helvetica Neue" w:hAnsi="Helvetica Neue" w:cstheme="minorHAnsi"/>
          <w:color w:val="595959" w:themeColor="text1" w:themeTint="A6"/>
        </w:rPr>
        <w:t xml:space="preserve">based in increased collaboration. </w:t>
      </w:r>
      <w:r w:rsidRPr="0093006A">
        <w:rPr>
          <w:rFonts w:ascii="Helvetica Neue" w:hAnsi="Helvetica Neue"/>
          <w:color w:val="595959" w:themeColor="text1" w:themeTint="A6"/>
        </w:rPr>
        <w:t xml:space="preserve">The National Empowered Communities group believes there is scope to use existing systems, entities and structures to create more integrated and </w:t>
      </w:r>
      <w:r w:rsidR="00B811FA" w:rsidRPr="0093006A">
        <w:rPr>
          <w:rFonts w:ascii="Helvetica Neue" w:hAnsi="Helvetica Neue"/>
          <w:color w:val="595959" w:themeColor="text1" w:themeTint="A6"/>
        </w:rPr>
        <w:t>better-organised</w:t>
      </w:r>
      <w:r w:rsidRPr="0093006A">
        <w:rPr>
          <w:rFonts w:ascii="Helvetica Neue" w:hAnsi="Helvetica Neue"/>
          <w:color w:val="595959" w:themeColor="text1" w:themeTint="A6"/>
        </w:rPr>
        <w:t xml:space="preserve"> opportunities. </w:t>
      </w:r>
    </w:p>
    <w:p w14:paraId="02E3A7F9" w14:textId="7DE0A4C3" w:rsidR="0025689A" w:rsidRPr="0093006A" w:rsidRDefault="0025689A" w:rsidP="00AB65E8">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stheme="minorHAnsi"/>
          <w:color w:val="595959" w:themeColor="text1" w:themeTint="A6"/>
        </w:rPr>
        <w:t xml:space="preserve">A common theme across participants was the need for a shift in funding approaches to provide </w:t>
      </w:r>
      <w:r w:rsidRPr="0093006A">
        <w:rPr>
          <w:rFonts w:ascii="Helvetica Neue" w:hAnsi="Helvetica Neue"/>
          <w:color w:val="595959" w:themeColor="text1" w:themeTint="A6"/>
        </w:rPr>
        <w:t>realistic timeframes</w:t>
      </w:r>
      <w:r w:rsidRPr="0093006A">
        <w:rPr>
          <w:rFonts w:ascii="Helvetica Neue" w:hAnsi="Helvetica Neue" w:cstheme="minorHAnsi"/>
          <w:color w:val="595959" w:themeColor="text1" w:themeTint="A6"/>
        </w:rPr>
        <w:t xml:space="preserve">. This is based in the belief that </w:t>
      </w:r>
      <w:r w:rsidRPr="0093006A">
        <w:rPr>
          <w:rFonts w:ascii="Helvetica Neue" w:hAnsi="Helvetica Neue"/>
          <w:color w:val="595959" w:themeColor="text1" w:themeTint="A6"/>
        </w:rPr>
        <w:t xml:space="preserve">short-term contracts are seen as contributing to system instability and </w:t>
      </w:r>
      <w:r w:rsidRPr="0093006A">
        <w:rPr>
          <w:rFonts w:ascii="Helvetica Neue" w:hAnsi="Helvetica Neue" w:cstheme="minorHAnsi"/>
          <w:color w:val="595959" w:themeColor="text1" w:themeTint="A6"/>
        </w:rPr>
        <w:t>c</w:t>
      </w:r>
      <w:r w:rsidRPr="0093006A">
        <w:rPr>
          <w:rFonts w:ascii="Helvetica Neue" w:hAnsi="Helvetica Neue"/>
          <w:color w:val="595959" w:themeColor="text1" w:themeTint="A6"/>
        </w:rPr>
        <w:t xml:space="preserve">urrent funding timeframes do not support successful Indigenous employment outcomes. Participants from some areas (namely </w:t>
      </w:r>
      <w:r w:rsidRPr="0093006A">
        <w:rPr>
          <w:rFonts w:ascii="Helvetica Neue" w:hAnsi="Helvetica Neue" w:cstheme="minorHAnsi"/>
          <w:color w:val="595959" w:themeColor="text1" w:themeTint="A6"/>
        </w:rPr>
        <w:t>Toowoomba, Nhulunbuy, Adelaide, and Hobart</w:t>
      </w:r>
      <w:r w:rsidRPr="0093006A">
        <w:rPr>
          <w:rFonts w:ascii="Helvetica Neue" w:hAnsi="Helvetica Neue"/>
          <w:color w:val="595959" w:themeColor="text1" w:themeTint="A6"/>
        </w:rPr>
        <w:t>) cited the removal of funding from regional areas.</w:t>
      </w:r>
    </w:p>
    <w:p w14:paraId="72AFA258" w14:textId="450E563F" w:rsidR="0025689A" w:rsidRPr="0093006A" w:rsidRDefault="0025689A" w:rsidP="00AB65E8">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Also common across participant</w:t>
      </w:r>
      <w:r w:rsidR="00220337" w:rsidRPr="0093006A">
        <w:rPr>
          <w:rFonts w:ascii="Helvetica Neue" w:hAnsi="Helvetica Neue"/>
          <w:color w:val="595959" w:themeColor="text1" w:themeTint="A6"/>
        </w:rPr>
        <w:t>s</w:t>
      </w:r>
      <w:r w:rsidRPr="0093006A">
        <w:rPr>
          <w:rFonts w:ascii="Helvetica Neue" w:hAnsi="Helvetica Neue"/>
          <w:color w:val="595959" w:themeColor="text1" w:themeTint="A6"/>
        </w:rPr>
        <w:t xml:space="preserve"> was the view that there is a strong need </w:t>
      </w:r>
      <w:r w:rsidRPr="0093006A">
        <w:rPr>
          <w:rFonts w:ascii="Helvetica Neue" w:hAnsi="Helvetica Neue" w:cstheme="minorHAnsi"/>
          <w:color w:val="595959" w:themeColor="text1" w:themeTint="A6"/>
        </w:rPr>
        <w:t>for coordinated approaches and clear communication channels between government and Indigenous communities to strengthen community decision</w:t>
      </w:r>
      <w:r w:rsidR="00220337" w:rsidRPr="0093006A">
        <w:rPr>
          <w:rFonts w:ascii="Helvetica Neue" w:hAnsi="Helvetica Neue" w:cstheme="minorHAnsi"/>
          <w:color w:val="595959" w:themeColor="text1" w:themeTint="A6"/>
        </w:rPr>
        <w:t>-</w:t>
      </w:r>
      <w:r w:rsidRPr="0093006A">
        <w:rPr>
          <w:rFonts w:ascii="Helvetica Neue" w:hAnsi="Helvetica Neue" w:cstheme="minorHAnsi"/>
          <w:color w:val="595959" w:themeColor="text1" w:themeTint="A6"/>
        </w:rPr>
        <w:t xml:space="preserve">making. </w:t>
      </w:r>
      <w:r w:rsidRPr="0093006A">
        <w:rPr>
          <w:rFonts w:ascii="Helvetica Neue" w:hAnsi="Helvetica Neue"/>
          <w:color w:val="595959" w:themeColor="text1" w:themeTint="A6"/>
        </w:rPr>
        <w:t>The role of ACCOs was cited here as fundamental.</w:t>
      </w:r>
    </w:p>
    <w:p w14:paraId="1E005F8C" w14:textId="3AD763E7" w:rsidR="00FE025C" w:rsidRPr="0093006A" w:rsidRDefault="0025689A" w:rsidP="00AB65E8">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 xml:space="preserve">Industry and other participants were supportive of developing priorities, desired outcomes and the actions required to recruit, retain and develop a larger Indigenous </w:t>
      </w:r>
      <w:r w:rsidR="00140BFC" w:rsidRPr="0093006A">
        <w:rPr>
          <w:rFonts w:ascii="Helvetica Neue" w:hAnsi="Helvetica Neue"/>
          <w:color w:val="595959" w:themeColor="text1" w:themeTint="A6"/>
        </w:rPr>
        <w:t xml:space="preserve">workforce </w:t>
      </w:r>
      <w:r w:rsidRPr="0093006A">
        <w:rPr>
          <w:rFonts w:ascii="Helvetica Neue" w:hAnsi="Helvetica Neue"/>
          <w:color w:val="595959" w:themeColor="text1" w:themeTint="A6"/>
        </w:rPr>
        <w:t xml:space="preserve">presence. However, they nominated requiring assistance </w:t>
      </w:r>
      <w:r w:rsidR="00315F81" w:rsidRPr="0093006A">
        <w:rPr>
          <w:rFonts w:ascii="Helvetica Neue" w:hAnsi="Helvetica Neue"/>
          <w:color w:val="595959" w:themeColor="text1" w:themeTint="A6"/>
        </w:rPr>
        <w:t>to</w:t>
      </w:r>
      <w:r w:rsidRPr="0093006A">
        <w:rPr>
          <w:rFonts w:ascii="Helvetica Neue" w:hAnsi="Helvetica Neue"/>
          <w:color w:val="595959" w:themeColor="text1" w:themeTint="A6"/>
        </w:rPr>
        <w:t xml:space="preserve"> engag</w:t>
      </w:r>
      <w:r w:rsidR="00315F81" w:rsidRPr="0093006A">
        <w:rPr>
          <w:rFonts w:ascii="Helvetica Neue" w:hAnsi="Helvetica Neue"/>
          <w:color w:val="595959" w:themeColor="text1" w:themeTint="A6"/>
        </w:rPr>
        <w:t>e</w:t>
      </w:r>
      <w:r w:rsidRPr="0093006A">
        <w:rPr>
          <w:rFonts w:ascii="Helvetica Neue" w:hAnsi="Helvetica Neue"/>
          <w:color w:val="595959" w:themeColor="text1" w:themeTint="A6"/>
        </w:rPr>
        <w:t xml:space="preserve"> directly with the Indigenous community to co-design pathways and traineeships to meet the needs and aspirations of Indigenous students and jobseekers. </w:t>
      </w:r>
    </w:p>
    <w:p w14:paraId="6706F2F8" w14:textId="77777777" w:rsidR="0025689A"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 xml:space="preserve">Culturally safe workplaces </w:t>
      </w:r>
    </w:p>
    <w:p w14:paraId="10A41460" w14:textId="08F09483" w:rsidR="0025689A"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 xml:space="preserve">The need to improve employer capacity to </w:t>
      </w:r>
      <w:r w:rsidR="00C24340" w:rsidRPr="0093006A">
        <w:rPr>
          <w:rFonts w:ascii="Helvetica Neue" w:hAnsi="Helvetica Neue" w:cstheme="minorHAnsi"/>
          <w:color w:val="595959" w:themeColor="text1" w:themeTint="A6"/>
        </w:rPr>
        <w:t xml:space="preserve">provide </w:t>
      </w:r>
      <w:r w:rsidRPr="0093006A">
        <w:rPr>
          <w:rFonts w:ascii="Helvetica Neue" w:hAnsi="Helvetica Neue" w:cstheme="minorHAnsi"/>
          <w:color w:val="595959" w:themeColor="text1" w:themeTint="A6"/>
        </w:rPr>
        <w:t xml:space="preserve">culturally safe workplaces is essential to increasing </w:t>
      </w:r>
      <w:r w:rsidR="00B727D0" w:rsidRPr="0093006A">
        <w:rPr>
          <w:rFonts w:ascii="Helvetica Neue" w:hAnsi="Helvetica Neue" w:cstheme="minorHAnsi"/>
          <w:color w:val="595959" w:themeColor="text1" w:themeTint="A6"/>
        </w:rPr>
        <w:t xml:space="preserve">both </w:t>
      </w:r>
      <w:r w:rsidRPr="0093006A">
        <w:rPr>
          <w:rFonts w:ascii="Helvetica Neue" w:hAnsi="Helvetica Neue" w:cstheme="minorHAnsi"/>
          <w:color w:val="595959" w:themeColor="text1" w:themeTint="A6"/>
        </w:rPr>
        <w:t>Indigenous employment</w:t>
      </w:r>
      <w:r w:rsidR="00B727D0" w:rsidRPr="0093006A">
        <w:rPr>
          <w:rFonts w:ascii="Helvetica Neue" w:hAnsi="Helvetica Neue" w:cstheme="minorHAnsi"/>
          <w:color w:val="595959" w:themeColor="text1" w:themeTint="A6"/>
        </w:rPr>
        <w:t xml:space="preserve"> and retention.</w:t>
      </w:r>
      <w:r w:rsidRPr="0093006A">
        <w:rPr>
          <w:rFonts w:ascii="Helvetica Neue" w:hAnsi="Helvetica Neue" w:cstheme="minorHAnsi"/>
          <w:color w:val="595959" w:themeColor="text1" w:themeTint="A6"/>
        </w:rPr>
        <w:t xml:space="preserve">  The majority of participants nominated the need for industry and employer interventions backed by ACCO</w:t>
      </w:r>
      <w:r w:rsidR="00C24340" w:rsidRPr="0093006A">
        <w:rPr>
          <w:rFonts w:ascii="Helvetica Neue" w:hAnsi="Helvetica Neue" w:cstheme="minorHAnsi"/>
          <w:color w:val="595959" w:themeColor="text1" w:themeTint="A6"/>
        </w:rPr>
        <w:t>-</w:t>
      </w:r>
      <w:r w:rsidRPr="0093006A">
        <w:rPr>
          <w:rFonts w:ascii="Helvetica Neue" w:hAnsi="Helvetica Neue" w:cstheme="minorHAnsi"/>
          <w:color w:val="595959" w:themeColor="text1" w:themeTint="A6"/>
        </w:rPr>
        <w:t xml:space="preserve">led supports and delivery. </w:t>
      </w:r>
    </w:p>
    <w:p w14:paraId="26A3E9B2" w14:textId="107E20A3" w:rsidR="00B727D0" w:rsidRPr="0093006A" w:rsidRDefault="00B727D0"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 xml:space="preserve">Industry and other stakeholders raised the </w:t>
      </w:r>
      <w:r w:rsidR="00C24340" w:rsidRPr="0093006A">
        <w:rPr>
          <w:rFonts w:ascii="Helvetica Neue" w:hAnsi="Helvetica Neue" w:cstheme="minorHAnsi"/>
          <w:color w:val="595959" w:themeColor="text1" w:themeTint="A6"/>
        </w:rPr>
        <w:t>lack of</w:t>
      </w:r>
      <w:r w:rsidRPr="0093006A">
        <w:rPr>
          <w:rFonts w:ascii="Helvetica Neue" w:hAnsi="Helvetica Neue" w:cstheme="minorHAnsi"/>
          <w:color w:val="595959" w:themeColor="text1" w:themeTint="A6"/>
        </w:rPr>
        <w:t xml:space="preserve"> employer supports </w:t>
      </w:r>
      <w:r w:rsidR="00F9142C" w:rsidRPr="0093006A">
        <w:rPr>
          <w:rFonts w:ascii="Helvetica Neue" w:hAnsi="Helvetica Neue" w:cstheme="minorHAnsi"/>
          <w:color w:val="595959" w:themeColor="text1" w:themeTint="A6"/>
        </w:rPr>
        <w:t xml:space="preserve">to build culturally safe workplaces </w:t>
      </w:r>
      <w:r w:rsidRPr="0093006A">
        <w:rPr>
          <w:rFonts w:ascii="Helvetica Neue" w:hAnsi="Helvetica Neue" w:cstheme="minorHAnsi"/>
          <w:color w:val="595959" w:themeColor="text1" w:themeTint="A6"/>
        </w:rPr>
        <w:t>as a fundamental gap in the current system.</w:t>
      </w:r>
      <w:r w:rsidR="00F9142C" w:rsidRPr="0093006A">
        <w:rPr>
          <w:rFonts w:ascii="Helvetica Neue" w:hAnsi="Helvetica Neue" w:cstheme="minorHAnsi"/>
          <w:color w:val="595959" w:themeColor="text1" w:themeTint="A6"/>
        </w:rPr>
        <w:t xml:space="preserve"> </w:t>
      </w:r>
      <w:r w:rsidRPr="0093006A">
        <w:rPr>
          <w:rFonts w:ascii="Helvetica Neue" w:hAnsi="Helvetica Neue" w:cstheme="minorHAnsi"/>
          <w:color w:val="595959" w:themeColor="text1" w:themeTint="A6"/>
        </w:rPr>
        <w:t xml:space="preserve"> </w:t>
      </w:r>
    </w:p>
    <w:p w14:paraId="5816C19B" w14:textId="0850ED6C" w:rsidR="00B727D0" w:rsidRPr="0093006A" w:rsidRDefault="00B727D0" w:rsidP="00B727D0">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Government procurement polices</w:t>
      </w:r>
    </w:p>
    <w:p w14:paraId="01AE5928" w14:textId="6BCE8F2D" w:rsidR="0025689A" w:rsidRPr="0093006A" w:rsidRDefault="0025689A" w:rsidP="00AB65E8">
      <w:pPr>
        <w:tabs>
          <w:tab w:val="left" w:pos="384"/>
        </w:tabs>
        <w:spacing w:after="120"/>
        <w:rPr>
          <w:rFonts w:cstheme="minorHAnsi"/>
          <w:color w:val="595959" w:themeColor="text1" w:themeTint="A6"/>
        </w:rPr>
      </w:pPr>
      <w:r w:rsidRPr="0093006A">
        <w:rPr>
          <w:rFonts w:cstheme="minorHAnsi"/>
          <w:color w:val="595959" w:themeColor="text1" w:themeTint="A6"/>
        </w:rPr>
        <w:t xml:space="preserve">The </w:t>
      </w:r>
      <w:r w:rsidR="0041129C" w:rsidRPr="0093006A">
        <w:rPr>
          <w:rFonts w:cstheme="minorHAnsi"/>
          <w:color w:val="595959" w:themeColor="text1" w:themeTint="A6"/>
        </w:rPr>
        <w:t>F</w:t>
      </w:r>
      <w:r w:rsidRPr="0093006A">
        <w:rPr>
          <w:rFonts w:cstheme="minorHAnsi"/>
          <w:color w:val="595959" w:themeColor="text1" w:themeTint="A6"/>
        </w:rPr>
        <w:t xml:space="preserve">ederal </w:t>
      </w:r>
      <w:r w:rsidR="0041129C" w:rsidRPr="0093006A">
        <w:rPr>
          <w:rFonts w:cstheme="minorHAnsi"/>
          <w:color w:val="595959" w:themeColor="text1" w:themeTint="A6"/>
        </w:rPr>
        <w:t xml:space="preserve">Government </w:t>
      </w:r>
      <w:r w:rsidRPr="0093006A">
        <w:rPr>
          <w:rFonts w:cstheme="minorHAnsi"/>
          <w:color w:val="595959" w:themeColor="text1" w:themeTint="A6"/>
        </w:rPr>
        <w:t>Indigenous Procurement Policy was recognised by many participants as a key driver of Indigenous participation in the economy</w:t>
      </w:r>
      <w:r w:rsidR="0041129C" w:rsidRPr="0093006A">
        <w:rPr>
          <w:rFonts w:cstheme="minorHAnsi"/>
          <w:color w:val="595959" w:themeColor="text1" w:themeTint="A6"/>
        </w:rPr>
        <w:t>,</w:t>
      </w:r>
      <w:r w:rsidRPr="0093006A">
        <w:rPr>
          <w:rFonts w:cstheme="minorHAnsi"/>
          <w:color w:val="595959" w:themeColor="text1" w:themeTint="A6"/>
        </w:rPr>
        <w:t xml:space="preserve"> however some participants hope</w:t>
      </w:r>
      <w:r w:rsidR="0041129C" w:rsidRPr="0093006A">
        <w:rPr>
          <w:rFonts w:cstheme="minorHAnsi"/>
          <w:color w:val="595959" w:themeColor="text1" w:themeTint="A6"/>
        </w:rPr>
        <w:t>d</w:t>
      </w:r>
      <w:r w:rsidRPr="0093006A">
        <w:rPr>
          <w:rFonts w:cstheme="minorHAnsi"/>
          <w:color w:val="595959" w:themeColor="text1" w:themeTint="A6"/>
        </w:rPr>
        <w:t xml:space="preserve"> to see greater use of government tenders and their governance mechanisms. To further stimulate opportunities, participants </w:t>
      </w:r>
      <w:r w:rsidR="0041129C" w:rsidRPr="0093006A">
        <w:rPr>
          <w:rFonts w:cstheme="minorHAnsi"/>
          <w:color w:val="595959" w:themeColor="text1" w:themeTint="A6"/>
        </w:rPr>
        <w:t>identified</w:t>
      </w:r>
      <w:r w:rsidRPr="0093006A">
        <w:rPr>
          <w:rFonts w:cstheme="minorHAnsi"/>
          <w:color w:val="595959" w:themeColor="text1" w:themeTint="A6"/>
        </w:rPr>
        <w:t xml:space="preserve"> increased employment targets and </w:t>
      </w:r>
      <w:r w:rsidR="0041129C" w:rsidRPr="0093006A">
        <w:rPr>
          <w:rFonts w:cstheme="minorHAnsi"/>
          <w:color w:val="595959" w:themeColor="text1" w:themeTint="A6"/>
        </w:rPr>
        <w:t xml:space="preserve">increasing </w:t>
      </w:r>
      <w:r w:rsidRPr="0093006A">
        <w:rPr>
          <w:rFonts w:cstheme="minorHAnsi"/>
          <w:color w:val="595959" w:themeColor="text1" w:themeTint="A6"/>
        </w:rPr>
        <w:t xml:space="preserve">the total number of domestic contracts for goods and services issued by government agencies. </w:t>
      </w:r>
    </w:p>
    <w:p w14:paraId="189F0270" w14:textId="6E466E20" w:rsidR="0025689A" w:rsidRPr="0093006A" w:rsidRDefault="0025689A" w:rsidP="00AB65E8">
      <w:pPr>
        <w:spacing w:after="120"/>
        <w:rPr>
          <w:rFonts w:cstheme="minorHAnsi"/>
          <w:b/>
          <w:bCs/>
          <w:color w:val="595959" w:themeColor="text1" w:themeTint="A6"/>
        </w:rPr>
      </w:pPr>
      <w:r w:rsidRPr="0093006A">
        <w:rPr>
          <w:bCs/>
          <w:color w:val="595959" w:themeColor="text1" w:themeTint="A6"/>
        </w:rPr>
        <w:t>Some participants fe</w:t>
      </w:r>
      <w:r w:rsidR="0041129C" w:rsidRPr="0093006A">
        <w:rPr>
          <w:bCs/>
          <w:color w:val="595959" w:themeColor="text1" w:themeTint="A6"/>
        </w:rPr>
        <w:t>lt</w:t>
      </w:r>
      <w:r w:rsidRPr="0093006A">
        <w:rPr>
          <w:bCs/>
          <w:color w:val="595959" w:themeColor="text1" w:themeTint="A6"/>
        </w:rPr>
        <w:t xml:space="preserve"> that Indigenous procurement policies are ineffective </w:t>
      </w:r>
      <w:r w:rsidR="0041129C" w:rsidRPr="0093006A">
        <w:rPr>
          <w:bCs/>
          <w:color w:val="595959" w:themeColor="text1" w:themeTint="A6"/>
        </w:rPr>
        <w:t>in</w:t>
      </w:r>
      <w:r w:rsidRPr="0093006A">
        <w:rPr>
          <w:bCs/>
          <w:color w:val="595959" w:themeColor="text1" w:themeTint="A6"/>
        </w:rPr>
        <w:t xml:space="preserve"> supporting small to medium Indigenous businesses, </w:t>
      </w:r>
      <w:r w:rsidRPr="0093006A">
        <w:rPr>
          <w:rFonts w:cstheme="minorHAnsi"/>
          <w:color w:val="595959" w:themeColor="text1" w:themeTint="A6"/>
        </w:rPr>
        <w:t>smaller Indigenous-led organisations and ACCO</w:t>
      </w:r>
      <w:r w:rsidRPr="0093006A">
        <w:rPr>
          <w:bCs/>
          <w:color w:val="595959" w:themeColor="text1" w:themeTint="A6"/>
        </w:rPr>
        <w:t xml:space="preserve"> bid</w:t>
      </w:r>
      <w:r w:rsidR="0041129C" w:rsidRPr="0093006A">
        <w:rPr>
          <w:bCs/>
          <w:color w:val="595959" w:themeColor="text1" w:themeTint="A6"/>
        </w:rPr>
        <w:t>s</w:t>
      </w:r>
      <w:r w:rsidRPr="0093006A">
        <w:rPr>
          <w:bCs/>
          <w:color w:val="595959" w:themeColor="text1" w:themeTint="A6"/>
        </w:rPr>
        <w:t xml:space="preserve"> for high value tenders, and that the right ecosystem needs to be created to ensure these groups </w:t>
      </w:r>
      <w:r w:rsidR="0041129C" w:rsidRPr="0093006A">
        <w:rPr>
          <w:bCs/>
          <w:color w:val="595959" w:themeColor="text1" w:themeTint="A6"/>
        </w:rPr>
        <w:t>are able to</w:t>
      </w:r>
      <w:r w:rsidRPr="0093006A">
        <w:rPr>
          <w:rFonts w:cstheme="minorHAnsi"/>
          <w:color w:val="595959" w:themeColor="text1" w:themeTint="A6"/>
        </w:rPr>
        <w:t xml:space="preserve"> compete for tender against larger mainstream operations.</w:t>
      </w:r>
    </w:p>
    <w:p w14:paraId="272D514B" w14:textId="77777777" w:rsidR="0025689A" w:rsidRPr="0093006A" w:rsidRDefault="0025689A" w:rsidP="00AB65E8">
      <w:pPr>
        <w:spacing w:after="120"/>
        <w:rPr>
          <w:color w:val="595959" w:themeColor="text1" w:themeTint="A6"/>
        </w:rPr>
      </w:pPr>
      <w:r w:rsidRPr="0093006A">
        <w:rPr>
          <w:rFonts w:cstheme="minorHAnsi"/>
          <w:color w:val="595959" w:themeColor="text1" w:themeTint="A6"/>
        </w:rPr>
        <w:t xml:space="preserve">A </w:t>
      </w:r>
      <w:r w:rsidRPr="0093006A">
        <w:rPr>
          <w:color w:val="595959" w:themeColor="text1" w:themeTint="A6"/>
        </w:rPr>
        <w:t>strengths-based approach to Indigenous knowledge and skills involves the reframing of deficit discourse</w:t>
      </w:r>
    </w:p>
    <w:p w14:paraId="1094631F" w14:textId="6670D961" w:rsidR="0025689A" w:rsidRPr="0093006A" w:rsidRDefault="0025689A" w:rsidP="00AB65E8">
      <w:pPr>
        <w:spacing w:after="120"/>
        <w:rPr>
          <w:color w:val="595959" w:themeColor="text1" w:themeTint="A6"/>
        </w:rPr>
      </w:pPr>
      <w:r w:rsidRPr="0093006A">
        <w:rPr>
          <w:color w:val="595959" w:themeColor="text1" w:themeTint="A6"/>
        </w:rPr>
        <w:t>Reframing of deficit discourse must centre on Indigenous natural capital to focus on potential opportunities stemming from a body of Indigenous capability, knowledge, experience and wisdom</w:t>
      </w:r>
      <w:r w:rsidR="00B44A43" w:rsidRPr="0093006A">
        <w:rPr>
          <w:color w:val="595959" w:themeColor="text1" w:themeTint="A6"/>
        </w:rPr>
        <w:t xml:space="preserve"> and</w:t>
      </w:r>
      <w:r w:rsidR="00B44A43" w:rsidRPr="0093006A">
        <w:rPr>
          <w:rFonts w:cstheme="minorHAnsi"/>
          <w:color w:val="595959" w:themeColor="text1" w:themeTint="A6"/>
        </w:rPr>
        <w:t xml:space="preserve"> r</w:t>
      </w:r>
      <w:r w:rsidRPr="0093006A">
        <w:rPr>
          <w:rFonts w:cstheme="minorHAnsi"/>
          <w:color w:val="595959" w:themeColor="text1" w:themeTint="A6"/>
        </w:rPr>
        <w:t xml:space="preserve">ecognising cultural knowledge and experience as a skill set, especially for remote communities. </w:t>
      </w:r>
      <w:r w:rsidRPr="0093006A">
        <w:rPr>
          <w:color w:val="595959" w:themeColor="text1" w:themeTint="A6"/>
        </w:rPr>
        <w:t xml:space="preserve">Indigenous knowledge and existing skills need to be taken into consideration during recruitment. </w:t>
      </w:r>
      <w:r w:rsidRPr="0093006A">
        <w:rPr>
          <w:rFonts w:cstheme="minorHAnsi"/>
          <w:color w:val="595959" w:themeColor="text1" w:themeTint="A6"/>
        </w:rPr>
        <w:t xml:space="preserve">An example provided by some participants </w:t>
      </w:r>
      <w:r w:rsidR="00B44A43" w:rsidRPr="0093006A">
        <w:rPr>
          <w:rFonts w:cstheme="minorHAnsi"/>
          <w:color w:val="595959" w:themeColor="text1" w:themeTint="A6"/>
        </w:rPr>
        <w:t>was</w:t>
      </w:r>
      <w:r w:rsidRPr="0093006A">
        <w:rPr>
          <w:rFonts w:cstheme="minorHAnsi"/>
          <w:color w:val="595959" w:themeColor="text1" w:themeTint="A6"/>
        </w:rPr>
        <w:t xml:space="preserve"> the cultural knowledge and caring skills many Indigenous </w:t>
      </w:r>
      <w:r w:rsidR="00563300" w:rsidRPr="0093006A">
        <w:rPr>
          <w:color w:val="595959" w:themeColor="text1" w:themeTint="A6"/>
        </w:rPr>
        <w:t>Australians</w:t>
      </w:r>
      <w:r w:rsidRPr="0093006A">
        <w:rPr>
          <w:rFonts w:cstheme="minorHAnsi"/>
          <w:color w:val="595959" w:themeColor="text1" w:themeTint="A6"/>
        </w:rPr>
        <w:t xml:space="preserve"> can </w:t>
      </w:r>
      <w:r w:rsidR="00B44A43" w:rsidRPr="0093006A">
        <w:rPr>
          <w:rFonts w:cstheme="minorHAnsi"/>
          <w:color w:val="595959" w:themeColor="text1" w:themeTint="A6"/>
        </w:rPr>
        <w:t xml:space="preserve">use as a strength to </w:t>
      </w:r>
      <w:r w:rsidRPr="0093006A">
        <w:rPr>
          <w:rFonts w:cstheme="minorHAnsi"/>
          <w:color w:val="595959" w:themeColor="text1" w:themeTint="A6"/>
        </w:rPr>
        <w:t xml:space="preserve">enter sectors such as </w:t>
      </w:r>
      <w:r w:rsidR="00B44A43" w:rsidRPr="0093006A">
        <w:rPr>
          <w:rFonts w:cstheme="minorHAnsi"/>
          <w:color w:val="595959" w:themeColor="text1" w:themeTint="A6"/>
        </w:rPr>
        <w:t>a</w:t>
      </w:r>
      <w:r w:rsidRPr="0093006A">
        <w:rPr>
          <w:rFonts w:cstheme="minorHAnsi"/>
          <w:color w:val="595959" w:themeColor="text1" w:themeTint="A6"/>
        </w:rPr>
        <w:t xml:space="preserve">ged </w:t>
      </w:r>
      <w:r w:rsidR="00B44A43" w:rsidRPr="0093006A">
        <w:rPr>
          <w:rFonts w:cstheme="minorHAnsi"/>
          <w:color w:val="595959" w:themeColor="text1" w:themeTint="A6"/>
        </w:rPr>
        <w:t>c</w:t>
      </w:r>
      <w:r w:rsidRPr="0093006A">
        <w:rPr>
          <w:rFonts w:cstheme="minorHAnsi"/>
          <w:color w:val="595959" w:themeColor="text1" w:themeTint="A6"/>
        </w:rPr>
        <w:t xml:space="preserve">are, </w:t>
      </w:r>
      <w:r w:rsidR="00B44A43" w:rsidRPr="0093006A">
        <w:rPr>
          <w:rFonts w:cstheme="minorHAnsi"/>
          <w:color w:val="595959" w:themeColor="text1" w:themeTint="A6"/>
        </w:rPr>
        <w:t>a</w:t>
      </w:r>
      <w:r w:rsidRPr="0093006A">
        <w:rPr>
          <w:rFonts w:cstheme="minorHAnsi"/>
          <w:color w:val="595959" w:themeColor="text1" w:themeTint="A6"/>
        </w:rPr>
        <w:t xml:space="preserve">llied </w:t>
      </w:r>
      <w:r w:rsidR="00B44A43" w:rsidRPr="0093006A">
        <w:rPr>
          <w:rFonts w:cstheme="minorHAnsi"/>
          <w:color w:val="595959" w:themeColor="text1" w:themeTint="A6"/>
        </w:rPr>
        <w:t>h</w:t>
      </w:r>
      <w:r w:rsidRPr="0093006A">
        <w:rPr>
          <w:rFonts w:cstheme="minorHAnsi"/>
          <w:color w:val="595959" w:themeColor="text1" w:themeTint="A6"/>
        </w:rPr>
        <w:t>ealth, community services and</w:t>
      </w:r>
      <w:r w:rsidR="00B44A43" w:rsidRPr="0093006A">
        <w:rPr>
          <w:rFonts w:cstheme="minorHAnsi"/>
          <w:color w:val="595959" w:themeColor="text1" w:themeTint="A6"/>
        </w:rPr>
        <w:t xml:space="preserve"> </w:t>
      </w:r>
      <w:r w:rsidRPr="0093006A">
        <w:rPr>
          <w:rFonts w:cstheme="minorHAnsi"/>
          <w:color w:val="595959" w:themeColor="text1" w:themeTint="A6"/>
        </w:rPr>
        <w:t xml:space="preserve">NDIS </w:t>
      </w:r>
      <w:r w:rsidR="00B44A43" w:rsidRPr="0093006A">
        <w:rPr>
          <w:rFonts w:cstheme="minorHAnsi"/>
          <w:color w:val="595959" w:themeColor="text1" w:themeTint="A6"/>
        </w:rPr>
        <w:t>service provision.</w:t>
      </w:r>
    </w:p>
    <w:p w14:paraId="27AB4A92" w14:textId="77777777" w:rsidR="0025689A" w:rsidRPr="0093006A" w:rsidRDefault="0025689A" w:rsidP="00AB65E8">
      <w:pPr>
        <w:pStyle w:val="NormalWeb"/>
        <w:spacing w:before="0" w:beforeAutospacing="0" w:after="120" w:afterAutospacing="0"/>
        <w:rPr>
          <w:rFonts w:ascii="Helvetica Neue" w:hAnsi="Helvetica Neue" w:cs="Helvetica Neue"/>
          <w:color w:val="595959" w:themeColor="text1" w:themeTint="A6"/>
        </w:rPr>
      </w:pPr>
      <w:r w:rsidRPr="0093006A">
        <w:rPr>
          <w:rFonts w:ascii="Helvetica Neue" w:eastAsia="Helvetica Neue" w:hAnsi="Helvetica Neue" w:cs="Helvetica Neue"/>
          <w:color w:val="595959" w:themeColor="text1" w:themeTint="A6"/>
        </w:rPr>
        <w:t>For many Indigenous communities, the long-term effects of unemployment and intergenerational unemployment has lessened the awareness of existing capabilities and the benefits of employment</w:t>
      </w:r>
      <w:r w:rsidR="00793E42" w:rsidRPr="0093006A">
        <w:rPr>
          <w:rFonts w:ascii="Helvetica Neue" w:eastAsia="Helvetica Neue" w:hAnsi="Helvetica Neue" w:cs="Helvetica Neue"/>
          <w:color w:val="595959" w:themeColor="text1" w:themeTint="A6"/>
        </w:rPr>
        <w:t>.</w:t>
      </w:r>
      <w:r w:rsidRPr="0093006A">
        <w:rPr>
          <w:rFonts w:ascii="Helvetica Neue" w:eastAsia="Helvetica Neue" w:hAnsi="Helvetica Neue" w:cs="Helvetica Neue"/>
          <w:color w:val="595959" w:themeColor="text1" w:themeTint="A6"/>
        </w:rPr>
        <w:t xml:space="preserve"> There is opportunity to promote the benefits of stable employment. As well as including reference to financial security and improving livelihood, participants want to see the contribution to self, family and community highlighted as reasons to obtain and maintain work. </w:t>
      </w:r>
    </w:p>
    <w:p w14:paraId="71588041" w14:textId="3851DA89" w:rsidR="0025689A"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 xml:space="preserve">Participants saw long-term mentoring programs that are </w:t>
      </w:r>
      <w:r w:rsidRPr="0093006A">
        <w:rPr>
          <w:rFonts w:ascii="Helvetica Neue" w:hAnsi="Helvetica Neue"/>
          <w:color w:val="595959" w:themeColor="text1" w:themeTint="A6"/>
        </w:rPr>
        <w:t>culturally appropriate, informed</w:t>
      </w:r>
      <w:r w:rsidR="00B44A43" w:rsidRPr="0093006A">
        <w:rPr>
          <w:rFonts w:ascii="Helvetica Neue" w:hAnsi="Helvetica Neue"/>
          <w:color w:val="595959" w:themeColor="text1" w:themeTint="A6"/>
        </w:rPr>
        <w:t xml:space="preserve"> and</w:t>
      </w:r>
      <w:r w:rsidRPr="0093006A">
        <w:rPr>
          <w:rFonts w:ascii="Helvetica Neue" w:hAnsi="Helvetica Neue"/>
          <w:color w:val="595959" w:themeColor="text1" w:themeTint="A6"/>
        </w:rPr>
        <w:t xml:space="preserve"> </w:t>
      </w:r>
      <w:r w:rsidR="00140BFC" w:rsidRPr="0093006A">
        <w:rPr>
          <w:rFonts w:ascii="Helvetica Neue" w:hAnsi="Helvetica Neue"/>
          <w:color w:val="595959" w:themeColor="text1" w:themeTint="A6"/>
        </w:rPr>
        <w:t>Indigenous led</w:t>
      </w:r>
      <w:r w:rsidRPr="0093006A">
        <w:rPr>
          <w:rFonts w:ascii="Helvetica Neue" w:hAnsi="Helvetica Neue"/>
          <w:color w:val="595959" w:themeColor="text1" w:themeTint="A6"/>
        </w:rPr>
        <w:t xml:space="preserve"> </w:t>
      </w:r>
      <w:r w:rsidRPr="0093006A">
        <w:rPr>
          <w:rFonts w:ascii="Helvetica Neue" w:hAnsi="Helvetica Neue" w:cstheme="minorHAnsi"/>
          <w:color w:val="595959" w:themeColor="text1" w:themeTint="A6"/>
        </w:rPr>
        <w:t xml:space="preserve">as a fundamental requirement to support the Indigenous jobseeker employment journey from job attainment to retention and career advancement. </w:t>
      </w:r>
    </w:p>
    <w:p w14:paraId="6B3D26CF" w14:textId="64C3DE1F" w:rsidR="0025689A" w:rsidRPr="0093006A" w:rsidRDefault="009D5F15" w:rsidP="00AB65E8">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 xml:space="preserve">The </w:t>
      </w:r>
      <w:r w:rsidR="0025689A" w:rsidRPr="0093006A">
        <w:rPr>
          <w:rFonts w:ascii="Helvetica Neue" w:hAnsi="Helvetica Neue"/>
          <w:color w:val="595959" w:themeColor="text1" w:themeTint="A6"/>
        </w:rPr>
        <w:t xml:space="preserve">ISEP planning for education and training opportunities must incorporate industry training partnerships, </w:t>
      </w:r>
      <w:r w:rsidR="0025689A" w:rsidRPr="0093006A">
        <w:rPr>
          <w:rFonts w:ascii="Helvetica Neue" w:hAnsi="Helvetica Neue" w:cstheme="minorHAnsi"/>
          <w:color w:val="595959" w:themeColor="text1" w:themeTint="A6"/>
        </w:rPr>
        <w:t xml:space="preserve">increased resourcing to skill / upskill </w:t>
      </w:r>
      <w:r w:rsidR="0025689A" w:rsidRPr="0093006A">
        <w:rPr>
          <w:rFonts w:ascii="Helvetica Neue" w:hAnsi="Helvetica Neue"/>
          <w:color w:val="595959" w:themeColor="text1" w:themeTint="A6"/>
        </w:rPr>
        <w:t xml:space="preserve">Indigenous </w:t>
      </w:r>
      <w:r w:rsidR="00563300" w:rsidRPr="0093006A">
        <w:rPr>
          <w:rFonts w:ascii="Helvetica Neue" w:hAnsi="Helvetica Neue"/>
          <w:color w:val="595959" w:themeColor="text1" w:themeTint="A6"/>
        </w:rPr>
        <w:t>Australians</w:t>
      </w:r>
      <w:r w:rsidR="0025689A" w:rsidRPr="0093006A">
        <w:rPr>
          <w:rFonts w:ascii="Helvetica Neue" w:hAnsi="Helvetica Neue"/>
          <w:color w:val="595959" w:themeColor="text1" w:themeTint="A6"/>
        </w:rPr>
        <w:t xml:space="preserve"> and a broader range of education pursuits and pathways that incorporate local needs</w:t>
      </w:r>
    </w:p>
    <w:p w14:paraId="2406D44D" w14:textId="373991A9" w:rsidR="0025689A" w:rsidRPr="0093006A" w:rsidRDefault="0025689A" w:rsidP="00AB65E8">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 xml:space="preserve">Many participants see the new ISEP as an opportunity to develop training industry partnerships to assist in building appropriate training linked to available job opportunities and the creation of an employment pipeline at the regional level addressing the needs of both industry and Indigenous jobseekers. There is also a long-term community benefit in matching skills development with local / regional job opportunities as </w:t>
      </w:r>
      <w:r w:rsidR="003E4855" w:rsidRPr="0093006A">
        <w:rPr>
          <w:rFonts w:ascii="Helvetica Neue" w:hAnsi="Helvetica Neue"/>
          <w:color w:val="595959" w:themeColor="text1" w:themeTint="A6"/>
        </w:rPr>
        <w:t>this</w:t>
      </w:r>
      <w:r w:rsidRPr="0093006A">
        <w:rPr>
          <w:rFonts w:ascii="Helvetica Neue" w:hAnsi="Helvetica Neue"/>
          <w:color w:val="595959" w:themeColor="text1" w:themeTint="A6"/>
        </w:rPr>
        <w:t xml:space="preserve"> allows Indigenous </w:t>
      </w:r>
      <w:r w:rsidR="00563300" w:rsidRPr="0093006A">
        <w:rPr>
          <w:rFonts w:ascii="Helvetica Neue" w:hAnsi="Helvetica Neue"/>
          <w:color w:val="595959" w:themeColor="text1" w:themeTint="A6"/>
        </w:rPr>
        <w:t>Australians</w:t>
      </w:r>
      <w:r w:rsidRPr="0093006A">
        <w:rPr>
          <w:rFonts w:ascii="Helvetica Neue" w:hAnsi="Helvetica Neue"/>
          <w:color w:val="595959" w:themeColor="text1" w:themeTint="A6"/>
        </w:rPr>
        <w:t xml:space="preserve"> to stay in community while being engaged in employment. </w:t>
      </w:r>
    </w:p>
    <w:p w14:paraId="350B669D" w14:textId="3695DCB5" w:rsidR="0025689A"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olor w:val="595959" w:themeColor="text1" w:themeTint="A6"/>
        </w:rPr>
        <w:t xml:space="preserve">Some participants </w:t>
      </w:r>
      <w:r w:rsidR="003E4855" w:rsidRPr="0093006A">
        <w:rPr>
          <w:rFonts w:ascii="Helvetica Neue" w:hAnsi="Helvetica Neue"/>
          <w:color w:val="595959" w:themeColor="text1" w:themeTint="A6"/>
        </w:rPr>
        <w:t>noted</w:t>
      </w:r>
      <w:r w:rsidRPr="0093006A">
        <w:rPr>
          <w:rFonts w:ascii="Helvetica Neue" w:hAnsi="Helvetica Neue"/>
          <w:color w:val="595959" w:themeColor="text1" w:themeTint="A6"/>
        </w:rPr>
        <w:t xml:space="preserve"> the example of insufficient local contractors or trained tradespeople in some remote regions resulting in reliance on FIFO / DIDO </w:t>
      </w:r>
      <w:r w:rsidR="003E4855" w:rsidRPr="0093006A">
        <w:rPr>
          <w:rFonts w:ascii="Helvetica Neue" w:hAnsi="Helvetica Neue"/>
          <w:color w:val="595959" w:themeColor="text1" w:themeTint="A6"/>
        </w:rPr>
        <w:t xml:space="preserve">workers, </w:t>
      </w:r>
      <w:r w:rsidRPr="0093006A">
        <w:rPr>
          <w:rFonts w:ascii="Helvetica Neue" w:hAnsi="Helvetica Neue"/>
          <w:color w:val="595959" w:themeColor="text1" w:themeTint="A6"/>
        </w:rPr>
        <w:t>including for maintenance needs in communities. Industry partnerships can</w:t>
      </w:r>
      <w:r w:rsidR="0070407E" w:rsidRPr="0093006A">
        <w:rPr>
          <w:rFonts w:ascii="Helvetica Neue" w:hAnsi="Helvetica Neue"/>
          <w:color w:val="595959" w:themeColor="text1" w:themeTint="A6"/>
        </w:rPr>
        <w:t xml:space="preserve"> </w:t>
      </w:r>
      <w:r w:rsidRPr="0093006A">
        <w:rPr>
          <w:rFonts w:ascii="Helvetica Neue" w:hAnsi="Helvetica Neue"/>
          <w:color w:val="595959" w:themeColor="text1" w:themeTint="A6"/>
        </w:rPr>
        <w:t xml:space="preserve">assist in reducing this reliance by providing skilled community members.  </w:t>
      </w:r>
    </w:p>
    <w:p w14:paraId="116C6A4F" w14:textId="28447D2B" w:rsidR="0025689A" w:rsidRPr="0093006A" w:rsidRDefault="0025689A" w:rsidP="00AB65E8">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stheme="minorHAnsi"/>
          <w:color w:val="595959" w:themeColor="text1" w:themeTint="A6"/>
        </w:rPr>
        <w:t xml:space="preserve">Many participants saw a need to increase resourcing in the regions generally for training and upskilling current employees.  Specific requirements nominated included more trainers and training supports. Regions ranging from remote </w:t>
      </w:r>
      <w:r w:rsidR="003E4855" w:rsidRPr="0093006A">
        <w:rPr>
          <w:rFonts w:ascii="Helvetica Neue" w:hAnsi="Helvetica Neue" w:cstheme="minorHAnsi"/>
          <w:color w:val="595959" w:themeColor="text1" w:themeTint="A6"/>
        </w:rPr>
        <w:t xml:space="preserve">to </w:t>
      </w:r>
      <w:r w:rsidRPr="0093006A">
        <w:rPr>
          <w:rFonts w:ascii="Helvetica Neue" w:hAnsi="Helvetica Neue" w:cstheme="minorHAnsi"/>
          <w:color w:val="595959" w:themeColor="text1" w:themeTint="A6"/>
        </w:rPr>
        <w:t xml:space="preserve">regional and urban all saw opportunity in purpose-built training facilities. </w:t>
      </w:r>
      <w:r w:rsidRPr="0093006A">
        <w:rPr>
          <w:rFonts w:ascii="Helvetica Neue" w:hAnsi="Helvetica Neue"/>
          <w:color w:val="595959" w:themeColor="text1" w:themeTint="A6"/>
        </w:rPr>
        <w:t xml:space="preserve">Some participants from urban and regional areas called for </w:t>
      </w:r>
      <w:r w:rsidR="00641123" w:rsidRPr="0093006A">
        <w:rPr>
          <w:rFonts w:ascii="Helvetica Neue" w:hAnsi="Helvetica Neue"/>
          <w:color w:val="595959" w:themeColor="text1" w:themeTint="A6"/>
        </w:rPr>
        <w:t>an increase in</w:t>
      </w:r>
      <w:r w:rsidRPr="0093006A">
        <w:rPr>
          <w:rFonts w:ascii="Helvetica Neue" w:hAnsi="Helvetica Neue"/>
          <w:color w:val="595959" w:themeColor="text1" w:themeTint="A6"/>
        </w:rPr>
        <w:t xml:space="preserve"> more apprenticeships, trainees, cadetships and school-based apprenticeships to support Indigenous entry to employment. </w:t>
      </w:r>
    </w:p>
    <w:p w14:paraId="073700F1" w14:textId="6682A6E5" w:rsidR="0025689A" w:rsidRPr="0093006A" w:rsidRDefault="0025689A" w:rsidP="00AB65E8">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Disengagement of youth is considered a serious problem in urban, regional and remote regions. One opportunity to address this raised by some participants, in particular in remote Northern Territory communities w</w:t>
      </w:r>
      <w:r w:rsidR="00DC342C" w:rsidRPr="0093006A">
        <w:rPr>
          <w:rFonts w:ascii="Helvetica Neue" w:hAnsi="Helvetica Neue"/>
          <w:color w:val="595959" w:themeColor="text1" w:themeTint="A6"/>
        </w:rPr>
        <w:t>h</w:t>
      </w:r>
      <w:r w:rsidRPr="0093006A">
        <w:rPr>
          <w:rFonts w:ascii="Helvetica Neue" w:hAnsi="Helvetica Neue"/>
          <w:color w:val="595959" w:themeColor="text1" w:themeTint="A6"/>
        </w:rPr>
        <w:t>ere local creative and traditional practices are strong is the inclusion of more creative pursuits being taught in schools to re</w:t>
      </w:r>
      <w:r w:rsidR="003E4855" w:rsidRPr="0093006A">
        <w:rPr>
          <w:rFonts w:ascii="Helvetica Neue" w:hAnsi="Helvetica Neue"/>
          <w:color w:val="595959" w:themeColor="text1" w:themeTint="A6"/>
        </w:rPr>
        <w:t>-</w:t>
      </w:r>
      <w:r w:rsidRPr="0093006A">
        <w:rPr>
          <w:rFonts w:ascii="Helvetica Neue" w:hAnsi="Helvetica Neue"/>
          <w:color w:val="595959" w:themeColor="text1" w:themeTint="A6"/>
        </w:rPr>
        <w:t>engage young people and the creation of pathways to creative industries.</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8"/>
        <w:tblDescription w:val="The ISEP should prioritise strategic coordination and collaboration at the regional level that supports ACCOs as partners and collaborators coupled with higher levels of employer accountability"/>
      </w:tblPr>
      <w:tblGrid>
        <w:gridCol w:w="8930"/>
      </w:tblGrid>
      <w:tr w:rsidR="0093006A" w:rsidRPr="0093006A" w14:paraId="7D5B499A" w14:textId="77777777" w:rsidTr="00091525">
        <w:trPr>
          <w:cantSplit/>
          <w:tblHeader/>
        </w:trPr>
        <w:tc>
          <w:tcPr>
            <w:tcW w:w="8930" w:type="dxa"/>
            <w:shd w:val="clear" w:color="auto" w:fill="auto"/>
          </w:tcPr>
          <w:p w14:paraId="642BBF6B" w14:textId="69646985" w:rsidR="00AB65E8" w:rsidRPr="0093006A" w:rsidRDefault="00AB65E8" w:rsidP="0048465C">
            <w:pPr>
              <w:spacing w:after="120"/>
              <w:rPr>
                <w:b/>
                <w:bCs/>
                <w:i/>
                <w:iCs/>
                <w:color w:val="595959" w:themeColor="text1" w:themeTint="A6"/>
              </w:rPr>
            </w:pPr>
            <w:r w:rsidRPr="0093006A">
              <w:rPr>
                <w:b/>
                <w:bCs/>
                <w:i/>
                <w:iCs/>
                <w:color w:val="595959" w:themeColor="text1" w:themeTint="A6"/>
              </w:rPr>
              <w:t xml:space="preserve">Key </w:t>
            </w:r>
            <w:r w:rsidR="00B811FA" w:rsidRPr="0093006A">
              <w:rPr>
                <w:b/>
                <w:bCs/>
                <w:i/>
                <w:iCs/>
                <w:color w:val="595959" w:themeColor="text1" w:themeTint="A6"/>
              </w:rPr>
              <w:t>I</w:t>
            </w:r>
            <w:r w:rsidRPr="0093006A">
              <w:rPr>
                <w:b/>
                <w:bCs/>
                <w:i/>
                <w:iCs/>
                <w:color w:val="595959" w:themeColor="text1" w:themeTint="A6"/>
              </w:rPr>
              <w:t>nsight</w:t>
            </w:r>
            <w:r w:rsidR="00055EF2" w:rsidRPr="0093006A">
              <w:rPr>
                <w:b/>
                <w:bCs/>
                <w:i/>
                <w:iCs/>
                <w:color w:val="595959" w:themeColor="text1" w:themeTint="A6"/>
              </w:rPr>
              <w:t xml:space="preserve"> </w:t>
            </w:r>
            <w:r w:rsidR="0073627A" w:rsidRPr="0093006A">
              <w:rPr>
                <w:b/>
                <w:bCs/>
                <w:i/>
                <w:iCs/>
                <w:color w:val="595959" w:themeColor="text1" w:themeTint="A6"/>
              </w:rPr>
              <w:t>8</w:t>
            </w:r>
          </w:p>
        </w:tc>
      </w:tr>
      <w:tr w:rsidR="00AB65E8" w:rsidRPr="0093006A" w14:paraId="3FF3D271" w14:textId="77777777" w:rsidTr="00091525">
        <w:trPr>
          <w:cantSplit/>
          <w:tblHeader/>
        </w:trPr>
        <w:tc>
          <w:tcPr>
            <w:tcW w:w="8930" w:type="dxa"/>
          </w:tcPr>
          <w:p w14:paraId="6C4F24E4" w14:textId="229D1545" w:rsidR="00140BFC" w:rsidRPr="0093006A" w:rsidRDefault="00140BFC" w:rsidP="00140BFC">
            <w:pPr>
              <w:spacing w:after="120"/>
              <w:textDirection w:val="btLr"/>
              <w:rPr>
                <w:b/>
                <w:bCs/>
                <w:color w:val="595959" w:themeColor="text1" w:themeTint="A6"/>
              </w:rPr>
            </w:pPr>
            <w:r w:rsidRPr="0093006A">
              <w:rPr>
                <w:b/>
                <w:bCs/>
                <w:color w:val="595959" w:themeColor="text1" w:themeTint="A6"/>
              </w:rPr>
              <w:t>The ISEP should prioritise strategic coordination and collaboration at the regional level that supports ACCOs as partners and collaborators coupled with higher levels of employer accountability</w:t>
            </w:r>
          </w:p>
          <w:p w14:paraId="1C0D293D" w14:textId="5BB560DC" w:rsidR="00AB65E8" w:rsidRPr="0093006A" w:rsidRDefault="00140BFC" w:rsidP="00981521">
            <w:pPr>
              <w:spacing w:after="120"/>
              <w:rPr>
                <w:color w:val="595959" w:themeColor="text1" w:themeTint="A6"/>
              </w:rPr>
            </w:pPr>
            <w:r w:rsidRPr="0093006A">
              <w:rPr>
                <w:color w:val="595959" w:themeColor="text1" w:themeTint="A6"/>
              </w:rPr>
              <w:t>A regional strategic approach is called for in the new ISEP that encourages collaboration across ACCOs and Indigenous communities, government, and industry to build regional solutions and programs to achieve successful outcomes.</w:t>
            </w:r>
          </w:p>
        </w:tc>
      </w:tr>
    </w:tbl>
    <w:p w14:paraId="07DD0542" w14:textId="77777777" w:rsidR="00AB65E8" w:rsidRPr="0093006A" w:rsidRDefault="00AB65E8" w:rsidP="00AB65E8">
      <w:pPr>
        <w:spacing w:after="120"/>
        <w:textDirection w:val="btLr"/>
        <w:rPr>
          <w:b/>
          <w:color w:val="595959" w:themeColor="text1" w:themeTint="A6"/>
        </w:rPr>
      </w:pPr>
    </w:p>
    <w:p w14:paraId="451F5E0A" w14:textId="77777777" w:rsidR="00AB65E8" w:rsidRPr="0093006A" w:rsidRDefault="00AB65E8" w:rsidP="003769B7">
      <w:pPr>
        <w:pStyle w:val="NormalWeb"/>
        <w:numPr>
          <w:ilvl w:val="0"/>
          <w:numId w:val="3"/>
        </w:numPr>
        <w:tabs>
          <w:tab w:val="left" w:pos="284"/>
        </w:tabs>
        <w:spacing w:before="0" w:beforeAutospacing="0" w:after="120" w:afterAutospacing="0"/>
        <w:ind w:left="0" w:firstLine="0"/>
        <w:rPr>
          <w:rFonts w:ascii="Helvetica Neue" w:hAnsi="Helvetica Neue"/>
          <w:b/>
          <w:bCs/>
          <w:iCs/>
          <w:color w:val="595959" w:themeColor="text1" w:themeTint="A6"/>
          <w:sz w:val="24"/>
          <w:szCs w:val="24"/>
        </w:rPr>
      </w:pPr>
      <w:r w:rsidRPr="0093006A">
        <w:rPr>
          <w:rFonts w:ascii="Helvetica Neue" w:hAnsi="Helvetica Neue"/>
          <w:b/>
          <w:bCs/>
          <w:iCs/>
          <w:color w:val="595959" w:themeColor="text1" w:themeTint="A6"/>
          <w:sz w:val="24"/>
          <w:szCs w:val="24"/>
        </w:rPr>
        <w:t xml:space="preserve"> What are the training or employment aspirations of local Indigenous jobseekers or local communities?</w:t>
      </w:r>
    </w:p>
    <w:p w14:paraId="5F676DCA" w14:textId="30744C64" w:rsidR="0025689A" w:rsidRPr="0093006A" w:rsidRDefault="009D5F15" w:rsidP="00AB65E8">
      <w:pPr>
        <w:spacing w:after="120"/>
        <w:textDirection w:val="btLr"/>
        <w:rPr>
          <w:bCs/>
          <w:color w:val="595959" w:themeColor="text1" w:themeTint="A6"/>
        </w:rPr>
      </w:pPr>
      <w:r w:rsidRPr="0093006A">
        <w:rPr>
          <w:bCs/>
          <w:color w:val="595959" w:themeColor="text1" w:themeTint="A6"/>
        </w:rPr>
        <w:t xml:space="preserve">The </w:t>
      </w:r>
      <w:r w:rsidR="0025689A" w:rsidRPr="0093006A">
        <w:rPr>
          <w:bCs/>
          <w:color w:val="595959" w:themeColor="text1" w:themeTint="A6"/>
        </w:rPr>
        <w:t xml:space="preserve">ISEP design should be flexible, place-based, community-led and client-focused to address the training and employment aspirations of local Indigenous jobseekers and their communities </w:t>
      </w:r>
    </w:p>
    <w:p w14:paraId="777DC370" w14:textId="2B804340" w:rsidR="00B811FA" w:rsidRPr="0093006A" w:rsidRDefault="0025689A" w:rsidP="00AB65E8">
      <w:pPr>
        <w:spacing w:after="120"/>
        <w:rPr>
          <w:color w:val="595959" w:themeColor="text1" w:themeTint="A6"/>
          <w:lang w:val="en-US"/>
        </w:rPr>
      </w:pPr>
      <w:r w:rsidRPr="0093006A">
        <w:rPr>
          <w:iCs/>
          <w:color w:val="595959" w:themeColor="text1" w:themeTint="A6"/>
        </w:rPr>
        <w:t xml:space="preserve">While many participants felt they could not comment appropriately on this question in the absence of Indigenous jobseekers in the consultation process, they </w:t>
      </w:r>
      <w:r w:rsidRPr="0093006A">
        <w:rPr>
          <w:color w:val="595959" w:themeColor="text1" w:themeTint="A6"/>
          <w:lang w:val="en-US"/>
        </w:rPr>
        <w:t xml:space="preserve">held clear views about the approaches required to facilitate the incorporation of jobseeker and community aspirations into the ISEP.  </w:t>
      </w:r>
    </w:p>
    <w:p w14:paraId="769159AE" w14:textId="019CCD54" w:rsidR="0025689A" w:rsidRPr="0093006A" w:rsidRDefault="0025689A" w:rsidP="00AB65E8">
      <w:pPr>
        <w:spacing w:after="120"/>
        <w:rPr>
          <w:color w:val="595959" w:themeColor="text1" w:themeTint="A6"/>
          <w:lang w:val="en-US"/>
        </w:rPr>
      </w:pPr>
      <w:r w:rsidRPr="0093006A">
        <w:rPr>
          <w:color w:val="595959" w:themeColor="text1" w:themeTint="A6"/>
          <w:lang w:val="en-US"/>
        </w:rPr>
        <w:t>These included the following suggestions for training:</w:t>
      </w:r>
    </w:p>
    <w:p w14:paraId="412A511C" w14:textId="5851AE77" w:rsidR="0025689A" w:rsidRPr="0093006A" w:rsidRDefault="00924EF2" w:rsidP="003769B7">
      <w:pPr>
        <w:pStyle w:val="ListParagraph"/>
        <w:numPr>
          <w:ilvl w:val="0"/>
          <w:numId w:val="39"/>
        </w:numPr>
        <w:spacing w:after="120"/>
        <w:rPr>
          <w:color w:val="595959" w:themeColor="text1" w:themeTint="A6"/>
          <w:lang w:val="en-US"/>
        </w:rPr>
      </w:pPr>
      <w:r w:rsidRPr="0093006A">
        <w:rPr>
          <w:color w:val="595959" w:themeColor="text1" w:themeTint="A6"/>
          <w:lang w:val="en-US"/>
        </w:rPr>
        <w:t>L</w:t>
      </w:r>
      <w:r w:rsidR="0025689A" w:rsidRPr="0093006A">
        <w:rPr>
          <w:color w:val="595959" w:themeColor="text1" w:themeTint="A6"/>
          <w:lang w:val="en-US"/>
        </w:rPr>
        <w:t>ocally available, culturally appropriate training, strategically matched to regional job opportunities</w:t>
      </w:r>
      <w:r w:rsidRPr="0093006A">
        <w:rPr>
          <w:color w:val="595959" w:themeColor="text1" w:themeTint="A6"/>
          <w:lang w:val="en-US"/>
        </w:rPr>
        <w:t>.</w:t>
      </w:r>
    </w:p>
    <w:p w14:paraId="0F768467" w14:textId="509EDD34" w:rsidR="0025689A" w:rsidRPr="0093006A" w:rsidRDefault="00924EF2" w:rsidP="003769B7">
      <w:pPr>
        <w:pStyle w:val="ListParagraph"/>
        <w:numPr>
          <w:ilvl w:val="0"/>
          <w:numId w:val="39"/>
        </w:numPr>
        <w:spacing w:after="120"/>
        <w:rPr>
          <w:color w:val="595959" w:themeColor="text1" w:themeTint="A6"/>
        </w:rPr>
      </w:pPr>
      <w:r w:rsidRPr="0093006A">
        <w:rPr>
          <w:color w:val="595959" w:themeColor="text1" w:themeTint="A6"/>
          <w:lang w:val="en-US"/>
        </w:rPr>
        <w:t>C</w:t>
      </w:r>
      <w:r w:rsidR="0025689A" w:rsidRPr="0093006A">
        <w:rPr>
          <w:color w:val="595959" w:themeColor="text1" w:themeTint="A6"/>
          <w:lang w:val="en-US"/>
        </w:rPr>
        <w:t>lient</w:t>
      </w:r>
      <w:r w:rsidR="002B4630" w:rsidRPr="0093006A">
        <w:rPr>
          <w:color w:val="595959" w:themeColor="text1" w:themeTint="A6"/>
          <w:lang w:val="en-US"/>
        </w:rPr>
        <w:t>-</w:t>
      </w:r>
      <w:r w:rsidR="0025689A" w:rsidRPr="0093006A">
        <w:rPr>
          <w:color w:val="595959" w:themeColor="text1" w:themeTint="A6"/>
          <w:lang w:val="en-US"/>
        </w:rPr>
        <w:t xml:space="preserve">centered, holistic, local supports that move away from a national, </w:t>
      </w:r>
      <w:r w:rsidRPr="0093006A">
        <w:rPr>
          <w:color w:val="595959" w:themeColor="text1" w:themeTint="A6"/>
          <w:lang w:val="en-US"/>
        </w:rPr>
        <w:t>‘</w:t>
      </w:r>
      <w:r w:rsidR="0025689A" w:rsidRPr="0093006A">
        <w:rPr>
          <w:color w:val="595959" w:themeColor="text1" w:themeTint="A6"/>
          <w:lang w:val="en-US"/>
        </w:rPr>
        <w:t>one size fits all</w:t>
      </w:r>
      <w:r w:rsidRPr="0093006A">
        <w:rPr>
          <w:color w:val="595959" w:themeColor="text1" w:themeTint="A6"/>
          <w:lang w:val="en-US"/>
        </w:rPr>
        <w:t>’</w:t>
      </w:r>
      <w:r w:rsidR="0025689A" w:rsidRPr="0093006A">
        <w:rPr>
          <w:color w:val="595959" w:themeColor="text1" w:themeTint="A6"/>
          <w:lang w:val="en-US"/>
        </w:rPr>
        <w:t xml:space="preserve"> approach</w:t>
      </w:r>
      <w:r w:rsidRPr="0093006A">
        <w:rPr>
          <w:color w:val="595959" w:themeColor="text1" w:themeTint="A6"/>
          <w:lang w:val="en-US"/>
        </w:rPr>
        <w:t>.</w:t>
      </w:r>
    </w:p>
    <w:p w14:paraId="50C2261A" w14:textId="7998E2C9" w:rsidR="0025689A" w:rsidRPr="0093006A" w:rsidRDefault="00924EF2" w:rsidP="003769B7">
      <w:pPr>
        <w:pStyle w:val="ListParagraph"/>
        <w:numPr>
          <w:ilvl w:val="0"/>
          <w:numId w:val="39"/>
        </w:numPr>
        <w:spacing w:after="120"/>
        <w:rPr>
          <w:color w:val="595959" w:themeColor="text1" w:themeTint="A6"/>
          <w:lang w:val="en-US"/>
        </w:rPr>
      </w:pPr>
      <w:r w:rsidRPr="0093006A">
        <w:rPr>
          <w:color w:val="595959" w:themeColor="text1" w:themeTint="A6"/>
          <w:lang w:val="en-US"/>
        </w:rPr>
        <w:t>C</w:t>
      </w:r>
      <w:r w:rsidR="0025689A" w:rsidRPr="0093006A">
        <w:rPr>
          <w:color w:val="595959" w:themeColor="text1" w:themeTint="A6"/>
          <w:lang w:val="en-US"/>
        </w:rPr>
        <w:t xml:space="preserve">ulturally appropriate, local mentoring models expanded beyond pre-employment to post-employment </w:t>
      </w:r>
      <w:r w:rsidRPr="0093006A">
        <w:rPr>
          <w:color w:val="595959" w:themeColor="text1" w:themeTint="A6"/>
          <w:lang w:val="en-US"/>
        </w:rPr>
        <w:t xml:space="preserve">which </w:t>
      </w:r>
      <w:r w:rsidR="0025689A" w:rsidRPr="0093006A">
        <w:rPr>
          <w:color w:val="595959" w:themeColor="text1" w:themeTint="A6"/>
          <w:lang w:val="en-US"/>
        </w:rPr>
        <w:t>include a focus on retention beyond the current standard of 26 weeks and on career development</w:t>
      </w:r>
      <w:r w:rsidRPr="0093006A">
        <w:rPr>
          <w:color w:val="595959" w:themeColor="text1" w:themeTint="A6"/>
          <w:lang w:val="en-US"/>
        </w:rPr>
        <w:t>.</w:t>
      </w:r>
    </w:p>
    <w:p w14:paraId="433CA69C" w14:textId="7941437C" w:rsidR="0025689A" w:rsidRPr="0093006A" w:rsidRDefault="00924EF2" w:rsidP="003769B7">
      <w:pPr>
        <w:pStyle w:val="ListParagraph"/>
        <w:numPr>
          <w:ilvl w:val="0"/>
          <w:numId w:val="39"/>
        </w:numPr>
        <w:spacing w:after="120"/>
        <w:rPr>
          <w:color w:val="595959" w:themeColor="text1" w:themeTint="A6"/>
          <w:lang w:val="en-US"/>
        </w:rPr>
      </w:pPr>
      <w:r w:rsidRPr="0093006A">
        <w:rPr>
          <w:rFonts w:cstheme="minorHAnsi"/>
          <w:color w:val="595959" w:themeColor="text1" w:themeTint="A6"/>
        </w:rPr>
        <w:t>L</w:t>
      </w:r>
      <w:r w:rsidR="0025689A" w:rsidRPr="0093006A">
        <w:rPr>
          <w:rFonts w:cstheme="minorHAnsi"/>
          <w:color w:val="595959" w:themeColor="text1" w:themeTint="A6"/>
        </w:rPr>
        <w:t>inking career and educational pathways by identifying and tapping into entry level positions for secondary students that can lead to further opportunitie</w:t>
      </w:r>
      <w:r w:rsidR="002B4630" w:rsidRPr="0093006A">
        <w:rPr>
          <w:rFonts w:cstheme="minorHAnsi"/>
          <w:color w:val="595959" w:themeColor="text1" w:themeTint="A6"/>
        </w:rPr>
        <w:t>s</w:t>
      </w:r>
      <w:r w:rsidRPr="0093006A">
        <w:rPr>
          <w:rFonts w:cstheme="minorHAnsi"/>
          <w:color w:val="595959" w:themeColor="text1" w:themeTint="A6"/>
        </w:rPr>
        <w:t>.</w:t>
      </w:r>
    </w:p>
    <w:p w14:paraId="08D08F7C" w14:textId="57C6DFA9" w:rsidR="0025689A" w:rsidRPr="0093006A" w:rsidRDefault="00924EF2" w:rsidP="003769B7">
      <w:pPr>
        <w:pStyle w:val="ListParagraph"/>
        <w:numPr>
          <w:ilvl w:val="0"/>
          <w:numId w:val="39"/>
        </w:numPr>
        <w:spacing w:after="120"/>
        <w:rPr>
          <w:color w:val="595959" w:themeColor="text1" w:themeTint="A6"/>
          <w:lang w:val="en-US"/>
        </w:rPr>
      </w:pPr>
      <w:r w:rsidRPr="0093006A">
        <w:rPr>
          <w:color w:val="595959" w:themeColor="text1" w:themeTint="A6"/>
        </w:rPr>
        <w:t>R</w:t>
      </w:r>
      <w:r w:rsidR="0025689A" w:rsidRPr="0093006A">
        <w:rPr>
          <w:color w:val="595959" w:themeColor="text1" w:themeTint="A6"/>
        </w:rPr>
        <w:t>ecognition that the norm for many Indigenous jobseekers, particularly young people, is intergenerational unemployment and they require intensive, appropriate supports to be job ready</w:t>
      </w:r>
      <w:r w:rsidRPr="0093006A">
        <w:rPr>
          <w:color w:val="595959" w:themeColor="text1" w:themeTint="A6"/>
        </w:rPr>
        <w:t>.</w:t>
      </w:r>
    </w:p>
    <w:p w14:paraId="441D2F3C" w14:textId="55A057D2" w:rsidR="0025689A" w:rsidRPr="0093006A" w:rsidRDefault="00924EF2" w:rsidP="003769B7">
      <w:pPr>
        <w:pStyle w:val="ListParagraph"/>
        <w:numPr>
          <w:ilvl w:val="0"/>
          <w:numId w:val="39"/>
        </w:numPr>
        <w:spacing w:after="120"/>
        <w:rPr>
          <w:color w:val="595959" w:themeColor="text1" w:themeTint="A6"/>
          <w:lang w:val="en-US"/>
        </w:rPr>
      </w:pPr>
      <w:r w:rsidRPr="0093006A">
        <w:rPr>
          <w:rFonts w:cstheme="minorHAnsi"/>
          <w:color w:val="595959" w:themeColor="text1" w:themeTint="A6"/>
        </w:rPr>
        <w:t>S</w:t>
      </w:r>
      <w:r w:rsidR="002B4630" w:rsidRPr="0093006A">
        <w:rPr>
          <w:rFonts w:cstheme="minorHAnsi"/>
          <w:color w:val="595959" w:themeColor="text1" w:themeTint="A6"/>
        </w:rPr>
        <w:t>u</w:t>
      </w:r>
      <w:r w:rsidR="0025689A" w:rsidRPr="0093006A">
        <w:rPr>
          <w:rFonts w:cstheme="minorHAnsi"/>
          <w:color w:val="595959" w:themeColor="text1" w:themeTint="A6"/>
        </w:rPr>
        <w:t xml:space="preserve">pporting jobseekers to be job ready through paid training programs </w:t>
      </w:r>
      <w:r w:rsidR="0025689A" w:rsidRPr="0093006A">
        <w:rPr>
          <w:color w:val="595959" w:themeColor="text1" w:themeTint="A6"/>
        </w:rPr>
        <w:t xml:space="preserve">to equip jobseekers with basic credentials to enter employment positions, and then continue with </w:t>
      </w:r>
      <w:r w:rsidR="009B287C" w:rsidRPr="0093006A">
        <w:rPr>
          <w:color w:val="595959" w:themeColor="text1" w:themeTint="A6"/>
        </w:rPr>
        <w:t>on-the-job</w:t>
      </w:r>
      <w:r w:rsidR="0025689A" w:rsidRPr="0093006A">
        <w:rPr>
          <w:color w:val="595959" w:themeColor="text1" w:themeTint="A6"/>
        </w:rPr>
        <w:t xml:space="preserve"> training</w:t>
      </w:r>
      <w:r w:rsidRPr="0093006A">
        <w:rPr>
          <w:color w:val="595959" w:themeColor="text1" w:themeTint="A6"/>
        </w:rPr>
        <w:t>.</w:t>
      </w:r>
    </w:p>
    <w:p w14:paraId="2EA9EA90" w14:textId="2487E929" w:rsidR="0025689A" w:rsidRPr="0093006A" w:rsidRDefault="00924EF2" w:rsidP="003769B7">
      <w:pPr>
        <w:pStyle w:val="ListParagraph"/>
        <w:numPr>
          <w:ilvl w:val="0"/>
          <w:numId w:val="39"/>
        </w:numPr>
        <w:spacing w:after="120"/>
        <w:rPr>
          <w:color w:val="595959" w:themeColor="text1" w:themeTint="A6"/>
          <w:lang w:val="en-US"/>
        </w:rPr>
      </w:pPr>
      <w:r w:rsidRPr="0093006A">
        <w:rPr>
          <w:color w:val="595959" w:themeColor="text1" w:themeTint="A6"/>
        </w:rPr>
        <w:t>R</w:t>
      </w:r>
      <w:r w:rsidR="0025689A" w:rsidRPr="0093006A">
        <w:rPr>
          <w:color w:val="595959" w:themeColor="text1" w:themeTint="A6"/>
        </w:rPr>
        <w:t xml:space="preserve">ecognition of prior learning and micro-skilling of Indigenous </w:t>
      </w:r>
      <w:r w:rsidR="00563300" w:rsidRPr="0093006A">
        <w:rPr>
          <w:color w:val="595959" w:themeColor="text1" w:themeTint="A6"/>
        </w:rPr>
        <w:t>Australians</w:t>
      </w:r>
      <w:r w:rsidR="0025689A" w:rsidRPr="0093006A">
        <w:rPr>
          <w:color w:val="595959" w:themeColor="text1" w:themeTint="A6"/>
        </w:rPr>
        <w:t xml:space="preserve"> who have held roles for a long time but do not have formal qualifications. Micro-</w:t>
      </w:r>
      <w:r w:rsidR="00641123" w:rsidRPr="0093006A">
        <w:rPr>
          <w:color w:val="595959" w:themeColor="text1" w:themeTint="A6"/>
        </w:rPr>
        <w:t>credentialing</w:t>
      </w:r>
      <w:r w:rsidR="0025689A" w:rsidRPr="0093006A">
        <w:rPr>
          <w:color w:val="595959" w:themeColor="text1" w:themeTint="A6"/>
        </w:rPr>
        <w:t xml:space="preserve"> was also highlighted as </w:t>
      </w:r>
      <w:r w:rsidR="00641123" w:rsidRPr="0093006A">
        <w:rPr>
          <w:color w:val="595959" w:themeColor="text1" w:themeTint="A6"/>
        </w:rPr>
        <w:t xml:space="preserve">a </w:t>
      </w:r>
      <w:r w:rsidR="0025689A" w:rsidRPr="0093006A">
        <w:rPr>
          <w:color w:val="595959" w:themeColor="text1" w:themeTint="A6"/>
        </w:rPr>
        <w:t xml:space="preserve">way to get people into jobs before continuing to train them. </w:t>
      </w:r>
    </w:p>
    <w:p w14:paraId="47986104" w14:textId="0D089B58" w:rsidR="0025689A" w:rsidRPr="0093006A" w:rsidRDefault="0025689A" w:rsidP="00AB65E8">
      <w:pPr>
        <w:spacing w:after="120"/>
        <w:rPr>
          <w:color w:val="595959" w:themeColor="text1" w:themeTint="A6"/>
          <w:lang w:val="en-US"/>
        </w:rPr>
      </w:pPr>
      <w:r w:rsidRPr="0093006A">
        <w:rPr>
          <w:color w:val="595959" w:themeColor="text1" w:themeTint="A6"/>
          <w:lang w:val="en-US"/>
        </w:rPr>
        <w:t xml:space="preserve">Participants also provided the following suggestions for </w:t>
      </w:r>
      <w:r w:rsidR="00924EF2" w:rsidRPr="0093006A">
        <w:rPr>
          <w:color w:val="595959" w:themeColor="text1" w:themeTint="A6"/>
          <w:lang w:val="en-US"/>
        </w:rPr>
        <w:t xml:space="preserve">responding to </w:t>
      </w:r>
      <w:r w:rsidRPr="0093006A">
        <w:rPr>
          <w:color w:val="595959" w:themeColor="text1" w:themeTint="A6"/>
          <w:lang w:val="en-US"/>
        </w:rPr>
        <w:t>employment aspirations:</w:t>
      </w:r>
    </w:p>
    <w:p w14:paraId="3BCEB3F7" w14:textId="08F493BC" w:rsidR="0025689A" w:rsidRPr="0093006A" w:rsidRDefault="00924EF2" w:rsidP="003769B7">
      <w:pPr>
        <w:pStyle w:val="ListParagraph"/>
        <w:numPr>
          <w:ilvl w:val="0"/>
          <w:numId w:val="40"/>
        </w:numPr>
        <w:spacing w:after="120"/>
        <w:rPr>
          <w:color w:val="595959" w:themeColor="text1" w:themeTint="A6"/>
        </w:rPr>
      </w:pPr>
      <w:r w:rsidRPr="0093006A">
        <w:rPr>
          <w:color w:val="595959" w:themeColor="text1" w:themeTint="A6"/>
          <w:lang w:val="en-US"/>
        </w:rPr>
        <w:t>Taking a l</w:t>
      </w:r>
      <w:r w:rsidR="0025689A" w:rsidRPr="0093006A">
        <w:rPr>
          <w:color w:val="595959" w:themeColor="text1" w:themeTint="A6"/>
          <w:lang w:val="en-US"/>
        </w:rPr>
        <w:t>ocal focus</w:t>
      </w:r>
      <w:r w:rsidRPr="0093006A">
        <w:rPr>
          <w:color w:val="595959" w:themeColor="text1" w:themeTint="A6"/>
          <w:lang w:val="en-US"/>
        </w:rPr>
        <w:t xml:space="preserve"> that is</w:t>
      </w:r>
      <w:r w:rsidR="0025689A" w:rsidRPr="0093006A">
        <w:rPr>
          <w:color w:val="595959" w:themeColor="text1" w:themeTint="A6"/>
          <w:lang w:val="en-US"/>
        </w:rPr>
        <w:t xml:space="preserve"> strategically matched to regional jobs availability and skills/training</w:t>
      </w:r>
      <w:r w:rsidRPr="0093006A">
        <w:rPr>
          <w:color w:val="595959" w:themeColor="text1" w:themeTint="A6"/>
          <w:lang w:val="en-US"/>
        </w:rPr>
        <w:t>.</w:t>
      </w:r>
    </w:p>
    <w:p w14:paraId="03DAD896" w14:textId="29D43790" w:rsidR="0025689A" w:rsidRPr="0093006A" w:rsidRDefault="00924EF2" w:rsidP="003769B7">
      <w:pPr>
        <w:pStyle w:val="ListParagraph"/>
        <w:numPr>
          <w:ilvl w:val="0"/>
          <w:numId w:val="40"/>
        </w:numPr>
        <w:spacing w:after="120"/>
        <w:rPr>
          <w:color w:val="595959" w:themeColor="text1" w:themeTint="A6"/>
        </w:rPr>
      </w:pPr>
      <w:r w:rsidRPr="0093006A">
        <w:rPr>
          <w:color w:val="595959" w:themeColor="text1" w:themeTint="A6"/>
          <w:lang w:val="en-US"/>
        </w:rPr>
        <w:t>R</w:t>
      </w:r>
      <w:r w:rsidR="0025689A" w:rsidRPr="0093006A">
        <w:rPr>
          <w:color w:val="595959" w:themeColor="text1" w:themeTint="A6"/>
          <w:lang w:val="en-US"/>
        </w:rPr>
        <w:t xml:space="preserve">egional economic strategic approaches designed by community, industry and government to ensure pipeline creation, best use of </w:t>
      </w:r>
      <w:r w:rsidR="0025689A" w:rsidRPr="0093006A">
        <w:rPr>
          <w:color w:val="595959" w:themeColor="text1" w:themeTint="A6"/>
        </w:rPr>
        <w:t xml:space="preserve">government </w:t>
      </w:r>
      <w:r w:rsidR="0025689A" w:rsidRPr="0093006A">
        <w:rPr>
          <w:color w:val="595959" w:themeColor="text1" w:themeTint="A6"/>
          <w:lang w:val="en-US"/>
        </w:rPr>
        <w:t>procurement policies, accountability, targets and outcomes</w:t>
      </w:r>
      <w:r w:rsidRPr="0093006A">
        <w:rPr>
          <w:color w:val="595959" w:themeColor="text1" w:themeTint="A6"/>
          <w:lang w:val="en-US"/>
        </w:rPr>
        <w:t>.</w:t>
      </w:r>
    </w:p>
    <w:p w14:paraId="7DB39B66" w14:textId="7E4BB44D" w:rsidR="0025689A" w:rsidRPr="0093006A" w:rsidRDefault="00924EF2" w:rsidP="003769B7">
      <w:pPr>
        <w:pStyle w:val="ListParagraph"/>
        <w:numPr>
          <w:ilvl w:val="0"/>
          <w:numId w:val="40"/>
        </w:numPr>
        <w:spacing w:after="120"/>
        <w:rPr>
          <w:color w:val="595959" w:themeColor="text1" w:themeTint="A6"/>
        </w:rPr>
      </w:pPr>
      <w:r w:rsidRPr="0093006A">
        <w:rPr>
          <w:color w:val="595959" w:themeColor="text1" w:themeTint="A6"/>
          <w:lang w:val="en-US"/>
        </w:rPr>
        <w:t>T</w:t>
      </w:r>
      <w:r w:rsidR="0025689A" w:rsidRPr="0093006A">
        <w:rPr>
          <w:color w:val="595959" w:themeColor="text1" w:themeTint="A6"/>
          <w:lang w:val="en-US"/>
        </w:rPr>
        <w:t>he ability to live and work on Country through the development of Indigenous tourism, expanded land</w:t>
      </w:r>
      <w:r w:rsidRPr="0093006A">
        <w:rPr>
          <w:color w:val="595959" w:themeColor="text1" w:themeTint="A6"/>
          <w:lang w:val="en-US"/>
        </w:rPr>
        <w:t xml:space="preserve"> </w:t>
      </w:r>
      <w:r w:rsidR="0025689A" w:rsidRPr="0093006A">
        <w:rPr>
          <w:color w:val="595959" w:themeColor="text1" w:themeTint="A6"/>
          <w:lang w:val="en-US"/>
        </w:rPr>
        <w:t xml:space="preserve">care (Indigenous Rangers) programs, the NDIS, </w:t>
      </w:r>
      <w:r w:rsidRPr="0093006A">
        <w:rPr>
          <w:color w:val="595959" w:themeColor="text1" w:themeTint="A6"/>
          <w:lang w:val="en-US"/>
        </w:rPr>
        <w:t>a</w:t>
      </w:r>
      <w:r w:rsidR="0025689A" w:rsidRPr="0093006A">
        <w:rPr>
          <w:color w:val="595959" w:themeColor="text1" w:themeTint="A6"/>
          <w:lang w:val="en-US"/>
        </w:rPr>
        <w:t xml:space="preserve">ged </w:t>
      </w:r>
      <w:r w:rsidRPr="0093006A">
        <w:rPr>
          <w:color w:val="595959" w:themeColor="text1" w:themeTint="A6"/>
          <w:lang w:val="en-US"/>
        </w:rPr>
        <w:t>c</w:t>
      </w:r>
      <w:r w:rsidR="0025689A" w:rsidRPr="0093006A">
        <w:rPr>
          <w:color w:val="595959" w:themeColor="text1" w:themeTint="A6"/>
          <w:lang w:val="en-US"/>
        </w:rPr>
        <w:t>are, traditional knowledge and creative industries</w:t>
      </w:r>
      <w:r w:rsidRPr="0093006A">
        <w:rPr>
          <w:color w:val="595959" w:themeColor="text1" w:themeTint="A6"/>
          <w:lang w:val="en-US"/>
        </w:rPr>
        <w:t>.</w:t>
      </w:r>
    </w:p>
    <w:p w14:paraId="5B536BA3" w14:textId="2E78723A" w:rsidR="00924EF2" w:rsidRPr="0093006A" w:rsidRDefault="00924EF2" w:rsidP="003769B7">
      <w:pPr>
        <w:pStyle w:val="ListParagraph"/>
        <w:numPr>
          <w:ilvl w:val="0"/>
          <w:numId w:val="40"/>
        </w:numPr>
        <w:spacing w:after="120"/>
        <w:rPr>
          <w:rFonts w:cstheme="minorHAnsi"/>
          <w:color w:val="595959" w:themeColor="text1" w:themeTint="A6"/>
        </w:rPr>
      </w:pPr>
      <w:r w:rsidRPr="0093006A">
        <w:rPr>
          <w:color w:val="595959" w:themeColor="text1" w:themeTint="A6"/>
          <w:lang w:val="en-US"/>
        </w:rPr>
        <w:t>E</w:t>
      </w:r>
      <w:r w:rsidR="0025689A" w:rsidRPr="0093006A">
        <w:rPr>
          <w:color w:val="595959" w:themeColor="text1" w:themeTint="A6"/>
          <w:lang w:val="en-US"/>
        </w:rPr>
        <w:t xml:space="preserve">nsuring cultural safety by </w:t>
      </w:r>
      <w:r w:rsidRPr="0093006A">
        <w:rPr>
          <w:color w:val="595959" w:themeColor="text1" w:themeTint="A6"/>
          <w:lang w:val="en-US"/>
        </w:rPr>
        <w:t xml:space="preserve">creating </w:t>
      </w:r>
      <w:r w:rsidR="0025689A" w:rsidRPr="0093006A">
        <w:rPr>
          <w:color w:val="595959" w:themeColor="text1" w:themeTint="A6"/>
          <w:lang w:val="en-US"/>
        </w:rPr>
        <w:t>culturally safe employers and workplaces.</w:t>
      </w:r>
    </w:p>
    <w:p w14:paraId="6E5D9EFF" w14:textId="5DC2F668" w:rsidR="0025689A" w:rsidRPr="0093006A" w:rsidRDefault="0025689A" w:rsidP="003769B7">
      <w:pPr>
        <w:pStyle w:val="ListParagraph"/>
        <w:numPr>
          <w:ilvl w:val="0"/>
          <w:numId w:val="40"/>
        </w:numPr>
        <w:spacing w:after="120"/>
        <w:rPr>
          <w:rFonts w:cstheme="minorHAnsi"/>
          <w:color w:val="595959" w:themeColor="text1" w:themeTint="A6"/>
        </w:rPr>
      </w:pPr>
      <w:r w:rsidRPr="0093006A">
        <w:rPr>
          <w:rFonts w:cstheme="minorHAnsi"/>
          <w:color w:val="595959" w:themeColor="text1" w:themeTint="A6"/>
        </w:rPr>
        <w:t xml:space="preserve">Implementing cultural governance frameworks to activate and support industry practice that is embedded in the lived cultures and experiences of Indigenous </w:t>
      </w:r>
      <w:r w:rsidR="00563300" w:rsidRPr="0093006A">
        <w:rPr>
          <w:color w:val="595959" w:themeColor="text1" w:themeTint="A6"/>
        </w:rPr>
        <w:t>Australians</w:t>
      </w:r>
      <w:r w:rsidRPr="0093006A">
        <w:rPr>
          <w:rFonts w:cstheme="minorHAnsi"/>
          <w:color w:val="595959" w:themeColor="text1" w:themeTint="A6"/>
        </w:rPr>
        <w:t>, families and communities</w:t>
      </w:r>
      <w:r w:rsidR="00924EF2" w:rsidRPr="0093006A">
        <w:rPr>
          <w:rFonts w:cstheme="minorHAnsi"/>
          <w:color w:val="595959" w:themeColor="text1" w:themeTint="A6"/>
        </w:rPr>
        <w:t>.</w:t>
      </w:r>
    </w:p>
    <w:p w14:paraId="18A9A216" w14:textId="1B73DDBB" w:rsidR="0025689A" w:rsidRPr="0093006A" w:rsidRDefault="00924EF2" w:rsidP="003769B7">
      <w:pPr>
        <w:pStyle w:val="ListParagraph"/>
        <w:numPr>
          <w:ilvl w:val="0"/>
          <w:numId w:val="40"/>
        </w:numPr>
        <w:spacing w:after="120"/>
        <w:rPr>
          <w:rFonts w:cstheme="minorHAnsi"/>
          <w:color w:val="595959" w:themeColor="text1" w:themeTint="A6"/>
        </w:rPr>
      </w:pPr>
      <w:r w:rsidRPr="0093006A">
        <w:rPr>
          <w:color w:val="595959" w:themeColor="text1" w:themeTint="A6"/>
        </w:rPr>
        <w:t>S</w:t>
      </w:r>
      <w:r w:rsidR="0025689A" w:rsidRPr="0093006A">
        <w:rPr>
          <w:color w:val="595959" w:themeColor="text1" w:themeTint="A6"/>
        </w:rPr>
        <w:t xml:space="preserve">haping young leaders into future leaders through investment in </w:t>
      </w:r>
      <w:r w:rsidR="0025689A" w:rsidRPr="0093006A">
        <w:rPr>
          <w:bCs/>
          <w:color w:val="595959" w:themeColor="text1" w:themeTint="A6"/>
        </w:rPr>
        <w:t>the younger generation to enable personal development and facilitate progression into senior-level roles</w:t>
      </w:r>
      <w:r w:rsidRPr="0093006A">
        <w:rPr>
          <w:bCs/>
          <w:color w:val="595959" w:themeColor="text1" w:themeTint="A6"/>
        </w:rPr>
        <w:t>.</w:t>
      </w:r>
    </w:p>
    <w:p w14:paraId="3EBBECCD" w14:textId="0B38D34E" w:rsidR="0025689A" w:rsidRPr="0093006A" w:rsidRDefault="00924EF2" w:rsidP="003769B7">
      <w:pPr>
        <w:pStyle w:val="ListParagraph"/>
        <w:numPr>
          <w:ilvl w:val="0"/>
          <w:numId w:val="40"/>
        </w:numPr>
        <w:ind w:left="714" w:hanging="357"/>
        <w:rPr>
          <w:rFonts w:cstheme="minorHAnsi"/>
          <w:color w:val="595959" w:themeColor="text1" w:themeTint="A6"/>
        </w:rPr>
      </w:pPr>
      <w:r w:rsidRPr="0093006A">
        <w:rPr>
          <w:rFonts w:cstheme="minorHAnsi"/>
          <w:color w:val="595959" w:themeColor="text1" w:themeTint="A6"/>
        </w:rPr>
        <w:t>E</w:t>
      </w:r>
      <w:r w:rsidR="0025689A" w:rsidRPr="0093006A">
        <w:rPr>
          <w:rFonts w:cstheme="minorHAnsi"/>
          <w:color w:val="595959" w:themeColor="text1" w:themeTint="A6"/>
        </w:rPr>
        <w:t>xpansion of program</w:t>
      </w:r>
      <w:r w:rsidRPr="0093006A">
        <w:rPr>
          <w:rFonts w:cstheme="minorHAnsi"/>
          <w:color w:val="595959" w:themeColor="text1" w:themeTint="A6"/>
        </w:rPr>
        <w:t>s</w:t>
      </w:r>
      <w:r w:rsidR="0025689A" w:rsidRPr="0093006A">
        <w:rPr>
          <w:rFonts w:cstheme="minorHAnsi"/>
          <w:color w:val="595959" w:themeColor="text1" w:themeTint="A6"/>
        </w:rPr>
        <w:t xml:space="preserve"> such as the NSW Elsa Dixon Aboriginal Employment Grant (EDAEG) which subsidises the salary, development and support costs of Indigenous employees in public service agencies and local government authorities. </w:t>
      </w:r>
      <w:r w:rsidRPr="0093006A">
        <w:rPr>
          <w:rFonts w:cstheme="minorHAnsi"/>
          <w:color w:val="595959" w:themeColor="text1" w:themeTint="A6"/>
        </w:rPr>
        <w:t>A</w:t>
      </w:r>
      <w:r w:rsidR="0025689A" w:rsidRPr="0093006A">
        <w:rPr>
          <w:rFonts w:cstheme="minorHAnsi"/>
          <w:color w:val="595959" w:themeColor="text1" w:themeTint="A6"/>
        </w:rPr>
        <w:t xml:space="preserve"> similar funding model </w:t>
      </w:r>
      <w:r w:rsidRPr="0093006A">
        <w:rPr>
          <w:rFonts w:cstheme="minorHAnsi"/>
          <w:color w:val="595959" w:themeColor="text1" w:themeTint="A6"/>
        </w:rPr>
        <w:t xml:space="preserve">could be created </w:t>
      </w:r>
      <w:r w:rsidR="0025689A" w:rsidRPr="0093006A">
        <w:rPr>
          <w:rFonts w:cstheme="minorHAnsi"/>
          <w:color w:val="595959" w:themeColor="text1" w:themeTint="A6"/>
        </w:rPr>
        <w:t>for ACCOs</w:t>
      </w:r>
      <w:r w:rsidRPr="0093006A">
        <w:rPr>
          <w:rFonts w:cstheme="minorHAnsi"/>
          <w:color w:val="595959" w:themeColor="text1" w:themeTint="A6"/>
        </w:rPr>
        <w:t>.</w:t>
      </w:r>
    </w:p>
    <w:p w14:paraId="5543DFAE" w14:textId="1E0F06D8" w:rsidR="008549AF" w:rsidRPr="0093006A" w:rsidRDefault="00924EF2" w:rsidP="008549AF">
      <w:pPr>
        <w:pStyle w:val="NormalWeb"/>
        <w:numPr>
          <w:ilvl w:val="0"/>
          <w:numId w:val="40"/>
        </w:numPr>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B</w:t>
      </w:r>
      <w:r w:rsidR="0025689A" w:rsidRPr="0093006A">
        <w:rPr>
          <w:rFonts w:ascii="Helvetica Neue" w:hAnsi="Helvetica Neue" w:cstheme="minorHAnsi"/>
          <w:color w:val="595959" w:themeColor="text1" w:themeTint="A6"/>
        </w:rPr>
        <w:t>etter aligning local and regional opportunities with the aspirations of Indigenous jobseekers.</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4"/>
        <w:tblDescription w:val="The ISEP should be flexible, place-based, community-led and client-focused "/>
      </w:tblPr>
      <w:tblGrid>
        <w:gridCol w:w="8930"/>
      </w:tblGrid>
      <w:tr w:rsidR="0093006A" w:rsidRPr="0093006A" w14:paraId="028F0F43" w14:textId="77777777" w:rsidTr="00091525">
        <w:trPr>
          <w:cantSplit/>
          <w:tblHeader/>
        </w:trPr>
        <w:tc>
          <w:tcPr>
            <w:tcW w:w="8930" w:type="dxa"/>
            <w:shd w:val="clear" w:color="auto" w:fill="auto"/>
          </w:tcPr>
          <w:p w14:paraId="025E9BE3" w14:textId="14D469C1" w:rsidR="00AB65E8" w:rsidRPr="0093006A" w:rsidRDefault="00AB65E8" w:rsidP="0048465C">
            <w:pPr>
              <w:spacing w:after="120"/>
              <w:rPr>
                <w:b/>
                <w:bCs/>
                <w:i/>
                <w:iCs/>
                <w:color w:val="595959" w:themeColor="text1" w:themeTint="A6"/>
              </w:rPr>
            </w:pPr>
            <w:r w:rsidRPr="0093006A">
              <w:rPr>
                <w:b/>
                <w:bCs/>
                <w:i/>
                <w:iCs/>
                <w:color w:val="595959" w:themeColor="text1" w:themeTint="A6"/>
              </w:rPr>
              <w:t xml:space="preserve">Key </w:t>
            </w:r>
            <w:r w:rsidR="004E5704" w:rsidRPr="0093006A">
              <w:rPr>
                <w:b/>
                <w:bCs/>
                <w:i/>
                <w:iCs/>
                <w:color w:val="595959" w:themeColor="text1" w:themeTint="A6"/>
              </w:rPr>
              <w:t>I</w:t>
            </w:r>
            <w:r w:rsidRPr="0093006A">
              <w:rPr>
                <w:b/>
                <w:bCs/>
                <w:i/>
                <w:iCs/>
                <w:color w:val="595959" w:themeColor="text1" w:themeTint="A6"/>
              </w:rPr>
              <w:t>nsight</w:t>
            </w:r>
            <w:r w:rsidR="00055EF2" w:rsidRPr="0093006A">
              <w:rPr>
                <w:b/>
                <w:bCs/>
                <w:i/>
                <w:iCs/>
                <w:color w:val="595959" w:themeColor="text1" w:themeTint="A6"/>
              </w:rPr>
              <w:t xml:space="preserve"> </w:t>
            </w:r>
            <w:r w:rsidR="0027618B" w:rsidRPr="0093006A">
              <w:rPr>
                <w:b/>
                <w:bCs/>
                <w:i/>
                <w:iCs/>
                <w:color w:val="595959" w:themeColor="text1" w:themeTint="A6"/>
              </w:rPr>
              <w:t>4</w:t>
            </w:r>
          </w:p>
        </w:tc>
      </w:tr>
      <w:tr w:rsidR="00AB65E8" w:rsidRPr="0093006A" w14:paraId="1690B71C" w14:textId="77777777" w:rsidTr="00091525">
        <w:trPr>
          <w:cantSplit/>
          <w:tblHeader/>
        </w:trPr>
        <w:tc>
          <w:tcPr>
            <w:tcW w:w="8930" w:type="dxa"/>
          </w:tcPr>
          <w:p w14:paraId="439CB8DF" w14:textId="33412749" w:rsidR="00140BFC" w:rsidRPr="0093006A" w:rsidRDefault="00140BFC" w:rsidP="00140BFC">
            <w:pPr>
              <w:spacing w:after="120"/>
              <w:rPr>
                <w:b/>
                <w:bCs/>
                <w:color w:val="595959" w:themeColor="text1" w:themeTint="A6"/>
              </w:rPr>
            </w:pPr>
            <w:r w:rsidRPr="0093006A">
              <w:rPr>
                <w:b/>
                <w:bCs/>
                <w:color w:val="595959" w:themeColor="text1" w:themeTint="A6"/>
              </w:rPr>
              <w:t xml:space="preserve">The ISEP should be flexible, place-based, community-led and client-focused </w:t>
            </w:r>
          </w:p>
          <w:p w14:paraId="2397EDF6" w14:textId="6DB47DF3" w:rsidR="00AB65E8" w:rsidRPr="0093006A" w:rsidRDefault="00140BFC" w:rsidP="00981521">
            <w:pPr>
              <w:spacing w:after="120"/>
              <w:rPr>
                <w:color w:val="595959" w:themeColor="text1" w:themeTint="A6"/>
              </w:rPr>
            </w:pPr>
            <w:r w:rsidRPr="0093006A">
              <w:rPr>
                <w:color w:val="595959" w:themeColor="text1" w:themeTint="A6"/>
              </w:rPr>
              <w:t>The ISEP should be flexible, support local approaches, and avoid ‘one size fits all’ funding arrangements. Within the context of the National Agreement on Closing the Gap, participants emphasised the importance of NIAA undertaking collaboration on community-led and -designed solutions to achieve outcomes for Indigenous jobseekers appropriate to specific cultural and regional contexts.</w:t>
            </w:r>
          </w:p>
        </w:tc>
      </w:tr>
    </w:tbl>
    <w:p w14:paraId="09A5961E" w14:textId="4050C70B" w:rsidR="002B4630" w:rsidRPr="0093006A" w:rsidRDefault="002B4630">
      <w:pPr>
        <w:rPr>
          <w:b/>
          <w:color w:val="595959" w:themeColor="text1" w:themeTint="A6"/>
          <w:sz w:val="28"/>
          <w:szCs w:val="28"/>
        </w:rPr>
      </w:pPr>
    </w:p>
    <w:p w14:paraId="307CC0B6" w14:textId="77777777" w:rsidR="0025689A" w:rsidRPr="0093006A" w:rsidRDefault="0025689A" w:rsidP="00AB65E8">
      <w:pPr>
        <w:pStyle w:val="Heading3"/>
        <w:spacing w:before="0" w:after="120"/>
        <w:rPr>
          <w:color w:val="595959" w:themeColor="text1" w:themeTint="A6"/>
        </w:rPr>
      </w:pPr>
      <w:r w:rsidRPr="0093006A">
        <w:rPr>
          <w:color w:val="595959" w:themeColor="text1" w:themeTint="A6"/>
        </w:rPr>
        <w:t xml:space="preserve">Discussion Question Three: Future Options </w:t>
      </w:r>
    </w:p>
    <w:p w14:paraId="3CF9C85B" w14:textId="77777777" w:rsidR="0025689A" w:rsidRPr="0093006A" w:rsidRDefault="0025689A" w:rsidP="00AB65E8">
      <w:pPr>
        <w:spacing w:after="120"/>
        <w:rPr>
          <w:iCs/>
          <w:color w:val="595959" w:themeColor="text1" w:themeTint="A6"/>
        </w:rPr>
      </w:pPr>
      <w:r w:rsidRPr="0093006A">
        <w:rPr>
          <w:iCs/>
          <w:color w:val="595959" w:themeColor="text1" w:themeTint="A6"/>
        </w:rPr>
        <w:t>With respect to future options, participants were asked to consider what future success might look like and to generate a range of ideas to help achieve this future state.</w:t>
      </w:r>
    </w:p>
    <w:p w14:paraId="5588146A" w14:textId="77777777" w:rsidR="0025689A" w:rsidRPr="0093006A" w:rsidRDefault="0025689A" w:rsidP="00AB65E8">
      <w:pPr>
        <w:spacing w:after="120"/>
        <w:rPr>
          <w:color w:val="595959" w:themeColor="text1" w:themeTint="A6"/>
        </w:rPr>
      </w:pPr>
      <w:r w:rsidRPr="0093006A">
        <w:rPr>
          <w:color w:val="595959" w:themeColor="text1" w:themeTint="A6"/>
        </w:rPr>
        <w:t>The examples and responses provided by participants were able to be categorised across four pillars:</w:t>
      </w:r>
    </w:p>
    <w:p w14:paraId="6083F9AD" w14:textId="2F8B9D78" w:rsidR="0025689A" w:rsidRPr="0093006A" w:rsidRDefault="00050C0A" w:rsidP="003769B7">
      <w:pPr>
        <w:pStyle w:val="ListParagraph"/>
        <w:numPr>
          <w:ilvl w:val="0"/>
          <w:numId w:val="9"/>
        </w:numPr>
        <w:spacing w:after="120"/>
        <w:rPr>
          <w:color w:val="595959" w:themeColor="text1" w:themeTint="A6"/>
        </w:rPr>
      </w:pPr>
      <w:r w:rsidRPr="0093006A">
        <w:rPr>
          <w:color w:val="595959" w:themeColor="text1" w:themeTint="A6"/>
        </w:rPr>
        <w:t>S</w:t>
      </w:r>
      <w:r w:rsidR="0025689A" w:rsidRPr="0093006A">
        <w:rPr>
          <w:color w:val="595959" w:themeColor="text1" w:themeTint="A6"/>
        </w:rPr>
        <w:t xml:space="preserve">ocial: </w:t>
      </w:r>
      <w:r w:rsidR="002B4630" w:rsidRPr="0093006A">
        <w:rPr>
          <w:color w:val="595959" w:themeColor="text1" w:themeTint="A6"/>
        </w:rPr>
        <w:t>the</w:t>
      </w:r>
      <w:r w:rsidR="0025689A" w:rsidRPr="0093006A">
        <w:rPr>
          <w:color w:val="595959" w:themeColor="text1" w:themeTint="A6"/>
        </w:rPr>
        <w:t xml:space="preserve"> changes required to address social barriers for Indigenous </w:t>
      </w:r>
      <w:r w:rsidR="00563300" w:rsidRPr="0093006A">
        <w:rPr>
          <w:color w:val="595959" w:themeColor="text1" w:themeTint="A6"/>
        </w:rPr>
        <w:t>Australians</w:t>
      </w:r>
      <w:r w:rsidR="0025689A" w:rsidRPr="0093006A">
        <w:rPr>
          <w:color w:val="595959" w:themeColor="text1" w:themeTint="A6"/>
        </w:rPr>
        <w:t xml:space="preserve"> in the ISEP design </w:t>
      </w:r>
      <w:r w:rsidR="002B4630" w:rsidRPr="0093006A">
        <w:rPr>
          <w:color w:val="595959" w:themeColor="text1" w:themeTint="A6"/>
        </w:rPr>
        <w:t xml:space="preserve">in order </w:t>
      </w:r>
      <w:r w:rsidR="0025689A" w:rsidRPr="0093006A">
        <w:rPr>
          <w:color w:val="595959" w:themeColor="text1" w:themeTint="A6"/>
        </w:rPr>
        <w:t>to deliver the future state</w:t>
      </w:r>
      <w:r w:rsidRPr="0093006A">
        <w:rPr>
          <w:color w:val="595959" w:themeColor="text1" w:themeTint="A6"/>
        </w:rPr>
        <w:t>.</w:t>
      </w:r>
    </w:p>
    <w:p w14:paraId="420E5384" w14:textId="1A24DD3D" w:rsidR="0025689A" w:rsidRPr="0093006A" w:rsidRDefault="00050C0A" w:rsidP="003769B7">
      <w:pPr>
        <w:pStyle w:val="ListParagraph"/>
        <w:numPr>
          <w:ilvl w:val="0"/>
          <w:numId w:val="9"/>
        </w:numPr>
        <w:spacing w:after="120"/>
        <w:rPr>
          <w:color w:val="595959" w:themeColor="text1" w:themeTint="A6"/>
        </w:rPr>
      </w:pPr>
      <w:r w:rsidRPr="0093006A">
        <w:rPr>
          <w:color w:val="595959" w:themeColor="text1" w:themeTint="A6"/>
        </w:rPr>
        <w:t>S</w:t>
      </w:r>
      <w:r w:rsidR="0025689A" w:rsidRPr="0093006A">
        <w:rPr>
          <w:color w:val="595959" w:themeColor="text1" w:themeTint="A6"/>
        </w:rPr>
        <w:t xml:space="preserve">tructural: </w:t>
      </w:r>
      <w:r w:rsidR="002B4630" w:rsidRPr="0093006A">
        <w:rPr>
          <w:color w:val="595959" w:themeColor="text1" w:themeTint="A6"/>
        </w:rPr>
        <w:t>the</w:t>
      </w:r>
      <w:r w:rsidR="0025689A" w:rsidRPr="0093006A">
        <w:rPr>
          <w:color w:val="595959" w:themeColor="text1" w:themeTint="A6"/>
        </w:rPr>
        <w:t xml:space="preserve"> structural changes required in the ISEP design </w:t>
      </w:r>
      <w:r w:rsidR="002B4630" w:rsidRPr="0093006A">
        <w:rPr>
          <w:color w:val="595959" w:themeColor="text1" w:themeTint="A6"/>
        </w:rPr>
        <w:t xml:space="preserve">in order </w:t>
      </w:r>
      <w:r w:rsidR="0025689A" w:rsidRPr="0093006A">
        <w:rPr>
          <w:color w:val="595959" w:themeColor="text1" w:themeTint="A6"/>
        </w:rPr>
        <w:t>to deliver the future state</w:t>
      </w:r>
      <w:r w:rsidRPr="0093006A">
        <w:rPr>
          <w:color w:val="595959" w:themeColor="text1" w:themeTint="A6"/>
        </w:rPr>
        <w:t>.</w:t>
      </w:r>
    </w:p>
    <w:p w14:paraId="3AA6B77C" w14:textId="13481C11" w:rsidR="0025689A" w:rsidRPr="0093006A" w:rsidRDefault="00050C0A" w:rsidP="003769B7">
      <w:pPr>
        <w:pStyle w:val="ListParagraph"/>
        <w:numPr>
          <w:ilvl w:val="0"/>
          <w:numId w:val="9"/>
        </w:numPr>
        <w:spacing w:after="120"/>
        <w:rPr>
          <w:color w:val="595959" w:themeColor="text1" w:themeTint="A6"/>
        </w:rPr>
      </w:pPr>
      <w:r w:rsidRPr="0093006A">
        <w:rPr>
          <w:color w:val="595959" w:themeColor="text1" w:themeTint="A6"/>
        </w:rPr>
        <w:t>S</w:t>
      </w:r>
      <w:r w:rsidR="0025689A" w:rsidRPr="0093006A">
        <w:rPr>
          <w:color w:val="595959" w:themeColor="text1" w:themeTint="A6"/>
        </w:rPr>
        <w:t>trategic:</w:t>
      </w:r>
      <w:r w:rsidR="0025689A" w:rsidRPr="0093006A">
        <w:rPr>
          <w:b/>
          <w:bCs/>
          <w:color w:val="595959" w:themeColor="text1" w:themeTint="A6"/>
        </w:rPr>
        <w:t xml:space="preserve"> </w:t>
      </w:r>
      <w:r w:rsidR="0025689A" w:rsidRPr="0093006A">
        <w:rPr>
          <w:color w:val="595959" w:themeColor="text1" w:themeTint="A6"/>
        </w:rPr>
        <w:t>the strategic approaches required to be incorporated into the ISEP design to deliver the future state</w:t>
      </w:r>
      <w:r w:rsidRPr="0093006A">
        <w:rPr>
          <w:color w:val="595959" w:themeColor="text1" w:themeTint="A6"/>
        </w:rPr>
        <w:t>.</w:t>
      </w:r>
    </w:p>
    <w:p w14:paraId="28D9E34B" w14:textId="506986C6" w:rsidR="0025689A" w:rsidRPr="0093006A" w:rsidRDefault="00050C0A" w:rsidP="003769B7">
      <w:pPr>
        <w:pStyle w:val="ListParagraph"/>
        <w:numPr>
          <w:ilvl w:val="0"/>
          <w:numId w:val="9"/>
        </w:numPr>
        <w:spacing w:after="120"/>
        <w:rPr>
          <w:rFonts w:cstheme="minorHAnsi"/>
          <w:color w:val="595959" w:themeColor="text1" w:themeTint="A6"/>
        </w:rPr>
      </w:pPr>
      <w:r w:rsidRPr="0093006A">
        <w:rPr>
          <w:color w:val="595959" w:themeColor="text1" w:themeTint="A6"/>
        </w:rPr>
        <w:t>N</w:t>
      </w:r>
      <w:r w:rsidR="0025689A" w:rsidRPr="0093006A">
        <w:rPr>
          <w:color w:val="595959" w:themeColor="text1" w:themeTint="A6"/>
        </w:rPr>
        <w:t>on-homogenous:</w:t>
      </w:r>
      <w:r w:rsidR="0025689A" w:rsidRPr="0093006A">
        <w:rPr>
          <w:b/>
          <w:bCs/>
          <w:color w:val="595959" w:themeColor="text1" w:themeTint="A6"/>
        </w:rPr>
        <w:t xml:space="preserve"> </w:t>
      </w:r>
      <w:r w:rsidR="0025689A" w:rsidRPr="0093006A">
        <w:rPr>
          <w:color w:val="595959" w:themeColor="text1" w:themeTint="A6"/>
        </w:rPr>
        <w:t>the approaches required in the ISEP to respond to the needs of specific communities that do not relate to all regions or locations.</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9"/>
        <w:tblDescription w:val="The ISEP could address the future for Indigenous employment through a lens of social, structural and strategic approaches to deliver outcomes as well as ensuring flexibility in program design to respond to non-homogenous requirements at the local and regional levels "/>
      </w:tblPr>
      <w:tblGrid>
        <w:gridCol w:w="8930"/>
      </w:tblGrid>
      <w:tr w:rsidR="0093006A" w:rsidRPr="0093006A" w14:paraId="51C260BA" w14:textId="77777777" w:rsidTr="00091525">
        <w:trPr>
          <w:cantSplit/>
          <w:tblHeader/>
        </w:trPr>
        <w:tc>
          <w:tcPr>
            <w:tcW w:w="8930" w:type="dxa"/>
            <w:shd w:val="clear" w:color="auto" w:fill="auto"/>
          </w:tcPr>
          <w:p w14:paraId="49F18684" w14:textId="454F19FD" w:rsidR="00AB65E8" w:rsidRPr="0093006A" w:rsidRDefault="00AB65E8" w:rsidP="0048465C">
            <w:pPr>
              <w:spacing w:after="120"/>
              <w:rPr>
                <w:b/>
                <w:bCs/>
                <w:i/>
                <w:iCs/>
                <w:color w:val="595959" w:themeColor="text1" w:themeTint="A6"/>
              </w:rPr>
            </w:pPr>
            <w:r w:rsidRPr="0093006A">
              <w:rPr>
                <w:b/>
                <w:bCs/>
                <w:i/>
                <w:iCs/>
                <w:color w:val="595959" w:themeColor="text1" w:themeTint="A6"/>
              </w:rPr>
              <w:t xml:space="preserve">Key </w:t>
            </w:r>
            <w:r w:rsidR="004E5704" w:rsidRPr="0093006A">
              <w:rPr>
                <w:b/>
                <w:bCs/>
                <w:i/>
                <w:iCs/>
                <w:color w:val="595959" w:themeColor="text1" w:themeTint="A6"/>
              </w:rPr>
              <w:t>I</w:t>
            </w:r>
            <w:r w:rsidRPr="0093006A">
              <w:rPr>
                <w:b/>
                <w:bCs/>
                <w:i/>
                <w:iCs/>
                <w:color w:val="595959" w:themeColor="text1" w:themeTint="A6"/>
              </w:rPr>
              <w:t>nsight</w:t>
            </w:r>
            <w:r w:rsidR="0027618B" w:rsidRPr="0093006A">
              <w:rPr>
                <w:b/>
                <w:bCs/>
                <w:i/>
                <w:iCs/>
                <w:color w:val="595959" w:themeColor="text1" w:themeTint="A6"/>
              </w:rPr>
              <w:t xml:space="preserve"> 9</w:t>
            </w:r>
          </w:p>
        </w:tc>
      </w:tr>
      <w:tr w:rsidR="00AB65E8" w:rsidRPr="0093006A" w14:paraId="6EFF3063" w14:textId="77777777" w:rsidTr="00091525">
        <w:trPr>
          <w:cantSplit/>
          <w:tblHeader/>
        </w:trPr>
        <w:tc>
          <w:tcPr>
            <w:tcW w:w="8930" w:type="dxa"/>
          </w:tcPr>
          <w:p w14:paraId="59D30519" w14:textId="1C30A7E2" w:rsidR="00140BFC" w:rsidRPr="0093006A" w:rsidRDefault="00140BFC" w:rsidP="00140BFC">
            <w:pPr>
              <w:spacing w:after="120"/>
              <w:textDirection w:val="btLr"/>
              <w:rPr>
                <w:b/>
                <w:bCs/>
                <w:color w:val="595959" w:themeColor="text1" w:themeTint="A6"/>
              </w:rPr>
            </w:pPr>
            <w:r w:rsidRPr="0093006A">
              <w:rPr>
                <w:b/>
                <w:bCs/>
                <w:color w:val="595959" w:themeColor="text1" w:themeTint="A6"/>
              </w:rPr>
              <w:t xml:space="preserve">The ISEP could address the future for Indigenous employment through a lens of social, structural and strategic approaches to deliver outcomes as well as ensuring flexibility in program design to respond to non-homogenous requirements at the local and regional levels </w:t>
            </w:r>
          </w:p>
          <w:p w14:paraId="55EC8D8D" w14:textId="23F9597D" w:rsidR="00AB65E8" w:rsidRPr="0093006A" w:rsidRDefault="00140BFC" w:rsidP="00AB65E8">
            <w:pPr>
              <w:spacing w:after="120"/>
              <w:textDirection w:val="btLr"/>
              <w:rPr>
                <w:color w:val="595959" w:themeColor="text1" w:themeTint="A6"/>
              </w:rPr>
            </w:pPr>
            <w:r w:rsidRPr="0093006A">
              <w:rPr>
                <w:color w:val="595959" w:themeColor="text1" w:themeTint="A6"/>
              </w:rPr>
              <w:t>The ISEP should allow for the ability for address social, structural and strategic issues and opportunities in a flexible way to allow for place-based responses that can adapt to the specific requirements for a particular community or region.</w:t>
            </w:r>
          </w:p>
        </w:tc>
      </w:tr>
    </w:tbl>
    <w:p w14:paraId="3CA13092" w14:textId="77777777" w:rsidR="00761151" w:rsidRPr="0093006A" w:rsidRDefault="00761151" w:rsidP="00AB65E8">
      <w:pPr>
        <w:spacing w:after="120"/>
        <w:rPr>
          <w:color w:val="595959" w:themeColor="text1" w:themeTint="A6"/>
        </w:rPr>
      </w:pPr>
    </w:p>
    <w:p w14:paraId="4EF041D2" w14:textId="12504CC3" w:rsidR="0025689A" w:rsidRPr="0093006A" w:rsidRDefault="0025689A" w:rsidP="00AB65E8">
      <w:pPr>
        <w:spacing w:after="120"/>
        <w:rPr>
          <w:color w:val="595959" w:themeColor="text1" w:themeTint="A6"/>
        </w:rPr>
      </w:pPr>
      <w:r w:rsidRPr="0093006A">
        <w:rPr>
          <w:color w:val="595959" w:themeColor="text1" w:themeTint="A6"/>
        </w:rPr>
        <w:t xml:space="preserve">The ISEP </w:t>
      </w:r>
      <w:r w:rsidR="005D09DC" w:rsidRPr="0093006A">
        <w:rPr>
          <w:color w:val="595959" w:themeColor="text1" w:themeTint="A6"/>
        </w:rPr>
        <w:t xml:space="preserve">should </w:t>
      </w:r>
      <w:r w:rsidRPr="0093006A">
        <w:rPr>
          <w:color w:val="595959" w:themeColor="text1" w:themeTint="A6"/>
        </w:rPr>
        <w:t xml:space="preserve">incorporate program approaches that address social barriers to Indigenous employment by doing things placing Indigenous communities at the centre of the design and delivery </w:t>
      </w:r>
    </w:p>
    <w:p w14:paraId="7219F8DE" w14:textId="01EC995C" w:rsidR="0025689A" w:rsidRPr="0093006A" w:rsidRDefault="0025689A" w:rsidP="00AB65E8">
      <w:pPr>
        <w:spacing w:after="120"/>
        <w:rPr>
          <w:color w:val="595959" w:themeColor="text1" w:themeTint="A6"/>
        </w:rPr>
      </w:pPr>
      <w:r w:rsidRPr="0093006A">
        <w:rPr>
          <w:color w:val="595959" w:themeColor="text1" w:themeTint="A6"/>
        </w:rPr>
        <w:t>The overwhelming common</w:t>
      </w:r>
      <w:r w:rsidR="005D5519" w:rsidRPr="0093006A">
        <w:rPr>
          <w:color w:val="595959" w:themeColor="text1" w:themeTint="A6"/>
        </w:rPr>
        <w:t xml:space="preserve"> themes</w:t>
      </w:r>
      <w:r w:rsidRPr="0093006A">
        <w:rPr>
          <w:color w:val="595959" w:themeColor="text1" w:themeTint="A6"/>
        </w:rPr>
        <w:t xml:space="preserve"> of the social barriers to Indigenous employment </w:t>
      </w:r>
      <w:r w:rsidR="005D5519" w:rsidRPr="0093006A">
        <w:rPr>
          <w:color w:val="595959" w:themeColor="text1" w:themeTint="A6"/>
        </w:rPr>
        <w:t>focus on</w:t>
      </w:r>
      <w:r w:rsidRPr="0093006A">
        <w:rPr>
          <w:color w:val="595959" w:themeColor="text1" w:themeTint="A6"/>
        </w:rPr>
        <w:t xml:space="preserve"> participants wanting a program that </w:t>
      </w:r>
      <w:r w:rsidR="005D5519" w:rsidRPr="0093006A">
        <w:rPr>
          <w:color w:val="595959" w:themeColor="text1" w:themeTint="A6"/>
        </w:rPr>
        <w:t xml:space="preserve">enable </w:t>
      </w:r>
      <w:r w:rsidRPr="0093006A">
        <w:rPr>
          <w:color w:val="595959" w:themeColor="text1" w:themeTint="A6"/>
        </w:rPr>
        <w:t xml:space="preserve">them to work towards a more equitable start for Indigenous </w:t>
      </w:r>
      <w:r w:rsidR="00563300" w:rsidRPr="0093006A">
        <w:rPr>
          <w:color w:val="595959" w:themeColor="text1" w:themeTint="A6"/>
        </w:rPr>
        <w:t>Australians</w:t>
      </w:r>
      <w:r w:rsidRPr="0093006A">
        <w:rPr>
          <w:color w:val="595959" w:themeColor="text1" w:themeTint="A6"/>
        </w:rPr>
        <w:t xml:space="preserve"> seeking employment. </w:t>
      </w:r>
    </w:p>
    <w:p w14:paraId="696D45D8" w14:textId="712535DD" w:rsidR="0025689A" w:rsidRPr="0093006A" w:rsidRDefault="0025689A" w:rsidP="00AB65E8">
      <w:pPr>
        <w:spacing w:after="120"/>
        <w:rPr>
          <w:rFonts w:cstheme="minorHAnsi"/>
          <w:color w:val="595959" w:themeColor="text1" w:themeTint="A6"/>
        </w:rPr>
      </w:pPr>
      <w:r w:rsidRPr="0093006A">
        <w:rPr>
          <w:rFonts w:cstheme="minorHAnsi"/>
          <w:color w:val="595959" w:themeColor="text1" w:themeTint="A6"/>
        </w:rPr>
        <w:t xml:space="preserve">Program approaches appropriate </w:t>
      </w:r>
      <w:r w:rsidR="005D5519" w:rsidRPr="0093006A">
        <w:rPr>
          <w:rFonts w:cstheme="minorHAnsi"/>
          <w:color w:val="595959" w:themeColor="text1" w:themeTint="A6"/>
        </w:rPr>
        <w:t>to</w:t>
      </w:r>
      <w:r w:rsidRPr="0093006A">
        <w:rPr>
          <w:rFonts w:cstheme="minorHAnsi"/>
          <w:color w:val="595959" w:themeColor="text1" w:themeTint="A6"/>
        </w:rPr>
        <w:t xml:space="preserve"> Indigenous audiences </w:t>
      </w:r>
      <w:r w:rsidR="00CE1B42" w:rsidRPr="0093006A">
        <w:rPr>
          <w:rFonts w:cstheme="minorHAnsi"/>
          <w:color w:val="595959" w:themeColor="text1" w:themeTint="A6"/>
        </w:rPr>
        <w:t xml:space="preserve">will be </w:t>
      </w:r>
      <w:r w:rsidRPr="0093006A">
        <w:rPr>
          <w:rFonts w:cstheme="minorHAnsi"/>
          <w:color w:val="595959" w:themeColor="text1" w:themeTint="A6"/>
        </w:rPr>
        <w:t xml:space="preserve">and delivered through holistic, culturally appropriate, community-led approaches </w:t>
      </w:r>
      <w:r w:rsidR="00F9142C" w:rsidRPr="0093006A">
        <w:rPr>
          <w:rFonts w:cstheme="minorHAnsi"/>
          <w:color w:val="595959" w:themeColor="text1" w:themeTint="A6"/>
        </w:rPr>
        <w:t xml:space="preserve">that </w:t>
      </w:r>
      <w:r w:rsidRPr="0093006A">
        <w:rPr>
          <w:rFonts w:cstheme="minorHAnsi"/>
          <w:color w:val="595959" w:themeColor="text1" w:themeTint="A6"/>
        </w:rPr>
        <w:t>are embedded in program frameworks</w:t>
      </w:r>
      <w:r w:rsidR="00F9142C" w:rsidRPr="0093006A">
        <w:rPr>
          <w:rFonts w:cstheme="minorHAnsi"/>
          <w:color w:val="595959" w:themeColor="text1" w:themeTint="A6"/>
        </w:rPr>
        <w:t>. There w</w:t>
      </w:r>
      <w:r w:rsidR="00CE1B42" w:rsidRPr="0093006A">
        <w:rPr>
          <w:rFonts w:cstheme="minorHAnsi"/>
          <w:color w:val="595959" w:themeColor="text1" w:themeTint="A6"/>
        </w:rPr>
        <w:t>ill</w:t>
      </w:r>
      <w:r w:rsidR="00F9142C" w:rsidRPr="0093006A">
        <w:rPr>
          <w:rFonts w:cstheme="minorHAnsi"/>
          <w:color w:val="595959" w:themeColor="text1" w:themeTint="A6"/>
        </w:rPr>
        <w:t xml:space="preserve"> be a</w:t>
      </w:r>
      <w:r w:rsidRPr="0093006A">
        <w:rPr>
          <w:rFonts w:cstheme="minorHAnsi"/>
          <w:color w:val="595959" w:themeColor="text1" w:themeTint="A6"/>
        </w:rPr>
        <w:t xml:space="preserve"> focus on adequately resourced wrap</w:t>
      </w:r>
      <w:r w:rsidR="005D5519" w:rsidRPr="0093006A">
        <w:rPr>
          <w:rFonts w:cstheme="minorHAnsi"/>
          <w:color w:val="595959" w:themeColor="text1" w:themeTint="A6"/>
        </w:rPr>
        <w:t>-</w:t>
      </w:r>
      <w:r w:rsidRPr="0093006A">
        <w:rPr>
          <w:rFonts w:cstheme="minorHAnsi"/>
          <w:color w:val="595959" w:themeColor="text1" w:themeTint="A6"/>
        </w:rPr>
        <w:t>around employment services that address the needs of Indigenous jobseekers. There w</w:t>
      </w:r>
      <w:r w:rsidR="00CE1B42" w:rsidRPr="0093006A">
        <w:rPr>
          <w:rFonts w:cstheme="minorHAnsi"/>
          <w:color w:val="595959" w:themeColor="text1" w:themeTint="A6"/>
        </w:rPr>
        <w:t>ill</w:t>
      </w:r>
      <w:r w:rsidRPr="0093006A">
        <w:rPr>
          <w:rFonts w:cstheme="minorHAnsi"/>
          <w:color w:val="595959" w:themeColor="text1" w:themeTint="A6"/>
        </w:rPr>
        <w:t xml:space="preserve"> be recognition that current learning models are not delivering the required outcomes and an Indigenous-led model </w:t>
      </w:r>
      <w:r w:rsidR="005D5519" w:rsidRPr="0093006A">
        <w:rPr>
          <w:rFonts w:cstheme="minorHAnsi"/>
          <w:color w:val="595959" w:themeColor="text1" w:themeTint="A6"/>
        </w:rPr>
        <w:t>should be</w:t>
      </w:r>
      <w:r w:rsidRPr="0093006A">
        <w:rPr>
          <w:rFonts w:cstheme="minorHAnsi"/>
          <w:color w:val="595959" w:themeColor="text1" w:themeTint="A6"/>
        </w:rPr>
        <w:t xml:space="preserve"> developed and implemented. </w:t>
      </w:r>
    </w:p>
    <w:p w14:paraId="201D7093" w14:textId="3B90628F" w:rsidR="0025689A" w:rsidRPr="0093006A" w:rsidRDefault="0025689A" w:rsidP="00AB65E8">
      <w:pPr>
        <w:tabs>
          <w:tab w:val="left" w:pos="384"/>
        </w:tabs>
        <w:spacing w:after="120"/>
        <w:rPr>
          <w:rFonts w:cstheme="minorHAnsi"/>
          <w:color w:val="595959" w:themeColor="text1" w:themeTint="A6"/>
        </w:rPr>
      </w:pPr>
      <w:r w:rsidRPr="0093006A">
        <w:rPr>
          <w:rFonts w:cstheme="minorHAnsi"/>
          <w:color w:val="595959" w:themeColor="text1" w:themeTint="A6"/>
        </w:rPr>
        <w:t xml:space="preserve">Many participants raised ‘doing things the Indigenous way’ as a basis for improved cultural immersion programs, making sure businesses taking on Indigenous </w:t>
      </w:r>
      <w:r w:rsidR="00563300" w:rsidRPr="0093006A">
        <w:rPr>
          <w:color w:val="595959" w:themeColor="text1" w:themeTint="A6"/>
        </w:rPr>
        <w:t>Australians</w:t>
      </w:r>
      <w:r w:rsidRPr="0093006A">
        <w:rPr>
          <w:rFonts w:cstheme="minorHAnsi"/>
          <w:color w:val="595959" w:themeColor="text1" w:themeTint="A6"/>
        </w:rPr>
        <w:t xml:space="preserve"> understand Indigenous culture. Time and resources </w:t>
      </w:r>
      <w:r w:rsidR="005D5519" w:rsidRPr="0093006A">
        <w:rPr>
          <w:rFonts w:cstheme="minorHAnsi"/>
          <w:color w:val="595959" w:themeColor="text1" w:themeTint="A6"/>
        </w:rPr>
        <w:t>should</w:t>
      </w:r>
      <w:r w:rsidRPr="0093006A">
        <w:rPr>
          <w:rFonts w:cstheme="minorHAnsi"/>
          <w:color w:val="595959" w:themeColor="text1" w:themeTint="A6"/>
        </w:rPr>
        <w:t xml:space="preserve"> be provided to support employers and non-Indigenous employees </w:t>
      </w:r>
      <w:r w:rsidR="00CE1B42" w:rsidRPr="0093006A">
        <w:rPr>
          <w:rFonts w:cstheme="minorHAnsi"/>
          <w:color w:val="595959" w:themeColor="text1" w:themeTint="A6"/>
        </w:rPr>
        <w:t xml:space="preserve">to </w:t>
      </w:r>
      <w:r w:rsidRPr="0093006A">
        <w:rPr>
          <w:rFonts w:cstheme="minorHAnsi"/>
          <w:color w:val="595959" w:themeColor="text1" w:themeTint="A6"/>
        </w:rPr>
        <w:t xml:space="preserve">increase understanding and awareness of Indigenous practices, innovation, and knowledge systems. </w:t>
      </w:r>
    </w:p>
    <w:p w14:paraId="2474699B" w14:textId="2D21EAC8" w:rsidR="0025689A" w:rsidRPr="0093006A" w:rsidRDefault="0025689A" w:rsidP="00AB65E8">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Strengths-based approaches to Indigenous jobseekers will be incorporated and Indigenous jobseekers will approach job searching from an empowered starting point that matches individual skills and strengths to jobs</w:t>
      </w:r>
      <w:r w:rsidR="00CE1B42" w:rsidRPr="0093006A">
        <w:rPr>
          <w:rFonts w:ascii="Helvetica Neue" w:hAnsi="Helvetica Neue"/>
          <w:color w:val="595959" w:themeColor="text1" w:themeTint="A6"/>
        </w:rPr>
        <w:t xml:space="preserve"> and </w:t>
      </w:r>
      <w:r w:rsidRPr="0093006A">
        <w:rPr>
          <w:rFonts w:ascii="Helvetica Neue" w:hAnsi="Helvetica Neue"/>
          <w:color w:val="595959" w:themeColor="text1" w:themeTint="A6"/>
        </w:rPr>
        <w:t xml:space="preserve">values Indigenous ways of knowing, being and doing that will be embedded into service delivery and the workplace. </w:t>
      </w:r>
      <w:r w:rsidRPr="0093006A">
        <w:rPr>
          <w:rFonts w:ascii="Helvetica Neue" w:hAnsi="Helvetica Neue" w:cstheme="minorHAnsi"/>
          <w:color w:val="595959" w:themeColor="text1" w:themeTint="A6"/>
        </w:rPr>
        <w:t xml:space="preserve">Aspirations are identified and realistically explored so that appropriate pathways can be determined. </w:t>
      </w:r>
      <w:r w:rsidRPr="0093006A">
        <w:rPr>
          <w:rFonts w:ascii="Helvetica Neue" w:hAnsi="Helvetica Neue"/>
          <w:color w:val="595959" w:themeColor="text1" w:themeTint="A6"/>
        </w:rPr>
        <w:t xml:space="preserve">As with the rest of the Australian community, Indigenous jobseekers want to engage in the types of employment they enjoy. </w:t>
      </w:r>
    </w:p>
    <w:p w14:paraId="21042D9C" w14:textId="28F89278" w:rsidR="0025689A"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Again</w:t>
      </w:r>
      <w:r w:rsidR="00761151" w:rsidRPr="0093006A">
        <w:rPr>
          <w:rFonts w:ascii="Helvetica Neue" w:hAnsi="Helvetica Neue" w:cstheme="minorHAnsi"/>
          <w:color w:val="595959" w:themeColor="text1" w:themeTint="A6"/>
        </w:rPr>
        <w:t>,</w:t>
      </w:r>
      <w:r w:rsidRPr="0093006A">
        <w:rPr>
          <w:rFonts w:ascii="Helvetica Neue" w:hAnsi="Helvetica Neue" w:cstheme="minorHAnsi"/>
          <w:color w:val="595959" w:themeColor="text1" w:themeTint="A6"/>
        </w:rPr>
        <w:t xml:space="preserve"> longer term, culturally appropriate mentoring programs were highlighted as key to the future state. Participants saw mentoring programs as culturally equipped to support the Indigenous jobseeker employment journey through attainment, retention and career progression. </w:t>
      </w:r>
    </w:p>
    <w:p w14:paraId="72D94A89" w14:textId="0938C48A" w:rsidR="00FE025C" w:rsidRPr="0093006A" w:rsidRDefault="0025689A"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olor w:val="595959" w:themeColor="text1" w:themeTint="A6"/>
        </w:rPr>
        <w:t>Participants continued to focus on I</w:t>
      </w:r>
      <w:r w:rsidRPr="0093006A">
        <w:rPr>
          <w:rFonts w:ascii="Helvetica Neue" w:hAnsi="Helvetica Neue" w:cstheme="minorHAnsi"/>
          <w:color w:val="595959" w:themeColor="text1" w:themeTint="A6"/>
        </w:rPr>
        <w:t xml:space="preserve">ndigenous youth and envisaged a future state where they will be encouraged to follow a variety of training pathways and aspire to be professionals as well as </w:t>
      </w:r>
      <w:r w:rsidR="00011FEB" w:rsidRPr="0093006A">
        <w:rPr>
          <w:rFonts w:ascii="Helvetica Neue" w:hAnsi="Helvetica Neue" w:cstheme="minorHAnsi"/>
          <w:color w:val="595959" w:themeColor="text1" w:themeTint="A6"/>
        </w:rPr>
        <w:t xml:space="preserve">work in </w:t>
      </w:r>
      <w:r w:rsidRPr="0093006A">
        <w:rPr>
          <w:rFonts w:ascii="Helvetica Neue" w:hAnsi="Helvetica Neue" w:cstheme="minorHAnsi"/>
          <w:color w:val="595959" w:themeColor="text1" w:themeTint="A6"/>
        </w:rPr>
        <w:t xml:space="preserve">lower skilled roles. In the future state Indigenous </w:t>
      </w:r>
      <w:r w:rsidR="00563300" w:rsidRPr="0093006A">
        <w:rPr>
          <w:rFonts w:ascii="Helvetica Neue" w:hAnsi="Helvetica Neue"/>
          <w:color w:val="595959" w:themeColor="text1" w:themeTint="A6"/>
        </w:rPr>
        <w:t>Australians</w:t>
      </w:r>
      <w:r w:rsidRPr="0093006A">
        <w:rPr>
          <w:rFonts w:ascii="Helvetica Neue" w:hAnsi="Helvetica Neue" w:cstheme="minorHAnsi"/>
          <w:color w:val="595959" w:themeColor="text1" w:themeTint="A6"/>
        </w:rPr>
        <w:t xml:space="preserve"> will be employed in all roles</w:t>
      </w:r>
      <w:r w:rsidR="00011FEB" w:rsidRPr="0093006A">
        <w:rPr>
          <w:rFonts w:ascii="Helvetica Neue" w:hAnsi="Helvetica Neue" w:cstheme="minorHAnsi"/>
          <w:color w:val="595959" w:themeColor="text1" w:themeTint="A6"/>
        </w:rPr>
        <w:t xml:space="preserve"> and</w:t>
      </w:r>
      <w:r w:rsidRPr="0093006A">
        <w:rPr>
          <w:rFonts w:ascii="Helvetica Neue" w:hAnsi="Helvetica Neue" w:cstheme="minorHAnsi"/>
          <w:color w:val="595959" w:themeColor="text1" w:themeTint="A6"/>
        </w:rPr>
        <w:t xml:space="preserve"> at all levels, within organisations. </w:t>
      </w:r>
    </w:p>
    <w:p w14:paraId="6B54C68C" w14:textId="0AC5AF60" w:rsidR="0025689A" w:rsidRPr="0093006A" w:rsidRDefault="0025689A" w:rsidP="00AB65E8">
      <w:pPr>
        <w:spacing w:after="120"/>
        <w:rPr>
          <w:color w:val="595959" w:themeColor="text1" w:themeTint="A6"/>
        </w:rPr>
      </w:pPr>
      <w:r w:rsidRPr="0093006A">
        <w:rPr>
          <w:color w:val="595959" w:themeColor="text1" w:themeTint="A6"/>
        </w:rPr>
        <w:t xml:space="preserve">There is a need at the community level for skilled community members </w:t>
      </w:r>
      <w:r w:rsidR="004970F1" w:rsidRPr="0093006A">
        <w:rPr>
          <w:color w:val="595959" w:themeColor="text1" w:themeTint="A6"/>
        </w:rPr>
        <w:t xml:space="preserve">who </w:t>
      </w:r>
      <w:r w:rsidRPr="0093006A">
        <w:rPr>
          <w:color w:val="595959" w:themeColor="text1" w:themeTint="A6"/>
        </w:rPr>
        <w:t xml:space="preserve">can deliver services allowing for mob </w:t>
      </w:r>
      <w:r w:rsidR="0070407E" w:rsidRPr="0093006A">
        <w:rPr>
          <w:color w:val="595959" w:themeColor="text1" w:themeTint="A6"/>
        </w:rPr>
        <w:t>to</w:t>
      </w:r>
      <w:r w:rsidRPr="0093006A">
        <w:rPr>
          <w:color w:val="595959" w:themeColor="text1" w:themeTint="A6"/>
        </w:rPr>
        <w:t xml:space="preserve"> </w:t>
      </w:r>
      <w:r w:rsidR="002F1A05" w:rsidRPr="0093006A">
        <w:rPr>
          <w:color w:val="595959" w:themeColor="text1" w:themeTint="A6"/>
        </w:rPr>
        <w:t xml:space="preserve">work </w:t>
      </w:r>
      <w:r w:rsidRPr="0093006A">
        <w:rPr>
          <w:color w:val="595959" w:themeColor="text1" w:themeTint="A6"/>
        </w:rPr>
        <w:t xml:space="preserve">with mob on Country. </w:t>
      </w:r>
    </w:p>
    <w:p w14:paraId="2E51CA1E" w14:textId="70BE17BF" w:rsidR="0025689A" w:rsidRPr="0093006A" w:rsidRDefault="00C9392B" w:rsidP="00AB65E8">
      <w:pPr>
        <w:pStyle w:val="NormalWeb"/>
        <w:spacing w:before="0" w:beforeAutospacing="0" w:after="120" w:afterAutospacing="0"/>
        <w:rPr>
          <w:rFonts w:ascii="Helvetica Neue" w:hAnsi="Helvetica Neue" w:cstheme="minorHAnsi"/>
          <w:color w:val="595959" w:themeColor="text1" w:themeTint="A6"/>
        </w:rPr>
      </w:pPr>
      <w:r w:rsidRPr="0093006A">
        <w:rPr>
          <w:rFonts w:ascii="Helvetica Neue" w:hAnsi="Helvetica Neue"/>
          <w:color w:val="595959" w:themeColor="text1" w:themeTint="A6"/>
        </w:rPr>
        <w:t>Currently, in</w:t>
      </w:r>
      <w:r w:rsidR="0025689A" w:rsidRPr="0093006A">
        <w:rPr>
          <w:rFonts w:ascii="Helvetica Neue" w:hAnsi="Helvetica Neue"/>
          <w:color w:val="595959" w:themeColor="text1" w:themeTint="A6"/>
        </w:rPr>
        <w:t xml:space="preserve"> many Indigenous communities there is</w:t>
      </w:r>
      <w:r w:rsidR="00011FEB" w:rsidRPr="0093006A">
        <w:rPr>
          <w:rFonts w:ascii="Helvetica Neue" w:hAnsi="Helvetica Neue"/>
          <w:color w:val="595959" w:themeColor="text1" w:themeTint="A6"/>
        </w:rPr>
        <w:t xml:space="preserve"> a</w:t>
      </w:r>
      <w:r w:rsidR="0025689A" w:rsidRPr="0093006A">
        <w:rPr>
          <w:rFonts w:ascii="Helvetica Neue" w:hAnsi="Helvetica Neue"/>
          <w:color w:val="595959" w:themeColor="text1" w:themeTint="A6"/>
        </w:rPr>
        <w:t xml:space="preserve"> need for increased Indigenous service delivery. Participants nominated creating more roles where Indigenous </w:t>
      </w:r>
      <w:r w:rsidR="00563300" w:rsidRPr="0093006A">
        <w:rPr>
          <w:rFonts w:ascii="Helvetica Neue" w:hAnsi="Helvetica Neue"/>
          <w:color w:val="595959" w:themeColor="text1" w:themeTint="A6"/>
        </w:rPr>
        <w:t>Australians</w:t>
      </w:r>
      <w:r w:rsidR="0025689A" w:rsidRPr="0093006A">
        <w:rPr>
          <w:rFonts w:ascii="Helvetica Neue" w:hAnsi="Helvetica Neue"/>
          <w:color w:val="595959" w:themeColor="text1" w:themeTint="A6"/>
        </w:rPr>
        <w:t xml:space="preserve"> can work with their community across areas of need, for example in NDIS, </w:t>
      </w:r>
      <w:r w:rsidR="00011FEB" w:rsidRPr="0093006A">
        <w:rPr>
          <w:rFonts w:ascii="Helvetica Neue" w:hAnsi="Helvetica Neue"/>
          <w:color w:val="595959" w:themeColor="text1" w:themeTint="A6"/>
        </w:rPr>
        <w:t>a</w:t>
      </w:r>
      <w:r w:rsidR="0025689A" w:rsidRPr="0093006A">
        <w:rPr>
          <w:rFonts w:ascii="Helvetica Neue" w:hAnsi="Helvetica Neue"/>
          <w:color w:val="595959" w:themeColor="text1" w:themeTint="A6"/>
        </w:rPr>
        <w:t xml:space="preserve">ged </w:t>
      </w:r>
      <w:r w:rsidR="00011FEB" w:rsidRPr="0093006A">
        <w:rPr>
          <w:rFonts w:ascii="Helvetica Neue" w:hAnsi="Helvetica Neue"/>
          <w:color w:val="595959" w:themeColor="text1" w:themeTint="A6"/>
        </w:rPr>
        <w:t>c</w:t>
      </w:r>
      <w:r w:rsidR="0025689A" w:rsidRPr="0093006A">
        <w:rPr>
          <w:rFonts w:ascii="Helvetica Neue" w:hAnsi="Helvetica Neue"/>
          <w:color w:val="595959" w:themeColor="text1" w:themeTint="A6"/>
        </w:rPr>
        <w:t>are or childcare provision or infrastructure maintenance. In the future state the professional expertise of the individual is used to increase community outcomes</w:t>
      </w:r>
      <w:r w:rsidR="002F1A05" w:rsidRPr="0093006A">
        <w:rPr>
          <w:rFonts w:ascii="Helvetica Neue" w:hAnsi="Helvetica Neue"/>
          <w:color w:val="595959" w:themeColor="text1" w:themeTint="A6"/>
        </w:rPr>
        <w:t xml:space="preserve"> and provide in</w:t>
      </w:r>
      <w:r w:rsidR="00011FEB" w:rsidRPr="0093006A">
        <w:rPr>
          <w:rFonts w:ascii="Helvetica Neue" w:hAnsi="Helvetica Neue"/>
          <w:color w:val="595959" w:themeColor="text1" w:themeTint="A6"/>
        </w:rPr>
        <w:t>-</w:t>
      </w:r>
      <w:r w:rsidR="002F1A05" w:rsidRPr="0093006A">
        <w:rPr>
          <w:rFonts w:ascii="Helvetica Neue" w:hAnsi="Helvetica Neue"/>
          <w:color w:val="595959" w:themeColor="text1" w:themeTint="A6"/>
        </w:rPr>
        <w:t>situ mentoring opportunities</w:t>
      </w:r>
      <w:r w:rsidR="0025689A" w:rsidRPr="0093006A">
        <w:rPr>
          <w:rFonts w:ascii="Helvetica Neue" w:hAnsi="Helvetica Neue" w:cstheme="minorHAnsi"/>
          <w:color w:val="595959" w:themeColor="text1" w:themeTint="A6"/>
        </w:rPr>
        <w:t>.</w:t>
      </w:r>
    </w:p>
    <w:p w14:paraId="12C3B20D" w14:textId="77777777" w:rsidR="0025689A" w:rsidRPr="0093006A" w:rsidRDefault="0025689A" w:rsidP="00AB65E8">
      <w:pPr>
        <w:pStyle w:val="NoSpacing"/>
        <w:spacing w:after="120"/>
        <w:rPr>
          <w:bCs/>
          <w:color w:val="595959" w:themeColor="text1" w:themeTint="A6"/>
        </w:rPr>
      </w:pPr>
      <w:r w:rsidRPr="0093006A">
        <w:rPr>
          <w:bCs/>
          <w:color w:val="595959" w:themeColor="text1" w:themeTint="A6"/>
        </w:rPr>
        <w:t>More discretionary power is required in the hiring process to address the needs of Indigenous jobseekers with criminal records</w:t>
      </w:r>
    </w:p>
    <w:p w14:paraId="78924555" w14:textId="47A1EC34" w:rsidR="0070407E" w:rsidRPr="0093006A" w:rsidRDefault="0025689A" w:rsidP="00AB65E8">
      <w:pPr>
        <w:spacing w:after="120"/>
        <w:rPr>
          <w:color w:val="595959" w:themeColor="text1" w:themeTint="A6"/>
        </w:rPr>
      </w:pPr>
      <w:r w:rsidRPr="0093006A">
        <w:rPr>
          <w:color w:val="595959" w:themeColor="text1" w:themeTint="A6"/>
        </w:rPr>
        <w:t>A common barrier raised by participants was the barrier a criminal record create</w:t>
      </w:r>
      <w:r w:rsidR="001832D9" w:rsidRPr="0093006A">
        <w:rPr>
          <w:color w:val="595959" w:themeColor="text1" w:themeTint="A6"/>
        </w:rPr>
        <w:t>s</w:t>
      </w:r>
      <w:r w:rsidRPr="0093006A">
        <w:rPr>
          <w:color w:val="595959" w:themeColor="text1" w:themeTint="A6"/>
        </w:rPr>
        <w:t xml:space="preserve"> for Indigenous jobseekers. A solution to this is for Government </w:t>
      </w:r>
      <w:r w:rsidR="006A0D80" w:rsidRPr="0093006A">
        <w:rPr>
          <w:color w:val="595959" w:themeColor="text1" w:themeTint="A6"/>
        </w:rPr>
        <w:t xml:space="preserve">to </w:t>
      </w:r>
      <w:r w:rsidRPr="0093006A">
        <w:rPr>
          <w:color w:val="595959" w:themeColor="text1" w:themeTint="A6"/>
        </w:rPr>
        <w:t>review and revise measures which deter employers and service provider</w:t>
      </w:r>
      <w:r w:rsidR="006A0D80" w:rsidRPr="0093006A">
        <w:rPr>
          <w:color w:val="595959" w:themeColor="text1" w:themeTint="A6"/>
        </w:rPr>
        <w:t>s</w:t>
      </w:r>
      <w:r w:rsidRPr="0093006A">
        <w:rPr>
          <w:color w:val="595959" w:themeColor="text1" w:themeTint="A6"/>
        </w:rPr>
        <w:t xml:space="preserve"> from offering work to jobseekers with criminal records. </w:t>
      </w:r>
    </w:p>
    <w:p w14:paraId="1E7AB8F4" w14:textId="77777777" w:rsidR="0025689A" w:rsidRPr="0093006A" w:rsidRDefault="0025689A" w:rsidP="00AB65E8">
      <w:pPr>
        <w:spacing w:after="120"/>
        <w:rPr>
          <w:color w:val="595959" w:themeColor="text1" w:themeTint="A6"/>
        </w:rPr>
      </w:pPr>
      <w:r w:rsidRPr="0093006A">
        <w:rPr>
          <w:color w:val="595959" w:themeColor="text1" w:themeTint="A6"/>
        </w:rPr>
        <w:t>To deliver the future state the ISEP must address structural issues that impede Indigenous employment outcomes and deliver increased community decision making, increased obligations and accountabilities and culturally safe workplaces</w:t>
      </w:r>
    </w:p>
    <w:p w14:paraId="651631D8" w14:textId="29EF5D6F" w:rsidR="0025689A" w:rsidRPr="0093006A" w:rsidRDefault="0025689A" w:rsidP="00AB65E8">
      <w:pPr>
        <w:spacing w:after="120"/>
        <w:rPr>
          <w:b/>
          <w:bCs/>
          <w:color w:val="595959" w:themeColor="text1" w:themeTint="A6"/>
        </w:rPr>
      </w:pPr>
      <w:r w:rsidRPr="0093006A">
        <w:rPr>
          <w:rFonts w:cstheme="minorHAnsi"/>
          <w:color w:val="595959" w:themeColor="text1" w:themeTint="A6"/>
        </w:rPr>
        <w:t xml:space="preserve">A focus on supporting ACCOs to provide an expanded role in employment services design and delivery is a fundamental component </w:t>
      </w:r>
      <w:r w:rsidR="001832D9" w:rsidRPr="0093006A">
        <w:rPr>
          <w:rFonts w:cstheme="minorHAnsi"/>
          <w:color w:val="595959" w:themeColor="text1" w:themeTint="A6"/>
        </w:rPr>
        <w:t>of</w:t>
      </w:r>
      <w:r w:rsidRPr="0093006A">
        <w:rPr>
          <w:rFonts w:cstheme="minorHAnsi"/>
          <w:color w:val="595959" w:themeColor="text1" w:themeTint="A6"/>
        </w:rPr>
        <w:t xml:space="preserve"> deliver</w:t>
      </w:r>
      <w:r w:rsidR="001832D9" w:rsidRPr="0093006A">
        <w:rPr>
          <w:rFonts w:cstheme="minorHAnsi"/>
          <w:color w:val="595959" w:themeColor="text1" w:themeTint="A6"/>
        </w:rPr>
        <w:t>ing</w:t>
      </w:r>
      <w:r w:rsidRPr="0093006A">
        <w:rPr>
          <w:rFonts w:cstheme="minorHAnsi"/>
          <w:color w:val="595959" w:themeColor="text1" w:themeTint="A6"/>
        </w:rPr>
        <w:t xml:space="preserve"> community decision making as part of the ISEP. This includes:</w:t>
      </w:r>
    </w:p>
    <w:p w14:paraId="379C5AC7" w14:textId="5EE03D4B" w:rsidR="001832D9" w:rsidRPr="0093006A" w:rsidRDefault="001832D9" w:rsidP="003769B7">
      <w:pPr>
        <w:pStyle w:val="ListParagraph"/>
        <w:numPr>
          <w:ilvl w:val="0"/>
          <w:numId w:val="41"/>
        </w:numPr>
        <w:spacing w:after="120"/>
        <w:rPr>
          <w:color w:val="595959" w:themeColor="text1" w:themeTint="A6"/>
        </w:rPr>
      </w:pPr>
      <w:r w:rsidRPr="0093006A">
        <w:rPr>
          <w:color w:val="595959" w:themeColor="text1" w:themeTint="A6"/>
        </w:rPr>
        <w:t xml:space="preserve">Supporting </w:t>
      </w:r>
      <w:r w:rsidR="0025689A" w:rsidRPr="0093006A">
        <w:rPr>
          <w:color w:val="595959" w:themeColor="text1" w:themeTint="A6"/>
        </w:rPr>
        <w:t>ACCOs to be the key organisations supporting Indigenous job seekers.</w:t>
      </w:r>
    </w:p>
    <w:p w14:paraId="1F831711" w14:textId="5B9C5B82" w:rsidR="0025689A" w:rsidRPr="0093006A" w:rsidRDefault="0025689A" w:rsidP="003769B7">
      <w:pPr>
        <w:pStyle w:val="ListParagraph"/>
        <w:numPr>
          <w:ilvl w:val="0"/>
          <w:numId w:val="41"/>
        </w:numPr>
        <w:spacing w:after="120"/>
        <w:rPr>
          <w:color w:val="595959" w:themeColor="text1" w:themeTint="A6"/>
        </w:rPr>
      </w:pPr>
      <w:r w:rsidRPr="0093006A">
        <w:rPr>
          <w:color w:val="595959" w:themeColor="text1" w:themeTint="A6"/>
        </w:rPr>
        <w:t>Local capacity is strong and connected</w:t>
      </w:r>
    </w:p>
    <w:p w14:paraId="0318BABA" w14:textId="186F6E55" w:rsidR="0025689A" w:rsidRPr="0093006A" w:rsidRDefault="001832D9" w:rsidP="003769B7">
      <w:pPr>
        <w:pStyle w:val="ListParagraph"/>
        <w:numPr>
          <w:ilvl w:val="0"/>
          <w:numId w:val="41"/>
        </w:numPr>
        <w:spacing w:after="120"/>
        <w:rPr>
          <w:color w:val="595959" w:themeColor="text1" w:themeTint="A6"/>
        </w:rPr>
      </w:pPr>
      <w:r w:rsidRPr="0093006A">
        <w:rPr>
          <w:bCs/>
          <w:color w:val="595959" w:themeColor="text1" w:themeTint="A6"/>
        </w:rPr>
        <w:t>E</w:t>
      </w:r>
      <w:r w:rsidR="0025689A" w:rsidRPr="0093006A">
        <w:rPr>
          <w:bCs/>
          <w:color w:val="595959" w:themeColor="text1" w:themeTint="A6"/>
        </w:rPr>
        <w:t>arly investment and capacity building of ACCOs and Ind</w:t>
      </w:r>
      <w:r w:rsidR="002F1A05" w:rsidRPr="0093006A">
        <w:rPr>
          <w:bCs/>
          <w:color w:val="595959" w:themeColor="text1" w:themeTint="A6"/>
        </w:rPr>
        <w:t>ig</w:t>
      </w:r>
      <w:r w:rsidR="0025689A" w:rsidRPr="0093006A">
        <w:rPr>
          <w:bCs/>
          <w:color w:val="595959" w:themeColor="text1" w:themeTint="A6"/>
        </w:rPr>
        <w:t xml:space="preserve">enous-led operations to increase competitiveness. </w:t>
      </w:r>
    </w:p>
    <w:p w14:paraId="66C012FC" w14:textId="77777777" w:rsidR="0025689A" w:rsidRPr="0093006A" w:rsidRDefault="0025689A" w:rsidP="00AB65E8">
      <w:pPr>
        <w:spacing w:after="120"/>
        <w:rPr>
          <w:color w:val="595959" w:themeColor="text1" w:themeTint="A6"/>
        </w:rPr>
      </w:pPr>
      <w:r w:rsidRPr="0093006A">
        <w:rPr>
          <w:color w:val="595959" w:themeColor="text1" w:themeTint="A6"/>
        </w:rPr>
        <w:t>Many participants seek a co</w:t>
      </w:r>
      <w:r w:rsidR="00D602E3" w:rsidRPr="0093006A">
        <w:rPr>
          <w:color w:val="595959" w:themeColor="text1" w:themeTint="A6"/>
        </w:rPr>
        <w:t>-</w:t>
      </w:r>
      <w:r w:rsidRPr="0093006A">
        <w:rPr>
          <w:color w:val="595959" w:themeColor="text1" w:themeTint="A6"/>
        </w:rPr>
        <w:t xml:space="preserve">designed ISEP that incorporates strategic coordination and includes obligations and accountabilities built into service provider contracts. </w:t>
      </w:r>
    </w:p>
    <w:p w14:paraId="71A54E33" w14:textId="133B1922" w:rsidR="0025689A" w:rsidRPr="0093006A" w:rsidRDefault="0025689A" w:rsidP="00AB65E8">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 xml:space="preserve">It is clear from participant feedback that a shift from a </w:t>
      </w:r>
      <w:r w:rsidR="001832D9" w:rsidRPr="0093006A">
        <w:rPr>
          <w:rFonts w:ascii="Helvetica Neue" w:hAnsi="Helvetica Neue"/>
          <w:color w:val="595959" w:themeColor="text1" w:themeTint="A6"/>
        </w:rPr>
        <w:t>‘</w:t>
      </w:r>
      <w:r w:rsidRPr="0093006A">
        <w:rPr>
          <w:rFonts w:ascii="Helvetica Neue" w:hAnsi="Helvetica Neue"/>
          <w:color w:val="595959" w:themeColor="text1" w:themeTint="A6"/>
        </w:rPr>
        <w:t>one size fits all</w:t>
      </w:r>
      <w:r w:rsidR="001832D9" w:rsidRPr="0093006A">
        <w:rPr>
          <w:rFonts w:ascii="Helvetica Neue" w:hAnsi="Helvetica Neue"/>
          <w:color w:val="595959" w:themeColor="text1" w:themeTint="A6"/>
        </w:rPr>
        <w:t>’</w:t>
      </w:r>
      <w:r w:rsidRPr="0093006A">
        <w:rPr>
          <w:rFonts w:ascii="Helvetica Neue" w:hAnsi="Helvetica Neue"/>
          <w:color w:val="595959" w:themeColor="text1" w:themeTint="A6"/>
        </w:rPr>
        <w:t xml:space="preserve"> approach to a place-based, Indigenous-led, person-centred model</w:t>
      </w:r>
      <w:r w:rsidRPr="0093006A">
        <w:rPr>
          <w:rFonts w:ascii="Helvetica Neue" w:hAnsi="Helvetica Neue" w:cstheme="minorHAnsi"/>
          <w:color w:val="595959" w:themeColor="text1" w:themeTint="A6"/>
        </w:rPr>
        <w:t xml:space="preserve"> is required. </w:t>
      </w:r>
      <w:r w:rsidRPr="0093006A">
        <w:rPr>
          <w:rFonts w:ascii="Helvetica Neue" w:hAnsi="Helvetica Neue"/>
          <w:color w:val="595959" w:themeColor="text1" w:themeTint="A6"/>
        </w:rPr>
        <w:t>Participants want to see individualised responses tailored to jobseeker and community needs and circumstances. At a general level this includes the following:</w:t>
      </w:r>
    </w:p>
    <w:p w14:paraId="6DB5E6A5" w14:textId="5D3FE2ED" w:rsidR="0025689A" w:rsidRPr="0093006A" w:rsidRDefault="001832D9" w:rsidP="003769B7">
      <w:pPr>
        <w:pStyle w:val="NormalWeb"/>
        <w:numPr>
          <w:ilvl w:val="0"/>
          <w:numId w:val="42"/>
        </w:numPr>
        <w:spacing w:before="0" w:beforeAutospacing="0" w:after="0" w:afterAutospacing="0"/>
        <w:ind w:left="714" w:hanging="357"/>
        <w:contextualSpacing/>
        <w:rPr>
          <w:rFonts w:ascii="Helvetica Neue" w:hAnsi="Helvetica Neue"/>
          <w:color w:val="595959" w:themeColor="text1" w:themeTint="A6"/>
        </w:rPr>
      </w:pPr>
      <w:r w:rsidRPr="0093006A">
        <w:rPr>
          <w:rFonts w:ascii="Helvetica Neue" w:hAnsi="Helvetica Neue"/>
          <w:color w:val="595959" w:themeColor="text1" w:themeTint="A6"/>
        </w:rPr>
        <w:t>T</w:t>
      </w:r>
      <w:r w:rsidR="0025689A" w:rsidRPr="0093006A">
        <w:rPr>
          <w:rFonts w:ascii="Helvetica Neue" w:hAnsi="Helvetica Neue"/>
          <w:color w:val="595959" w:themeColor="text1" w:themeTint="A6"/>
        </w:rPr>
        <w:t>here is a strong desire for early, intensive pre-employment interventions to identify individual jobseeker needs</w:t>
      </w:r>
      <w:r w:rsidRPr="0093006A">
        <w:rPr>
          <w:rFonts w:ascii="Helvetica Neue" w:hAnsi="Helvetica Neue"/>
          <w:color w:val="595959" w:themeColor="text1" w:themeTint="A6"/>
        </w:rPr>
        <w:t>.</w:t>
      </w:r>
    </w:p>
    <w:p w14:paraId="765E4C56" w14:textId="76F17310" w:rsidR="0025689A" w:rsidRPr="0093006A" w:rsidRDefault="001832D9" w:rsidP="003769B7">
      <w:pPr>
        <w:pStyle w:val="ListParagraph"/>
        <w:numPr>
          <w:ilvl w:val="0"/>
          <w:numId w:val="42"/>
        </w:numPr>
        <w:ind w:left="714" w:hanging="357"/>
        <w:rPr>
          <w:rFonts w:cstheme="minorHAnsi"/>
          <w:color w:val="595959" w:themeColor="text1" w:themeTint="A6"/>
        </w:rPr>
      </w:pPr>
      <w:r w:rsidRPr="0093006A">
        <w:rPr>
          <w:rFonts w:cstheme="minorHAnsi"/>
          <w:color w:val="595959" w:themeColor="text1" w:themeTint="A6"/>
        </w:rPr>
        <w:t>M</w:t>
      </w:r>
      <w:r w:rsidR="0025689A" w:rsidRPr="0093006A">
        <w:rPr>
          <w:rFonts w:cstheme="minorHAnsi"/>
          <w:color w:val="595959" w:themeColor="text1" w:themeTint="A6"/>
        </w:rPr>
        <w:t>ost regions look to a sustainable and supported transition from school to work that take a long-sighted view on creating planning and pathways</w:t>
      </w:r>
      <w:r w:rsidR="0025689A" w:rsidRPr="0093006A">
        <w:rPr>
          <w:rFonts w:cstheme="minorHAnsi"/>
          <w:b/>
          <w:bCs/>
          <w:color w:val="595959" w:themeColor="text1" w:themeTint="A6"/>
        </w:rPr>
        <w:t xml:space="preserve"> </w:t>
      </w:r>
      <w:r w:rsidR="0025689A" w:rsidRPr="0093006A">
        <w:rPr>
          <w:rFonts w:cstheme="minorHAnsi"/>
          <w:color w:val="595959" w:themeColor="text1" w:themeTint="A6"/>
        </w:rPr>
        <w:t xml:space="preserve">for individual students. This includes </w:t>
      </w:r>
      <w:r w:rsidR="0025689A" w:rsidRPr="0093006A">
        <w:rPr>
          <w:color w:val="595959" w:themeColor="text1" w:themeTint="A6"/>
        </w:rPr>
        <w:t>support networks and training for early school leavers to avoid falling through system gaps</w:t>
      </w:r>
      <w:r w:rsidRPr="0093006A">
        <w:rPr>
          <w:color w:val="595959" w:themeColor="text1" w:themeTint="A6"/>
        </w:rPr>
        <w:t>.</w:t>
      </w:r>
    </w:p>
    <w:p w14:paraId="1AA37DF3" w14:textId="27D82C44" w:rsidR="0025689A" w:rsidRPr="0093006A" w:rsidRDefault="001832D9" w:rsidP="003769B7">
      <w:pPr>
        <w:pStyle w:val="NormalWeb"/>
        <w:numPr>
          <w:ilvl w:val="0"/>
          <w:numId w:val="42"/>
        </w:numPr>
        <w:spacing w:before="0" w:beforeAutospacing="0" w:after="120" w:afterAutospacing="0"/>
        <w:ind w:left="714" w:hanging="357"/>
        <w:contextualSpacing/>
        <w:rPr>
          <w:rFonts w:ascii="Helvetica Neue" w:hAnsi="Helvetica Neue"/>
          <w:color w:val="595959" w:themeColor="text1" w:themeTint="A6"/>
        </w:rPr>
      </w:pPr>
      <w:r w:rsidRPr="0093006A">
        <w:rPr>
          <w:rFonts w:ascii="Helvetica Neue" w:hAnsi="Helvetica Neue"/>
          <w:color w:val="595959" w:themeColor="text1" w:themeTint="A6"/>
        </w:rPr>
        <w:t>W</w:t>
      </w:r>
      <w:r w:rsidR="0025689A" w:rsidRPr="0093006A">
        <w:rPr>
          <w:rFonts w:ascii="Helvetica Neue" w:hAnsi="Helvetica Neue"/>
          <w:color w:val="595959" w:themeColor="text1" w:themeTint="A6"/>
        </w:rPr>
        <w:t>ork experience for Indigenous students including expanded work experience options to give young people an idea of their options. Use of work experience programs where Indigenous youth can work with Indigenous role models and school-based traineeships that lead to employment in local businesses / industry</w:t>
      </w:r>
      <w:r w:rsidRPr="0093006A">
        <w:rPr>
          <w:rFonts w:ascii="Helvetica Neue" w:hAnsi="Helvetica Neue"/>
          <w:color w:val="595959" w:themeColor="text1" w:themeTint="A6"/>
        </w:rPr>
        <w:t>.</w:t>
      </w:r>
    </w:p>
    <w:p w14:paraId="0D238CC0" w14:textId="2B27057F" w:rsidR="0025689A" w:rsidRPr="0093006A" w:rsidRDefault="001832D9" w:rsidP="003769B7">
      <w:pPr>
        <w:pStyle w:val="NormalWeb"/>
        <w:numPr>
          <w:ilvl w:val="0"/>
          <w:numId w:val="42"/>
        </w:numPr>
        <w:spacing w:before="0" w:beforeAutospacing="0" w:after="120" w:afterAutospacing="0"/>
        <w:ind w:left="714" w:hanging="357"/>
        <w:contextualSpacing/>
        <w:rPr>
          <w:rFonts w:ascii="Helvetica Neue" w:hAnsi="Helvetica Neue"/>
          <w:color w:val="595959" w:themeColor="text1" w:themeTint="A6"/>
        </w:rPr>
      </w:pPr>
      <w:r w:rsidRPr="0093006A">
        <w:rPr>
          <w:rFonts w:ascii="Helvetica Neue" w:eastAsia="Helvetica Neue" w:hAnsi="Helvetica Neue" w:cs="Helvetica Neue"/>
          <w:bCs/>
          <w:color w:val="595959" w:themeColor="text1" w:themeTint="A6"/>
        </w:rPr>
        <w:t>L</w:t>
      </w:r>
      <w:r w:rsidR="0025689A" w:rsidRPr="0093006A">
        <w:rPr>
          <w:rFonts w:ascii="Helvetica Neue" w:eastAsia="Helvetica Neue" w:hAnsi="Helvetica Neue" w:cs="Helvetica Neue"/>
          <w:bCs/>
          <w:color w:val="595959" w:themeColor="text1" w:themeTint="A6"/>
        </w:rPr>
        <w:t>onger term funding and contracts</w:t>
      </w:r>
      <w:r w:rsidR="0025689A" w:rsidRPr="0093006A">
        <w:rPr>
          <w:rFonts w:ascii="Helvetica Neue" w:eastAsia="Helvetica Neue" w:hAnsi="Helvetica Neue" w:cs="Helvetica Neue"/>
          <w:color w:val="595959" w:themeColor="text1" w:themeTint="A6"/>
        </w:rPr>
        <w:t xml:space="preserve"> to ensure sustainable employment for Indigenous jobseekers. Long-term investment decreases the uncertainty associated with short-term contracts and casual positions</w:t>
      </w:r>
      <w:r w:rsidRPr="0093006A">
        <w:rPr>
          <w:rFonts w:ascii="Helvetica Neue" w:eastAsia="Helvetica Neue" w:hAnsi="Helvetica Neue" w:cs="Helvetica Neue"/>
          <w:color w:val="595959" w:themeColor="text1" w:themeTint="A6"/>
        </w:rPr>
        <w:t>.</w:t>
      </w:r>
    </w:p>
    <w:p w14:paraId="27DB6171" w14:textId="130A95FB" w:rsidR="0025689A" w:rsidRPr="0093006A" w:rsidRDefault="001832D9" w:rsidP="003769B7">
      <w:pPr>
        <w:pStyle w:val="NormalWeb"/>
        <w:numPr>
          <w:ilvl w:val="0"/>
          <w:numId w:val="42"/>
        </w:numPr>
        <w:spacing w:before="0" w:beforeAutospacing="0" w:after="120" w:afterAutospacing="0"/>
        <w:ind w:left="714" w:hanging="357"/>
        <w:contextualSpacing/>
        <w:rPr>
          <w:rFonts w:ascii="Helvetica Neue" w:hAnsi="Helvetica Neue"/>
          <w:color w:val="595959" w:themeColor="text1" w:themeTint="A6"/>
        </w:rPr>
      </w:pPr>
      <w:r w:rsidRPr="0093006A">
        <w:rPr>
          <w:rFonts w:ascii="Helvetica Neue" w:hAnsi="Helvetica Neue"/>
          <w:color w:val="595959" w:themeColor="text1" w:themeTint="A6"/>
        </w:rPr>
        <w:t>An e</w:t>
      </w:r>
      <w:r w:rsidR="0025689A" w:rsidRPr="0093006A">
        <w:rPr>
          <w:rFonts w:ascii="Helvetica Neue" w:hAnsi="Helvetica Neue"/>
          <w:color w:val="595959" w:themeColor="text1" w:themeTint="A6"/>
        </w:rPr>
        <w:t>asy to navigate employment supports system, and easy access to available services information and system for jobseekers, employers and ACCOs alike including mentoring guides and information packages developed by the Indigenous community. The information will be accurate, up to date and relevant to specific geographic locations</w:t>
      </w:r>
      <w:r w:rsidRPr="0093006A">
        <w:rPr>
          <w:rFonts w:ascii="Helvetica Neue" w:hAnsi="Helvetica Neue"/>
          <w:color w:val="595959" w:themeColor="text1" w:themeTint="A6"/>
        </w:rPr>
        <w:t>.</w:t>
      </w:r>
    </w:p>
    <w:p w14:paraId="56B0729D" w14:textId="65719179" w:rsidR="00C856F8" w:rsidRPr="0093006A" w:rsidRDefault="001832D9" w:rsidP="003769B7">
      <w:pPr>
        <w:pStyle w:val="NormalWeb"/>
        <w:numPr>
          <w:ilvl w:val="0"/>
          <w:numId w:val="42"/>
        </w:numPr>
        <w:spacing w:before="0" w:beforeAutospacing="0" w:after="120" w:afterAutospacing="0"/>
        <w:ind w:left="714" w:hanging="357"/>
        <w:contextualSpacing/>
        <w:rPr>
          <w:rFonts w:ascii="Helvetica Neue" w:hAnsi="Helvetica Neue"/>
          <w:color w:val="595959" w:themeColor="text1" w:themeTint="A6"/>
        </w:rPr>
      </w:pPr>
      <w:r w:rsidRPr="0093006A">
        <w:rPr>
          <w:rFonts w:ascii="Helvetica Neue" w:hAnsi="Helvetica Neue"/>
          <w:bCs/>
          <w:color w:val="595959" w:themeColor="text1" w:themeTint="A6"/>
        </w:rPr>
        <w:t>W</w:t>
      </w:r>
      <w:r w:rsidR="0025689A" w:rsidRPr="0093006A">
        <w:rPr>
          <w:rFonts w:ascii="Helvetica Neue" w:hAnsi="Helvetica Neue"/>
          <w:bCs/>
          <w:color w:val="595959" w:themeColor="text1" w:themeTint="A6"/>
        </w:rPr>
        <w:t xml:space="preserve">ider access to information and opportunities will include </w:t>
      </w:r>
      <w:r w:rsidR="0025689A" w:rsidRPr="0093006A">
        <w:rPr>
          <w:rFonts w:ascii="Helvetica Neue" w:hAnsi="Helvetica Neue"/>
          <w:color w:val="595959" w:themeColor="text1" w:themeTint="A6"/>
        </w:rPr>
        <w:t>more expos, open days and careers days that showcase Indigenous</w:t>
      </w:r>
      <w:r w:rsidR="0025689A" w:rsidRPr="0093006A">
        <w:rPr>
          <w:rFonts w:ascii="Helvetica Neue" w:hAnsi="Helvetica Neue" w:cs="Arial"/>
          <w:color w:val="595959" w:themeColor="text1" w:themeTint="A6"/>
        </w:rPr>
        <w:t xml:space="preserve"> </w:t>
      </w:r>
      <w:r w:rsidR="00563300" w:rsidRPr="0093006A">
        <w:rPr>
          <w:rFonts w:ascii="Helvetica Neue" w:hAnsi="Helvetica Neue"/>
          <w:color w:val="595959" w:themeColor="text1" w:themeTint="A6"/>
        </w:rPr>
        <w:t>Australians</w:t>
      </w:r>
      <w:r w:rsidR="0025689A" w:rsidRPr="0093006A">
        <w:rPr>
          <w:rFonts w:ascii="Helvetica Neue" w:hAnsi="Helvetica Neue" w:cs="Arial"/>
          <w:color w:val="595959" w:themeColor="text1" w:themeTint="A6"/>
        </w:rPr>
        <w:t xml:space="preserve"> talking about employment realities and opportunities</w:t>
      </w:r>
      <w:r w:rsidRPr="0093006A">
        <w:rPr>
          <w:rFonts w:ascii="Helvetica Neue" w:hAnsi="Helvetica Neue" w:cs="Arial"/>
          <w:color w:val="595959" w:themeColor="text1" w:themeTint="A6"/>
        </w:rPr>
        <w:t>.</w:t>
      </w:r>
    </w:p>
    <w:p w14:paraId="1A198FEB" w14:textId="50E6CC03" w:rsidR="00FE025C" w:rsidRPr="0093006A" w:rsidRDefault="001832D9" w:rsidP="00981521">
      <w:pPr>
        <w:pStyle w:val="NormalWeb"/>
        <w:numPr>
          <w:ilvl w:val="0"/>
          <w:numId w:val="42"/>
        </w:numPr>
        <w:spacing w:before="0" w:beforeAutospacing="0" w:after="120" w:afterAutospacing="0"/>
        <w:ind w:left="714" w:hanging="357"/>
        <w:contextualSpacing/>
        <w:rPr>
          <w:rFonts w:ascii="Helvetica Neue" w:hAnsi="Helvetica Neue" w:cstheme="minorHAnsi"/>
          <w:color w:val="595959" w:themeColor="text1" w:themeTint="A6"/>
        </w:rPr>
      </w:pPr>
      <w:r w:rsidRPr="0093006A">
        <w:rPr>
          <w:rFonts w:ascii="Helvetica Neue" w:hAnsi="Helvetica Neue"/>
          <w:color w:val="595959" w:themeColor="text1" w:themeTint="A6"/>
        </w:rPr>
        <w:t>T</w:t>
      </w:r>
      <w:r w:rsidR="0025689A" w:rsidRPr="0093006A">
        <w:rPr>
          <w:rFonts w:ascii="Helvetica Neue" w:hAnsi="Helvetica Neue"/>
          <w:color w:val="595959" w:themeColor="text1" w:themeTint="A6"/>
        </w:rPr>
        <w:t>here will be a simpler system and less regulation and red tape around funding opportunities to allow for easier up take and utilisation.</w:t>
      </w:r>
    </w:p>
    <w:p w14:paraId="087046CA" w14:textId="62C0D0DD" w:rsidR="0025689A" w:rsidRPr="0093006A" w:rsidRDefault="0025689A" w:rsidP="00AB65E8">
      <w:pPr>
        <w:spacing w:after="120"/>
        <w:rPr>
          <w:rFonts w:cstheme="minorHAnsi"/>
          <w:color w:val="595959" w:themeColor="text1" w:themeTint="A6"/>
        </w:rPr>
      </w:pPr>
      <w:r w:rsidRPr="0093006A">
        <w:rPr>
          <w:rFonts w:cstheme="minorHAnsi"/>
          <w:color w:val="595959" w:themeColor="text1" w:themeTint="A6"/>
        </w:rPr>
        <w:t xml:space="preserve">The future state cannot be delivered without culturally safe workplaces including employers having a positive obligation to be ‘job ready’ for Indigenous employees </w:t>
      </w:r>
    </w:p>
    <w:p w14:paraId="56585A45" w14:textId="412D6F00" w:rsidR="0025689A" w:rsidRPr="0093006A" w:rsidRDefault="0025689A" w:rsidP="00AB65E8">
      <w:pPr>
        <w:spacing w:after="120"/>
        <w:rPr>
          <w:rFonts w:cstheme="minorHAnsi"/>
          <w:color w:val="595959" w:themeColor="text1" w:themeTint="A6"/>
        </w:rPr>
      </w:pPr>
      <w:r w:rsidRPr="0093006A">
        <w:rPr>
          <w:rFonts w:cstheme="minorHAnsi"/>
          <w:color w:val="595959" w:themeColor="text1" w:themeTint="A6"/>
        </w:rPr>
        <w:t>Some participants suggested the need for Indigenous community</w:t>
      </w:r>
      <w:r w:rsidR="002C14A2" w:rsidRPr="0093006A">
        <w:rPr>
          <w:rFonts w:cstheme="minorHAnsi"/>
          <w:color w:val="595959" w:themeColor="text1" w:themeTint="A6"/>
        </w:rPr>
        <w:t>-</w:t>
      </w:r>
      <w:r w:rsidRPr="0093006A">
        <w:rPr>
          <w:rFonts w:cstheme="minorHAnsi"/>
          <w:color w:val="595959" w:themeColor="text1" w:themeTint="A6"/>
        </w:rPr>
        <w:t xml:space="preserve">led development of culturally safe frameworks to assist employers taking on Indigenous jobseekers. </w:t>
      </w:r>
      <w:r w:rsidRPr="0093006A">
        <w:rPr>
          <w:color w:val="595959" w:themeColor="text1" w:themeTint="A6"/>
        </w:rPr>
        <w:t xml:space="preserve">Non-Indigenous employers will be appropriately supported to recruit and retain Indigenous staff. There will be a focus on building the capacity of employers to appropriately support Indigenous employees within their business. </w:t>
      </w:r>
    </w:p>
    <w:p w14:paraId="0549ECDF" w14:textId="5CCD26E2" w:rsidR="00FE025C" w:rsidRPr="0093006A" w:rsidRDefault="0025689A" w:rsidP="00AB65E8">
      <w:pPr>
        <w:spacing w:after="120"/>
        <w:rPr>
          <w:color w:val="595959" w:themeColor="text1" w:themeTint="A6"/>
        </w:rPr>
      </w:pPr>
      <w:r w:rsidRPr="0093006A">
        <w:rPr>
          <w:color w:val="595959" w:themeColor="text1" w:themeTint="A6"/>
        </w:rPr>
        <w:t>There is a focus on Indigenous jobseekers to be ‘job ready’. There should be a focus on employer obligations to be ready to employ Indigenous jobseekers and create culturally safe workplace</w:t>
      </w:r>
      <w:r w:rsidR="002C14A2" w:rsidRPr="0093006A">
        <w:rPr>
          <w:color w:val="595959" w:themeColor="text1" w:themeTint="A6"/>
        </w:rPr>
        <w:t>s</w:t>
      </w:r>
      <w:r w:rsidRPr="0093006A">
        <w:rPr>
          <w:color w:val="595959" w:themeColor="text1" w:themeTint="A6"/>
        </w:rPr>
        <w:t>.</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6"/>
        <w:tblDescription w:val="Ensuring and positively obligating cultural safety in the workplace should be a critical feature of the ISEP "/>
      </w:tblPr>
      <w:tblGrid>
        <w:gridCol w:w="8930"/>
      </w:tblGrid>
      <w:tr w:rsidR="0093006A" w:rsidRPr="0093006A" w14:paraId="03827BD6" w14:textId="77777777" w:rsidTr="00091525">
        <w:trPr>
          <w:cantSplit/>
          <w:tblHeader/>
        </w:trPr>
        <w:tc>
          <w:tcPr>
            <w:tcW w:w="8930" w:type="dxa"/>
            <w:shd w:val="clear" w:color="auto" w:fill="auto"/>
          </w:tcPr>
          <w:p w14:paraId="111C3DFB" w14:textId="410FBC62" w:rsidR="00AB65E8" w:rsidRPr="0093006A" w:rsidRDefault="00AB65E8" w:rsidP="0048465C">
            <w:pPr>
              <w:spacing w:after="120"/>
              <w:rPr>
                <w:b/>
                <w:bCs/>
                <w:i/>
                <w:iCs/>
                <w:color w:val="595959" w:themeColor="text1" w:themeTint="A6"/>
              </w:rPr>
            </w:pPr>
            <w:r w:rsidRPr="0093006A">
              <w:rPr>
                <w:b/>
                <w:bCs/>
                <w:i/>
                <w:iCs/>
                <w:color w:val="595959" w:themeColor="text1" w:themeTint="A6"/>
              </w:rPr>
              <w:t xml:space="preserve">Key </w:t>
            </w:r>
            <w:r w:rsidR="00761151" w:rsidRPr="0093006A">
              <w:rPr>
                <w:b/>
                <w:bCs/>
                <w:i/>
                <w:iCs/>
                <w:color w:val="595959" w:themeColor="text1" w:themeTint="A6"/>
              </w:rPr>
              <w:t>I</w:t>
            </w:r>
            <w:r w:rsidRPr="0093006A">
              <w:rPr>
                <w:b/>
                <w:bCs/>
                <w:i/>
                <w:iCs/>
                <w:color w:val="595959" w:themeColor="text1" w:themeTint="A6"/>
              </w:rPr>
              <w:t>nsight</w:t>
            </w:r>
            <w:r w:rsidR="000C0DAB" w:rsidRPr="0093006A">
              <w:rPr>
                <w:b/>
                <w:bCs/>
                <w:i/>
                <w:iCs/>
                <w:color w:val="595959" w:themeColor="text1" w:themeTint="A6"/>
              </w:rPr>
              <w:t xml:space="preserve"> </w:t>
            </w:r>
            <w:r w:rsidR="007829DA" w:rsidRPr="0093006A">
              <w:rPr>
                <w:b/>
                <w:bCs/>
                <w:i/>
                <w:iCs/>
                <w:color w:val="595959" w:themeColor="text1" w:themeTint="A6"/>
              </w:rPr>
              <w:t>6</w:t>
            </w:r>
          </w:p>
        </w:tc>
      </w:tr>
      <w:tr w:rsidR="00AB65E8" w:rsidRPr="0093006A" w14:paraId="68B5B9C7" w14:textId="77777777" w:rsidTr="00091525">
        <w:trPr>
          <w:cantSplit/>
          <w:tblHeader/>
        </w:trPr>
        <w:tc>
          <w:tcPr>
            <w:tcW w:w="8930" w:type="dxa"/>
          </w:tcPr>
          <w:p w14:paraId="17F9915E" w14:textId="6F6AB6CA" w:rsidR="00140BFC" w:rsidRPr="0093006A" w:rsidRDefault="00140BFC" w:rsidP="00140BFC">
            <w:pPr>
              <w:spacing w:after="120"/>
              <w:textDirection w:val="btLr"/>
              <w:rPr>
                <w:b/>
                <w:bCs/>
                <w:color w:val="595959" w:themeColor="text1" w:themeTint="A6"/>
              </w:rPr>
            </w:pPr>
            <w:r w:rsidRPr="0093006A">
              <w:rPr>
                <w:b/>
                <w:bCs/>
                <w:color w:val="595959" w:themeColor="text1" w:themeTint="A6"/>
              </w:rPr>
              <w:t xml:space="preserve">Ensuring and positively obligating cultural safety in the workplace </w:t>
            </w:r>
            <w:r w:rsidR="00DF4609" w:rsidRPr="0093006A">
              <w:rPr>
                <w:b/>
                <w:bCs/>
                <w:color w:val="595959" w:themeColor="text1" w:themeTint="A6"/>
              </w:rPr>
              <w:t>should</w:t>
            </w:r>
            <w:r w:rsidRPr="0093006A">
              <w:rPr>
                <w:b/>
                <w:bCs/>
                <w:color w:val="595959" w:themeColor="text1" w:themeTint="A6"/>
              </w:rPr>
              <w:t xml:space="preserve"> be a critical feature of the ISEP </w:t>
            </w:r>
          </w:p>
          <w:p w14:paraId="7B28D664" w14:textId="509040BC" w:rsidR="00AB65E8" w:rsidRPr="0093006A" w:rsidRDefault="00140BFC" w:rsidP="00981521">
            <w:pPr>
              <w:spacing w:after="120"/>
              <w:rPr>
                <w:color w:val="595959" w:themeColor="text1" w:themeTint="A6"/>
              </w:rPr>
            </w:pPr>
            <w:r w:rsidRPr="0093006A">
              <w:rPr>
                <w:color w:val="595959" w:themeColor="text1" w:themeTint="A6"/>
              </w:rPr>
              <w:t xml:space="preserve">Building cultural safety in the workplace is critical to successful outcomes of the new ISEP. This includes positive obligations on employers to make workplaces culturally safe, a view that was strongly expressed by industry leaders. </w:t>
            </w:r>
            <w:r w:rsidR="00DF4609" w:rsidRPr="0093006A">
              <w:rPr>
                <w:color w:val="595959" w:themeColor="text1" w:themeTint="A6"/>
              </w:rPr>
              <w:t>Stakeholders</w:t>
            </w:r>
            <w:r w:rsidRPr="0093006A">
              <w:rPr>
                <w:color w:val="595959" w:themeColor="text1" w:themeTint="A6"/>
              </w:rPr>
              <w:t xml:space="preserve"> agreed that ACCOs and Indigenous communities must play a key role in this and that employers require support, training, accreditation, and positive obligations to develop such measures within local Indigenous community contexts.</w:t>
            </w:r>
          </w:p>
        </w:tc>
      </w:tr>
    </w:tbl>
    <w:p w14:paraId="1EA50673" w14:textId="77777777" w:rsidR="00324F99" w:rsidRPr="0093006A" w:rsidRDefault="00324F99" w:rsidP="00324F99">
      <w:pPr>
        <w:pStyle w:val="NormalWeb"/>
        <w:spacing w:before="0" w:beforeAutospacing="0" w:after="120" w:afterAutospacing="0"/>
        <w:rPr>
          <w:rFonts w:ascii="Helvetica Neue" w:hAnsi="Helvetica Neue"/>
          <w:b/>
          <w:bCs/>
          <w:color w:val="595959" w:themeColor="text1" w:themeTint="A6"/>
        </w:rPr>
      </w:pPr>
    </w:p>
    <w:p w14:paraId="3BF5269F" w14:textId="2981605F" w:rsidR="0025689A" w:rsidRPr="0093006A" w:rsidRDefault="00324F99" w:rsidP="00324F99">
      <w:pPr>
        <w:pStyle w:val="NormalWeb"/>
        <w:spacing w:before="0" w:beforeAutospacing="0" w:after="120" w:afterAutospacing="0"/>
        <w:rPr>
          <w:rFonts w:ascii="Helvetica Neue" w:hAnsi="Helvetica Neue"/>
          <w:color w:val="595959" w:themeColor="text1" w:themeTint="A6"/>
        </w:rPr>
      </w:pPr>
      <w:r w:rsidRPr="0093006A">
        <w:rPr>
          <w:rFonts w:ascii="Helvetica Neue" w:hAnsi="Helvetica Neue"/>
          <w:color w:val="595959" w:themeColor="text1" w:themeTint="A6"/>
        </w:rPr>
        <w:t>A</w:t>
      </w:r>
      <w:r w:rsidR="0025689A" w:rsidRPr="0093006A">
        <w:rPr>
          <w:rFonts w:ascii="Helvetica Neue" w:hAnsi="Helvetica Neue"/>
          <w:color w:val="595959" w:themeColor="text1" w:themeTint="A6"/>
        </w:rPr>
        <w:t xml:space="preserve"> strong strategic approach must be central to the ISEP to deliver collaborative, coordinated responses to local and regional needs for Indigenous communities, industry and government.</w:t>
      </w:r>
    </w:p>
    <w:p w14:paraId="46D7681F" w14:textId="77777777" w:rsidR="0070407E" w:rsidRPr="0093006A" w:rsidRDefault="0070407E" w:rsidP="0048465C">
      <w:pPr>
        <w:spacing w:after="120"/>
        <w:rPr>
          <w:color w:val="595959" w:themeColor="text1" w:themeTint="A6"/>
        </w:rPr>
      </w:pPr>
      <w:r w:rsidRPr="0093006A">
        <w:rPr>
          <w:color w:val="595959" w:themeColor="text1" w:themeTint="A6"/>
        </w:rPr>
        <w:t>Participants felt strongly about the need for increased strategic coordination involving community, industry and government. The nominated future state outcomes requiring a strategic approach were as follows:</w:t>
      </w:r>
    </w:p>
    <w:p w14:paraId="50C2363E" w14:textId="421E4D90" w:rsidR="0070407E" w:rsidRPr="0093006A" w:rsidRDefault="002C14A2" w:rsidP="0070407E">
      <w:pPr>
        <w:pStyle w:val="ListParagraph"/>
        <w:numPr>
          <w:ilvl w:val="0"/>
          <w:numId w:val="43"/>
        </w:numPr>
        <w:spacing w:before="240" w:after="120"/>
        <w:rPr>
          <w:color w:val="595959" w:themeColor="text1" w:themeTint="A6"/>
        </w:rPr>
      </w:pPr>
      <w:r w:rsidRPr="0093006A">
        <w:rPr>
          <w:color w:val="595959" w:themeColor="text1" w:themeTint="A6"/>
        </w:rPr>
        <w:t>D</w:t>
      </w:r>
      <w:r w:rsidR="0070407E" w:rsidRPr="0093006A">
        <w:rPr>
          <w:color w:val="595959" w:themeColor="text1" w:themeTint="A6"/>
        </w:rPr>
        <w:t>eveloping a strong ‘cultural economy’ based on protected Indigenous cultural and traditional intellectual property</w:t>
      </w:r>
      <w:r w:rsidRPr="0093006A">
        <w:rPr>
          <w:color w:val="595959" w:themeColor="text1" w:themeTint="A6"/>
        </w:rPr>
        <w:t>.</w:t>
      </w:r>
    </w:p>
    <w:p w14:paraId="45A7BF37" w14:textId="1F92692D" w:rsidR="0070407E" w:rsidRPr="0093006A" w:rsidRDefault="002C14A2" w:rsidP="0070407E">
      <w:pPr>
        <w:pStyle w:val="ListParagraph"/>
        <w:numPr>
          <w:ilvl w:val="0"/>
          <w:numId w:val="43"/>
        </w:numPr>
        <w:spacing w:after="120"/>
        <w:rPr>
          <w:color w:val="595959" w:themeColor="text1" w:themeTint="A6"/>
        </w:rPr>
      </w:pPr>
      <w:r w:rsidRPr="0093006A">
        <w:rPr>
          <w:color w:val="595959" w:themeColor="text1" w:themeTint="A6"/>
        </w:rPr>
        <w:t>R</w:t>
      </w:r>
      <w:r w:rsidR="0070407E" w:rsidRPr="0093006A">
        <w:rPr>
          <w:color w:val="595959" w:themeColor="text1" w:themeTint="A6"/>
        </w:rPr>
        <w:t>egional economic development strategies developed collaboratively by community, government and industry at the regional level</w:t>
      </w:r>
      <w:r w:rsidRPr="0093006A">
        <w:rPr>
          <w:color w:val="595959" w:themeColor="text1" w:themeTint="A6"/>
        </w:rPr>
        <w:t>.</w:t>
      </w:r>
    </w:p>
    <w:p w14:paraId="2B160161" w14:textId="4ED9B159" w:rsidR="00761151" w:rsidRPr="0093006A" w:rsidRDefault="0070407E" w:rsidP="0070407E">
      <w:pPr>
        <w:pStyle w:val="ListParagraph"/>
        <w:numPr>
          <w:ilvl w:val="0"/>
          <w:numId w:val="43"/>
        </w:numPr>
        <w:spacing w:after="120"/>
        <w:rPr>
          <w:rFonts w:cstheme="minorHAnsi"/>
          <w:color w:val="595959" w:themeColor="text1" w:themeTint="A6"/>
        </w:rPr>
      </w:pPr>
      <w:r w:rsidRPr="0093006A">
        <w:rPr>
          <w:rFonts w:cstheme="minorHAnsi"/>
          <w:color w:val="595959" w:themeColor="text1" w:themeTint="A6"/>
        </w:rPr>
        <w:t xml:space="preserve">Indigenous networks connecting Indigenous employees as well as Indigenous organisations </w:t>
      </w:r>
      <w:r w:rsidRPr="0093006A">
        <w:rPr>
          <w:color w:val="595959" w:themeColor="text1" w:themeTint="A6"/>
        </w:rPr>
        <w:t>to facilitate employment opportunities</w:t>
      </w:r>
      <w:r w:rsidR="002C14A2" w:rsidRPr="0093006A">
        <w:rPr>
          <w:color w:val="595959" w:themeColor="text1" w:themeTint="A6"/>
        </w:rPr>
        <w:t>.</w:t>
      </w:r>
    </w:p>
    <w:p w14:paraId="4F5F80E3" w14:textId="1075808C" w:rsidR="0070407E" w:rsidRPr="0093006A" w:rsidRDefault="002C14A2" w:rsidP="0070407E">
      <w:pPr>
        <w:pStyle w:val="ListParagraph"/>
        <w:numPr>
          <w:ilvl w:val="0"/>
          <w:numId w:val="43"/>
        </w:numPr>
        <w:spacing w:after="120"/>
        <w:rPr>
          <w:rFonts w:cstheme="minorHAnsi"/>
          <w:color w:val="595959" w:themeColor="text1" w:themeTint="A6"/>
        </w:rPr>
      </w:pPr>
      <w:r w:rsidRPr="0093006A">
        <w:rPr>
          <w:color w:val="595959" w:themeColor="text1" w:themeTint="A6"/>
        </w:rPr>
        <w:t>Y</w:t>
      </w:r>
      <w:r w:rsidR="0070407E" w:rsidRPr="0093006A">
        <w:rPr>
          <w:color w:val="595959" w:themeColor="text1" w:themeTint="A6"/>
        </w:rPr>
        <w:t xml:space="preserve">oung Indigenous </w:t>
      </w:r>
      <w:r w:rsidR="00563300" w:rsidRPr="0093006A">
        <w:rPr>
          <w:color w:val="595959" w:themeColor="text1" w:themeTint="A6"/>
        </w:rPr>
        <w:t>Australians</w:t>
      </w:r>
      <w:r w:rsidR="0070407E" w:rsidRPr="0093006A">
        <w:rPr>
          <w:color w:val="595959" w:themeColor="text1" w:themeTint="A6"/>
        </w:rPr>
        <w:t xml:space="preserve"> are actively included in informal or formal networks</w:t>
      </w:r>
      <w:r w:rsidRPr="0093006A">
        <w:rPr>
          <w:color w:val="595959" w:themeColor="text1" w:themeTint="A6"/>
        </w:rPr>
        <w:t>.</w:t>
      </w:r>
    </w:p>
    <w:p w14:paraId="1DE0717D" w14:textId="06D12CD7" w:rsidR="0070407E" w:rsidRPr="0093006A" w:rsidRDefault="002C14A2" w:rsidP="0070407E">
      <w:pPr>
        <w:pStyle w:val="ListParagraph"/>
        <w:numPr>
          <w:ilvl w:val="0"/>
          <w:numId w:val="43"/>
        </w:numPr>
        <w:spacing w:after="120"/>
        <w:rPr>
          <w:color w:val="595959" w:themeColor="text1" w:themeTint="A6"/>
        </w:rPr>
      </w:pPr>
      <w:r w:rsidRPr="0093006A">
        <w:rPr>
          <w:color w:val="595959" w:themeColor="text1" w:themeTint="A6"/>
        </w:rPr>
        <w:t>C</w:t>
      </w:r>
      <w:r w:rsidR="0070407E" w:rsidRPr="0093006A">
        <w:rPr>
          <w:color w:val="595959" w:themeColor="text1" w:themeTint="A6"/>
        </w:rPr>
        <w:t>ollaboration between government, community and industry ensures employment pipelines are created and supported</w:t>
      </w:r>
      <w:r w:rsidRPr="0093006A">
        <w:rPr>
          <w:color w:val="595959" w:themeColor="text1" w:themeTint="A6"/>
        </w:rPr>
        <w:t>.</w:t>
      </w:r>
    </w:p>
    <w:p w14:paraId="466E86E6" w14:textId="21B1ED81" w:rsidR="0070407E" w:rsidRPr="0093006A" w:rsidRDefault="002C14A2" w:rsidP="0070407E">
      <w:pPr>
        <w:pStyle w:val="ListParagraph"/>
        <w:numPr>
          <w:ilvl w:val="0"/>
          <w:numId w:val="43"/>
        </w:numPr>
        <w:spacing w:after="120"/>
        <w:rPr>
          <w:color w:val="595959" w:themeColor="text1" w:themeTint="A6"/>
        </w:rPr>
      </w:pPr>
      <w:r w:rsidRPr="0093006A">
        <w:rPr>
          <w:color w:val="595959" w:themeColor="text1" w:themeTint="A6"/>
        </w:rPr>
        <w:t>U</w:t>
      </w:r>
      <w:r w:rsidR="0070407E" w:rsidRPr="0093006A">
        <w:rPr>
          <w:color w:val="595959" w:themeColor="text1" w:themeTint="A6"/>
        </w:rPr>
        <w:t>nlike other policy areas, there is no Indigenous employment peak body at the national or state / territory levels. Supporting the creation of such a peak body will strongly support ISEP structural and systems approaches</w:t>
      </w:r>
      <w:r w:rsidRPr="0093006A">
        <w:rPr>
          <w:color w:val="595959" w:themeColor="text1" w:themeTint="A6"/>
        </w:rPr>
        <w:t>.</w:t>
      </w:r>
    </w:p>
    <w:p w14:paraId="193A1221" w14:textId="41F12696" w:rsidR="0070407E" w:rsidRPr="0093006A" w:rsidRDefault="002C14A2" w:rsidP="0070407E">
      <w:pPr>
        <w:pStyle w:val="ListParagraph"/>
        <w:numPr>
          <w:ilvl w:val="0"/>
          <w:numId w:val="43"/>
        </w:numPr>
        <w:spacing w:after="120"/>
        <w:rPr>
          <w:color w:val="595959" w:themeColor="text1" w:themeTint="A6"/>
        </w:rPr>
      </w:pPr>
      <w:r w:rsidRPr="0093006A">
        <w:rPr>
          <w:color w:val="595959" w:themeColor="text1" w:themeTint="A6"/>
        </w:rPr>
        <w:t>B</w:t>
      </w:r>
      <w:r w:rsidR="0070407E" w:rsidRPr="0093006A">
        <w:rPr>
          <w:color w:val="595959" w:themeColor="text1" w:themeTint="A6"/>
        </w:rPr>
        <w:t>etter use made of government procurement policies to drive Indigenous employment targets</w:t>
      </w:r>
      <w:r w:rsidRPr="0093006A">
        <w:rPr>
          <w:color w:val="595959" w:themeColor="text1" w:themeTint="A6"/>
        </w:rPr>
        <w:t>.</w:t>
      </w:r>
    </w:p>
    <w:p w14:paraId="0E46DE6E" w14:textId="5B620F39" w:rsidR="00761151" w:rsidRPr="0093006A" w:rsidRDefault="002C14A2" w:rsidP="0070407E">
      <w:pPr>
        <w:pStyle w:val="ListParagraph"/>
        <w:numPr>
          <w:ilvl w:val="0"/>
          <w:numId w:val="43"/>
        </w:numPr>
        <w:spacing w:after="120"/>
        <w:rPr>
          <w:color w:val="595959" w:themeColor="text1" w:themeTint="A6"/>
        </w:rPr>
      </w:pPr>
      <w:r w:rsidRPr="0093006A">
        <w:rPr>
          <w:color w:val="595959" w:themeColor="text1" w:themeTint="A6"/>
        </w:rPr>
        <w:t>T</w:t>
      </w:r>
      <w:r w:rsidR="0070407E" w:rsidRPr="0093006A">
        <w:rPr>
          <w:color w:val="595959" w:themeColor="text1" w:themeTint="A6"/>
        </w:rPr>
        <w:t>here was very strong support for the development of the Indigenous tourism and business sector more generally</w:t>
      </w:r>
      <w:r w:rsidRPr="0093006A">
        <w:rPr>
          <w:color w:val="595959" w:themeColor="text1" w:themeTint="A6"/>
        </w:rPr>
        <w:t>.</w:t>
      </w:r>
    </w:p>
    <w:p w14:paraId="63D63708" w14:textId="5BEEE987" w:rsidR="0070407E" w:rsidRPr="0093006A" w:rsidRDefault="002C14A2" w:rsidP="0070407E">
      <w:pPr>
        <w:pStyle w:val="ListParagraph"/>
        <w:numPr>
          <w:ilvl w:val="0"/>
          <w:numId w:val="43"/>
        </w:numPr>
        <w:spacing w:after="120"/>
        <w:rPr>
          <w:color w:val="595959" w:themeColor="text1" w:themeTint="A6"/>
        </w:rPr>
      </w:pPr>
      <w:r w:rsidRPr="0093006A">
        <w:rPr>
          <w:color w:val="595959" w:themeColor="text1" w:themeTint="A6"/>
        </w:rPr>
        <w:t>S</w:t>
      </w:r>
      <w:r w:rsidR="0070407E" w:rsidRPr="0093006A">
        <w:rPr>
          <w:color w:val="595959" w:themeColor="text1" w:themeTint="A6"/>
        </w:rPr>
        <w:t>mall to medium business enterprises support people working on Country, provide flexibility that caters to family and cultural obligations and creates a pipeline for Indigenous employment</w:t>
      </w:r>
      <w:r w:rsidRPr="0093006A">
        <w:rPr>
          <w:color w:val="595959" w:themeColor="text1" w:themeTint="A6"/>
        </w:rPr>
        <w:t>.</w:t>
      </w:r>
    </w:p>
    <w:p w14:paraId="2C0A0CD8" w14:textId="7781C87D" w:rsidR="0070407E" w:rsidRPr="0093006A" w:rsidRDefault="002C14A2" w:rsidP="0070407E">
      <w:pPr>
        <w:pStyle w:val="ListParagraph"/>
        <w:numPr>
          <w:ilvl w:val="0"/>
          <w:numId w:val="43"/>
        </w:numPr>
        <w:spacing w:after="120"/>
        <w:rPr>
          <w:color w:val="595959" w:themeColor="text1" w:themeTint="A6"/>
        </w:rPr>
      </w:pPr>
      <w:r w:rsidRPr="0093006A">
        <w:rPr>
          <w:color w:val="595959" w:themeColor="text1" w:themeTint="A6"/>
        </w:rPr>
        <w:t>P</w:t>
      </w:r>
      <w:r w:rsidR="0070407E" w:rsidRPr="0093006A">
        <w:rPr>
          <w:color w:val="595959" w:themeColor="text1" w:themeTint="A6"/>
        </w:rPr>
        <w:t>artnerships between ACCOs and bodies with economic development expertise drive economic development, including utilisation of land currently owned by Indigenous bodies</w:t>
      </w:r>
      <w:r w:rsidRPr="0093006A">
        <w:rPr>
          <w:color w:val="595959" w:themeColor="text1" w:themeTint="A6"/>
        </w:rPr>
        <w:t>.</w:t>
      </w:r>
    </w:p>
    <w:p w14:paraId="131B198D" w14:textId="5558646C" w:rsidR="00FE025C" w:rsidRPr="0093006A" w:rsidRDefault="002C14A2">
      <w:pPr>
        <w:pStyle w:val="ListParagraph"/>
        <w:numPr>
          <w:ilvl w:val="0"/>
          <w:numId w:val="43"/>
        </w:numPr>
        <w:spacing w:after="120"/>
        <w:rPr>
          <w:color w:val="595959" w:themeColor="text1" w:themeTint="A6"/>
        </w:rPr>
      </w:pPr>
      <w:r w:rsidRPr="0093006A">
        <w:rPr>
          <w:color w:val="595959" w:themeColor="text1" w:themeTint="A6"/>
        </w:rPr>
        <w:t>I</w:t>
      </w:r>
      <w:r w:rsidR="0070407E" w:rsidRPr="0093006A">
        <w:rPr>
          <w:color w:val="595959" w:themeColor="text1" w:themeTint="A6"/>
        </w:rPr>
        <w:t xml:space="preserve">n the future state, there </w:t>
      </w:r>
      <w:r w:rsidRPr="0093006A">
        <w:rPr>
          <w:color w:val="595959" w:themeColor="text1" w:themeTint="A6"/>
        </w:rPr>
        <w:t>are</w:t>
      </w:r>
      <w:r w:rsidR="0070407E" w:rsidRPr="0093006A">
        <w:rPr>
          <w:color w:val="595959" w:themeColor="text1" w:themeTint="A6"/>
        </w:rPr>
        <w:t xml:space="preserve"> stronger regulat</w:t>
      </w:r>
      <w:r w:rsidRPr="0093006A">
        <w:rPr>
          <w:color w:val="595959" w:themeColor="text1" w:themeTint="A6"/>
        </w:rPr>
        <w:t>ory</w:t>
      </w:r>
      <w:r w:rsidR="0070407E" w:rsidRPr="0093006A">
        <w:rPr>
          <w:color w:val="595959" w:themeColor="text1" w:themeTint="A6"/>
        </w:rPr>
        <w:t xml:space="preserve"> mechanisms and accountability to ensure employer obligations and Indigenous employment and retention targets are met.</w:t>
      </w:r>
    </w:p>
    <w:p w14:paraId="1EA1C568" w14:textId="77777777" w:rsidR="0070407E" w:rsidRPr="0093006A" w:rsidRDefault="0070407E" w:rsidP="0048465C">
      <w:pPr>
        <w:spacing w:after="120"/>
        <w:rPr>
          <w:color w:val="595959" w:themeColor="text1" w:themeTint="A6"/>
        </w:rPr>
      </w:pPr>
      <w:r w:rsidRPr="0093006A">
        <w:rPr>
          <w:color w:val="595959" w:themeColor="text1" w:themeTint="A6"/>
        </w:rPr>
        <w:t>There are non-homogenous issues relating to particular communities, often remote and very remote communities, that require inclusion in the ISEP design</w:t>
      </w:r>
    </w:p>
    <w:p w14:paraId="3F1EE81E" w14:textId="77777777" w:rsidR="0070407E" w:rsidRPr="0093006A" w:rsidRDefault="0070407E" w:rsidP="0048465C">
      <w:pPr>
        <w:spacing w:after="120"/>
        <w:rPr>
          <w:rFonts w:eastAsia="Times New Roman" w:cs="Times New Roman"/>
          <w:color w:val="595959" w:themeColor="text1" w:themeTint="A6"/>
        </w:rPr>
      </w:pPr>
      <w:r w:rsidRPr="0093006A">
        <w:rPr>
          <w:rFonts w:eastAsia="Times New Roman" w:cs="Times New Roman"/>
          <w:color w:val="595959" w:themeColor="text1" w:themeTint="A6"/>
        </w:rPr>
        <w:t>Some participants from specific areas, commonly remote and very remote areas but not exclusively so, provided a series of program responses to create a future state that is responsive to their needs.  These included:</w:t>
      </w:r>
    </w:p>
    <w:p w14:paraId="1FBBAFBA" w14:textId="27C44A31" w:rsidR="0070407E" w:rsidRPr="0093006A" w:rsidRDefault="007B504B" w:rsidP="0070407E">
      <w:pPr>
        <w:pStyle w:val="NormalWeb"/>
        <w:numPr>
          <w:ilvl w:val="0"/>
          <w:numId w:val="44"/>
        </w:numPr>
        <w:rPr>
          <w:rFonts w:ascii="Helvetica Neue" w:hAnsi="Helvetica Neue"/>
          <w:color w:val="595959" w:themeColor="text1" w:themeTint="A6"/>
        </w:rPr>
      </w:pPr>
      <w:r w:rsidRPr="0093006A">
        <w:rPr>
          <w:rFonts w:ascii="Helvetica Neue" w:hAnsi="Helvetica Neue"/>
          <w:color w:val="595959" w:themeColor="text1" w:themeTint="A6"/>
        </w:rPr>
        <w:t>A</w:t>
      </w:r>
      <w:r w:rsidR="0070407E" w:rsidRPr="0093006A">
        <w:rPr>
          <w:rFonts w:ascii="Helvetica Neue" w:hAnsi="Helvetica Neue"/>
          <w:color w:val="595959" w:themeColor="text1" w:themeTint="A6"/>
        </w:rPr>
        <w:t xml:space="preserve"> </w:t>
      </w:r>
      <w:r w:rsidR="00E719E9" w:rsidRPr="0093006A">
        <w:rPr>
          <w:rFonts w:ascii="Helvetica Neue" w:hAnsi="Helvetica Neue"/>
          <w:color w:val="595959" w:themeColor="text1" w:themeTint="A6"/>
        </w:rPr>
        <w:t>‘</w:t>
      </w:r>
      <w:r w:rsidR="0070407E" w:rsidRPr="0093006A">
        <w:rPr>
          <w:rFonts w:ascii="Helvetica Neue" w:hAnsi="Helvetica Neue"/>
          <w:color w:val="595959" w:themeColor="text1" w:themeTint="A6"/>
        </w:rPr>
        <w:t>one-stop</w:t>
      </w:r>
      <w:r w:rsidR="00E719E9" w:rsidRPr="0093006A">
        <w:rPr>
          <w:rFonts w:ascii="Helvetica Neue" w:hAnsi="Helvetica Neue"/>
          <w:color w:val="595959" w:themeColor="text1" w:themeTint="A6"/>
        </w:rPr>
        <w:t xml:space="preserve"> </w:t>
      </w:r>
      <w:r w:rsidR="0070407E" w:rsidRPr="0093006A">
        <w:rPr>
          <w:rFonts w:ascii="Helvetica Neue" w:hAnsi="Helvetica Neue"/>
          <w:color w:val="595959" w:themeColor="text1" w:themeTint="A6"/>
        </w:rPr>
        <w:t>shop</w:t>
      </w:r>
      <w:r w:rsidR="00E719E9" w:rsidRPr="0093006A">
        <w:rPr>
          <w:rFonts w:ascii="Helvetica Neue" w:hAnsi="Helvetica Neue"/>
          <w:color w:val="595959" w:themeColor="text1" w:themeTint="A6"/>
        </w:rPr>
        <w:t>’</w:t>
      </w:r>
      <w:r w:rsidR="0070407E" w:rsidRPr="0093006A">
        <w:rPr>
          <w:rFonts w:ascii="Helvetica Neue" w:hAnsi="Helvetica Neue"/>
          <w:color w:val="595959" w:themeColor="text1" w:themeTint="A6"/>
        </w:rPr>
        <w:t xml:space="preserve"> approach for remote and very remote areas to allow for easy access to</w:t>
      </w:r>
      <w:r w:rsidR="002F1A05" w:rsidRPr="0093006A">
        <w:rPr>
          <w:rFonts w:ascii="Helvetica Neue" w:hAnsi="Helvetica Neue"/>
          <w:color w:val="595959" w:themeColor="text1" w:themeTint="A6"/>
        </w:rPr>
        <w:t>, and simplified processes for</w:t>
      </w:r>
      <w:r w:rsidRPr="0093006A">
        <w:rPr>
          <w:rFonts w:ascii="Helvetica Neue" w:hAnsi="Helvetica Neue"/>
          <w:color w:val="595959" w:themeColor="text1" w:themeTint="A6"/>
        </w:rPr>
        <w:t>,</w:t>
      </w:r>
      <w:r w:rsidR="002F1A05" w:rsidRPr="0093006A">
        <w:rPr>
          <w:rFonts w:ascii="Helvetica Neue" w:hAnsi="Helvetica Neue"/>
          <w:color w:val="595959" w:themeColor="text1" w:themeTint="A6"/>
        </w:rPr>
        <w:t xml:space="preserve"> </w:t>
      </w:r>
      <w:r w:rsidR="0070407E" w:rsidRPr="0093006A">
        <w:rPr>
          <w:rFonts w:ascii="Helvetica Neue" w:hAnsi="Helvetica Neue"/>
          <w:color w:val="595959" w:themeColor="text1" w:themeTint="A6"/>
        </w:rPr>
        <w:t>government programs and supports</w:t>
      </w:r>
      <w:r w:rsidRPr="0093006A">
        <w:rPr>
          <w:rFonts w:ascii="Helvetica Neue" w:hAnsi="Helvetica Neue"/>
          <w:color w:val="595959" w:themeColor="text1" w:themeTint="A6"/>
        </w:rPr>
        <w:t>.</w:t>
      </w:r>
    </w:p>
    <w:p w14:paraId="7E512A77" w14:textId="305F04CE" w:rsidR="0070407E" w:rsidRPr="0093006A" w:rsidRDefault="007B504B" w:rsidP="0070407E">
      <w:pPr>
        <w:pStyle w:val="NormalWeb"/>
        <w:numPr>
          <w:ilvl w:val="0"/>
          <w:numId w:val="44"/>
        </w:numPr>
        <w:rPr>
          <w:rFonts w:ascii="Helvetica Neue" w:hAnsi="Helvetica Neue"/>
          <w:color w:val="595959" w:themeColor="text1" w:themeTint="A6"/>
        </w:rPr>
      </w:pPr>
      <w:r w:rsidRPr="0093006A">
        <w:rPr>
          <w:rFonts w:ascii="Helvetica Neue" w:hAnsi="Helvetica Neue"/>
          <w:color w:val="595959" w:themeColor="text1" w:themeTint="A6"/>
        </w:rPr>
        <w:t>L</w:t>
      </w:r>
      <w:r w:rsidR="0070407E" w:rsidRPr="0093006A">
        <w:rPr>
          <w:rFonts w:ascii="Helvetica Neue" w:hAnsi="Helvetica Neue"/>
          <w:color w:val="595959" w:themeColor="text1" w:themeTint="A6"/>
        </w:rPr>
        <w:t>ocal learning centres in remote and very remote areas that are client- centred and holistic focussing on improving literacy and numeracy, personal development and initiatives enabling young school leavers with ongoing supports</w:t>
      </w:r>
      <w:r w:rsidRPr="0093006A">
        <w:rPr>
          <w:rFonts w:ascii="Helvetica Neue" w:hAnsi="Helvetica Neue"/>
          <w:color w:val="595959" w:themeColor="text1" w:themeTint="A6"/>
        </w:rPr>
        <w:t>.</w:t>
      </w:r>
    </w:p>
    <w:p w14:paraId="0AD70468" w14:textId="12E1264B" w:rsidR="0070407E" w:rsidRPr="0093006A" w:rsidRDefault="007B504B" w:rsidP="0070407E">
      <w:pPr>
        <w:pStyle w:val="NormalWeb"/>
        <w:numPr>
          <w:ilvl w:val="0"/>
          <w:numId w:val="44"/>
        </w:numPr>
        <w:rPr>
          <w:rFonts w:ascii="Helvetica Neue" w:hAnsi="Helvetica Neue" w:cstheme="minorHAnsi"/>
          <w:color w:val="595959" w:themeColor="text1" w:themeTint="A6"/>
        </w:rPr>
      </w:pPr>
      <w:r w:rsidRPr="0093006A">
        <w:rPr>
          <w:rFonts w:ascii="Helvetica Neue" w:hAnsi="Helvetica Neue" w:cstheme="minorHAnsi"/>
          <w:color w:val="595959" w:themeColor="text1" w:themeTint="A6"/>
        </w:rPr>
        <w:t>L</w:t>
      </w:r>
      <w:r w:rsidR="0070407E" w:rsidRPr="0093006A">
        <w:rPr>
          <w:rFonts w:ascii="Helvetica Neue" w:hAnsi="Helvetica Neue" w:cstheme="minorHAnsi"/>
          <w:color w:val="595959" w:themeColor="text1" w:themeTint="A6"/>
        </w:rPr>
        <w:t>ocal employment opportunities available through local jobs and local training matched to industry needs to create a skilled Indigenous workforce to shift from the FIFO/DIDO model in remote and very remote areas</w:t>
      </w:r>
      <w:r w:rsidRPr="0093006A">
        <w:rPr>
          <w:rFonts w:ascii="Helvetica Neue" w:hAnsi="Helvetica Neue" w:cstheme="minorHAnsi"/>
          <w:color w:val="595959" w:themeColor="text1" w:themeTint="A6"/>
        </w:rPr>
        <w:t>.</w:t>
      </w:r>
    </w:p>
    <w:p w14:paraId="5EF998FE" w14:textId="6286B5A7" w:rsidR="007B504B" w:rsidRPr="0093006A" w:rsidRDefault="007B504B" w:rsidP="0070407E">
      <w:pPr>
        <w:pStyle w:val="NormalWeb"/>
        <w:numPr>
          <w:ilvl w:val="0"/>
          <w:numId w:val="44"/>
        </w:numPr>
        <w:rPr>
          <w:rFonts w:ascii="Helvetica Neue" w:hAnsi="Helvetica Neue" w:cstheme="minorHAnsi"/>
          <w:color w:val="595959" w:themeColor="text1" w:themeTint="A6"/>
        </w:rPr>
      </w:pPr>
      <w:r w:rsidRPr="0093006A">
        <w:rPr>
          <w:rFonts w:ascii="Helvetica Neue" w:hAnsi="Helvetica Neue"/>
          <w:color w:val="595959" w:themeColor="text1" w:themeTint="A6"/>
        </w:rPr>
        <w:t>C</w:t>
      </w:r>
      <w:r w:rsidR="0070407E" w:rsidRPr="0093006A">
        <w:rPr>
          <w:rFonts w:ascii="Helvetica Neue" w:hAnsi="Helvetica Neue"/>
          <w:color w:val="595959" w:themeColor="text1" w:themeTint="A6"/>
        </w:rPr>
        <w:t xml:space="preserve">reating </w:t>
      </w:r>
      <w:r w:rsidR="0070407E" w:rsidRPr="0093006A">
        <w:rPr>
          <w:rFonts w:ascii="Helvetica Neue" w:hAnsi="Helvetica Neue" w:cstheme="minorHAnsi"/>
          <w:color w:val="595959" w:themeColor="text1" w:themeTint="A6"/>
        </w:rPr>
        <w:t xml:space="preserve">Working on Country economies through the </w:t>
      </w:r>
      <w:r w:rsidR="0070407E" w:rsidRPr="0093006A">
        <w:rPr>
          <w:rFonts w:ascii="Helvetica Neue" w:hAnsi="Helvetica Neue"/>
          <w:color w:val="595959" w:themeColor="text1" w:themeTint="A6"/>
        </w:rPr>
        <w:t xml:space="preserve">creation of roles in areas of community need that support Indigenous </w:t>
      </w:r>
      <w:r w:rsidR="00563300" w:rsidRPr="0093006A">
        <w:rPr>
          <w:rFonts w:ascii="Helvetica Neue" w:hAnsi="Helvetica Neue"/>
          <w:color w:val="595959" w:themeColor="text1" w:themeTint="A6"/>
        </w:rPr>
        <w:t>Australians</w:t>
      </w:r>
      <w:r w:rsidR="0070407E" w:rsidRPr="0093006A">
        <w:rPr>
          <w:rFonts w:ascii="Helvetica Neue" w:hAnsi="Helvetica Neue"/>
          <w:color w:val="595959" w:themeColor="text1" w:themeTint="A6"/>
        </w:rPr>
        <w:t xml:space="preserve"> living and work</w:t>
      </w:r>
      <w:r w:rsidRPr="0093006A">
        <w:rPr>
          <w:rFonts w:ascii="Helvetica Neue" w:hAnsi="Helvetica Neue"/>
          <w:color w:val="595959" w:themeColor="text1" w:themeTint="A6"/>
        </w:rPr>
        <w:t>ing</w:t>
      </w:r>
      <w:r w:rsidR="0070407E" w:rsidRPr="0093006A">
        <w:rPr>
          <w:rFonts w:ascii="Helvetica Neue" w:hAnsi="Helvetica Neue"/>
          <w:color w:val="595959" w:themeColor="text1" w:themeTint="A6"/>
        </w:rPr>
        <w:t xml:space="preserve"> on Country.</w:t>
      </w:r>
    </w:p>
    <w:p w14:paraId="75D0AFEB" w14:textId="0A3C7E18" w:rsidR="0070407E" w:rsidRPr="0093006A" w:rsidRDefault="0070407E" w:rsidP="0070407E">
      <w:pPr>
        <w:pStyle w:val="NormalWeb"/>
        <w:numPr>
          <w:ilvl w:val="0"/>
          <w:numId w:val="44"/>
        </w:numPr>
        <w:rPr>
          <w:rFonts w:ascii="Helvetica Neue" w:hAnsi="Helvetica Neue" w:cstheme="minorHAnsi"/>
          <w:color w:val="595959" w:themeColor="text1" w:themeTint="A6"/>
        </w:rPr>
      </w:pPr>
      <w:r w:rsidRPr="0093006A">
        <w:rPr>
          <w:rFonts w:ascii="Helvetica Neue" w:hAnsi="Helvetica Neue"/>
          <w:color w:val="595959" w:themeColor="text1" w:themeTint="A6"/>
        </w:rPr>
        <w:t xml:space="preserve">Indigenous </w:t>
      </w:r>
      <w:r w:rsidR="00563300" w:rsidRPr="0093006A">
        <w:rPr>
          <w:rFonts w:ascii="Helvetica Neue" w:hAnsi="Helvetica Neue"/>
          <w:color w:val="595959" w:themeColor="text1" w:themeTint="A6"/>
        </w:rPr>
        <w:t>Australians</w:t>
      </w:r>
      <w:r w:rsidRPr="0093006A">
        <w:rPr>
          <w:rFonts w:ascii="Helvetica Neue" w:hAnsi="Helvetica Neue"/>
          <w:color w:val="595959" w:themeColor="text1" w:themeTint="A6"/>
        </w:rPr>
        <w:t xml:space="preserve"> delivering </w:t>
      </w:r>
      <w:r w:rsidRPr="0093006A">
        <w:rPr>
          <w:rFonts w:ascii="Helvetica Neue" w:hAnsi="Helvetica Neue" w:cstheme="minorHAnsi"/>
          <w:color w:val="595959" w:themeColor="text1" w:themeTint="A6"/>
        </w:rPr>
        <w:t xml:space="preserve">NDIS, </w:t>
      </w:r>
      <w:r w:rsidR="007B504B" w:rsidRPr="0093006A">
        <w:rPr>
          <w:rFonts w:ascii="Helvetica Neue" w:hAnsi="Helvetica Neue" w:cstheme="minorHAnsi"/>
          <w:color w:val="595959" w:themeColor="text1" w:themeTint="A6"/>
        </w:rPr>
        <w:t>a</w:t>
      </w:r>
      <w:r w:rsidRPr="0093006A">
        <w:rPr>
          <w:rFonts w:ascii="Helvetica Neue" w:hAnsi="Helvetica Neue" w:cstheme="minorHAnsi"/>
          <w:color w:val="595959" w:themeColor="text1" w:themeTint="A6"/>
        </w:rPr>
        <w:t xml:space="preserve">ged </w:t>
      </w:r>
      <w:r w:rsidR="007B504B" w:rsidRPr="0093006A">
        <w:rPr>
          <w:rFonts w:ascii="Helvetica Neue" w:hAnsi="Helvetica Neue" w:cstheme="minorHAnsi"/>
          <w:color w:val="595959" w:themeColor="text1" w:themeTint="A6"/>
        </w:rPr>
        <w:t>c</w:t>
      </w:r>
      <w:r w:rsidRPr="0093006A">
        <w:rPr>
          <w:rFonts w:ascii="Helvetica Neue" w:hAnsi="Helvetica Neue" w:cstheme="minorHAnsi"/>
          <w:color w:val="595959" w:themeColor="text1" w:themeTint="A6"/>
        </w:rPr>
        <w:t xml:space="preserve">are, </w:t>
      </w:r>
      <w:r w:rsidR="007B504B" w:rsidRPr="0093006A">
        <w:rPr>
          <w:rFonts w:ascii="Helvetica Neue" w:hAnsi="Helvetica Neue" w:cstheme="minorHAnsi"/>
          <w:color w:val="595959" w:themeColor="text1" w:themeTint="A6"/>
        </w:rPr>
        <w:t>c</w:t>
      </w:r>
      <w:r w:rsidRPr="0093006A">
        <w:rPr>
          <w:rFonts w:ascii="Helvetica Neue" w:hAnsi="Helvetica Neue" w:cstheme="minorHAnsi"/>
          <w:color w:val="595959" w:themeColor="text1" w:themeTint="A6"/>
        </w:rPr>
        <w:t xml:space="preserve">ommunity services, childcare, </w:t>
      </w:r>
      <w:r w:rsidR="007B504B" w:rsidRPr="0093006A">
        <w:rPr>
          <w:rFonts w:ascii="Helvetica Neue" w:hAnsi="Helvetica Neue" w:cstheme="minorHAnsi"/>
          <w:color w:val="595959" w:themeColor="text1" w:themeTint="A6"/>
        </w:rPr>
        <w:t>a</w:t>
      </w:r>
      <w:r w:rsidRPr="0093006A">
        <w:rPr>
          <w:rFonts w:ascii="Helvetica Neue" w:hAnsi="Helvetica Neue" w:cstheme="minorHAnsi"/>
          <w:color w:val="595959" w:themeColor="text1" w:themeTint="A6"/>
        </w:rPr>
        <w:t xml:space="preserve">llied </w:t>
      </w:r>
      <w:r w:rsidR="007B504B" w:rsidRPr="0093006A">
        <w:rPr>
          <w:rFonts w:ascii="Helvetica Neue" w:hAnsi="Helvetica Neue" w:cstheme="minorHAnsi"/>
          <w:color w:val="595959" w:themeColor="text1" w:themeTint="A6"/>
        </w:rPr>
        <w:t>h</w:t>
      </w:r>
      <w:r w:rsidRPr="0093006A">
        <w:rPr>
          <w:rFonts w:ascii="Helvetica Neue" w:hAnsi="Helvetica Neue" w:cstheme="minorHAnsi"/>
          <w:color w:val="595959" w:themeColor="text1" w:themeTint="A6"/>
        </w:rPr>
        <w:t>ealth services in community</w:t>
      </w:r>
      <w:r w:rsidR="007B504B" w:rsidRPr="0093006A">
        <w:rPr>
          <w:rFonts w:ascii="Helvetica Neue" w:hAnsi="Helvetica Neue" w:cstheme="minorHAnsi"/>
          <w:color w:val="595959" w:themeColor="text1" w:themeTint="A6"/>
        </w:rPr>
        <w:t>.</w:t>
      </w:r>
    </w:p>
    <w:p w14:paraId="61F9B5AB" w14:textId="4DBE089A" w:rsidR="0070407E" w:rsidRPr="0093006A" w:rsidRDefault="007B504B" w:rsidP="0070407E">
      <w:pPr>
        <w:pStyle w:val="ListParagraph"/>
        <w:numPr>
          <w:ilvl w:val="0"/>
          <w:numId w:val="44"/>
        </w:numPr>
        <w:spacing w:after="120"/>
        <w:rPr>
          <w:color w:val="595959" w:themeColor="text1" w:themeTint="A6"/>
        </w:rPr>
      </w:pPr>
      <w:r w:rsidRPr="0093006A">
        <w:rPr>
          <w:color w:val="595959" w:themeColor="text1" w:themeTint="A6"/>
        </w:rPr>
        <w:t>A</w:t>
      </w:r>
      <w:r w:rsidR="0070407E" w:rsidRPr="0093006A">
        <w:rPr>
          <w:color w:val="595959" w:themeColor="text1" w:themeTint="A6"/>
        </w:rPr>
        <w:t xml:space="preserve"> strong ‘cultural economy’ based on Indigenous knowledge. Indigenous cultural and intellectual property will be protected</w:t>
      </w:r>
      <w:r w:rsidRPr="0093006A">
        <w:rPr>
          <w:color w:val="595959" w:themeColor="text1" w:themeTint="A6"/>
        </w:rPr>
        <w:t>.</w:t>
      </w:r>
    </w:p>
    <w:p w14:paraId="43BB3F28" w14:textId="1D98CE21" w:rsidR="0070407E" w:rsidRPr="0093006A" w:rsidRDefault="007B504B" w:rsidP="0070407E">
      <w:pPr>
        <w:pStyle w:val="ListParagraph"/>
        <w:numPr>
          <w:ilvl w:val="0"/>
          <w:numId w:val="44"/>
        </w:numPr>
        <w:spacing w:after="120"/>
        <w:rPr>
          <w:color w:val="595959" w:themeColor="text1" w:themeTint="A6"/>
        </w:rPr>
      </w:pPr>
      <w:r w:rsidRPr="0093006A">
        <w:rPr>
          <w:color w:val="595959" w:themeColor="text1" w:themeTint="A6"/>
        </w:rPr>
        <w:t>T</w:t>
      </w:r>
      <w:r w:rsidR="0070407E" w:rsidRPr="0093006A">
        <w:rPr>
          <w:color w:val="595959" w:themeColor="text1" w:themeTint="A6"/>
        </w:rPr>
        <w:t xml:space="preserve">he National Empowered Communities group nominated a role for an international trade delegation of Indigenous participants or businesses to advance Indigenous </w:t>
      </w:r>
      <w:r w:rsidR="00563300" w:rsidRPr="0093006A">
        <w:rPr>
          <w:color w:val="595959" w:themeColor="text1" w:themeTint="A6"/>
        </w:rPr>
        <w:t>Australians</w:t>
      </w:r>
      <w:r w:rsidRPr="0093006A">
        <w:rPr>
          <w:color w:val="595959" w:themeColor="text1" w:themeTint="A6"/>
        </w:rPr>
        <w:t>’</w:t>
      </w:r>
      <w:r w:rsidR="0070407E" w:rsidRPr="0093006A">
        <w:rPr>
          <w:color w:val="595959" w:themeColor="text1" w:themeTint="A6"/>
        </w:rPr>
        <w:t xml:space="preserve"> economic interests in global markets</w:t>
      </w:r>
      <w:r w:rsidRPr="0093006A">
        <w:rPr>
          <w:color w:val="595959" w:themeColor="text1" w:themeTint="A6"/>
        </w:rPr>
        <w:t>.</w:t>
      </w:r>
    </w:p>
    <w:p w14:paraId="0172B9CD" w14:textId="50A79849" w:rsidR="0070407E" w:rsidRPr="0093006A" w:rsidRDefault="007B504B" w:rsidP="0070407E">
      <w:pPr>
        <w:pStyle w:val="ListParagraph"/>
        <w:numPr>
          <w:ilvl w:val="0"/>
          <w:numId w:val="44"/>
        </w:numPr>
        <w:spacing w:after="120"/>
        <w:rPr>
          <w:color w:val="595959" w:themeColor="text1" w:themeTint="A6"/>
        </w:rPr>
      </w:pPr>
      <w:r w:rsidRPr="0093006A">
        <w:rPr>
          <w:color w:val="595959" w:themeColor="text1" w:themeTint="A6"/>
        </w:rPr>
        <w:t>I</w:t>
      </w:r>
      <w:r w:rsidR="0070407E" w:rsidRPr="0093006A">
        <w:rPr>
          <w:color w:val="595959" w:themeColor="text1" w:themeTint="A6"/>
        </w:rPr>
        <w:t>n the desired future state there will be innovative models that operate as social enterprises</w:t>
      </w:r>
      <w:r w:rsidRPr="0093006A">
        <w:rPr>
          <w:color w:val="595959" w:themeColor="text1" w:themeTint="A6"/>
        </w:rPr>
        <w:t>.</w:t>
      </w:r>
    </w:p>
    <w:p w14:paraId="294E9FE7" w14:textId="488A1145" w:rsidR="0070407E" w:rsidRPr="0093006A" w:rsidRDefault="007B504B">
      <w:pPr>
        <w:pStyle w:val="ListParagraph"/>
        <w:numPr>
          <w:ilvl w:val="0"/>
          <w:numId w:val="44"/>
        </w:numPr>
        <w:spacing w:after="120"/>
        <w:rPr>
          <w:color w:val="595959" w:themeColor="text1" w:themeTint="A6"/>
        </w:rPr>
      </w:pPr>
      <w:r w:rsidRPr="0093006A">
        <w:rPr>
          <w:color w:val="595959" w:themeColor="text1" w:themeTint="A6"/>
        </w:rPr>
        <w:t>A</w:t>
      </w:r>
      <w:r w:rsidR="0070407E" w:rsidRPr="0093006A">
        <w:rPr>
          <w:color w:val="595959" w:themeColor="text1" w:themeTint="A6"/>
        </w:rPr>
        <w:t xml:space="preserve">ddressing the existing lack of access to capital for Indigenous businesses through strategic solutions to linking with investors, venture capitalists or other sources willing to fund Indigenous business. </w:t>
      </w:r>
      <w:r w:rsidR="00C856F8" w:rsidRPr="0093006A">
        <w:rPr>
          <w:color w:val="595959" w:themeColor="text1" w:themeTint="A6"/>
        </w:rPr>
        <w:t>F</w:t>
      </w:r>
      <w:r w:rsidR="0070407E" w:rsidRPr="0093006A">
        <w:rPr>
          <w:color w:val="595959" w:themeColor="text1" w:themeTint="A6"/>
        </w:rPr>
        <w:t>inancial institutions engage in joint funding models which allow for riskier investment</w:t>
      </w:r>
      <w:r w:rsidRPr="0093006A">
        <w:rPr>
          <w:color w:val="595959" w:themeColor="text1" w:themeTint="A6"/>
        </w:rPr>
        <w:t>.</w:t>
      </w:r>
    </w:p>
    <w:p w14:paraId="1E95A113" w14:textId="754EA359" w:rsidR="002B4630" w:rsidRPr="0093006A" w:rsidRDefault="007B504B" w:rsidP="00981521">
      <w:pPr>
        <w:pStyle w:val="ListParagraph"/>
        <w:numPr>
          <w:ilvl w:val="0"/>
          <w:numId w:val="44"/>
        </w:numPr>
        <w:spacing w:before="120" w:after="120"/>
        <w:rPr>
          <w:color w:val="595959" w:themeColor="text1" w:themeTint="A6"/>
        </w:rPr>
      </w:pPr>
      <w:r w:rsidRPr="0093006A">
        <w:rPr>
          <w:rFonts w:cs="Segoe UI"/>
          <w:color w:val="595959" w:themeColor="text1" w:themeTint="A6"/>
        </w:rPr>
        <w:t>C</w:t>
      </w:r>
      <w:r w:rsidR="0070407E" w:rsidRPr="0093006A">
        <w:rPr>
          <w:rFonts w:cs="Segoe UI"/>
          <w:color w:val="595959" w:themeColor="text1" w:themeTint="A6"/>
        </w:rPr>
        <w:t xml:space="preserve">oordination between native title groups: </w:t>
      </w:r>
      <w:r w:rsidR="00C856F8" w:rsidRPr="0093006A">
        <w:rPr>
          <w:rFonts w:cstheme="minorHAnsi"/>
          <w:color w:val="595959" w:themeColor="text1" w:themeTint="A6"/>
        </w:rPr>
        <w:t>a</w:t>
      </w:r>
      <w:r w:rsidR="0070407E" w:rsidRPr="0093006A">
        <w:rPr>
          <w:rFonts w:cstheme="minorHAnsi"/>
          <w:color w:val="595959" w:themeColor="text1" w:themeTint="A6"/>
        </w:rPr>
        <w:t>s South Australia has a significant area of determined native title lands, there are various registered, prescribed bodies-corporate which manage land on behalf of the native title holders. Due to the large number of these groups, confusion has arisen around opportunities stemming from native title in the region. A coordinated approach will support decreasing confusion and allow for economic planning</w:t>
      </w:r>
      <w:r w:rsidRPr="0093006A">
        <w:rPr>
          <w:rFonts w:cstheme="minorHAnsi"/>
          <w:color w:val="595959" w:themeColor="text1" w:themeTint="A6"/>
        </w:rPr>
        <w:t>.</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7"/>
        <w:tblDescription w:val="The ISEP should recognise that structural challenges exist in remote communities that impede the growth of local jobs markets "/>
      </w:tblPr>
      <w:tblGrid>
        <w:gridCol w:w="8930"/>
      </w:tblGrid>
      <w:tr w:rsidR="0093006A" w:rsidRPr="0093006A" w14:paraId="259ADD22" w14:textId="77777777" w:rsidTr="00091525">
        <w:trPr>
          <w:cantSplit/>
          <w:tblHeader/>
        </w:trPr>
        <w:tc>
          <w:tcPr>
            <w:tcW w:w="8930" w:type="dxa"/>
            <w:shd w:val="clear" w:color="auto" w:fill="auto"/>
          </w:tcPr>
          <w:p w14:paraId="597CD8ED" w14:textId="25D5244C" w:rsidR="00324F99" w:rsidRPr="0093006A" w:rsidRDefault="00324F99" w:rsidP="0048465C">
            <w:pPr>
              <w:spacing w:after="120"/>
              <w:rPr>
                <w:b/>
                <w:bCs/>
                <w:i/>
                <w:iCs/>
                <w:color w:val="595959" w:themeColor="text1" w:themeTint="A6"/>
              </w:rPr>
            </w:pPr>
            <w:r w:rsidRPr="0093006A">
              <w:rPr>
                <w:b/>
                <w:bCs/>
                <w:i/>
                <w:iCs/>
                <w:color w:val="595959" w:themeColor="text1" w:themeTint="A6"/>
              </w:rPr>
              <w:t xml:space="preserve">Key </w:t>
            </w:r>
            <w:r w:rsidR="00761151" w:rsidRPr="0093006A">
              <w:rPr>
                <w:b/>
                <w:bCs/>
                <w:i/>
                <w:iCs/>
                <w:color w:val="595959" w:themeColor="text1" w:themeTint="A6"/>
              </w:rPr>
              <w:t>I</w:t>
            </w:r>
            <w:r w:rsidRPr="0093006A">
              <w:rPr>
                <w:b/>
                <w:bCs/>
                <w:i/>
                <w:iCs/>
                <w:color w:val="595959" w:themeColor="text1" w:themeTint="A6"/>
              </w:rPr>
              <w:t>nsight</w:t>
            </w:r>
            <w:r w:rsidR="000C0DAB" w:rsidRPr="0093006A">
              <w:rPr>
                <w:b/>
                <w:bCs/>
                <w:i/>
                <w:iCs/>
                <w:color w:val="595959" w:themeColor="text1" w:themeTint="A6"/>
              </w:rPr>
              <w:t xml:space="preserve"> </w:t>
            </w:r>
            <w:r w:rsidR="00704D0B" w:rsidRPr="0093006A">
              <w:rPr>
                <w:b/>
                <w:bCs/>
                <w:i/>
                <w:iCs/>
                <w:color w:val="595959" w:themeColor="text1" w:themeTint="A6"/>
              </w:rPr>
              <w:t>7</w:t>
            </w:r>
          </w:p>
        </w:tc>
      </w:tr>
      <w:tr w:rsidR="00324F99" w:rsidRPr="0093006A" w14:paraId="5AC4FCC0" w14:textId="77777777" w:rsidTr="00091525">
        <w:trPr>
          <w:cantSplit/>
          <w:tblHeader/>
        </w:trPr>
        <w:tc>
          <w:tcPr>
            <w:tcW w:w="8930" w:type="dxa"/>
          </w:tcPr>
          <w:p w14:paraId="5FD35A16" w14:textId="1BBF07AA" w:rsidR="00140BFC" w:rsidRPr="0093006A" w:rsidRDefault="00140BFC" w:rsidP="00140BFC">
            <w:pPr>
              <w:spacing w:after="120"/>
              <w:rPr>
                <w:b/>
                <w:bCs/>
                <w:color w:val="595959" w:themeColor="text1" w:themeTint="A6"/>
              </w:rPr>
            </w:pPr>
            <w:r w:rsidRPr="0093006A">
              <w:rPr>
                <w:b/>
                <w:bCs/>
                <w:color w:val="595959" w:themeColor="text1" w:themeTint="A6"/>
              </w:rPr>
              <w:t xml:space="preserve">The ISEP </w:t>
            </w:r>
            <w:r w:rsidR="00DF4609" w:rsidRPr="0093006A">
              <w:rPr>
                <w:b/>
                <w:bCs/>
                <w:color w:val="595959" w:themeColor="text1" w:themeTint="A6"/>
              </w:rPr>
              <w:t>should</w:t>
            </w:r>
            <w:r w:rsidRPr="0093006A">
              <w:rPr>
                <w:b/>
                <w:bCs/>
                <w:color w:val="595959" w:themeColor="text1" w:themeTint="A6"/>
              </w:rPr>
              <w:t xml:space="preserve"> recognise that structural challenges exist in remote communities that impede the growth of local jobs markets </w:t>
            </w:r>
          </w:p>
          <w:p w14:paraId="54D06BD0" w14:textId="7DBD6F15" w:rsidR="00324F99" w:rsidRPr="0093006A" w:rsidRDefault="00140BFC" w:rsidP="00324F99">
            <w:pPr>
              <w:spacing w:after="120"/>
              <w:textDirection w:val="btLr"/>
              <w:rPr>
                <w:color w:val="595959" w:themeColor="text1" w:themeTint="A6"/>
              </w:rPr>
            </w:pPr>
            <w:r w:rsidRPr="0093006A">
              <w:rPr>
                <w:color w:val="595959" w:themeColor="text1" w:themeTint="A6"/>
              </w:rPr>
              <w:t>Some remote communities may lack a genuine local economy. A responsive, flexibly designed ISEP that allows for local solutions could address these structural challenges in innovative ways that are community led and supported by industry and government.</w:t>
            </w:r>
          </w:p>
        </w:tc>
      </w:tr>
    </w:tbl>
    <w:p w14:paraId="52214B0F" w14:textId="77777777" w:rsidR="00D22BAA" w:rsidRPr="0093006A" w:rsidRDefault="00D22BAA" w:rsidP="00044A26">
      <w:pPr>
        <w:spacing w:after="120"/>
        <w:rPr>
          <w:b/>
          <w:color w:val="595959" w:themeColor="text1" w:themeTint="A6"/>
          <w:sz w:val="28"/>
          <w:szCs w:val="28"/>
        </w:rPr>
      </w:pPr>
    </w:p>
    <w:p w14:paraId="62495B35" w14:textId="77777777" w:rsidR="00324F99" w:rsidRPr="0093006A" w:rsidRDefault="00324F99">
      <w:pPr>
        <w:rPr>
          <w:b/>
          <w:color w:val="595959" w:themeColor="text1" w:themeTint="A6"/>
          <w:sz w:val="28"/>
          <w:szCs w:val="28"/>
        </w:rPr>
      </w:pPr>
      <w:r w:rsidRPr="0093006A">
        <w:rPr>
          <w:b/>
          <w:color w:val="595959" w:themeColor="text1" w:themeTint="A6"/>
          <w:sz w:val="28"/>
          <w:szCs w:val="28"/>
        </w:rPr>
        <w:br w:type="page"/>
      </w:r>
    </w:p>
    <w:p w14:paraId="333CFB83" w14:textId="0E6501D4" w:rsidR="00044A26" w:rsidRPr="0093006A" w:rsidRDefault="00044A26" w:rsidP="006727BF">
      <w:pPr>
        <w:pStyle w:val="Heading2"/>
        <w:rPr>
          <w:color w:val="595959" w:themeColor="text1" w:themeTint="A6"/>
        </w:rPr>
      </w:pPr>
      <w:bookmarkStart w:id="32" w:name="_Toc85030966"/>
      <w:r w:rsidRPr="0093006A">
        <w:rPr>
          <w:color w:val="595959" w:themeColor="text1" w:themeTint="A6"/>
        </w:rPr>
        <w:t xml:space="preserve">Written </w:t>
      </w:r>
      <w:r w:rsidR="002648EE" w:rsidRPr="0093006A">
        <w:rPr>
          <w:color w:val="595959" w:themeColor="text1" w:themeTint="A6"/>
        </w:rPr>
        <w:t>S</w:t>
      </w:r>
      <w:r w:rsidRPr="0093006A">
        <w:rPr>
          <w:color w:val="595959" w:themeColor="text1" w:themeTint="A6"/>
        </w:rPr>
        <w:t>ubmissions</w:t>
      </w:r>
      <w:r w:rsidR="00B56403" w:rsidRPr="0093006A">
        <w:rPr>
          <w:color w:val="595959" w:themeColor="text1" w:themeTint="A6"/>
        </w:rPr>
        <w:t>:</w:t>
      </w:r>
      <w:r w:rsidR="002648EE" w:rsidRPr="0093006A">
        <w:rPr>
          <w:color w:val="595959" w:themeColor="text1" w:themeTint="A6"/>
        </w:rPr>
        <w:t xml:space="preserve"> D</w:t>
      </w:r>
      <w:r w:rsidR="00B56403" w:rsidRPr="0093006A">
        <w:rPr>
          <w:color w:val="595959" w:themeColor="text1" w:themeTint="A6"/>
        </w:rPr>
        <w:t xml:space="preserve">etailed </w:t>
      </w:r>
      <w:r w:rsidR="002648EE" w:rsidRPr="0093006A">
        <w:rPr>
          <w:color w:val="595959" w:themeColor="text1" w:themeTint="A6"/>
        </w:rPr>
        <w:t>F</w:t>
      </w:r>
      <w:r w:rsidR="00B56403" w:rsidRPr="0093006A">
        <w:rPr>
          <w:color w:val="595959" w:themeColor="text1" w:themeTint="A6"/>
        </w:rPr>
        <w:t>indings</w:t>
      </w:r>
      <w:bookmarkEnd w:id="32"/>
    </w:p>
    <w:p w14:paraId="4589A2B6" w14:textId="34CE4409" w:rsidR="00BB5B00" w:rsidRPr="0093006A" w:rsidRDefault="00BB5B00" w:rsidP="00324F99">
      <w:pPr>
        <w:spacing w:after="120"/>
        <w:rPr>
          <w:color w:val="595959" w:themeColor="text1" w:themeTint="A6"/>
        </w:rPr>
      </w:pPr>
      <w:r w:rsidRPr="0093006A">
        <w:rPr>
          <w:color w:val="595959" w:themeColor="text1" w:themeTint="A6"/>
        </w:rPr>
        <w:t xml:space="preserve">A full list of all public responses to the ISEP Discussion Paper is provided at Appendix </w:t>
      </w:r>
      <w:r w:rsidR="007C2C01" w:rsidRPr="0093006A">
        <w:rPr>
          <w:color w:val="595959" w:themeColor="text1" w:themeTint="A6"/>
        </w:rPr>
        <w:t>C</w:t>
      </w:r>
      <w:r w:rsidRPr="0093006A">
        <w:rPr>
          <w:color w:val="595959" w:themeColor="text1" w:themeTint="A6"/>
        </w:rPr>
        <w:t xml:space="preserve">, below. Several respondents also assessed the NIAA Discussion Paper as lacking sufficient detail about </w:t>
      </w:r>
      <w:r w:rsidR="009D5F15" w:rsidRPr="0093006A">
        <w:rPr>
          <w:color w:val="595959" w:themeColor="text1" w:themeTint="A6"/>
        </w:rPr>
        <w:t xml:space="preserve">the </w:t>
      </w:r>
      <w:r w:rsidRPr="0093006A">
        <w:rPr>
          <w:color w:val="595959" w:themeColor="text1" w:themeTint="A6"/>
        </w:rPr>
        <w:t>ISEP which made it a challenge to provide specific policy recommendations.</w:t>
      </w:r>
      <w:r w:rsidRPr="0093006A">
        <w:rPr>
          <w:rStyle w:val="FootnoteReference"/>
          <w:color w:val="595959" w:themeColor="text1" w:themeTint="A6"/>
        </w:rPr>
        <w:footnoteReference w:id="12"/>
      </w:r>
      <w:r w:rsidRPr="0093006A">
        <w:rPr>
          <w:color w:val="595959" w:themeColor="text1" w:themeTint="A6"/>
          <w:vertAlign w:val="superscript"/>
        </w:rPr>
        <w:t>,</w:t>
      </w:r>
      <w:r w:rsidRPr="0093006A">
        <w:rPr>
          <w:rStyle w:val="FootnoteReference"/>
          <w:color w:val="595959" w:themeColor="text1" w:themeTint="A6"/>
        </w:rPr>
        <w:footnoteReference w:id="13"/>
      </w:r>
    </w:p>
    <w:p w14:paraId="4C33FCF4" w14:textId="77777777" w:rsidR="00044A26" w:rsidRPr="0093006A" w:rsidRDefault="00044A26" w:rsidP="00324F99">
      <w:pPr>
        <w:spacing w:after="120"/>
        <w:rPr>
          <w:b/>
          <w:color w:val="595959" w:themeColor="text1" w:themeTint="A6"/>
          <w:sz w:val="24"/>
          <w:szCs w:val="24"/>
        </w:rPr>
      </w:pPr>
      <w:r w:rsidRPr="0093006A">
        <w:rPr>
          <w:b/>
          <w:color w:val="595959" w:themeColor="text1" w:themeTint="A6"/>
          <w:sz w:val="24"/>
          <w:szCs w:val="24"/>
        </w:rPr>
        <w:t xml:space="preserve">Discussion Question 1: </w:t>
      </w:r>
    </w:p>
    <w:p w14:paraId="017BF882" w14:textId="77777777" w:rsidR="00BB5B00" w:rsidRPr="0093006A" w:rsidRDefault="00044A26" w:rsidP="00324F99">
      <w:pPr>
        <w:spacing w:after="120"/>
        <w:rPr>
          <w:color w:val="595959" w:themeColor="text1" w:themeTint="A6"/>
        </w:rPr>
      </w:pPr>
      <w:r w:rsidRPr="0093006A">
        <w:rPr>
          <w:color w:val="595959" w:themeColor="text1" w:themeTint="A6"/>
        </w:rPr>
        <w:t>In the first Discussion Question, NIAA asked prospective respondents:</w:t>
      </w:r>
    </w:p>
    <w:p w14:paraId="0BF93ADE" w14:textId="6814D400" w:rsidR="00044A26" w:rsidRPr="0093006A" w:rsidRDefault="00044A26" w:rsidP="001A5D81">
      <w:pPr>
        <w:spacing w:after="120"/>
        <w:ind w:left="720"/>
        <w:rPr>
          <w:color w:val="595959" w:themeColor="text1" w:themeTint="A6"/>
        </w:rPr>
      </w:pPr>
      <w:r w:rsidRPr="0093006A">
        <w:rPr>
          <w:color w:val="595959" w:themeColor="text1" w:themeTint="A6"/>
        </w:rPr>
        <w:t xml:space="preserve">How should the Indigenous </w:t>
      </w:r>
      <w:r w:rsidR="009D5F15" w:rsidRPr="0093006A">
        <w:rPr>
          <w:color w:val="595959" w:themeColor="text1" w:themeTint="A6"/>
        </w:rPr>
        <w:t xml:space="preserve">Skills, Engagement and Employment </w:t>
      </w:r>
      <w:r w:rsidRPr="0093006A">
        <w:rPr>
          <w:color w:val="595959" w:themeColor="text1" w:themeTint="A6"/>
        </w:rPr>
        <w:t>Program (ISEP) work alongside the new employment services model and the new remote engagement program to build work-ready skills and connect Aboriginal and Torres Strait Islander people to rewarding, sustainable jobs?</w:t>
      </w:r>
    </w:p>
    <w:p w14:paraId="7A96A4FA" w14:textId="10E5754E" w:rsidR="00044A26" w:rsidRPr="0093006A" w:rsidRDefault="00BB5B00" w:rsidP="00EB0377">
      <w:pPr>
        <w:spacing w:after="120"/>
        <w:ind w:left="1080"/>
        <w:rPr>
          <w:color w:val="595959" w:themeColor="text1" w:themeTint="A6"/>
        </w:rPr>
      </w:pPr>
      <w:r w:rsidRPr="0093006A">
        <w:rPr>
          <w:color w:val="595959" w:themeColor="text1" w:themeTint="A6"/>
        </w:rPr>
        <w:t xml:space="preserve">a. </w:t>
      </w:r>
      <w:r w:rsidR="00044A26" w:rsidRPr="0093006A">
        <w:rPr>
          <w:color w:val="595959" w:themeColor="text1" w:themeTint="A6"/>
        </w:rPr>
        <w:t>NIAA is interested in stakeholders’ views on whether Indigenous-specific employment investment should target specific cohorts, transition points, regions, industries, barriers, etc.</w:t>
      </w:r>
      <w:r w:rsidR="00044A26" w:rsidRPr="0093006A">
        <w:rPr>
          <w:rStyle w:val="FootnoteReference"/>
          <w:color w:val="595959" w:themeColor="text1" w:themeTint="A6"/>
        </w:rPr>
        <w:footnoteReference w:id="14"/>
      </w:r>
    </w:p>
    <w:tbl>
      <w:tblPr>
        <w:tblStyle w:val="TableGrid"/>
        <w:tblW w:w="8963" w:type="dxa"/>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10"/>
        <w:tblDescription w:val="The ISEP design and implementation should include Indigenous Australians and communities as co-designers and partners in specific local contexts "/>
      </w:tblPr>
      <w:tblGrid>
        <w:gridCol w:w="8963"/>
      </w:tblGrid>
      <w:tr w:rsidR="0093006A" w:rsidRPr="0093006A" w14:paraId="4AC15572" w14:textId="77777777" w:rsidTr="00091525">
        <w:trPr>
          <w:cantSplit/>
          <w:trHeight w:val="317"/>
          <w:tblHeader/>
        </w:trPr>
        <w:tc>
          <w:tcPr>
            <w:tcW w:w="8963" w:type="dxa"/>
            <w:shd w:val="clear" w:color="auto" w:fill="auto"/>
          </w:tcPr>
          <w:p w14:paraId="0043F958" w14:textId="3C341EE9" w:rsidR="00AD596F" w:rsidRPr="0093006A" w:rsidRDefault="00AD596F" w:rsidP="0048465C">
            <w:pPr>
              <w:spacing w:after="120"/>
              <w:rPr>
                <w:b/>
                <w:bCs/>
                <w:i/>
                <w:iCs/>
                <w:color w:val="595959" w:themeColor="text1" w:themeTint="A6"/>
              </w:rPr>
            </w:pPr>
            <w:r w:rsidRPr="0093006A">
              <w:rPr>
                <w:b/>
                <w:bCs/>
                <w:i/>
                <w:iCs/>
                <w:color w:val="595959" w:themeColor="text1" w:themeTint="A6"/>
              </w:rPr>
              <w:t xml:space="preserve">Key </w:t>
            </w:r>
            <w:r w:rsidR="003C565D" w:rsidRPr="0093006A">
              <w:rPr>
                <w:b/>
                <w:bCs/>
                <w:i/>
                <w:iCs/>
                <w:color w:val="595959" w:themeColor="text1" w:themeTint="A6"/>
              </w:rPr>
              <w:t>I</w:t>
            </w:r>
            <w:r w:rsidRPr="0093006A">
              <w:rPr>
                <w:b/>
                <w:bCs/>
                <w:i/>
                <w:iCs/>
                <w:color w:val="595959" w:themeColor="text1" w:themeTint="A6"/>
              </w:rPr>
              <w:t>nsight</w:t>
            </w:r>
            <w:r w:rsidR="002F6D50" w:rsidRPr="0093006A">
              <w:rPr>
                <w:b/>
                <w:bCs/>
                <w:i/>
                <w:iCs/>
                <w:color w:val="595959" w:themeColor="text1" w:themeTint="A6"/>
              </w:rPr>
              <w:t xml:space="preserve"> </w:t>
            </w:r>
            <w:r w:rsidR="0027618B" w:rsidRPr="0093006A">
              <w:rPr>
                <w:b/>
                <w:bCs/>
                <w:i/>
                <w:iCs/>
                <w:color w:val="595959" w:themeColor="text1" w:themeTint="A6"/>
              </w:rPr>
              <w:t>1</w:t>
            </w:r>
            <w:r w:rsidR="007829DA" w:rsidRPr="0093006A">
              <w:rPr>
                <w:b/>
                <w:bCs/>
                <w:i/>
                <w:iCs/>
                <w:color w:val="595959" w:themeColor="text1" w:themeTint="A6"/>
              </w:rPr>
              <w:t>0</w:t>
            </w:r>
          </w:p>
        </w:tc>
      </w:tr>
      <w:tr w:rsidR="00AD596F" w:rsidRPr="0093006A" w14:paraId="153E64F7" w14:textId="77777777" w:rsidTr="00091525">
        <w:trPr>
          <w:cantSplit/>
          <w:trHeight w:val="1720"/>
          <w:tblHeader/>
        </w:trPr>
        <w:tc>
          <w:tcPr>
            <w:tcW w:w="8963" w:type="dxa"/>
          </w:tcPr>
          <w:p w14:paraId="7519A7DF" w14:textId="478DDEFE" w:rsidR="00140BFC" w:rsidRPr="0093006A" w:rsidRDefault="00140BFC" w:rsidP="00140BFC">
            <w:pPr>
              <w:spacing w:after="120"/>
              <w:textDirection w:val="btLr"/>
              <w:rPr>
                <w:b/>
                <w:bCs/>
                <w:color w:val="595959" w:themeColor="text1" w:themeTint="A6"/>
              </w:rPr>
            </w:pPr>
            <w:r w:rsidRPr="0093006A">
              <w:rPr>
                <w:b/>
                <w:bCs/>
                <w:color w:val="595959" w:themeColor="text1" w:themeTint="A6"/>
              </w:rPr>
              <w:t xml:space="preserve">The ISEP design and implementation should include Indigenous Australians and communities as co-designers and partners in specific local contexts </w:t>
            </w:r>
          </w:p>
          <w:p w14:paraId="41FCAB24" w14:textId="315FA186" w:rsidR="00AD596F" w:rsidRPr="0093006A" w:rsidRDefault="00140BFC" w:rsidP="00FF62BB">
            <w:pPr>
              <w:spacing w:after="120"/>
              <w:textDirection w:val="btLr"/>
              <w:rPr>
                <w:color w:val="595959" w:themeColor="text1" w:themeTint="A6"/>
              </w:rPr>
            </w:pPr>
            <w:r w:rsidRPr="0093006A">
              <w:rPr>
                <w:color w:val="595959" w:themeColor="text1" w:themeTint="A6"/>
              </w:rPr>
              <w:t xml:space="preserve">For the ISEP to achieve success, Indigenous Australians and organisations </w:t>
            </w:r>
            <w:r w:rsidR="009B287C" w:rsidRPr="0093006A">
              <w:rPr>
                <w:color w:val="595959" w:themeColor="text1" w:themeTint="A6"/>
              </w:rPr>
              <w:t>should</w:t>
            </w:r>
            <w:r w:rsidRPr="0093006A">
              <w:rPr>
                <w:color w:val="595959" w:themeColor="text1" w:themeTint="A6"/>
              </w:rPr>
              <w:t xml:space="preserve"> be in deep collaboration with government and decision-makers at the local level. Increased funding for ongoing service provision that recognises local and cultural contexts regarding employment, training and relationships between industry and government was considered vital by stakeholders.</w:t>
            </w:r>
          </w:p>
        </w:tc>
      </w:tr>
    </w:tbl>
    <w:p w14:paraId="14442116" w14:textId="77777777" w:rsidR="002F6D50" w:rsidRPr="0093006A" w:rsidRDefault="002F6D50" w:rsidP="00AD596F">
      <w:pPr>
        <w:spacing w:after="120"/>
        <w:rPr>
          <w:color w:val="595959" w:themeColor="text1" w:themeTint="A6"/>
        </w:rPr>
      </w:pPr>
    </w:p>
    <w:p w14:paraId="3652AB1C" w14:textId="411C831F" w:rsidR="00044A26" w:rsidRPr="0093006A" w:rsidRDefault="00044A26" w:rsidP="00AD596F">
      <w:pPr>
        <w:spacing w:after="120"/>
        <w:rPr>
          <w:color w:val="595959" w:themeColor="text1" w:themeTint="A6"/>
        </w:rPr>
      </w:pPr>
      <w:r w:rsidRPr="0093006A">
        <w:rPr>
          <w:color w:val="595959" w:themeColor="text1" w:themeTint="A6"/>
        </w:rPr>
        <w:t>Aboriginal community-controlled organisations (ACCOs), Traditional Owners and Native Title Prescribed Body Corporates (PBCs)</w:t>
      </w:r>
      <w:r w:rsidR="00800824" w:rsidRPr="0093006A">
        <w:rPr>
          <w:color w:val="595959" w:themeColor="text1" w:themeTint="A6"/>
        </w:rPr>
        <w:t xml:space="preserve">, and Local Aboriginal Land Councils (LALCs) </w:t>
      </w:r>
      <w:r w:rsidRPr="0093006A">
        <w:rPr>
          <w:color w:val="595959" w:themeColor="text1" w:themeTint="A6"/>
        </w:rPr>
        <w:t>should perform vital role as central partners with NIAA</w:t>
      </w:r>
    </w:p>
    <w:p w14:paraId="1C7B1C41" w14:textId="0A1B4D7C" w:rsidR="00044A26" w:rsidRPr="0093006A" w:rsidRDefault="00044A26" w:rsidP="00AD596F">
      <w:pPr>
        <w:spacing w:after="120"/>
        <w:rPr>
          <w:color w:val="595959" w:themeColor="text1" w:themeTint="A6"/>
          <w:vertAlign w:val="superscript"/>
        </w:rPr>
      </w:pPr>
      <w:r w:rsidRPr="0093006A">
        <w:rPr>
          <w:color w:val="595959" w:themeColor="text1" w:themeTint="A6"/>
        </w:rPr>
        <w:t xml:space="preserve">In reply to all Discussion Questions asked by NIAA, most written respondents highlighted the need for </w:t>
      </w:r>
      <w:r w:rsidR="00BB5B00" w:rsidRPr="0093006A">
        <w:rPr>
          <w:color w:val="595959" w:themeColor="text1" w:themeTint="A6"/>
        </w:rPr>
        <w:t xml:space="preserve">the </w:t>
      </w:r>
      <w:r w:rsidRPr="0093006A">
        <w:rPr>
          <w:color w:val="595959" w:themeColor="text1" w:themeTint="A6"/>
        </w:rPr>
        <w:t xml:space="preserve">ISEP to position Aboriginal community-controlled organisations (ACCOs), </w:t>
      </w:r>
      <w:r w:rsidR="005D24BE" w:rsidRPr="0093006A">
        <w:rPr>
          <w:color w:val="595959" w:themeColor="text1" w:themeTint="A6"/>
        </w:rPr>
        <w:t xml:space="preserve">Aboriginal community-controlled health organisations (ACCHOs), </w:t>
      </w:r>
      <w:r w:rsidRPr="0093006A">
        <w:rPr>
          <w:color w:val="595959" w:themeColor="text1" w:themeTint="A6"/>
        </w:rPr>
        <w:t>Traditional Owners</w:t>
      </w:r>
      <w:r w:rsidR="0044365E" w:rsidRPr="0093006A">
        <w:rPr>
          <w:color w:val="595959" w:themeColor="text1" w:themeTint="A6"/>
        </w:rPr>
        <w:t xml:space="preserve">, </w:t>
      </w:r>
      <w:r w:rsidRPr="0093006A">
        <w:rPr>
          <w:color w:val="595959" w:themeColor="text1" w:themeTint="A6"/>
        </w:rPr>
        <w:t>Native Title Prescribed Bod</w:t>
      </w:r>
      <w:r w:rsidR="00E74FD3" w:rsidRPr="0093006A">
        <w:rPr>
          <w:color w:val="595959" w:themeColor="text1" w:themeTint="A6"/>
        </w:rPr>
        <w:t>ies</w:t>
      </w:r>
      <w:r w:rsidRPr="0093006A">
        <w:rPr>
          <w:color w:val="595959" w:themeColor="text1" w:themeTint="A6"/>
        </w:rPr>
        <w:t xml:space="preserve"> Corporate (PBCs) and the Indigenous Sector to be central co-designers and partners in policy development, establishment, and evaluation process</w:t>
      </w:r>
      <w:r w:rsidR="00E74FD3" w:rsidRPr="0093006A">
        <w:rPr>
          <w:color w:val="595959" w:themeColor="text1" w:themeTint="A6"/>
        </w:rPr>
        <w:t>es</w:t>
      </w:r>
      <w:r w:rsidRPr="0093006A">
        <w:rPr>
          <w:color w:val="595959" w:themeColor="text1" w:themeTint="A6"/>
        </w:rPr>
        <w:t>.</w:t>
      </w:r>
      <w:r w:rsidRPr="0093006A">
        <w:rPr>
          <w:rStyle w:val="FootnoteReference"/>
          <w:color w:val="595959" w:themeColor="text1" w:themeTint="A6"/>
        </w:rPr>
        <w:footnoteReference w:id="15"/>
      </w:r>
      <w:r w:rsidRPr="0093006A">
        <w:rPr>
          <w:color w:val="595959" w:themeColor="text1" w:themeTint="A6"/>
          <w:vertAlign w:val="superscript"/>
        </w:rPr>
        <w:t>,</w:t>
      </w:r>
      <w:r w:rsidRPr="0093006A">
        <w:rPr>
          <w:rStyle w:val="FootnoteReference"/>
          <w:color w:val="595959" w:themeColor="text1" w:themeTint="A6"/>
        </w:rPr>
        <w:footnoteReference w:id="16"/>
      </w:r>
      <w:r w:rsidRPr="0093006A">
        <w:rPr>
          <w:color w:val="595959" w:themeColor="text1" w:themeTint="A6"/>
          <w:vertAlign w:val="superscript"/>
        </w:rPr>
        <w:t>,</w:t>
      </w:r>
      <w:r w:rsidRPr="0093006A">
        <w:rPr>
          <w:rStyle w:val="FootnoteReference"/>
          <w:color w:val="595959" w:themeColor="text1" w:themeTint="A6"/>
        </w:rPr>
        <w:footnoteReference w:id="17"/>
      </w:r>
      <w:r w:rsidRPr="0093006A">
        <w:rPr>
          <w:color w:val="595959" w:themeColor="text1" w:themeTint="A6"/>
          <w:vertAlign w:val="superscript"/>
        </w:rPr>
        <w:t>,</w:t>
      </w:r>
      <w:r w:rsidRPr="0093006A">
        <w:rPr>
          <w:rStyle w:val="FootnoteReference"/>
          <w:color w:val="595959" w:themeColor="text1" w:themeTint="A6"/>
        </w:rPr>
        <w:footnoteReference w:id="18"/>
      </w:r>
      <w:r w:rsidR="00800824" w:rsidRPr="0093006A">
        <w:rPr>
          <w:color w:val="595959" w:themeColor="text1" w:themeTint="A6"/>
          <w:vertAlign w:val="superscript"/>
        </w:rPr>
        <w:t>,</w:t>
      </w:r>
      <w:r w:rsidR="00800824" w:rsidRPr="0093006A">
        <w:rPr>
          <w:rStyle w:val="FootnoteReference"/>
          <w:color w:val="595959" w:themeColor="text1" w:themeTint="A6"/>
        </w:rPr>
        <w:footnoteReference w:id="19"/>
      </w:r>
      <w:r w:rsidR="00800824" w:rsidRPr="0093006A">
        <w:rPr>
          <w:color w:val="595959" w:themeColor="text1" w:themeTint="A6"/>
          <w:vertAlign w:val="superscript"/>
        </w:rPr>
        <w:t>,</w:t>
      </w:r>
      <w:r w:rsidR="00800824" w:rsidRPr="0093006A">
        <w:rPr>
          <w:rStyle w:val="FootnoteReference"/>
          <w:color w:val="595959" w:themeColor="text1" w:themeTint="A6"/>
        </w:rPr>
        <w:footnoteReference w:id="20"/>
      </w:r>
      <w:r w:rsidRPr="0093006A">
        <w:rPr>
          <w:color w:val="595959" w:themeColor="text1" w:themeTint="A6"/>
          <w:vertAlign w:val="superscript"/>
        </w:rPr>
        <w:t xml:space="preserve">  </w:t>
      </w:r>
      <w:r w:rsidRPr="0093006A">
        <w:rPr>
          <w:color w:val="595959" w:themeColor="text1" w:themeTint="A6"/>
        </w:rPr>
        <w:t>Respondents stated that ACCOs – and Indigenous-owned and -controlled employment services specifically – have the capacity to provide place-based and culturally-specific training, education, and employment strategies within their communities</w:t>
      </w:r>
      <w:r w:rsidR="00800824" w:rsidRPr="0093006A">
        <w:rPr>
          <w:color w:val="595959" w:themeColor="text1" w:themeTint="A6"/>
        </w:rPr>
        <w:t>.</w:t>
      </w:r>
      <w:r w:rsidRPr="0093006A">
        <w:rPr>
          <w:color w:val="595959" w:themeColor="text1" w:themeTint="A6"/>
        </w:rPr>
        <w:t xml:space="preserve"> </w:t>
      </w:r>
      <w:r w:rsidR="00800824" w:rsidRPr="0093006A">
        <w:rPr>
          <w:color w:val="595959" w:themeColor="text1" w:themeTint="A6"/>
        </w:rPr>
        <w:t xml:space="preserve">Respondents argued that ACCOs receiving funding through the ISEP </w:t>
      </w:r>
      <w:r w:rsidRPr="0093006A">
        <w:rPr>
          <w:color w:val="595959" w:themeColor="text1" w:themeTint="A6"/>
        </w:rPr>
        <w:t>require further flexible long-term funding (minimum 5-10 years) to ensure their sustainability to do so</w:t>
      </w:r>
      <w:r w:rsidR="0044365E" w:rsidRPr="0093006A">
        <w:rPr>
          <w:color w:val="595959" w:themeColor="text1" w:themeTint="A6"/>
        </w:rPr>
        <w:t>. The</w:t>
      </w:r>
      <w:r w:rsidRPr="0093006A">
        <w:rPr>
          <w:color w:val="595959" w:themeColor="text1" w:themeTint="A6"/>
        </w:rPr>
        <w:t xml:space="preserve"> ISEP was described as a key way to achieve such an outcome.</w:t>
      </w:r>
      <w:r w:rsidRPr="0093006A">
        <w:rPr>
          <w:rStyle w:val="FootnoteReference"/>
          <w:color w:val="595959" w:themeColor="text1" w:themeTint="A6"/>
        </w:rPr>
        <w:footnoteReference w:id="21"/>
      </w:r>
      <w:r w:rsidRPr="0093006A">
        <w:rPr>
          <w:color w:val="595959" w:themeColor="text1" w:themeTint="A6"/>
          <w:vertAlign w:val="superscript"/>
        </w:rPr>
        <w:t>,</w:t>
      </w:r>
      <w:r w:rsidRPr="0093006A">
        <w:rPr>
          <w:rStyle w:val="FootnoteReference"/>
          <w:color w:val="595959" w:themeColor="text1" w:themeTint="A6"/>
        </w:rPr>
        <w:footnoteReference w:id="22"/>
      </w:r>
      <w:r w:rsidRPr="0093006A">
        <w:rPr>
          <w:color w:val="595959" w:themeColor="text1" w:themeTint="A6"/>
          <w:vertAlign w:val="superscript"/>
        </w:rPr>
        <w:t>,</w:t>
      </w:r>
      <w:r w:rsidRPr="0093006A">
        <w:rPr>
          <w:rStyle w:val="FootnoteReference"/>
          <w:color w:val="595959" w:themeColor="text1" w:themeTint="A6"/>
        </w:rPr>
        <w:footnoteReference w:id="23"/>
      </w:r>
      <w:r w:rsidRPr="0093006A">
        <w:rPr>
          <w:color w:val="595959" w:themeColor="text1" w:themeTint="A6"/>
          <w:vertAlign w:val="superscript"/>
        </w:rPr>
        <w:t>,</w:t>
      </w:r>
      <w:r w:rsidRPr="0093006A">
        <w:rPr>
          <w:rStyle w:val="FootnoteReference"/>
          <w:color w:val="595959" w:themeColor="text1" w:themeTint="A6"/>
        </w:rPr>
        <w:footnoteReference w:id="24"/>
      </w:r>
      <w:r w:rsidRPr="0093006A">
        <w:rPr>
          <w:color w:val="595959" w:themeColor="text1" w:themeTint="A6"/>
          <w:vertAlign w:val="superscript"/>
        </w:rPr>
        <w:t>,</w:t>
      </w:r>
      <w:r w:rsidRPr="0093006A">
        <w:rPr>
          <w:rStyle w:val="FootnoteReference"/>
          <w:color w:val="595959" w:themeColor="text1" w:themeTint="A6"/>
        </w:rPr>
        <w:footnoteReference w:id="25"/>
      </w:r>
      <w:r w:rsidR="005D24BE" w:rsidRPr="0093006A">
        <w:rPr>
          <w:color w:val="595959" w:themeColor="text1" w:themeTint="A6"/>
          <w:vertAlign w:val="superscript"/>
        </w:rPr>
        <w:t>,</w:t>
      </w:r>
      <w:r w:rsidR="005D24BE" w:rsidRPr="0093006A">
        <w:rPr>
          <w:rStyle w:val="FootnoteReference"/>
          <w:color w:val="595959" w:themeColor="text1" w:themeTint="A6"/>
        </w:rPr>
        <w:footnoteReference w:id="26"/>
      </w:r>
      <w:r w:rsidR="00800824" w:rsidRPr="0093006A">
        <w:rPr>
          <w:color w:val="595959" w:themeColor="text1" w:themeTint="A6"/>
          <w:vertAlign w:val="superscript"/>
        </w:rPr>
        <w:t>,</w:t>
      </w:r>
      <w:r w:rsidR="00800824" w:rsidRPr="0093006A">
        <w:rPr>
          <w:rStyle w:val="FootnoteReference"/>
          <w:color w:val="595959" w:themeColor="text1" w:themeTint="A6"/>
        </w:rPr>
        <w:footnoteReference w:id="27"/>
      </w:r>
      <w:r w:rsidR="00800824" w:rsidRPr="0093006A">
        <w:rPr>
          <w:color w:val="595959" w:themeColor="text1" w:themeTint="A6"/>
          <w:vertAlign w:val="superscript"/>
        </w:rPr>
        <w:t>,</w:t>
      </w:r>
      <w:r w:rsidR="00800824" w:rsidRPr="0093006A">
        <w:rPr>
          <w:rStyle w:val="FootnoteReference"/>
          <w:color w:val="595959" w:themeColor="text1" w:themeTint="A6"/>
        </w:rPr>
        <w:footnoteReference w:id="28"/>
      </w:r>
      <w:r w:rsidRPr="0093006A">
        <w:rPr>
          <w:color w:val="595959" w:themeColor="text1" w:themeTint="A6"/>
          <w:vertAlign w:val="superscript"/>
        </w:rPr>
        <w:t xml:space="preserve"> </w:t>
      </w:r>
    </w:p>
    <w:p w14:paraId="39F79D3D" w14:textId="474279F4" w:rsidR="0044365E" w:rsidRPr="0093006A" w:rsidRDefault="00044A26" w:rsidP="00AD596F">
      <w:pPr>
        <w:spacing w:after="120"/>
        <w:rPr>
          <w:color w:val="595959" w:themeColor="text1" w:themeTint="A6"/>
        </w:rPr>
      </w:pPr>
      <w:r w:rsidRPr="0093006A">
        <w:rPr>
          <w:color w:val="595959" w:themeColor="text1" w:themeTint="A6"/>
        </w:rPr>
        <w:t>A key priority for</w:t>
      </w:r>
      <w:r w:rsidR="0044365E" w:rsidRPr="0093006A">
        <w:rPr>
          <w:color w:val="595959" w:themeColor="text1" w:themeTint="A6"/>
        </w:rPr>
        <w:t xml:space="preserve"> the</w:t>
      </w:r>
      <w:r w:rsidRPr="0093006A">
        <w:rPr>
          <w:color w:val="595959" w:themeColor="text1" w:themeTint="A6"/>
        </w:rPr>
        <w:t xml:space="preserve"> ISEP in this context was for community-led identification of employment opportunities and decision making that would result in collaboration and co-design for </w:t>
      </w:r>
      <w:r w:rsidR="0044365E" w:rsidRPr="0093006A">
        <w:rPr>
          <w:color w:val="595959" w:themeColor="text1" w:themeTint="A6"/>
        </w:rPr>
        <w:t xml:space="preserve">the </w:t>
      </w:r>
      <w:r w:rsidRPr="0093006A">
        <w:rPr>
          <w:color w:val="595959" w:themeColor="text1" w:themeTint="A6"/>
        </w:rPr>
        <w:t>future regarding Indigenous-specific employment programs.</w:t>
      </w:r>
      <w:r w:rsidRPr="0093006A">
        <w:rPr>
          <w:rStyle w:val="FootnoteReference"/>
          <w:color w:val="595959" w:themeColor="text1" w:themeTint="A6"/>
        </w:rPr>
        <w:footnoteReference w:id="29"/>
      </w:r>
      <w:r w:rsidRPr="0093006A">
        <w:rPr>
          <w:color w:val="595959" w:themeColor="text1" w:themeTint="A6"/>
          <w:vertAlign w:val="superscript"/>
        </w:rPr>
        <w:t>,</w:t>
      </w:r>
      <w:r w:rsidRPr="0093006A">
        <w:rPr>
          <w:rStyle w:val="FootnoteReference"/>
          <w:color w:val="595959" w:themeColor="text1" w:themeTint="A6"/>
        </w:rPr>
        <w:footnoteReference w:id="30"/>
      </w:r>
      <w:r w:rsidRPr="0093006A">
        <w:rPr>
          <w:color w:val="595959" w:themeColor="text1" w:themeTint="A6"/>
          <w:vertAlign w:val="superscript"/>
        </w:rPr>
        <w:t>,</w:t>
      </w:r>
      <w:r w:rsidRPr="0093006A">
        <w:rPr>
          <w:rStyle w:val="FootnoteReference"/>
          <w:color w:val="595959" w:themeColor="text1" w:themeTint="A6"/>
        </w:rPr>
        <w:footnoteReference w:id="31"/>
      </w:r>
      <w:r w:rsidRPr="0093006A">
        <w:rPr>
          <w:color w:val="595959" w:themeColor="text1" w:themeTint="A6"/>
          <w:vertAlign w:val="superscript"/>
        </w:rPr>
        <w:t>,</w:t>
      </w:r>
      <w:r w:rsidRPr="0093006A">
        <w:rPr>
          <w:rStyle w:val="FootnoteReference"/>
          <w:color w:val="595959" w:themeColor="text1" w:themeTint="A6"/>
        </w:rPr>
        <w:footnoteReference w:id="32"/>
      </w:r>
      <w:r w:rsidR="005D24BE" w:rsidRPr="0093006A">
        <w:rPr>
          <w:color w:val="595959" w:themeColor="text1" w:themeTint="A6"/>
          <w:vertAlign w:val="superscript"/>
        </w:rPr>
        <w:t>,</w:t>
      </w:r>
      <w:r w:rsidR="005D24BE" w:rsidRPr="0093006A">
        <w:rPr>
          <w:rStyle w:val="FootnoteReference"/>
          <w:color w:val="595959" w:themeColor="text1" w:themeTint="A6"/>
        </w:rPr>
        <w:footnoteReference w:id="33"/>
      </w:r>
      <w:r w:rsidR="00800824" w:rsidRPr="0093006A">
        <w:rPr>
          <w:color w:val="595959" w:themeColor="text1" w:themeTint="A6"/>
          <w:vertAlign w:val="superscript"/>
        </w:rPr>
        <w:t>,</w:t>
      </w:r>
      <w:r w:rsidR="00800824" w:rsidRPr="0093006A">
        <w:rPr>
          <w:rStyle w:val="FootnoteReference"/>
          <w:color w:val="595959" w:themeColor="text1" w:themeTint="A6"/>
        </w:rPr>
        <w:footnoteReference w:id="34"/>
      </w:r>
      <w:r w:rsidRPr="0093006A">
        <w:rPr>
          <w:color w:val="595959" w:themeColor="text1" w:themeTint="A6"/>
        </w:rPr>
        <w:t xml:space="preserve"> </w:t>
      </w:r>
    </w:p>
    <w:p w14:paraId="6B580CC4" w14:textId="77777777" w:rsidR="0044365E" w:rsidRPr="0093006A" w:rsidRDefault="00044A26" w:rsidP="00AD596F">
      <w:pPr>
        <w:spacing w:after="120"/>
        <w:rPr>
          <w:color w:val="595959" w:themeColor="text1" w:themeTint="A6"/>
        </w:rPr>
      </w:pPr>
      <w:r w:rsidRPr="0093006A">
        <w:rPr>
          <w:color w:val="595959" w:themeColor="text1" w:themeTint="A6"/>
        </w:rPr>
        <w:t>Several written responses detailed how doing so would make the ISEP consistent with the policy context of the</w:t>
      </w:r>
      <w:r w:rsidR="0044365E" w:rsidRPr="0093006A">
        <w:rPr>
          <w:color w:val="595959" w:themeColor="text1" w:themeTint="A6"/>
        </w:rPr>
        <w:t xml:space="preserve"> following:</w:t>
      </w:r>
    </w:p>
    <w:p w14:paraId="2BEEB2B7" w14:textId="3B2E7762" w:rsidR="0044365E" w:rsidRPr="0093006A" w:rsidRDefault="00044A26" w:rsidP="0048465C">
      <w:pPr>
        <w:pStyle w:val="ListParagraph"/>
        <w:numPr>
          <w:ilvl w:val="0"/>
          <w:numId w:val="20"/>
        </w:numPr>
        <w:spacing w:after="120"/>
        <w:rPr>
          <w:color w:val="595959" w:themeColor="text1" w:themeTint="A6"/>
        </w:rPr>
      </w:pPr>
      <w:r w:rsidRPr="0093006A">
        <w:rPr>
          <w:i/>
          <w:iCs/>
          <w:color w:val="595959" w:themeColor="text1" w:themeTint="A6"/>
        </w:rPr>
        <w:t>National Agreement on Closing the Gap</w:t>
      </w:r>
      <w:r w:rsidRPr="0093006A">
        <w:rPr>
          <w:color w:val="595959" w:themeColor="text1" w:themeTint="A6"/>
        </w:rPr>
        <w:t xml:space="preserve"> (the National Agreement) and its </w:t>
      </w:r>
      <w:r w:rsidR="00800824" w:rsidRPr="0093006A">
        <w:rPr>
          <w:color w:val="595959" w:themeColor="text1" w:themeTint="A6"/>
        </w:rPr>
        <w:t xml:space="preserve">four </w:t>
      </w:r>
      <w:r w:rsidRPr="0093006A">
        <w:rPr>
          <w:color w:val="595959" w:themeColor="text1" w:themeTint="A6"/>
        </w:rPr>
        <w:t>Priority Reforms</w:t>
      </w:r>
      <w:r w:rsidR="00800824" w:rsidRPr="0093006A">
        <w:rPr>
          <w:color w:val="595959" w:themeColor="text1" w:themeTint="A6"/>
        </w:rPr>
        <w:t xml:space="preserve">: formal partnerships and shared </w:t>
      </w:r>
      <w:r w:rsidRPr="0093006A">
        <w:rPr>
          <w:color w:val="595959" w:themeColor="text1" w:themeTint="A6"/>
        </w:rPr>
        <w:t>decision making,</w:t>
      </w:r>
      <w:r w:rsidR="005D24BE" w:rsidRPr="0093006A">
        <w:rPr>
          <w:color w:val="595959" w:themeColor="text1" w:themeTint="A6"/>
        </w:rPr>
        <w:t xml:space="preserve"> </w:t>
      </w:r>
      <w:r w:rsidR="00800824" w:rsidRPr="0093006A">
        <w:rPr>
          <w:color w:val="595959" w:themeColor="text1" w:themeTint="A6"/>
        </w:rPr>
        <w:t>to build the community-controlled sector, transform government organisations, and to share access to data and information at a regional level</w:t>
      </w:r>
      <w:r w:rsidR="00800824" w:rsidRPr="0093006A">
        <w:rPr>
          <w:rStyle w:val="FootnoteReference"/>
          <w:color w:val="595959" w:themeColor="text1" w:themeTint="A6"/>
        </w:rPr>
        <w:footnoteReference w:id="35"/>
      </w:r>
      <w:r w:rsidR="00800824" w:rsidRPr="0093006A">
        <w:rPr>
          <w:color w:val="595959" w:themeColor="text1" w:themeTint="A6"/>
          <w:vertAlign w:val="superscript"/>
        </w:rPr>
        <w:t>,</w:t>
      </w:r>
      <w:r w:rsidR="00800824" w:rsidRPr="0093006A">
        <w:rPr>
          <w:rStyle w:val="FootnoteReference"/>
          <w:color w:val="595959" w:themeColor="text1" w:themeTint="A6"/>
        </w:rPr>
        <w:footnoteReference w:id="36"/>
      </w:r>
      <w:r w:rsidR="00800824" w:rsidRPr="0093006A">
        <w:rPr>
          <w:color w:val="595959" w:themeColor="text1" w:themeTint="A6"/>
          <w:vertAlign w:val="superscript"/>
        </w:rPr>
        <w:t>,</w:t>
      </w:r>
      <w:r w:rsidR="00800824" w:rsidRPr="0093006A">
        <w:rPr>
          <w:rStyle w:val="FootnoteReference"/>
          <w:color w:val="595959" w:themeColor="text1" w:themeTint="A6"/>
        </w:rPr>
        <w:footnoteReference w:id="37"/>
      </w:r>
      <w:r w:rsidR="00800824" w:rsidRPr="0093006A">
        <w:rPr>
          <w:color w:val="595959" w:themeColor="text1" w:themeTint="A6"/>
          <w:vertAlign w:val="superscript"/>
        </w:rPr>
        <w:t>,</w:t>
      </w:r>
      <w:r w:rsidR="00800824" w:rsidRPr="0093006A">
        <w:rPr>
          <w:rStyle w:val="FootnoteReference"/>
          <w:color w:val="595959" w:themeColor="text1" w:themeTint="A6"/>
        </w:rPr>
        <w:footnoteReference w:id="38"/>
      </w:r>
    </w:p>
    <w:p w14:paraId="7F4AE587" w14:textId="19019245" w:rsidR="0044365E" w:rsidRPr="0093006A" w:rsidRDefault="00044A26" w:rsidP="003769B7">
      <w:pPr>
        <w:pStyle w:val="ListParagraph"/>
        <w:numPr>
          <w:ilvl w:val="0"/>
          <w:numId w:val="20"/>
        </w:numPr>
        <w:spacing w:after="120"/>
        <w:rPr>
          <w:color w:val="595959" w:themeColor="text1" w:themeTint="A6"/>
        </w:rPr>
      </w:pPr>
      <w:r w:rsidRPr="0093006A">
        <w:rPr>
          <w:color w:val="595959" w:themeColor="text1" w:themeTint="A6"/>
        </w:rPr>
        <w:t xml:space="preserve">the </w:t>
      </w:r>
      <w:r w:rsidRPr="0093006A">
        <w:rPr>
          <w:i/>
          <w:iCs/>
          <w:color w:val="595959" w:themeColor="text1" w:themeTint="A6"/>
        </w:rPr>
        <w:t xml:space="preserve">United Nations Declaration on the Rights of Indigenous Peoples </w:t>
      </w:r>
      <w:r w:rsidRPr="0093006A">
        <w:rPr>
          <w:color w:val="595959" w:themeColor="text1" w:themeTint="A6"/>
        </w:rPr>
        <w:t xml:space="preserve">(UNDRIP) (Articles 5, 21, 23, &amp; 32), the latter of which outlines the existing rights of </w:t>
      </w:r>
      <w:r w:rsidR="00800824" w:rsidRPr="0093006A">
        <w:rPr>
          <w:color w:val="595959" w:themeColor="text1" w:themeTint="A6"/>
        </w:rPr>
        <w:t xml:space="preserve">Aboriginal and Torres Strait Islander peoples </w:t>
      </w:r>
      <w:r w:rsidRPr="0093006A">
        <w:rPr>
          <w:color w:val="595959" w:themeColor="text1" w:themeTint="A6"/>
        </w:rPr>
        <w:t>to facilitate Indigenous economic development, priorities, and strategies on Indigenous terms.</w:t>
      </w:r>
      <w:r w:rsidRPr="0093006A">
        <w:rPr>
          <w:rStyle w:val="FootnoteReference"/>
          <w:color w:val="595959" w:themeColor="text1" w:themeTint="A6"/>
        </w:rPr>
        <w:footnoteReference w:id="39"/>
      </w:r>
      <w:r w:rsidR="005D24BE" w:rsidRPr="0093006A">
        <w:rPr>
          <w:color w:val="595959" w:themeColor="text1" w:themeTint="A6"/>
          <w:vertAlign w:val="superscript"/>
        </w:rPr>
        <w:t>,</w:t>
      </w:r>
      <w:r w:rsidR="005D24BE" w:rsidRPr="0093006A">
        <w:rPr>
          <w:rStyle w:val="FootnoteReference"/>
          <w:color w:val="595959" w:themeColor="text1" w:themeTint="A6"/>
        </w:rPr>
        <w:footnoteReference w:id="40"/>
      </w:r>
      <w:r w:rsidR="00800824" w:rsidRPr="0093006A">
        <w:rPr>
          <w:color w:val="595959" w:themeColor="text1" w:themeTint="A6"/>
          <w:vertAlign w:val="superscript"/>
        </w:rPr>
        <w:t>,</w:t>
      </w:r>
      <w:r w:rsidR="00800824" w:rsidRPr="0093006A">
        <w:rPr>
          <w:rStyle w:val="FootnoteReference"/>
          <w:color w:val="595959" w:themeColor="text1" w:themeTint="A6"/>
        </w:rPr>
        <w:footnoteReference w:id="41"/>
      </w:r>
      <w:r w:rsidRPr="0093006A">
        <w:rPr>
          <w:color w:val="595959" w:themeColor="text1" w:themeTint="A6"/>
        </w:rPr>
        <w:t xml:space="preserve"> </w:t>
      </w:r>
    </w:p>
    <w:p w14:paraId="77545E15" w14:textId="14CC245D" w:rsidR="00044A26" w:rsidRPr="0093006A" w:rsidRDefault="00800824" w:rsidP="00AD596F">
      <w:pPr>
        <w:spacing w:after="120"/>
        <w:rPr>
          <w:color w:val="595959" w:themeColor="text1" w:themeTint="A6"/>
        </w:rPr>
      </w:pPr>
      <w:r w:rsidRPr="0093006A">
        <w:rPr>
          <w:color w:val="595959" w:themeColor="text1" w:themeTint="A6"/>
        </w:rPr>
        <w:t>Therefore, community support for the ISEP and its initiatives, as several respondents argued throughout their replies to these Discussion Questions, will result from co-design and collaboration with ACCOs, Traditional Owners, PBCs, LALCs, and non-Indigenous service providers within this policy context</w:t>
      </w:r>
      <w:r w:rsidR="00044A26" w:rsidRPr="0093006A">
        <w:rPr>
          <w:color w:val="595959" w:themeColor="text1" w:themeTint="A6"/>
        </w:rPr>
        <w:t>.</w:t>
      </w:r>
      <w:r w:rsidR="00044A26" w:rsidRPr="0093006A">
        <w:rPr>
          <w:rStyle w:val="FootnoteReference"/>
          <w:color w:val="595959" w:themeColor="text1" w:themeTint="A6"/>
        </w:rPr>
        <w:footnoteReference w:id="42"/>
      </w:r>
      <w:r w:rsidR="00044A26" w:rsidRPr="0093006A">
        <w:rPr>
          <w:color w:val="595959" w:themeColor="text1" w:themeTint="A6"/>
          <w:vertAlign w:val="superscript"/>
        </w:rPr>
        <w:t>,</w:t>
      </w:r>
      <w:r w:rsidR="00044A26" w:rsidRPr="0093006A">
        <w:rPr>
          <w:rStyle w:val="FootnoteReference"/>
          <w:color w:val="595959" w:themeColor="text1" w:themeTint="A6"/>
        </w:rPr>
        <w:footnoteReference w:id="43"/>
      </w:r>
      <w:r w:rsidR="00044A26" w:rsidRPr="0093006A">
        <w:rPr>
          <w:color w:val="595959" w:themeColor="text1" w:themeTint="A6"/>
          <w:vertAlign w:val="superscript"/>
        </w:rPr>
        <w:t>,</w:t>
      </w:r>
      <w:r w:rsidR="00044A26" w:rsidRPr="0093006A">
        <w:rPr>
          <w:rStyle w:val="FootnoteReference"/>
          <w:color w:val="595959" w:themeColor="text1" w:themeTint="A6"/>
        </w:rPr>
        <w:footnoteReference w:id="44"/>
      </w:r>
      <w:r w:rsidR="00044A26" w:rsidRPr="0093006A">
        <w:rPr>
          <w:color w:val="595959" w:themeColor="text1" w:themeTint="A6"/>
          <w:vertAlign w:val="superscript"/>
        </w:rPr>
        <w:t>,</w:t>
      </w:r>
      <w:r w:rsidR="00044A26" w:rsidRPr="0093006A">
        <w:rPr>
          <w:rStyle w:val="FootnoteReference"/>
          <w:color w:val="595959" w:themeColor="text1" w:themeTint="A6"/>
        </w:rPr>
        <w:footnoteReference w:id="45"/>
      </w:r>
      <w:r w:rsidR="00044A26" w:rsidRPr="0093006A">
        <w:rPr>
          <w:color w:val="595959" w:themeColor="text1" w:themeTint="A6"/>
        </w:rPr>
        <w:t xml:space="preserve"> </w:t>
      </w:r>
    </w:p>
    <w:p w14:paraId="388A0E3C" w14:textId="74E6779D" w:rsidR="00044A26" w:rsidRPr="0093006A" w:rsidRDefault="00044A26" w:rsidP="00AD596F">
      <w:pPr>
        <w:spacing w:after="120"/>
        <w:rPr>
          <w:color w:val="595959" w:themeColor="text1" w:themeTint="A6"/>
        </w:rPr>
      </w:pPr>
      <w:r w:rsidRPr="0093006A">
        <w:rPr>
          <w:color w:val="595959" w:themeColor="text1" w:themeTint="A6"/>
        </w:rPr>
        <w:t xml:space="preserve">The value and potential of </w:t>
      </w:r>
      <w:r w:rsidR="00E56EEB" w:rsidRPr="0093006A">
        <w:rPr>
          <w:color w:val="595959" w:themeColor="text1" w:themeTint="A6"/>
        </w:rPr>
        <w:t>Indigenous</w:t>
      </w:r>
      <w:r w:rsidRPr="0093006A">
        <w:rPr>
          <w:color w:val="595959" w:themeColor="text1" w:themeTint="A6"/>
        </w:rPr>
        <w:t xml:space="preserve"> employees to employers should be front and centre in the ISEP</w:t>
      </w:r>
    </w:p>
    <w:p w14:paraId="2350F0A3" w14:textId="547844E5" w:rsidR="00044A26" w:rsidRPr="0093006A" w:rsidRDefault="00044A26" w:rsidP="00AD596F">
      <w:pPr>
        <w:spacing w:after="120"/>
        <w:contextualSpacing/>
        <w:rPr>
          <w:color w:val="595959" w:themeColor="text1" w:themeTint="A6"/>
          <w:vertAlign w:val="superscript"/>
        </w:rPr>
      </w:pPr>
      <w:r w:rsidRPr="0093006A">
        <w:rPr>
          <w:color w:val="595959" w:themeColor="text1" w:themeTint="A6"/>
        </w:rPr>
        <w:t xml:space="preserve">Several respondents </w:t>
      </w:r>
      <w:r w:rsidR="0044365E" w:rsidRPr="0093006A">
        <w:rPr>
          <w:color w:val="595959" w:themeColor="text1" w:themeTint="A6"/>
        </w:rPr>
        <w:t xml:space="preserve">propose </w:t>
      </w:r>
      <w:r w:rsidRPr="0093006A">
        <w:rPr>
          <w:color w:val="595959" w:themeColor="text1" w:themeTint="A6"/>
        </w:rPr>
        <w:t>that NIAA could also</w:t>
      </w:r>
      <w:r w:rsidR="00E56EEB" w:rsidRPr="0093006A">
        <w:rPr>
          <w:color w:val="595959" w:themeColor="text1" w:themeTint="A6"/>
        </w:rPr>
        <w:t xml:space="preserve"> </w:t>
      </w:r>
      <w:r w:rsidRPr="0093006A">
        <w:rPr>
          <w:color w:val="595959" w:themeColor="text1" w:themeTint="A6"/>
        </w:rPr>
        <w:t>encourage and incentivise non-Indigenous employers – from small to large business</w:t>
      </w:r>
      <w:r w:rsidR="00E74FD3" w:rsidRPr="0093006A">
        <w:rPr>
          <w:color w:val="595959" w:themeColor="text1" w:themeTint="A6"/>
        </w:rPr>
        <w:t>es</w:t>
      </w:r>
      <w:r w:rsidRPr="0093006A">
        <w:rPr>
          <w:color w:val="595959" w:themeColor="text1" w:themeTint="A6"/>
        </w:rPr>
        <w:t xml:space="preserve"> – to recognise the value and potential of employing </w:t>
      </w:r>
      <w:r w:rsidR="0044365E" w:rsidRPr="0093006A">
        <w:rPr>
          <w:color w:val="595959" w:themeColor="text1" w:themeTint="A6"/>
        </w:rPr>
        <w:t>Indigenous</w:t>
      </w:r>
      <w:r w:rsidRPr="0093006A">
        <w:rPr>
          <w:color w:val="595959" w:themeColor="text1" w:themeTint="A6"/>
        </w:rPr>
        <w:t xml:space="preserve"> </w:t>
      </w:r>
      <w:r w:rsidR="00800824" w:rsidRPr="0093006A">
        <w:rPr>
          <w:color w:val="595959" w:themeColor="text1" w:themeTint="A6"/>
        </w:rPr>
        <w:t xml:space="preserve">Australians </w:t>
      </w:r>
      <w:r w:rsidRPr="0093006A">
        <w:rPr>
          <w:color w:val="595959" w:themeColor="text1" w:themeTint="A6"/>
        </w:rPr>
        <w:t xml:space="preserve">and supporting Indigenous-specific employment programs through a strength-based </w:t>
      </w:r>
      <w:r w:rsidR="00E74FD3" w:rsidRPr="0093006A">
        <w:rPr>
          <w:color w:val="595959" w:themeColor="text1" w:themeTint="A6"/>
        </w:rPr>
        <w:t>approach</w:t>
      </w:r>
      <w:r w:rsidRPr="0093006A">
        <w:rPr>
          <w:color w:val="595959" w:themeColor="text1" w:themeTint="A6"/>
        </w:rPr>
        <w:t>.</w:t>
      </w:r>
      <w:r w:rsidRPr="0093006A">
        <w:rPr>
          <w:rStyle w:val="FootnoteReference"/>
          <w:color w:val="595959" w:themeColor="text1" w:themeTint="A6"/>
        </w:rPr>
        <w:footnoteReference w:id="46"/>
      </w:r>
      <w:r w:rsidRPr="0093006A">
        <w:rPr>
          <w:color w:val="595959" w:themeColor="text1" w:themeTint="A6"/>
          <w:vertAlign w:val="superscript"/>
        </w:rPr>
        <w:t>,</w:t>
      </w:r>
      <w:r w:rsidRPr="0093006A">
        <w:rPr>
          <w:rStyle w:val="FootnoteReference"/>
          <w:color w:val="595959" w:themeColor="text1" w:themeTint="A6"/>
        </w:rPr>
        <w:footnoteReference w:id="47"/>
      </w:r>
      <w:r w:rsidRPr="0093006A">
        <w:rPr>
          <w:color w:val="595959" w:themeColor="text1" w:themeTint="A6"/>
          <w:vertAlign w:val="superscript"/>
        </w:rPr>
        <w:t>,</w:t>
      </w:r>
      <w:r w:rsidRPr="0093006A">
        <w:rPr>
          <w:rStyle w:val="FootnoteReference"/>
          <w:color w:val="595959" w:themeColor="text1" w:themeTint="A6"/>
        </w:rPr>
        <w:footnoteReference w:id="48"/>
      </w:r>
      <w:r w:rsidR="005D24BE" w:rsidRPr="0093006A">
        <w:rPr>
          <w:color w:val="595959" w:themeColor="text1" w:themeTint="A6"/>
          <w:vertAlign w:val="superscript"/>
        </w:rPr>
        <w:t>,</w:t>
      </w:r>
      <w:r w:rsidR="005D24BE" w:rsidRPr="0093006A">
        <w:rPr>
          <w:rStyle w:val="FootnoteReference"/>
          <w:color w:val="595959" w:themeColor="text1" w:themeTint="A6"/>
        </w:rPr>
        <w:footnoteReference w:id="49"/>
      </w:r>
      <w:r w:rsidR="005D24BE" w:rsidRPr="0093006A">
        <w:rPr>
          <w:color w:val="595959" w:themeColor="text1" w:themeTint="A6"/>
          <w:vertAlign w:val="superscript"/>
        </w:rPr>
        <w:t>,</w:t>
      </w:r>
      <w:r w:rsidR="005D24BE" w:rsidRPr="0093006A">
        <w:rPr>
          <w:rStyle w:val="FootnoteReference"/>
          <w:color w:val="595959" w:themeColor="text1" w:themeTint="A6"/>
        </w:rPr>
        <w:footnoteReference w:id="50"/>
      </w:r>
      <w:r w:rsidRPr="0093006A">
        <w:rPr>
          <w:color w:val="595959" w:themeColor="text1" w:themeTint="A6"/>
          <w:vertAlign w:val="superscript"/>
        </w:rPr>
        <w:t xml:space="preserve"> </w:t>
      </w:r>
    </w:p>
    <w:p w14:paraId="732C52B6" w14:textId="77777777" w:rsidR="005D24BE" w:rsidRPr="0093006A" w:rsidRDefault="005D24BE" w:rsidP="005D24BE">
      <w:pPr>
        <w:rPr>
          <w:color w:val="595959" w:themeColor="text1" w:themeTint="A6"/>
        </w:rPr>
      </w:pPr>
    </w:p>
    <w:p w14:paraId="066E047C" w14:textId="77777777" w:rsidR="0044365E" w:rsidRPr="0093006A" w:rsidRDefault="00044A26" w:rsidP="00AD596F">
      <w:pPr>
        <w:spacing w:after="120"/>
        <w:rPr>
          <w:color w:val="595959" w:themeColor="text1" w:themeTint="A6"/>
        </w:rPr>
      </w:pPr>
      <w:r w:rsidRPr="0093006A">
        <w:rPr>
          <w:color w:val="595959" w:themeColor="text1" w:themeTint="A6"/>
        </w:rPr>
        <w:t>This included providing further funding for long-term training, support, and strategies for ACCOs and employers to increase their rates of employing Indigenous jobseekers, as well as requiring employers to invest in their Indigenous employees when accessing ISEP funding.</w:t>
      </w:r>
      <w:r w:rsidRPr="0093006A">
        <w:rPr>
          <w:rStyle w:val="FootnoteReference"/>
          <w:color w:val="595959" w:themeColor="text1" w:themeTint="A6"/>
        </w:rPr>
        <w:footnoteReference w:id="51"/>
      </w:r>
      <w:r w:rsidRPr="0093006A">
        <w:rPr>
          <w:color w:val="595959" w:themeColor="text1" w:themeTint="A6"/>
          <w:vertAlign w:val="superscript"/>
        </w:rPr>
        <w:t>,</w:t>
      </w:r>
      <w:r w:rsidRPr="0093006A">
        <w:rPr>
          <w:rStyle w:val="FootnoteReference"/>
          <w:color w:val="595959" w:themeColor="text1" w:themeTint="A6"/>
        </w:rPr>
        <w:footnoteReference w:id="52"/>
      </w:r>
      <w:r w:rsidRPr="0093006A">
        <w:rPr>
          <w:color w:val="595959" w:themeColor="text1" w:themeTint="A6"/>
          <w:vertAlign w:val="superscript"/>
        </w:rPr>
        <w:t>,</w:t>
      </w:r>
      <w:r w:rsidRPr="0093006A">
        <w:rPr>
          <w:rStyle w:val="FootnoteReference"/>
          <w:color w:val="595959" w:themeColor="text1" w:themeTint="A6"/>
        </w:rPr>
        <w:footnoteReference w:id="53"/>
      </w:r>
      <w:r w:rsidRPr="0093006A">
        <w:rPr>
          <w:color w:val="595959" w:themeColor="text1" w:themeTint="A6"/>
          <w:vertAlign w:val="superscript"/>
        </w:rPr>
        <w:t>,</w:t>
      </w:r>
      <w:r w:rsidRPr="0093006A">
        <w:rPr>
          <w:rStyle w:val="FootnoteReference"/>
          <w:color w:val="595959" w:themeColor="text1" w:themeTint="A6"/>
        </w:rPr>
        <w:footnoteReference w:id="54"/>
      </w:r>
      <w:r w:rsidR="005D24BE" w:rsidRPr="0093006A">
        <w:rPr>
          <w:color w:val="595959" w:themeColor="text1" w:themeTint="A6"/>
          <w:vertAlign w:val="superscript"/>
        </w:rPr>
        <w:t>,</w:t>
      </w:r>
      <w:r w:rsidR="005D24BE" w:rsidRPr="0093006A">
        <w:rPr>
          <w:rStyle w:val="FootnoteReference"/>
          <w:color w:val="595959" w:themeColor="text1" w:themeTint="A6"/>
        </w:rPr>
        <w:footnoteReference w:id="55"/>
      </w:r>
      <w:r w:rsidRPr="0093006A">
        <w:rPr>
          <w:color w:val="595959" w:themeColor="text1" w:themeTint="A6"/>
        </w:rPr>
        <w:t xml:space="preserve"> </w:t>
      </w:r>
    </w:p>
    <w:p w14:paraId="45AEBFF8" w14:textId="77777777" w:rsidR="0044365E" w:rsidRPr="0093006A" w:rsidRDefault="00044A26" w:rsidP="00AD596F">
      <w:pPr>
        <w:spacing w:after="120"/>
        <w:rPr>
          <w:color w:val="595959" w:themeColor="text1" w:themeTint="A6"/>
        </w:rPr>
      </w:pPr>
      <w:r w:rsidRPr="0093006A">
        <w:rPr>
          <w:color w:val="595959" w:themeColor="text1" w:themeTint="A6"/>
        </w:rPr>
        <w:t>Respondents also recommended Indigenous-specific employment programs beyond the 26-week milestone for both prospective employees and for capacity building of local ACCOs to provide such services and to extend wraparound service support beyond the first 12 months of an apprenticeship or job placement.</w:t>
      </w:r>
      <w:r w:rsidRPr="0093006A">
        <w:rPr>
          <w:rStyle w:val="FootnoteReference"/>
          <w:color w:val="595959" w:themeColor="text1" w:themeTint="A6"/>
        </w:rPr>
        <w:footnoteReference w:id="56"/>
      </w:r>
      <w:r w:rsidRPr="0093006A">
        <w:rPr>
          <w:color w:val="595959" w:themeColor="text1" w:themeTint="A6"/>
          <w:vertAlign w:val="superscript"/>
        </w:rPr>
        <w:t>,</w:t>
      </w:r>
      <w:r w:rsidRPr="0093006A">
        <w:rPr>
          <w:rStyle w:val="FootnoteReference"/>
          <w:color w:val="595959" w:themeColor="text1" w:themeTint="A6"/>
        </w:rPr>
        <w:footnoteReference w:id="57"/>
      </w:r>
      <w:r w:rsidRPr="0093006A">
        <w:rPr>
          <w:color w:val="595959" w:themeColor="text1" w:themeTint="A6"/>
        </w:rPr>
        <w:t xml:space="preserve"> </w:t>
      </w:r>
    </w:p>
    <w:p w14:paraId="5C076C67" w14:textId="77777777" w:rsidR="00044A26" w:rsidRPr="0093006A" w:rsidRDefault="00044A26" w:rsidP="00AD596F">
      <w:pPr>
        <w:spacing w:after="120"/>
        <w:rPr>
          <w:color w:val="595959" w:themeColor="text1" w:themeTint="A6"/>
        </w:rPr>
      </w:pPr>
      <w:r w:rsidRPr="0093006A">
        <w:rPr>
          <w:color w:val="595959" w:themeColor="text1" w:themeTint="A6"/>
        </w:rPr>
        <w:t>Reconciliation Action Plans (RAPs), and their Indigenous employment targets and emphasis on installation of cultural safety protocols in an organisation, could also be emphasised by NIAA in the selection of ISEP funding recipients to further increase Indigenous participation in employment opportunities through subsequent workforce planning.</w:t>
      </w:r>
      <w:r w:rsidRPr="0093006A">
        <w:rPr>
          <w:rStyle w:val="FootnoteReference"/>
          <w:color w:val="595959" w:themeColor="text1" w:themeTint="A6"/>
        </w:rPr>
        <w:footnoteReference w:id="58"/>
      </w:r>
    </w:p>
    <w:p w14:paraId="667CD511" w14:textId="24F7DD89" w:rsidR="00044A26" w:rsidRPr="0093006A" w:rsidRDefault="00044A26" w:rsidP="00AD596F">
      <w:pPr>
        <w:spacing w:after="120"/>
        <w:rPr>
          <w:b/>
          <w:bCs/>
          <w:color w:val="595959" w:themeColor="text1" w:themeTint="A6"/>
        </w:rPr>
      </w:pPr>
      <w:r w:rsidRPr="0093006A">
        <w:rPr>
          <w:color w:val="595959" w:themeColor="text1" w:themeTint="A6"/>
        </w:rPr>
        <w:t xml:space="preserve">Another way to incentivise non-Indigenous employers to undertake successful employment of Indigenous </w:t>
      </w:r>
      <w:r w:rsidR="00800824" w:rsidRPr="0093006A">
        <w:rPr>
          <w:color w:val="595959" w:themeColor="text1" w:themeTint="A6"/>
        </w:rPr>
        <w:t>Australians</w:t>
      </w:r>
      <w:r w:rsidRPr="0093006A">
        <w:rPr>
          <w:color w:val="595959" w:themeColor="text1" w:themeTint="A6"/>
        </w:rPr>
        <w:t>, one respondent argued, would be to ensure the ISEP ha</w:t>
      </w:r>
      <w:r w:rsidR="00954191" w:rsidRPr="0093006A">
        <w:rPr>
          <w:color w:val="595959" w:themeColor="text1" w:themeTint="A6"/>
        </w:rPr>
        <w:t>s</w:t>
      </w:r>
      <w:r w:rsidRPr="0093006A">
        <w:rPr>
          <w:color w:val="595959" w:themeColor="text1" w:themeTint="A6"/>
        </w:rPr>
        <w:t xml:space="preserve"> “targeted and streamlined process[es] where successful practices of actual employers in the direct recruitment, support, mentoring and development of Aboriginal workers, are rewarded through the amount of subsidies provided, in line with the exact amount of hours worked.”</w:t>
      </w:r>
      <w:r w:rsidRPr="0093006A">
        <w:rPr>
          <w:rStyle w:val="FootnoteReference"/>
          <w:color w:val="595959" w:themeColor="text1" w:themeTint="A6"/>
        </w:rPr>
        <w:footnoteReference w:id="59"/>
      </w:r>
    </w:p>
    <w:p w14:paraId="5E06EAD4" w14:textId="77777777" w:rsidR="00044A26" w:rsidRPr="0093006A" w:rsidRDefault="00044A26" w:rsidP="00AD596F">
      <w:pPr>
        <w:spacing w:after="120"/>
        <w:rPr>
          <w:color w:val="595959" w:themeColor="text1" w:themeTint="A6"/>
        </w:rPr>
      </w:pPr>
      <w:r w:rsidRPr="0093006A">
        <w:rPr>
          <w:color w:val="595959" w:themeColor="text1" w:themeTint="A6"/>
        </w:rPr>
        <w:t>Amplifying local job opportunities, creating clear training pathways, and working with communities, employers, and local council in identifying “real work” within growing industries in area</w:t>
      </w:r>
    </w:p>
    <w:p w14:paraId="4A6BB84F" w14:textId="26E492B4" w:rsidR="0044365E" w:rsidRPr="0093006A" w:rsidRDefault="00044A26" w:rsidP="00AD596F">
      <w:pPr>
        <w:spacing w:after="120"/>
        <w:rPr>
          <w:color w:val="595959" w:themeColor="text1" w:themeTint="A6"/>
          <w:vertAlign w:val="superscript"/>
        </w:rPr>
      </w:pPr>
      <w:r w:rsidRPr="0093006A">
        <w:rPr>
          <w:color w:val="595959" w:themeColor="text1" w:themeTint="A6"/>
        </w:rPr>
        <w:t>Many respondents recommend that future Indigenous-specific employment initiatives need to be developed, tailored, and evaluated within their specific local contexts – including existing infrastructure, social barriers to employment, geographical impacts, and workforce skills – and for the strengthening of relationships between industry, ACCOs, government and Indigenous employees, trainees, and jobseekers in differing regions.</w:t>
      </w:r>
      <w:r w:rsidRPr="0093006A">
        <w:rPr>
          <w:rStyle w:val="FootnoteReference"/>
          <w:color w:val="595959" w:themeColor="text1" w:themeTint="A6"/>
        </w:rPr>
        <w:footnoteReference w:id="60"/>
      </w:r>
      <w:r w:rsidRPr="0093006A">
        <w:rPr>
          <w:color w:val="595959" w:themeColor="text1" w:themeTint="A6"/>
          <w:vertAlign w:val="superscript"/>
        </w:rPr>
        <w:t>,</w:t>
      </w:r>
      <w:r w:rsidRPr="0093006A">
        <w:rPr>
          <w:rStyle w:val="FootnoteReference"/>
          <w:color w:val="595959" w:themeColor="text1" w:themeTint="A6"/>
        </w:rPr>
        <w:footnoteReference w:id="61"/>
      </w:r>
      <w:r w:rsidRPr="0093006A">
        <w:rPr>
          <w:color w:val="595959" w:themeColor="text1" w:themeTint="A6"/>
          <w:vertAlign w:val="superscript"/>
        </w:rPr>
        <w:t>,</w:t>
      </w:r>
      <w:r w:rsidRPr="0093006A">
        <w:rPr>
          <w:rStyle w:val="FootnoteReference"/>
          <w:color w:val="595959" w:themeColor="text1" w:themeTint="A6"/>
        </w:rPr>
        <w:footnoteReference w:id="62"/>
      </w:r>
      <w:r w:rsidRPr="0093006A">
        <w:rPr>
          <w:color w:val="595959" w:themeColor="text1" w:themeTint="A6"/>
          <w:vertAlign w:val="superscript"/>
        </w:rPr>
        <w:t>,</w:t>
      </w:r>
      <w:r w:rsidRPr="0093006A">
        <w:rPr>
          <w:rStyle w:val="FootnoteReference"/>
          <w:color w:val="595959" w:themeColor="text1" w:themeTint="A6"/>
        </w:rPr>
        <w:footnoteReference w:id="63"/>
      </w:r>
      <w:r w:rsidRPr="0093006A">
        <w:rPr>
          <w:color w:val="595959" w:themeColor="text1" w:themeTint="A6"/>
          <w:vertAlign w:val="superscript"/>
        </w:rPr>
        <w:t>,</w:t>
      </w:r>
      <w:r w:rsidRPr="0093006A">
        <w:rPr>
          <w:rStyle w:val="FootnoteReference"/>
          <w:color w:val="595959" w:themeColor="text1" w:themeTint="A6"/>
        </w:rPr>
        <w:footnoteReference w:id="64"/>
      </w:r>
      <w:r w:rsidRPr="0093006A">
        <w:rPr>
          <w:color w:val="595959" w:themeColor="text1" w:themeTint="A6"/>
          <w:vertAlign w:val="superscript"/>
        </w:rPr>
        <w:t>,</w:t>
      </w:r>
      <w:r w:rsidRPr="0093006A">
        <w:rPr>
          <w:rStyle w:val="FootnoteReference"/>
          <w:color w:val="595959" w:themeColor="text1" w:themeTint="A6"/>
        </w:rPr>
        <w:footnoteReference w:id="65"/>
      </w:r>
      <w:r w:rsidRPr="0093006A">
        <w:rPr>
          <w:color w:val="595959" w:themeColor="text1" w:themeTint="A6"/>
          <w:vertAlign w:val="superscript"/>
        </w:rPr>
        <w:t>,</w:t>
      </w:r>
      <w:r w:rsidRPr="0093006A">
        <w:rPr>
          <w:rStyle w:val="FootnoteReference"/>
          <w:color w:val="595959" w:themeColor="text1" w:themeTint="A6"/>
        </w:rPr>
        <w:footnoteReference w:id="66"/>
      </w:r>
      <w:r w:rsidRPr="0093006A">
        <w:rPr>
          <w:color w:val="595959" w:themeColor="text1" w:themeTint="A6"/>
          <w:vertAlign w:val="superscript"/>
        </w:rPr>
        <w:t>,</w:t>
      </w:r>
      <w:r w:rsidRPr="0093006A">
        <w:rPr>
          <w:rStyle w:val="FootnoteReference"/>
          <w:color w:val="595959" w:themeColor="text1" w:themeTint="A6"/>
        </w:rPr>
        <w:footnoteReference w:id="67"/>
      </w:r>
      <w:r w:rsidRPr="0093006A">
        <w:rPr>
          <w:color w:val="595959" w:themeColor="text1" w:themeTint="A6"/>
        </w:rPr>
        <w:t xml:space="preserve"> The creation of formal collaboration and referral measures for non-Indigenous service providers would be key to ensuring ISEP funding would be utilised for said collaboration and outcomes for Indigenous jobseekers.</w:t>
      </w:r>
      <w:r w:rsidRPr="0093006A">
        <w:rPr>
          <w:rStyle w:val="FootnoteReference"/>
          <w:color w:val="595959" w:themeColor="text1" w:themeTint="A6"/>
        </w:rPr>
        <w:footnoteReference w:id="68"/>
      </w:r>
      <w:r w:rsidRPr="0093006A">
        <w:rPr>
          <w:color w:val="595959" w:themeColor="text1" w:themeTint="A6"/>
        </w:rPr>
        <w:t xml:space="preserve"> Making connections with major industries and employers in local areas will </w:t>
      </w:r>
      <w:r w:rsidR="00954191" w:rsidRPr="0093006A">
        <w:rPr>
          <w:color w:val="595959" w:themeColor="text1" w:themeTint="A6"/>
        </w:rPr>
        <w:t xml:space="preserve">also </w:t>
      </w:r>
      <w:r w:rsidRPr="0093006A">
        <w:rPr>
          <w:color w:val="595959" w:themeColor="text1" w:themeTint="A6"/>
        </w:rPr>
        <w:t>be key to highlighting local workforce needs and linking th</w:t>
      </w:r>
      <w:r w:rsidR="00954191" w:rsidRPr="0093006A">
        <w:rPr>
          <w:color w:val="595959" w:themeColor="text1" w:themeTint="A6"/>
        </w:rPr>
        <w:t>ese</w:t>
      </w:r>
      <w:r w:rsidRPr="0093006A">
        <w:rPr>
          <w:color w:val="595959" w:themeColor="text1" w:themeTint="A6"/>
        </w:rPr>
        <w:t xml:space="preserve"> with Indigenous workforce participation outcomes.</w:t>
      </w:r>
      <w:r w:rsidRPr="0093006A">
        <w:rPr>
          <w:rStyle w:val="FootnoteReference"/>
          <w:color w:val="595959" w:themeColor="text1" w:themeTint="A6"/>
        </w:rPr>
        <w:footnoteReference w:id="69"/>
      </w:r>
      <w:r w:rsidRPr="0093006A">
        <w:rPr>
          <w:color w:val="595959" w:themeColor="text1" w:themeTint="A6"/>
          <w:vertAlign w:val="superscript"/>
        </w:rPr>
        <w:t>,</w:t>
      </w:r>
      <w:r w:rsidRPr="0093006A">
        <w:rPr>
          <w:rStyle w:val="FootnoteReference"/>
          <w:color w:val="595959" w:themeColor="text1" w:themeTint="A6"/>
        </w:rPr>
        <w:footnoteReference w:id="70"/>
      </w:r>
      <w:r w:rsidR="00800824" w:rsidRPr="0093006A">
        <w:rPr>
          <w:color w:val="595959" w:themeColor="text1" w:themeTint="A6"/>
          <w:vertAlign w:val="superscript"/>
        </w:rPr>
        <w:t>,</w:t>
      </w:r>
      <w:r w:rsidR="00800824" w:rsidRPr="0093006A">
        <w:rPr>
          <w:rStyle w:val="FootnoteReference"/>
          <w:color w:val="595959" w:themeColor="text1" w:themeTint="A6"/>
        </w:rPr>
        <w:footnoteReference w:id="71"/>
      </w:r>
      <w:r w:rsidRPr="0093006A">
        <w:rPr>
          <w:color w:val="595959" w:themeColor="text1" w:themeTint="A6"/>
          <w:vertAlign w:val="superscript"/>
        </w:rPr>
        <w:t xml:space="preserve"> </w:t>
      </w:r>
    </w:p>
    <w:p w14:paraId="218A7AC1" w14:textId="77777777" w:rsidR="00AD596F" w:rsidRPr="0093006A" w:rsidRDefault="00044A26" w:rsidP="00AD596F">
      <w:pPr>
        <w:spacing w:after="120"/>
        <w:rPr>
          <w:color w:val="595959" w:themeColor="text1" w:themeTint="A6"/>
        </w:rPr>
      </w:pPr>
      <w:r w:rsidRPr="0093006A">
        <w:rPr>
          <w:color w:val="595959" w:themeColor="text1" w:themeTint="A6"/>
        </w:rPr>
        <w:t>Co-designed training programs that aim to strengthen the transition periods between school, university, and subsequent career development and progression – particularly for young cohorts – were also viewed by many respondents as a core strategy NIAA should seek to adopt and promote through the ISEP.</w:t>
      </w:r>
      <w:r w:rsidRPr="0093006A">
        <w:rPr>
          <w:rStyle w:val="FootnoteReference"/>
          <w:color w:val="595959" w:themeColor="text1" w:themeTint="A6"/>
        </w:rPr>
        <w:footnoteReference w:id="72"/>
      </w:r>
      <w:r w:rsidRPr="0093006A">
        <w:rPr>
          <w:color w:val="595959" w:themeColor="text1" w:themeTint="A6"/>
          <w:vertAlign w:val="superscript"/>
        </w:rPr>
        <w:t>,</w:t>
      </w:r>
      <w:r w:rsidRPr="0093006A">
        <w:rPr>
          <w:rStyle w:val="FootnoteReference"/>
          <w:color w:val="595959" w:themeColor="text1" w:themeTint="A6"/>
        </w:rPr>
        <w:footnoteReference w:id="73"/>
      </w:r>
      <w:r w:rsidRPr="0093006A">
        <w:rPr>
          <w:color w:val="595959" w:themeColor="text1" w:themeTint="A6"/>
          <w:vertAlign w:val="superscript"/>
        </w:rPr>
        <w:t>,</w:t>
      </w:r>
      <w:r w:rsidRPr="0093006A">
        <w:rPr>
          <w:rStyle w:val="FootnoteReference"/>
          <w:color w:val="595959" w:themeColor="text1" w:themeTint="A6"/>
        </w:rPr>
        <w:footnoteReference w:id="74"/>
      </w:r>
      <w:r w:rsidRPr="0093006A">
        <w:rPr>
          <w:color w:val="595959" w:themeColor="text1" w:themeTint="A6"/>
          <w:vertAlign w:val="superscript"/>
        </w:rPr>
        <w:t>,</w:t>
      </w:r>
      <w:r w:rsidR="0082738F" w:rsidRPr="0093006A">
        <w:rPr>
          <w:rStyle w:val="FootnoteReference"/>
          <w:color w:val="595959" w:themeColor="text1" w:themeTint="A6"/>
        </w:rPr>
        <w:footnoteReference w:id="75"/>
      </w:r>
      <w:r w:rsidRPr="0093006A">
        <w:rPr>
          <w:rStyle w:val="FootnoteReference"/>
          <w:color w:val="595959" w:themeColor="text1" w:themeTint="A6"/>
        </w:rPr>
        <w:footnoteReference w:id="76"/>
      </w:r>
      <w:r w:rsidRPr="0093006A">
        <w:rPr>
          <w:color w:val="595959" w:themeColor="text1" w:themeTint="A6"/>
          <w:vertAlign w:val="superscript"/>
        </w:rPr>
        <w:t>,</w:t>
      </w:r>
      <w:r w:rsidRPr="0093006A">
        <w:rPr>
          <w:rStyle w:val="FootnoteReference"/>
          <w:color w:val="595959" w:themeColor="text1" w:themeTint="A6"/>
        </w:rPr>
        <w:footnoteReference w:id="77"/>
      </w:r>
      <w:r w:rsidRPr="0093006A">
        <w:rPr>
          <w:color w:val="595959" w:themeColor="text1" w:themeTint="A6"/>
          <w:vertAlign w:val="superscript"/>
        </w:rPr>
        <w:t>,</w:t>
      </w:r>
      <w:r w:rsidRPr="0093006A">
        <w:rPr>
          <w:rStyle w:val="FootnoteReference"/>
          <w:color w:val="595959" w:themeColor="text1" w:themeTint="A6"/>
        </w:rPr>
        <w:footnoteReference w:id="78"/>
      </w:r>
      <w:r w:rsidRPr="0093006A">
        <w:rPr>
          <w:color w:val="595959" w:themeColor="text1" w:themeTint="A6"/>
          <w:vertAlign w:val="superscript"/>
        </w:rPr>
        <w:t>,</w:t>
      </w:r>
      <w:r w:rsidRPr="0093006A">
        <w:rPr>
          <w:rStyle w:val="FootnoteReference"/>
          <w:color w:val="595959" w:themeColor="text1" w:themeTint="A6"/>
        </w:rPr>
        <w:footnoteReference w:id="79"/>
      </w:r>
      <w:r w:rsidRPr="0093006A">
        <w:rPr>
          <w:color w:val="595959" w:themeColor="text1" w:themeTint="A6"/>
        </w:rPr>
        <w:t xml:space="preserve"> </w:t>
      </w:r>
    </w:p>
    <w:p w14:paraId="57DB4A9C" w14:textId="6675BFF0" w:rsidR="00800824" w:rsidRPr="0093006A" w:rsidRDefault="00044A26" w:rsidP="00AD596F">
      <w:pPr>
        <w:spacing w:after="120"/>
        <w:rPr>
          <w:color w:val="595959" w:themeColor="text1" w:themeTint="A6"/>
        </w:rPr>
      </w:pPr>
      <w:r w:rsidRPr="0093006A">
        <w:rPr>
          <w:color w:val="595959" w:themeColor="text1" w:themeTint="A6"/>
        </w:rPr>
        <w:t>Respondents articulated that the creation of a training package that facilitated clear transitions between each stage of career development within the context of local Indigenous communities’ needs and aspirations – including pre-employment,</w:t>
      </w:r>
      <w:r w:rsidR="0082738F" w:rsidRPr="0093006A">
        <w:rPr>
          <w:color w:val="595959" w:themeColor="text1" w:themeTint="A6"/>
        </w:rPr>
        <w:t xml:space="preserve"> numeracy and literacy,</w:t>
      </w:r>
      <w:r w:rsidRPr="0093006A">
        <w:rPr>
          <w:color w:val="595959" w:themeColor="text1" w:themeTint="A6"/>
        </w:rPr>
        <w:t xml:space="preserve"> bilingual</w:t>
      </w:r>
      <w:r w:rsidR="0082738F" w:rsidRPr="0093006A">
        <w:rPr>
          <w:color w:val="595959" w:themeColor="text1" w:themeTint="A6"/>
        </w:rPr>
        <w:t xml:space="preserve"> translation</w:t>
      </w:r>
      <w:r w:rsidRPr="0093006A">
        <w:rPr>
          <w:color w:val="595959" w:themeColor="text1" w:themeTint="A6"/>
        </w:rPr>
        <w:t>, digital literacy, enterprise development, and ongoing post-employment programs</w:t>
      </w:r>
      <w:r w:rsidRPr="0093006A">
        <w:rPr>
          <w:color w:val="595959" w:themeColor="text1" w:themeTint="A6"/>
          <w:vertAlign w:val="superscript"/>
        </w:rPr>
        <w:t xml:space="preserve"> </w:t>
      </w:r>
      <w:r w:rsidRPr="0093006A">
        <w:rPr>
          <w:color w:val="595959" w:themeColor="text1" w:themeTint="A6"/>
        </w:rPr>
        <w:t>– along with a regularly updated list of the availability employment opportunities in the region, should also be prioritised.</w:t>
      </w:r>
      <w:r w:rsidRPr="0093006A">
        <w:rPr>
          <w:rStyle w:val="FootnoteReference"/>
          <w:color w:val="595959" w:themeColor="text1" w:themeTint="A6"/>
        </w:rPr>
        <w:footnoteReference w:id="80"/>
      </w:r>
      <w:r w:rsidRPr="0093006A">
        <w:rPr>
          <w:color w:val="595959" w:themeColor="text1" w:themeTint="A6"/>
          <w:vertAlign w:val="superscript"/>
        </w:rPr>
        <w:t>,</w:t>
      </w:r>
      <w:r w:rsidRPr="0093006A">
        <w:rPr>
          <w:rStyle w:val="FootnoteReference"/>
          <w:color w:val="595959" w:themeColor="text1" w:themeTint="A6"/>
        </w:rPr>
        <w:footnoteReference w:id="81"/>
      </w:r>
      <w:r w:rsidRPr="0093006A">
        <w:rPr>
          <w:color w:val="595959" w:themeColor="text1" w:themeTint="A6"/>
          <w:vertAlign w:val="superscript"/>
        </w:rPr>
        <w:t>,</w:t>
      </w:r>
      <w:r w:rsidRPr="0093006A">
        <w:rPr>
          <w:rStyle w:val="FootnoteReference"/>
          <w:color w:val="595959" w:themeColor="text1" w:themeTint="A6"/>
        </w:rPr>
        <w:footnoteReference w:id="82"/>
      </w:r>
      <w:r w:rsidRPr="0093006A">
        <w:rPr>
          <w:color w:val="595959" w:themeColor="text1" w:themeTint="A6"/>
          <w:vertAlign w:val="superscript"/>
        </w:rPr>
        <w:t>,</w:t>
      </w:r>
      <w:r w:rsidRPr="0093006A">
        <w:rPr>
          <w:rStyle w:val="FootnoteReference"/>
          <w:color w:val="595959" w:themeColor="text1" w:themeTint="A6"/>
        </w:rPr>
        <w:footnoteReference w:id="83"/>
      </w:r>
      <w:r w:rsidRPr="0093006A">
        <w:rPr>
          <w:color w:val="595959" w:themeColor="text1" w:themeTint="A6"/>
          <w:vertAlign w:val="superscript"/>
        </w:rPr>
        <w:t>,</w:t>
      </w:r>
      <w:r w:rsidRPr="0093006A">
        <w:rPr>
          <w:rStyle w:val="FootnoteReference"/>
          <w:color w:val="595959" w:themeColor="text1" w:themeTint="A6"/>
        </w:rPr>
        <w:footnoteReference w:id="84"/>
      </w:r>
      <w:r w:rsidRPr="0093006A">
        <w:rPr>
          <w:color w:val="595959" w:themeColor="text1" w:themeTint="A6"/>
          <w:vertAlign w:val="superscript"/>
        </w:rPr>
        <w:t>,</w:t>
      </w:r>
      <w:r w:rsidRPr="0093006A">
        <w:rPr>
          <w:rStyle w:val="FootnoteReference"/>
          <w:color w:val="595959" w:themeColor="text1" w:themeTint="A6"/>
        </w:rPr>
        <w:footnoteReference w:id="85"/>
      </w:r>
      <w:r w:rsidRPr="0093006A">
        <w:rPr>
          <w:color w:val="595959" w:themeColor="text1" w:themeTint="A6"/>
          <w:vertAlign w:val="superscript"/>
        </w:rPr>
        <w:t>,</w:t>
      </w:r>
      <w:r w:rsidRPr="0093006A">
        <w:rPr>
          <w:rStyle w:val="FootnoteReference"/>
          <w:color w:val="595959" w:themeColor="text1" w:themeTint="A6"/>
        </w:rPr>
        <w:footnoteReference w:id="86"/>
      </w:r>
      <w:r w:rsidRPr="0093006A">
        <w:rPr>
          <w:color w:val="595959" w:themeColor="text1" w:themeTint="A6"/>
          <w:vertAlign w:val="superscript"/>
        </w:rPr>
        <w:t>,</w:t>
      </w:r>
      <w:r w:rsidRPr="0093006A">
        <w:rPr>
          <w:rStyle w:val="FootnoteReference"/>
          <w:color w:val="595959" w:themeColor="text1" w:themeTint="A6"/>
        </w:rPr>
        <w:footnoteReference w:id="87"/>
      </w:r>
      <w:r w:rsidR="0082738F" w:rsidRPr="0093006A">
        <w:rPr>
          <w:color w:val="595959" w:themeColor="text1" w:themeTint="A6"/>
          <w:vertAlign w:val="superscript"/>
        </w:rPr>
        <w:t>,</w:t>
      </w:r>
      <w:r w:rsidR="0082738F" w:rsidRPr="0093006A">
        <w:rPr>
          <w:rStyle w:val="FootnoteReference"/>
          <w:color w:val="595959" w:themeColor="text1" w:themeTint="A6"/>
        </w:rPr>
        <w:footnoteReference w:id="88"/>
      </w:r>
      <w:r w:rsidR="0082738F" w:rsidRPr="0093006A">
        <w:rPr>
          <w:color w:val="595959" w:themeColor="text1" w:themeTint="A6"/>
          <w:vertAlign w:val="superscript"/>
        </w:rPr>
        <w:t>,</w:t>
      </w:r>
      <w:r w:rsidR="0082738F" w:rsidRPr="0093006A">
        <w:rPr>
          <w:rStyle w:val="FootnoteReference"/>
          <w:color w:val="595959" w:themeColor="text1" w:themeTint="A6"/>
        </w:rPr>
        <w:footnoteReference w:id="89"/>
      </w:r>
      <w:r w:rsidR="00800824" w:rsidRPr="0093006A">
        <w:rPr>
          <w:color w:val="595959" w:themeColor="text1" w:themeTint="A6"/>
          <w:vertAlign w:val="superscript"/>
        </w:rPr>
        <w:t>,</w:t>
      </w:r>
      <w:r w:rsidR="00800824" w:rsidRPr="0093006A">
        <w:rPr>
          <w:rStyle w:val="FootnoteReference"/>
          <w:color w:val="595959" w:themeColor="text1" w:themeTint="A6"/>
        </w:rPr>
        <w:footnoteReference w:id="90"/>
      </w:r>
      <w:r w:rsidR="00800824" w:rsidRPr="0093006A">
        <w:rPr>
          <w:color w:val="595959" w:themeColor="text1" w:themeTint="A6"/>
          <w:vertAlign w:val="superscript"/>
        </w:rPr>
        <w:t>,</w:t>
      </w:r>
      <w:r w:rsidR="00800824" w:rsidRPr="0093006A">
        <w:rPr>
          <w:rStyle w:val="FootnoteReference"/>
          <w:color w:val="595959" w:themeColor="text1" w:themeTint="A6"/>
        </w:rPr>
        <w:footnoteReference w:id="91"/>
      </w:r>
      <w:r w:rsidRPr="0093006A">
        <w:rPr>
          <w:color w:val="595959" w:themeColor="text1" w:themeTint="A6"/>
        </w:rPr>
        <w:t xml:space="preserve"> </w:t>
      </w:r>
    </w:p>
    <w:p w14:paraId="5893FF99" w14:textId="61CEDC03" w:rsidR="008A2423" w:rsidRPr="0093006A" w:rsidRDefault="00044A26" w:rsidP="00AD596F">
      <w:pPr>
        <w:spacing w:after="120"/>
        <w:rPr>
          <w:color w:val="595959" w:themeColor="text1" w:themeTint="A6"/>
        </w:rPr>
      </w:pPr>
      <w:r w:rsidRPr="0093006A">
        <w:rPr>
          <w:color w:val="595959" w:themeColor="text1" w:themeTint="A6"/>
        </w:rPr>
        <w:t>However, several respondents also highlighted the need to</w:t>
      </w:r>
      <w:r w:rsidR="008A2423" w:rsidRPr="0093006A">
        <w:rPr>
          <w:color w:val="595959" w:themeColor="text1" w:themeTint="A6"/>
        </w:rPr>
        <w:t>:</w:t>
      </w:r>
    </w:p>
    <w:p w14:paraId="40C18758" w14:textId="16121549" w:rsidR="008A2423" w:rsidRPr="0093006A" w:rsidRDefault="00972229">
      <w:pPr>
        <w:pStyle w:val="ListParagraph"/>
        <w:numPr>
          <w:ilvl w:val="0"/>
          <w:numId w:val="48"/>
        </w:numPr>
        <w:spacing w:after="120"/>
        <w:rPr>
          <w:color w:val="595959" w:themeColor="text1" w:themeTint="A6"/>
          <w:vertAlign w:val="superscript"/>
        </w:rPr>
      </w:pPr>
      <w:r w:rsidRPr="0093006A">
        <w:rPr>
          <w:color w:val="595959" w:themeColor="text1" w:themeTint="A6"/>
        </w:rPr>
        <w:t>W</w:t>
      </w:r>
      <w:r w:rsidR="00044A26" w:rsidRPr="0093006A">
        <w:rPr>
          <w:color w:val="595959" w:themeColor="text1" w:themeTint="A6"/>
        </w:rPr>
        <w:t xml:space="preserve">ork with </w:t>
      </w:r>
      <w:r w:rsidR="00E56EEB" w:rsidRPr="0093006A">
        <w:rPr>
          <w:color w:val="595959" w:themeColor="text1" w:themeTint="A6"/>
        </w:rPr>
        <w:t>Indigenous Australians</w:t>
      </w:r>
      <w:r w:rsidR="00800824" w:rsidRPr="0093006A">
        <w:rPr>
          <w:color w:val="595959" w:themeColor="text1" w:themeTint="A6"/>
        </w:rPr>
        <w:t xml:space="preserve"> </w:t>
      </w:r>
      <w:r w:rsidR="00044A26" w:rsidRPr="0093006A">
        <w:rPr>
          <w:color w:val="595959" w:themeColor="text1" w:themeTint="A6"/>
        </w:rPr>
        <w:t>as individuals through person-centred approach</w:t>
      </w:r>
      <w:r w:rsidR="00EF0656" w:rsidRPr="0093006A">
        <w:rPr>
          <w:color w:val="595959" w:themeColor="text1" w:themeTint="A6"/>
        </w:rPr>
        <w:t>es</w:t>
      </w:r>
      <w:r w:rsidRPr="0093006A">
        <w:rPr>
          <w:color w:val="595959" w:themeColor="text1" w:themeTint="A6"/>
        </w:rPr>
        <w:t>.</w:t>
      </w:r>
    </w:p>
    <w:p w14:paraId="752D9DF9" w14:textId="63BF6925" w:rsidR="0082738F" w:rsidRPr="0093006A" w:rsidRDefault="00972229" w:rsidP="00EF0656">
      <w:pPr>
        <w:pStyle w:val="ListParagraph"/>
        <w:numPr>
          <w:ilvl w:val="0"/>
          <w:numId w:val="21"/>
        </w:numPr>
        <w:spacing w:after="120"/>
        <w:rPr>
          <w:color w:val="595959" w:themeColor="text1" w:themeTint="A6"/>
          <w:vertAlign w:val="superscript"/>
        </w:rPr>
      </w:pPr>
      <w:r w:rsidRPr="0093006A">
        <w:rPr>
          <w:color w:val="595959" w:themeColor="text1" w:themeTint="A6"/>
        </w:rPr>
        <w:t>P</w:t>
      </w:r>
      <w:r w:rsidR="00044A26" w:rsidRPr="0093006A">
        <w:rPr>
          <w:color w:val="595959" w:themeColor="text1" w:themeTint="A6"/>
        </w:rPr>
        <w:t>rovid</w:t>
      </w:r>
      <w:r w:rsidR="00EF0656" w:rsidRPr="0093006A">
        <w:rPr>
          <w:color w:val="595959" w:themeColor="text1" w:themeTint="A6"/>
        </w:rPr>
        <w:t>e</w:t>
      </w:r>
      <w:r w:rsidR="00044A26" w:rsidRPr="0093006A">
        <w:rPr>
          <w:color w:val="595959" w:themeColor="text1" w:themeTint="A6"/>
        </w:rPr>
        <w:t xml:space="preserve"> individualised work experience</w:t>
      </w:r>
      <w:r w:rsidR="00EF0656" w:rsidRPr="0093006A">
        <w:rPr>
          <w:color w:val="595959" w:themeColor="text1" w:themeTint="A6"/>
        </w:rPr>
        <w:t xml:space="preserve">, mentoring programs and </w:t>
      </w:r>
      <w:r w:rsidR="0082738F" w:rsidRPr="0093006A">
        <w:rPr>
          <w:color w:val="595959" w:themeColor="text1" w:themeTint="A6"/>
        </w:rPr>
        <w:t>opportunities for volunteerin</w:t>
      </w:r>
      <w:r w:rsidR="002B4630" w:rsidRPr="0093006A">
        <w:rPr>
          <w:color w:val="595959" w:themeColor="text1" w:themeTint="A6"/>
        </w:rPr>
        <w:t>g</w:t>
      </w:r>
      <w:r w:rsidRPr="0093006A">
        <w:rPr>
          <w:color w:val="595959" w:themeColor="text1" w:themeTint="A6"/>
        </w:rPr>
        <w:t>.</w:t>
      </w:r>
    </w:p>
    <w:p w14:paraId="7212614D" w14:textId="476AD1F3" w:rsidR="008A2423" w:rsidRPr="0093006A" w:rsidRDefault="00972229" w:rsidP="003769B7">
      <w:pPr>
        <w:pStyle w:val="ListParagraph"/>
        <w:numPr>
          <w:ilvl w:val="0"/>
          <w:numId w:val="21"/>
        </w:numPr>
        <w:spacing w:after="120"/>
        <w:rPr>
          <w:color w:val="595959" w:themeColor="text1" w:themeTint="A6"/>
          <w:vertAlign w:val="superscript"/>
        </w:rPr>
      </w:pPr>
      <w:r w:rsidRPr="0093006A">
        <w:rPr>
          <w:color w:val="595959" w:themeColor="text1" w:themeTint="A6"/>
        </w:rPr>
        <w:t>P</w:t>
      </w:r>
      <w:r w:rsidR="00EF0656" w:rsidRPr="0093006A">
        <w:rPr>
          <w:color w:val="595959" w:themeColor="text1" w:themeTint="A6"/>
        </w:rPr>
        <w:t xml:space="preserve">rovide </w:t>
      </w:r>
      <w:r w:rsidR="00044A26" w:rsidRPr="0093006A">
        <w:rPr>
          <w:color w:val="595959" w:themeColor="text1" w:themeTint="A6"/>
        </w:rPr>
        <w:t>wraparound support services</w:t>
      </w:r>
      <w:r w:rsidRPr="0093006A">
        <w:rPr>
          <w:color w:val="595959" w:themeColor="text1" w:themeTint="A6"/>
        </w:rPr>
        <w:t>.</w:t>
      </w:r>
    </w:p>
    <w:p w14:paraId="462BACF3" w14:textId="2C25A775" w:rsidR="00044A26" w:rsidRPr="0093006A" w:rsidRDefault="00972229" w:rsidP="003769B7">
      <w:pPr>
        <w:pStyle w:val="ListParagraph"/>
        <w:numPr>
          <w:ilvl w:val="0"/>
          <w:numId w:val="21"/>
        </w:numPr>
        <w:spacing w:after="120"/>
        <w:rPr>
          <w:color w:val="595959" w:themeColor="text1" w:themeTint="A6"/>
          <w:vertAlign w:val="superscript"/>
        </w:rPr>
      </w:pPr>
      <w:r w:rsidRPr="0093006A">
        <w:rPr>
          <w:color w:val="595959" w:themeColor="text1" w:themeTint="A6"/>
        </w:rPr>
        <w:t>O</w:t>
      </w:r>
      <w:r w:rsidR="00EF0656" w:rsidRPr="0093006A">
        <w:rPr>
          <w:color w:val="595959" w:themeColor="text1" w:themeTint="A6"/>
        </w:rPr>
        <w:t xml:space="preserve">ffer </w:t>
      </w:r>
      <w:r w:rsidR="00044A26" w:rsidRPr="0093006A">
        <w:rPr>
          <w:color w:val="595959" w:themeColor="text1" w:themeTint="A6"/>
        </w:rPr>
        <w:t>clear visions of future real employment and career development.</w:t>
      </w:r>
      <w:r w:rsidR="00044A26" w:rsidRPr="0093006A">
        <w:rPr>
          <w:rStyle w:val="FootnoteReference"/>
          <w:color w:val="595959" w:themeColor="text1" w:themeTint="A6"/>
        </w:rPr>
        <w:footnoteReference w:id="92"/>
      </w:r>
      <w:r w:rsidR="00044A26" w:rsidRPr="0093006A">
        <w:rPr>
          <w:color w:val="595959" w:themeColor="text1" w:themeTint="A6"/>
          <w:vertAlign w:val="superscript"/>
        </w:rPr>
        <w:t>,</w:t>
      </w:r>
      <w:r w:rsidR="00044A26" w:rsidRPr="0093006A">
        <w:rPr>
          <w:rStyle w:val="FootnoteReference"/>
          <w:color w:val="595959" w:themeColor="text1" w:themeTint="A6"/>
        </w:rPr>
        <w:footnoteReference w:id="93"/>
      </w:r>
      <w:r w:rsidR="00044A26" w:rsidRPr="0093006A">
        <w:rPr>
          <w:color w:val="595959" w:themeColor="text1" w:themeTint="A6"/>
          <w:vertAlign w:val="superscript"/>
        </w:rPr>
        <w:t>,</w:t>
      </w:r>
      <w:r w:rsidR="00044A26" w:rsidRPr="0093006A">
        <w:rPr>
          <w:rStyle w:val="FootnoteReference"/>
          <w:color w:val="595959" w:themeColor="text1" w:themeTint="A6"/>
        </w:rPr>
        <w:footnoteReference w:id="94"/>
      </w:r>
      <w:r w:rsidR="0082738F" w:rsidRPr="0093006A">
        <w:rPr>
          <w:color w:val="595959" w:themeColor="text1" w:themeTint="A6"/>
          <w:vertAlign w:val="superscript"/>
        </w:rPr>
        <w:t>,</w:t>
      </w:r>
      <w:r w:rsidR="0082738F" w:rsidRPr="0093006A">
        <w:rPr>
          <w:rStyle w:val="FootnoteReference"/>
          <w:color w:val="595959" w:themeColor="text1" w:themeTint="A6"/>
        </w:rPr>
        <w:footnoteReference w:id="95"/>
      </w:r>
      <w:r w:rsidR="0082738F" w:rsidRPr="0093006A">
        <w:rPr>
          <w:color w:val="595959" w:themeColor="text1" w:themeTint="A6"/>
          <w:vertAlign w:val="superscript"/>
        </w:rPr>
        <w:t>,</w:t>
      </w:r>
      <w:r w:rsidR="0082738F" w:rsidRPr="0093006A">
        <w:rPr>
          <w:rStyle w:val="FootnoteReference"/>
          <w:color w:val="595959" w:themeColor="text1" w:themeTint="A6"/>
        </w:rPr>
        <w:footnoteReference w:id="96"/>
      </w:r>
    </w:p>
    <w:p w14:paraId="1496C85D" w14:textId="47AF407D" w:rsidR="008A2423" w:rsidRPr="0093006A" w:rsidRDefault="00044A26" w:rsidP="00FF62BB">
      <w:pPr>
        <w:spacing w:after="120"/>
        <w:rPr>
          <w:color w:val="595959" w:themeColor="text1" w:themeTint="A6"/>
          <w:vertAlign w:val="superscript"/>
        </w:rPr>
      </w:pPr>
      <w:r w:rsidRPr="0093006A">
        <w:rPr>
          <w:color w:val="595959" w:themeColor="text1" w:themeTint="A6"/>
        </w:rPr>
        <w:t>Non-Indigenous service providers were also noted as being able to provide support across the employment services sector and could provide additional support through</w:t>
      </w:r>
      <w:r w:rsidR="00800824" w:rsidRPr="0093006A">
        <w:rPr>
          <w:color w:val="595959" w:themeColor="text1" w:themeTint="A6"/>
        </w:rPr>
        <w:t xml:space="preserve"> the</w:t>
      </w:r>
      <w:r w:rsidRPr="0093006A">
        <w:rPr>
          <w:color w:val="595959" w:themeColor="text1" w:themeTint="A6"/>
        </w:rPr>
        <w:t xml:space="preserve"> ISEP but needed to do so in collaboration with ACCOs through partnership, co-design, and co-delivery as the central characteristics of their relationships.</w:t>
      </w:r>
      <w:r w:rsidRPr="0093006A">
        <w:rPr>
          <w:rStyle w:val="FootnoteReference"/>
          <w:color w:val="595959" w:themeColor="text1" w:themeTint="A6"/>
        </w:rPr>
        <w:footnoteReference w:id="97"/>
      </w:r>
      <w:r w:rsidRPr="0093006A">
        <w:rPr>
          <w:color w:val="595959" w:themeColor="text1" w:themeTint="A6"/>
          <w:vertAlign w:val="superscript"/>
        </w:rPr>
        <w:t>,</w:t>
      </w:r>
      <w:r w:rsidRPr="0093006A">
        <w:rPr>
          <w:rStyle w:val="FootnoteReference"/>
          <w:color w:val="595959" w:themeColor="text1" w:themeTint="A6"/>
        </w:rPr>
        <w:footnoteReference w:id="98"/>
      </w:r>
      <w:r w:rsidRPr="0093006A">
        <w:rPr>
          <w:color w:val="595959" w:themeColor="text1" w:themeTint="A6"/>
          <w:vertAlign w:val="superscript"/>
        </w:rPr>
        <w:t xml:space="preserve"> </w:t>
      </w:r>
    </w:p>
    <w:p w14:paraId="5397A939" w14:textId="07CD01E2" w:rsidR="00E77D42" w:rsidRPr="0093006A" w:rsidRDefault="00044A26" w:rsidP="00981521">
      <w:pPr>
        <w:spacing w:after="120"/>
        <w:contextualSpacing/>
        <w:rPr>
          <w:i/>
          <w:iCs/>
          <w:color w:val="595959" w:themeColor="text1" w:themeTint="A6"/>
          <w:sz w:val="28"/>
          <w:szCs w:val="28"/>
        </w:rPr>
      </w:pPr>
      <w:r w:rsidRPr="0093006A">
        <w:rPr>
          <w:color w:val="595959" w:themeColor="text1" w:themeTint="A6"/>
        </w:rPr>
        <w:t xml:space="preserve">Several respondents also recognised that without strong relationships with local Indigenous communities, and an understanding and appreciation of pressures for many Indigenous </w:t>
      </w:r>
      <w:r w:rsidR="00800824" w:rsidRPr="0093006A">
        <w:rPr>
          <w:color w:val="595959" w:themeColor="text1" w:themeTint="A6"/>
        </w:rPr>
        <w:t>Australians</w:t>
      </w:r>
      <w:r w:rsidRPr="0093006A">
        <w:rPr>
          <w:color w:val="595959" w:themeColor="text1" w:themeTint="A6"/>
        </w:rPr>
        <w:t>,</w:t>
      </w:r>
      <w:r w:rsidRPr="0093006A">
        <w:rPr>
          <w:rStyle w:val="FootnoteReference"/>
          <w:color w:val="595959" w:themeColor="text1" w:themeTint="A6"/>
        </w:rPr>
        <w:footnoteReference w:id="99"/>
      </w:r>
      <w:r w:rsidRPr="0093006A">
        <w:rPr>
          <w:color w:val="595959" w:themeColor="text1" w:themeTint="A6"/>
        </w:rPr>
        <w:t xml:space="preserve"> mainstream delivery of Indigenous-specific employment services would likely continue to underperform in facilitating Indigenous employment.</w:t>
      </w:r>
      <w:r w:rsidRPr="0093006A">
        <w:rPr>
          <w:rStyle w:val="FootnoteReference"/>
          <w:color w:val="595959" w:themeColor="text1" w:themeTint="A6"/>
        </w:rPr>
        <w:footnoteReference w:id="100"/>
      </w:r>
      <w:r w:rsidRPr="0093006A">
        <w:rPr>
          <w:color w:val="595959" w:themeColor="text1" w:themeTint="A6"/>
          <w:vertAlign w:val="superscript"/>
        </w:rPr>
        <w:t xml:space="preserve"> </w:t>
      </w:r>
      <w:r w:rsidR="00E77D42" w:rsidRPr="0093006A">
        <w:rPr>
          <w:i/>
          <w:iCs/>
          <w:color w:val="595959" w:themeColor="text1" w:themeTint="A6"/>
          <w:sz w:val="28"/>
          <w:szCs w:val="28"/>
        </w:rPr>
        <w:br w:type="page"/>
      </w:r>
    </w:p>
    <w:p w14:paraId="0DC47CBE" w14:textId="77777777" w:rsidR="00044A26" w:rsidRPr="0093006A" w:rsidRDefault="00044A26" w:rsidP="00FF62BB">
      <w:pPr>
        <w:spacing w:after="120"/>
        <w:rPr>
          <w:b/>
          <w:color w:val="595959" w:themeColor="text1" w:themeTint="A6"/>
          <w:sz w:val="24"/>
          <w:szCs w:val="24"/>
          <w:lang w:val="en-US"/>
        </w:rPr>
      </w:pPr>
      <w:r w:rsidRPr="0093006A">
        <w:rPr>
          <w:b/>
          <w:color w:val="595959" w:themeColor="text1" w:themeTint="A6"/>
          <w:sz w:val="24"/>
          <w:szCs w:val="24"/>
        </w:rPr>
        <w:t xml:space="preserve">Discussion Question 2: </w:t>
      </w:r>
      <w:r w:rsidRPr="0093006A">
        <w:rPr>
          <w:b/>
          <w:color w:val="595959" w:themeColor="text1" w:themeTint="A6"/>
          <w:sz w:val="24"/>
          <w:szCs w:val="24"/>
          <w:lang w:val="en-US"/>
        </w:rPr>
        <w:t>How could IAS investment be designed to be more flexible and responsive at the regional level, and better meet the needs of the community for Indigenous job seekers and employers?</w:t>
      </w:r>
    </w:p>
    <w:p w14:paraId="45F24862" w14:textId="77777777" w:rsidR="00044A26" w:rsidRPr="0093006A" w:rsidRDefault="00044A26" w:rsidP="00FF62BB">
      <w:pPr>
        <w:spacing w:after="120"/>
        <w:rPr>
          <w:color w:val="595959" w:themeColor="text1" w:themeTint="A6"/>
        </w:rPr>
      </w:pPr>
      <w:r w:rsidRPr="0093006A">
        <w:rPr>
          <w:color w:val="595959" w:themeColor="text1" w:themeTint="A6"/>
        </w:rPr>
        <w:t>In the second Discussion Question, prospective respondents</w:t>
      </w:r>
      <w:r w:rsidR="008A2423" w:rsidRPr="0093006A">
        <w:rPr>
          <w:color w:val="595959" w:themeColor="text1" w:themeTint="A6"/>
        </w:rPr>
        <w:t xml:space="preserve"> were asked</w:t>
      </w:r>
      <w:r w:rsidRPr="0093006A">
        <w:rPr>
          <w:color w:val="595959" w:themeColor="text1" w:themeTint="A6"/>
        </w:rPr>
        <w:t>:</w:t>
      </w:r>
    </w:p>
    <w:p w14:paraId="7ACFBCC0" w14:textId="77777777" w:rsidR="00044A26" w:rsidRPr="0093006A" w:rsidRDefault="00044A26" w:rsidP="00FF62BB">
      <w:pPr>
        <w:pStyle w:val="ListParagraph"/>
        <w:spacing w:after="120"/>
        <w:contextualSpacing w:val="0"/>
        <w:rPr>
          <w:color w:val="595959" w:themeColor="text1" w:themeTint="A6"/>
        </w:rPr>
      </w:pPr>
      <w:r w:rsidRPr="0093006A">
        <w:rPr>
          <w:color w:val="595959" w:themeColor="text1" w:themeTint="A6"/>
          <w:lang w:val="en-US"/>
        </w:rPr>
        <w:t>How could IAS investment be designed to be more flexible and responsive at the regional level, and better meet the needs of the community for Indigenous job seekers and employers?</w:t>
      </w:r>
    </w:p>
    <w:p w14:paraId="3CBEC129" w14:textId="727E085D" w:rsidR="00044A26" w:rsidRPr="0093006A" w:rsidRDefault="00044A26" w:rsidP="00981521">
      <w:pPr>
        <w:pStyle w:val="ListParagraph"/>
        <w:numPr>
          <w:ilvl w:val="1"/>
          <w:numId w:val="14"/>
        </w:numPr>
        <w:spacing w:after="120"/>
        <w:contextualSpacing w:val="0"/>
        <w:rPr>
          <w:color w:val="595959" w:themeColor="text1" w:themeTint="A6"/>
        </w:rPr>
      </w:pPr>
      <w:r w:rsidRPr="0093006A">
        <w:rPr>
          <w:color w:val="595959" w:themeColor="text1" w:themeTint="A6"/>
        </w:rPr>
        <w:t>NIAA is interested in stakeholders’ views on more flexible investment that builds on success factors and leverages partnerships and other investment at the local level, including partnerships and opportunities for co-investment with industry.</w:t>
      </w:r>
      <w:r w:rsidRPr="0093006A">
        <w:rPr>
          <w:rStyle w:val="FootnoteReference"/>
          <w:color w:val="595959" w:themeColor="text1" w:themeTint="A6"/>
        </w:rPr>
        <w:footnoteReference w:id="101"/>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s 11 and 12"/>
        <w:tblDescription w:val="The ISEP should embed shared decision making by supporting and funding ACCOs in the delivery of Indigenous-specific employment services. The ISEP should invest in local ACCOs and Indigenous-specific employment services through flexible and accessible funding arrangements.&#10;"/>
      </w:tblPr>
      <w:tblGrid>
        <w:gridCol w:w="8930"/>
      </w:tblGrid>
      <w:tr w:rsidR="0093006A" w:rsidRPr="0093006A" w14:paraId="4A0E158F" w14:textId="77777777" w:rsidTr="00091525">
        <w:trPr>
          <w:cantSplit/>
          <w:tblHeader/>
        </w:trPr>
        <w:tc>
          <w:tcPr>
            <w:tcW w:w="8930" w:type="dxa"/>
            <w:shd w:val="clear" w:color="auto" w:fill="auto"/>
          </w:tcPr>
          <w:p w14:paraId="7D05294B" w14:textId="5A1E7001" w:rsidR="00FF62BB" w:rsidRPr="0093006A" w:rsidRDefault="00FF62BB" w:rsidP="0048465C">
            <w:pPr>
              <w:spacing w:after="120"/>
              <w:rPr>
                <w:b/>
                <w:bCs/>
                <w:i/>
                <w:iCs/>
                <w:color w:val="595959" w:themeColor="text1" w:themeTint="A6"/>
              </w:rPr>
            </w:pPr>
            <w:r w:rsidRPr="0093006A">
              <w:rPr>
                <w:b/>
                <w:bCs/>
                <w:i/>
                <w:iCs/>
                <w:color w:val="595959" w:themeColor="text1" w:themeTint="A6"/>
              </w:rPr>
              <w:t xml:space="preserve">Key </w:t>
            </w:r>
            <w:r w:rsidR="0071077A" w:rsidRPr="0093006A">
              <w:rPr>
                <w:b/>
                <w:bCs/>
                <w:i/>
                <w:iCs/>
                <w:color w:val="595959" w:themeColor="text1" w:themeTint="A6"/>
              </w:rPr>
              <w:t>I</w:t>
            </w:r>
            <w:r w:rsidRPr="0093006A">
              <w:rPr>
                <w:b/>
                <w:bCs/>
                <w:i/>
                <w:iCs/>
                <w:color w:val="595959" w:themeColor="text1" w:themeTint="A6"/>
              </w:rPr>
              <w:t>nsight</w:t>
            </w:r>
            <w:r w:rsidR="00842F0F" w:rsidRPr="0093006A">
              <w:rPr>
                <w:b/>
                <w:bCs/>
                <w:i/>
                <w:iCs/>
                <w:color w:val="595959" w:themeColor="text1" w:themeTint="A6"/>
              </w:rPr>
              <w:t>s</w:t>
            </w:r>
            <w:r w:rsidR="0071077A" w:rsidRPr="0093006A">
              <w:rPr>
                <w:b/>
                <w:bCs/>
                <w:i/>
                <w:iCs/>
                <w:color w:val="595959" w:themeColor="text1" w:themeTint="A6"/>
              </w:rPr>
              <w:t xml:space="preserve"> </w:t>
            </w:r>
            <w:r w:rsidR="0027618B" w:rsidRPr="0093006A">
              <w:rPr>
                <w:b/>
                <w:bCs/>
                <w:i/>
                <w:iCs/>
                <w:color w:val="595959" w:themeColor="text1" w:themeTint="A6"/>
              </w:rPr>
              <w:t>1</w:t>
            </w:r>
            <w:r w:rsidR="007829DA" w:rsidRPr="0093006A">
              <w:rPr>
                <w:b/>
                <w:bCs/>
                <w:i/>
                <w:iCs/>
                <w:color w:val="595959" w:themeColor="text1" w:themeTint="A6"/>
              </w:rPr>
              <w:t>1</w:t>
            </w:r>
            <w:r w:rsidR="00A74853" w:rsidRPr="0093006A">
              <w:rPr>
                <w:b/>
                <w:bCs/>
                <w:i/>
                <w:iCs/>
                <w:color w:val="595959" w:themeColor="text1" w:themeTint="A6"/>
              </w:rPr>
              <w:t xml:space="preserve"> &amp; 12</w:t>
            </w:r>
          </w:p>
        </w:tc>
      </w:tr>
      <w:tr w:rsidR="00FF62BB" w:rsidRPr="0093006A" w14:paraId="532746DC" w14:textId="77777777" w:rsidTr="00091525">
        <w:trPr>
          <w:cantSplit/>
          <w:tblHeader/>
        </w:trPr>
        <w:tc>
          <w:tcPr>
            <w:tcW w:w="8930" w:type="dxa"/>
          </w:tcPr>
          <w:p w14:paraId="19EBA828" w14:textId="5C237A86" w:rsidR="00140BFC" w:rsidRPr="0093006A" w:rsidRDefault="00140BFC" w:rsidP="00140BFC">
            <w:pPr>
              <w:spacing w:after="120"/>
              <w:textDirection w:val="btLr"/>
              <w:rPr>
                <w:b/>
                <w:bCs/>
                <w:color w:val="595959" w:themeColor="text1" w:themeTint="A6"/>
              </w:rPr>
            </w:pPr>
            <w:r w:rsidRPr="0093006A">
              <w:rPr>
                <w:b/>
                <w:bCs/>
                <w:color w:val="595959" w:themeColor="text1" w:themeTint="A6"/>
              </w:rPr>
              <w:t xml:space="preserve">The ISEP should embed shared decision making by supporting and funding ACCOs in the delivery of Indigenous-specific employment services </w:t>
            </w:r>
          </w:p>
          <w:p w14:paraId="7044FAFD" w14:textId="0F0D8267" w:rsidR="00140BFC" w:rsidRPr="0093006A" w:rsidRDefault="00140BFC" w:rsidP="00A74853">
            <w:pPr>
              <w:spacing w:after="120"/>
              <w:textDirection w:val="btLr"/>
              <w:rPr>
                <w:b/>
                <w:color w:val="595959" w:themeColor="text1" w:themeTint="A6"/>
              </w:rPr>
            </w:pPr>
            <w:r w:rsidRPr="0093006A">
              <w:rPr>
                <w:color w:val="595959" w:themeColor="text1" w:themeTint="A6"/>
              </w:rPr>
              <w:t xml:space="preserve">ACCOs </w:t>
            </w:r>
            <w:r w:rsidR="00937ED9" w:rsidRPr="0093006A">
              <w:rPr>
                <w:color w:val="595959" w:themeColor="text1" w:themeTint="A6"/>
              </w:rPr>
              <w:t xml:space="preserve">can </w:t>
            </w:r>
            <w:r w:rsidRPr="0093006A">
              <w:rPr>
                <w:color w:val="595959" w:themeColor="text1" w:themeTint="A6"/>
              </w:rPr>
              <w:t>act as key partners and co-designers of locally and culturally specific employment service provision for current and future Indigenous employees. The primary way of achieving this under the ISEP is a government-funded and supported ‘one-stop shop’ service in each region that enables collaboration between all major stakeholders.</w:t>
            </w:r>
          </w:p>
          <w:p w14:paraId="26D07699" w14:textId="75B9CE18" w:rsidR="00140BFC" w:rsidRPr="0093006A" w:rsidRDefault="00140BFC" w:rsidP="00140BFC">
            <w:pPr>
              <w:spacing w:after="120"/>
              <w:textDirection w:val="btLr"/>
              <w:rPr>
                <w:b/>
                <w:bCs/>
                <w:color w:val="595959" w:themeColor="text1" w:themeTint="A6"/>
              </w:rPr>
            </w:pPr>
            <w:r w:rsidRPr="0093006A">
              <w:rPr>
                <w:b/>
                <w:bCs/>
                <w:color w:val="595959" w:themeColor="text1" w:themeTint="A6"/>
              </w:rPr>
              <w:t xml:space="preserve">The ISEP should invest in local ACCOs and Indigenous-specific employment services through flexible and accessible funding arrangements </w:t>
            </w:r>
          </w:p>
          <w:p w14:paraId="45DD3AD8" w14:textId="5CADB53A" w:rsidR="00FF62BB" w:rsidRPr="0093006A" w:rsidRDefault="00140BFC" w:rsidP="00FF62BB">
            <w:pPr>
              <w:spacing w:after="120"/>
              <w:textDirection w:val="btLr"/>
              <w:rPr>
                <w:color w:val="595959" w:themeColor="text1" w:themeTint="A6"/>
              </w:rPr>
            </w:pPr>
            <w:r w:rsidRPr="0093006A">
              <w:rPr>
                <w:color w:val="595959" w:themeColor="text1" w:themeTint="A6"/>
              </w:rPr>
              <w:t xml:space="preserve">Local ACCOs and Indigenous specific employment services </w:t>
            </w:r>
            <w:r w:rsidR="008F0E6B" w:rsidRPr="0093006A">
              <w:rPr>
                <w:color w:val="595959" w:themeColor="text1" w:themeTint="A6"/>
              </w:rPr>
              <w:t xml:space="preserve">should </w:t>
            </w:r>
            <w:r w:rsidRPr="0093006A">
              <w:rPr>
                <w:color w:val="595959" w:themeColor="text1" w:themeTint="A6"/>
              </w:rPr>
              <w:t>be the key mechanism (or conduit) for the delivery of the ISEP. Further resourcing of ACCOs and local Indigenous employment services would result in strengthening of relationships between Indigenous communities, employers, service providers, and government in locally and culturally specific ways</w:t>
            </w:r>
            <w:r w:rsidR="009170D8" w:rsidRPr="0093006A">
              <w:rPr>
                <w:color w:val="595959" w:themeColor="text1" w:themeTint="A6"/>
              </w:rPr>
              <w:t>.</w:t>
            </w:r>
          </w:p>
        </w:tc>
      </w:tr>
    </w:tbl>
    <w:p w14:paraId="24D65052" w14:textId="77777777" w:rsidR="00044A26" w:rsidRPr="0093006A" w:rsidRDefault="00044A26" w:rsidP="00AD596F">
      <w:pPr>
        <w:spacing w:after="120"/>
        <w:contextualSpacing/>
        <w:rPr>
          <w:color w:val="595959" w:themeColor="text1" w:themeTint="A6"/>
        </w:rPr>
      </w:pPr>
    </w:p>
    <w:p w14:paraId="4CD430EE" w14:textId="77777777" w:rsidR="00044A26" w:rsidRPr="0093006A" w:rsidRDefault="00044A26" w:rsidP="00FF62BB">
      <w:pPr>
        <w:spacing w:after="120"/>
        <w:rPr>
          <w:color w:val="595959" w:themeColor="text1" w:themeTint="A6"/>
        </w:rPr>
      </w:pPr>
      <w:r w:rsidRPr="0093006A">
        <w:rPr>
          <w:color w:val="595959" w:themeColor="text1" w:themeTint="A6"/>
        </w:rPr>
        <w:t>Building and supporting Aboriginal community-controlled employment organisations to deliver ISEP for flexible, place-based, community-level driven outcomes</w:t>
      </w:r>
    </w:p>
    <w:p w14:paraId="0365FDD2" w14:textId="58399779" w:rsidR="00FF62BB" w:rsidRPr="0093006A" w:rsidRDefault="008A2423" w:rsidP="00FF62BB">
      <w:pPr>
        <w:spacing w:after="120"/>
        <w:rPr>
          <w:color w:val="595959" w:themeColor="text1" w:themeTint="A6"/>
        </w:rPr>
      </w:pPr>
      <w:r w:rsidRPr="0093006A">
        <w:rPr>
          <w:color w:val="595959" w:themeColor="text1" w:themeTint="A6"/>
        </w:rPr>
        <w:t xml:space="preserve">Many respondents called for a </w:t>
      </w:r>
      <w:r w:rsidR="00044A26" w:rsidRPr="0093006A">
        <w:rPr>
          <w:color w:val="595959" w:themeColor="text1" w:themeTint="A6"/>
        </w:rPr>
        <w:t>major investment of funding by NIAA for local Indigenous-owned and -controlled organisations through the ISEP as co-designers, leaders, and decision makers.</w:t>
      </w:r>
      <w:r w:rsidR="00044A26" w:rsidRPr="0093006A">
        <w:rPr>
          <w:rStyle w:val="FootnoteReference"/>
          <w:color w:val="595959" w:themeColor="text1" w:themeTint="A6"/>
        </w:rPr>
        <w:footnoteReference w:id="102"/>
      </w:r>
      <w:r w:rsidR="00800824" w:rsidRPr="0093006A">
        <w:rPr>
          <w:color w:val="595959" w:themeColor="text1" w:themeTint="A6"/>
          <w:vertAlign w:val="superscript"/>
        </w:rPr>
        <w:t>,</w:t>
      </w:r>
      <w:r w:rsidR="00800824" w:rsidRPr="0093006A">
        <w:rPr>
          <w:rStyle w:val="FootnoteReference"/>
          <w:color w:val="595959" w:themeColor="text1" w:themeTint="A6"/>
        </w:rPr>
        <w:footnoteReference w:id="103"/>
      </w:r>
      <w:r w:rsidR="00044A26" w:rsidRPr="0093006A">
        <w:rPr>
          <w:color w:val="595959" w:themeColor="text1" w:themeTint="A6"/>
        </w:rPr>
        <w:t xml:space="preserve"> </w:t>
      </w:r>
    </w:p>
    <w:p w14:paraId="7AC70F38" w14:textId="7D64C844" w:rsidR="00044A26" w:rsidRPr="0093006A" w:rsidRDefault="00044A26" w:rsidP="00FF62BB">
      <w:pPr>
        <w:spacing w:after="120"/>
        <w:rPr>
          <w:color w:val="595959" w:themeColor="text1" w:themeTint="A6"/>
        </w:rPr>
      </w:pPr>
      <w:r w:rsidRPr="0093006A">
        <w:rPr>
          <w:color w:val="595959" w:themeColor="text1" w:themeTint="A6"/>
        </w:rPr>
        <w:t xml:space="preserve">Respondents highlighted how Indigenous </w:t>
      </w:r>
      <w:r w:rsidR="00972229" w:rsidRPr="0093006A">
        <w:rPr>
          <w:color w:val="595959" w:themeColor="text1" w:themeTint="A6"/>
        </w:rPr>
        <w:t>s</w:t>
      </w:r>
      <w:r w:rsidRPr="0093006A">
        <w:rPr>
          <w:color w:val="595959" w:themeColor="text1" w:themeTint="A6"/>
        </w:rPr>
        <w:t xml:space="preserve">ector organisations </w:t>
      </w:r>
      <w:r w:rsidR="00800824" w:rsidRPr="0093006A">
        <w:rPr>
          <w:color w:val="595959" w:themeColor="text1" w:themeTint="A6"/>
        </w:rPr>
        <w:t xml:space="preserve">– including ACCOs, ACCHOs, PBCs, and LALCs – </w:t>
      </w:r>
      <w:r w:rsidRPr="0093006A">
        <w:rPr>
          <w:color w:val="595959" w:themeColor="text1" w:themeTint="A6"/>
        </w:rPr>
        <w:t xml:space="preserve">delivering Indigenous-specific employment programs and working across a range of industries and sectors, have the capacity to supply long-term training, education, and employment outcomes through their relationships and experience working with local </w:t>
      </w:r>
      <w:r w:rsidR="00E56EEB" w:rsidRPr="0093006A">
        <w:rPr>
          <w:color w:val="595959" w:themeColor="text1" w:themeTint="A6"/>
        </w:rPr>
        <w:t>Indigenous</w:t>
      </w:r>
      <w:r w:rsidRPr="0093006A">
        <w:rPr>
          <w:color w:val="595959" w:themeColor="text1" w:themeTint="A6"/>
        </w:rPr>
        <w:t xml:space="preserve"> communities in culturally appropriate and safe ways. These respondents argued that ACCOs, therefore, should be prioritised – and targeted – in all future IAS investment and the subsequent establishment of </w:t>
      </w:r>
      <w:r w:rsidR="00800824" w:rsidRPr="0093006A">
        <w:rPr>
          <w:color w:val="595959" w:themeColor="text1" w:themeTint="A6"/>
        </w:rPr>
        <w:t xml:space="preserve">the </w:t>
      </w:r>
      <w:r w:rsidRPr="0093006A">
        <w:rPr>
          <w:color w:val="595959" w:themeColor="text1" w:themeTint="A6"/>
        </w:rPr>
        <w:t>ISEP.</w:t>
      </w:r>
      <w:r w:rsidRPr="0093006A">
        <w:rPr>
          <w:rStyle w:val="FootnoteReference"/>
          <w:color w:val="595959" w:themeColor="text1" w:themeTint="A6"/>
        </w:rPr>
        <w:footnoteReference w:id="104"/>
      </w:r>
      <w:r w:rsidRPr="0093006A">
        <w:rPr>
          <w:color w:val="595959" w:themeColor="text1" w:themeTint="A6"/>
          <w:vertAlign w:val="superscript"/>
        </w:rPr>
        <w:t>,</w:t>
      </w:r>
      <w:r w:rsidRPr="0093006A">
        <w:rPr>
          <w:rStyle w:val="FootnoteReference"/>
          <w:color w:val="595959" w:themeColor="text1" w:themeTint="A6"/>
        </w:rPr>
        <w:footnoteReference w:id="105"/>
      </w:r>
      <w:r w:rsidRPr="0093006A">
        <w:rPr>
          <w:color w:val="595959" w:themeColor="text1" w:themeTint="A6"/>
          <w:vertAlign w:val="superscript"/>
        </w:rPr>
        <w:t>,</w:t>
      </w:r>
      <w:r w:rsidRPr="0093006A">
        <w:rPr>
          <w:rStyle w:val="FootnoteReference"/>
          <w:color w:val="595959" w:themeColor="text1" w:themeTint="A6"/>
        </w:rPr>
        <w:footnoteReference w:id="106"/>
      </w:r>
      <w:r w:rsidRPr="0093006A">
        <w:rPr>
          <w:color w:val="595959" w:themeColor="text1" w:themeTint="A6"/>
          <w:vertAlign w:val="superscript"/>
        </w:rPr>
        <w:t>,</w:t>
      </w:r>
      <w:r w:rsidRPr="0093006A">
        <w:rPr>
          <w:rStyle w:val="FootnoteReference"/>
          <w:color w:val="595959" w:themeColor="text1" w:themeTint="A6"/>
        </w:rPr>
        <w:footnoteReference w:id="107"/>
      </w:r>
      <w:r w:rsidRPr="0093006A">
        <w:rPr>
          <w:color w:val="595959" w:themeColor="text1" w:themeTint="A6"/>
          <w:vertAlign w:val="superscript"/>
        </w:rPr>
        <w:t>,</w:t>
      </w:r>
      <w:r w:rsidRPr="0093006A">
        <w:rPr>
          <w:rStyle w:val="FootnoteReference"/>
          <w:color w:val="595959" w:themeColor="text1" w:themeTint="A6"/>
        </w:rPr>
        <w:footnoteReference w:id="108"/>
      </w:r>
      <w:r w:rsidRPr="0093006A">
        <w:rPr>
          <w:color w:val="595959" w:themeColor="text1" w:themeTint="A6"/>
          <w:vertAlign w:val="superscript"/>
        </w:rPr>
        <w:t>,</w:t>
      </w:r>
      <w:r w:rsidRPr="0093006A">
        <w:rPr>
          <w:rStyle w:val="FootnoteReference"/>
          <w:color w:val="595959" w:themeColor="text1" w:themeTint="A6"/>
        </w:rPr>
        <w:footnoteReference w:id="109"/>
      </w:r>
      <w:r w:rsidRPr="0093006A">
        <w:rPr>
          <w:color w:val="595959" w:themeColor="text1" w:themeTint="A6"/>
          <w:vertAlign w:val="superscript"/>
        </w:rPr>
        <w:t>,</w:t>
      </w:r>
      <w:r w:rsidRPr="0093006A">
        <w:rPr>
          <w:rStyle w:val="FootnoteReference"/>
          <w:color w:val="595959" w:themeColor="text1" w:themeTint="A6"/>
        </w:rPr>
        <w:footnoteReference w:id="110"/>
      </w:r>
      <w:r w:rsidRPr="0093006A">
        <w:rPr>
          <w:color w:val="595959" w:themeColor="text1" w:themeTint="A6"/>
          <w:vertAlign w:val="superscript"/>
        </w:rPr>
        <w:t>,</w:t>
      </w:r>
      <w:r w:rsidRPr="0093006A">
        <w:rPr>
          <w:rStyle w:val="FootnoteReference"/>
          <w:color w:val="595959" w:themeColor="text1" w:themeTint="A6"/>
        </w:rPr>
        <w:footnoteReference w:id="111"/>
      </w:r>
      <w:r w:rsidR="00800824" w:rsidRPr="0093006A">
        <w:rPr>
          <w:color w:val="595959" w:themeColor="text1" w:themeTint="A6"/>
          <w:vertAlign w:val="superscript"/>
        </w:rPr>
        <w:t>,</w:t>
      </w:r>
      <w:r w:rsidR="00800824" w:rsidRPr="0093006A">
        <w:rPr>
          <w:rStyle w:val="FootnoteReference"/>
          <w:color w:val="595959" w:themeColor="text1" w:themeTint="A6"/>
        </w:rPr>
        <w:footnoteReference w:id="112"/>
      </w:r>
      <w:r w:rsidR="00800824" w:rsidRPr="0093006A">
        <w:rPr>
          <w:color w:val="595959" w:themeColor="text1" w:themeTint="A6"/>
          <w:vertAlign w:val="superscript"/>
        </w:rPr>
        <w:t>,</w:t>
      </w:r>
      <w:r w:rsidR="00800824" w:rsidRPr="0093006A">
        <w:rPr>
          <w:rStyle w:val="FootnoteReference"/>
          <w:color w:val="595959" w:themeColor="text1" w:themeTint="A6"/>
        </w:rPr>
        <w:footnoteReference w:id="113"/>
      </w:r>
      <w:r w:rsidR="00800824" w:rsidRPr="0093006A">
        <w:rPr>
          <w:color w:val="595959" w:themeColor="text1" w:themeTint="A6"/>
          <w:vertAlign w:val="superscript"/>
        </w:rPr>
        <w:t>,</w:t>
      </w:r>
      <w:r w:rsidR="00800824" w:rsidRPr="0093006A">
        <w:rPr>
          <w:rStyle w:val="FootnoteReference"/>
          <w:color w:val="595959" w:themeColor="text1" w:themeTint="A6"/>
        </w:rPr>
        <w:footnoteReference w:id="114"/>
      </w:r>
    </w:p>
    <w:p w14:paraId="419FBE72" w14:textId="70935A3F" w:rsidR="00044A26" w:rsidRPr="0093006A" w:rsidRDefault="00044A26" w:rsidP="00FF62BB">
      <w:pPr>
        <w:spacing w:after="120"/>
        <w:rPr>
          <w:color w:val="595959" w:themeColor="text1" w:themeTint="A6"/>
        </w:rPr>
      </w:pPr>
      <w:r w:rsidRPr="0093006A">
        <w:rPr>
          <w:color w:val="595959" w:themeColor="text1" w:themeTint="A6"/>
        </w:rPr>
        <w:t xml:space="preserve">Further resourcing, bolstering, and support specifically for the </w:t>
      </w:r>
      <w:r w:rsidR="00E56EEB" w:rsidRPr="0093006A">
        <w:rPr>
          <w:color w:val="595959" w:themeColor="text1" w:themeTint="A6"/>
        </w:rPr>
        <w:t xml:space="preserve">Indigenous </w:t>
      </w:r>
      <w:r w:rsidRPr="0093006A">
        <w:rPr>
          <w:color w:val="595959" w:themeColor="text1" w:themeTint="A6"/>
        </w:rPr>
        <w:t>community-controlled employment sector, and its value in this context, was seen as key method for ISEP to build on the success of existing Indigenous-led and -owned service provision for Indigenous employees and service participants. Doing so, respondents advise</w:t>
      </w:r>
      <w:r w:rsidR="00972229" w:rsidRPr="0093006A">
        <w:rPr>
          <w:color w:val="595959" w:themeColor="text1" w:themeTint="A6"/>
        </w:rPr>
        <w:t>d</w:t>
      </w:r>
      <w:r w:rsidRPr="0093006A">
        <w:rPr>
          <w:color w:val="595959" w:themeColor="text1" w:themeTint="A6"/>
        </w:rPr>
        <w:t>, would:</w:t>
      </w:r>
    </w:p>
    <w:p w14:paraId="2859F2DB" w14:textId="1E63DDA1" w:rsidR="00044A26" w:rsidRPr="0093006A" w:rsidRDefault="00972229" w:rsidP="00981521">
      <w:pPr>
        <w:pStyle w:val="ListParagraph"/>
        <w:numPr>
          <w:ilvl w:val="0"/>
          <w:numId w:val="76"/>
        </w:numPr>
        <w:rPr>
          <w:color w:val="595959" w:themeColor="text1" w:themeTint="A6"/>
          <w:vertAlign w:val="superscript"/>
        </w:rPr>
      </w:pPr>
      <w:r w:rsidRPr="0093006A">
        <w:rPr>
          <w:color w:val="595959" w:themeColor="text1" w:themeTint="A6"/>
        </w:rPr>
        <w:t>I</w:t>
      </w:r>
      <w:r w:rsidR="00044A26" w:rsidRPr="0093006A">
        <w:rPr>
          <w:color w:val="595959" w:themeColor="text1" w:themeTint="A6"/>
        </w:rPr>
        <w:t>ncrease the current rates of case management support</w:t>
      </w:r>
      <w:r w:rsidRPr="0093006A">
        <w:rPr>
          <w:color w:val="595959" w:themeColor="text1" w:themeTint="A6"/>
        </w:rPr>
        <w:t>.</w:t>
      </w:r>
    </w:p>
    <w:p w14:paraId="1DC6946D" w14:textId="783A25F4" w:rsidR="00044A26" w:rsidRPr="0093006A" w:rsidRDefault="00972229" w:rsidP="00981521">
      <w:pPr>
        <w:pStyle w:val="ListParagraph"/>
        <w:numPr>
          <w:ilvl w:val="0"/>
          <w:numId w:val="76"/>
        </w:numPr>
        <w:rPr>
          <w:color w:val="595959" w:themeColor="text1" w:themeTint="A6"/>
          <w:vertAlign w:val="superscript"/>
        </w:rPr>
      </w:pPr>
      <w:r w:rsidRPr="0093006A">
        <w:rPr>
          <w:color w:val="595959" w:themeColor="text1" w:themeTint="A6"/>
        </w:rPr>
        <w:t>A</w:t>
      </w:r>
      <w:r w:rsidR="00044A26" w:rsidRPr="0093006A">
        <w:rPr>
          <w:color w:val="595959" w:themeColor="text1" w:themeTint="A6"/>
        </w:rPr>
        <w:t>ssist with targeted cohorts in local contexts</w:t>
      </w:r>
      <w:r w:rsidRPr="0093006A">
        <w:rPr>
          <w:color w:val="595959" w:themeColor="text1" w:themeTint="A6"/>
        </w:rPr>
        <w:t>.</w:t>
      </w:r>
    </w:p>
    <w:p w14:paraId="2AD933D2" w14:textId="69CEF1E2" w:rsidR="005830C6" w:rsidRPr="0093006A" w:rsidRDefault="00972229" w:rsidP="00981521">
      <w:pPr>
        <w:pStyle w:val="ListParagraph"/>
        <w:numPr>
          <w:ilvl w:val="0"/>
          <w:numId w:val="76"/>
        </w:numPr>
        <w:rPr>
          <w:color w:val="595959" w:themeColor="text1" w:themeTint="A6"/>
          <w:vertAlign w:val="superscript"/>
        </w:rPr>
      </w:pPr>
      <w:r w:rsidRPr="0093006A">
        <w:rPr>
          <w:color w:val="595959" w:themeColor="text1" w:themeTint="A6"/>
        </w:rPr>
        <w:t>D</w:t>
      </w:r>
      <w:r w:rsidR="005830C6" w:rsidRPr="0093006A">
        <w:rPr>
          <w:color w:val="595959" w:themeColor="text1" w:themeTint="A6"/>
        </w:rPr>
        <w:t>evelop job-ready Aboriginal talent pools</w:t>
      </w:r>
      <w:r w:rsidRPr="0093006A">
        <w:rPr>
          <w:color w:val="595959" w:themeColor="text1" w:themeTint="A6"/>
        </w:rPr>
        <w:t>.</w:t>
      </w:r>
    </w:p>
    <w:p w14:paraId="6638DD68" w14:textId="432248D6" w:rsidR="00044A26" w:rsidRPr="0093006A" w:rsidRDefault="00972229" w:rsidP="00981521">
      <w:pPr>
        <w:pStyle w:val="ListParagraph"/>
        <w:numPr>
          <w:ilvl w:val="0"/>
          <w:numId w:val="76"/>
        </w:numPr>
        <w:rPr>
          <w:color w:val="595959" w:themeColor="text1" w:themeTint="A6"/>
          <w:vertAlign w:val="superscript"/>
        </w:rPr>
      </w:pPr>
      <w:r w:rsidRPr="0093006A">
        <w:rPr>
          <w:color w:val="595959" w:themeColor="text1" w:themeTint="A6"/>
        </w:rPr>
        <w:t>C</w:t>
      </w:r>
      <w:r w:rsidR="00044A26" w:rsidRPr="0093006A">
        <w:rPr>
          <w:color w:val="595959" w:themeColor="text1" w:themeTint="A6"/>
        </w:rPr>
        <w:t>reate Indigenous-specific workforce specialists</w:t>
      </w:r>
      <w:r w:rsidRPr="0093006A">
        <w:rPr>
          <w:color w:val="595959" w:themeColor="text1" w:themeTint="A6"/>
        </w:rPr>
        <w:t>.</w:t>
      </w:r>
    </w:p>
    <w:p w14:paraId="2E92C762" w14:textId="15511C80" w:rsidR="00044A26" w:rsidRPr="0093006A" w:rsidRDefault="00972229" w:rsidP="00DB4DA5">
      <w:pPr>
        <w:pStyle w:val="ListParagraph"/>
        <w:numPr>
          <w:ilvl w:val="0"/>
          <w:numId w:val="76"/>
        </w:numPr>
        <w:rPr>
          <w:color w:val="595959" w:themeColor="text1" w:themeTint="A6"/>
          <w:vertAlign w:val="superscript"/>
        </w:rPr>
      </w:pPr>
      <w:r w:rsidRPr="0093006A">
        <w:rPr>
          <w:color w:val="595959" w:themeColor="text1" w:themeTint="A6"/>
        </w:rPr>
        <w:t>P</w:t>
      </w:r>
      <w:r w:rsidR="00044A26" w:rsidRPr="0093006A">
        <w:rPr>
          <w:color w:val="595959" w:themeColor="text1" w:themeTint="A6"/>
        </w:rPr>
        <w:t>rovide ongoing training, qualifications, and support beyond the 26-week milestone</w:t>
      </w:r>
      <w:r w:rsidRPr="0093006A">
        <w:rPr>
          <w:color w:val="595959" w:themeColor="text1" w:themeTint="A6"/>
        </w:rPr>
        <w:t>.</w:t>
      </w:r>
    </w:p>
    <w:p w14:paraId="3E8AD4EE" w14:textId="63BF1D69" w:rsidR="00DB4DA5" w:rsidRPr="0093006A" w:rsidRDefault="00972229" w:rsidP="00DB4DA5">
      <w:pPr>
        <w:pStyle w:val="ListParagraph"/>
        <w:numPr>
          <w:ilvl w:val="0"/>
          <w:numId w:val="76"/>
        </w:numPr>
        <w:rPr>
          <w:color w:val="595959" w:themeColor="text1" w:themeTint="A6"/>
          <w:vertAlign w:val="superscript"/>
        </w:rPr>
      </w:pPr>
      <w:r w:rsidRPr="0093006A">
        <w:rPr>
          <w:color w:val="595959" w:themeColor="text1" w:themeTint="A6"/>
        </w:rPr>
        <w:t>F</w:t>
      </w:r>
      <w:r w:rsidR="00DB4DA5" w:rsidRPr="0093006A">
        <w:rPr>
          <w:color w:val="595959" w:themeColor="text1" w:themeTint="A6"/>
        </w:rPr>
        <w:t>urther the development and administration of cultural safety and aptitude mentoring delivery</w:t>
      </w:r>
      <w:r w:rsidRPr="0093006A">
        <w:rPr>
          <w:color w:val="595959" w:themeColor="text1" w:themeTint="A6"/>
        </w:rPr>
        <w:t>.</w:t>
      </w:r>
    </w:p>
    <w:p w14:paraId="4ABFD6FC" w14:textId="35D826DA" w:rsidR="00DB4DA5" w:rsidRPr="0093006A" w:rsidRDefault="00972229" w:rsidP="00981521">
      <w:pPr>
        <w:pStyle w:val="ListParagraph"/>
        <w:numPr>
          <w:ilvl w:val="0"/>
          <w:numId w:val="76"/>
        </w:numPr>
        <w:rPr>
          <w:color w:val="595959" w:themeColor="text1" w:themeTint="A6"/>
          <w:vertAlign w:val="superscript"/>
        </w:rPr>
      </w:pPr>
      <w:r w:rsidRPr="0093006A">
        <w:rPr>
          <w:color w:val="595959" w:themeColor="text1" w:themeTint="A6"/>
        </w:rPr>
        <w:t>E</w:t>
      </w:r>
      <w:r w:rsidR="00DB4DA5" w:rsidRPr="0093006A">
        <w:rPr>
          <w:color w:val="595959" w:themeColor="text1" w:themeTint="A6"/>
        </w:rPr>
        <w:t>stablish a national Aboriginal employment taskforce and/or Aboriginal employment service peak body.</w:t>
      </w:r>
      <w:r w:rsidR="00DB4DA5" w:rsidRPr="0093006A">
        <w:rPr>
          <w:rStyle w:val="FootnoteReference"/>
          <w:color w:val="595959" w:themeColor="text1" w:themeTint="A6"/>
        </w:rPr>
        <w:footnoteReference w:id="115"/>
      </w:r>
      <w:r w:rsidR="00DB4DA5" w:rsidRPr="0093006A">
        <w:rPr>
          <w:color w:val="595959" w:themeColor="text1" w:themeTint="A6"/>
          <w:vertAlign w:val="superscript"/>
        </w:rPr>
        <w:t>,</w:t>
      </w:r>
      <w:r w:rsidR="00DB4DA5" w:rsidRPr="0093006A">
        <w:rPr>
          <w:rStyle w:val="FootnoteReference"/>
          <w:color w:val="595959" w:themeColor="text1" w:themeTint="A6"/>
        </w:rPr>
        <w:footnoteReference w:id="116"/>
      </w:r>
      <w:r w:rsidR="00DB4DA5" w:rsidRPr="0093006A">
        <w:rPr>
          <w:color w:val="595959" w:themeColor="text1" w:themeTint="A6"/>
          <w:vertAlign w:val="superscript"/>
        </w:rPr>
        <w:t>,</w:t>
      </w:r>
      <w:r w:rsidR="00DB4DA5" w:rsidRPr="0093006A">
        <w:rPr>
          <w:rStyle w:val="FootnoteReference"/>
          <w:color w:val="595959" w:themeColor="text1" w:themeTint="A6"/>
        </w:rPr>
        <w:footnoteReference w:id="117"/>
      </w:r>
      <w:r w:rsidR="00DB4DA5" w:rsidRPr="0093006A">
        <w:rPr>
          <w:color w:val="595959" w:themeColor="text1" w:themeTint="A6"/>
          <w:vertAlign w:val="superscript"/>
        </w:rPr>
        <w:t>,</w:t>
      </w:r>
      <w:r w:rsidR="00DB4DA5" w:rsidRPr="0093006A">
        <w:rPr>
          <w:rStyle w:val="FootnoteReference"/>
          <w:color w:val="595959" w:themeColor="text1" w:themeTint="A6"/>
        </w:rPr>
        <w:footnoteReference w:id="118"/>
      </w:r>
      <w:r w:rsidR="00DB4DA5" w:rsidRPr="0093006A">
        <w:rPr>
          <w:color w:val="595959" w:themeColor="text1" w:themeTint="A6"/>
          <w:vertAlign w:val="superscript"/>
        </w:rPr>
        <w:t>,</w:t>
      </w:r>
      <w:r w:rsidR="00DB4DA5" w:rsidRPr="0093006A">
        <w:rPr>
          <w:rStyle w:val="FootnoteReference"/>
          <w:color w:val="595959" w:themeColor="text1" w:themeTint="A6"/>
        </w:rPr>
        <w:footnoteReference w:id="119"/>
      </w:r>
    </w:p>
    <w:p w14:paraId="3846C1D9" w14:textId="77777777" w:rsidR="00DB4DA5" w:rsidRPr="0093006A" w:rsidRDefault="00DB4DA5" w:rsidP="00981521">
      <w:pPr>
        <w:rPr>
          <w:color w:val="595959" w:themeColor="text1" w:themeTint="A6"/>
        </w:rPr>
      </w:pPr>
    </w:p>
    <w:p w14:paraId="37007EF3" w14:textId="40574DA4" w:rsidR="00FF62BB" w:rsidRPr="0093006A" w:rsidRDefault="00044A26" w:rsidP="00FF62BB">
      <w:pPr>
        <w:spacing w:after="120"/>
        <w:rPr>
          <w:color w:val="595959" w:themeColor="text1" w:themeTint="A6"/>
          <w:vertAlign w:val="superscript"/>
        </w:rPr>
      </w:pPr>
      <w:r w:rsidRPr="0093006A">
        <w:rPr>
          <w:color w:val="595959" w:themeColor="text1" w:themeTint="A6"/>
        </w:rPr>
        <w:t>Several respondents also emphasised that ACCOs have the capacity to identify barriers to employment</w:t>
      </w:r>
      <w:r w:rsidR="00972229" w:rsidRPr="0093006A">
        <w:rPr>
          <w:color w:val="595959" w:themeColor="text1" w:themeTint="A6"/>
        </w:rPr>
        <w:t xml:space="preserve"> and</w:t>
      </w:r>
      <w:r w:rsidRPr="0093006A">
        <w:rPr>
          <w:color w:val="595959" w:themeColor="text1" w:themeTint="A6"/>
        </w:rPr>
        <w:t xml:space="preserve"> community expectations for service provision, and could assist in identifying key industries in the region </w:t>
      </w:r>
      <w:r w:rsidR="005830C6" w:rsidRPr="0093006A">
        <w:rPr>
          <w:color w:val="595959" w:themeColor="text1" w:themeTint="A6"/>
        </w:rPr>
        <w:t xml:space="preserve">to partner with </w:t>
      </w:r>
      <w:r w:rsidRPr="0093006A">
        <w:rPr>
          <w:color w:val="595959" w:themeColor="text1" w:themeTint="A6"/>
        </w:rPr>
        <w:t>NIAA and local governments, particularly within the context of partnership and co-design as per the National Agreement.</w:t>
      </w:r>
      <w:r w:rsidRPr="0093006A">
        <w:rPr>
          <w:rStyle w:val="FootnoteReference"/>
          <w:color w:val="595959" w:themeColor="text1" w:themeTint="A6"/>
        </w:rPr>
        <w:footnoteReference w:id="120"/>
      </w:r>
      <w:r w:rsidRPr="0093006A">
        <w:rPr>
          <w:color w:val="595959" w:themeColor="text1" w:themeTint="A6"/>
          <w:vertAlign w:val="superscript"/>
        </w:rPr>
        <w:t>,</w:t>
      </w:r>
      <w:r w:rsidRPr="0093006A">
        <w:rPr>
          <w:rStyle w:val="FootnoteReference"/>
          <w:color w:val="595959" w:themeColor="text1" w:themeTint="A6"/>
        </w:rPr>
        <w:footnoteReference w:id="121"/>
      </w:r>
      <w:r w:rsidRPr="0093006A">
        <w:rPr>
          <w:color w:val="595959" w:themeColor="text1" w:themeTint="A6"/>
          <w:vertAlign w:val="superscript"/>
        </w:rPr>
        <w:t>,</w:t>
      </w:r>
      <w:r w:rsidRPr="0093006A">
        <w:rPr>
          <w:rStyle w:val="FootnoteReference"/>
          <w:color w:val="595959" w:themeColor="text1" w:themeTint="A6"/>
        </w:rPr>
        <w:footnoteReference w:id="122"/>
      </w:r>
      <w:r w:rsidRPr="0093006A">
        <w:rPr>
          <w:color w:val="595959" w:themeColor="text1" w:themeTint="A6"/>
        </w:rPr>
        <w:t xml:space="preserve"> The strengthening of connections for localised outcomes between ACCOs as conduits between Indigenous and non-Indigenous service providers and industry partners looking for Indigenous employees, was also considered a vital consideration for the eventual ISEP model which could seek to develop local mechanisms to facilitate these relationships.</w:t>
      </w:r>
      <w:r w:rsidRPr="0093006A">
        <w:rPr>
          <w:rStyle w:val="FootnoteReference"/>
          <w:color w:val="595959" w:themeColor="text1" w:themeTint="A6"/>
        </w:rPr>
        <w:footnoteReference w:id="123"/>
      </w:r>
      <w:r w:rsidRPr="0093006A">
        <w:rPr>
          <w:color w:val="595959" w:themeColor="text1" w:themeTint="A6"/>
          <w:vertAlign w:val="superscript"/>
        </w:rPr>
        <w:t>,</w:t>
      </w:r>
      <w:r w:rsidRPr="0093006A">
        <w:rPr>
          <w:rStyle w:val="FootnoteReference"/>
          <w:color w:val="595959" w:themeColor="text1" w:themeTint="A6"/>
        </w:rPr>
        <w:footnoteReference w:id="124"/>
      </w:r>
      <w:r w:rsidRPr="0093006A">
        <w:rPr>
          <w:color w:val="595959" w:themeColor="text1" w:themeTint="A6"/>
          <w:vertAlign w:val="superscript"/>
        </w:rPr>
        <w:t>,</w:t>
      </w:r>
      <w:r w:rsidRPr="0093006A">
        <w:rPr>
          <w:rStyle w:val="FootnoteReference"/>
          <w:color w:val="595959" w:themeColor="text1" w:themeTint="A6"/>
        </w:rPr>
        <w:footnoteReference w:id="125"/>
      </w:r>
      <w:r w:rsidRPr="0093006A">
        <w:rPr>
          <w:color w:val="595959" w:themeColor="text1" w:themeTint="A6"/>
          <w:vertAlign w:val="superscript"/>
        </w:rPr>
        <w:t>,</w:t>
      </w:r>
      <w:r w:rsidRPr="0093006A">
        <w:rPr>
          <w:rStyle w:val="FootnoteReference"/>
          <w:color w:val="595959" w:themeColor="text1" w:themeTint="A6"/>
        </w:rPr>
        <w:footnoteReference w:id="126"/>
      </w:r>
      <w:r w:rsidRPr="0093006A">
        <w:rPr>
          <w:color w:val="595959" w:themeColor="text1" w:themeTint="A6"/>
          <w:vertAlign w:val="superscript"/>
        </w:rPr>
        <w:t>,</w:t>
      </w:r>
      <w:r w:rsidRPr="0093006A">
        <w:rPr>
          <w:rStyle w:val="FootnoteReference"/>
          <w:color w:val="595959" w:themeColor="text1" w:themeTint="A6"/>
        </w:rPr>
        <w:footnoteReference w:id="127"/>
      </w:r>
      <w:r w:rsidRPr="0093006A">
        <w:rPr>
          <w:color w:val="595959" w:themeColor="text1" w:themeTint="A6"/>
          <w:vertAlign w:val="superscript"/>
        </w:rPr>
        <w:t>,</w:t>
      </w:r>
      <w:r w:rsidRPr="0093006A">
        <w:rPr>
          <w:rStyle w:val="FootnoteReference"/>
          <w:color w:val="595959" w:themeColor="text1" w:themeTint="A6"/>
        </w:rPr>
        <w:footnoteReference w:id="128"/>
      </w:r>
      <w:r w:rsidRPr="0093006A">
        <w:rPr>
          <w:rStyle w:val="FootnoteReference"/>
          <w:color w:val="595959" w:themeColor="text1" w:themeTint="A6"/>
        </w:rPr>
        <w:t>,</w:t>
      </w:r>
      <w:r w:rsidRPr="0093006A">
        <w:rPr>
          <w:rStyle w:val="FootnoteReference"/>
          <w:color w:val="595959" w:themeColor="text1" w:themeTint="A6"/>
        </w:rPr>
        <w:footnoteReference w:id="129"/>
      </w:r>
      <w:r w:rsidRPr="0093006A">
        <w:rPr>
          <w:color w:val="595959" w:themeColor="text1" w:themeTint="A6"/>
          <w:vertAlign w:val="superscript"/>
        </w:rPr>
        <w:t xml:space="preserve">  </w:t>
      </w:r>
    </w:p>
    <w:p w14:paraId="29130F4A" w14:textId="02486548" w:rsidR="00044A26" w:rsidRPr="0093006A" w:rsidRDefault="00044A26" w:rsidP="00FF62BB">
      <w:pPr>
        <w:spacing w:after="120"/>
        <w:rPr>
          <w:color w:val="595959" w:themeColor="text1" w:themeTint="A6"/>
          <w:vertAlign w:val="superscript"/>
        </w:rPr>
      </w:pPr>
      <w:r w:rsidRPr="0093006A">
        <w:rPr>
          <w:color w:val="595959" w:themeColor="text1" w:themeTint="A6"/>
        </w:rPr>
        <w:t>Potential brokerage and mentorship payments for ACCOs who help establish and maintain these relationships for Indigenous employees was also suggested.</w:t>
      </w:r>
      <w:r w:rsidRPr="0093006A">
        <w:rPr>
          <w:rStyle w:val="FootnoteReference"/>
          <w:color w:val="595959" w:themeColor="text1" w:themeTint="A6"/>
        </w:rPr>
        <w:footnoteReference w:id="130"/>
      </w:r>
      <w:r w:rsidRPr="0093006A">
        <w:rPr>
          <w:color w:val="595959" w:themeColor="text1" w:themeTint="A6"/>
          <w:vertAlign w:val="superscript"/>
        </w:rPr>
        <w:t>,</w:t>
      </w:r>
      <w:r w:rsidRPr="0093006A">
        <w:rPr>
          <w:rStyle w:val="FootnoteReference"/>
          <w:color w:val="595959" w:themeColor="text1" w:themeTint="A6"/>
        </w:rPr>
        <w:footnoteReference w:id="131"/>
      </w:r>
      <w:r w:rsidRPr="0093006A">
        <w:rPr>
          <w:color w:val="595959" w:themeColor="text1" w:themeTint="A6"/>
        </w:rPr>
        <w:t xml:space="preserve"> Such funding could incorporate partnerships with local employment and industries within each region, but also need to ensure their flexibility to facilitate </w:t>
      </w:r>
      <w:r w:rsidR="00E56EEB" w:rsidRPr="0093006A">
        <w:rPr>
          <w:color w:val="595959" w:themeColor="text1" w:themeTint="A6"/>
        </w:rPr>
        <w:t>Indigenous</w:t>
      </w:r>
      <w:r w:rsidRPr="0093006A">
        <w:rPr>
          <w:color w:val="595959" w:themeColor="text1" w:themeTint="A6"/>
        </w:rPr>
        <w:t xml:space="preserve"> co-design and leadership in their construction for community needs and aspirations</w:t>
      </w:r>
      <w:r w:rsidRPr="0093006A">
        <w:rPr>
          <w:color w:val="595959" w:themeColor="text1" w:themeTint="A6"/>
          <w:vertAlign w:val="superscript"/>
        </w:rPr>
        <w:t>.</w:t>
      </w:r>
      <w:r w:rsidRPr="0093006A">
        <w:rPr>
          <w:rStyle w:val="FootnoteReference"/>
          <w:color w:val="595959" w:themeColor="text1" w:themeTint="A6"/>
        </w:rPr>
        <w:footnoteReference w:id="132"/>
      </w:r>
      <w:r w:rsidRPr="0093006A">
        <w:rPr>
          <w:color w:val="595959" w:themeColor="text1" w:themeTint="A6"/>
          <w:vertAlign w:val="superscript"/>
        </w:rPr>
        <w:t>,</w:t>
      </w:r>
      <w:r w:rsidRPr="0093006A">
        <w:rPr>
          <w:rStyle w:val="FootnoteReference"/>
          <w:color w:val="595959" w:themeColor="text1" w:themeTint="A6"/>
        </w:rPr>
        <w:footnoteReference w:id="133"/>
      </w:r>
      <w:r w:rsidRPr="0093006A">
        <w:rPr>
          <w:color w:val="595959" w:themeColor="text1" w:themeTint="A6"/>
          <w:vertAlign w:val="superscript"/>
        </w:rPr>
        <w:t>,</w:t>
      </w:r>
      <w:r w:rsidRPr="0093006A">
        <w:rPr>
          <w:rStyle w:val="FootnoteReference"/>
          <w:color w:val="595959" w:themeColor="text1" w:themeTint="A6"/>
        </w:rPr>
        <w:footnoteReference w:id="134"/>
      </w:r>
      <w:r w:rsidRPr="0093006A">
        <w:rPr>
          <w:color w:val="595959" w:themeColor="text1" w:themeTint="A6"/>
          <w:vertAlign w:val="superscript"/>
        </w:rPr>
        <w:t>,</w:t>
      </w:r>
      <w:r w:rsidRPr="0093006A">
        <w:rPr>
          <w:rStyle w:val="FootnoteReference"/>
          <w:color w:val="595959" w:themeColor="text1" w:themeTint="A6"/>
        </w:rPr>
        <w:footnoteReference w:id="135"/>
      </w:r>
      <w:r w:rsidRPr="0093006A">
        <w:rPr>
          <w:color w:val="595959" w:themeColor="text1" w:themeTint="A6"/>
          <w:vertAlign w:val="superscript"/>
        </w:rPr>
        <w:t>,</w:t>
      </w:r>
      <w:r w:rsidRPr="0093006A">
        <w:rPr>
          <w:rStyle w:val="FootnoteReference"/>
          <w:color w:val="595959" w:themeColor="text1" w:themeTint="A6"/>
        </w:rPr>
        <w:footnoteReference w:id="136"/>
      </w:r>
      <w:r w:rsidR="005830C6" w:rsidRPr="0093006A">
        <w:rPr>
          <w:color w:val="595959" w:themeColor="text1" w:themeTint="A6"/>
          <w:vertAlign w:val="superscript"/>
        </w:rPr>
        <w:t>,</w:t>
      </w:r>
      <w:r w:rsidR="005830C6" w:rsidRPr="0093006A">
        <w:rPr>
          <w:rStyle w:val="FootnoteReference"/>
          <w:color w:val="595959" w:themeColor="text1" w:themeTint="A6"/>
        </w:rPr>
        <w:footnoteReference w:id="137"/>
      </w:r>
      <w:r w:rsidRPr="0093006A">
        <w:rPr>
          <w:color w:val="595959" w:themeColor="text1" w:themeTint="A6"/>
          <w:vertAlign w:val="superscript"/>
        </w:rPr>
        <w:t xml:space="preserve"> </w:t>
      </w:r>
    </w:p>
    <w:p w14:paraId="6E599EEF" w14:textId="2E623EBE" w:rsidR="008B2848" w:rsidRPr="0093006A" w:rsidRDefault="00044A26" w:rsidP="00FF62BB">
      <w:pPr>
        <w:spacing w:after="120"/>
        <w:rPr>
          <w:color w:val="595959" w:themeColor="text1" w:themeTint="A6"/>
        </w:rPr>
      </w:pPr>
      <w:r w:rsidRPr="0093006A">
        <w:rPr>
          <w:color w:val="595959" w:themeColor="text1" w:themeTint="A6"/>
        </w:rPr>
        <w:t>Another major recommendation made by several respondents in response to Discussion Question 2 was for the ISEP to create training and employment ‘hubs’ in each region/locality that brings stakeholders together in locally-specific ways. This suggestion is taken up further in response to Discussion Question 4, below.</w:t>
      </w:r>
    </w:p>
    <w:p w14:paraId="6B5B99B9" w14:textId="11B2D7CA" w:rsidR="00044A26" w:rsidRPr="0093006A" w:rsidRDefault="00044A26" w:rsidP="00FF62BB">
      <w:pPr>
        <w:spacing w:after="120"/>
        <w:rPr>
          <w:color w:val="595959" w:themeColor="text1" w:themeTint="A6"/>
        </w:rPr>
      </w:pPr>
      <w:r w:rsidRPr="0093006A">
        <w:rPr>
          <w:color w:val="595959" w:themeColor="text1" w:themeTint="A6"/>
        </w:rPr>
        <w:t>ISEP needs to create simple administrative processes and ensure funding accessibility for Indigenous applicants</w:t>
      </w:r>
    </w:p>
    <w:p w14:paraId="34252FC4" w14:textId="20B1F259" w:rsidR="00044A26" w:rsidRPr="0093006A" w:rsidRDefault="00044A26" w:rsidP="00FF62BB">
      <w:pPr>
        <w:spacing w:after="120"/>
        <w:rPr>
          <w:color w:val="595959" w:themeColor="text1" w:themeTint="A6"/>
        </w:rPr>
      </w:pPr>
      <w:r w:rsidRPr="0093006A">
        <w:rPr>
          <w:color w:val="595959" w:themeColor="text1" w:themeTint="A6"/>
        </w:rPr>
        <w:t xml:space="preserve">Numerous respondents pointed to the need for </w:t>
      </w:r>
      <w:r w:rsidR="005830C6" w:rsidRPr="0093006A">
        <w:rPr>
          <w:color w:val="595959" w:themeColor="text1" w:themeTint="A6"/>
        </w:rPr>
        <w:t xml:space="preserve">both </w:t>
      </w:r>
      <w:r w:rsidRPr="0093006A">
        <w:rPr>
          <w:color w:val="595959" w:themeColor="text1" w:themeTint="A6"/>
        </w:rPr>
        <w:t>ISEP and IAS funding to be made simple, flexible, clear, and accessible for all stakeholders in locally-specific ways.</w:t>
      </w:r>
      <w:r w:rsidRPr="0093006A">
        <w:rPr>
          <w:rStyle w:val="FootnoteReference"/>
          <w:color w:val="595959" w:themeColor="text1" w:themeTint="A6"/>
        </w:rPr>
        <w:footnoteReference w:id="138"/>
      </w:r>
      <w:r w:rsidRPr="0093006A">
        <w:rPr>
          <w:color w:val="595959" w:themeColor="text1" w:themeTint="A6"/>
          <w:vertAlign w:val="superscript"/>
        </w:rPr>
        <w:t>,</w:t>
      </w:r>
      <w:r w:rsidRPr="0093006A">
        <w:rPr>
          <w:rStyle w:val="FootnoteReference"/>
          <w:color w:val="595959" w:themeColor="text1" w:themeTint="A6"/>
        </w:rPr>
        <w:footnoteReference w:id="139"/>
      </w:r>
      <w:r w:rsidR="0082738F" w:rsidRPr="0093006A">
        <w:rPr>
          <w:color w:val="595959" w:themeColor="text1" w:themeTint="A6"/>
          <w:vertAlign w:val="superscript"/>
        </w:rPr>
        <w:t>,</w:t>
      </w:r>
      <w:r w:rsidR="0082738F" w:rsidRPr="0093006A">
        <w:rPr>
          <w:rStyle w:val="FootnoteReference"/>
          <w:color w:val="595959" w:themeColor="text1" w:themeTint="A6"/>
        </w:rPr>
        <w:footnoteReference w:id="140"/>
      </w:r>
      <w:r w:rsidRPr="0093006A">
        <w:rPr>
          <w:color w:val="595959" w:themeColor="text1" w:themeTint="A6"/>
        </w:rPr>
        <w:t xml:space="preserve"> This includes a focus on streamlining reporting procedures, funding emphasis on employment outcomes over inputs, incentivising the ongoing support of Indigenous employees, reducing lengthy and arduous layers of approval needed for accessing those funds, and the swift delivery of outcomes to ensure key job opportunities are not missed for participants of Indigenous-specific employment services.</w:t>
      </w:r>
      <w:r w:rsidRPr="0093006A">
        <w:rPr>
          <w:rStyle w:val="FootnoteReference"/>
          <w:color w:val="595959" w:themeColor="text1" w:themeTint="A6"/>
        </w:rPr>
        <w:footnoteReference w:id="141"/>
      </w:r>
      <w:r w:rsidRPr="0093006A">
        <w:rPr>
          <w:color w:val="595959" w:themeColor="text1" w:themeTint="A6"/>
          <w:vertAlign w:val="superscript"/>
        </w:rPr>
        <w:t>,</w:t>
      </w:r>
      <w:r w:rsidRPr="0093006A">
        <w:rPr>
          <w:rStyle w:val="FootnoteReference"/>
          <w:color w:val="595959" w:themeColor="text1" w:themeTint="A6"/>
        </w:rPr>
        <w:footnoteReference w:id="142"/>
      </w:r>
      <w:r w:rsidRPr="0093006A">
        <w:rPr>
          <w:color w:val="595959" w:themeColor="text1" w:themeTint="A6"/>
          <w:vertAlign w:val="superscript"/>
        </w:rPr>
        <w:t>,</w:t>
      </w:r>
      <w:r w:rsidRPr="0093006A">
        <w:rPr>
          <w:rStyle w:val="FootnoteReference"/>
          <w:color w:val="595959" w:themeColor="text1" w:themeTint="A6"/>
        </w:rPr>
        <w:footnoteReference w:id="143"/>
      </w:r>
      <w:r w:rsidRPr="0093006A">
        <w:rPr>
          <w:color w:val="595959" w:themeColor="text1" w:themeTint="A6"/>
          <w:vertAlign w:val="superscript"/>
        </w:rPr>
        <w:t>,</w:t>
      </w:r>
      <w:r w:rsidRPr="0093006A">
        <w:rPr>
          <w:rStyle w:val="FootnoteReference"/>
          <w:color w:val="595959" w:themeColor="text1" w:themeTint="A6"/>
        </w:rPr>
        <w:footnoteReference w:id="144"/>
      </w:r>
      <w:r w:rsidRPr="0093006A">
        <w:rPr>
          <w:color w:val="595959" w:themeColor="text1" w:themeTint="A6"/>
        </w:rPr>
        <w:t xml:space="preserve"> Contracts and tenders, several respondents note, should be prioritised for and subsequently awarded to Indigenous businesses and ACCOs for Indigenous-led decision making, goals, and outcomes,</w:t>
      </w:r>
      <w:r w:rsidRPr="0093006A">
        <w:rPr>
          <w:rStyle w:val="FootnoteReference"/>
          <w:color w:val="595959" w:themeColor="text1" w:themeTint="A6"/>
        </w:rPr>
        <w:footnoteReference w:id="145"/>
      </w:r>
      <w:r w:rsidRPr="0093006A">
        <w:rPr>
          <w:color w:val="595959" w:themeColor="text1" w:themeTint="A6"/>
          <w:vertAlign w:val="superscript"/>
        </w:rPr>
        <w:t>,</w:t>
      </w:r>
      <w:r w:rsidRPr="0093006A">
        <w:rPr>
          <w:rStyle w:val="FootnoteReference"/>
          <w:color w:val="595959" w:themeColor="text1" w:themeTint="A6"/>
        </w:rPr>
        <w:footnoteReference w:id="146"/>
      </w:r>
      <w:r w:rsidR="005830C6" w:rsidRPr="0093006A">
        <w:rPr>
          <w:color w:val="595959" w:themeColor="text1" w:themeTint="A6"/>
          <w:vertAlign w:val="superscript"/>
        </w:rPr>
        <w:t>,</w:t>
      </w:r>
      <w:r w:rsidR="005830C6" w:rsidRPr="0093006A">
        <w:rPr>
          <w:rStyle w:val="FootnoteReference"/>
          <w:color w:val="595959" w:themeColor="text1" w:themeTint="A6"/>
        </w:rPr>
        <w:footnoteReference w:id="147"/>
      </w:r>
      <w:r w:rsidRPr="0093006A">
        <w:rPr>
          <w:color w:val="595959" w:themeColor="text1" w:themeTint="A6"/>
        </w:rPr>
        <w:t xml:space="preserve"> particularly in remote and regional settings, to ensure they are competitive with non-Indigenous or mainstream employers and service providers in accessing IAS funding.</w:t>
      </w:r>
      <w:r w:rsidRPr="0093006A">
        <w:rPr>
          <w:rStyle w:val="FootnoteReference"/>
          <w:color w:val="595959" w:themeColor="text1" w:themeTint="A6"/>
        </w:rPr>
        <w:footnoteReference w:id="148"/>
      </w:r>
      <w:r w:rsidRPr="0093006A">
        <w:rPr>
          <w:color w:val="595959" w:themeColor="text1" w:themeTint="A6"/>
          <w:vertAlign w:val="superscript"/>
        </w:rPr>
        <w:t>,</w:t>
      </w:r>
      <w:r w:rsidRPr="0093006A">
        <w:rPr>
          <w:rStyle w:val="FootnoteReference"/>
          <w:color w:val="595959" w:themeColor="text1" w:themeTint="A6"/>
        </w:rPr>
        <w:footnoteReference w:id="149"/>
      </w:r>
      <w:r w:rsidR="005830C6" w:rsidRPr="0093006A">
        <w:rPr>
          <w:color w:val="595959" w:themeColor="text1" w:themeTint="A6"/>
          <w:vertAlign w:val="superscript"/>
        </w:rPr>
        <w:t>,</w:t>
      </w:r>
      <w:r w:rsidR="005830C6" w:rsidRPr="0093006A">
        <w:rPr>
          <w:rStyle w:val="FootnoteReference"/>
          <w:color w:val="595959" w:themeColor="text1" w:themeTint="A6"/>
        </w:rPr>
        <w:footnoteReference w:id="150"/>
      </w:r>
      <w:r w:rsidRPr="0093006A">
        <w:rPr>
          <w:color w:val="595959" w:themeColor="text1" w:themeTint="A6"/>
        </w:rPr>
        <w:t xml:space="preserve"> </w:t>
      </w:r>
    </w:p>
    <w:p w14:paraId="3544146B" w14:textId="704A5B40" w:rsidR="00044A26" w:rsidRPr="0093006A" w:rsidRDefault="00044A26" w:rsidP="00044A26">
      <w:pPr>
        <w:rPr>
          <w:b/>
          <w:bCs/>
          <w:color w:val="595959" w:themeColor="text1" w:themeTint="A6"/>
        </w:rPr>
      </w:pPr>
      <w:r w:rsidRPr="0093006A">
        <w:rPr>
          <w:color w:val="595959" w:themeColor="text1" w:themeTint="A6"/>
        </w:rPr>
        <w:t xml:space="preserve">These arrangements could also request all mainstream service providers and non-Indigenous employers include evidence of seeking input and ongoing consultation with Indigenous community representatives and ACCOs to feed into their outcomes </w:t>
      </w:r>
      <w:r w:rsidR="005830C6" w:rsidRPr="0093006A">
        <w:rPr>
          <w:color w:val="595959" w:themeColor="text1" w:themeTint="A6"/>
        </w:rPr>
        <w:t xml:space="preserve">as a collaboration measure </w:t>
      </w:r>
      <w:r w:rsidRPr="0093006A">
        <w:rPr>
          <w:color w:val="595959" w:themeColor="text1" w:themeTint="A6"/>
        </w:rPr>
        <w:t>prior to accessing ISEP funding.</w:t>
      </w:r>
      <w:r w:rsidRPr="0093006A">
        <w:rPr>
          <w:rStyle w:val="FootnoteReference"/>
          <w:color w:val="595959" w:themeColor="text1" w:themeTint="A6"/>
        </w:rPr>
        <w:footnoteReference w:id="151"/>
      </w:r>
      <w:r w:rsidRPr="0093006A">
        <w:rPr>
          <w:color w:val="595959" w:themeColor="text1" w:themeTint="A6"/>
          <w:vertAlign w:val="superscript"/>
        </w:rPr>
        <w:t>,</w:t>
      </w:r>
      <w:r w:rsidRPr="0093006A">
        <w:rPr>
          <w:rStyle w:val="FootnoteReference"/>
          <w:color w:val="595959" w:themeColor="text1" w:themeTint="A6"/>
        </w:rPr>
        <w:footnoteReference w:id="152"/>
      </w:r>
      <w:r w:rsidRPr="0093006A">
        <w:rPr>
          <w:color w:val="595959" w:themeColor="text1" w:themeTint="A6"/>
          <w:vertAlign w:val="superscript"/>
        </w:rPr>
        <w:t>,</w:t>
      </w:r>
      <w:r w:rsidRPr="0093006A">
        <w:rPr>
          <w:rStyle w:val="FootnoteReference"/>
          <w:color w:val="595959" w:themeColor="text1" w:themeTint="A6"/>
        </w:rPr>
        <w:footnoteReference w:id="153"/>
      </w:r>
      <w:r w:rsidR="005830C6" w:rsidRPr="0093006A">
        <w:rPr>
          <w:color w:val="595959" w:themeColor="text1" w:themeTint="A6"/>
          <w:vertAlign w:val="superscript"/>
        </w:rPr>
        <w:t>,</w:t>
      </w:r>
      <w:r w:rsidR="005830C6" w:rsidRPr="0093006A">
        <w:rPr>
          <w:rStyle w:val="FootnoteReference"/>
          <w:color w:val="595959" w:themeColor="text1" w:themeTint="A6"/>
        </w:rPr>
        <w:footnoteReference w:id="154"/>
      </w:r>
      <w:r w:rsidRPr="0093006A">
        <w:rPr>
          <w:color w:val="595959" w:themeColor="text1" w:themeTint="A6"/>
        </w:rPr>
        <w:t xml:space="preserve"> Further, employers could be asked to invest directly in to the retention of Indigenous employees under NIAA’s direction in negotiation of such arrangements.</w:t>
      </w:r>
      <w:r w:rsidRPr="0093006A">
        <w:rPr>
          <w:rStyle w:val="FootnoteReference"/>
          <w:color w:val="595959" w:themeColor="text1" w:themeTint="A6"/>
        </w:rPr>
        <w:footnoteReference w:id="155"/>
      </w:r>
      <w:r w:rsidRPr="0093006A">
        <w:rPr>
          <w:color w:val="595959" w:themeColor="text1" w:themeTint="A6"/>
        </w:rPr>
        <w:t xml:space="preserve"> Several respondents also pointed to the rollout of the IAS, and the subsequent reports by the Australian National Audit Office, for guidance on how to best ensure ACCOs are preference in such streamlined administration processes under the ISEP.</w:t>
      </w:r>
      <w:r w:rsidRPr="0093006A">
        <w:rPr>
          <w:rStyle w:val="FootnoteReference"/>
          <w:color w:val="595959" w:themeColor="text1" w:themeTint="A6"/>
        </w:rPr>
        <w:footnoteReference w:id="156"/>
      </w:r>
      <w:r w:rsidR="002D3B71" w:rsidRPr="0093006A">
        <w:rPr>
          <w:color w:val="595959" w:themeColor="text1" w:themeTint="A6"/>
        </w:rPr>
        <w:t xml:space="preserve"> </w:t>
      </w:r>
      <w:r w:rsidR="00E77D42" w:rsidRPr="0093006A">
        <w:rPr>
          <w:b/>
          <w:bCs/>
          <w:color w:val="595959" w:themeColor="text1" w:themeTint="A6"/>
        </w:rPr>
        <w:br w:type="page"/>
      </w:r>
    </w:p>
    <w:p w14:paraId="45254CE2" w14:textId="77777777" w:rsidR="00044A26" w:rsidRPr="0093006A" w:rsidRDefault="00044A26" w:rsidP="00FF62BB">
      <w:pPr>
        <w:spacing w:after="120"/>
        <w:rPr>
          <w:b/>
          <w:color w:val="595959" w:themeColor="text1" w:themeTint="A6"/>
          <w:sz w:val="24"/>
          <w:szCs w:val="24"/>
        </w:rPr>
      </w:pPr>
      <w:r w:rsidRPr="0093006A">
        <w:rPr>
          <w:b/>
          <w:color w:val="595959" w:themeColor="text1" w:themeTint="A6"/>
          <w:sz w:val="24"/>
          <w:szCs w:val="24"/>
        </w:rPr>
        <w:t xml:space="preserve">Discussion Question 3: </w:t>
      </w:r>
      <w:r w:rsidRPr="0093006A">
        <w:rPr>
          <w:b/>
          <w:color w:val="595959" w:themeColor="text1" w:themeTint="A6"/>
          <w:sz w:val="24"/>
          <w:szCs w:val="24"/>
          <w:lang w:val="en-US"/>
        </w:rPr>
        <w:t>How should results of the new ISEP program be measured, monitored and evaluated to ensure investment contributes to closing the gap in employment outcomes?</w:t>
      </w:r>
    </w:p>
    <w:p w14:paraId="4303634D" w14:textId="77777777" w:rsidR="00044A26" w:rsidRPr="0093006A" w:rsidRDefault="00044A26" w:rsidP="00FF62BB">
      <w:pPr>
        <w:spacing w:after="120"/>
        <w:rPr>
          <w:color w:val="595959" w:themeColor="text1" w:themeTint="A6"/>
        </w:rPr>
      </w:pPr>
      <w:r w:rsidRPr="0093006A">
        <w:rPr>
          <w:color w:val="595959" w:themeColor="text1" w:themeTint="A6"/>
        </w:rPr>
        <w:t>In the third Discussion Question, NIAA asked prospective respondents:</w:t>
      </w:r>
    </w:p>
    <w:p w14:paraId="74055BB5" w14:textId="77777777" w:rsidR="00044A26" w:rsidRPr="0093006A" w:rsidRDefault="00044A26" w:rsidP="00FF62BB">
      <w:pPr>
        <w:pStyle w:val="ListParagraph"/>
        <w:spacing w:after="120"/>
        <w:rPr>
          <w:color w:val="595959" w:themeColor="text1" w:themeTint="A6"/>
        </w:rPr>
      </w:pPr>
      <w:r w:rsidRPr="0093006A">
        <w:rPr>
          <w:color w:val="595959" w:themeColor="text1" w:themeTint="A6"/>
        </w:rPr>
        <w:t>How should results of the new ISEP program be measured, monitored and evaluated to ensure investment contributes to closing the gap in employment outcomes?</w:t>
      </w:r>
    </w:p>
    <w:p w14:paraId="5E916106" w14:textId="1F07DC5C" w:rsidR="00044A26" w:rsidRPr="0093006A" w:rsidRDefault="00044A26" w:rsidP="00981521">
      <w:pPr>
        <w:pStyle w:val="ListParagraph"/>
        <w:numPr>
          <w:ilvl w:val="1"/>
          <w:numId w:val="11"/>
        </w:numPr>
        <w:spacing w:after="120"/>
        <w:rPr>
          <w:color w:val="595959" w:themeColor="text1" w:themeTint="A6"/>
        </w:rPr>
      </w:pPr>
      <w:r w:rsidRPr="0093006A">
        <w:rPr>
          <w:color w:val="595959" w:themeColor="text1" w:themeTint="A6"/>
        </w:rPr>
        <w:t>NIAA is interested in stakeholders’ views on how Indigenous-specific employment investment should be monitored and meaningful data collected and made accessible to demonstrate clear outcomes.</w:t>
      </w:r>
      <w:r w:rsidRPr="0093006A">
        <w:rPr>
          <w:rStyle w:val="FootnoteReference"/>
          <w:color w:val="595959" w:themeColor="text1" w:themeTint="A6"/>
        </w:rPr>
        <w:footnoteReference w:id="157"/>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13"/>
        <w:tblDescription w:val="Indigenous-owned and -controlled data gathering and evaluation in local contexts and culturally specific ways is vital for measuring the impact of the ISEP"/>
      </w:tblPr>
      <w:tblGrid>
        <w:gridCol w:w="8930"/>
      </w:tblGrid>
      <w:tr w:rsidR="0093006A" w:rsidRPr="0093006A" w14:paraId="6E540EB8" w14:textId="77777777" w:rsidTr="00091525">
        <w:trPr>
          <w:cantSplit/>
          <w:tblHeader/>
        </w:trPr>
        <w:tc>
          <w:tcPr>
            <w:tcW w:w="8930" w:type="dxa"/>
            <w:shd w:val="clear" w:color="auto" w:fill="auto"/>
          </w:tcPr>
          <w:p w14:paraId="0A4403D7" w14:textId="13E30399" w:rsidR="00FF62BB" w:rsidRPr="0093006A" w:rsidRDefault="00FF62BB" w:rsidP="0048465C">
            <w:pPr>
              <w:spacing w:after="120"/>
              <w:rPr>
                <w:b/>
                <w:bCs/>
                <w:i/>
                <w:iCs/>
                <w:color w:val="595959" w:themeColor="text1" w:themeTint="A6"/>
              </w:rPr>
            </w:pPr>
            <w:r w:rsidRPr="0093006A">
              <w:rPr>
                <w:b/>
                <w:bCs/>
                <w:i/>
                <w:iCs/>
                <w:color w:val="595959" w:themeColor="text1" w:themeTint="A6"/>
              </w:rPr>
              <w:t xml:space="preserve">Key </w:t>
            </w:r>
            <w:r w:rsidR="001E6BB8" w:rsidRPr="0093006A">
              <w:rPr>
                <w:b/>
                <w:bCs/>
                <w:i/>
                <w:iCs/>
                <w:color w:val="595959" w:themeColor="text1" w:themeTint="A6"/>
              </w:rPr>
              <w:t>I</w:t>
            </w:r>
            <w:r w:rsidRPr="0093006A">
              <w:rPr>
                <w:b/>
                <w:bCs/>
                <w:i/>
                <w:iCs/>
                <w:color w:val="595959" w:themeColor="text1" w:themeTint="A6"/>
              </w:rPr>
              <w:t>nsight</w:t>
            </w:r>
            <w:r w:rsidR="001E6BB8" w:rsidRPr="0093006A">
              <w:rPr>
                <w:b/>
                <w:bCs/>
                <w:i/>
                <w:iCs/>
                <w:color w:val="595959" w:themeColor="text1" w:themeTint="A6"/>
              </w:rPr>
              <w:t xml:space="preserve"> </w:t>
            </w:r>
            <w:r w:rsidR="00091525">
              <w:rPr>
                <w:b/>
                <w:bCs/>
                <w:i/>
                <w:iCs/>
                <w:color w:val="595959" w:themeColor="text1" w:themeTint="A6"/>
              </w:rPr>
              <w:t>13</w:t>
            </w:r>
          </w:p>
        </w:tc>
      </w:tr>
      <w:tr w:rsidR="00FF62BB" w:rsidRPr="0093006A" w14:paraId="52EF715C" w14:textId="77777777" w:rsidTr="00091525">
        <w:trPr>
          <w:cantSplit/>
          <w:tblHeader/>
        </w:trPr>
        <w:tc>
          <w:tcPr>
            <w:tcW w:w="8930" w:type="dxa"/>
          </w:tcPr>
          <w:p w14:paraId="5F6C2A92" w14:textId="5E2EEFD9" w:rsidR="00140BFC" w:rsidRPr="0093006A" w:rsidRDefault="00140BFC" w:rsidP="00140BFC">
            <w:pPr>
              <w:spacing w:after="120"/>
              <w:textDirection w:val="btLr"/>
              <w:rPr>
                <w:b/>
                <w:bCs/>
                <w:color w:val="595959" w:themeColor="text1" w:themeTint="A6"/>
              </w:rPr>
            </w:pPr>
            <w:r w:rsidRPr="0093006A">
              <w:rPr>
                <w:b/>
                <w:bCs/>
                <w:color w:val="595959" w:themeColor="text1" w:themeTint="A6"/>
              </w:rPr>
              <w:t>Indigenous-owned and -controlled data gathering and evaluation in local contexts and culturally specific ways is vital for measuring the impact of the ISEP</w:t>
            </w:r>
          </w:p>
          <w:p w14:paraId="1A6C9727" w14:textId="09D759A7" w:rsidR="00FF62BB" w:rsidRPr="0093006A" w:rsidRDefault="00140BFC" w:rsidP="00FF62BB">
            <w:pPr>
              <w:spacing w:after="120"/>
              <w:textDirection w:val="btLr"/>
              <w:rPr>
                <w:color w:val="595959" w:themeColor="text1" w:themeTint="A6"/>
              </w:rPr>
            </w:pPr>
            <w:r w:rsidRPr="0093006A">
              <w:rPr>
                <w:color w:val="595959" w:themeColor="text1" w:themeTint="A6"/>
              </w:rPr>
              <w:t xml:space="preserve">For the ISEP to have maximum impact, the way in which ‘success’ is both understood and measured </w:t>
            </w:r>
            <w:r w:rsidR="008F0E6B" w:rsidRPr="0093006A">
              <w:rPr>
                <w:color w:val="595959" w:themeColor="text1" w:themeTint="A6"/>
              </w:rPr>
              <w:t>should be</w:t>
            </w:r>
            <w:r w:rsidRPr="0093006A">
              <w:rPr>
                <w:color w:val="595959" w:themeColor="text1" w:themeTint="A6"/>
              </w:rPr>
              <w:t xml:space="preserve"> determined by Indigenous communities. NIAA could provide support and training to ensure ‘person-centred’ evaluation is able to be undertaken by ACCOs and Indigenous-controlled employment services to best reflect Indigenous employee and community needs and aspirations.</w:t>
            </w:r>
          </w:p>
        </w:tc>
      </w:tr>
    </w:tbl>
    <w:p w14:paraId="1A041BCB" w14:textId="77777777" w:rsidR="00044A26" w:rsidRPr="0093006A" w:rsidRDefault="00044A26" w:rsidP="00044A26">
      <w:pPr>
        <w:rPr>
          <w:b/>
          <w:bCs/>
          <w:color w:val="595959" w:themeColor="text1" w:themeTint="A6"/>
        </w:rPr>
      </w:pPr>
    </w:p>
    <w:p w14:paraId="2AAAF1D2" w14:textId="77777777" w:rsidR="00044A26" w:rsidRPr="0093006A" w:rsidRDefault="00044A26" w:rsidP="00FF62BB">
      <w:pPr>
        <w:spacing w:after="120"/>
        <w:rPr>
          <w:color w:val="595959" w:themeColor="text1" w:themeTint="A6"/>
        </w:rPr>
      </w:pPr>
      <w:r w:rsidRPr="0093006A">
        <w:rPr>
          <w:color w:val="595959" w:themeColor="text1" w:themeTint="A6"/>
        </w:rPr>
        <w:t>ACCOs should be supported and funded to run their own evaluations within local context/regions to better reflect contextual results of ISEP’s impact</w:t>
      </w:r>
    </w:p>
    <w:p w14:paraId="4E589DD0" w14:textId="77777777" w:rsidR="00676C0D" w:rsidRPr="0093006A" w:rsidRDefault="00676C0D" w:rsidP="00676C0D">
      <w:pPr>
        <w:spacing w:after="120"/>
        <w:rPr>
          <w:color w:val="595959" w:themeColor="text1" w:themeTint="A6"/>
          <w:vertAlign w:val="superscript"/>
        </w:rPr>
      </w:pPr>
      <w:r w:rsidRPr="0093006A">
        <w:rPr>
          <w:color w:val="595959" w:themeColor="text1" w:themeTint="A6"/>
        </w:rPr>
        <w:t>With no “universal metric to measure the success of an ISEP provider”, respondents recognised the need for locally-specific qualitative and quantitative measures of success for each Indigenous employee and service participant as determined by Indigenous communities themselves.</w:t>
      </w:r>
      <w:r w:rsidRPr="0093006A">
        <w:rPr>
          <w:rStyle w:val="FootnoteReference"/>
          <w:color w:val="595959" w:themeColor="text1" w:themeTint="A6"/>
        </w:rPr>
        <w:footnoteReference w:id="158"/>
      </w:r>
      <w:r w:rsidRPr="0093006A">
        <w:rPr>
          <w:color w:val="595959" w:themeColor="text1" w:themeTint="A6"/>
        </w:rPr>
        <w:t xml:space="preserve"> Respondents recommended NIAA provide training, resources, and assistance to local Indigenous communities and ACCOs to take control of data gathering and evaluation processes for the ISEP to reflect the aspirations, needs, and what is considered ‘value’ as defined by local Indigenous community contexts rather than only those of NIAA and the Commonwealth.</w:t>
      </w:r>
      <w:r w:rsidRPr="0093006A">
        <w:rPr>
          <w:rStyle w:val="FootnoteReference"/>
          <w:color w:val="595959" w:themeColor="text1" w:themeTint="A6"/>
        </w:rPr>
        <w:footnoteReference w:id="159"/>
      </w:r>
      <w:r w:rsidRPr="0093006A">
        <w:rPr>
          <w:color w:val="595959" w:themeColor="text1" w:themeTint="A6"/>
          <w:vertAlign w:val="superscript"/>
        </w:rPr>
        <w:t>,</w:t>
      </w:r>
      <w:r w:rsidRPr="0093006A">
        <w:rPr>
          <w:rStyle w:val="FootnoteReference"/>
          <w:color w:val="595959" w:themeColor="text1" w:themeTint="A6"/>
        </w:rPr>
        <w:footnoteReference w:id="160"/>
      </w:r>
      <w:r w:rsidRPr="0093006A">
        <w:rPr>
          <w:color w:val="595959" w:themeColor="text1" w:themeTint="A6"/>
          <w:vertAlign w:val="superscript"/>
        </w:rPr>
        <w:t>,</w:t>
      </w:r>
      <w:r w:rsidRPr="0093006A">
        <w:rPr>
          <w:rStyle w:val="FootnoteReference"/>
          <w:color w:val="595959" w:themeColor="text1" w:themeTint="A6"/>
        </w:rPr>
        <w:footnoteReference w:id="161"/>
      </w:r>
      <w:r w:rsidRPr="0093006A">
        <w:rPr>
          <w:color w:val="595959" w:themeColor="text1" w:themeTint="A6"/>
          <w:vertAlign w:val="superscript"/>
        </w:rPr>
        <w:t xml:space="preserve"> </w:t>
      </w:r>
    </w:p>
    <w:p w14:paraId="38AB257B" w14:textId="77777777" w:rsidR="00676C0D" w:rsidRPr="0093006A" w:rsidRDefault="00676C0D" w:rsidP="00676C0D">
      <w:pPr>
        <w:spacing w:after="120"/>
        <w:rPr>
          <w:color w:val="595959" w:themeColor="text1" w:themeTint="A6"/>
        </w:rPr>
      </w:pPr>
      <w:r w:rsidRPr="0093006A">
        <w:rPr>
          <w:color w:val="595959" w:themeColor="text1" w:themeTint="A6"/>
        </w:rPr>
        <w:t>Such a process, several respondents recommended, would also allow for Indigenous voices to be at the centre of program evaluation, and for local and cultural specificity to emerge in assessments of the ISEP’s success. This included stratification of types of employment contracts, industries, funding and service delivery in the region, the identification of barriers to employment, and weather-related site shutdowns.</w:t>
      </w:r>
      <w:r w:rsidRPr="0093006A">
        <w:rPr>
          <w:rStyle w:val="FootnoteReference"/>
          <w:color w:val="595959" w:themeColor="text1" w:themeTint="A6"/>
        </w:rPr>
        <w:footnoteReference w:id="162"/>
      </w:r>
      <w:r w:rsidRPr="0093006A">
        <w:rPr>
          <w:color w:val="595959" w:themeColor="text1" w:themeTint="A6"/>
          <w:vertAlign w:val="superscript"/>
        </w:rPr>
        <w:t>,</w:t>
      </w:r>
      <w:r w:rsidRPr="0093006A">
        <w:rPr>
          <w:rStyle w:val="FootnoteReference"/>
          <w:color w:val="595959" w:themeColor="text1" w:themeTint="A6"/>
        </w:rPr>
        <w:footnoteReference w:id="163"/>
      </w:r>
      <w:r w:rsidRPr="0093006A">
        <w:rPr>
          <w:color w:val="595959" w:themeColor="text1" w:themeTint="A6"/>
          <w:vertAlign w:val="superscript"/>
        </w:rPr>
        <w:t>,</w:t>
      </w:r>
      <w:r w:rsidRPr="0093006A">
        <w:rPr>
          <w:rStyle w:val="FootnoteReference"/>
          <w:color w:val="595959" w:themeColor="text1" w:themeTint="A6"/>
        </w:rPr>
        <w:footnoteReference w:id="164"/>
      </w:r>
      <w:r w:rsidRPr="0093006A">
        <w:rPr>
          <w:color w:val="595959" w:themeColor="text1" w:themeTint="A6"/>
        </w:rPr>
        <w:t xml:space="preserve">  With ACCOs and PBCs</w:t>
      </w:r>
      <w:r w:rsidRPr="0093006A">
        <w:rPr>
          <w:rStyle w:val="FootnoteReference"/>
          <w:color w:val="595959" w:themeColor="text1" w:themeTint="A6"/>
        </w:rPr>
        <w:footnoteReference w:id="165"/>
      </w:r>
      <w:r w:rsidRPr="0093006A">
        <w:rPr>
          <w:color w:val="595959" w:themeColor="text1" w:themeTint="A6"/>
        </w:rPr>
        <w:t xml:space="preserve"> then also able to control what is being evaluated, respondents argued, this would ensure their Indigenous data sovereignty was guaranteed within the ISEP’s processes.</w:t>
      </w:r>
      <w:r w:rsidRPr="0093006A">
        <w:rPr>
          <w:rStyle w:val="FootnoteReference"/>
          <w:color w:val="595959" w:themeColor="text1" w:themeTint="A6"/>
        </w:rPr>
        <w:footnoteReference w:id="166"/>
      </w:r>
      <w:r w:rsidRPr="0093006A">
        <w:rPr>
          <w:color w:val="595959" w:themeColor="text1" w:themeTint="A6"/>
          <w:vertAlign w:val="superscript"/>
        </w:rPr>
        <w:t>,</w:t>
      </w:r>
      <w:r w:rsidRPr="0093006A">
        <w:rPr>
          <w:rStyle w:val="FootnoteReference"/>
          <w:color w:val="595959" w:themeColor="text1" w:themeTint="A6"/>
        </w:rPr>
        <w:footnoteReference w:id="167"/>
      </w:r>
      <w:r w:rsidRPr="0093006A">
        <w:rPr>
          <w:color w:val="595959" w:themeColor="text1" w:themeTint="A6"/>
          <w:vertAlign w:val="superscript"/>
        </w:rPr>
        <w:t>,</w:t>
      </w:r>
      <w:r w:rsidRPr="0093006A">
        <w:rPr>
          <w:rStyle w:val="FootnoteReference"/>
          <w:color w:val="595959" w:themeColor="text1" w:themeTint="A6"/>
        </w:rPr>
        <w:footnoteReference w:id="168"/>
      </w:r>
      <w:r w:rsidRPr="0093006A">
        <w:rPr>
          <w:color w:val="595959" w:themeColor="text1" w:themeTint="A6"/>
        </w:rPr>
        <w:t xml:space="preserve"> </w:t>
      </w:r>
    </w:p>
    <w:p w14:paraId="18C9AF43" w14:textId="7D0D0DEA" w:rsidR="00676C0D" w:rsidRPr="0093006A" w:rsidRDefault="00676C0D" w:rsidP="00676C0D">
      <w:pPr>
        <w:spacing w:after="120"/>
        <w:rPr>
          <w:color w:val="595959" w:themeColor="text1" w:themeTint="A6"/>
        </w:rPr>
      </w:pPr>
      <w:r w:rsidRPr="0093006A">
        <w:rPr>
          <w:color w:val="595959" w:themeColor="text1" w:themeTint="A6"/>
        </w:rPr>
        <w:t xml:space="preserve">Working with Indigenous communities and people to collect up-to-date data across </w:t>
      </w:r>
      <w:r w:rsidR="00140BFC" w:rsidRPr="0093006A">
        <w:rPr>
          <w:color w:val="595959" w:themeColor="text1" w:themeTint="A6"/>
        </w:rPr>
        <w:t>locally determined</w:t>
      </w:r>
      <w:r w:rsidRPr="0093006A">
        <w:rPr>
          <w:color w:val="595959" w:themeColor="text1" w:themeTint="A6"/>
        </w:rPr>
        <w:t xml:space="preserve"> employment measures should be undertaken, managed, and utilised by ACCOs as primary drivers at the beginning of each project, rather than set and controlled by government and NIAA, for “success” in the ISEP to be measured according to local and cultural specificities.</w:t>
      </w:r>
      <w:r w:rsidRPr="0093006A">
        <w:rPr>
          <w:rStyle w:val="FootnoteReference"/>
          <w:color w:val="595959" w:themeColor="text1" w:themeTint="A6"/>
        </w:rPr>
        <w:footnoteReference w:id="169"/>
      </w:r>
      <w:r w:rsidRPr="0093006A">
        <w:rPr>
          <w:color w:val="595959" w:themeColor="text1" w:themeTint="A6"/>
          <w:vertAlign w:val="superscript"/>
        </w:rPr>
        <w:t>,</w:t>
      </w:r>
      <w:r w:rsidRPr="0093006A">
        <w:rPr>
          <w:rStyle w:val="FootnoteReference"/>
          <w:color w:val="595959" w:themeColor="text1" w:themeTint="A6"/>
        </w:rPr>
        <w:footnoteReference w:id="170"/>
      </w:r>
      <w:r w:rsidRPr="0093006A">
        <w:rPr>
          <w:color w:val="595959" w:themeColor="text1" w:themeTint="A6"/>
          <w:vertAlign w:val="superscript"/>
        </w:rPr>
        <w:t>,</w:t>
      </w:r>
      <w:r w:rsidRPr="0093006A">
        <w:rPr>
          <w:rStyle w:val="FootnoteReference"/>
          <w:color w:val="595959" w:themeColor="text1" w:themeTint="A6"/>
        </w:rPr>
        <w:footnoteReference w:id="171"/>
      </w:r>
      <w:r w:rsidRPr="0093006A">
        <w:rPr>
          <w:color w:val="595959" w:themeColor="text1" w:themeTint="A6"/>
          <w:vertAlign w:val="superscript"/>
        </w:rPr>
        <w:t>,</w:t>
      </w:r>
      <w:r w:rsidRPr="0093006A">
        <w:rPr>
          <w:rStyle w:val="FootnoteReference"/>
          <w:color w:val="595959" w:themeColor="text1" w:themeTint="A6"/>
        </w:rPr>
        <w:footnoteReference w:id="172"/>
      </w:r>
      <w:r w:rsidRPr="0093006A">
        <w:rPr>
          <w:color w:val="595959" w:themeColor="text1" w:themeTint="A6"/>
          <w:vertAlign w:val="superscript"/>
        </w:rPr>
        <w:t>,</w:t>
      </w:r>
      <w:r w:rsidRPr="0093006A">
        <w:rPr>
          <w:rStyle w:val="FootnoteReference"/>
          <w:color w:val="595959" w:themeColor="text1" w:themeTint="A6"/>
        </w:rPr>
        <w:footnoteReference w:id="173"/>
      </w:r>
      <w:r w:rsidRPr="0093006A">
        <w:rPr>
          <w:color w:val="595959" w:themeColor="text1" w:themeTint="A6"/>
        </w:rPr>
        <w:t xml:space="preserve"> </w:t>
      </w:r>
    </w:p>
    <w:p w14:paraId="0C554D13" w14:textId="77777777" w:rsidR="00676C0D" w:rsidRPr="0093006A" w:rsidRDefault="00676C0D" w:rsidP="00676C0D">
      <w:pPr>
        <w:spacing w:after="120"/>
        <w:rPr>
          <w:color w:val="595959" w:themeColor="text1" w:themeTint="A6"/>
        </w:rPr>
      </w:pPr>
      <w:r w:rsidRPr="0093006A">
        <w:rPr>
          <w:color w:val="595959" w:themeColor="text1" w:themeTint="A6"/>
        </w:rPr>
        <w:t xml:space="preserve">This could include: </w:t>
      </w:r>
    </w:p>
    <w:p w14:paraId="3F7A7A10" w14:textId="78DBB8F9" w:rsidR="00676C0D" w:rsidRPr="0093006A" w:rsidRDefault="00867F6E" w:rsidP="00676C0D">
      <w:pPr>
        <w:pStyle w:val="ListParagraph"/>
        <w:numPr>
          <w:ilvl w:val="0"/>
          <w:numId w:val="16"/>
        </w:numPr>
        <w:spacing w:after="120"/>
        <w:rPr>
          <w:color w:val="595959" w:themeColor="text1" w:themeTint="A6"/>
        </w:rPr>
      </w:pPr>
      <w:r w:rsidRPr="0093006A">
        <w:rPr>
          <w:color w:val="595959" w:themeColor="text1" w:themeTint="A6"/>
        </w:rPr>
        <w:t>P</w:t>
      </w:r>
      <w:r w:rsidR="00676C0D" w:rsidRPr="0093006A">
        <w:rPr>
          <w:color w:val="595959" w:themeColor="text1" w:themeTint="A6"/>
        </w:rPr>
        <w:t>roducing national and employer-level figures of Indigenous hiring and retention</w:t>
      </w:r>
      <w:r w:rsidRPr="0093006A">
        <w:rPr>
          <w:color w:val="595959" w:themeColor="text1" w:themeTint="A6"/>
        </w:rPr>
        <w:t>.</w:t>
      </w:r>
    </w:p>
    <w:p w14:paraId="58A99F70" w14:textId="2054291C" w:rsidR="00676C0D" w:rsidRPr="0093006A" w:rsidRDefault="00867F6E" w:rsidP="00676C0D">
      <w:pPr>
        <w:pStyle w:val="ListParagraph"/>
        <w:numPr>
          <w:ilvl w:val="0"/>
          <w:numId w:val="16"/>
        </w:numPr>
        <w:spacing w:after="120"/>
        <w:rPr>
          <w:color w:val="595959" w:themeColor="text1" w:themeTint="A6"/>
        </w:rPr>
      </w:pPr>
      <w:r w:rsidRPr="0093006A">
        <w:rPr>
          <w:color w:val="595959" w:themeColor="text1" w:themeTint="A6"/>
        </w:rPr>
        <w:t>P</w:t>
      </w:r>
      <w:r w:rsidR="00676C0D" w:rsidRPr="0093006A">
        <w:rPr>
          <w:color w:val="595959" w:themeColor="text1" w:themeTint="A6"/>
        </w:rPr>
        <w:t>ublishing key industry and employer opportunities, job losses, and funding rates</w:t>
      </w:r>
      <w:r w:rsidRPr="0093006A">
        <w:rPr>
          <w:color w:val="595959" w:themeColor="text1" w:themeTint="A6"/>
        </w:rPr>
        <w:t>.</w:t>
      </w:r>
    </w:p>
    <w:p w14:paraId="7E566D8A" w14:textId="57B9EC5D" w:rsidR="00676C0D" w:rsidRPr="0093006A" w:rsidRDefault="00867F6E" w:rsidP="00676C0D">
      <w:pPr>
        <w:pStyle w:val="ListParagraph"/>
        <w:numPr>
          <w:ilvl w:val="0"/>
          <w:numId w:val="16"/>
        </w:numPr>
        <w:spacing w:after="120"/>
        <w:rPr>
          <w:color w:val="595959" w:themeColor="text1" w:themeTint="A6"/>
        </w:rPr>
      </w:pPr>
      <w:r w:rsidRPr="0093006A">
        <w:rPr>
          <w:color w:val="595959" w:themeColor="text1" w:themeTint="A6"/>
        </w:rPr>
        <w:t>C</w:t>
      </w:r>
      <w:r w:rsidR="00676C0D" w:rsidRPr="0093006A">
        <w:rPr>
          <w:color w:val="595959" w:themeColor="text1" w:themeTint="A6"/>
        </w:rPr>
        <w:t>reating and publishing ongoing annual surveys of the experiences of Indigenous employees and their employers administered by an Indigenous expert panel</w:t>
      </w:r>
      <w:r w:rsidRPr="0093006A">
        <w:rPr>
          <w:color w:val="595959" w:themeColor="text1" w:themeTint="A6"/>
        </w:rPr>
        <w:t>.</w:t>
      </w:r>
      <w:r w:rsidR="00676C0D" w:rsidRPr="0093006A">
        <w:rPr>
          <w:rStyle w:val="FootnoteReference"/>
          <w:color w:val="595959" w:themeColor="text1" w:themeTint="A6"/>
        </w:rPr>
        <w:footnoteReference w:id="174"/>
      </w:r>
      <w:r w:rsidR="00676C0D" w:rsidRPr="0093006A">
        <w:rPr>
          <w:color w:val="595959" w:themeColor="text1" w:themeTint="A6"/>
          <w:vertAlign w:val="superscript"/>
        </w:rPr>
        <w:t>,</w:t>
      </w:r>
      <w:r w:rsidR="00676C0D" w:rsidRPr="0093006A">
        <w:rPr>
          <w:rStyle w:val="FootnoteReference"/>
          <w:color w:val="595959" w:themeColor="text1" w:themeTint="A6"/>
        </w:rPr>
        <w:footnoteReference w:id="175"/>
      </w:r>
      <w:r w:rsidR="00676C0D" w:rsidRPr="0093006A">
        <w:rPr>
          <w:color w:val="595959" w:themeColor="text1" w:themeTint="A6"/>
        </w:rPr>
        <w:t xml:space="preserve"> </w:t>
      </w:r>
    </w:p>
    <w:p w14:paraId="54B54FE0" w14:textId="12AD99C8" w:rsidR="00676C0D" w:rsidRPr="0093006A" w:rsidRDefault="00867F6E" w:rsidP="00676C0D">
      <w:pPr>
        <w:pStyle w:val="ListParagraph"/>
        <w:numPr>
          <w:ilvl w:val="0"/>
          <w:numId w:val="16"/>
        </w:numPr>
        <w:spacing w:after="120"/>
        <w:rPr>
          <w:color w:val="595959" w:themeColor="text1" w:themeTint="A6"/>
        </w:rPr>
      </w:pPr>
      <w:r w:rsidRPr="0093006A">
        <w:rPr>
          <w:color w:val="595959" w:themeColor="text1" w:themeTint="A6"/>
        </w:rPr>
        <w:t>R</w:t>
      </w:r>
      <w:r w:rsidR="00676C0D" w:rsidRPr="0093006A">
        <w:rPr>
          <w:color w:val="595959" w:themeColor="text1" w:themeTint="A6"/>
        </w:rPr>
        <w:t>ates of participation by Indigenous Australians in each of the local iterations of the program</w:t>
      </w:r>
      <w:r w:rsidRPr="0093006A">
        <w:rPr>
          <w:color w:val="595959" w:themeColor="text1" w:themeTint="A6"/>
        </w:rPr>
        <w:t>.</w:t>
      </w:r>
    </w:p>
    <w:p w14:paraId="4AC6313F" w14:textId="28F15A03" w:rsidR="00676C0D" w:rsidRPr="0093006A" w:rsidRDefault="00867F6E" w:rsidP="00676C0D">
      <w:pPr>
        <w:pStyle w:val="ListParagraph"/>
        <w:numPr>
          <w:ilvl w:val="0"/>
          <w:numId w:val="16"/>
        </w:numPr>
        <w:spacing w:after="120"/>
        <w:rPr>
          <w:color w:val="595959" w:themeColor="text1" w:themeTint="A6"/>
        </w:rPr>
      </w:pPr>
      <w:r w:rsidRPr="0093006A">
        <w:rPr>
          <w:color w:val="595959" w:themeColor="text1" w:themeTint="A6"/>
        </w:rPr>
        <w:t>K</w:t>
      </w:r>
      <w:r w:rsidR="00676C0D" w:rsidRPr="0093006A">
        <w:rPr>
          <w:color w:val="595959" w:themeColor="text1" w:themeTint="A6"/>
        </w:rPr>
        <w:t>ey Performance Indicators (KPIs) created and assessed by local Indigenous communities</w:t>
      </w:r>
      <w:r w:rsidRPr="0093006A">
        <w:rPr>
          <w:color w:val="595959" w:themeColor="text1" w:themeTint="A6"/>
        </w:rPr>
        <w:t>.</w:t>
      </w:r>
    </w:p>
    <w:p w14:paraId="305C14CE" w14:textId="4E16DC16" w:rsidR="00676C0D" w:rsidRPr="0093006A" w:rsidRDefault="00867F6E" w:rsidP="00676C0D">
      <w:pPr>
        <w:pStyle w:val="ListParagraph"/>
        <w:numPr>
          <w:ilvl w:val="0"/>
          <w:numId w:val="16"/>
        </w:numPr>
        <w:spacing w:after="120"/>
        <w:rPr>
          <w:color w:val="595959" w:themeColor="text1" w:themeTint="A6"/>
        </w:rPr>
      </w:pPr>
      <w:r w:rsidRPr="0093006A">
        <w:rPr>
          <w:color w:val="595959" w:themeColor="text1" w:themeTint="A6"/>
        </w:rPr>
        <w:t>C</w:t>
      </w:r>
      <w:r w:rsidR="00676C0D" w:rsidRPr="0093006A">
        <w:rPr>
          <w:color w:val="595959" w:themeColor="text1" w:themeTint="A6"/>
        </w:rPr>
        <w:t>ontinuous feedback loops for all stakeholders, including NIAA.</w:t>
      </w:r>
      <w:r w:rsidR="00676C0D" w:rsidRPr="0093006A">
        <w:rPr>
          <w:rStyle w:val="FootnoteReference"/>
          <w:color w:val="595959" w:themeColor="text1" w:themeTint="A6"/>
        </w:rPr>
        <w:footnoteReference w:id="176"/>
      </w:r>
      <w:r w:rsidR="00676C0D" w:rsidRPr="0093006A">
        <w:rPr>
          <w:color w:val="595959" w:themeColor="text1" w:themeTint="A6"/>
        </w:rPr>
        <w:t xml:space="preserve"> </w:t>
      </w:r>
    </w:p>
    <w:p w14:paraId="708A92C2" w14:textId="1C5677F7" w:rsidR="00044A26" w:rsidRPr="0093006A" w:rsidRDefault="00044A26" w:rsidP="00FF62BB">
      <w:pPr>
        <w:spacing w:after="120"/>
        <w:rPr>
          <w:color w:val="595959" w:themeColor="text1" w:themeTint="A6"/>
        </w:rPr>
      </w:pPr>
      <w:r w:rsidRPr="0093006A">
        <w:rPr>
          <w:color w:val="595959" w:themeColor="text1" w:themeTint="A6"/>
        </w:rPr>
        <w:t xml:space="preserve">Additionally, </w:t>
      </w:r>
      <w:r w:rsidR="00211D8F" w:rsidRPr="0093006A">
        <w:rPr>
          <w:color w:val="595959" w:themeColor="text1" w:themeTint="A6"/>
        </w:rPr>
        <w:t xml:space="preserve">in this model, respondents recommended </w:t>
      </w:r>
      <w:r w:rsidRPr="0093006A">
        <w:rPr>
          <w:color w:val="595959" w:themeColor="text1" w:themeTint="A6"/>
        </w:rPr>
        <w:t>mainstream job service providers and non-Indigenous employers who accessed</w:t>
      </w:r>
      <w:r w:rsidR="00211D8F" w:rsidRPr="0093006A">
        <w:rPr>
          <w:color w:val="595959" w:themeColor="text1" w:themeTint="A6"/>
        </w:rPr>
        <w:t xml:space="preserve"> the</w:t>
      </w:r>
      <w:r w:rsidRPr="0093006A">
        <w:rPr>
          <w:color w:val="595959" w:themeColor="text1" w:themeTint="A6"/>
        </w:rPr>
        <w:t xml:space="preserve"> ISEP</w:t>
      </w:r>
      <w:r w:rsidR="00D9366C" w:rsidRPr="0093006A">
        <w:rPr>
          <w:color w:val="595959" w:themeColor="text1" w:themeTint="A6"/>
        </w:rPr>
        <w:t xml:space="preserve"> </w:t>
      </w:r>
      <w:r w:rsidR="00211D8F" w:rsidRPr="0093006A">
        <w:rPr>
          <w:color w:val="595959" w:themeColor="text1" w:themeTint="A6"/>
        </w:rPr>
        <w:t xml:space="preserve">be held to </w:t>
      </w:r>
      <w:r w:rsidRPr="0093006A">
        <w:rPr>
          <w:color w:val="595959" w:themeColor="text1" w:themeTint="A6"/>
        </w:rPr>
        <w:t>specific measures of success and rigorous accountability measures throughout their service provision as determined by and within local Indigenous community and regional contexts.</w:t>
      </w:r>
      <w:r w:rsidRPr="0093006A">
        <w:rPr>
          <w:rStyle w:val="FootnoteReference"/>
          <w:color w:val="595959" w:themeColor="text1" w:themeTint="A6"/>
        </w:rPr>
        <w:footnoteReference w:id="177"/>
      </w:r>
      <w:r w:rsidRPr="0093006A">
        <w:rPr>
          <w:color w:val="595959" w:themeColor="text1" w:themeTint="A6"/>
          <w:vertAlign w:val="superscript"/>
        </w:rPr>
        <w:t>,</w:t>
      </w:r>
      <w:r w:rsidRPr="0093006A">
        <w:rPr>
          <w:rStyle w:val="FootnoteReference"/>
          <w:color w:val="595959" w:themeColor="text1" w:themeTint="A6"/>
        </w:rPr>
        <w:footnoteReference w:id="178"/>
      </w:r>
      <w:r w:rsidRPr="0093006A">
        <w:rPr>
          <w:color w:val="595959" w:themeColor="text1" w:themeTint="A6"/>
          <w:vertAlign w:val="superscript"/>
        </w:rPr>
        <w:t>,</w:t>
      </w:r>
      <w:r w:rsidRPr="0093006A">
        <w:rPr>
          <w:rStyle w:val="FootnoteReference"/>
          <w:color w:val="595959" w:themeColor="text1" w:themeTint="A6"/>
        </w:rPr>
        <w:footnoteReference w:id="179"/>
      </w:r>
      <w:r w:rsidR="00211D8F" w:rsidRPr="0093006A">
        <w:rPr>
          <w:color w:val="595959" w:themeColor="text1" w:themeTint="A6"/>
          <w:vertAlign w:val="superscript"/>
        </w:rPr>
        <w:t>,</w:t>
      </w:r>
      <w:r w:rsidR="00211D8F" w:rsidRPr="0093006A">
        <w:rPr>
          <w:rStyle w:val="FootnoteReference"/>
          <w:color w:val="595959" w:themeColor="text1" w:themeTint="A6"/>
        </w:rPr>
        <w:footnoteReference w:id="180"/>
      </w:r>
    </w:p>
    <w:p w14:paraId="107E8C55" w14:textId="77777777" w:rsidR="00044A26" w:rsidRPr="0093006A" w:rsidRDefault="00044A26" w:rsidP="00FF62BB">
      <w:pPr>
        <w:spacing w:after="120"/>
        <w:rPr>
          <w:color w:val="595959" w:themeColor="text1" w:themeTint="A6"/>
        </w:rPr>
      </w:pPr>
      <w:r w:rsidRPr="0093006A">
        <w:rPr>
          <w:color w:val="595959" w:themeColor="text1" w:themeTint="A6"/>
        </w:rPr>
        <w:t>ISEP needs to use person-centred evaluation beyond the quantitative and the pre-existing 26-week milestone with and for Indigenous employees</w:t>
      </w:r>
    </w:p>
    <w:p w14:paraId="61DA5173" w14:textId="3C44FE6C" w:rsidR="00044A26" w:rsidRPr="0093006A" w:rsidRDefault="00044A26" w:rsidP="00FF62BB">
      <w:pPr>
        <w:spacing w:after="120"/>
        <w:rPr>
          <w:color w:val="595959" w:themeColor="text1" w:themeTint="A6"/>
        </w:rPr>
      </w:pPr>
      <w:r w:rsidRPr="0093006A">
        <w:rPr>
          <w:color w:val="595959" w:themeColor="text1" w:themeTint="A6"/>
        </w:rPr>
        <w:t xml:space="preserve">Several respondents also highlighted how evaluation and measurements of effectiveness should be simple and accessible without adding another layer of administrative burden, </w:t>
      </w:r>
      <w:r w:rsidR="009170D8" w:rsidRPr="0093006A">
        <w:rPr>
          <w:color w:val="595959" w:themeColor="text1" w:themeTint="A6"/>
        </w:rPr>
        <w:t xml:space="preserve">in particular </w:t>
      </w:r>
      <w:r w:rsidR="001D5045" w:rsidRPr="0093006A">
        <w:rPr>
          <w:color w:val="595959" w:themeColor="text1" w:themeTint="A6"/>
        </w:rPr>
        <w:t xml:space="preserve">for </w:t>
      </w:r>
      <w:r w:rsidRPr="0093006A">
        <w:rPr>
          <w:color w:val="595959" w:themeColor="text1" w:themeTint="A6"/>
        </w:rPr>
        <w:t>local Aboriginal community-controlled organisations.</w:t>
      </w:r>
      <w:r w:rsidRPr="0093006A">
        <w:rPr>
          <w:rStyle w:val="FootnoteReference"/>
          <w:color w:val="595959" w:themeColor="text1" w:themeTint="A6"/>
        </w:rPr>
        <w:footnoteReference w:id="181"/>
      </w:r>
      <w:r w:rsidRPr="0093006A">
        <w:rPr>
          <w:color w:val="595959" w:themeColor="text1" w:themeTint="A6"/>
        </w:rPr>
        <w:t xml:space="preserve"> A “people first” approach was recommended by several respondents, where</w:t>
      </w:r>
      <w:r w:rsidR="00942D5D" w:rsidRPr="0093006A">
        <w:rPr>
          <w:color w:val="595959" w:themeColor="text1" w:themeTint="A6"/>
        </w:rPr>
        <w:t xml:space="preserve"> evaluative</w:t>
      </w:r>
      <w:r w:rsidRPr="0093006A">
        <w:rPr>
          <w:color w:val="595959" w:themeColor="text1" w:themeTint="A6"/>
        </w:rPr>
        <w:t xml:space="preserve"> focus </w:t>
      </w:r>
      <w:r w:rsidR="00942D5D" w:rsidRPr="0093006A">
        <w:rPr>
          <w:color w:val="595959" w:themeColor="text1" w:themeTint="A6"/>
        </w:rPr>
        <w:t>should be on w</w:t>
      </w:r>
      <w:r w:rsidRPr="0093006A">
        <w:rPr>
          <w:color w:val="595959" w:themeColor="text1" w:themeTint="A6"/>
        </w:rPr>
        <w:t>ho received what practical assistance towards employment</w:t>
      </w:r>
      <w:r w:rsidR="00942D5D" w:rsidRPr="0093006A">
        <w:rPr>
          <w:color w:val="595959" w:themeColor="text1" w:themeTint="A6"/>
        </w:rPr>
        <w:t>,</w:t>
      </w:r>
      <w:r w:rsidRPr="0093006A">
        <w:rPr>
          <w:color w:val="595959" w:themeColor="text1" w:themeTint="A6"/>
        </w:rPr>
        <w:t xml:space="preserve"> and how effective was this for an Indigenous jobseeker, employee, and the community at large.</w:t>
      </w:r>
      <w:r w:rsidRPr="0093006A">
        <w:rPr>
          <w:rStyle w:val="FootnoteReference"/>
          <w:color w:val="595959" w:themeColor="text1" w:themeTint="A6"/>
        </w:rPr>
        <w:footnoteReference w:id="182"/>
      </w:r>
      <w:r w:rsidRPr="0093006A">
        <w:rPr>
          <w:color w:val="595959" w:themeColor="text1" w:themeTint="A6"/>
          <w:vertAlign w:val="superscript"/>
        </w:rPr>
        <w:t>,</w:t>
      </w:r>
      <w:r w:rsidRPr="0093006A">
        <w:rPr>
          <w:rStyle w:val="FootnoteReference"/>
          <w:color w:val="595959" w:themeColor="text1" w:themeTint="A6"/>
        </w:rPr>
        <w:footnoteReference w:id="183"/>
      </w:r>
    </w:p>
    <w:p w14:paraId="0F7387F1" w14:textId="0FA26968" w:rsidR="00FF62BB" w:rsidRPr="0093006A" w:rsidRDefault="00044A26" w:rsidP="00FF62BB">
      <w:pPr>
        <w:spacing w:after="120"/>
        <w:rPr>
          <w:color w:val="595959" w:themeColor="text1" w:themeTint="A6"/>
          <w:vertAlign w:val="superscript"/>
        </w:rPr>
      </w:pPr>
      <w:r w:rsidRPr="0093006A">
        <w:rPr>
          <w:color w:val="595959" w:themeColor="text1" w:themeTint="A6"/>
        </w:rPr>
        <w:t>Focusing on practice within particular contexts through case studies, including what works for</w:t>
      </w:r>
      <w:r w:rsidR="00942D5D" w:rsidRPr="0093006A">
        <w:rPr>
          <w:color w:val="595959" w:themeColor="text1" w:themeTint="A6"/>
        </w:rPr>
        <w:t xml:space="preserve"> people</w:t>
      </w:r>
      <w:r w:rsidRPr="0093006A">
        <w:rPr>
          <w:color w:val="595959" w:themeColor="text1" w:themeTint="A6"/>
        </w:rPr>
        <w:t xml:space="preserve"> in a strength-based approach to data acquisition and analysis, as opposed to quantitative measurements of retention at the 26-week milestone, respondents argue, will also result in more detailed qualitative descriptions of ISEP outcomes for ongoing/future policy development.</w:t>
      </w:r>
      <w:r w:rsidRPr="0093006A">
        <w:rPr>
          <w:rStyle w:val="FootnoteReference"/>
          <w:color w:val="595959" w:themeColor="text1" w:themeTint="A6"/>
        </w:rPr>
        <w:footnoteReference w:id="184"/>
      </w:r>
      <w:r w:rsidRPr="0093006A">
        <w:rPr>
          <w:color w:val="595959" w:themeColor="text1" w:themeTint="A6"/>
          <w:vertAlign w:val="superscript"/>
        </w:rPr>
        <w:t>,</w:t>
      </w:r>
      <w:r w:rsidRPr="0093006A">
        <w:rPr>
          <w:rStyle w:val="FootnoteReference"/>
          <w:color w:val="595959" w:themeColor="text1" w:themeTint="A6"/>
        </w:rPr>
        <w:footnoteReference w:id="185"/>
      </w:r>
      <w:r w:rsidRPr="0093006A">
        <w:rPr>
          <w:color w:val="595959" w:themeColor="text1" w:themeTint="A6"/>
          <w:vertAlign w:val="superscript"/>
        </w:rPr>
        <w:t>,</w:t>
      </w:r>
      <w:r w:rsidRPr="0093006A">
        <w:rPr>
          <w:rStyle w:val="FootnoteReference"/>
          <w:color w:val="595959" w:themeColor="text1" w:themeTint="A6"/>
        </w:rPr>
        <w:footnoteReference w:id="186"/>
      </w:r>
      <w:r w:rsidRPr="0093006A">
        <w:rPr>
          <w:color w:val="595959" w:themeColor="text1" w:themeTint="A6"/>
          <w:vertAlign w:val="superscript"/>
        </w:rPr>
        <w:t xml:space="preserve"> </w:t>
      </w:r>
    </w:p>
    <w:p w14:paraId="5E32CFE3" w14:textId="63908D35" w:rsidR="0082738F" w:rsidRPr="0093006A" w:rsidRDefault="00044A26" w:rsidP="00FF62BB">
      <w:pPr>
        <w:spacing w:after="120"/>
        <w:rPr>
          <w:color w:val="595959" w:themeColor="text1" w:themeTint="A6"/>
        </w:rPr>
      </w:pPr>
      <w:r w:rsidRPr="0093006A">
        <w:rPr>
          <w:color w:val="595959" w:themeColor="text1" w:themeTint="A6"/>
        </w:rPr>
        <w:t>A broader and detailed set of performance measures appropriate for</w:t>
      </w:r>
      <w:r w:rsidR="00942D5D" w:rsidRPr="0093006A">
        <w:rPr>
          <w:color w:val="595959" w:themeColor="text1" w:themeTint="A6"/>
        </w:rPr>
        <w:t xml:space="preserve"> the</w:t>
      </w:r>
      <w:r w:rsidRPr="0093006A">
        <w:rPr>
          <w:color w:val="595959" w:themeColor="text1" w:themeTint="A6"/>
        </w:rPr>
        <w:t xml:space="preserve"> ISEP could also include: </w:t>
      </w:r>
    </w:p>
    <w:p w14:paraId="5E5E1F2A" w14:textId="3DE137D9" w:rsidR="0082738F" w:rsidRPr="0093006A" w:rsidRDefault="00CD6621" w:rsidP="0082738F">
      <w:pPr>
        <w:pStyle w:val="ListParagraph"/>
        <w:numPr>
          <w:ilvl w:val="0"/>
          <w:numId w:val="50"/>
        </w:numPr>
        <w:spacing w:after="120"/>
        <w:rPr>
          <w:color w:val="595959" w:themeColor="text1" w:themeTint="A6"/>
          <w:vertAlign w:val="superscript"/>
        </w:rPr>
      </w:pPr>
      <w:r w:rsidRPr="0093006A">
        <w:rPr>
          <w:color w:val="595959" w:themeColor="text1" w:themeTint="A6"/>
        </w:rPr>
        <w:t>E</w:t>
      </w:r>
      <w:r w:rsidR="00044A26" w:rsidRPr="0093006A">
        <w:rPr>
          <w:color w:val="595959" w:themeColor="text1" w:themeTint="A6"/>
        </w:rPr>
        <w:t>ngagement and quality of service provision</w:t>
      </w:r>
      <w:r w:rsidRPr="0093006A">
        <w:rPr>
          <w:color w:val="595959" w:themeColor="text1" w:themeTint="A6"/>
        </w:rPr>
        <w:t>.</w:t>
      </w:r>
    </w:p>
    <w:p w14:paraId="5BDE7715" w14:textId="042845AB" w:rsidR="0082738F" w:rsidRPr="0093006A" w:rsidRDefault="00CD6621" w:rsidP="0082738F">
      <w:pPr>
        <w:pStyle w:val="ListParagraph"/>
        <w:numPr>
          <w:ilvl w:val="0"/>
          <w:numId w:val="50"/>
        </w:numPr>
        <w:spacing w:after="120"/>
        <w:rPr>
          <w:color w:val="595959" w:themeColor="text1" w:themeTint="A6"/>
          <w:vertAlign w:val="superscript"/>
        </w:rPr>
      </w:pPr>
      <w:r w:rsidRPr="0093006A">
        <w:rPr>
          <w:color w:val="595959" w:themeColor="text1" w:themeTint="A6"/>
        </w:rPr>
        <w:t>S</w:t>
      </w:r>
      <w:r w:rsidR="00044A26" w:rsidRPr="0093006A">
        <w:rPr>
          <w:color w:val="595959" w:themeColor="text1" w:themeTint="A6"/>
        </w:rPr>
        <w:t>kills and upskilling measures</w:t>
      </w:r>
      <w:r w:rsidRPr="0093006A">
        <w:rPr>
          <w:color w:val="595959" w:themeColor="text1" w:themeTint="A6"/>
        </w:rPr>
        <w:t>.</w:t>
      </w:r>
    </w:p>
    <w:p w14:paraId="008B3EE5" w14:textId="18056FB0" w:rsidR="0082738F" w:rsidRPr="0093006A" w:rsidRDefault="00CD6621" w:rsidP="0082738F">
      <w:pPr>
        <w:pStyle w:val="ListParagraph"/>
        <w:numPr>
          <w:ilvl w:val="0"/>
          <w:numId w:val="50"/>
        </w:numPr>
        <w:spacing w:after="120"/>
        <w:rPr>
          <w:color w:val="595959" w:themeColor="text1" w:themeTint="A6"/>
          <w:vertAlign w:val="superscript"/>
        </w:rPr>
      </w:pPr>
      <w:r w:rsidRPr="0093006A">
        <w:rPr>
          <w:color w:val="595959" w:themeColor="text1" w:themeTint="A6"/>
        </w:rPr>
        <w:t>U</w:t>
      </w:r>
      <w:r w:rsidR="00044A26" w:rsidRPr="0093006A">
        <w:rPr>
          <w:color w:val="595959" w:themeColor="text1" w:themeTint="A6"/>
        </w:rPr>
        <w:t>ptake of individualised mentoring plans</w:t>
      </w:r>
      <w:r w:rsidRPr="0093006A">
        <w:rPr>
          <w:color w:val="595959" w:themeColor="text1" w:themeTint="A6"/>
        </w:rPr>
        <w:t>.</w:t>
      </w:r>
    </w:p>
    <w:p w14:paraId="78F877A2" w14:textId="239A801E" w:rsidR="0082738F" w:rsidRPr="0093006A" w:rsidRDefault="00CD6621" w:rsidP="0082738F">
      <w:pPr>
        <w:pStyle w:val="ListParagraph"/>
        <w:numPr>
          <w:ilvl w:val="0"/>
          <w:numId w:val="50"/>
        </w:numPr>
        <w:spacing w:after="120"/>
        <w:rPr>
          <w:color w:val="595959" w:themeColor="text1" w:themeTint="A6"/>
          <w:vertAlign w:val="superscript"/>
        </w:rPr>
      </w:pPr>
      <w:r w:rsidRPr="0093006A">
        <w:rPr>
          <w:color w:val="595959" w:themeColor="text1" w:themeTint="A6"/>
        </w:rPr>
        <w:t>S</w:t>
      </w:r>
      <w:r w:rsidR="00044A26" w:rsidRPr="0093006A">
        <w:rPr>
          <w:color w:val="595959" w:themeColor="text1" w:themeTint="A6"/>
        </w:rPr>
        <w:t>ocial measures and how well services support Indigenous jobseekers for job readiness by addressing specific social issues</w:t>
      </w:r>
      <w:r w:rsidR="0082738F" w:rsidRPr="0093006A">
        <w:rPr>
          <w:color w:val="595959" w:themeColor="text1" w:themeTint="A6"/>
        </w:rPr>
        <w:t xml:space="preserve"> and complex needs</w:t>
      </w:r>
      <w:r w:rsidRPr="0093006A">
        <w:rPr>
          <w:color w:val="595959" w:themeColor="text1" w:themeTint="A6"/>
        </w:rPr>
        <w:t>.</w:t>
      </w:r>
    </w:p>
    <w:p w14:paraId="6F1274A4" w14:textId="7931B5D1" w:rsidR="0082738F" w:rsidRPr="0093006A" w:rsidRDefault="00CD6621" w:rsidP="0082738F">
      <w:pPr>
        <w:pStyle w:val="ListParagraph"/>
        <w:numPr>
          <w:ilvl w:val="0"/>
          <w:numId w:val="50"/>
        </w:numPr>
        <w:spacing w:after="120"/>
        <w:rPr>
          <w:color w:val="595959" w:themeColor="text1" w:themeTint="A6"/>
          <w:vertAlign w:val="superscript"/>
        </w:rPr>
      </w:pPr>
      <w:r w:rsidRPr="0093006A">
        <w:rPr>
          <w:color w:val="595959" w:themeColor="text1" w:themeTint="A6"/>
        </w:rPr>
        <w:t>J</w:t>
      </w:r>
      <w:r w:rsidR="00044A26" w:rsidRPr="0093006A">
        <w:rPr>
          <w:color w:val="595959" w:themeColor="text1" w:themeTint="A6"/>
        </w:rPr>
        <w:t>ob placement ratios</w:t>
      </w:r>
      <w:r w:rsidRPr="0093006A">
        <w:rPr>
          <w:color w:val="595959" w:themeColor="text1" w:themeTint="A6"/>
        </w:rPr>
        <w:t>.</w:t>
      </w:r>
    </w:p>
    <w:p w14:paraId="3211A772" w14:textId="0319189A" w:rsidR="00FF62BB" w:rsidRPr="0093006A" w:rsidRDefault="00CD6621" w:rsidP="0082738F">
      <w:pPr>
        <w:pStyle w:val="ListParagraph"/>
        <w:numPr>
          <w:ilvl w:val="0"/>
          <w:numId w:val="50"/>
        </w:numPr>
        <w:spacing w:after="120"/>
        <w:rPr>
          <w:color w:val="595959" w:themeColor="text1" w:themeTint="A6"/>
          <w:vertAlign w:val="superscript"/>
        </w:rPr>
      </w:pPr>
      <w:r w:rsidRPr="0093006A">
        <w:rPr>
          <w:color w:val="595959" w:themeColor="text1" w:themeTint="A6"/>
        </w:rPr>
        <w:t>E</w:t>
      </w:r>
      <w:r w:rsidR="00044A26" w:rsidRPr="0093006A">
        <w:rPr>
          <w:color w:val="595959" w:themeColor="text1" w:themeTint="A6"/>
        </w:rPr>
        <w:t>mployment relative to education measures.</w:t>
      </w:r>
      <w:r w:rsidR="00044A26" w:rsidRPr="0093006A">
        <w:rPr>
          <w:rStyle w:val="FootnoteReference"/>
          <w:color w:val="595959" w:themeColor="text1" w:themeTint="A6"/>
        </w:rPr>
        <w:footnoteReference w:id="187"/>
      </w:r>
      <w:r w:rsidR="0082738F" w:rsidRPr="0093006A">
        <w:rPr>
          <w:color w:val="595959" w:themeColor="text1" w:themeTint="A6"/>
          <w:vertAlign w:val="superscript"/>
        </w:rPr>
        <w:t>,</w:t>
      </w:r>
      <w:r w:rsidR="0082738F" w:rsidRPr="0093006A">
        <w:rPr>
          <w:rStyle w:val="FootnoteReference"/>
          <w:color w:val="595959" w:themeColor="text1" w:themeTint="A6"/>
        </w:rPr>
        <w:footnoteReference w:id="188"/>
      </w:r>
      <w:r w:rsidR="00044A26" w:rsidRPr="0093006A">
        <w:rPr>
          <w:color w:val="595959" w:themeColor="text1" w:themeTint="A6"/>
          <w:vertAlign w:val="superscript"/>
        </w:rPr>
        <w:t xml:space="preserve"> </w:t>
      </w:r>
    </w:p>
    <w:p w14:paraId="4F7613B8" w14:textId="77777777" w:rsidR="00942D5D" w:rsidRPr="0093006A" w:rsidRDefault="00942D5D" w:rsidP="00942D5D">
      <w:pPr>
        <w:spacing w:after="120"/>
        <w:rPr>
          <w:color w:val="595959" w:themeColor="text1" w:themeTint="A6"/>
        </w:rPr>
      </w:pPr>
      <w:r w:rsidRPr="0093006A">
        <w:rPr>
          <w:color w:val="595959" w:themeColor="text1" w:themeTint="A6"/>
        </w:rPr>
        <w:t>Further additional data points for service providers could be installed (4, 12, 18, and 26 weeks) along with greater funding beyond the 26-week milestone,</w:t>
      </w:r>
      <w:r w:rsidRPr="0093006A">
        <w:rPr>
          <w:rStyle w:val="FootnoteReference"/>
          <w:color w:val="595959" w:themeColor="text1" w:themeTint="A6"/>
        </w:rPr>
        <w:footnoteReference w:id="189"/>
      </w:r>
      <w:r w:rsidRPr="0093006A">
        <w:rPr>
          <w:color w:val="595959" w:themeColor="text1" w:themeTint="A6"/>
        </w:rPr>
        <w:t xml:space="preserve"> for better retention of jobs for participants in Indigenous-specific employment programs.</w:t>
      </w:r>
      <w:r w:rsidRPr="0093006A">
        <w:rPr>
          <w:rStyle w:val="FootnoteReference"/>
          <w:color w:val="595959" w:themeColor="text1" w:themeTint="A6"/>
        </w:rPr>
        <w:footnoteReference w:id="190"/>
      </w:r>
    </w:p>
    <w:p w14:paraId="4C35D6ED" w14:textId="6A08E051" w:rsidR="00044A26" w:rsidRPr="0093006A" w:rsidRDefault="00942D5D" w:rsidP="00981521">
      <w:pPr>
        <w:spacing w:after="120"/>
        <w:rPr>
          <w:color w:val="595959" w:themeColor="text1" w:themeTint="A6"/>
          <w:sz w:val="28"/>
          <w:szCs w:val="28"/>
        </w:rPr>
      </w:pPr>
      <w:r w:rsidRPr="0093006A">
        <w:rPr>
          <w:color w:val="595959" w:themeColor="text1" w:themeTint="A6"/>
        </w:rPr>
        <w:t>Several respondents also recommended reporting to be transparent and disseminated back to partners in an ongoing loop “with a focus on ways to continuously improve project outcomes”.</w:t>
      </w:r>
      <w:r w:rsidRPr="0093006A">
        <w:rPr>
          <w:rStyle w:val="FootnoteReference"/>
          <w:color w:val="595959" w:themeColor="text1" w:themeTint="A6"/>
        </w:rPr>
        <w:footnoteReference w:id="191"/>
      </w:r>
      <w:r w:rsidRPr="0093006A">
        <w:rPr>
          <w:color w:val="595959" w:themeColor="text1" w:themeTint="A6"/>
        </w:rPr>
        <w:t xml:space="preserve"> Such processes could be enacted through a new online portal and dashboard for ease of access, transparency, and future collaborative analysis between NIAA and partners in future stakeholder meetings.</w:t>
      </w:r>
      <w:r w:rsidRPr="0093006A">
        <w:rPr>
          <w:rStyle w:val="FootnoteReference"/>
          <w:color w:val="595959" w:themeColor="text1" w:themeTint="A6"/>
        </w:rPr>
        <w:footnoteReference w:id="192"/>
      </w:r>
    </w:p>
    <w:p w14:paraId="78AC977D" w14:textId="77777777" w:rsidR="00044A26" w:rsidRPr="0093006A" w:rsidRDefault="00044A26" w:rsidP="00044A26">
      <w:pPr>
        <w:rPr>
          <w:color w:val="595959" w:themeColor="text1" w:themeTint="A6"/>
        </w:rPr>
      </w:pPr>
    </w:p>
    <w:p w14:paraId="639CFFD1" w14:textId="77777777" w:rsidR="00942D5D" w:rsidRPr="0093006A" w:rsidRDefault="00942D5D">
      <w:pPr>
        <w:rPr>
          <w:b/>
          <w:color w:val="595959" w:themeColor="text1" w:themeTint="A6"/>
          <w:sz w:val="24"/>
          <w:szCs w:val="24"/>
        </w:rPr>
      </w:pPr>
      <w:r w:rsidRPr="0093006A">
        <w:rPr>
          <w:b/>
          <w:color w:val="595959" w:themeColor="text1" w:themeTint="A6"/>
          <w:sz w:val="24"/>
          <w:szCs w:val="24"/>
        </w:rPr>
        <w:br w:type="page"/>
      </w:r>
    </w:p>
    <w:p w14:paraId="7CC75518" w14:textId="5AC5716B" w:rsidR="00044A26" w:rsidRPr="0093006A" w:rsidRDefault="00044A26" w:rsidP="00FF62BB">
      <w:pPr>
        <w:spacing w:after="120"/>
        <w:rPr>
          <w:b/>
          <w:color w:val="595959" w:themeColor="text1" w:themeTint="A6"/>
        </w:rPr>
      </w:pPr>
      <w:r w:rsidRPr="0093006A">
        <w:rPr>
          <w:b/>
          <w:color w:val="595959" w:themeColor="text1" w:themeTint="A6"/>
          <w:sz w:val="24"/>
          <w:szCs w:val="24"/>
        </w:rPr>
        <w:t>Discussion Question 4: How can we embed shared-decision making in community-based workforce planning?</w:t>
      </w:r>
    </w:p>
    <w:p w14:paraId="061882D7" w14:textId="77777777" w:rsidR="00044A26" w:rsidRPr="0093006A" w:rsidRDefault="00044A26" w:rsidP="00FF62BB">
      <w:pPr>
        <w:spacing w:after="120"/>
        <w:rPr>
          <w:color w:val="595959" w:themeColor="text1" w:themeTint="A6"/>
        </w:rPr>
      </w:pPr>
      <w:r w:rsidRPr="0093006A">
        <w:rPr>
          <w:color w:val="595959" w:themeColor="text1" w:themeTint="A6"/>
        </w:rPr>
        <w:t>In the fourth Discussion Question, NIAA asked prospective respondents:</w:t>
      </w:r>
    </w:p>
    <w:p w14:paraId="7560352A" w14:textId="77777777" w:rsidR="00044A26" w:rsidRPr="0093006A" w:rsidRDefault="00044A26" w:rsidP="00FF62BB">
      <w:pPr>
        <w:pStyle w:val="ListParagraph"/>
        <w:spacing w:after="120"/>
        <w:rPr>
          <w:color w:val="595959" w:themeColor="text1" w:themeTint="A6"/>
        </w:rPr>
      </w:pPr>
      <w:r w:rsidRPr="0093006A">
        <w:rPr>
          <w:color w:val="595959" w:themeColor="text1" w:themeTint="A6"/>
        </w:rPr>
        <w:t>How can we embed shared-decision making in community-based workforce planning?</w:t>
      </w:r>
    </w:p>
    <w:p w14:paraId="06721946" w14:textId="1EF34DC8" w:rsidR="00044A26" w:rsidRPr="0093006A" w:rsidRDefault="00044A26" w:rsidP="00981521">
      <w:pPr>
        <w:pStyle w:val="ListParagraph"/>
        <w:numPr>
          <w:ilvl w:val="1"/>
          <w:numId w:val="11"/>
        </w:numPr>
        <w:spacing w:after="120"/>
        <w:rPr>
          <w:color w:val="595959" w:themeColor="text1" w:themeTint="A6"/>
        </w:rPr>
      </w:pPr>
      <w:r w:rsidRPr="0093006A">
        <w:rPr>
          <w:color w:val="595959" w:themeColor="text1" w:themeTint="A6"/>
        </w:rPr>
        <w:t>NIAA is interested in identifying the opportunities for partnerships with appropriate stakeholders in the employment space, and how shared decision-making can be best facilitated, for example through community-based workforce planning.</w:t>
      </w:r>
      <w:r w:rsidRPr="0093006A">
        <w:rPr>
          <w:rStyle w:val="FootnoteReference"/>
          <w:color w:val="595959" w:themeColor="text1" w:themeTint="A6"/>
        </w:rPr>
        <w:footnoteReference w:id="193"/>
      </w:r>
      <w:r w:rsidR="00942D5D" w:rsidRPr="0093006A">
        <w:rPr>
          <w:color w:val="595959" w:themeColor="text1" w:themeTint="A6"/>
        </w:rPr>
        <w:t xml:space="preserve"> </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 10"/>
        <w:tblDescription w:val="The ISEP design and implementation should include Indigenous Australians and communities as co-designers and partners in specific local contexts "/>
      </w:tblPr>
      <w:tblGrid>
        <w:gridCol w:w="8930"/>
      </w:tblGrid>
      <w:tr w:rsidR="0093006A" w:rsidRPr="0093006A" w14:paraId="574DC0E0" w14:textId="77777777" w:rsidTr="00091525">
        <w:trPr>
          <w:cantSplit/>
          <w:tblHeader/>
        </w:trPr>
        <w:tc>
          <w:tcPr>
            <w:tcW w:w="8930" w:type="dxa"/>
            <w:shd w:val="clear" w:color="auto" w:fill="auto"/>
          </w:tcPr>
          <w:p w14:paraId="6240496D" w14:textId="2EB8BE00" w:rsidR="00FF62BB" w:rsidRPr="0093006A" w:rsidRDefault="00FF62BB" w:rsidP="0048465C">
            <w:pPr>
              <w:spacing w:after="120"/>
              <w:rPr>
                <w:b/>
                <w:bCs/>
                <w:i/>
                <w:iCs/>
                <w:color w:val="595959" w:themeColor="text1" w:themeTint="A6"/>
              </w:rPr>
            </w:pPr>
            <w:r w:rsidRPr="0093006A">
              <w:rPr>
                <w:b/>
                <w:bCs/>
                <w:i/>
                <w:iCs/>
                <w:color w:val="595959" w:themeColor="text1" w:themeTint="A6"/>
              </w:rPr>
              <w:t>Key</w:t>
            </w:r>
            <w:r w:rsidR="008C7ABD" w:rsidRPr="0093006A">
              <w:rPr>
                <w:b/>
                <w:bCs/>
                <w:i/>
                <w:iCs/>
                <w:color w:val="595959" w:themeColor="text1" w:themeTint="A6"/>
              </w:rPr>
              <w:t xml:space="preserve"> I</w:t>
            </w:r>
            <w:r w:rsidRPr="0093006A">
              <w:rPr>
                <w:b/>
                <w:bCs/>
                <w:i/>
                <w:iCs/>
                <w:color w:val="595959" w:themeColor="text1" w:themeTint="A6"/>
              </w:rPr>
              <w:t>nsight</w:t>
            </w:r>
            <w:r w:rsidR="008C7ABD" w:rsidRPr="0093006A">
              <w:rPr>
                <w:b/>
                <w:bCs/>
                <w:i/>
                <w:iCs/>
                <w:color w:val="595959" w:themeColor="text1" w:themeTint="A6"/>
              </w:rPr>
              <w:t xml:space="preserve"> </w:t>
            </w:r>
            <w:r w:rsidR="00A74853" w:rsidRPr="0093006A">
              <w:rPr>
                <w:b/>
                <w:bCs/>
                <w:i/>
                <w:iCs/>
                <w:color w:val="595959" w:themeColor="text1" w:themeTint="A6"/>
              </w:rPr>
              <w:t>10</w:t>
            </w:r>
          </w:p>
        </w:tc>
      </w:tr>
      <w:tr w:rsidR="00FF62BB" w:rsidRPr="0093006A" w14:paraId="5B754372" w14:textId="77777777" w:rsidTr="00091525">
        <w:trPr>
          <w:cantSplit/>
          <w:tblHeader/>
        </w:trPr>
        <w:tc>
          <w:tcPr>
            <w:tcW w:w="8930" w:type="dxa"/>
          </w:tcPr>
          <w:p w14:paraId="5367B684" w14:textId="2AD5ED59" w:rsidR="009170D8" w:rsidRPr="0093006A" w:rsidRDefault="009170D8" w:rsidP="009170D8">
            <w:pPr>
              <w:spacing w:after="120"/>
              <w:textDirection w:val="btLr"/>
              <w:rPr>
                <w:b/>
                <w:bCs/>
                <w:color w:val="595959" w:themeColor="text1" w:themeTint="A6"/>
              </w:rPr>
            </w:pPr>
            <w:r w:rsidRPr="0093006A">
              <w:rPr>
                <w:b/>
                <w:bCs/>
                <w:color w:val="595959" w:themeColor="text1" w:themeTint="A6"/>
              </w:rPr>
              <w:t xml:space="preserve">The ISEP design and implementation should include Indigenous Australians and communities as co-designers and partners in specific local contexts </w:t>
            </w:r>
          </w:p>
          <w:p w14:paraId="114692AA" w14:textId="187D7B67" w:rsidR="00FF62BB" w:rsidRPr="0093006A" w:rsidRDefault="009170D8" w:rsidP="00FF62BB">
            <w:pPr>
              <w:spacing w:after="120"/>
              <w:textDirection w:val="btLr"/>
              <w:rPr>
                <w:color w:val="595959" w:themeColor="text1" w:themeTint="A6"/>
              </w:rPr>
            </w:pPr>
            <w:r w:rsidRPr="0093006A">
              <w:rPr>
                <w:color w:val="595959" w:themeColor="text1" w:themeTint="A6"/>
              </w:rPr>
              <w:t xml:space="preserve">For the ISEP to achieve success, Indigenous Australians and organisations </w:t>
            </w:r>
            <w:r w:rsidR="009B287C" w:rsidRPr="0093006A">
              <w:rPr>
                <w:color w:val="595959" w:themeColor="text1" w:themeTint="A6"/>
              </w:rPr>
              <w:t>should</w:t>
            </w:r>
            <w:r w:rsidRPr="0093006A">
              <w:rPr>
                <w:color w:val="595959" w:themeColor="text1" w:themeTint="A6"/>
              </w:rPr>
              <w:t xml:space="preserve"> be in deep collaboration with government and decision-makers at the local level. Increased funding for ongoing service provision that recognises local and cultural contexts regarding employment, training and relationships between industry and government was considered vital by stakeholders.</w:t>
            </w:r>
          </w:p>
        </w:tc>
      </w:tr>
    </w:tbl>
    <w:p w14:paraId="3CA95564" w14:textId="606C908A" w:rsidR="0082738F" w:rsidRPr="0093006A" w:rsidRDefault="0082738F">
      <w:pPr>
        <w:rPr>
          <w:color w:val="595959" w:themeColor="text1" w:themeTint="A6"/>
        </w:rPr>
      </w:pPr>
    </w:p>
    <w:p w14:paraId="473DA329" w14:textId="77777777" w:rsidR="00044A26" w:rsidRPr="0093006A" w:rsidRDefault="00044A26" w:rsidP="00FF62BB">
      <w:pPr>
        <w:spacing w:after="120"/>
        <w:rPr>
          <w:bCs/>
          <w:color w:val="595959" w:themeColor="text1" w:themeTint="A6"/>
        </w:rPr>
      </w:pPr>
      <w:r w:rsidRPr="0093006A">
        <w:rPr>
          <w:bCs/>
          <w:color w:val="595959" w:themeColor="text1" w:themeTint="A6"/>
        </w:rPr>
        <w:t>Greater and sustained investment and procurement of ACCOs and Indigenous community-controlled employment and specialist support services in partnerships with NIAA for ISEP</w:t>
      </w:r>
    </w:p>
    <w:p w14:paraId="22A940D3" w14:textId="561AA890" w:rsidR="00D00D79" w:rsidRPr="0093006A" w:rsidRDefault="00044A26" w:rsidP="00FF62BB">
      <w:pPr>
        <w:spacing w:after="120"/>
        <w:rPr>
          <w:color w:val="595959" w:themeColor="text1" w:themeTint="A6"/>
          <w:vertAlign w:val="superscript"/>
        </w:rPr>
      </w:pPr>
      <w:r w:rsidRPr="0093006A">
        <w:rPr>
          <w:color w:val="595959" w:themeColor="text1" w:themeTint="A6"/>
        </w:rPr>
        <w:t xml:space="preserve">The majority of respondents placed a </w:t>
      </w:r>
      <w:r w:rsidR="002D2B16" w:rsidRPr="0093006A">
        <w:rPr>
          <w:color w:val="595959" w:themeColor="text1" w:themeTint="A6"/>
        </w:rPr>
        <w:t xml:space="preserve">strong </w:t>
      </w:r>
      <w:r w:rsidRPr="0093006A">
        <w:rPr>
          <w:color w:val="595959" w:themeColor="text1" w:themeTint="A6"/>
        </w:rPr>
        <w:t xml:space="preserve">emphasis on their imagining of the central role for </w:t>
      </w:r>
      <w:r w:rsidR="002B4630" w:rsidRPr="0093006A">
        <w:rPr>
          <w:color w:val="595959" w:themeColor="text1" w:themeTint="A6"/>
        </w:rPr>
        <w:t>ACCOs</w:t>
      </w:r>
      <w:r w:rsidRPr="0093006A">
        <w:rPr>
          <w:color w:val="595959" w:themeColor="text1" w:themeTint="A6"/>
        </w:rPr>
        <w:t xml:space="preserve"> in the rollout of </w:t>
      </w:r>
      <w:r w:rsidR="00942D5D" w:rsidRPr="0093006A">
        <w:rPr>
          <w:color w:val="595959" w:themeColor="text1" w:themeTint="A6"/>
        </w:rPr>
        <w:t xml:space="preserve">the </w:t>
      </w:r>
      <w:r w:rsidRPr="0093006A">
        <w:rPr>
          <w:color w:val="595959" w:themeColor="text1" w:themeTint="A6"/>
        </w:rPr>
        <w:t>ISEP.</w:t>
      </w:r>
      <w:r w:rsidRPr="0093006A">
        <w:rPr>
          <w:rStyle w:val="FootnoteReference"/>
          <w:color w:val="595959" w:themeColor="text1" w:themeTint="A6"/>
        </w:rPr>
        <w:footnoteReference w:id="194"/>
      </w:r>
      <w:r w:rsidRPr="0093006A">
        <w:rPr>
          <w:color w:val="595959" w:themeColor="text1" w:themeTint="A6"/>
          <w:vertAlign w:val="superscript"/>
        </w:rPr>
        <w:t>,</w:t>
      </w:r>
      <w:r w:rsidRPr="0093006A">
        <w:rPr>
          <w:rStyle w:val="FootnoteReference"/>
          <w:color w:val="595959" w:themeColor="text1" w:themeTint="A6"/>
        </w:rPr>
        <w:footnoteReference w:id="195"/>
      </w:r>
      <w:r w:rsidRPr="0093006A">
        <w:rPr>
          <w:color w:val="595959" w:themeColor="text1" w:themeTint="A6"/>
          <w:vertAlign w:val="superscript"/>
        </w:rPr>
        <w:t>,</w:t>
      </w:r>
      <w:r w:rsidRPr="0093006A">
        <w:rPr>
          <w:rStyle w:val="FootnoteReference"/>
          <w:color w:val="595959" w:themeColor="text1" w:themeTint="A6"/>
        </w:rPr>
        <w:footnoteReference w:id="196"/>
      </w:r>
      <w:r w:rsidRPr="0093006A">
        <w:rPr>
          <w:color w:val="595959" w:themeColor="text1" w:themeTint="A6"/>
          <w:vertAlign w:val="superscript"/>
        </w:rPr>
        <w:t xml:space="preserve"> </w:t>
      </w:r>
      <w:r w:rsidRPr="0093006A">
        <w:rPr>
          <w:color w:val="595959" w:themeColor="text1" w:themeTint="A6"/>
        </w:rPr>
        <w:t>ACCOs, respondents articulate</w:t>
      </w:r>
      <w:r w:rsidR="002D2B16" w:rsidRPr="0093006A">
        <w:rPr>
          <w:color w:val="595959" w:themeColor="text1" w:themeTint="A6"/>
        </w:rPr>
        <w:t>d</w:t>
      </w:r>
      <w:r w:rsidRPr="0093006A">
        <w:rPr>
          <w:color w:val="595959" w:themeColor="text1" w:themeTint="A6"/>
        </w:rPr>
        <w:t xml:space="preserve">, would provide </w:t>
      </w:r>
      <w:r w:rsidR="00942D5D" w:rsidRPr="0093006A">
        <w:rPr>
          <w:color w:val="595959" w:themeColor="text1" w:themeTint="A6"/>
        </w:rPr>
        <w:t xml:space="preserve">the </w:t>
      </w:r>
      <w:r w:rsidRPr="0093006A">
        <w:rPr>
          <w:color w:val="595959" w:themeColor="text1" w:themeTint="A6"/>
        </w:rPr>
        <w:t xml:space="preserve">ISEP with the capacity to give </w:t>
      </w:r>
      <w:r w:rsidR="00580D41" w:rsidRPr="0093006A">
        <w:rPr>
          <w:color w:val="595959" w:themeColor="text1" w:themeTint="A6"/>
        </w:rPr>
        <w:t>Indigenous</w:t>
      </w:r>
      <w:r w:rsidRPr="0093006A">
        <w:rPr>
          <w:color w:val="595959" w:themeColor="text1" w:themeTint="A6"/>
        </w:rPr>
        <w:t xml:space="preserve"> communities a clear role </w:t>
      </w:r>
      <w:r w:rsidR="002D2B16" w:rsidRPr="0093006A">
        <w:rPr>
          <w:color w:val="595959" w:themeColor="text1" w:themeTint="A6"/>
        </w:rPr>
        <w:t>in</w:t>
      </w:r>
      <w:r w:rsidRPr="0093006A">
        <w:rPr>
          <w:color w:val="595959" w:themeColor="text1" w:themeTint="A6"/>
        </w:rPr>
        <w:t xml:space="preserve"> </w:t>
      </w:r>
      <w:r w:rsidR="002D2B16" w:rsidRPr="0093006A">
        <w:rPr>
          <w:color w:val="595959" w:themeColor="text1" w:themeTint="A6"/>
        </w:rPr>
        <w:t>partnership and</w:t>
      </w:r>
      <w:r w:rsidRPr="0093006A">
        <w:rPr>
          <w:color w:val="595959" w:themeColor="text1" w:themeTint="A6"/>
        </w:rPr>
        <w:t xml:space="preserve"> co-design, and embed shared decision making in the development, rollout, and evaluation of Indigenous-specific employment services towards a principle of self-determination.</w:t>
      </w:r>
      <w:r w:rsidRPr="0093006A">
        <w:rPr>
          <w:rStyle w:val="FootnoteReference"/>
          <w:color w:val="595959" w:themeColor="text1" w:themeTint="A6"/>
        </w:rPr>
        <w:footnoteReference w:id="197"/>
      </w:r>
      <w:r w:rsidR="0082738F" w:rsidRPr="0093006A">
        <w:rPr>
          <w:color w:val="595959" w:themeColor="text1" w:themeTint="A6"/>
          <w:vertAlign w:val="superscript"/>
        </w:rPr>
        <w:t>,</w:t>
      </w:r>
      <w:r w:rsidR="0082738F" w:rsidRPr="0093006A">
        <w:rPr>
          <w:rStyle w:val="FootnoteReference"/>
          <w:color w:val="595959" w:themeColor="text1" w:themeTint="A6"/>
        </w:rPr>
        <w:footnoteReference w:id="198"/>
      </w:r>
      <w:r w:rsidR="00942D5D" w:rsidRPr="0093006A">
        <w:rPr>
          <w:color w:val="595959" w:themeColor="text1" w:themeTint="A6"/>
          <w:vertAlign w:val="superscript"/>
        </w:rPr>
        <w:t>,</w:t>
      </w:r>
      <w:r w:rsidR="00942D5D" w:rsidRPr="0093006A">
        <w:rPr>
          <w:rStyle w:val="FootnoteReference"/>
          <w:color w:val="595959" w:themeColor="text1" w:themeTint="A6"/>
        </w:rPr>
        <w:footnoteReference w:id="199"/>
      </w:r>
      <w:r w:rsidRPr="0093006A">
        <w:rPr>
          <w:color w:val="595959" w:themeColor="text1" w:themeTint="A6"/>
        </w:rPr>
        <w:t xml:space="preserve"> ACCOs represent the specifies and complexities of the Indigenous communities from which they emerge, and </w:t>
      </w:r>
      <w:r w:rsidR="002D2B16" w:rsidRPr="0093006A">
        <w:rPr>
          <w:color w:val="595959" w:themeColor="text1" w:themeTint="A6"/>
        </w:rPr>
        <w:t xml:space="preserve">with which they </w:t>
      </w:r>
      <w:r w:rsidRPr="0093006A">
        <w:rPr>
          <w:color w:val="595959" w:themeColor="text1" w:themeTint="A6"/>
        </w:rPr>
        <w:t>work, and respondents posit could be in direct negotiation and partnership with employers in the development of community-based workforce planning and service provision more generally.</w:t>
      </w:r>
      <w:r w:rsidRPr="0093006A">
        <w:rPr>
          <w:rStyle w:val="FootnoteReference"/>
          <w:color w:val="595959" w:themeColor="text1" w:themeTint="A6"/>
        </w:rPr>
        <w:footnoteReference w:id="200"/>
      </w:r>
      <w:r w:rsidRPr="0093006A">
        <w:rPr>
          <w:color w:val="595959" w:themeColor="text1" w:themeTint="A6"/>
          <w:vertAlign w:val="superscript"/>
        </w:rPr>
        <w:t>,</w:t>
      </w:r>
      <w:r w:rsidRPr="0093006A">
        <w:rPr>
          <w:rStyle w:val="FootnoteReference"/>
          <w:color w:val="595959" w:themeColor="text1" w:themeTint="A6"/>
        </w:rPr>
        <w:footnoteReference w:id="201"/>
      </w:r>
      <w:r w:rsidRPr="0093006A">
        <w:rPr>
          <w:color w:val="595959" w:themeColor="text1" w:themeTint="A6"/>
          <w:vertAlign w:val="superscript"/>
        </w:rPr>
        <w:t>,</w:t>
      </w:r>
      <w:r w:rsidRPr="0093006A">
        <w:rPr>
          <w:rStyle w:val="FootnoteReference"/>
          <w:color w:val="595959" w:themeColor="text1" w:themeTint="A6"/>
        </w:rPr>
        <w:footnoteReference w:id="202"/>
      </w:r>
      <w:r w:rsidRPr="0093006A">
        <w:rPr>
          <w:color w:val="595959" w:themeColor="text1" w:themeTint="A6"/>
          <w:vertAlign w:val="superscript"/>
        </w:rPr>
        <w:t>,</w:t>
      </w:r>
      <w:r w:rsidRPr="0093006A">
        <w:rPr>
          <w:rStyle w:val="FootnoteReference"/>
          <w:color w:val="595959" w:themeColor="text1" w:themeTint="A6"/>
        </w:rPr>
        <w:footnoteReference w:id="203"/>
      </w:r>
      <w:r w:rsidRPr="0093006A">
        <w:rPr>
          <w:color w:val="595959" w:themeColor="text1" w:themeTint="A6"/>
          <w:vertAlign w:val="superscript"/>
        </w:rPr>
        <w:t xml:space="preserve"> </w:t>
      </w:r>
    </w:p>
    <w:p w14:paraId="6CAD1E76" w14:textId="695C65AD" w:rsidR="00044A26" w:rsidRPr="0093006A" w:rsidRDefault="00044A26" w:rsidP="00044A26">
      <w:pPr>
        <w:spacing w:after="120"/>
        <w:rPr>
          <w:b/>
          <w:color w:val="595959" w:themeColor="text1" w:themeTint="A6"/>
        </w:rPr>
      </w:pPr>
      <w:r w:rsidRPr="0093006A">
        <w:rPr>
          <w:color w:val="595959" w:themeColor="text1" w:themeTint="A6"/>
        </w:rPr>
        <w:t>Service delivery contracts could also include provisions that require providers and communities to collaborate within specific local/regional contexts in order to deliver place-based solutions to Indigenous employment needs.</w:t>
      </w:r>
      <w:r w:rsidR="0082738F" w:rsidRPr="0093006A">
        <w:rPr>
          <w:rStyle w:val="FootnoteReference"/>
          <w:color w:val="595959" w:themeColor="text1" w:themeTint="A6"/>
        </w:rPr>
        <w:footnoteReference w:id="204"/>
      </w:r>
      <w:r w:rsidR="0082738F" w:rsidRPr="0093006A">
        <w:rPr>
          <w:color w:val="595959" w:themeColor="text1" w:themeTint="A6"/>
          <w:vertAlign w:val="superscript"/>
        </w:rPr>
        <w:t>,</w:t>
      </w:r>
      <w:r w:rsidRPr="0093006A">
        <w:rPr>
          <w:rStyle w:val="FootnoteReference"/>
          <w:color w:val="595959" w:themeColor="text1" w:themeTint="A6"/>
        </w:rPr>
        <w:footnoteReference w:id="205"/>
      </w:r>
      <w:r w:rsidRPr="0093006A">
        <w:rPr>
          <w:color w:val="595959" w:themeColor="text1" w:themeTint="A6"/>
        </w:rPr>
        <w:t xml:space="preserve"> Doing so, as one respondent makes clear, would also position </w:t>
      </w:r>
      <w:r w:rsidR="00580D41" w:rsidRPr="0093006A">
        <w:rPr>
          <w:color w:val="595959" w:themeColor="text1" w:themeTint="A6"/>
        </w:rPr>
        <w:t>Indigenous</w:t>
      </w:r>
      <w:r w:rsidRPr="0093006A">
        <w:rPr>
          <w:color w:val="595959" w:themeColor="text1" w:themeTint="A6"/>
        </w:rPr>
        <w:t xml:space="preserve">-controlled services as a key partner in all Indigenous-specific employment service provision and facilitate the partnerships envisioned by the National Plan, particularly Priority Reform One: </w:t>
      </w:r>
      <w:r w:rsidRPr="0093006A">
        <w:rPr>
          <w:i/>
          <w:iCs/>
          <w:color w:val="595959" w:themeColor="text1" w:themeTint="A6"/>
        </w:rPr>
        <w:t>Shared Formal Partnerships and Shared Decision Making</w:t>
      </w:r>
      <w:r w:rsidRPr="0093006A">
        <w:rPr>
          <w:color w:val="595959" w:themeColor="text1" w:themeTint="A6"/>
        </w:rPr>
        <w:t xml:space="preserve">, and Two: </w:t>
      </w:r>
      <w:r w:rsidRPr="0093006A">
        <w:rPr>
          <w:i/>
          <w:iCs/>
          <w:color w:val="595959" w:themeColor="text1" w:themeTint="A6"/>
        </w:rPr>
        <w:t>Building the Community-Controlled Sector</w:t>
      </w:r>
      <w:r w:rsidRPr="0093006A">
        <w:rPr>
          <w:color w:val="595959" w:themeColor="text1" w:themeTint="A6"/>
        </w:rPr>
        <w:t>.</w:t>
      </w:r>
      <w:r w:rsidRPr="0093006A">
        <w:rPr>
          <w:rStyle w:val="FootnoteReference"/>
          <w:color w:val="595959" w:themeColor="text1" w:themeTint="A6"/>
        </w:rPr>
        <w:footnoteReference w:id="206"/>
      </w:r>
    </w:p>
    <w:p w14:paraId="48769272" w14:textId="77777777" w:rsidR="00044A26" w:rsidRPr="0093006A" w:rsidRDefault="00044A26" w:rsidP="00D00D79">
      <w:pPr>
        <w:spacing w:after="120"/>
        <w:rPr>
          <w:bCs/>
          <w:color w:val="595959" w:themeColor="text1" w:themeTint="A6"/>
        </w:rPr>
      </w:pPr>
      <w:r w:rsidRPr="0093006A">
        <w:rPr>
          <w:bCs/>
          <w:color w:val="595959" w:themeColor="text1" w:themeTint="A6"/>
        </w:rPr>
        <w:t xml:space="preserve">Establishment of local one-stop, Indigenous-specific employee project management groups in each region that brings local employers, services, and jobseekers together </w:t>
      </w:r>
    </w:p>
    <w:p w14:paraId="07DD09BE" w14:textId="63B422F5" w:rsidR="00044A26" w:rsidRPr="0093006A" w:rsidRDefault="00044A26" w:rsidP="00D00D79">
      <w:pPr>
        <w:spacing w:after="120"/>
        <w:rPr>
          <w:color w:val="595959" w:themeColor="text1" w:themeTint="A6"/>
          <w:vertAlign w:val="superscript"/>
        </w:rPr>
      </w:pPr>
      <w:r w:rsidRPr="0093006A">
        <w:rPr>
          <w:color w:val="595959" w:themeColor="text1" w:themeTint="A6"/>
        </w:rPr>
        <w:t xml:space="preserve">Many respondents requested that NIAA support the creation of coordinated, community-based locally- and culturally-specific ‘Job Councils’. This would allow for collaboration and partnership between all major stakeholders in the ISEP – </w:t>
      </w:r>
      <w:r w:rsidR="00580D41" w:rsidRPr="0093006A">
        <w:rPr>
          <w:color w:val="595959" w:themeColor="text1" w:themeTint="A6"/>
        </w:rPr>
        <w:t>Indigenous</w:t>
      </w:r>
      <w:r w:rsidRPr="0093006A">
        <w:rPr>
          <w:color w:val="595959" w:themeColor="text1" w:themeTint="A6"/>
        </w:rPr>
        <w:t xml:space="preserve"> communities, employees, employers, and jobseekers, along with local Indigenous-controlled employment services and support (including ACCOs</w:t>
      </w:r>
      <w:r w:rsidR="00942D5D" w:rsidRPr="0093006A">
        <w:rPr>
          <w:color w:val="595959" w:themeColor="text1" w:themeTint="A6"/>
        </w:rPr>
        <w:t xml:space="preserve"> and ATSICHHOs) and mainstream employers and service providers.</w:t>
      </w:r>
      <w:r w:rsidR="00942D5D" w:rsidRPr="0093006A">
        <w:rPr>
          <w:rStyle w:val="FootnoteReference"/>
          <w:color w:val="595959" w:themeColor="text1" w:themeTint="A6"/>
        </w:rPr>
        <w:footnoteReference w:id="207"/>
      </w:r>
      <w:r w:rsidR="00942D5D" w:rsidRPr="0093006A">
        <w:rPr>
          <w:color w:val="595959" w:themeColor="text1" w:themeTint="A6"/>
          <w:vertAlign w:val="superscript"/>
        </w:rPr>
        <w:t>,</w:t>
      </w:r>
      <w:r w:rsidR="00942D5D" w:rsidRPr="0093006A">
        <w:rPr>
          <w:rStyle w:val="FootnoteReference"/>
          <w:color w:val="595959" w:themeColor="text1" w:themeTint="A6"/>
        </w:rPr>
        <w:footnoteReference w:id="208"/>
      </w:r>
      <w:r w:rsidR="00942D5D" w:rsidRPr="0093006A">
        <w:rPr>
          <w:color w:val="595959" w:themeColor="text1" w:themeTint="A6"/>
          <w:vertAlign w:val="superscript"/>
        </w:rPr>
        <w:t>,</w:t>
      </w:r>
      <w:r w:rsidR="00942D5D" w:rsidRPr="0093006A">
        <w:rPr>
          <w:rStyle w:val="FootnoteReference"/>
          <w:color w:val="595959" w:themeColor="text1" w:themeTint="A6"/>
        </w:rPr>
        <w:footnoteReference w:id="209"/>
      </w:r>
      <w:r w:rsidR="00942D5D" w:rsidRPr="0093006A">
        <w:rPr>
          <w:color w:val="595959" w:themeColor="text1" w:themeTint="A6"/>
          <w:vertAlign w:val="superscript"/>
        </w:rPr>
        <w:t>,</w:t>
      </w:r>
      <w:r w:rsidR="00942D5D" w:rsidRPr="0093006A">
        <w:rPr>
          <w:rStyle w:val="FootnoteReference"/>
          <w:color w:val="595959" w:themeColor="text1" w:themeTint="A6"/>
        </w:rPr>
        <w:footnoteReference w:id="210"/>
      </w:r>
      <w:r w:rsidR="00942D5D" w:rsidRPr="0093006A">
        <w:rPr>
          <w:color w:val="595959" w:themeColor="text1" w:themeTint="A6"/>
          <w:vertAlign w:val="superscript"/>
        </w:rPr>
        <w:t>,</w:t>
      </w:r>
      <w:r w:rsidR="00942D5D" w:rsidRPr="0093006A">
        <w:rPr>
          <w:rStyle w:val="FootnoteReference"/>
          <w:color w:val="595959" w:themeColor="text1" w:themeTint="A6"/>
        </w:rPr>
        <w:footnoteReference w:id="211"/>
      </w:r>
      <w:r w:rsidR="00942D5D" w:rsidRPr="0093006A">
        <w:rPr>
          <w:color w:val="595959" w:themeColor="text1" w:themeTint="A6"/>
          <w:vertAlign w:val="superscript"/>
        </w:rPr>
        <w:t>,</w:t>
      </w:r>
      <w:r w:rsidR="00942D5D" w:rsidRPr="0093006A">
        <w:rPr>
          <w:rStyle w:val="FootnoteReference"/>
          <w:color w:val="595959" w:themeColor="text1" w:themeTint="A6"/>
        </w:rPr>
        <w:footnoteReference w:id="212"/>
      </w:r>
      <w:r w:rsidR="00942D5D" w:rsidRPr="0093006A">
        <w:rPr>
          <w:color w:val="595959" w:themeColor="text1" w:themeTint="A6"/>
          <w:vertAlign w:val="superscript"/>
        </w:rPr>
        <w:t>,</w:t>
      </w:r>
      <w:r w:rsidR="00942D5D" w:rsidRPr="0093006A">
        <w:rPr>
          <w:rStyle w:val="FootnoteReference"/>
          <w:color w:val="595959" w:themeColor="text1" w:themeTint="A6"/>
        </w:rPr>
        <w:footnoteReference w:id="213"/>
      </w:r>
    </w:p>
    <w:p w14:paraId="45CB67D5" w14:textId="77777777" w:rsidR="00044A26" w:rsidRPr="0093006A" w:rsidRDefault="00044A26" w:rsidP="00D00D79">
      <w:pPr>
        <w:spacing w:after="120"/>
        <w:rPr>
          <w:color w:val="595959" w:themeColor="text1" w:themeTint="A6"/>
        </w:rPr>
      </w:pPr>
      <w:r w:rsidRPr="0093006A">
        <w:rPr>
          <w:color w:val="595959" w:themeColor="text1" w:themeTint="A6"/>
        </w:rPr>
        <w:t>Such an approach to one-stop project management groups, respondents posit, would allow for:</w:t>
      </w:r>
    </w:p>
    <w:p w14:paraId="275B3DDB" w14:textId="57C17121" w:rsidR="00044A26" w:rsidRPr="0093006A" w:rsidRDefault="00830693" w:rsidP="003769B7">
      <w:pPr>
        <w:pStyle w:val="ListParagraph"/>
        <w:numPr>
          <w:ilvl w:val="0"/>
          <w:numId w:val="13"/>
        </w:numPr>
        <w:spacing w:after="120"/>
        <w:rPr>
          <w:color w:val="595959" w:themeColor="text1" w:themeTint="A6"/>
        </w:rPr>
      </w:pPr>
      <w:r w:rsidRPr="0093006A">
        <w:rPr>
          <w:color w:val="595959" w:themeColor="text1" w:themeTint="A6"/>
        </w:rPr>
        <w:t>T</w:t>
      </w:r>
      <w:r w:rsidR="00044A26" w:rsidRPr="0093006A">
        <w:rPr>
          <w:color w:val="595959" w:themeColor="text1" w:themeTint="A6"/>
        </w:rPr>
        <w:t>he creation of industry training partnerships and targeted employment programs to address gaps identified by all stakeholders as Indigenous community-led solutions at the local level</w:t>
      </w:r>
      <w:r w:rsidRPr="0093006A">
        <w:rPr>
          <w:color w:val="595959" w:themeColor="text1" w:themeTint="A6"/>
        </w:rPr>
        <w:t>.</w:t>
      </w:r>
      <w:r w:rsidR="00044A26" w:rsidRPr="0093006A">
        <w:rPr>
          <w:rStyle w:val="FootnoteReference"/>
          <w:color w:val="595959" w:themeColor="text1" w:themeTint="A6"/>
        </w:rPr>
        <w:footnoteReference w:id="214"/>
      </w:r>
      <w:r w:rsidR="00044A26" w:rsidRPr="0093006A">
        <w:rPr>
          <w:color w:val="595959" w:themeColor="text1" w:themeTint="A6"/>
          <w:vertAlign w:val="superscript"/>
        </w:rPr>
        <w:t>,</w:t>
      </w:r>
      <w:r w:rsidR="00044A26" w:rsidRPr="0093006A">
        <w:rPr>
          <w:rStyle w:val="FootnoteReference"/>
          <w:color w:val="595959" w:themeColor="text1" w:themeTint="A6"/>
        </w:rPr>
        <w:footnoteReference w:id="215"/>
      </w:r>
    </w:p>
    <w:p w14:paraId="7260CE7A" w14:textId="331DF081" w:rsidR="00044A26" w:rsidRPr="0093006A" w:rsidRDefault="00830693" w:rsidP="003769B7">
      <w:pPr>
        <w:pStyle w:val="ListParagraph"/>
        <w:numPr>
          <w:ilvl w:val="0"/>
          <w:numId w:val="13"/>
        </w:numPr>
        <w:spacing w:after="120"/>
        <w:rPr>
          <w:color w:val="595959" w:themeColor="text1" w:themeTint="A6"/>
        </w:rPr>
      </w:pPr>
      <w:r w:rsidRPr="0093006A">
        <w:rPr>
          <w:color w:val="595959" w:themeColor="text1" w:themeTint="A6"/>
        </w:rPr>
        <w:t>B</w:t>
      </w:r>
      <w:r w:rsidR="00044A26" w:rsidRPr="0093006A">
        <w:rPr>
          <w:color w:val="595959" w:themeColor="text1" w:themeTint="A6"/>
        </w:rPr>
        <w:t>etter community-based workforce planning at the beginning of projects in concert with community aspirations, needs, and wants, along with local employers and industry opportunities in the region, to develop partnerships of trust between all parties as local employment opportunities emerge</w:t>
      </w:r>
      <w:r w:rsidRPr="0093006A">
        <w:rPr>
          <w:color w:val="595959" w:themeColor="text1" w:themeTint="A6"/>
        </w:rPr>
        <w:t>.</w:t>
      </w:r>
      <w:r w:rsidR="00044A26" w:rsidRPr="0093006A">
        <w:rPr>
          <w:rStyle w:val="FootnoteReference"/>
          <w:color w:val="595959" w:themeColor="text1" w:themeTint="A6"/>
        </w:rPr>
        <w:footnoteReference w:id="216"/>
      </w:r>
      <w:r w:rsidR="00044A26" w:rsidRPr="0093006A">
        <w:rPr>
          <w:color w:val="595959" w:themeColor="text1" w:themeTint="A6"/>
          <w:vertAlign w:val="superscript"/>
        </w:rPr>
        <w:t>,</w:t>
      </w:r>
      <w:r w:rsidR="00044A26" w:rsidRPr="0093006A">
        <w:rPr>
          <w:rStyle w:val="FootnoteReference"/>
          <w:color w:val="595959" w:themeColor="text1" w:themeTint="A6"/>
        </w:rPr>
        <w:footnoteReference w:id="217"/>
      </w:r>
      <w:r w:rsidR="00044A26" w:rsidRPr="0093006A">
        <w:rPr>
          <w:color w:val="595959" w:themeColor="text1" w:themeTint="A6"/>
          <w:vertAlign w:val="superscript"/>
        </w:rPr>
        <w:t>,</w:t>
      </w:r>
      <w:r w:rsidR="00044A26" w:rsidRPr="0093006A">
        <w:rPr>
          <w:rStyle w:val="FootnoteReference"/>
          <w:color w:val="595959" w:themeColor="text1" w:themeTint="A6"/>
        </w:rPr>
        <w:footnoteReference w:id="218"/>
      </w:r>
      <w:r w:rsidR="00044A26" w:rsidRPr="0093006A">
        <w:rPr>
          <w:color w:val="595959" w:themeColor="text1" w:themeTint="A6"/>
          <w:vertAlign w:val="superscript"/>
        </w:rPr>
        <w:t>,</w:t>
      </w:r>
      <w:r w:rsidR="00044A26" w:rsidRPr="0093006A">
        <w:rPr>
          <w:rStyle w:val="FootnoteReference"/>
          <w:color w:val="595959" w:themeColor="text1" w:themeTint="A6"/>
        </w:rPr>
        <w:footnoteReference w:id="219"/>
      </w:r>
      <w:r w:rsidR="00942D5D" w:rsidRPr="0093006A">
        <w:rPr>
          <w:color w:val="595959" w:themeColor="text1" w:themeTint="A6"/>
          <w:vertAlign w:val="superscript"/>
        </w:rPr>
        <w:t>,</w:t>
      </w:r>
      <w:r w:rsidR="00942D5D" w:rsidRPr="0093006A">
        <w:rPr>
          <w:rStyle w:val="FootnoteReference"/>
          <w:color w:val="595959" w:themeColor="text1" w:themeTint="A6"/>
        </w:rPr>
        <w:footnoteReference w:id="220"/>
      </w:r>
    </w:p>
    <w:p w14:paraId="06DE08F2" w14:textId="1EA065D3" w:rsidR="00044A26" w:rsidRPr="0093006A" w:rsidRDefault="00830693" w:rsidP="003769B7">
      <w:pPr>
        <w:pStyle w:val="ListParagraph"/>
        <w:numPr>
          <w:ilvl w:val="0"/>
          <w:numId w:val="13"/>
        </w:numPr>
        <w:spacing w:after="120"/>
        <w:rPr>
          <w:color w:val="595959" w:themeColor="text1" w:themeTint="A6"/>
        </w:rPr>
      </w:pPr>
      <w:r w:rsidRPr="0093006A">
        <w:rPr>
          <w:color w:val="595959" w:themeColor="text1" w:themeTint="A6"/>
        </w:rPr>
        <w:t>C</w:t>
      </w:r>
      <w:r w:rsidR="00044A26" w:rsidRPr="0093006A">
        <w:rPr>
          <w:color w:val="595959" w:themeColor="text1" w:themeTint="A6"/>
        </w:rPr>
        <w:t>oordination of a workforce development approach that was informed by the community context within a culturally safe framework, including all project applications, approvals, delivery, and subsequent evaluation of the results</w:t>
      </w:r>
      <w:r w:rsidRPr="0093006A">
        <w:rPr>
          <w:color w:val="595959" w:themeColor="text1" w:themeTint="A6"/>
        </w:rPr>
        <w:t>.</w:t>
      </w:r>
      <w:r w:rsidR="00044A26" w:rsidRPr="0093006A">
        <w:rPr>
          <w:rStyle w:val="FootnoteReference"/>
          <w:color w:val="595959" w:themeColor="text1" w:themeTint="A6"/>
        </w:rPr>
        <w:footnoteReference w:id="221"/>
      </w:r>
      <w:r w:rsidR="00044A26" w:rsidRPr="0093006A">
        <w:rPr>
          <w:color w:val="595959" w:themeColor="text1" w:themeTint="A6"/>
          <w:vertAlign w:val="superscript"/>
        </w:rPr>
        <w:t>,</w:t>
      </w:r>
      <w:r w:rsidR="00044A26" w:rsidRPr="0093006A">
        <w:rPr>
          <w:rStyle w:val="FootnoteReference"/>
          <w:color w:val="595959" w:themeColor="text1" w:themeTint="A6"/>
        </w:rPr>
        <w:footnoteReference w:id="222"/>
      </w:r>
      <w:r w:rsidR="00044A26" w:rsidRPr="0093006A">
        <w:rPr>
          <w:color w:val="595959" w:themeColor="text1" w:themeTint="A6"/>
          <w:vertAlign w:val="superscript"/>
        </w:rPr>
        <w:t>,</w:t>
      </w:r>
      <w:r w:rsidR="00044A26" w:rsidRPr="0093006A">
        <w:rPr>
          <w:rStyle w:val="FootnoteReference"/>
          <w:color w:val="595959" w:themeColor="text1" w:themeTint="A6"/>
        </w:rPr>
        <w:footnoteReference w:id="223"/>
      </w:r>
    </w:p>
    <w:p w14:paraId="0F09F1AD" w14:textId="601717D0" w:rsidR="00044A26" w:rsidRPr="0093006A" w:rsidRDefault="00830693" w:rsidP="003769B7">
      <w:pPr>
        <w:pStyle w:val="ListParagraph"/>
        <w:numPr>
          <w:ilvl w:val="0"/>
          <w:numId w:val="13"/>
        </w:numPr>
        <w:spacing w:after="120"/>
        <w:rPr>
          <w:color w:val="595959" w:themeColor="text1" w:themeTint="A6"/>
        </w:rPr>
      </w:pPr>
      <w:r w:rsidRPr="0093006A">
        <w:rPr>
          <w:color w:val="595959" w:themeColor="text1" w:themeTint="A6"/>
        </w:rPr>
        <w:t>F</w:t>
      </w:r>
      <w:r w:rsidR="00044A26" w:rsidRPr="0093006A">
        <w:rPr>
          <w:color w:val="595959" w:themeColor="text1" w:themeTint="A6"/>
        </w:rPr>
        <w:t>urther collaboration with specific industries in the area, small to large business, and local governments to understand how to create effective employment pathways and careers for Indigenous employees with an ongoing feedback loop which s</w:t>
      </w:r>
      <w:r w:rsidRPr="0093006A">
        <w:rPr>
          <w:color w:val="595959" w:themeColor="text1" w:themeTint="A6"/>
        </w:rPr>
        <w:t>eeks</w:t>
      </w:r>
      <w:r w:rsidR="00044A26" w:rsidRPr="0093006A">
        <w:rPr>
          <w:color w:val="595959" w:themeColor="text1" w:themeTint="A6"/>
        </w:rPr>
        <w:t xml:space="preserve"> to overcome ongoing employment barriers</w:t>
      </w:r>
      <w:r w:rsidRPr="0093006A">
        <w:rPr>
          <w:color w:val="595959" w:themeColor="text1" w:themeTint="A6"/>
        </w:rPr>
        <w:t>.</w:t>
      </w:r>
      <w:r w:rsidR="00044A26" w:rsidRPr="0093006A">
        <w:rPr>
          <w:rStyle w:val="FootnoteReference"/>
          <w:color w:val="595959" w:themeColor="text1" w:themeTint="A6"/>
        </w:rPr>
        <w:footnoteReference w:id="224"/>
      </w:r>
      <w:r w:rsidR="00044A26" w:rsidRPr="0093006A">
        <w:rPr>
          <w:color w:val="595959" w:themeColor="text1" w:themeTint="A6"/>
          <w:vertAlign w:val="superscript"/>
        </w:rPr>
        <w:t>,</w:t>
      </w:r>
      <w:r w:rsidR="00044A26" w:rsidRPr="0093006A">
        <w:rPr>
          <w:rStyle w:val="FootnoteReference"/>
          <w:color w:val="595959" w:themeColor="text1" w:themeTint="A6"/>
        </w:rPr>
        <w:footnoteReference w:id="225"/>
      </w:r>
      <w:r w:rsidR="00044A26" w:rsidRPr="0093006A">
        <w:rPr>
          <w:color w:val="595959" w:themeColor="text1" w:themeTint="A6"/>
          <w:vertAlign w:val="superscript"/>
        </w:rPr>
        <w:t>,</w:t>
      </w:r>
      <w:r w:rsidR="00044A26" w:rsidRPr="0093006A">
        <w:rPr>
          <w:rStyle w:val="FootnoteReference"/>
          <w:color w:val="595959" w:themeColor="text1" w:themeTint="A6"/>
        </w:rPr>
        <w:footnoteReference w:id="226"/>
      </w:r>
    </w:p>
    <w:p w14:paraId="0B893173" w14:textId="6DAAA5E8" w:rsidR="00044A26" w:rsidRPr="0093006A" w:rsidRDefault="00830693" w:rsidP="003769B7">
      <w:pPr>
        <w:pStyle w:val="ListParagraph"/>
        <w:numPr>
          <w:ilvl w:val="0"/>
          <w:numId w:val="13"/>
        </w:numPr>
        <w:spacing w:after="120"/>
        <w:rPr>
          <w:color w:val="595959" w:themeColor="text1" w:themeTint="A6"/>
        </w:rPr>
      </w:pPr>
      <w:r w:rsidRPr="0093006A">
        <w:rPr>
          <w:color w:val="595959" w:themeColor="text1" w:themeTint="A6"/>
        </w:rPr>
        <w:t>E</w:t>
      </w:r>
      <w:r w:rsidR="00044A26" w:rsidRPr="0093006A">
        <w:rPr>
          <w:color w:val="595959" w:themeColor="text1" w:themeTint="A6"/>
        </w:rPr>
        <w:t xml:space="preserve">xisting rights and arrangements with current and potential employers of Indigenous </w:t>
      </w:r>
      <w:r w:rsidR="00942D5D" w:rsidRPr="0093006A">
        <w:rPr>
          <w:color w:val="595959" w:themeColor="text1" w:themeTint="A6"/>
        </w:rPr>
        <w:t>Australians</w:t>
      </w:r>
      <w:r w:rsidR="00044A26" w:rsidRPr="0093006A">
        <w:rPr>
          <w:color w:val="595959" w:themeColor="text1" w:themeTint="A6"/>
        </w:rPr>
        <w:t>, specifically through native title determinations and the Prescribed Bod</w:t>
      </w:r>
      <w:r w:rsidRPr="0093006A">
        <w:rPr>
          <w:color w:val="595959" w:themeColor="text1" w:themeTint="A6"/>
        </w:rPr>
        <w:t>ies</w:t>
      </w:r>
      <w:r w:rsidR="00044A26" w:rsidRPr="0093006A">
        <w:rPr>
          <w:color w:val="595959" w:themeColor="text1" w:themeTint="A6"/>
        </w:rPr>
        <w:t xml:space="preserve"> Corporate (PBCs), to </w:t>
      </w:r>
      <w:r w:rsidRPr="0093006A">
        <w:rPr>
          <w:color w:val="595959" w:themeColor="text1" w:themeTint="A6"/>
        </w:rPr>
        <w:t>benefit</w:t>
      </w:r>
      <w:r w:rsidR="00044A26" w:rsidRPr="0093006A">
        <w:rPr>
          <w:color w:val="595959" w:themeColor="text1" w:themeTint="A6"/>
        </w:rPr>
        <w:t xml:space="preserve"> Indigenous employees in partnership with both NIAA and employers</w:t>
      </w:r>
      <w:r w:rsidRPr="0093006A">
        <w:rPr>
          <w:color w:val="595959" w:themeColor="text1" w:themeTint="A6"/>
        </w:rPr>
        <w:t>.</w:t>
      </w:r>
      <w:r w:rsidR="00044A26" w:rsidRPr="0093006A">
        <w:rPr>
          <w:rStyle w:val="FootnoteReference"/>
          <w:color w:val="595959" w:themeColor="text1" w:themeTint="A6"/>
        </w:rPr>
        <w:footnoteReference w:id="227"/>
      </w:r>
    </w:p>
    <w:p w14:paraId="62A02DD8" w14:textId="46AB963D" w:rsidR="00044A26" w:rsidRPr="0093006A" w:rsidRDefault="00830693" w:rsidP="00981521">
      <w:pPr>
        <w:pStyle w:val="ListParagraph"/>
        <w:numPr>
          <w:ilvl w:val="0"/>
          <w:numId w:val="13"/>
        </w:numPr>
        <w:spacing w:after="120"/>
        <w:rPr>
          <w:color w:val="595959" w:themeColor="text1" w:themeTint="A6"/>
        </w:rPr>
      </w:pPr>
      <w:r w:rsidRPr="0093006A">
        <w:rPr>
          <w:color w:val="595959" w:themeColor="text1" w:themeTint="A6"/>
        </w:rPr>
        <w:t>T</w:t>
      </w:r>
      <w:r w:rsidR="00044A26" w:rsidRPr="0093006A">
        <w:rPr>
          <w:color w:val="595959" w:themeColor="text1" w:themeTint="A6"/>
        </w:rPr>
        <w:t xml:space="preserve">he ability to maximise specific traditional land management techniques, and even the broader culture-based economy, to be further incorporated and bolstered in each region by </w:t>
      </w:r>
      <w:r w:rsidR="00942D5D" w:rsidRPr="0093006A">
        <w:rPr>
          <w:color w:val="595959" w:themeColor="text1" w:themeTint="A6"/>
        </w:rPr>
        <w:t xml:space="preserve">the </w:t>
      </w:r>
      <w:r w:rsidR="00044A26" w:rsidRPr="0093006A">
        <w:rPr>
          <w:color w:val="595959" w:themeColor="text1" w:themeTint="A6"/>
        </w:rPr>
        <w:t>ISEP</w:t>
      </w:r>
      <w:r w:rsidRPr="0093006A">
        <w:rPr>
          <w:color w:val="595959" w:themeColor="text1" w:themeTint="A6"/>
        </w:rPr>
        <w:t>.</w:t>
      </w:r>
      <w:r w:rsidR="00044A26" w:rsidRPr="0093006A">
        <w:rPr>
          <w:rStyle w:val="FootnoteReference"/>
          <w:bCs/>
          <w:color w:val="595959" w:themeColor="text1" w:themeTint="A6"/>
        </w:rPr>
        <w:footnoteReference w:id="228"/>
      </w:r>
    </w:p>
    <w:p w14:paraId="34B0C4AD" w14:textId="77777777" w:rsidR="00A0364A" w:rsidRPr="0093006A" w:rsidRDefault="00A0364A">
      <w:pPr>
        <w:rPr>
          <w:b/>
          <w:color w:val="595959" w:themeColor="text1" w:themeTint="A6"/>
          <w:sz w:val="24"/>
          <w:szCs w:val="24"/>
        </w:rPr>
      </w:pPr>
      <w:r w:rsidRPr="0093006A">
        <w:rPr>
          <w:b/>
          <w:color w:val="595959" w:themeColor="text1" w:themeTint="A6"/>
          <w:sz w:val="24"/>
          <w:szCs w:val="24"/>
        </w:rPr>
        <w:br w:type="page"/>
      </w:r>
    </w:p>
    <w:p w14:paraId="630CAC59" w14:textId="64693F5D" w:rsidR="00044A26" w:rsidRPr="0093006A" w:rsidRDefault="00044A26" w:rsidP="00D00D79">
      <w:pPr>
        <w:spacing w:after="120"/>
        <w:rPr>
          <w:b/>
          <w:color w:val="595959" w:themeColor="text1" w:themeTint="A6"/>
          <w:sz w:val="24"/>
          <w:szCs w:val="24"/>
        </w:rPr>
      </w:pPr>
      <w:r w:rsidRPr="0093006A">
        <w:rPr>
          <w:b/>
          <w:color w:val="595959" w:themeColor="text1" w:themeTint="A6"/>
          <w:sz w:val="24"/>
          <w:szCs w:val="24"/>
        </w:rPr>
        <w:t>Discussion Question 5: How can the ISEP encourage potential employers of Aboriginal and Torres Strait Islander people to provide safe and culturally appropriate work environments? How can employers better value the skills and perspectives of Indigenous employees?</w:t>
      </w:r>
    </w:p>
    <w:p w14:paraId="783CCA4A" w14:textId="77777777" w:rsidR="00044A26" w:rsidRPr="0093006A" w:rsidRDefault="00044A26" w:rsidP="00D00D79">
      <w:pPr>
        <w:spacing w:after="120"/>
        <w:rPr>
          <w:color w:val="595959" w:themeColor="text1" w:themeTint="A6"/>
        </w:rPr>
      </w:pPr>
      <w:r w:rsidRPr="0093006A">
        <w:rPr>
          <w:color w:val="595959" w:themeColor="text1" w:themeTint="A6"/>
        </w:rPr>
        <w:t>In the fifth Discussion Question, NIAA asked prospective respondents:</w:t>
      </w:r>
    </w:p>
    <w:p w14:paraId="4F2971AB" w14:textId="77777777" w:rsidR="00044A26" w:rsidRPr="0093006A" w:rsidRDefault="00044A26" w:rsidP="00D00D79">
      <w:pPr>
        <w:pStyle w:val="ListParagraph"/>
        <w:spacing w:after="120"/>
        <w:rPr>
          <w:color w:val="595959" w:themeColor="text1" w:themeTint="A6"/>
        </w:rPr>
      </w:pPr>
      <w:r w:rsidRPr="0093006A">
        <w:rPr>
          <w:color w:val="595959" w:themeColor="text1" w:themeTint="A6"/>
        </w:rPr>
        <w:t xml:space="preserve">How can the ISEP encourage potential employers of Aboriginal and Torres Strait Islander people to provide safe and culturally appropriate work environments? How can employers better value the skills and perspectives of Indigenous employees? </w:t>
      </w:r>
    </w:p>
    <w:p w14:paraId="3BF8E9F9" w14:textId="10F62230" w:rsidR="00044A26" w:rsidRPr="0093006A" w:rsidRDefault="00044A26" w:rsidP="00981521">
      <w:pPr>
        <w:pStyle w:val="ListParagraph"/>
        <w:numPr>
          <w:ilvl w:val="1"/>
          <w:numId w:val="17"/>
        </w:numPr>
        <w:spacing w:after="120"/>
        <w:rPr>
          <w:color w:val="595959" w:themeColor="text1" w:themeTint="A6"/>
        </w:rPr>
      </w:pPr>
      <w:r w:rsidRPr="0093006A">
        <w:rPr>
          <w:color w:val="595959" w:themeColor="text1" w:themeTint="A6"/>
        </w:rPr>
        <w:t>NIAA is interested in understanding how all employers, including Indigenous employers and SMEs, can be supported to further employment outcomes for Aboriginal and Torres Strait Islander people.</w:t>
      </w:r>
      <w:r w:rsidRPr="0093006A">
        <w:rPr>
          <w:rStyle w:val="FootnoteReference"/>
          <w:color w:val="595959" w:themeColor="text1" w:themeTint="A6"/>
        </w:rPr>
        <w:footnoteReference w:id="229"/>
      </w:r>
      <w:r w:rsidR="00942D5D" w:rsidRPr="0093006A">
        <w:rPr>
          <w:color w:val="595959" w:themeColor="text1" w:themeTint="A6"/>
        </w:rPr>
        <w:t xml:space="preserve"> </w:t>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ghts 6 and 14"/>
        <w:tblDescription w:val="Ensuring and positively obligating cultural safety in the workplace should be a critical feature of the ISEP. Culturally safe workplaces need to be ‘ready’ for Indigenous employees and encouraged and obligated through the ISEP and Federal Government mechanisms.&#10;"/>
      </w:tblPr>
      <w:tblGrid>
        <w:gridCol w:w="8930"/>
      </w:tblGrid>
      <w:tr w:rsidR="0093006A" w:rsidRPr="0093006A" w14:paraId="1E74BA21" w14:textId="77777777" w:rsidTr="00091525">
        <w:trPr>
          <w:cantSplit/>
          <w:tblHeader/>
        </w:trPr>
        <w:tc>
          <w:tcPr>
            <w:tcW w:w="8930" w:type="dxa"/>
            <w:shd w:val="clear" w:color="auto" w:fill="auto"/>
          </w:tcPr>
          <w:p w14:paraId="5734C4F4" w14:textId="2A85164C" w:rsidR="00D00D79" w:rsidRPr="0093006A" w:rsidRDefault="00D00D79" w:rsidP="0048465C">
            <w:pPr>
              <w:spacing w:after="120"/>
              <w:rPr>
                <w:b/>
                <w:bCs/>
                <w:i/>
                <w:iCs/>
                <w:color w:val="595959" w:themeColor="text1" w:themeTint="A6"/>
              </w:rPr>
            </w:pPr>
            <w:r w:rsidRPr="0093006A">
              <w:rPr>
                <w:b/>
                <w:bCs/>
                <w:i/>
                <w:iCs/>
                <w:color w:val="595959" w:themeColor="text1" w:themeTint="A6"/>
              </w:rPr>
              <w:t xml:space="preserve">Key </w:t>
            </w:r>
            <w:r w:rsidR="003D2BE5" w:rsidRPr="0093006A">
              <w:rPr>
                <w:b/>
                <w:bCs/>
                <w:i/>
                <w:iCs/>
                <w:color w:val="595959" w:themeColor="text1" w:themeTint="A6"/>
              </w:rPr>
              <w:t>I</w:t>
            </w:r>
            <w:r w:rsidRPr="0093006A">
              <w:rPr>
                <w:b/>
                <w:bCs/>
                <w:i/>
                <w:iCs/>
                <w:color w:val="595959" w:themeColor="text1" w:themeTint="A6"/>
              </w:rPr>
              <w:t>nsight</w:t>
            </w:r>
            <w:r w:rsidR="003D2BE5" w:rsidRPr="0093006A">
              <w:rPr>
                <w:b/>
                <w:bCs/>
                <w:i/>
                <w:iCs/>
                <w:color w:val="595959" w:themeColor="text1" w:themeTint="A6"/>
              </w:rPr>
              <w:t xml:space="preserve">s </w:t>
            </w:r>
            <w:r w:rsidR="00426AC6" w:rsidRPr="0093006A">
              <w:rPr>
                <w:b/>
                <w:bCs/>
                <w:i/>
                <w:iCs/>
                <w:color w:val="595959" w:themeColor="text1" w:themeTint="A6"/>
              </w:rPr>
              <w:t>6</w:t>
            </w:r>
            <w:r w:rsidR="003D2BE5" w:rsidRPr="0093006A">
              <w:rPr>
                <w:b/>
                <w:bCs/>
                <w:i/>
                <w:iCs/>
                <w:color w:val="595959" w:themeColor="text1" w:themeTint="A6"/>
              </w:rPr>
              <w:t xml:space="preserve"> &amp; </w:t>
            </w:r>
            <w:r w:rsidR="00A74853" w:rsidRPr="0093006A">
              <w:rPr>
                <w:b/>
                <w:bCs/>
                <w:i/>
                <w:iCs/>
                <w:color w:val="595959" w:themeColor="text1" w:themeTint="A6"/>
              </w:rPr>
              <w:t>14</w:t>
            </w:r>
          </w:p>
        </w:tc>
      </w:tr>
      <w:tr w:rsidR="00D00D79" w:rsidRPr="0093006A" w14:paraId="2EA506F9" w14:textId="77777777" w:rsidTr="00091525">
        <w:trPr>
          <w:cantSplit/>
          <w:tblHeader/>
        </w:trPr>
        <w:tc>
          <w:tcPr>
            <w:tcW w:w="8930" w:type="dxa"/>
          </w:tcPr>
          <w:p w14:paraId="33D14A0C" w14:textId="1E520CEC" w:rsidR="009170D8" w:rsidRPr="0093006A" w:rsidRDefault="009170D8" w:rsidP="009170D8">
            <w:pPr>
              <w:spacing w:after="120"/>
              <w:textDirection w:val="btLr"/>
              <w:rPr>
                <w:b/>
                <w:bCs/>
                <w:color w:val="595959" w:themeColor="text1" w:themeTint="A6"/>
              </w:rPr>
            </w:pPr>
            <w:r w:rsidRPr="0093006A">
              <w:rPr>
                <w:b/>
                <w:bCs/>
                <w:color w:val="595959" w:themeColor="text1" w:themeTint="A6"/>
              </w:rPr>
              <w:t xml:space="preserve">Ensuring and positively obligating cultural safety in the workplace </w:t>
            </w:r>
            <w:r w:rsidR="00DF4609" w:rsidRPr="0093006A">
              <w:rPr>
                <w:b/>
                <w:bCs/>
                <w:color w:val="595959" w:themeColor="text1" w:themeTint="A6"/>
              </w:rPr>
              <w:t xml:space="preserve">should </w:t>
            </w:r>
            <w:r w:rsidRPr="0093006A">
              <w:rPr>
                <w:b/>
                <w:bCs/>
                <w:color w:val="595959" w:themeColor="text1" w:themeTint="A6"/>
              </w:rPr>
              <w:t xml:space="preserve">be a critical feature of the ISEP </w:t>
            </w:r>
          </w:p>
          <w:p w14:paraId="7F127FA7" w14:textId="26D87133" w:rsidR="009170D8" w:rsidRPr="0093006A" w:rsidRDefault="009170D8" w:rsidP="009170D8">
            <w:pPr>
              <w:spacing w:after="120"/>
              <w:rPr>
                <w:b/>
                <w:bCs/>
                <w:color w:val="595959" w:themeColor="text1" w:themeTint="A6"/>
              </w:rPr>
            </w:pPr>
            <w:r w:rsidRPr="0093006A">
              <w:rPr>
                <w:color w:val="595959" w:themeColor="text1" w:themeTint="A6"/>
              </w:rPr>
              <w:t xml:space="preserve">Building cultural safety in the workplace is critical to successful outcomes of the new ISEP. This includes positive obligations on employers to make workplaces culturally safe, a view that was strongly expressed by industry leaders. </w:t>
            </w:r>
            <w:r w:rsidR="00DF4609" w:rsidRPr="0093006A">
              <w:rPr>
                <w:color w:val="595959" w:themeColor="text1" w:themeTint="A6"/>
              </w:rPr>
              <w:t>Stakeholders</w:t>
            </w:r>
            <w:r w:rsidRPr="0093006A">
              <w:rPr>
                <w:color w:val="595959" w:themeColor="text1" w:themeTint="A6"/>
              </w:rPr>
              <w:t xml:space="preserve"> agreed that ACCOs and Indigenous communities must play a key role in this and that employers require support, training, accreditation, and positive obligations to develop such measures within local Indigenous community contexts.</w:t>
            </w:r>
          </w:p>
          <w:p w14:paraId="03B82CF2" w14:textId="4BCC0AD4" w:rsidR="009170D8" w:rsidRPr="0093006A" w:rsidRDefault="009170D8" w:rsidP="009170D8">
            <w:pPr>
              <w:spacing w:after="120"/>
              <w:textDirection w:val="btLr"/>
              <w:rPr>
                <w:b/>
                <w:bCs/>
                <w:color w:val="595959" w:themeColor="text1" w:themeTint="A6"/>
              </w:rPr>
            </w:pPr>
            <w:r w:rsidRPr="0093006A">
              <w:rPr>
                <w:b/>
                <w:bCs/>
                <w:color w:val="595959" w:themeColor="text1" w:themeTint="A6"/>
              </w:rPr>
              <w:t xml:space="preserve">Culturally safe workplaces need to be ‘ready’ for Indigenous employees and encouraged and obligated through the ISEP and Federal Government mechanisms </w:t>
            </w:r>
          </w:p>
          <w:p w14:paraId="70A96C1A" w14:textId="03088529" w:rsidR="00D00D79" w:rsidRPr="0093006A" w:rsidRDefault="009170D8" w:rsidP="00D00D79">
            <w:pPr>
              <w:spacing w:after="120"/>
              <w:textDirection w:val="btLr"/>
              <w:rPr>
                <w:color w:val="595959" w:themeColor="text1" w:themeTint="A6"/>
              </w:rPr>
            </w:pPr>
            <w:r w:rsidRPr="0093006A">
              <w:rPr>
                <w:color w:val="595959" w:themeColor="text1" w:themeTint="A6"/>
              </w:rPr>
              <w:t>Cultural safety and capability measures need to be facilitated by all key stakeholders – Aboriginal and Torres Strait Islander community members and controlled-organisations, employers, service providers, and NIAA – to ensure culturally safe and competent workplaces for Indigenous employees to successfully sustain jobs and careers.</w:t>
            </w:r>
          </w:p>
        </w:tc>
      </w:tr>
    </w:tbl>
    <w:p w14:paraId="0C095D18" w14:textId="77777777" w:rsidR="00D00D79" w:rsidRPr="0093006A" w:rsidRDefault="00D00D79" w:rsidP="00D00D79">
      <w:pPr>
        <w:spacing w:after="120"/>
        <w:rPr>
          <w:color w:val="595959" w:themeColor="text1" w:themeTint="A6"/>
        </w:rPr>
      </w:pPr>
    </w:p>
    <w:p w14:paraId="5E452501" w14:textId="216FDDEE" w:rsidR="00044A26" w:rsidRPr="0093006A" w:rsidRDefault="00942D5D" w:rsidP="00044A26">
      <w:pPr>
        <w:spacing w:after="120"/>
        <w:rPr>
          <w:bCs/>
          <w:color w:val="595959" w:themeColor="text1" w:themeTint="A6"/>
        </w:rPr>
      </w:pPr>
      <w:r w:rsidRPr="0093006A">
        <w:rPr>
          <w:bCs/>
          <w:color w:val="595959" w:themeColor="text1" w:themeTint="A6"/>
        </w:rPr>
        <w:t xml:space="preserve">The </w:t>
      </w:r>
      <w:r w:rsidR="00044A26" w:rsidRPr="0093006A">
        <w:rPr>
          <w:bCs/>
          <w:color w:val="595959" w:themeColor="text1" w:themeTint="A6"/>
        </w:rPr>
        <w:t>ISEP should actively promote culturally safe workplaces through positive obligations</w:t>
      </w:r>
    </w:p>
    <w:p w14:paraId="7690E137" w14:textId="274528F3" w:rsidR="00942D5D" w:rsidRPr="0093006A" w:rsidRDefault="00044A26" w:rsidP="00044A26">
      <w:pPr>
        <w:rPr>
          <w:color w:val="595959" w:themeColor="text1" w:themeTint="A6"/>
          <w:vertAlign w:val="superscript"/>
        </w:rPr>
      </w:pPr>
      <w:r w:rsidRPr="0093006A">
        <w:rPr>
          <w:color w:val="595959" w:themeColor="text1" w:themeTint="A6"/>
        </w:rPr>
        <w:t>Many respondents reported that a major obstacle for Indigenous employees is in working within environment</w:t>
      </w:r>
      <w:r w:rsidR="00FD6496" w:rsidRPr="0093006A">
        <w:rPr>
          <w:color w:val="595959" w:themeColor="text1" w:themeTint="A6"/>
        </w:rPr>
        <w:t>s</w:t>
      </w:r>
      <w:r w:rsidRPr="0093006A">
        <w:rPr>
          <w:color w:val="595959" w:themeColor="text1" w:themeTint="A6"/>
        </w:rPr>
        <w:t xml:space="preserve"> that </w:t>
      </w:r>
      <w:r w:rsidR="00FD6496" w:rsidRPr="0093006A">
        <w:rPr>
          <w:color w:val="595959" w:themeColor="text1" w:themeTint="A6"/>
        </w:rPr>
        <w:t>are</w:t>
      </w:r>
      <w:r w:rsidRPr="0093006A">
        <w:rPr>
          <w:color w:val="595959" w:themeColor="text1" w:themeTint="A6"/>
        </w:rPr>
        <w:t xml:space="preserve"> characterised as culturally unsafe (i.e. lacking cultural competency and capability), through to prejudice and/or racism </w:t>
      </w:r>
      <w:r w:rsidR="00FD6496" w:rsidRPr="0093006A">
        <w:rPr>
          <w:color w:val="595959" w:themeColor="text1" w:themeTint="A6"/>
        </w:rPr>
        <w:t xml:space="preserve">being </w:t>
      </w:r>
      <w:r w:rsidRPr="0093006A">
        <w:rPr>
          <w:color w:val="595959" w:themeColor="text1" w:themeTint="A6"/>
        </w:rPr>
        <w:t>present in the workplace.</w:t>
      </w:r>
      <w:r w:rsidRPr="0093006A">
        <w:rPr>
          <w:rStyle w:val="FootnoteReference"/>
          <w:color w:val="595959" w:themeColor="text1" w:themeTint="A6"/>
        </w:rPr>
        <w:footnoteReference w:id="230"/>
      </w:r>
      <w:r w:rsidRPr="0093006A">
        <w:rPr>
          <w:color w:val="595959" w:themeColor="text1" w:themeTint="A6"/>
          <w:vertAlign w:val="superscript"/>
        </w:rPr>
        <w:t>,</w:t>
      </w:r>
      <w:r w:rsidRPr="0093006A">
        <w:rPr>
          <w:rStyle w:val="FootnoteReference"/>
          <w:color w:val="595959" w:themeColor="text1" w:themeTint="A6"/>
        </w:rPr>
        <w:footnoteReference w:id="231"/>
      </w:r>
      <w:r w:rsidRPr="0093006A">
        <w:rPr>
          <w:color w:val="595959" w:themeColor="text1" w:themeTint="A6"/>
          <w:vertAlign w:val="superscript"/>
        </w:rPr>
        <w:t>,</w:t>
      </w:r>
      <w:r w:rsidRPr="0093006A">
        <w:rPr>
          <w:rStyle w:val="FootnoteReference"/>
          <w:color w:val="595959" w:themeColor="text1" w:themeTint="A6"/>
        </w:rPr>
        <w:footnoteReference w:id="232"/>
      </w:r>
      <w:r w:rsidR="0082738F" w:rsidRPr="0093006A">
        <w:rPr>
          <w:color w:val="595959" w:themeColor="text1" w:themeTint="A6"/>
          <w:vertAlign w:val="superscript"/>
        </w:rPr>
        <w:t>,</w:t>
      </w:r>
      <w:r w:rsidR="0082738F" w:rsidRPr="0093006A">
        <w:rPr>
          <w:rStyle w:val="FootnoteReference"/>
          <w:color w:val="595959" w:themeColor="text1" w:themeTint="A6"/>
        </w:rPr>
        <w:footnoteReference w:id="233"/>
      </w:r>
      <w:r w:rsidR="0082738F" w:rsidRPr="0093006A">
        <w:rPr>
          <w:color w:val="595959" w:themeColor="text1" w:themeTint="A6"/>
          <w:vertAlign w:val="superscript"/>
        </w:rPr>
        <w:t>,</w:t>
      </w:r>
      <w:r w:rsidR="0082738F" w:rsidRPr="0093006A">
        <w:rPr>
          <w:rStyle w:val="FootnoteReference"/>
          <w:color w:val="595959" w:themeColor="text1" w:themeTint="A6"/>
        </w:rPr>
        <w:footnoteReference w:id="234"/>
      </w:r>
      <w:r w:rsidR="00942D5D" w:rsidRPr="0093006A">
        <w:rPr>
          <w:color w:val="595959" w:themeColor="text1" w:themeTint="A6"/>
          <w:vertAlign w:val="superscript"/>
        </w:rPr>
        <w:t>,</w:t>
      </w:r>
      <w:r w:rsidR="00942D5D" w:rsidRPr="0093006A">
        <w:rPr>
          <w:rStyle w:val="FootnoteReference"/>
          <w:color w:val="595959" w:themeColor="text1" w:themeTint="A6"/>
        </w:rPr>
        <w:footnoteReference w:id="235"/>
      </w:r>
      <w:r w:rsidR="00942D5D" w:rsidRPr="0093006A">
        <w:rPr>
          <w:color w:val="595959" w:themeColor="text1" w:themeTint="A6"/>
          <w:vertAlign w:val="superscript"/>
        </w:rPr>
        <w:t>,</w:t>
      </w:r>
      <w:r w:rsidR="00942D5D" w:rsidRPr="0093006A">
        <w:rPr>
          <w:rStyle w:val="FootnoteReference"/>
          <w:color w:val="595959" w:themeColor="text1" w:themeTint="A6"/>
        </w:rPr>
        <w:footnoteReference w:id="236"/>
      </w:r>
      <w:r w:rsidRPr="0093006A">
        <w:rPr>
          <w:color w:val="595959" w:themeColor="text1" w:themeTint="A6"/>
          <w:vertAlign w:val="superscript"/>
        </w:rPr>
        <w:t xml:space="preserve"> </w:t>
      </w:r>
    </w:p>
    <w:p w14:paraId="07303C90" w14:textId="77777777" w:rsidR="00942D5D" w:rsidRPr="0093006A" w:rsidRDefault="00942D5D" w:rsidP="00044A26">
      <w:pPr>
        <w:rPr>
          <w:color w:val="595959" w:themeColor="text1" w:themeTint="A6"/>
        </w:rPr>
      </w:pPr>
    </w:p>
    <w:p w14:paraId="1DA9758D" w14:textId="13986132" w:rsidR="00044A26" w:rsidRPr="0093006A" w:rsidRDefault="00044A26" w:rsidP="00044A26">
      <w:pPr>
        <w:rPr>
          <w:color w:val="595959" w:themeColor="text1" w:themeTint="A6"/>
        </w:rPr>
      </w:pPr>
      <w:r w:rsidRPr="0093006A">
        <w:rPr>
          <w:color w:val="595959" w:themeColor="text1" w:themeTint="A6"/>
        </w:rPr>
        <w:t xml:space="preserve">Respondents argued that much could be done to assist employers in </w:t>
      </w:r>
      <w:r w:rsidR="00FD6496" w:rsidRPr="0093006A">
        <w:rPr>
          <w:color w:val="595959" w:themeColor="text1" w:themeTint="A6"/>
        </w:rPr>
        <w:t>creating</w:t>
      </w:r>
      <w:r w:rsidRPr="0093006A">
        <w:rPr>
          <w:color w:val="595959" w:themeColor="text1" w:themeTint="A6"/>
        </w:rPr>
        <w:t xml:space="preserve"> sustainable </w:t>
      </w:r>
      <w:r w:rsidR="00580D41" w:rsidRPr="0093006A">
        <w:rPr>
          <w:color w:val="595959" w:themeColor="text1" w:themeTint="A6"/>
        </w:rPr>
        <w:t>culturally safe</w:t>
      </w:r>
      <w:r w:rsidRPr="0093006A">
        <w:rPr>
          <w:color w:val="595959" w:themeColor="text1" w:themeTint="A6"/>
        </w:rPr>
        <w:t xml:space="preserve"> workplaces</w:t>
      </w:r>
      <w:r w:rsidR="00FD6496" w:rsidRPr="0093006A">
        <w:rPr>
          <w:color w:val="595959" w:themeColor="text1" w:themeTint="A6"/>
        </w:rPr>
        <w:t xml:space="preserve"> that are sustainable in the long term</w:t>
      </w:r>
      <w:r w:rsidRPr="0093006A">
        <w:rPr>
          <w:color w:val="595959" w:themeColor="text1" w:themeTint="A6"/>
        </w:rPr>
        <w:t>, including:</w:t>
      </w:r>
    </w:p>
    <w:p w14:paraId="090F6211" w14:textId="77777777" w:rsidR="00044A26" w:rsidRPr="0093006A" w:rsidRDefault="00044A26" w:rsidP="00044A26">
      <w:pPr>
        <w:rPr>
          <w:color w:val="595959" w:themeColor="text1" w:themeTint="A6"/>
        </w:rPr>
      </w:pPr>
    </w:p>
    <w:p w14:paraId="2E31D05D" w14:textId="57D569EB" w:rsidR="00044A26" w:rsidRPr="0093006A" w:rsidRDefault="00FD6496" w:rsidP="003769B7">
      <w:pPr>
        <w:pStyle w:val="ListParagraph"/>
        <w:numPr>
          <w:ilvl w:val="0"/>
          <w:numId w:val="12"/>
        </w:numPr>
        <w:rPr>
          <w:color w:val="595959" w:themeColor="text1" w:themeTint="A6"/>
        </w:rPr>
      </w:pPr>
      <w:r w:rsidRPr="0093006A">
        <w:rPr>
          <w:color w:val="595959" w:themeColor="text1" w:themeTint="A6"/>
        </w:rPr>
        <w:t>C</w:t>
      </w:r>
      <w:r w:rsidR="00044A26" w:rsidRPr="0093006A">
        <w:rPr>
          <w:color w:val="595959" w:themeColor="text1" w:themeTint="A6"/>
        </w:rPr>
        <w:t>ompulsory cultural safety and capability training</w:t>
      </w:r>
      <w:r w:rsidR="0082738F" w:rsidRPr="0093006A">
        <w:rPr>
          <w:color w:val="595959" w:themeColor="text1" w:themeTint="A6"/>
        </w:rPr>
        <w:t xml:space="preserve"> and a commitment to undertake measures to eliminate racism in the workplace</w:t>
      </w:r>
      <w:r w:rsidR="00044A26" w:rsidRPr="0093006A">
        <w:rPr>
          <w:color w:val="595959" w:themeColor="text1" w:themeTint="A6"/>
        </w:rPr>
        <w:t xml:space="preserve"> for any organisation that accesses Indigenous-specific funding under the ISEP, which includes Indigenous community representatives, employers, and service providers as partners in the design and rollout</w:t>
      </w:r>
      <w:r w:rsidRPr="0093006A">
        <w:rPr>
          <w:color w:val="595959" w:themeColor="text1" w:themeTint="A6"/>
        </w:rPr>
        <w:t>.</w:t>
      </w:r>
      <w:r w:rsidR="00044A26" w:rsidRPr="0093006A">
        <w:rPr>
          <w:rStyle w:val="FootnoteReference"/>
          <w:color w:val="595959" w:themeColor="text1" w:themeTint="A6"/>
        </w:rPr>
        <w:footnoteReference w:id="237"/>
      </w:r>
      <w:r w:rsidR="00044A26" w:rsidRPr="0093006A">
        <w:rPr>
          <w:color w:val="595959" w:themeColor="text1" w:themeTint="A6"/>
          <w:vertAlign w:val="superscript"/>
        </w:rPr>
        <w:t>,</w:t>
      </w:r>
      <w:r w:rsidR="0082738F" w:rsidRPr="0093006A">
        <w:rPr>
          <w:rStyle w:val="FootnoteReference"/>
          <w:color w:val="595959" w:themeColor="text1" w:themeTint="A6"/>
        </w:rPr>
        <w:footnoteReference w:id="238"/>
      </w:r>
      <w:r w:rsidR="0082738F" w:rsidRPr="0093006A">
        <w:rPr>
          <w:color w:val="595959" w:themeColor="text1" w:themeTint="A6"/>
          <w:vertAlign w:val="superscript"/>
        </w:rPr>
        <w:t>,</w:t>
      </w:r>
      <w:r w:rsidR="00044A26" w:rsidRPr="0093006A">
        <w:rPr>
          <w:rStyle w:val="FootnoteReference"/>
          <w:color w:val="595959" w:themeColor="text1" w:themeTint="A6"/>
        </w:rPr>
        <w:footnoteReference w:id="239"/>
      </w:r>
      <w:r w:rsidR="00044A26" w:rsidRPr="0093006A">
        <w:rPr>
          <w:color w:val="595959" w:themeColor="text1" w:themeTint="A6"/>
          <w:vertAlign w:val="superscript"/>
        </w:rPr>
        <w:t>,</w:t>
      </w:r>
      <w:r w:rsidR="00044A26" w:rsidRPr="0093006A">
        <w:rPr>
          <w:rStyle w:val="FootnoteReference"/>
          <w:color w:val="595959" w:themeColor="text1" w:themeTint="A6"/>
        </w:rPr>
        <w:footnoteReference w:id="240"/>
      </w:r>
      <w:r w:rsidR="00044A26" w:rsidRPr="0093006A">
        <w:rPr>
          <w:color w:val="595959" w:themeColor="text1" w:themeTint="A6"/>
          <w:vertAlign w:val="superscript"/>
        </w:rPr>
        <w:t>,</w:t>
      </w:r>
      <w:r w:rsidR="00044A26" w:rsidRPr="0093006A">
        <w:rPr>
          <w:rStyle w:val="FootnoteReference"/>
          <w:color w:val="595959" w:themeColor="text1" w:themeTint="A6"/>
        </w:rPr>
        <w:footnoteReference w:id="241"/>
      </w:r>
      <w:r w:rsidR="00044A26" w:rsidRPr="0093006A">
        <w:rPr>
          <w:color w:val="595959" w:themeColor="text1" w:themeTint="A6"/>
          <w:vertAlign w:val="superscript"/>
        </w:rPr>
        <w:t>,</w:t>
      </w:r>
      <w:r w:rsidR="00044A26" w:rsidRPr="0093006A">
        <w:rPr>
          <w:rStyle w:val="FootnoteReference"/>
          <w:color w:val="595959" w:themeColor="text1" w:themeTint="A6"/>
        </w:rPr>
        <w:footnoteReference w:id="242"/>
      </w:r>
      <w:r w:rsidR="00044A26" w:rsidRPr="0093006A">
        <w:rPr>
          <w:color w:val="595959" w:themeColor="text1" w:themeTint="A6"/>
          <w:vertAlign w:val="superscript"/>
        </w:rPr>
        <w:t>,</w:t>
      </w:r>
      <w:r w:rsidR="00044A26" w:rsidRPr="0093006A">
        <w:rPr>
          <w:rStyle w:val="FootnoteReference"/>
          <w:color w:val="595959" w:themeColor="text1" w:themeTint="A6"/>
        </w:rPr>
        <w:footnoteReference w:id="243"/>
      </w:r>
      <w:r w:rsidR="00044A26" w:rsidRPr="0093006A">
        <w:rPr>
          <w:color w:val="595959" w:themeColor="text1" w:themeTint="A6"/>
          <w:vertAlign w:val="superscript"/>
        </w:rPr>
        <w:t>,</w:t>
      </w:r>
      <w:r w:rsidR="00044A26" w:rsidRPr="0093006A">
        <w:rPr>
          <w:rStyle w:val="FootnoteReference"/>
          <w:color w:val="595959" w:themeColor="text1" w:themeTint="A6"/>
        </w:rPr>
        <w:footnoteReference w:id="244"/>
      </w:r>
      <w:r w:rsidR="00044A26" w:rsidRPr="0093006A">
        <w:rPr>
          <w:color w:val="595959" w:themeColor="text1" w:themeTint="A6"/>
          <w:vertAlign w:val="superscript"/>
        </w:rPr>
        <w:t>,</w:t>
      </w:r>
      <w:r w:rsidR="00044A26" w:rsidRPr="0093006A">
        <w:rPr>
          <w:rStyle w:val="FootnoteReference"/>
          <w:color w:val="595959" w:themeColor="text1" w:themeTint="A6"/>
        </w:rPr>
        <w:footnoteReference w:id="245"/>
      </w:r>
      <w:r w:rsidR="00044A26" w:rsidRPr="0093006A">
        <w:rPr>
          <w:color w:val="595959" w:themeColor="text1" w:themeTint="A6"/>
          <w:vertAlign w:val="superscript"/>
        </w:rPr>
        <w:t>,</w:t>
      </w:r>
      <w:r w:rsidR="00044A26" w:rsidRPr="0093006A">
        <w:rPr>
          <w:rStyle w:val="FootnoteReference"/>
          <w:color w:val="595959" w:themeColor="text1" w:themeTint="A6"/>
        </w:rPr>
        <w:footnoteReference w:id="246"/>
      </w:r>
      <w:r w:rsidR="00044A26" w:rsidRPr="0093006A">
        <w:rPr>
          <w:color w:val="595959" w:themeColor="text1" w:themeTint="A6"/>
          <w:vertAlign w:val="superscript"/>
        </w:rPr>
        <w:t>,</w:t>
      </w:r>
      <w:r w:rsidR="00044A26" w:rsidRPr="0093006A">
        <w:rPr>
          <w:rStyle w:val="FootnoteReference"/>
          <w:color w:val="595959" w:themeColor="text1" w:themeTint="A6"/>
        </w:rPr>
        <w:footnoteReference w:id="247"/>
      </w:r>
      <w:r w:rsidR="00044A26" w:rsidRPr="0093006A">
        <w:rPr>
          <w:color w:val="595959" w:themeColor="text1" w:themeTint="A6"/>
          <w:vertAlign w:val="superscript"/>
        </w:rPr>
        <w:t>,</w:t>
      </w:r>
      <w:r w:rsidR="00044A26" w:rsidRPr="0093006A">
        <w:rPr>
          <w:rStyle w:val="FootnoteReference"/>
          <w:color w:val="595959" w:themeColor="text1" w:themeTint="A6"/>
        </w:rPr>
        <w:footnoteReference w:id="248"/>
      </w:r>
    </w:p>
    <w:p w14:paraId="29B8D25E" w14:textId="314D4366" w:rsidR="00942D5D" w:rsidRPr="0093006A" w:rsidRDefault="00FD6496" w:rsidP="00942D5D">
      <w:pPr>
        <w:pStyle w:val="ListParagraph"/>
        <w:numPr>
          <w:ilvl w:val="0"/>
          <w:numId w:val="12"/>
        </w:numPr>
        <w:rPr>
          <w:color w:val="595959" w:themeColor="text1" w:themeTint="A6"/>
        </w:rPr>
      </w:pPr>
      <w:r w:rsidRPr="0093006A">
        <w:rPr>
          <w:color w:val="595959" w:themeColor="text1" w:themeTint="A6"/>
        </w:rPr>
        <w:t>C</w:t>
      </w:r>
      <w:r w:rsidR="00942D5D" w:rsidRPr="0093006A">
        <w:rPr>
          <w:color w:val="595959" w:themeColor="text1" w:themeTint="A6"/>
        </w:rPr>
        <w:t>ultural safety and capability training requirements for employers and mainstream service providers to be facilitated through/created under national government accreditation schemes which includes Indigenous community representatives, employers, and service providers as partners in the design and rollout</w:t>
      </w:r>
      <w:r w:rsidRPr="0093006A">
        <w:rPr>
          <w:color w:val="595959" w:themeColor="text1" w:themeTint="A6"/>
        </w:rPr>
        <w:t>.</w:t>
      </w:r>
      <w:r w:rsidR="00942D5D" w:rsidRPr="0093006A">
        <w:rPr>
          <w:rStyle w:val="FootnoteReference"/>
          <w:color w:val="595959" w:themeColor="text1" w:themeTint="A6"/>
        </w:rPr>
        <w:footnoteReference w:id="249"/>
      </w:r>
      <w:r w:rsidR="00942D5D" w:rsidRPr="0093006A">
        <w:rPr>
          <w:color w:val="595959" w:themeColor="text1" w:themeTint="A6"/>
          <w:vertAlign w:val="superscript"/>
        </w:rPr>
        <w:t>,</w:t>
      </w:r>
      <w:r w:rsidR="00942D5D" w:rsidRPr="0093006A">
        <w:rPr>
          <w:rStyle w:val="FootnoteReference"/>
          <w:color w:val="595959" w:themeColor="text1" w:themeTint="A6"/>
        </w:rPr>
        <w:footnoteReference w:id="250"/>
      </w:r>
    </w:p>
    <w:p w14:paraId="2526718E" w14:textId="7C1F7086" w:rsidR="00044A26" w:rsidRPr="0093006A" w:rsidRDefault="00FD6496" w:rsidP="003769B7">
      <w:pPr>
        <w:pStyle w:val="ListParagraph"/>
        <w:numPr>
          <w:ilvl w:val="0"/>
          <w:numId w:val="12"/>
        </w:numPr>
        <w:rPr>
          <w:color w:val="595959" w:themeColor="text1" w:themeTint="A6"/>
        </w:rPr>
      </w:pPr>
      <w:r w:rsidRPr="0093006A">
        <w:rPr>
          <w:color w:val="595959" w:themeColor="text1" w:themeTint="A6"/>
        </w:rPr>
        <w:t>D</w:t>
      </w:r>
      <w:r w:rsidR="00044A26" w:rsidRPr="0093006A">
        <w:rPr>
          <w:color w:val="595959" w:themeColor="text1" w:themeTint="A6"/>
        </w:rPr>
        <w:t xml:space="preserve">eveloping programs </w:t>
      </w:r>
      <w:r w:rsidR="0082738F" w:rsidRPr="0093006A">
        <w:rPr>
          <w:color w:val="595959" w:themeColor="text1" w:themeTint="A6"/>
        </w:rPr>
        <w:t xml:space="preserve">for employers </w:t>
      </w:r>
      <w:r w:rsidR="00044A26" w:rsidRPr="0093006A">
        <w:rPr>
          <w:color w:val="595959" w:themeColor="text1" w:themeTint="A6"/>
        </w:rPr>
        <w:t xml:space="preserve">that incorporate an “embedded understanding of the impact of historical and modern challenges faced by a number of </w:t>
      </w:r>
      <w:r w:rsidR="00580D41" w:rsidRPr="0093006A">
        <w:rPr>
          <w:color w:val="595959" w:themeColor="text1" w:themeTint="A6"/>
        </w:rPr>
        <w:t>Indigenous Australians</w:t>
      </w:r>
      <w:r w:rsidR="00044A26" w:rsidRPr="0093006A">
        <w:rPr>
          <w:color w:val="595959" w:themeColor="text1" w:themeTint="A6"/>
        </w:rPr>
        <w:t>, including intergenerational trauma, socio-economic disadvantage and negative schooling experiences, and how these challenges can lead to difficulties with seeking and maintaining employment</w:t>
      </w:r>
      <w:r w:rsidRPr="0093006A">
        <w:rPr>
          <w:color w:val="595959" w:themeColor="text1" w:themeTint="A6"/>
        </w:rPr>
        <w:t>.</w:t>
      </w:r>
      <w:r w:rsidR="00044A26" w:rsidRPr="0093006A">
        <w:rPr>
          <w:color w:val="595959" w:themeColor="text1" w:themeTint="A6"/>
        </w:rPr>
        <w:t>”</w:t>
      </w:r>
      <w:r w:rsidR="00044A26" w:rsidRPr="0093006A">
        <w:rPr>
          <w:rStyle w:val="FootnoteReference"/>
          <w:color w:val="595959" w:themeColor="text1" w:themeTint="A6"/>
        </w:rPr>
        <w:footnoteReference w:id="251"/>
      </w:r>
    </w:p>
    <w:p w14:paraId="2F005B0C" w14:textId="5D2CC807" w:rsidR="00942D5D" w:rsidRPr="0093006A" w:rsidRDefault="00FD6496" w:rsidP="00942D5D">
      <w:pPr>
        <w:pStyle w:val="ListParagraph"/>
        <w:numPr>
          <w:ilvl w:val="0"/>
          <w:numId w:val="12"/>
        </w:numPr>
        <w:rPr>
          <w:color w:val="595959" w:themeColor="text1" w:themeTint="A6"/>
        </w:rPr>
      </w:pPr>
      <w:r w:rsidRPr="0093006A">
        <w:rPr>
          <w:color w:val="595959" w:themeColor="text1" w:themeTint="A6"/>
        </w:rPr>
        <w:t>C</w:t>
      </w:r>
      <w:r w:rsidR="00942D5D" w:rsidRPr="0093006A">
        <w:rPr>
          <w:color w:val="595959" w:themeColor="text1" w:themeTint="A6"/>
        </w:rPr>
        <w:t>ultural safety and capacity could also be incorporated into funding agreements, for those accessing the ISEP and providing Indigenous-specific services with regular independent assessment regarding suitability</w:t>
      </w:r>
      <w:r w:rsidRPr="0093006A">
        <w:rPr>
          <w:color w:val="595959" w:themeColor="text1" w:themeTint="A6"/>
        </w:rPr>
        <w:t>.</w:t>
      </w:r>
      <w:r w:rsidR="00942D5D" w:rsidRPr="0093006A">
        <w:rPr>
          <w:rStyle w:val="FootnoteReference"/>
          <w:color w:val="595959" w:themeColor="text1" w:themeTint="A6"/>
        </w:rPr>
        <w:footnoteReference w:id="252"/>
      </w:r>
    </w:p>
    <w:p w14:paraId="3BB1AC48" w14:textId="1A029E6B" w:rsidR="00942D5D" w:rsidRPr="0093006A" w:rsidRDefault="00FD6496" w:rsidP="00942D5D">
      <w:pPr>
        <w:pStyle w:val="ListParagraph"/>
        <w:numPr>
          <w:ilvl w:val="0"/>
          <w:numId w:val="12"/>
        </w:numPr>
        <w:rPr>
          <w:color w:val="595959" w:themeColor="text1" w:themeTint="A6"/>
        </w:rPr>
      </w:pPr>
      <w:r w:rsidRPr="0093006A">
        <w:rPr>
          <w:color w:val="595959" w:themeColor="text1" w:themeTint="A6"/>
        </w:rPr>
        <w:t>P</w:t>
      </w:r>
      <w:r w:rsidR="00942D5D" w:rsidRPr="0093006A">
        <w:rPr>
          <w:color w:val="595959" w:themeColor="text1" w:themeTint="A6"/>
        </w:rPr>
        <w:t xml:space="preserve">ractical examples should be modelled for </w:t>
      </w:r>
      <w:r w:rsidR="009A25AB" w:rsidRPr="0093006A">
        <w:rPr>
          <w:color w:val="595959" w:themeColor="text1" w:themeTint="A6"/>
        </w:rPr>
        <w:t xml:space="preserve">employees </w:t>
      </w:r>
      <w:r w:rsidR="00942D5D" w:rsidRPr="0093006A">
        <w:rPr>
          <w:color w:val="595959" w:themeColor="text1" w:themeTint="A6"/>
        </w:rPr>
        <w:t>and employers, including through mentorship and modelling,</w:t>
      </w:r>
      <w:r w:rsidR="00942D5D" w:rsidRPr="0093006A">
        <w:rPr>
          <w:rStyle w:val="FootnoteReference"/>
          <w:color w:val="595959" w:themeColor="text1" w:themeTint="A6"/>
        </w:rPr>
        <w:t xml:space="preserve"> </w:t>
      </w:r>
      <w:r w:rsidR="00942D5D" w:rsidRPr="0093006A">
        <w:rPr>
          <w:rStyle w:val="FootnoteReference"/>
          <w:color w:val="595959" w:themeColor="text1" w:themeTint="A6"/>
        </w:rPr>
        <w:footnoteReference w:id="253"/>
      </w:r>
      <w:r w:rsidR="00942D5D" w:rsidRPr="0093006A">
        <w:rPr>
          <w:rStyle w:val="FootnoteReference"/>
          <w:color w:val="595959" w:themeColor="text1" w:themeTint="A6"/>
        </w:rPr>
        <w:t>,</w:t>
      </w:r>
      <w:r w:rsidR="00942D5D" w:rsidRPr="0093006A">
        <w:rPr>
          <w:rStyle w:val="FootnoteReference"/>
          <w:color w:val="595959" w:themeColor="text1" w:themeTint="A6"/>
        </w:rPr>
        <w:footnoteReference w:id="254"/>
      </w:r>
      <w:r w:rsidR="00942D5D" w:rsidRPr="0093006A">
        <w:rPr>
          <w:color w:val="595959" w:themeColor="text1" w:themeTint="A6"/>
        </w:rPr>
        <w:t xml:space="preserve"> but also through highly accessible formats such as “video interviews and online seminars</w:t>
      </w:r>
      <w:r w:rsidRPr="0093006A">
        <w:rPr>
          <w:color w:val="595959" w:themeColor="text1" w:themeTint="A6"/>
        </w:rPr>
        <w:t>.</w:t>
      </w:r>
      <w:r w:rsidR="00942D5D" w:rsidRPr="0093006A">
        <w:rPr>
          <w:color w:val="595959" w:themeColor="text1" w:themeTint="A6"/>
        </w:rPr>
        <w:t>”</w:t>
      </w:r>
      <w:r w:rsidR="00942D5D" w:rsidRPr="0093006A">
        <w:rPr>
          <w:rStyle w:val="FootnoteReference"/>
          <w:color w:val="595959" w:themeColor="text1" w:themeTint="A6"/>
        </w:rPr>
        <w:footnoteReference w:id="255"/>
      </w:r>
    </w:p>
    <w:p w14:paraId="2A2B2697" w14:textId="71843B98" w:rsidR="00942D5D" w:rsidRPr="0093006A" w:rsidRDefault="00FD6496" w:rsidP="00942D5D">
      <w:pPr>
        <w:pStyle w:val="ListParagraph"/>
        <w:numPr>
          <w:ilvl w:val="0"/>
          <w:numId w:val="12"/>
        </w:numPr>
        <w:rPr>
          <w:color w:val="595959" w:themeColor="text1" w:themeTint="A6"/>
        </w:rPr>
      </w:pPr>
      <w:r w:rsidRPr="0093006A">
        <w:rPr>
          <w:color w:val="595959" w:themeColor="text1" w:themeTint="A6"/>
        </w:rPr>
        <w:t>C</w:t>
      </w:r>
      <w:r w:rsidR="00942D5D" w:rsidRPr="0093006A">
        <w:rPr>
          <w:color w:val="595959" w:themeColor="text1" w:themeTint="A6"/>
        </w:rPr>
        <w:t>ultural safety and capability should be formulated by Indigenous staff, community feedback and Traditional Owners and in alignment with the National Agreement and principles of self-determination</w:t>
      </w:r>
      <w:r w:rsidRPr="0093006A">
        <w:rPr>
          <w:color w:val="595959" w:themeColor="text1" w:themeTint="A6"/>
        </w:rPr>
        <w:t>.</w:t>
      </w:r>
      <w:r w:rsidR="00942D5D" w:rsidRPr="0093006A">
        <w:rPr>
          <w:rStyle w:val="FootnoteReference"/>
          <w:color w:val="595959" w:themeColor="text1" w:themeTint="A6"/>
        </w:rPr>
        <w:t xml:space="preserve"> </w:t>
      </w:r>
      <w:r w:rsidR="00942D5D" w:rsidRPr="0093006A">
        <w:rPr>
          <w:rStyle w:val="FootnoteReference"/>
          <w:color w:val="595959" w:themeColor="text1" w:themeTint="A6"/>
        </w:rPr>
        <w:footnoteReference w:id="256"/>
      </w:r>
    </w:p>
    <w:p w14:paraId="393EE667" w14:textId="6668E475" w:rsidR="00044A26" w:rsidRPr="0093006A" w:rsidRDefault="00044A26" w:rsidP="003769B7">
      <w:pPr>
        <w:pStyle w:val="ListParagraph"/>
        <w:numPr>
          <w:ilvl w:val="0"/>
          <w:numId w:val="12"/>
        </w:numPr>
        <w:rPr>
          <w:color w:val="595959" w:themeColor="text1" w:themeTint="A6"/>
        </w:rPr>
      </w:pPr>
      <w:r w:rsidRPr="0093006A">
        <w:rPr>
          <w:color w:val="595959" w:themeColor="text1" w:themeTint="A6"/>
        </w:rPr>
        <w:t>ACCOs, Indigenous Group Training Organisations, and Indigenous-controlled employment services can provide said training in partnership with NIAA and local employers in their local context</w:t>
      </w:r>
      <w:r w:rsidR="00FD6496" w:rsidRPr="0093006A">
        <w:rPr>
          <w:color w:val="595959" w:themeColor="text1" w:themeTint="A6"/>
        </w:rPr>
        <w:t>.</w:t>
      </w:r>
      <w:r w:rsidRPr="0093006A">
        <w:rPr>
          <w:rStyle w:val="FootnoteReference"/>
          <w:color w:val="595959" w:themeColor="text1" w:themeTint="A6"/>
        </w:rPr>
        <w:footnoteReference w:id="257"/>
      </w:r>
      <w:r w:rsidRPr="0093006A">
        <w:rPr>
          <w:color w:val="595959" w:themeColor="text1" w:themeTint="A6"/>
          <w:vertAlign w:val="superscript"/>
        </w:rPr>
        <w:t>,</w:t>
      </w:r>
      <w:r w:rsidRPr="0093006A">
        <w:rPr>
          <w:rStyle w:val="FootnoteReference"/>
          <w:color w:val="595959" w:themeColor="text1" w:themeTint="A6"/>
        </w:rPr>
        <w:footnoteReference w:id="258"/>
      </w:r>
    </w:p>
    <w:p w14:paraId="072E0A76" w14:textId="0C079EFC" w:rsidR="00FD6496" w:rsidRPr="0093006A" w:rsidRDefault="00FD6496" w:rsidP="00FB3CCC">
      <w:pPr>
        <w:pStyle w:val="ListParagraph"/>
        <w:numPr>
          <w:ilvl w:val="0"/>
          <w:numId w:val="12"/>
        </w:numPr>
        <w:rPr>
          <w:color w:val="595959" w:themeColor="text1" w:themeTint="A6"/>
        </w:rPr>
      </w:pPr>
      <w:r w:rsidRPr="0093006A">
        <w:rPr>
          <w:color w:val="595959" w:themeColor="text1" w:themeTint="A6"/>
        </w:rPr>
        <w:t>L</w:t>
      </w:r>
      <w:r w:rsidR="00942D5D" w:rsidRPr="0093006A">
        <w:rPr>
          <w:color w:val="595959" w:themeColor="text1" w:themeTint="A6"/>
        </w:rPr>
        <w:t>egislative change to formally recognise leave entitlements to include cultural obligations for Indigenous employees</w:t>
      </w:r>
      <w:r w:rsidR="00942D5D" w:rsidRPr="0093006A">
        <w:rPr>
          <w:rStyle w:val="FootnoteReference"/>
          <w:color w:val="595959" w:themeColor="text1" w:themeTint="A6"/>
        </w:rPr>
        <w:footnoteReference w:id="259"/>
      </w:r>
    </w:p>
    <w:p w14:paraId="7E68F500" w14:textId="1B6AE39E" w:rsidR="00044A26" w:rsidRPr="0093006A" w:rsidRDefault="00FD6496" w:rsidP="00FD6496">
      <w:pPr>
        <w:pStyle w:val="ListParagraph"/>
        <w:numPr>
          <w:ilvl w:val="0"/>
          <w:numId w:val="12"/>
        </w:numPr>
        <w:rPr>
          <w:color w:val="595959" w:themeColor="text1" w:themeTint="A6"/>
          <w:sz w:val="28"/>
          <w:szCs w:val="28"/>
        </w:rPr>
      </w:pPr>
      <w:r w:rsidRPr="0093006A">
        <w:rPr>
          <w:color w:val="595959" w:themeColor="text1" w:themeTint="A6"/>
        </w:rPr>
        <w:t>P</w:t>
      </w:r>
      <w:r w:rsidR="0082738F" w:rsidRPr="0093006A">
        <w:rPr>
          <w:color w:val="595959" w:themeColor="text1" w:themeTint="A6"/>
        </w:rPr>
        <w:t>rovide and support existing mental health support mechanisms for Indigenous employees that experience racism in the workplace</w:t>
      </w:r>
      <w:r w:rsidR="00F01ECF" w:rsidRPr="0093006A">
        <w:rPr>
          <w:color w:val="595959" w:themeColor="text1" w:themeTint="A6"/>
        </w:rPr>
        <w:t>.</w:t>
      </w:r>
      <w:r w:rsidR="0082738F" w:rsidRPr="0093006A">
        <w:rPr>
          <w:rStyle w:val="FootnoteReference"/>
          <w:color w:val="595959" w:themeColor="text1" w:themeTint="A6"/>
        </w:rPr>
        <w:footnoteReference w:id="260"/>
      </w:r>
    </w:p>
    <w:p w14:paraId="662AED38" w14:textId="77777777" w:rsidR="00044A26" w:rsidRPr="0093006A" w:rsidRDefault="00044A26" w:rsidP="00044A26">
      <w:pPr>
        <w:rPr>
          <w:color w:val="595959" w:themeColor="text1" w:themeTint="A6"/>
        </w:rPr>
      </w:pPr>
    </w:p>
    <w:p w14:paraId="17DB7814" w14:textId="77777777" w:rsidR="00044A26" w:rsidRPr="0093006A" w:rsidRDefault="00044A26" w:rsidP="00044A26">
      <w:pPr>
        <w:spacing w:after="120"/>
        <w:rPr>
          <w:bCs/>
          <w:color w:val="595959" w:themeColor="text1" w:themeTint="A6"/>
        </w:rPr>
      </w:pPr>
      <w:r w:rsidRPr="0093006A">
        <w:rPr>
          <w:bCs/>
          <w:color w:val="595959" w:themeColor="text1" w:themeTint="A6"/>
        </w:rPr>
        <w:t>Increased funding needed for Indigenous employers and Indigenous-specific employment service providers</w:t>
      </w:r>
    </w:p>
    <w:p w14:paraId="5F2067F1" w14:textId="611632CF" w:rsidR="00CB6505" w:rsidRPr="0093006A" w:rsidRDefault="00044A26" w:rsidP="00CB6505">
      <w:pPr>
        <w:rPr>
          <w:color w:val="595959" w:themeColor="text1" w:themeTint="A6"/>
        </w:rPr>
      </w:pPr>
      <w:r w:rsidRPr="0093006A">
        <w:rPr>
          <w:color w:val="595959" w:themeColor="text1" w:themeTint="A6"/>
        </w:rPr>
        <w:t>Respondents also called for increased funding and support for pre-existing Indigenous employers themselves to provide culturally safe and appropriate employment for Indigenous jobseekers.</w:t>
      </w:r>
      <w:r w:rsidRPr="0093006A">
        <w:rPr>
          <w:rStyle w:val="FootnoteReference"/>
          <w:color w:val="595959" w:themeColor="text1" w:themeTint="A6"/>
        </w:rPr>
        <w:footnoteReference w:id="261"/>
      </w:r>
      <w:r w:rsidRPr="0093006A">
        <w:rPr>
          <w:color w:val="595959" w:themeColor="text1" w:themeTint="A6"/>
          <w:vertAlign w:val="superscript"/>
        </w:rPr>
        <w:t>,</w:t>
      </w:r>
      <w:r w:rsidRPr="0093006A">
        <w:rPr>
          <w:rStyle w:val="FootnoteReference"/>
          <w:color w:val="595959" w:themeColor="text1" w:themeTint="A6"/>
        </w:rPr>
        <w:footnoteReference w:id="262"/>
      </w:r>
      <w:r w:rsidRPr="0093006A">
        <w:rPr>
          <w:color w:val="595959" w:themeColor="text1" w:themeTint="A6"/>
          <w:vertAlign w:val="superscript"/>
        </w:rPr>
        <w:t>,</w:t>
      </w:r>
      <w:r w:rsidRPr="0093006A">
        <w:rPr>
          <w:rStyle w:val="FootnoteReference"/>
          <w:color w:val="595959" w:themeColor="text1" w:themeTint="A6"/>
        </w:rPr>
        <w:footnoteReference w:id="263"/>
      </w:r>
      <w:r w:rsidRPr="0093006A">
        <w:rPr>
          <w:color w:val="595959" w:themeColor="text1" w:themeTint="A6"/>
        </w:rPr>
        <w:t xml:space="preserve"> In competitive tendering processes with non-Indigenous employers, Indigenous businesses and employers – many of which are noted as providing long-term stable jobs for Indigenous jobseekers</w:t>
      </w:r>
      <w:r w:rsidRPr="0093006A">
        <w:rPr>
          <w:rStyle w:val="FootnoteReference"/>
          <w:color w:val="595959" w:themeColor="text1" w:themeTint="A6"/>
        </w:rPr>
        <w:footnoteReference w:id="264"/>
      </w:r>
      <w:r w:rsidRPr="0093006A">
        <w:rPr>
          <w:color w:val="595959" w:themeColor="text1" w:themeTint="A6"/>
        </w:rPr>
        <w:t xml:space="preserve"> – </w:t>
      </w:r>
      <w:r w:rsidR="00CB6505" w:rsidRPr="0093006A">
        <w:rPr>
          <w:color w:val="595959" w:themeColor="text1" w:themeTint="A6"/>
        </w:rPr>
        <w:t>are also burdened with the extra costs of supporting those staff members, and in turn, the ISEP needs to recognise this in prioritising Indigenous employment.</w:t>
      </w:r>
      <w:r w:rsidR="00CB6505" w:rsidRPr="0093006A">
        <w:rPr>
          <w:rStyle w:val="FootnoteReference"/>
          <w:color w:val="595959" w:themeColor="text1" w:themeTint="A6"/>
        </w:rPr>
        <w:footnoteReference w:id="265"/>
      </w:r>
      <w:r w:rsidR="00CB6505" w:rsidRPr="0093006A">
        <w:rPr>
          <w:color w:val="595959" w:themeColor="text1" w:themeTint="A6"/>
        </w:rPr>
        <w:t xml:space="preserve"> Further development of Indigenous-specific programs and Indigenous Owned Registered Training Organisations for long-term unemployed jobseekers was also recognised as a necessity and opportunity for building confidence and providing support for community members.</w:t>
      </w:r>
      <w:r w:rsidR="00CB6505" w:rsidRPr="0093006A">
        <w:rPr>
          <w:rStyle w:val="FootnoteReference"/>
          <w:color w:val="595959" w:themeColor="text1" w:themeTint="A6"/>
        </w:rPr>
        <w:footnoteReference w:id="266"/>
      </w:r>
      <w:r w:rsidR="00CB6505" w:rsidRPr="0093006A">
        <w:rPr>
          <w:color w:val="595959" w:themeColor="text1" w:themeTint="A6"/>
          <w:vertAlign w:val="superscript"/>
        </w:rPr>
        <w:t>,</w:t>
      </w:r>
      <w:r w:rsidR="00CB6505" w:rsidRPr="0093006A">
        <w:rPr>
          <w:rStyle w:val="FootnoteReference"/>
          <w:color w:val="595959" w:themeColor="text1" w:themeTint="A6"/>
        </w:rPr>
        <w:footnoteReference w:id="267"/>
      </w:r>
    </w:p>
    <w:p w14:paraId="07153FA5" w14:textId="77777777" w:rsidR="00044A26" w:rsidRPr="0093006A" w:rsidRDefault="00044A26" w:rsidP="00044A26">
      <w:pPr>
        <w:rPr>
          <w:color w:val="595959" w:themeColor="text1" w:themeTint="A6"/>
        </w:rPr>
      </w:pPr>
    </w:p>
    <w:p w14:paraId="55375E81" w14:textId="77777777" w:rsidR="00044A26" w:rsidRPr="0093006A" w:rsidRDefault="00044A26" w:rsidP="00044A26">
      <w:pPr>
        <w:spacing w:after="120"/>
        <w:rPr>
          <w:bCs/>
          <w:color w:val="595959" w:themeColor="text1" w:themeTint="A6"/>
        </w:rPr>
      </w:pPr>
      <w:r w:rsidRPr="0093006A">
        <w:rPr>
          <w:bCs/>
          <w:color w:val="595959" w:themeColor="text1" w:themeTint="A6"/>
        </w:rPr>
        <w:t>Employers need to be responsible to be ‘ready’ for Indigenous employees with greater awareness, support, and accessibility through NIAA</w:t>
      </w:r>
    </w:p>
    <w:p w14:paraId="176B8152" w14:textId="77777777" w:rsidR="00CB6505" w:rsidRPr="0093006A" w:rsidRDefault="00CB6505" w:rsidP="00CB6505">
      <w:pPr>
        <w:rPr>
          <w:color w:val="595959" w:themeColor="text1" w:themeTint="A6"/>
        </w:rPr>
      </w:pPr>
      <w:r w:rsidRPr="0093006A">
        <w:rPr>
          <w:color w:val="595959" w:themeColor="text1" w:themeTint="A6"/>
        </w:rPr>
        <w:t>Rather than the individual Indigenous employee being responsible for cultural change within the organisation, employers were recommended by a range of respondents to focus on their “workplace readiness and cultural safety”.</w:t>
      </w:r>
      <w:r w:rsidRPr="0093006A">
        <w:rPr>
          <w:rStyle w:val="FootnoteReference"/>
          <w:color w:val="595959" w:themeColor="text1" w:themeTint="A6"/>
        </w:rPr>
        <w:footnoteReference w:id="268"/>
      </w:r>
      <w:r w:rsidRPr="0093006A">
        <w:rPr>
          <w:color w:val="595959" w:themeColor="text1" w:themeTint="A6"/>
        </w:rPr>
        <w:t xml:space="preserve"> Greater resources are needed for all employers to further support their Indigenous employees, often in structural and social barriers to accessing work (including housing, accommodation, access to transport, family care roles etc.),</w:t>
      </w:r>
      <w:r w:rsidRPr="0093006A">
        <w:rPr>
          <w:rStyle w:val="FootnoteReference"/>
          <w:color w:val="595959" w:themeColor="text1" w:themeTint="A6"/>
        </w:rPr>
        <w:footnoteReference w:id="269"/>
      </w:r>
      <w:r w:rsidRPr="0093006A">
        <w:rPr>
          <w:color w:val="595959" w:themeColor="text1" w:themeTint="A6"/>
          <w:vertAlign w:val="superscript"/>
        </w:rPr>
        <w:t>,</w:t>
      </w:r>
      <w:r w:rsidRPr="0093006A">
        <w:rPr>
          <w:rStyle w:val="FootnoteReference"/>
          <w:color w:val="595959" w:themeColor="text1" w:themeTint="A6"/>
        </w:rPr>
        <w:footnoteReference w:id="270"/>
      </w:r>
      <w:r w:rsidRPr="0093006A">
        <w:rPr>
          <w:color w:val="595959" w:themeColor="text1" w:themeTint="A6"/>
        </w:rPr>
        <w:t xml:space="preserve"> the need for training on the job, extra language translation services (and the incorporation of language in the workforce), and the funding provision of space and time to facilitate an employee’s cultural needs and obligations without overburdening individual employers.</w:t>
      </w:r>
      <w:r w:rsidRPr="0093006A">
        <w:rPr>
          <w:rStyle w:val="FootnoteReference"/>
          <w:color w:val="595959" w:themeColor="text1" w:themeTint="A6"/>
        </w:rPr>
        <w:footnoteReference w:id="271"/>
      </w:r>
      <w:r w:rsidRPr="0093006A">
        <w:rPr>
          <w:color w:val="595959" w:themeColor="text1" w:themeTint="A6"/>
          <w:vertAlign w:val="superscript"/>
        </w:rPr>
        <w:t>,</w:t>
      </w:r>
      <w:r w:rsidRPr="0093006A">
        <w:rPr>
          <w:rStyle w:val="FootnoteReference"/>
          <w:color w:val="595959" w:themeColor="text1" w:themeTint="A6"/>
        </w:rPr>
        <w:footnoteReference w:id="272"/>
      </w:r>
      <w:r w:rsidRPr="0093006A">
        <w:rPr>
          <w:color w:val="595959" w:themeColor="text1" w:themeTint="A6"/>
        </w:rPr>
        <w:t xml:space="preserve"> </w:t>
      </w:r>
    </w:p>
    <w:p w14:paraId="124CE1C3" w14:textId="77777777" w:rsidR="00CB6505" w:rsidRPr="0093006A" w:rsidRDefault="00CB6505" w:rsidP="00CB6505">
      <w:pPr>
        <w:rPr>
          <w:color w:val="595959" w:themeColor="text1" w:themeTint="A6"/>
        </w:rPr>
      </w:pPr>
    </w:p>
    <w:p w14:paraId="5BE315A9" w14:textId="6EAAF578" w:rsidR="00B12144" w:rsidRPr="0093006A" w:rsidRDefault="00CB6505" w:rsidP="00CB6505">
      <w:pPr>
        <w:rPr>
          <w:color w:val="595959" w:themeColor="text1" w:themeTint="A6"/>
        </w:rPr>
      </w:pPr>
      <w:r w:rsidRPr="0093006A">
        <w:rPr>
          <w:color w:val="595959" w:themeColor="text1" w:themeTint="A6"/>
        </w:rPr>
        <w:t>Further recognition of the value Indigenous employees bring to non-Indigenous employers was also emphasised by several respondents, in their skills and experiences for the workplace, but also in the community benefits that result from maintaining employment.</w:t>
      </w:r>
      <w:r w:rsidRPr="0093006A">
        <w:rPr>
          <w:rStyle w:val="FootnoteReference"/>
          <w:color w:val="595959" w:themeColor="text1" w:themeTint="A6"/>
        </w:rPr>
        <w:footnoteReference w:id="273"/>
      </w:r>
      <w:r w:rsidRPr="0093006A">
        <w:rPr>
          <w:color w:val="595959" w:themeColor="text1" w:themeTint="A6"/>
          <w:vertAlign w:val="superscript"/>
        </w:rPr>
        <w:t>,</w:t>
      </w:r>
      <w:r w:rsidRPr="0093006A">
        <w:rPr>
          <w:rStyle w:val="FootnoteReference"/>
          <w:color w:val="595959" w:themeColor="text1" w:themeTint="A6"/>
        </w:rPr>
        <w:footnoteReference w:id="274"/>
      </w:r>
      <w:r w:rsidRPr="0093006A">
        <w:rPr>
          <w:color w:val="595959" w:themeColor="text1" w:themeTint="A6"/>
          <w:vertAlign w:val="superscript"/>
        </w:rPr>
        <w:t>,</w:t>
      </w:r>
      <w:r w:rsidRPr="0093006A">
        <w:rPr>
          <w:rStyle w:val="FootnoteReference"/>
          <w:color w:val="595959" w:themeColor="text1" w:themeTint="A6"/>
        </w:rPr>
        <w:footnoteReference w:id="275"/>
      </w:r>
      <w:r w:rsidRPr="0093006A">
        <w:rPr>
          <w:color w:val="595959" w:themeColor="text1" w:themeTint="A6"/>
          <w:vertAlign w:val="superscript"/>
        </w:rPr>
        <w:t xml:space="preserve"> </w:t>
      </w:r>
      <w:r w:rsidRPr="0093006A">
        <w:rPr>
          <w:color w:val="595959" w:themeColor="text1" w:themeTint="A6"/>
        </w:rPr>
        <w:t>This could include Indigenous-led mentorship that delivers how-to programs for non-Indigenous employers to create further awareness, education, and practical support.</w:t>
      </w:r>
      <w:r w:rsidRPr="0093006A">
        <w:rPr>
          <w:rStyle w:val="FootnoteReference"/>
          <w:color w:val="595959" w:themeColor="text1" w:themeTint="A6"/>
        </w:rPr>
        <w:footnoteReference w:id="276"/>
      </w:r>
      <w:r w:rsidRPr="0093006A">
        <w:rPr>
          <w:color w:val="595959" w:themeColor="text1" w:themeTint="A6"/>
        </w:rPr>
        <w:t xml:space="preserve"> Further support for wrap-around programs for Indigenous employees, including specific cultural support, family safety support, and flexible working arrangements and leave entitlements, would further assist Aboriginal and Torres Strait Islander employees and their participation in the workforce.</w:t>
      </w:r>
      <w:r w:rsidRPr="0093006A">
        <w:rPr>
          <w:rStyle w:val="FootnoteReference"/>
          <w:color w:val="595959" w:themeColor="text1" w:themeTint="A6"/>
        </w:rPr>
        <w:footnoteReference w:id="277"/>
      </w:r>
      <w:r w:rsidRPr="0093006A">
        <w:rPr>
          <w:color w:val="595959" w:themeColor="text1" w:themeTint="A6"/>
          <w:vertAlign w:val="superscript"/>
        </w:rPr>
        <w:t>,</w:t>
      </w:r>
      <w:r w:rsidRPr="0093006A">
        <w:rPr>
          <w:rStyle w:val="FootnoteReference"/>
          <w:color w:val="595959" w:themeColor="text1" w:themeTint="A6"/>
        </w:rPr>
        <w:footnoteReference w:id="278"/>
      </w:r>
    </w:p>
    <w:p w14:paraId="53A33AD1" w14:textId="77777777" w:rsidR="00B12144" w:rsidRPr="0093006A" w:rsidRDefault="00B12144" w:rsidP="00CB6505">
      <w:pPr>
        <w:rPr>
          <w:color w:val="595959" w:themeColor="text1" w:themeTint="A6"/>
        </w:rPr>
      </w:pPr>
    </w:p>
    <w:p w14:paraId="15C421AC" w14:textId="77777777" w:rsidR="00044A26" w:rsidRPr="0093006A" w:rsidRDefault="00044A26" w:rsidP="00044A26">
      <w:pPr>
        <w:spacing w:after="120"/>
        <w:rPr>
          <w:bCs/>
          <w:color w:val="595959" w:themeColor="text1" w:themeTint="A6"/>
        </w:rPr>
      </w:pPr>
      <w:r w:rsidRPr="0093006A">
        <w:rPr>
          <w:bCs/>
          <w:color w:val="595959" w:themeColor="text1" w:themeTint="A6"/>
        </w:rPr>
        <w:t>Employers should aim to provide clear and supportive school-to-training-to-job pathways</w:t>
      </w:r>
    </w:p>
    <w:p w14:paraId="5B497AB0" w14:textId="77777777" w:rsidR="00B65A60" w:rsidRPr="0093006A" w:rsidRDefault="00B65A60" w:rsidP="00B65A60">
      <w:pPr>
        <w:rPr>
          <w:color w:val="595959" w:themeColor="text1" w:themeTint="A6"/>
        </w:rPr>
      </w:pPr>
      <w:r w:rsidRPr="0093006A">
        <w:rPr>
          <w:color w:val="595959" w:themeColor="text1" w:themeTint="A6"/>
        </w:rPr>
        <w:t>Respondents also pointed to the need for employers to be encouraged by government through the ISEP to support the transition between school, specific training outcomes such as traineeships and apprenticeships, completing higher education, and through to ongoing employment.</w:t>
      </w:r>
      <w:r w:rsidRPr="0093006A">
        <w:rPr>
          <w:rStyle w:val="FootnoteReference"/>
          <w:color w:val="595959" w:themeColor="text1" w:themeTint="A6"/>
        </w:rPr>
        <w:footnoteReference w:id="279"/>
      </w:r>
      <w:r w:rsidRPr="0093006A">
        <w:rPr>
          <w:color w:val="595959" w:themeColor="text1" w:themeTint="A6"/>
          <w:vertAlign w:val="superscript"/>
        </w:rPr>
        <w:t>,</w:t>
      </w:r>
      <w:r w:rsidRPr="0093006A">
        <w:rPr>
          <w:rStyle w:val="FootnoteReference"/>
          <w:color w:val="595959" w:themeColor="text1" w:themeTint="A6"/>
        </w:rPr>
        <w:footnoteReference w:id="280"/>
      </w:r>
      <w:r w:rsidRPr="0093006A">
        <w:rPr>
          <w:color w:val="595959" w:themeColor="text1" w:themeTint="A6"/>
          <w:vertAlign w:val="superscript"/>
        </w:rPr>
        <w:t>,</w:t>
      </w:r>
      <w:r w:rsidRPr="0093006A">
        <w:rPr>
          <w:rStyle w:val="FootnoteReference"/>
          <w:color w:val="595959" w:themeColor="text1" w:themeTint="A6"/>
        </w:rPr>
        <w:footnoteReference w:id="281"/>
      </w:r>
      <w:r w:rsidRPr="0093006A">
        <w:rPr>
          <w:color w:val="595959" w:themeColor="text1" w:themeTint="A6"/>
          <w:vertAlign w:val="superscript"/>
        </w:rPr>
        <w:t>,</w:t>
      </w:r>
      <w:r w:rsidRPr="0093006A">
        <w:rPr>
          <w:rStyle w:val="FootnoteReference"/>
          <w:color w:val="595959" w:themeColor="text1" w:themeTint="A6"/>
        </w:rPr>
        <w:footnoteReference w:id="282"/>
      </w:r>
      <w:r w:rsidRPr="0093006A">
        <w:rPr>
          <w:color w:val="595959" w:themeColor="text1" w:themeTint="A6"/>
          <w:vertAlign w:val="superscript"/>
        </w:rPr>
        <w:t>,</w:t>
      </w:r>
      <w:r w:rsidRPr="0093006A">
        <w:rPr>
          <w:rStyle w:val="FootnoteReference"/>
          <w:color w:val="595959" w:themeColor="text1" w:themeTint="A6"/>
        </w:rPr>
        <w:footnoteReference w:id="283"/>
      </w:r>
      <w:r w:rsidRPr="0093006A">
        <w:rPr>
          <w:color w:val="595959" w:themeColor="text1" w:themeTint="A6"/>
          <w:vertAlign w:val="superscript"/>
        </w:rPr>
        <w:t>,</w:t>
      </w:r>
      <w:r w:rsidRPr="0093006A">
        <w:rPr>
          <w:rStyle w:val="FootnoteReference"/>
          <w:color w:val="595959" w:themeColor="text1" w:themeTint="A6"/>
        </w:rPr>
        <w:footnoteReference w:id="284"/>
      </w:r>
      <w:r w:rsidRPr="0093006A">
        <w:rPr>
          <w:color w:val="595959" w:themeColor="text1" w:themeTint="A6"/>
          <w:vertAlign w:val="superscript"/>
        </w:rPr>
        <w:t>,</w:t>
      </w:r>
      <w:r w:rsidRPr="0093006A">
        <w:rPr>
          <w:rStyle w:val="FootnoteReference"/>
          <w:color w:val="595959" w:themeColor="text1" w:themeTint="A6"/>
        </w:rPr>
        <w:footnoteReference w:id="285"/>
      </w:r>
      <w:r w:rsidRPr="0093006A">
        <w:rPr>
          <w:color w:val="595959" w:themeColor="text1" w:themeTint="A6"/>
        </w:rPr>
        <w:t xml:space="preserve"> Several respondents emphasised the need for local job providers, industry representatives, and ACCOs to collaborate on these pathways to ensure ongoing employment matches with sustainable long-term career development in specific local contexts.</w:t>
      </w:r>
      <w:r w:rsidRPr="0093006A">
        <w:rPr>
          <w:rStyle w:val="FootnoteReference"/>
          <w:color w:val="595959" w:themeColor="text1" w:themeTint="A6"/>
        </w:rPr>
        <w:footnoteReference w:id="286"/>
      </w:r>
      <w:r w:rsidRPr="0093006A">
        <w:rPr>
          <w:color w:val="595959" w:themeColor="text1" w:themeTint="A6"/>
          <w:vertAlign w:val="superscript"/>
        </w:rPr>
        <w:t>,</w:t>
      </w:r>
      <w:r w:rsidRPr="0093006A">
        <w:rPr>
          <w:rStyle w:val="FootnoteReference"/>
          <w:color w:val="595959" w:themeColor="text1" w:themeTint="A6"/>
        </w:rPr>
        <w:footnoteReference w:id="287"/>
      </w:r>
      <w:r w:rsidRPr="0093006A">
        <w:rPr>
          <w:color w:val="595959" w:themeColor="text1" w:themeTint="A6"/>
          <w:vertAlign w:val="superscript"/>
        </w:rPr>
        <w:t>,</w:t>
      </w:r>
      <w:r w:rsidRPr="0093006A">
        <w:rPr>
          <w:rStyle w:val="FootnoteReference"/>
          <w:color w:val="595959" w:themeColor="text1" w:themeTint="A6"/>
        </w:rPr>
        <w:footnoteReference w:id="288"/>
      </w:r>
      <w:r w:rsidRPr="0093006A">
        <w:rPr>
          <w:color w:val="595959" w:themeColor="text1" w:themeTint="A6"/>
        </w:rPr>
        <w:t xml:space="preserve"> </w:t>
      </w:r>
    </w:p>
    <w:p w14:paraId="745E6CA5" w14:textId="77777777" w:rsidR="003D2BE5" w:rsidRPr="0093006A" w:rsidRDefault="003D2BE5">
      <w:pPr>
        <w:rPr>
          <w:i/>
          <w:iCs/>
          <w:color w:val="595959" w:themeColor="text1" w:themeTint="A6"/>
          <w:sz w:val="28"/>
          <w:szCs w:val="28"/>
        </w:rPr>
      </w:pPr>
      <w:r w:rsidRPr="0093006A">
        <w:rPr>
          <w:i/>
          <w:iCs/>
          <w:color w:val="595959" w:themeColor="text1" w:themeTint="A6"/>
          <w:sz w:val="28"/>
          <w:szCs w:val="28"/>
        </w:rPr>
        <w:br w:type="page"/>
      </w:r>
    </w:p>
    <w:p w14:paraId="591E7EA9" w14:textId="77777777" w:rsidR="00044A26" w:rsidRPr="0093006A" w:rsidRDefault="00044A26" w:rsidP="00D00D79">
      <w:pPr>
        <w:spacing w:after="120"/>
        <w:rPr>
          <w:b/>
          <w:color w:val="595959" w:themeColor="text1" w:themeTint="A6"/>
          <w:sz w:val="24"/>
          <w:szCs w:val="24"/>
        </w:rPr>
      </w:pPr>
      <w:r w:rsidRPr="0093006A">
        <w:rPr>
          <w:b/>
          <w:color w:val="595959" w:themeColor="text1" w:themeTint="A6"/>
          <w:sz w:val="24"/>
          <w:szCs w:val="24"/>
        </w:rPr>
        <w:t>Discussion Question 6: How Should the ISEP Consider a Local Focus?</w:t>
      </w:r>
    </w:p>
    <w:p w14:paraId="01EE11CF" w14:textId="77777777" w:rsidR="00044A26" w:rsidRPr="0093006A" w:rsidRDefault="00044A26" w:rsidP="00D00D79">
      <w:pPr>
        <w:spacing w:after="120"/>
        <w:rPr>
          <w:color w:val="595959" w:themeColor="text1" w:themeTint="A6"/>
        </w:rPr>
      </w:pPr>
      <w:r w:rsidRPr="0093006A">
        <w:rPr>
          <w:color w:val="595959" w:themeColor="text1" w:themeTint="A6"/>
        </w:rPr>
        <w:t>In the sixth and final Discussion Question, NIAA asked prospective respondents:</w:t>
      </w:r>
    </w:p>
    <w:p w14:paraId="252DE1B5" w14:textId="77777777" w:rsidR="00044A26" w:rsidRPr="0093006A" w:rsidRDefault="00044A26" w:rsidP="00D00D79">
      <w:pPr>
        <w:pStyle w:val="ListParagraph"/>
        <w:spacing w:after="120"/>
        <w:rPr>
          <w:color w:val="595959" w:themeColor="text1" w:themeTint="A6"/>
        </w:rPr>
      </w:pPr>
      <w:r w:rsidRPr="0093006A">
        <w:rPr>
          <w:color w:val="595959" w:themeColor="text1" w:themeTint="A6"/>
        </w:rPr>
        <w:t>How should the ISEP consider a local focus?</w:t>
      </w:r>
    </w:p>
    <w:p w14:paraId="51EDC581" w14:textId="1D80DAC7" w:rsidR="00044A26" w:rsidRPr="0093006A" w:rsidRDefault="00044A26" w:rsidP="00981521">
      <w:pPr>
        <w:pStyle w:val="ListParagraph"/>
        <w:numPr>
          <w:ilvl w:val="1"/>
          <w:numId w:val="10"/>
        </w:numPr>
        <w:spacing w:after="120"/>
        <w:rPr>
          <w:color w:val="595959" w:themeColor="text1" w:themeTint="A6"/>
        </w:rPr>
      </w:pPr>
      <w:r w:rsidRPr="0093006A">
        <w:rPr>
          <w:color w:val="595959" w:themeColor="text1" w:themeTint="A6"/>
        </w:rPr>
        <w:t>NIAA is interested in stakeholders’ views on whether defined boundaries required for the ISEP, or whether applicants for funding under the ISEP</w:t>
      </w:r>
      <w:r w:rsidR="0063790D" w:rsidRPr="0093006A">
        <w:rPr>
          <w:color w:val="595959" w:themeColor="text1" w:themeTint="A6"/>
        </w:rPr>
        <w:t>,</w:t>
      </w:r>
      <w:r w:rsidRPr="0093006A">
        <w:rPr>
          <w:color w:val="595959" w:themeColor="text1" w:themeTint="A6"/>
        </w:rPr>
        <w:t xml:space="preserve"> are best placed to determine the local region within the context of a specific funding proposal?</w:t>
      </w:r>
      <w:r w:rsidRPr="0093006A">
        <w:rPr>
          <w:rStyle w:val="FootnoteReference"/>
          <w:color w:val="595959" w:themeColor="text1" w:themeTint="A6"/>
        </w:rPr>
        <w:footnoteReference w:id="289"/>
      </w:r>
    </w:p>
    <w:tbl>
      <w:tblPr>
        <w:tblStyle w:val="TableGrid"/>
        <w:tblW w:w="0" w:type="auto"/>
        <w:tblBorders>
          <w:top w:val="single" w:sz="36" w:space="0" w:color="1E9995"/>
          <w:left w:val="single" w:sz="36" w:space="0" w:color="1E9995"/>
          <w:bottom w:val="single" w:sz="36" w:space="0" w:color="1E9995"/>
          <w:right w:val="single" w:sz="36" w:space="0" w:color="1E9995"/>
          <w:insideH w:val="single" w:sz="36" w:space="0" w:color="1E9995"/>
          <w:insideV w:val="single" w:sz="36" w:space="0" w:color="1E9995"/>
        </w:tblBorders>
        <w:tblLook w:val="04A0" w:firstRow="1" w:lastRow="0" w:firstColumn="1" w:lastColumn="0" w:noHBand="0" w:noVBand="1"/>
        <w:tblCaption w:val="Key Insihts 4, 5, and 15"/>
        <w:tblDescription w:val="The ISEP should be flexible, place-based, community-led and client-focused. The ISEP should promote local, place-based training that is reflective of specific social, cultural, and economic characteristics of the regions. Indigenous community-led definiti"/>
      </w:tblPr>
      <w:tblGrid>
        <w:gridCol w:w="8930"/>
      </w:tblGrid>
      <w:tr w:rsidR="0093006A" w:rsidRPr="0093006A" w14:paraId="157CB1B0" w14:textId="77777777" w:rsidTr="0076290B">
        <w:trPr>
          <w:cantSplit/>
          <w:tblHeader/>
        </w:trPr>
        <w:tc>
          <w:tcPr>
            <w:tcW w:w="8930" w:type="dxa"/>
            <w:shd w:val="clear" w:color="auto" w:fill="auto"/>
          </w:tcPr>
          <w:p w14:paraId="29BEBD9B" w14:textId="73DABE27" w:rsidR="00D00D79" w:rsidRPr="0093006A" w:rsidRDefault="00D00D79" w:rsidP="0048465C">
            <w:pPr>
              <w:spacing w:after="120"/>
              <w:rPr>
                <w:b/>
                <w:bCs/>
                <w:i/>
                <w:iCs/>
                <w:color w:val="595959" w:themeColor="text1" w:themeTint="A6"/>
              </w:rPr>
            </w:pPr>
            <w:r w:rsidRPr="0093006A">
              <w:rPr>
                <w:b/>
                <w:bCs/>
                <w:i/>
                <w:iCs/>
                <w:color w:val="595959" w:themeColor="text1" w:themeTint="A6"/>
              </w:rPr>
              <w:t xml:space="preserve">Key </w:t>
            </w:r>
            <w:r w:rsidR="003D2BE5" w:rsidRPr="0093006A">
              <w:rPr>
                <w:b/>
                <w:bCs/>
                <w:i/>
                <w:iCs/>
                <w:color w:val="595959" w:themeColor="text1" w:themeTint="A6"/>
              </w:rPr>
              <w:t>I</w:t>
            </w:r>
            <w:r w:rsidRPr="0093006A">
              <w:rPr>
                <w:b/>
                <w:bCs/>
                <w:i/>
                <w:iCs/>
                <w:color w:val="595959" w:themeColor="text1" w:themeTint="A6"/>
              </w:rPr>
              <w:t>nsight</w:t>
            </w:r>
            <w:r w:rsidR="003D2BE5" w:rsidRPr="0093006A">
              <w:rPr>
                <w:b/>
                <w:bCs/>
                <w:i/>
                <w:iCs/>
                <w:color w:val="595959" w:themeColor="text1" w:themeTint="A6"/>
              </w:rPr>
              <w:t xml:space="preserve">s </w:t>
            </w:r>
            <w:r w:rsidR="00704D0B" w:rsidRPr="0093006A">
              <w:rPr>
                <w:b/>
                <w:bCs/>
                <w:i/>
                <w:iCs/>
                <w:color w:val="595959" w:themeColor="text1" w:themeTint="A6"/>
              </w:rPr>
              <w:t>4</w:t>
            </w:r>
            <w:r w:rsidR="007829DA" w:rsidRPr="0093006A">
              <w:rPr>
                <w:b/>
                <w:bCs/>
                <w:i/>
                <w:iCs/>
                <w:color w:val="595959" w:themeColor="text1" w:themeTint="A6"/>
              </w:rPr>
              <w:t xml:space="preserve">, </w:t>
            </w:r>
            <w:r w:rsidR="003D2BE5" w:rsidRPr="0093006A">
              <w:rPr>
                <w:b/>
                <w:bCs/>
                <w:i/>
                <w:iCs/>
                <w:color w:val="595959" w:themeColor="text1" w:themeTint="A6"/>
              </w:rPr>
              <w:t>5</w:t>
            </w:r>
            <w:r w:rsidR="00E87690" w:rsidRPr="0093006A">
              <w:rPr>
                <w:b/>
                <w:bCs/>
                <w:i/>
                <w:iCs/>
                <w:color w:val="595959" w:themeColor="text1" w:themeTint="A6"/>
              </w:rPr>
              <w:t>,</w:t>
            </w:r>
            <w:r w:rsidR="007829DA" w:rsidRPr="0093006A">
              <w:rPr>
                <w:b/>
                <w:bCs/>
                <w:i/>
                <w:iCs/>
                <w:color w:val="595959" w:themeColor="text1" w:themeTint="A6"/>
              </w:rPr>
              <w:t xml:space="preserve"> &amp; 1</w:t>
            </w:r>
            <w:r w:rsidR="00A74853" w:rsidRPr="0093006A">
              <w:rPr>
                <w:b/>
                <w:bCs/>
                <w:i/>
                <w:iCs/>
                <w:color w:val="595959" w:themeColor="text1" w:themeTint="A6"/>
              </w:rPr>
              <w:t>5</w:t>
            </w:r>
          </w:p>
        </w:tc>
      </w:tr>
      <w:tr w:rsidR="00D00D79" w:rsidRPr="0093006A" w14:paraId="6B18AE51" w14:textId="77777777" w:rsidTr="0076290B">
        <w:trPr>
          <w:cantSplit/>
          <w:trHeight w:val="4288"/>
        </w:trPr>
        <w:tc>
          <w:tcPr>
            <w:tcW w:w="8930" w:type="dxa"/>
          </w:tcPr>
          <w:p w14:paraId="7E226FB6" w14:textId="68F060F3" w:rsidR="009170D8" w:rsidRPr="0093006A" w:rsidRDefault="009170D8" w:rsidP="009170D8">
            <w:pPr>
              <w:spacing w:after="120"/>
              <w:rPr>
                <w:b/>
                <w:bCs/>
                <w:color w:val="595959" w:themeColor="text1" w:themeTint="A6"/>
              </w:rPr>
            </w:pPr>
            <w:r w:rsidRPr="0093006A">
              <w:rPr>
                <w:b/>
                <w:bCs/>
                <w:color w:val="595959" w:themeColor="text1" w:themeTint="A6"/>
              </w:rPr>
              <w:t xml:space="preserve">The ISEP should be flexible, place-based, community-led and client-focused </w:t>
            </w:r>
          </w:p>
          <w:p w14:paraId="0A248684" w14:textId="77777777" w:rsidR="009170D8" w:rsidRPr="0093006A" w:rsidRDefault="009170D8" w:rsidP="009170D8">
            <w:pPr>
              <w:spacing w:after="120"/>
              <w:rPr>
                <w:b/>
                <w:bCs/>
                <w:color w:val="595959" w:themeColor="text1" w:themeTint="A6"/>
              </w:rPr>
            </w:pPr>
            <w:r w:rsidRPr="0093006A">
              <w:rPr>
                <w:color w:val="595959" w:themeColor="text1" w:themeTint="A6"/>
              </w:rPr>
              <w:t>The ISEP should be flexible, support local approaches, and avoid ‘one size fits all’ funding arrangements. Within the context of the National Agreement on Closing the Gap, participants emphasised the importance of NIAA undertaking collaboration on community-led and -designed solutions to achieve outcomes for Indigenous jobseekers appropriate to specific cultural and regional contexts.</w:t>
            </w:r>
          </w:p>
          <w:p w14:paraId="364930EC" w14:textId="23CE830D" w:rsidR="009170D8" w:rsidRPr="0093006A" w:rsidRDefault="009170D8" w:rsidP="009170D8">
            <w:pPr>
              <w:spacing w:after="120"/>
              <w:rPr>
                <w:b/>
                <w:bCs/>
                <w:color w:val="595959" w:themeColor="text1" w:themeTint="A6"/>
              </w:rPr>
            </w:pPr>
            <w:r w:rsidRPr="0093006A">
              <w:rPr>
                <w:b/>
                <w:bCs/>
                <w:color w:val="595959" w:themeColor="text1" w:themeTint="A6"/>
              </w:rPr>
              <w:t xml:space="preserve">The ISEP should promote local, place-based training that is reflective of specific social, cultural, and economic characteristics of the regions </w:t>
            </w:r>
          </w:p>
          <w:p w14:paraId="30E6A5B4" w14:textId="77777777" w:rsidR="009170D8" w:rsidRPr="0093006A" w:rsidRDefault="009170D8" w:rsidP="009170D8">
            <w:pPr>
              <w:spacing w:after="120"/>
              <w:rPr>
                <w:b/>
                <w:bCs/>
                <w:color w:val="595959" w:themeColor="text1" w:themeTint="A6"/>
              </w:rPr>
            </w:pPr>
            <w:r w:rsidRPr="0093006A">
              <w:rPr>
                <w:color w:val="595959" w:themeColor="text1" w:themeTint="A6"/>
              </w:rPr>
              <w:t>Employment programs under the ISEP should incorporate culturally specific training and education pathways that reflect the community in which they are based. This includes flexibility around how services are delivered, linkages to employment opportunities in the region, support services delivered in language appropriate to the community, and increased funding to provide ongoing assistance beyond the current standard of 26-weeks.</w:t>
            </w:r>
          </w:p>
          <w:p w14:paraId="3A9EF872" w14:textId="7080D9E5" w:rsidR="009170D8" w:rsidRPr="0093006A" w:rsidRDefault="009170D8" w:rsidP="009170D8">
            <w:pPr>
              <w:spacing w:after="120"/>
              <w:textDirection w:val="btLr"/>
              <w:rPr>
                <w:b/>
                <w:color w:val="595959" w:themeColor="text1" w:themeTint="A6"/>
              </w:rPr>
            </w:pPr>
            <w:r w:rsidRPr="0093006A">
              <w:rPr>
                <w:b/>
                <w:color w:val="595959" w:themeColor="text1" w:themeTint="A6"/>
              </w:rPr>
              <w:t xml:space="preserve">Indigenous community-led definition of local viewed as key to the ISEP success </w:t>
            </w:r>
          </w:p>
          <w:p w14:paraId="41AED470" w14:textId="66E64BB5" w:rsidR="00D00D79" w:rsidRPr="0093006A" w:rsidRDefault="009170D8" w:rsidP="00981521">
            <w:pPr>
              <w:spacing w:after="120"/>
              <w:textDirection w:val="btLr"/>
              <w:rPr>
                <w:color w:val="595959" w:themeColor="text1" w:themeTint="A6"/>
              </w:rPr>
            </w:pPr>
            <w:r w:rsidRPr="0093006A">
              <w:rPr>
                <w:color w:val="595959" w:themeColor="text1" w:themeTint="A6"/>
              </w:rPr>
              <w:t>What was considered ‘local’ for Indigenous communities, ACCOs, and Traditional Owner groups may look very different to the regional approach of both mainstream employers and government. The former’s conception of community and locality should take priority in the construction of service delivery boundaries.</w:t>
            </w:r>
          </w:p>
        </w:tc>
      </w:tr>
    </w:tbl>
    <w:p w14:paraId="2CE44D44" w14:textId="77777777" w:rsidR="00D00D79" w:rsidRPr="0093006A" w:rsidRDefault="00D00D79" w:rsidP="00D00D79">
      <w:pPr>
        <w:spacing w:after="120"/>
        <w:rPr>
          <w:color w:val="595959" w:themeColor="text1" w:themeTint="A6"/>
        </w:rPr>
      </w:pPr>
    </w:p>
    <w:p w14:paraId="1512B349" w14:textId="15EDC7FA" w:rsidR="00044A26" w:rsidRPr="0093006A" w:rsidRDefault="00044A26" w:rsidP="00D00D79">
      <w:pPr>
        <w:spacing w:after="120"/>
        <w:rPr>
          <w:bCs/>
          <w:color w:val="595959" w:themeColor="text1" w:themeTint="A6"/>
        </w:rPr>
      </w:pPr>
      <w:r w:rsidRPr="0093006A">
        <w:rPr>
          <w:bCs/>
          <w:color w:val="595959" w:themeColor="text1" w:themeTint="A6"/>
        </w:rPr>
        <w:t>Not ‘one size fits all’ –</w:t>
      </w:r>
      <w:r w:rsidR="00783589" w:rsidRPr="0093006A">
        <w:rPr>
          <w:bCs/>
          <w:color w:val="595959" w:themeColor="text1" w:themeTint="A6"/>
        </w:rPr>
        <w:t xml:space="preserve"> </w:t>
      </w:r>
      <w:r w:rsidRPr="0093006A">
        <w:rPr>
          <w:bCs/>
          <w:color w:val="595959" w:themeColor="text1" w:themeTint="A6"/>
        </w:rPr>
        <w:t>Indigenous applicants</w:t>
      </w:r>
      <w:r w:rsidR="00783589" w:rsidRPr="0093006A">
        <w:rPr>
          <w:bCs/>
          <w:color w:val="595959" w:themeColor="text1" w:themeTint="A6"/>
        </w:rPr>
        <w:t xml:space="preserve">, through ACCOs and Traditional Owners, should </w:t>
      </w:r>
      <w:r w:rsidRPr="0093006A">
        <w:rPr>
          <w:bCs/>
          <w:color w:val="595959" w:themeColor="text1" w:themeTint="A6"/>
        </w:rPr>
        <w:t>define boundaries</w:t>
      </w:r>
    </w:p>
    <w:p w14:paraId="26D220D8" w14:textId="77777777" w:rsidR="00BE340B" w:rsidRPr="0093006A" w:rsidRDefault="00BE340B" w:rsidP="00BE340B">
      <w:pPr>
        <w:spacing w:after="120"/>
        <w:rPr>
          <w:color w:val="595959" w:themeColor="text1" w:themeTint="A6"/>
        </w:rPr>
      </w:pPr>
      <w:r w:rsidRPr="0093006A">
        <w:rPr>
          <w:color w:val="595959" w:themeColor="text1" w:themeTint="A6"/>
        </w:rPr>
        <w:t>Respondents articulated a need for the ISEP to be fluid enough to work at the local level with Indigenous communities with specific needs via “custom-designed approach[es]” that are able to recognise the complexities of local “environmental, logistical, economic, and cultural issues”.</w:t>
      </w:r>
      <w:r w:rsidRPr="0093006A">
        <w:rPr>
          <w:rStyle w:val="FootnoteReference"/>
          <w:color w:val="595959" w:themeColor="text1" w:themeTint="A6"/>
        </w:rPr>
        <w:footnoteReference w:id="290"/>
      </w:r>
      <w:r w:rsidRPr="0093006A">
        <w:rPr>
          <w:color w:val="595959" w:themeColor="text1" w:themeTint="A6"/>
        </w:rPr>
        <w:t xml:space="preserve"> The imperative for several respondents was that the ISEP would have more efficacy if it did not to adopt a one size fits all approach to funding and program delivery.</w:t>
      </w:r>
      <w:r w:rsidRPr="0093006A">
        <w:rPr>
          <w:rStyle w:val="FootnoteReference"/>
          <w:color w:val="595959" w:themeColor="text1" w:themeTint="A6"/>
        </w:rPr>
        <w:footnoteReference w:id="291"/>
      </w:r>
      <w:r w:rsidRPr="0093006A">
        <w:rPr>
          <w:color w:val="595959" w:themeColor="text1" w:themeTint="A6"/>
          <w:vertAlign w:val="superscript"/>
        </w:rPr>
        <w:t>,</w:t>
      </w:r>
      <w:r w:rsidRPr="0093006A">
        <w:rPr>
          <w:rStyle w:val="FootnoteReference"/>
          <w:color w:val="595959" w:themeColor="text1" w:themeTint="A6"/>
        </w:rPr>
        <w:footnoteReference w:id="292"/>
      </w:r>
      <w:r w:rsidRPr="0093006A">
        <w:rPr>
          <w:color w:val="595959" w:themeColor="text1" w:themeTint="A6"/>
          <w:vertAlign w:val="superscript"/>
        </w:rPr>
        <w:t>,</w:t>
      </w:r>
      <w:r w:rsidRPr="0093006A">
        <w:rPr>
          <w:rStyle w:val="FootnoteReference"/>
          <w:color w:val="595959" w:themeColor="text1" w:themeTint="A6"/>
        </w:rPr>
        <w:footnoteReference w:id="293"/>
      </w:r>
      <w:r w:rsidRPr="0093006A">
        <w:rPr>
          <w:color w:val="595959" w:themeColor="text1" w:themeTint="A6"/>
          <w:vertAlign w:val="superscript"/>
        </w:rPr>
        <w:t>,</w:t>
      </w:r>
      <w:r w:rsidRPr="0093006A">
        <w:rPr>
          <w:rStyle w:val="FootnoteReference"/>
          <w:color w:val="595959" w:themeColor="text1" w:themeTint="A6"/>
        </w:rPr>
        <w:footnoteReference w:id="294"/>
      </w:r>
      <w:r w:rsidRPr="0093006A">
        <w:rPr>
          <w:color w:val="595959" w:themeColor="text1" w:themeTint="A6"/>
          <w:vertAlign w:val="superscript"/>
        </w:rPr>
        <w:t xml:space="preserve"> </w:t>
      </w:r>
      <w:r w:rsidRPr="0093006A">
        <w:rPr>
          <w:color w:val="595959" w:themeColor="text1" w:themeTint="A6"/>
        </w:rPr>
        <w:t>Importantly, several participants articulated how critical it was for local Indigenous communities – particularly ACCOs and Indigenous-controlled employment organisations – to define their own boundaries, choose their own providers to administer the ISEP within these boundaries, and that their service provision focused on meeting community-specific wants and needs.</w:t>
      </w:r>
      <w:r w:rsidRPr="0093006A">
        <w:rPr>
          <w:rStyle w:val="FootnoteReference"/>
          <w:color w:val="595959" w:themeColor="text1" w:themeTint="A6"/>
        </w:rPr>
        <w:footnoteReference w:id="295"/>
      </w:r>
      <w:r w:rsidRPr="0093006A">
        <w:rPr>
          <w:color w:val="595959" w:themeColor="text1" w:themeTint="A6"/>
          <w:vertAlign w:val="superscript"/>
        </w:rPr>
        <w:t>,</w:t>
      </w:r>
      <w:r w:rsidRPr="0093006A">
        <w:rPr>
          <w:rStyle w:val="FootnoteReference"/>
          <w:color w:val="595959" w:themeColor="text1" w:themeTint="A6"/>
        </w:rPr>
        <w:footnoteReference w:id="296"/>
      </w:r>
      <w:r w:rsidRPr="0093006A">
        <w:rPr>
          <w:color w:val="595959" w:themeColor="text1" w:themeTint="A6"/>
          <w:vertAlign w:val="superscript"/>
        </w:rPr>
        <w:t>,</w:t>
      </w:r>
      <w:r w:rsidRPr="0093006A">
        <w:rPr>
          <w:rStyle w:val="FootnoteReference"/>
          <w:color w:val="595959" w:themeColor="text1" w:themeTint="A6"/>
        </w:rPr>
        <w:footnoteReference w:id="297"/>
      </w:r>
      <w:r w:rsidRPr="0093006A">
        <w:rPr>
          <w:color w:val="595959" w:themeColor="text1" w:themeTint="A6"/>
          <w:vertAlign w:val="superscript"/>
        </w:rPr>
        <w:t>,</w:t>
      </w:r>
      <w:r w:rsidRPr="0093006A">
        <w:rPr>
          <w:rStyle w:val="FootnoteReference"/>
          <w:color w:val="595959" w:themeColor="text1" w:themeTint="A6"/>
        </w:rPr>
        <w:footnoteReference w:id="298"/>
      </w:r>
      <w:r w:rsidRPr="0093006A">
        <w:rPr>
          <w:color w:val="595959" w:themeColor="text1" w:themeTint="A6"/>
          <w:vertAlign w:val="superscript"/>
        </w:rPr>
        <w:t>,</w:t>
      </w:r>
      <w:r w:rsidRPr="0093006A">
        <w:rPr>
          <w:rStyle w:val="FootnoteReference"/>
          <w:color w:val="595959" w:themeColor="text1" w:themeTint="A6"/>
        </w:rPr>
        <w:footnoteReference w:id="299"/>
      </w:r>
      <w:r w:rsidRPr="0093006A">
        <w:rPr>
          <w:color w:val="595959" w:themeColor="text1" w:themeTint="A6"/>
          <w:vertAlign w:val="superscript"/>
        </w:rPr>
        <w:t>,</w:t>
      </w:r>
      <w:r w:rsidRPr="0093006A">
        <w:rPr>
          <w:rStyle w:val="FootnoteReference"/>
          <w:color w:val="595959" w:themeColor="text1" w:themeTint="A6"/>
        </w:rPr>
        <w:footnoteReference w:id="300"/>
      </w:r>
      <w:r w:rsidRPr="0093006A">
        <w:rPr>
          <w:color w:val="595959" w:themeColor="text1" w:themeTint="A6"/>
          <w:vertAlign w:val="superscript"/>
        </w:rPr>
        <w:t>,</w:t>
      </w:r>
      <w:r w:rsidRPr="0093006A">
        <w:rPr>
          <w:rStyle w:val="FootnoteReference"/>
          <w:color w:val="595959" w:themeColor="text1" w:themeTint="A6"/>
        </w:rPr>
        <w:footnoteReference w:id="301"/>
      </w:r>
      <w:r w:rsidRPr="0093006A">
        <w:rPr>
          <w:color w:val="595959" w:themeColor="text1" w:themeTint="A6"/>
        </w:rPr>
        <w:t xml:space="preserve"> </w:t>
      </w:r>
    </w:p>
    <w:p w14:paraId="6642BBFC" w14:textId="2BF34196" w:rsidR="00BE340B" w:rsidRPr="0093006A" w:rsidRDefault="00BE340B" w:rsidP="00BE340B">
      <w:pPr>
        <w:spacing w:after="120"/>
        <w:rPr>
          <w:color w:val="595959" w:themeColor="text1" w:themeTint="A6"/>
        </w:rPr>
      </w:pPr>
      <w:r w:rsidRPr="0093006A">
        <w:rPr>
          <w:color w:val="595959" w:themeColor="text1" w:themeTint="A6"/>
        </w:rPr>
        <w:t>ACCOs were considered by many respondents to be central to definitions of local community, recognised as being culturally-appropriate, extremely responsive to local contexts, and as having strong pre-existing relationships with Indigenous community members.</w:t>
      </w:r>
      <w:r w:rsidRPr="0093006A">
        <w:rPr>
          <w:rStyle w:val="FootnoteReference"/>
          <w:color w:val="595959" w:themeColor="text1" w:themeTint="A6"/>
        </w:rPr>
        <w:footnoteReference w:id="302"/>
      </w:r>
      <w:r w:rsidRPr="0093006A">
        <w:rPr>
          <w:color w:val="595959" w:themeColor="text1" w:themeTint="A6"/>
          <w:vertAlign w:val="superscript"/>
        </w:rPr>
        <w:t>,</w:t>
      </w:r>
      <w:r w:rsidRPr="0093006A">
        <w:rPr>
          <w:rStyle w:val="FootnoteReference"/>
          <w:color w:val="595959" w:themeColor="text1" w:themeTint="A6"/>
        </w:rPr>
        <w:footnoteReference w:id="303"/>
      </w:r>
      <w:r w:rsidRPr="0093006A">
        <w:rPr>
          <w:color w:val="595959" w:themeColor="text1" w:themeTint="A6"/>
          <w:vertAlign w:val="superscript"/>
        </w:rPr>
        <w:t>,</w:t>
      </w:r>
      <w:r w:rsidRPr="0093006A">
        <w:rPr>
          <w:rStyle w:val="FootnoteReference"/>
          <w:color w:val="595959" w:themeColor="text1" w:themeTint="A6"/>
        </w:rPr>
        <w:footnoteReference w:id="304"/>
      </w:r>
      <w:r w:rsidRPr="0093006A">
        <w:rPr>
          <w:color w:val="595959" w:themeColor="text1" w:themeTint="A6"/>
          <w:vertAlign w:val="superscript"/>
        </w:rPr>
        <w:t>,</w:t>
      </w:r>
      <w:r w:rsidRPr="0093006A">
        <w:rPr>
          <w:rStyle w:val="FootnoteReference"/>
          <w:color w:val="595959" w:themeColor="text1" w:themeTint="A6"/>
        </w:rPr>
        <w:footnoteReference w:id="305"/>
      </w:r>
      <w:r w:rsidRPr="0093006A">
        <w:rPr>
          <w:color w:val="595959" w:themeColor="text1" w:themeTint="A6"/>
        </w:rPr>
        <w:t xml:space="preserve"> For many respondents, particularly within the context of the </w:t>
      </w:r>
      <w:r w:rsidR="00C526CF" w:rsidRPr="0093006A">
        <w:rPr>
          <w:color w:val="595959" w:themeColor="text1" w:themeTint="A6"/>
        </w:rPr>
        <w:t>G</w:t>
      </w:r>
      <w:r w:rsidRPr="0093006A">
        <w:rPr>
          <w:color w:val="595959" w:themeColor="text1" w:themeTint="A6"/>
        </w:rPr>
        <w:t>overnment’s commitments in the National Agreement, ACCOs are thus perfectly positioned to administer the ISEP with and for their own definitions of the local Indigenous community.</w:t>
      </w:r>
      <w:r w:rsidRPr="0093006A">
        <w:rPr>
          <w:rStyle w:val="FootnoteReference"/>
          <w:color w:val="595959" w:themeColor="text1" w:themeTint="A6"/>
        </w:rPr>
        <w:footnoteReference w:id="306"/>
      </w:r>
      <w:r w:rsidRPr="0093006A">
        <w:rPr>
          <w:rStyle w:val="FootnoteReference"/>
          <w:color w:val="595959" w:themeColor="text1" w:themeTint="A6"/>
        </w:rPr>
        <w:t>,</w:t>
      </w:r>
      <w:r w:rsidRPr="0093006A">
        <w:rPr>
          <w:rStyle w:val="FootnoteReference"/>
          <w:color w:val="595959" w:themeColor="text1" w:themeTint="A6"/>
        </w:rPr>
        <w:footnoteReference w:id="307"/>
      </w:r>
      <w:r w:rsidRPr="0093006A">
        <w:rPr>
          <w:color w:val="595959" w:themeColor="text1" w:themeTint="A6"/>
          <w:vertAlign w:val="superscript"/>
        </w:rPr>
        <w:t>,</w:t>
      </w:r>
      <w:r w:rsidRPr="0093006A">
        <w:rPr>
          <w:rStyle w:val="FootnoteReference"/>
          <w:color w:val="595959" w:themeColor="text1" w:themeTint="A6"/>
        </w:rPr>
        <w:footnoteReference w:id="308"/>
      </w:r>
      <w:r w:rsidRPr="0093006A">
        <w:rPr>
          <w:color w:val="595959" w:themeColor="text1" w:themeTint="A6"/>
          <w:vertAlign w:val="superscript"/>
        </w:rPr>
        <w:t>,</w:t>
      </w:r>
      <w:r w:rsidRPr="0093006A">
        <w:rPr>
          <w:rStyle w:val="FootnoteReference"/>
          <w:color w:val="595959" w:themeColor="text1" w:themeTint="A6"/>
        </w:rPr>
        <w:footnoteReference w:id="309"/>
      </w:r>
      <w:r w:rsidRPr="0093006A">
        <w:rPr>
          <w:color w:val="595959" w:themeColor="text1" w:themeTint="A6"/>
          <w:vertAlign w:val="superscript"/>
        </w:rPr>
        <w:t xml:space="preserve"> </w:t>
      </w:r>
      <w:r w:rsidRPr="0093006A">
        <w:rPr>
          <w:color w:val="595959" w:themeColor="text1" w:themeTint="A6"/>
        </w:rPr>
        <w:t>Doing so, as one respondent noted, would also allow for the development of trusting relationships between “local providers, industry, and stakeholder groups to work together to skill up and train Aboriginal jobseekers… [and] should be delivered in line with local workforce needs with the understanding that each labour market is unique”.</w:t>
      </w:r>
      <w:r w:rsidRPr="0093006A">
        <w:rPr>
          <w:rStyle w:val="FootnoteReference"/>
          <w:color w:val="595959" w:themeColor="text1" w:themeTint="A6"/>
        </w:rPr>
        <w:footnoteReference w:id="310"/>
      </w:r>
      <w:r w:rsidRPr="0093006A">
        <w:rPr>
          <w:color w:val="595959" w:themeColor="text1" w:themeTint="A6"/>
        </w:rPr>
        <w:t xml:space="preserve"> </w:t>
      </w:r>
    </w:p>
    <w:p w14:paraId="1372E3A8" w14:textId="17C155E9" w:rsidR="00A70543" w:rsidRPr="0093006A" w:rsidRDefault="00044A26" w:rsidP="00981521">
      <w:pPr>
        <w:spacing w:after="120"/>
        <w:rPr>
          <w:color w:val="595959" w:themeColor="text1" w:themeTint="A6"/>
        </w:rPr>
      </w:pPr>
      <w:r w:rsidRPr="0093006A">
        <w:rPr>
          <w:color w:val="595959" w:themeColor="text1" w:themeTint="A6"/>
        </w:rPr>
        <w:t xml:space="preserve">However, some respondents recognised the potential strain between </w:t>
      </w:r>
      <w:r w:rsidR="0009387E" w:rsidRPr="0093006A">
        <w:rPr>
          <w:color w:val="595959" w:themeColor="text1" w:themeTint="A6"/>
        </w:rPr>
        <w:t>nationally led</w:t>
      </w:r>
      <w:r w:rsidRPr="0093006A">
        <w:rPr>
          <w:color w:val="595959" w:themeColor="text1" w:themeTint="A6"/>
        </w:rPr>
        <w:t xml:space="preserve"> programs aiming to deliver </w:t>
      </w:r>
      <w:r w:rsidR="00426AC6" w:rsidRPr="0093006A">
        <w:rPr>
          <w:color w:val="595959" w:themeColor="text1" w:themeTint="A6"/>
        </w:rPr>
        <w:t>locally focused</w:t>
      </w:r>
      <w:r w:rsidRPr="0093006A">
        <w:rPr>
          <w:color w:val="595959" w:themeColor="text1" w:themeTint="A6"/>
        </w:rPr>
        <w:t>, complex employment services, and the potential limitations inherent in a national approach to Indigenous employment services.</w:t>
      </w:r>
      <w:r w:rsidRPr="0093006A">
        <w:rPr>
          <w:rStyle w:val="FootnoteReference"/>
          <w:color w:val="595959" w:themeColor="text1" w:themeTint="A6"/>
        </w:rPr>
        <w:footnoteReference w:id="311"/>
      </w:r>
      <w:r w:rsidR="00A70543" w:rsidRPr="0093006A">
        <w:rPr>
          <w:color w:val="595959" w:themeColor="text1" w:themeTint="A6"/>
        </w:rPr>
        <w:t xml:space="preserve"> Such a decision would be best determined, respondents argued, through a rigorous evaluation of current and previous Indigenous-specific training and employment programs.</w:t>
      </w:r>
      <w:r w:rsidR="00A70543" w:rsidRPr="0093006A">
        <w:rPr>
          <w:rStyle w:val="FootnoteReference"/>
          <w:color w:val="595959" w:themeColor="text1" w:themeTint="A6"/>
        </w:rPr>
        <w:footnoteReference w:id="312"/>
      </w:r>
      <w:r w:rsidR="00A70543" w:rsidRPr="0093006A">
        <w:rPr>
          <w:color w:val="595959" w:themeColor="text1" w:themeTint="A6"/>
          <w:vertAlign w:val="superscript"/>
        </w:rPr>
        <w:t>,</w:t>
      </w:r>
      <w:r w:rsidR="00A70543" w:rsidRPr="0093006A">
        <w:rPr>
          <w:rStyle w:val="FootnoteReference"/>
          <w:color w:val="595959" w:themeColor="text1" w:themeTint="A6"/>
        </w:rPr>
        <w:footnoteReference w:id="313"/>
      </w:r>
      <w:r w:rsidR="00A70543" w:rsidRPr="0093006A">
        <w:rPr>
          <w:color w:val="595959" w:themeColor="text1" w:themeTint="A6"/>
          <w:vertAlign w:val="superscript"/>
        </w:rPr>
        <w:t>,</w:t>
      </w:r>
      <w:r w:rsidR="00A70543" w:rsidRPr="0093006A">
        <w:rPr>
          <w:rStyle w:val="FootnoteReference"/>
          <w:color w:val="595959" w:themeColor="text1" w:themeTint="A6"/>
        </w:rPr>
        <w:footnoteReference w:id="314"/>
      </w:r>
    </w:p>
    <w:p w14:paraId="7D76D2D7" w14:textId="6021BDC1" w:rsidR="00044A26" w:rsidRPr="0093006A" w:rsidRDefault="00044A26" w:rsidP="00D00D79">
      <w:pPr>
        <w:spacing w:after="120"/>
        <w:rPr>
          <w:bCs/>
          <w:color w:val="595959" w:themeColor="text1" w:themeTint="A6"/>
        </w:rPr>
      </w:pPr>
      <w:r w:rsidRPr="0093006A">
        <w:rPr>
          <w:bCs/>
          <w:color w:val="595959" w:themeColor="text1" w:themeTint="A6"/>
        </w:rPr>
        <w:t>Use or create a single coordinator for each region</w:t>
      </w:r>
    </w:p>
    <w:p w14:paraId="52837EB6" w14:textId="2AC8F082" w:rsidR="00044A26" w:rsidRPr="0093006A" w:rsidRDefault="00044A26" w:rsidP="00D00D79">
      <w:pPr>
        <w:spacing w:after="120"/>
        <w:rPr>
          <w:color w:val="595959" w:themeColor="text1" w:themeTint="A6"/>
        </w:rPr>
      </w:pPr>
      <w:r w:rsidRPr="0093006A">
        <w:rPr>
          <w:color w:val="595959" w:themeColor="text1" w:themeTint="A6"/>
        </w:rPr>
        <w:t>In line with responses to Discussion Questions 2 and 4, another suggestion from several participants was to establish a “singular co-ordinated connection” or “Local Decision Making forums” to represent the needs of the community that would facilitate</w:t>
      </w:r>
      <w:r w:rsidR="007B15E2" w:rsidRPr="0093006A">
        <w:rPr>
          <w:color w:val="595959" w:themeColor="text1" w:themeTint="A6"/>
        </w:rPr>
        <w:t xml:space="preserve"> the</w:t>
      </w:r>
      <w:r w:rsidRPr="0093006A">
        <w:rPr>
          <w:color w:val="595959" w:themeColor="text1" w:themeTint="A6"/>
        </w:rPr>
        <w:t xml:space="preserve"> ISEP and </w:t>
      </w:r>
      <w:r w:rsidR="007B15E2" w:rsidRPr="0093006A">
        <w:rPr>
          <w:color w:val="595959" w:themeColor="text1" w:themeTint="A6"/>
        </w:rPr>
        <w:t>the New Remote Engagement Program (</w:t>
      </w:r>
      <w:r w:rsidRPr="0093006A">
        <w:rPr>
          <w:color w:val="595959" w:themeColor="text1" w:themeTint="A6"/>
        </w:rPr>
        <w:t>NREP</w:t>
      </w:r>
      <w:r w:rsidR="007B15E2" w:rsidRPr="0093006A">
        <w:rPr>
          <w:color w:val="595959" w:themeColor="text1" w:themeTint="A6"/>
        </w:rPr>
        <w:t>)</w:t>
      </w:r>
      <w:r w:rsidRPr="0093006A">
        <w:rPr>
          <w:color w:val="595959" w:themeColor="text1" w:themeTint="A6"/>
        </w:rPr>
        <w:t xml:space="preserve"> and assist local </w:t>
      </w:r>
      <w:r w:rsidR="0092787F" w:rsidRPr="0093006A">
        <w:rPr>
          <w:color w:val="595959" w:themeColor="text1" w:themeTint="A6"/>
        </w:rPr>
        <w:t>Indigenous</w:t>
      </w:r>
      <w:r w:rsidRPr="0093006A">
        <w:rPr>
          <w:color w:val="595959" w:themeColor="text1" w:themeTint="A6"/>
        </w:rPr>
        <w:t xml:space="preserve"> community access to the program, facilitate community engagement and consultation, and all within an understanding of the particular priorities and needs of local communities.</w:t>
      </w:r>
      <w:r w:rsidRPr="0093006A">
        <w:rPr>
          <w:rStyle w:val="FootnoteReference"/>
          <w:color w:val="595959" w:themeColor="text1" w:themeTint="A6"/>
        </w:rPr>
        <w:footnoteReference w:id="315"/>
      </w:r>
      <w:r w:rsidR="007B15E2" w:rsidRPr="0093006A">
        <w:rPr>
          <w:color w:val="595959" w:themeColor="text1" w:themeTint="A6"/>
          <w:vertAlign w:val="superscript"/>
        </w:rPr>
        <w:t>,</w:t>
      </w:r>
      <w:r w:rsidRPr="0093006A">
        <w:rPr>
          <w:rStyle w:val="FootnoteReference"/>
          <w:color w:val="595959" w:themeColor="text1" w:themeTint="A6"/>
        </w:rPr>
        <w:footnoteReference w:id="316"/>
      </w:r>
      <w:r w:rsidRPr="0093006A">
        <w:rPr>
          <w:color w:val="595959" w:themeColor="text1" w:themeTint="A6"/>
        </w:rPr>
        <w:t xml:space="preserve"> Others pointed to the pre-existing regional coordination by CDP Regions, Local Decision Making organisations (NSW Government), VTEC service boundaries, and the reintroduction of Community Action Plans (CAP’s), for example, as a way to start this process quickly, with the ability to extend boundaries for specific community and industry needs across multiple regions.</w:t>
      </w:r>
      <w:r w:rsidRPr="0093006A">
        <w:rPr>
          <w:rStyle w:val="FootnoteReference"/>
          <w:color w:val="595959" w:themeColor="text1" w:themeTint="A6"/>
        </w:rPr>
        <w:footnoteReference w:id="317"/>
      </w:r>
      <w:r w:rsidRPr="0093006A">
        <w:rPr>
          <w:color w:val="595959" w:themeColor="text1" w:themeTint="A6"/>
          <w:vertAlign w:val="superscript"/>
        </w:rPr>
        <w:t>,</w:t>
      </w:r>
      <w:r w:rsidRPr="0093006A">
        <w:rPr>
          <w:rStyle w:val="FootnoteReference"/>
          <w:color w:val="595959" w:themeColor="text1" w:themeTint="A6"/>
        </w:rPr>
        <w:footnoteReference w:id="318"/>
      </w:r>
      <w:r w:rsidRPr="0093006A">
        <w:rPr>
          <w:color w:val="595959" w:themeColor="text1" w:themeTint="A6"/>
          <w:vertAlign w:val="superscript"/>
        </w:rPr>
        <w:t>,</w:t>
      </w:r>
      <w:r w:rsidRPr="0093006A">
        <w:rPr>
          <w:rStyle w:val="FootnoteReference"/>
          <w:color w:val="595959" w:themeColor="text1" w:themeTint="A6"/>
        </w:rPr>
        <w:footnoteReference w:id="319"/>
      </w:r>
      <w:r w:rsidRPr="0093006A">
        <w:rPr>
          <w:color w:val="595959" w:themeColor="text1" w:themeTint="A6"/>
          <w:vertAlign w:val="superscript"/>
        </w:rPr>
        <w:t>,</w:t>
      </w:r>
      <w:r w:rsidRPr="0093006A">
        <w:rPr>
          <w:rStyle w:val="FootnoteReference"/>
          <w:color w:val="595959" w:themeColor="text1" w:themeTint="A6"/>
        </w:rPr>
        <w:footnoteReference w:id="320"/>
      </w:r>
      <w:r w:rsidRPr="0093006A">
        <w:rPr>
          <w:color w:val="595959" w:themeColor="text1" w:themeTint="A6"/>
        </w:rPr>
        <w:t xml:space="preserve"> </w:t>
      </w:r>
    </w:p>
    <w:p w14:paraId="1BA0DF4E" w14:textId="77777777" w:rsidR="00044A26" w:rsidRPr="0093006A" w:rsidRDefault="00044A26" w:rsidP="00044A26">
      <w:pPr>
        <w:spacing w:after="120"/>
        <w:rPr>
          <w:color w:val="595959" w:themeColor="text1" w:themeTint="A6"/>
        </w:rPr>
      </w:pPr>
      <w:r w:rsidRPr="0093006A">
        <w:rPr>
          <w:color w:val="595959" w:themeColor="text1" w:themeTint="A6"/>
        </w:rPr>
        <w:t>ISEP needs flexib</w:t>
      </w:r>
      <w:r w:rsidR="000D2205" w:rsidRPr="0093006A">
        <w:rPr>
          <w:color w:val="595959" w:themeColor="text1" w:themeTint="A6"/>
        </w:rPr>
        <w:t>ility</w:t>
      </w:r>
      <w:r w:rsidRPr="0093006A">
        <w:rPr>
          <w:color w:val="595959" w:themeColor="text1" w:themeTint="A6"/>
        </w:rPr>
        <w:t xml:space="preserve"> for local employers including small-large business</w:t>
      </w:r>
    </w:p>
    <w:p w14:paraId="05A368B0" w14:textId="63A5209B" w:rsidR="00044A26" w:rsidRPr="0093006A" w:rsidRDefault="00044A26" w:rsidP="00044A26">
      <w:pPr>
        <w:rPr>
          <w:color w:val="595959" w:themeColor="text1" w:themeTint="A6"/>
        </w:rPr>
      </w:pPr>
      <w:r w:rsidRPr="0093006A">
        <w:rPr>
          <w:color w:val="595959" w:themeColor="text1" w:themeTint="A6"/>
        </w:rPr>
        <w:t xml:space="preserve">Finally, several respondents also noted the role of major employers in each region too, arguing that the needs of employers </w:t>
      </w:r>
      <w:r w:rsidR="000D2205" w:rsidRPr="0093006A">
        <w:rPr>
          <w:color w:val="595959" w:themeColor="text1" w:themeTint="A6"/>
        </w:rPr>
        <w:t>must</w:t>
      </w:r>
      <w:r w:rsidRPr="0093006A">
        <w:rPr>
          <w:color w:val="595959" w:themeColor="text1" w:themeTint="A6"/>
        </w:rPr>
        <w:t xml:space="preserve"> be included in considerations of each local Indigenous community and their specific employment needs and opportunities in differing regions.</w:t>
      </w:r>
      <w:r w:rsidRPr="0093006A">
        <w:rPr>
          <w:rStyle w:val="FootnoteReference"/>
          <w:color w:val="595959" w:themeColor="text1" w:themeTint="A6"/>
        </w:rPr>
        <w:footnoteReference w:id="321"/>
      </w:r>
      <w:r w:rsidRPr="0093006A">
        <w:rPr>
          <w:color w:val="595959" w:themeColor="text1" w:themeTint="A6"/>
          <w:vertAlign w:val="superscript"/>
        </w:rPr>
        <w:t>,</w:t>
      </w:r>
      <w:r w:rsidRPr="0093006A">
        <w:rPr>
          <w:rStyle w:val="FootnoteReference"/>
          <w:color w:val="595959" w:themeColor="text1" w:themeTint="A6"/>
        </w:rPr>
        <w:footnoteReference w:id="322"/>
      </w:r>
      <w:r w:rsidR="007B15E2" w:rsidRPr="0093006A">
        <w:rPr>
          <w:color w:val="595959" w:themeColor="text1" w:themeTint="A6"/>
          <w:vertAlign w:val="superscript"/>
        </w:rPr>
        <w:t>,</w:t>
      </w:r>
      <w:r w:rsidR="007B15E2" w:rsidRPr="0093006A">
        <w:rPr>
          <w:rStyle w:val="FootnoteReference"/>
          <w:color w:val="595959" w:themeColor="text1" w:themeTint="A6"/>
        </w:rPr>
        <w:footnoteReference w:id="323"/>
      </w:r>
    </w:p>
    <w:p w14:paraId="6A9492BB" w14:textId="77777777" w:rsidR="00044A26" w:rsidRPr="0093006A" w:rsidRDefault="00044A26" w:rsidP="00044A26">
      <w:pPr>
        <w:rPr>
          <w:b/>
          <w:bCs/>
          <w:color w:val="595959" w:themeColor="text1" w:themeTint="A6"/>
        </w:rPr>
      </w:pPr>
    </w:p>
    <w:p w14:paraId="60CDF6CF" w14:textId="77777777" w:rsidR="003D231A" w:rsidRPr="0093006A" w:rsidRDefault="003D231A">
      <w:pPr>
        <w:rPr>
          <w:color w:val="595959" w:themeColor="text1" w:themeTint="A6"/>
        </w:rPr>
      </w:pPr>
      <w:r w:rsidRPr="0093006A">
        <w:rPr>
          <w:color w:val="595959" w:themeColor="text1" w:themeTint="A6"/>
        </w:rPr>
        <w:br w:type="page"/>
      </w:r>
    </w:p>
    <w:p w14:paraId="19AE4050" w14:textId="2B810743" w:rsidR="002973B0" w:rsidRPr="0093006A" w:rsidRDefault="00FB2E9C" w:rsidP="00981521">
      <w:pPr>
        <w:pStyle w:val="Heading1"/>
        <w:rPr>
          <w:color w:val="595959" w:themeColor="text1" w:themeTint="A6"/>
        </w:rPr>
      </w:pPr>
      <w:bookmarkStart w:id="33" w:name="_Toc85030967"/>
      <w:r w:rsidRPr="0093006A">
        <w:rPr>
          <w:color w:val="595959" w:themeColor="text1" w:themeTint="A6"/>
        </w:rPr>
        <w:t xml:space="preserve">Appendix A: </w:t>
      </w:r>
      <w:r w:rsidR="00E54089" w:rsidRPr="0093006A">
        <w:rPr>
          <w:color w:val="595959" w:themeColor="text1" w:themeTint="A6"/>
        </w:rPr>
        <w:t xml:space="preserve">Regional Roundtable </w:t>
      </w:r>
      <w:r w:rsidR="002973B0" w:rsidRPr="0093006A">
        <w:rPr>
          <w:color w:val="595959" w:themeColor="text1" w:themeTint="A6"/>
        </w:rPr>
        <w:t>Agenda example</w:t>
      </w:r>
      <w:bookmarkEnd w:id="33"/>
    </w:p>
    <w:p w14:paraId="53A5B07C" w14:textId="3BC32BE2" w:rsidR="00B12144" w:rsidRPr="0093006A" w:rsidRDefault="00B12144">
      <w:pPr>
        <w:pStyle w:val="Title"/>
        <w:rPr>
          <w:color w:val="595959" w:themeColor="text1" w:themeTint="A6"/>
          <w:sz w:val="24"/>
          <w:szCs w:val="24"/>
        </w:rPr>
      </w:pPr>
      <w:r w:rsidRPr="0093006A">
        <w:rPr>
          <w:color w:val="595959" w:themeColor="text1" w:themeTint="A6"/>
          <w:sz w:val="24"/>
          <w:szCs w:val="24"/>
        </w:rPr>
        <w:t>Consultation Agenda</w:t>
      </w:r>
    </w:p>
    <w:p w14:paraId="49774BED" w14:textId="30DC53DB" w:rsidR="00010AE9" w:rsidRDefault="00010AE9" w:rsidP="002D3B71">
      <w:pPr>
        <w:rPr>
          <w:color w:val="595959" w:themeColor="text1" w:themeTint="A6"/>
        </w:rPr>
      </w:pPr>
    </w:p>
    <w:p w14:paraId="342E722D" w14:textId="77777777" w:rsidR="00091525" w:rsidRPr="0093006A" w:rsidRDefault="00091525" w:rsidP="00091525">
      <w:pPr>
        <w:spacing w:after="200"/>
        <w:rPr>
          <w:b/>
          <w:bCs/>
          <w:color w:val="595959" w:themeColor="text1" w:themeTint="A6"/>
          <w:sz w:val="20"/>
          <w:szCs w:val="20"/>
        </w:rPr>
      </w:pPr>
      <w:r w:rsidRPr="0093006A">
        <w:rPr>
          <w:b/>
          <w:bCs/>
          <w:color w:val="595959" w:themeColor="text1" w:themeTint="A6"/>
          <w:sz w:val="20"/>
          <w:szCs w:val="20"/>
        </w:rPr>
        <w:t>Acknowledgement and welcome</w:t>
      </w:r>
    </w:p>
    <w:p w14:paraId="74DF0854"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Hello and welcome, my name is (NIAA rep).</w:t>
      </w:r>
    </w:p>
    <w:p w14:paraId="2B4F7282"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The National Indigenous Australians Agency acknowledges the traditional owners and custodians of the lands we are meeting on today, the (TO name here) people and acknowledges their connection to land, waters and community. We pay our respects to the people, the cultures and the elders, past, present and future.</w:t>
      </w:r>
    </w:p>
    <w:p w14:paraId="21E89F99" w14:textId="77777777" w:rsidR="00091525" w:rsidRPr="0093006A" w:rsidRDefault="00091525" w:rsidP="00091525">
      <w:pPr>
        <w:pStyle w:val="ListParagraph"/>
        <w:numPr>
          <w:ilvl w:val="0"/>
          <w:numId w:val="56"/>
        </w:numPr>
        <w:spacing w:after="200"/>
        <w:rPr>
          <w:color w:val="595959" w:themeColor="text1" w:themeTint="A6"/>
          <w:sz w:val="20"/>
          <w:szCs w:val="20"/>
        </w:rPr>
      </w:pPr>
      <w:r w:rsidRPr="0093006A">
        <w:rPr>
          <w:color w:val="595959" w:themeColor="text1" w:themeTint="A6"/>
          <w:sz w:val="20"/>
          <w:szCs w:val="20"/>
        </w:rPr>
        <w:t>Welcome all participants and thank them for attending</w:t>
      </w:r>
    </w:p>
    <w:p w14:paraId="743F7729" w14:textId="77777777" w:rsidR="00091525" w:rsidRPr="0093006A" w:rsidRDefault="00091525" w:rsidP="00091525">
      <w:pPr>
        <w:pStyle w:val="ListParagraph"/>
        <w:numPr>
          <w:ilvl w:val="0"/>
          <w:numId w:val="56"/>
        </w:numPr>
        <w:spacing w:after="200"/>
        <w:rPr>
          <w:color w:val="595959" w:themeColor="text1" w:themeTint="A6"/>
          <w:sz w:val="20"/>
          <w:szCs w:val="20"/>
        </w:rPr>
      </w:pPr>
      <w:r w:rsidRPr="0093006A">
        <w:rPr>
          <w:color w:val="595959" w:themeColor="text1" w:themeTint="A6"/>
          <w:sz w:val="20"/>
          <w:szCs w:val="20"/>
        </w:rPr>
        <w:t>The session will be recorded, but participants will not be named or identified in any way</w:t>
      </w:r>
    </w:p>
    <w:p w14:paraId="41CB6425" w14:textId="77777777" w:rsidR="00091525" w:rsidRPr="0093006A" w:rsidRDefault="00091525" w:rsidP="00091525">
      <w:pPr>
        <w:pStyle w:val="ListParagraph"/>
        <w:numPr>
          <w:ilvl w:val="0"/>
          <w:numId w:val="56"/>
        </w:numPr>
        <w:spacing w:after="200"/>
        <w:rPr>
          <w:color w:val="595959" w:themeColor="text1" w:themeTint="A6"/>
          <w:sz w:val="20"/>
          <w:szCs w:val="20"/>
        </w:rPr>
      </w:pPr>
      <w:r w:rsidRPr="0093006A">
        <w:rPr>
          <w:color w:val="595959" w:themeColor="text1" w:themeTint="A6"/>
          <w:sz w:val="20"/>
          <w:szCs w:val="20"/>
        </w:rPr>
        <w:t>We are also taking notes to identify key themes and ideas that come up in our discussions</w:t>
      </w:r>
    </w:p>
    <w:p w14:paraId="32CDA9D9" w14:textId="77777777" w:rsidR="00091525" w:rsidRPr="0093006A" w:rsidRDefault="00091525" w:rsidP="00091525">
      <w:pPr>
        <w:pStyle w:val="ListParagraph"/>
        <w:numPr>
          <w:ilvl w:val="0"/>
          <w:numId w:val="56"/>
        </w:numPr>
        <w:spacing w:after="200"/>
        <w:rPr>
          <w:color w:val="595959" w:themeColor="text1" w:themeTint="A6"/>
          <w:sz w:val="20"/>
          <w:szCs w:val="20"/>
        </w:rPr>
      </w:pPr>
      <w:r w:rsidRPr="0093006A">
        <w:rPr>
          <w:color w:val="595959" w:themeColor="text1" w:themeTint="A6"/>
          <w:sz w:val="20"/>
          <w:szCs w:val="20"/>
        </w:rPr>
        <w:t>We are hoping for a frank and open discussion</w:t>
      </w:r>
    </w:p>
    <w:p w14:paraId="16F9AB79" w14:textId="77777777" w:rsidR="00091525" w:rsidRPr="0093006A" w:rsidRDefault="00091525" w:rsidP="00091525">
      <w:pPr>
        <w:pStyle w:val="ListParagraph"/>
        <w:numPr>
          <w:ilvl w:val="0"/>
          <w:numId w:val="56"/>
        </w:numPr>
        <w:spacing w:after="200"/>
        <w:rPr>
          <w:color w:val="595959" w:themeColor="text1" w:themeTint="A6"/>
          <w:sz w:val="20"/>
          <w:szCs w:val="20"/>
        </w:rPr>
      </w:pPr>
      <w:r w:rsidRPr="0093006A">
        <w:rPr>
          <w:color w:val="595959" w:themeColor="text1" w:themeTint="A6"/>
          <w:sz w:val="20"/>
          <w:szCs w:val="20"/>
        </w:rPr>
        <w:t>Say one thing about why you think the consultation is important</w:t>
      </w:r>
    </w:p>
    <w:p w14:paraId="0333F8EF" w14:textId="77777777" w:rsidR="00091525" w:rsidRPr="0093006A" w:rsidRDefault="00091525" w:rsidP="00091525">
      <w:pPr>
        <w:tabs>
          <w:tab w:val="left" w:pos="384"/>
        </w:tabs>
        <w:spacing w:after="200"/>
        <w:rPr>
          <w:i/>
          <w:iCs/>
          <w:color w:val="595959" w:themeColor="text1" w:themeTint="A6"/>
          <w:sz w:val="20"/>
          <w:szCs w:val="20"/>
        </w:rPr>
      </w:pPr>
      <w:r w:rsidRPr="0093006A">
        <w:rPr>
          <w:i/>
          <w:iCs/>
          <w:color w:val="595959" w:themeColor="text1" w:themeTint="A6"/>
          <w:sz w:val="20"/>
          <w:szCs w:val="20"/>
        </w:rPr>
        <w:t>Today we’re going to outline the new Indigenous Skills and Employment Program and hear your ideas for how a new flexible employment program could have the biggest impact in our region.</w:t>
      </w:r>
    </w:p>
    <w:p w14:paraId="0F89CA9C" w14:textId="314E816E" w:rsidR="00091525" w:rsidRDefault="00091525" w:rsidP="00091525">
      <w:pPr>
        <w:rPr>
          <w:i/>
          <w:iCs/>
          <w:color w:val="595959" w:themeColor="text1" w:themeTint="A6"/>
          <w:sz w:val="20"/>
          <w:szCs w:val="20"/>
        </w:rPr>
      </w:pPr>
      <w:r w:rsidRPr="0093006A">
        <w:rPr>
          <w:i/>
          <w:iCs/>
          <w:color w:val="595959" w:themeColor="text1" w:themeTint="A6"/>
          <w:sz w:val="20"/>
          <w:szCs w:val="20"/>
        </w:rPr>
        <w:t>I’m going to hand over to (facilitator name) our facilitator from Inside Policy for introductions and to talk us through the next couple of hours.</w:t>
      </w:r>
      <w:r>
        <w:rPr>
          <w:i/>
          <w:iCs/>
          <w:color w:val="595959" w:themeColor="text1" w:themeTint="A6"/>
          <w:sz w:val="20"/>
          <w:szCs w:val="20"/>
        </w:rPr>
        <w:br/>
      </w:r>
    </w:p>
    <w:p w14:paraId="35D3E7E0" w14:textId="77777777" w:rsidR="00091525" w:rsidRPr="0093006A" w:rsidRDefault="00091525" w:rsidP="00091525">
      <w:pPr>
        <w:spacing w:after="200"/>
        <w:rPr>
          <w:b/>
          <w:bCs/>
          <w:color w:val="595959" w:themeColor="text1" w:themeTint="A6"/>
          <w:sz w:val="20"/>
          <w:szCs w:val="20"/>
        </w:rPr>
      </w:pPr>
      <w:r w:rsidRPr="0093006A">
        <w:rPr>
          <w:b/>
          <w:bCs/>
          <w:color w:val="595959" w:themeColor="text1" w:themeTint="A6"/>
          <w:sz w:val="20"/>
          <w:szCs w:val="20"/>
        </w:rPr>
        <w:t>Introductions</w:t>
      </w:r>
    </w:p>
    <w:p w14:paraId="2BC814D5" w14:textId="1D735491" w:rsidR="00091525" w:rsidRDefault="00091525" w:rsidP="00091525">
      <w:pPr>
        <w:rPr>
          <w:i/>
          <w:iCs/>
          <w:color w:val="595959" w:themeColor="text1" w:themeTint="A6"/>
          <w:sz w:val="20"/>
          <w:szCs w:val="20"/>
        </w:rPr>
      </w:pPr>
      <w:r w:rsidRPr="0093006A">
        <w:rPr>
          <w:b/>
          <w:bCs/>
          <w:color w:val="595959" w:themeColor="text1" w:themeTint="A6"/>
          <w:sz w:val="20"/>
          <w:szCs w:val="20"/>
        </w:rPr>
        <w:t>Outline of the roundtable</w:t>
      </w:r>
    </w:p>
    <w:p w14:paraId="6E879CEF" w14:textId="5039F06C" w:rsidR="00091525" w:rsidRDefault="00091525" w:rsidP="00091525">
      <w:pPr>
        <w:rPr>
          <w:color w:val="595959" w:themeColor="text1" w:themeTint="A6"/>
        </w:rPr>
      </w:pPr>
    </w:p>
    <w:p w14:paraId="16DBE85F" w14:textId="77777777" w:rsidR="00091525" w:rsidRPr="0093006A" w:rsidRDefault="00091525" w:rsidP="00091525">
      <w:pPr>
        <w:spacing w:after="200"/>
        <w:rPr>
          <w:b/>
          <w:bCs/>
          <w:color w:val="595959" w:themeColor="text1" w:themeTint="A6"/>
          <w:sz w:val="20"/>
          <w:szCs w:val="20"/>
        </w:rPr>
      </w:pPr>
      <w:r w:rsidRPr="0093006A">
        <w:rPr>
          <w:b/>
          <w:bCs/>
          <w:color w:val="595959" w:themeColor="text1" w:themeTint="A6"/>
          <w:sz w:val="20"/>
          <w:szCs w:val="20"/>
        </w:rPr>
        <w:t>Introduction to ISEP and changes to existing programs</w:t>
      </w:r>
    </w:p>
    <w:p w14:paraId="0D6E433B"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Today, I’m going to give you a brief outline of the proposed changes to Indigenous-specific employment programs and outline Minister Wyatt’s vision for ISEP – how a new, local, flexible model could assist us to close the gap and contribute to economic growth for Indigenous Australians</w:t>
      </w:r>
    </w:p>
    <w:p w14:paraId="5A15E32F"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 xml:space="preserve">I hope you’ve had the opportunity to watch Deb Fulton’s short presentation on the differences between ISEP, the new employment services model and the proposed new remote engagement program; or you may have read the discussion paper. </w:t>
      </w:r>
    </w:p>
    <w:p w14:paraId="59C933FA" w14:textId="254FF9F5" w:rsidR="00091525" w:rsidRDefault="00091525" w:rsidP="00091525">
      <w:pPr>
        <w:rPr>
          <w:i/>
          <w:iCs/>
          <w:color w:val="595959" w:themeColor="text1" w:themeTint="A6"/>
          <w:sz w:val="20"/>
          <w:szCs w:val="20"/>
        </w:rPr>
      </w:pPr>
      <w:r w:rsidRPr="0093006A">
        <w:rPr>
          <w:i/>
          <w:iCs/>
          <w:color w:val="595959" w:themeColor="text1" w:themeTint="A6"/>
          <w:sz w:val="20"/>
          <w:szCs w:val="20"/>
        </w:rPr>
        <w:t>After the short presentation, we will take a short break then (facilitator first name) will take us through three key questions. We look forward to hearing your thoughts and ideas.</w:t>
      </w:r>
    </w:p>
    <w:p w14:paraId="0835009A" w14:textId="7464CA31" w:rsidR="00091525" w:rsidRDefault="00091525" w:rsidP="00091525">
      <w:pPr>
        <w:rPr>
          <w:i/>
          <w:iCs/>
          <w:color w:val="595959" w:themeColor="text1" w:themeTint="A6"/>
          <w:sz w:val="20"/>
          <w:szCs w:val="20"/>
        </w:rPr>
      </w:pPr>
    </w:p>
    <w:p w14:paraId="59ADA71F" w14:textId="129D9F79" w:rsidR="00091525" w:rsidRDefault="00091525" w:rsidP="00091525">
      <w:pPr>
        <w:rPr>
          <w:b/>
          <w:bCs/>
          <w:color w:val="595959" w:themeColor="text1" w:themeTint="A6"/>
          <w:sz w:val="20"/>
          <w:szCs w:val="20"/>
        </w:rPr>
      </w:pPr>
      <w:r w:rsidRPr="0093006A">
        <w:rPr>
          <w:b/>
          <w:bCs/>
          <w:color w:val="595959" w:themeColor="text1" w:themeTint="A6"/>
          <w:sz w:val="20"/>
          <w:szCs w:val="20"/>
        </w:rPr>
        <w:t>Regional reflection</w:t>
      </w:r>
    </w:p>
    <w:p w14:paraId="43FBB2A8" w14:textId="2A01BEBC" w:rsidR="00091525" w:rsidRDefault="00091525" w:rsidP="00091525">
      <w:pPr>
        <w:rPr>
          <w:b/>
          <w:bCs/>
          <w:color w:val="595959" w:themeColor="text1" w:themeTint="A6"/>
          <w:sz w:val="20"/>
          <w:szCs w:val="20"/>
        </w:rPr>
      </w:pPr>
    </w:p>
    <w:p w14:paraId="0C4D5129" w14:textId="77777777" w:rsidR="00091525" w:rsidRPr="0093006A" w:rsidRDefault="00091525" w:rsidP="00091525">
      <w:pPr>
        <w:spacing w:after="200"/>
        <w:rPr>
          <w:b/>
          <w:bCs/>
          <w:color w:val="595959" w:themeColor="text1" w:themeTint="A6"/>
          <w:sz w:val="20"/>
          <w:szCs w:val="20"/>
        </w:rPr>
      </w:pPr>
      <w:r w:rsidRPr="0093006A">
        <w:rPr>
          <w:b/>
          <w:bCs/>
          <w:color w:val="595959" w:themeColor="text1" w:themeTint="A6"/>
          <w:sz w:val="20"/>
          <w:szCs w:val="20"/>
        </w:rPr>
        <w:t>Introduction to the activities</w:t>
      </w:r>
    </w:p>
    <w:p w14:paraId="0D2F3ACF"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As mentioned earlier we are here today because we would like to hear your ideas for the new program.</w:t>
      </w:r>
    </w:p>
    <w:p w14:paraId="67EFD16B"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We will be going through some discussion questions based on the following themes:</w:t>
      </w:r>
    </w:p>
    <w:p w14:paraId="7641D4E1" w14:textId="77777777" w:rsidR="00091525" w:rsidRPr="0093006A" w:rsidRDefault="00091525" w:rsidP="00091525">
      <w:pPr>
        <w:pStyle w:val="ListParagraph"/>
        <w:numPr>
          <w:ilvl w:val="0"/>
          <w:numId w:val="61"/>
        </w:numPr>
        <w:spacing w:after="200"/>
        <w:rPr>
          <w:i/>
          <w:iCs/>
          <w:color w:val="595959" w:themeColor="text1" w:themeTint="A6"/>
          <w:sz w:val="20"/>
          <w:szCs w:val="20"/>
        </w:rPr>
      </w:pPr>
      <w:r w:rsidRPr="0093006A">
        <w:rPr>
          <w:i/>
          <w:iCs/>
          <w:color w:val="595959" w:themeColor="text1" w:themeTint="A6"/>
          <w:sz w:val="20"/>
          <w:szCs w:val="20"/>
        </w:rPr>
        <w:t xml:space="preserve">Understanding job seekers in these regions need and what success would look like for this program </w:t>
      </w:r>
    </w:p>
    <w:p w14:paraId="5690A1DD" w14:textId="77777777" w:rsidR="00091525" w:rsidRPr="0093006A" w:rsidRDefault="00091525" w:rsidP="00091525">
      <w:pPr>
        <w:pStyle w:val="ListParagraph"/>
        <w:numPr>
          <w:ilvl w:val="0"/>
          <w:numId w:val="61"/>
        </w:numPr>
        <w:spacing w:after="200"/>
        <w:rPr>
          <w:i/>
          <w:iCs/>
          <w:color w:val="595959" w:themeColor="text1" w:themeTint="A6"/>
          <w:sz w:val="20"/>
          <w:szCs w:val="20"/>
        </w:rPr>
      </w:pPr>
      <w:r w:rsidRPr="0093006A">
        <w:rPr>
          <w:i/>
          <w:iCs/>
          <w:color w:val="595959" w:themeColor="text1" w:themeTint="A6"/>
          <w:sz w:val="20"/>
          <w:szCs w:val="20"/>
        </w:rPr>
        <w:t>Opportunities in these regions and what a national approach would look like</w:t>
      </w:r>
    </w:p>
    <w:p w14:paraId="059E8B4F" w14:textId="77777777" w:rsidR="00091525" w:rsidRPr="0093006A" w:rsidRDefault="00091525" w:rsidP="00091525">
      <w:pPr>
        <w:pStyle w:val="ListParagraph"/>
        <w:numPr>
          <w:ilvl w:val="0"/>
          <w:numId w:val="61"/>
        </w:numPr>
        <w:spacing w:after="200"/>
        <w:rPr>
          <w:color w:val="595959" w:themeColor="text1" w:themeTint="A6"/>
          <w:sz w:val="20"/>
          <w:szCs w:val="20"/>
        </w:rPr>
      </w:pPr>
      <w:r w:rsidRPr="0093006A">
        <w:rPr>
          <w:i/>
          <w:iCs/>
          <w:color w:val="595959" w:themeColor="text1" w:themeTint="A6"/>
          <w:sz w:val="20"/>
          <w:szCs w:val="20"/>
        </w:rPr>
        <w:t>Understanding what programs, initiatives and actions would achieve what is needed, for example other cohorts ISEP could target in your region, like students transitioning from school to work/study or entry level workers looking for career advancement opportunities</w:t>
      </w:r>
    </w:p>
    <w:p w14:paraId="2E52F805"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We are going to break into smaller groups to explore the first question. Our scribe (name here) will take you out of the meeting and put you into a small group.</w:t>
      </w:r>
    </w:p>
    <w:p w14:paraId="400192A3"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Before that happens, have a look in the chat for this meeting for a link to our Mural sheet, click on it and as you talk chose a scribe to record your answers to the question.</w:t>
      </w:r>
    </w:p>
    <w:p w14:paraId="1FFEF4C3" w14:textId="3D6CF5C7" w:rsidR="00091525" w:rsidRDefault="00091525" w:rsidP="00091525">
      <w:pPr>
        <w:rPr>
          <w:i/>
          <w:iCs/>
          <w:color w:val="595959" w:themeColor="text1" w:themeTint="A6"/>
          <w:sz w:val="20"/>
          <w:szCs w:val="20"/>
        </w:rPr>
      </w:pPr>
      <w:r w:rsidRPr="0093006A">
        <w:rPr>
          <w:i/>
          <w:iCs/>
          <w:color w:val="595959" w:themeColor="text1" w:themeTint="A6"/>
          <w:sz w:val="20"/>
          <w:szCs w:val="20"/>
        </w:rPr>
        <w:t>We’ll drop in to see how you are going, and after 10 minutes (scribe name)will bring us back together to talk through what came up for you.</w:t>
      </w:r>
    </w:p>
    <w:p w14:paraId="181DB12E" w14:textId="4622FC0A" w:rsidR="00091525" w:rsidRDefault="00091525" w:rsidP="00091525">
      <w:pPr>
        <w:rPr>
          <w:i/>
          <w:iCs/>
          <w:color w:val="595959" w:themeColor="text1" w:themeTint="A6"/>
          <w:sz w:val="20"/>
          <w:szCs w:val="20"/>
        </w:rPr>
      </w:pPr>
    </w:p>
    <w:p w14:paraId="7B231836" w14:textId="77777777" w:rsidR="00091525" w:rsidRPr="0093006A" w:rsidRDefault="00091525" w:rsidP="00091525">
      <w:pPr>
        <w:tabs>
          <w:tab w:val="left" w:pos="384"/>
        </w:tabs>
        <w:spacing w:after="200"/>
        <w:rPr>
          <w:rFonts w:cs="Arial"/>
          <w:b/>
          <w:bCs/>
          <w:color w:val="595959" w:themeColor="text1" w:themeTint="A6"/>
          <w:sz w:val="20"/>
          <w:szCs w:val="20"/>
        </w:rPr>
      </w:pPr>
      <w:r w:rsidRPr="0093006A">
        <w:rPr>
          <w:b/>
          <w:bCs/>
          <w:color w:val="595959" w:themeColor="text1" w:themeTint="A6"/>
          <w:sz w:val="20"/>
          <w:szCs w:val="20"/>
        </w:rPr>
        <w:t>Challenges, barriers and needs</w:t>
      </w:r>
      <w:r w:rsidRPr="0093006A">
        <w:rPr>
          <w:rFonts w:cs="Arial"/>
          <w:b/>
          <w:bCs/>
          <w:color w:val="595959" w:themeColor="text1" w:themeTint="A6"/>
          <w:sz w:val="20"/>
          <w:szCs w:val="20"/>
        </w:rPr>
        <w:t>​</w:t>
      </w:r>
    </w:p>
    <w:p w14:paraId="0C64C363" w14:textId="77777777" w:rsidR="00091525" w:rsidRPr="0093006A" w:rsidRDefault="00091525" w:rsidP="00091525">
      <w:pPr>
        <w:tabs>
          <w:tab w:val="left" w:pos="384"/>
        </w:tabs>
        <w:spacing w:after="200"/>
        <w:rPr>
          <w:rFonts w:cs="Arial"/>
          <w:color w:val="595959" w:themeColor="text1" w:themeTint="A6"/>
          <w:sz w:val="20"/>
          <w:szCs w:val="20"/>
        </w:rPr>
      </w:pPr>
      <w:r w:rsidRPr="0093006A">
        <w:rPr>
          <w:rFonts w:cs="Arial"/>
          <w:color w:val="595959" w:themeColor="text1" w:themeTint="A6"/>
          <w:sz w:val="20"/>
          <w:szCs w:val="20"/>
        </w:rPr>
        <w:t>On the worksheet you will find the following questions.</w:t>
      </w:r>
    </w:p>
    <w:p w14:paraId="10A85282" w14:textId="77777777" w:rsidR="00091525" w:rsidRPr="0093006A" w:rsidRDefault="00091525" w:rsidP="00091525">
      <w:pPr>
        <w:pStyle w:val="ListParagraph"/>
        <w:numPr>
          <w:ilvl w:val="0"/>
          <w:numId w:val="71"/>
        </w:numPr>
        <w:tabs>
          <w:tab w:val="left" w:pos="384"/>
        </w:tabs>
        <w:spacing w:after="200"/>
        <w:rPr>
          <w:rFonts w:cs="Arial"/>
          <w:color w:val="595959" w:themeColor="text1" w:themeTint="A6"/>
          <w:sz w:val="20"/>
          <w:szCs w:val="20"/>
        </w:rPr>
      </w:pPr>
      <w:r w:rsidRPr="0093006A">
        <w:rPr>
          <w:rFonts w:cs="Arial"/>
          <w:color w:val="595959" w:themeColor="text1" w:themeTint="A6"/>
          <w:sz w:val="20"/>
          <w:szCs w:val="20"/>
        </w:rPr>
        <w:t>What are the barriers to employment?</w:t>
      </w:r>
    </w:p>
    <w:p w14:paraId="2471F8C7" w14:textId="77777777" w:rsidR="00091525" w:rsidRPr="0093006A" w:rsidRDefault="00091525" w:rsidP="00091525">
      <w:pPr>
        <w:pStyle w:val="ListParagraph"/>
        <w:numPr>
          <w:ilvl w:val="0"/>
          <w:numId w:val="71"/>
        </w:numPr>
        <w:tabs>
          <w:tab w:val="left" w:pos="384"/>
        </w:tabs>
        <w:spacing w:after="200"/>
        <w:rPr>
          <w:rFonts w:cs="Arial"/>
          <w:color w:val="595959" w:themeColor="text1" w:themeTint="A6"/>
          <w:sz w:val="20"/>
          <w:szCs w:val="20"/>
        </w:rPr>
      </w:pPr>
      <w:r w:rsidRPr="0093006A">
        <w:rPr>
          <w:rFonts w:cs="Arial"/>
          <w:color w:val="595959" w:themeColor="text1" w:themeTint="A6"/>
          <w:sz w:val="20"/>
          <w:szCs w:val="20"/>
        </w:rPr>
        <w:t>What stops people from staying in employment?</w:t>
      </w:r>
    </w:p>
    <w:p w14:paraId="4361C2EF" w14:textId="77777777" w:rsidR="00091525" w:rsidRPr="0093006A" w:rsidRDefault="00091525" w:rsidP="00091525">
      <w:pPr>
        <w:pStyle w:val="ListParagraph"/>
        <w:numPr>
          <w:ilvl w:val="0"/>
          <w:numId w:val="71"/>
        </w:numPr>
        <w:tabs>
          <w:tab w:val="left" w:pos="384"/>
        </w:tabs>
        <w:spacing w:after="200"/>
        <w:rPr>
          <w:rFonts w:cs="Arial"/>
          <w:color w:val="595959" w:themeColor="text1" w:themeTint="A6"/>
          <w:sz w:val="20"/>
          <w:szCs w:val="20"/>
        </w:rPr>
      </w:pPr>
      <w:r w:rsidRPr="0093006A">
        <w:rPr>
          <w:rFonts w:cs="Arial"/>
          <w:color w:val="595959" w:themeColor="text1" w:themeTint="A6"/>
          <w:sz w:val="20"/>
          <w:szCs w:val="20"/>
        </w:rPr>
        <w:t>What support do people need to stay in their job?</w:t>
      </w:r>
    </w:p>
    <w:p w14:paraId="18802018" w14:textId="77777777" w:rsidR="00091525" w:rsidRPr="0093006A" w:rsidRDefault="00091525" w:rsidP="00091525">
      <w:pPr>
        <w:pStyle w:val="ListParagraph"/>
        <w:numPr>
          <w:ilvl w:val="0"/>
          <w:numId w:val="71"/>
        </w:numPr>
        <w:tabs>
          <w:tab w:val="left" w:pos="384"/>
        </w:tabs>
        <w:spacing w:after="200"/>
        <w:rPr>
          <w:rFonts w:cs="Arial"/>
          <w:color w:val="595959" w:themeColor="text1" w:themeTint="A6"/>
          <w:sz w:val="20"/>
          <w:szCs w:val="20"/>
        </w:rPr>
      </w:pPr>
      <w:r w:rsidRPr="0093006A">
        <w:rPr>
          <w:rFonts w:cs="Arial"/>
          <w:color w:val="595959" w:themeColor="text1" w:themeTint="A6"/>
          <w:sz w:val="20"/>
          <w:szCs w:val="20"/>
        </w:rPr>
        <w:t>How can employers improve their cultural safety?</w:t>
      </w:r>
    </w:p>
    <w:p w14:paraId="065C0753" w14:textId="77777777" w:rsidR="00091525" w:rsidRPr="0093006A" w:rsidRDefault="00091525" w:rsidP="00091525">
      <w:pPr>
        <w:pStyle w:val="ListParagraph"/>
        <w:numPr>
          <w:ilvl w:val="0"/>
          <w:numId w:val="71"/>
        </w:numPr>
        <w:tabs>
          <w:tab w:val="left" w:pos="384"/>
        </w:tabs>
        <w:spacing w:after="200"/>
        <w:rPr>
          <w:rFonts w:cs="Arial"/>
          <w:color w:val="595959" w:themeColor="text1" w:themeTint="A6"/>
          <w:sz w:val="20"/>
          <w:szCs w:val="20"/>
        </w:rPr>
      </w:pPr>
      <w:r w:rsidRPr="0093006A">
        <w:rPr>
          <w:rFonts w:cs="Arial"/>
          <w:color w:val="595959" w:themeColor="text1" w:themeTint="A6"/>
          <w:sz w:val="20"/>
          <w:szCs w:val="20"/>
        </w:rPr>
        <w:t>What specific groups of jobseekers require specific support?</w:t>
      </w:r>
    </w:p>
    <w:p w14:paraId="13919D06" w14:textId="77777777" w:rsidR="00091525" w:rsidRPr="0093006A" w:rsidRDefault="00091525" w:rsidP="00091525">
      <w:pPr>
        <w:tabs>
          <w:tab w:val="left" w:pos="384"/>
        </w:tabs>
        <w:spacing w:after="200"/>
        <w:rPr>
          <w:rFonts w:cs="Arial"/>
          <w:color w:val="595959" w:themeColor="text1" w:themeTint="A6"/>
          <w:sz w:val="20"/>
          <w:szCs w:val="20"/>
        </w:rPr>
      </w:pPr>
      <w:r w:rsidRPr="0093006A">
        <w:rPr>
          <w:rFonts w:cs="Arial"/>
          <w:color w:val="595959" w:themeColor="text1" w:themeTint="A6"/>
          <w:sz w:val="20"/>
          <w:szCs w:val="20"/>
        </w:rPr>
        <w:t>Debrief prompts</w:t>
      </w:r>
    </w:p>
    <w:p w14:paraId="5441A68D" w14:textId="77777777" w:rsidR="00091525" w:rsidRPr="0093006A" w:rsidRDefault="00091525" w:rsidP="00091525">
      <w:pPr>
        <w:pStyle w:val="ListParagraph"/>
        <w:numPr>
          <w:ilvl w:val="0"/>
          <w:numId w:val="70"/>
        </w:numPr>
        <w:tabs>
          <w:tab w:val="left" w:pos="384"/>
        </w:tabs>
        <w:rPr>
          <w:color w:val="595959" w:themeColor="text1" w:themeTint="A6"/>
          <w:sz w:val="20"/>
          <w:szCs w:val="20"/>
        </w:rPr>
      </w:pPr>
      <w:r w:rsidRPr="0093006A">
        <w:rPr>
          <w:color w:val="595959" w:themeColor="text1" w:themeTint="A6"/>
          <w:sz w:val="20"/>
          <w:szCs w:val="20"/>
        </w:rPr>
        <w:t>What are the barriers to finding and getting a job that you talked about?</w:t>
      </w:r>
    </w:p>
    <w:p w14:paraId="3431F5AF" w14:textId="77777777" w:rsidR="00091525" w:rsidRDefault="00091525" w:rsidP="00A072DF">
      <w:pPr>
        <w:pStyle w:val="ListParagraph"/>
        <w:numPr>
          <w:ilvl w:val="0"/>
          <w:numId w:val="70"/>
        </w:numPr>
        <w:tabs>
          <w:tab w:val="left" w:pos="384"/>
        </w:tabs>
        <w:rPr>
          <w:color w:val="595959" w:themeColor="text1" w:themeTint="A6"/>
          <w:sz w:val="20"/>
          <w:szCs w:val="20"/>
        </w:rPr>
      </w:pPr>
      <w:r w:rsidRPr="00091525">
        <w:rPr>
          <w:color w:val="595959" w:themeColor="text1" w:themeTint="A6"/>
          <w:sz w:val="20"/>
          <w:szCs w:val="20"/>
        </w:rPr>
        <w:t>What are the barriers to staying in a job that you talked about?</w:t>
      </w:r>
    </w:p>
    <w:p w14:paraId="472BECAA" w14:textId="7BAB1862" w:rsidR="00091525" w:rsidRDefault="00091525" w:rsidP="00A072DF">
      <w:pPr>
        <w:pStyle w:val="ListParagraph"/>
        <w:numPr>
          <w:ilvl w:val="0"/>
          <w:numId w:val="70"/>
        </w:numPr>
        <w:tabs>
          <w:tab w:val="left" w:pos="384"/>
        </w:tabs>
        <w:rPr>
          <w:color w:val="595959" w:themeColor="text1" w:themeTint="A6"/>
          <w:sz w:val="20"/>
          <w:szCs w:val="20"/>
        </w:rPr>
      </w:pPr>
      <w:r w:rsidRPr="00091525">
        <w:rPr>
          <w:color w:val="595959" w:themeColor="text1" w:themeTint="A6"/>
          <w:sz w:val="20"/>
          <w:szCs w:val="20"/>
        </w:rPr>
        <w:t>Who needs support to get and keep a job?</w:t>
      </w:r>
    </w:p>
    <w:p w14:paraId="6DD35153" w14:textId="528E572C" w:rsidR="00091525" w:rsidRDefault="00091525" w:rsidP="00091525">
      <w:pPr>
        <w:tabs>
          <w:tab w:val="left" w:pos="384"/>
        </w:tabs>
        <w:rPr>
          <w:color w:val="595959" w:themeColor="text1" w:themeTint="A6"/>
          <w:sz w:val="20"/>
          <w:szCs w:val="20"/>
        </w:rPr>
      </w:pPr>
    </w:p>
    <w:p w14:paraId="3FFA4921" w14:textId="77777777" w:rsidR="00091525" w:rsidRPr="0093006A" w:rsidRDefault="00091525" w:rsidP="00091525">
      <w:pPr>
        <w:spacing w:after="200"/>
        <w:rPr>
          <w:rFonts w:cs="Arial"/>
          <w:b/>
          <w:bCs/>
          <w:color w:val="595959" w:themeColor="text1" w:themeTint="A6"/>
          <w:sz w:val="20"/>
          <w:szCs w:val="20"/>
        </w:rPr>
      </w:pPr>
      <w:r w:rsidRPr="0093006A">
        <w:rPr>
          <w:b/>
          <w:bCs/>
          <w:color w:val="595959" w:themeColor="text1" w:themeTint="A6"/>
          <w:sz w:val="20"/>
          <w:szCs w:val="20"/>
        </w:rPr>
        <w:t>Opportunities in this region</w:t>
      </w:r>
      <w:r w:rsidRPr="0093006A">
        <w:rPr>
          <w:rFonts w:cs="Arial"/>
          <w:b/>
          <w:bCs/>
          <w:color w:val="595959" w:themeColor="text1" w:themeTint="A6"/>
          <w:sz w:val="20"/>
          <w:szCs w:val="20"/>
        </w:rPr>
        <w:t>​</w:t>
      </w:r>
    </w:p>
    <w:p w14:paraId="7FD44FC6" w14:textId="77777777" w:rsidR="00091525" w:rsidRPr="0093006A" w:rsidRDefault="00091525" w:rsidP="00091525">
      <w:pPr>
        <w:spacing w:after="200"/>
        <w:rPr>
          <w:rFonts w:cs="Arial"/>
          <w:color w:val="595959" w:themeColor="text1" w:themeTint="A6"/>
          <w:sz w:val="20"/>
          <w:szCs w:val="20"/>
        </w:rPr>
      </w:pPr>
      <w:r w:rsidRPr="0093006A">
        <w:rPr>
          <w:rFonts w:cs="Arial"/>
          <w:color w:val="595959" w:themeColor="text1" w:themeTint="A6"/>
          <w:sz w:val="20"/>
          <w:szCs w:val="20"/>
        </w:rPr>
        <w:t>We’ll be asking you:</w:t>
      </w:r>
    </w:p>
    <w:p w14:paraId="0F056880" w14:textId="77777777" w:rsidR="00091525" w:rsidRPr="0093006A" w:rsidRDefault="00091525" w:rsidP="00091525">
      <w:pPr>
        <w:pStyle w:val="ListParagraph"/>
        <w:numPr>
          <w:ilvl w:val="0"/>
          <w:numId w:val="69"/>
        </w:numPr>
        <w:tabs>
          <w:tab w:val="left" w:pos="384"/>
        </w:tabs>
        <w:spacing w:after="200"/>
        <w:rPr>
          <w:color w:val="595959" w:themeColor="text1" w:themeTint="A6"/>
          <w:sz w:val="20"/>
          <w:szCs w:val="20"/>
        </w:rPr>
      </w:pPr>
      <w:r w:rsidRPr="0093006A">
        <w:rPr>
          <w:color w:val="595959" w:themeColor="text1" w:themeTint="A6"/>
          <w:sz w:val="20"/>
          <w:szCs w:val="20"/>
        </w:rPr>
        <w:t>What are the key opportunities in your region?</w:t>
      </w:r>
    </w:p>
    <w:p w14:paraId="5D86BCDB" w14:textId="77777777" w:rsidR="00091525" w:rsidRPr="0093006A" w:rsidRDefault="00091525" w:rsidP="00091525">
      <w:pPr>
        <w:pStyle w:val="ListParagraph"/>
        <w:numPr>
          <w:ilvl w:val="0"/>
          <w:numId w:val="69"/>
        </w:numPr>
        <w:tabs>
          <w:tab w:val="left" w:pos="384"/>
        </w:tabs>
        <w:spacing w:after="200"/>
        <w:rPr>
          <w:color w:val="595959" w:themeColor="text1" w:themeTint="A6"/>
          <w:sz w:val="20"/>
          <w:szCs w:val="20"/>
        </w:rPr>
      </w:pPr>
      <w:r w:rsidRPr="0093006A">
        <w:rPr>
          <w:color w:val="595959" w:themeColor="text1" w:themeTint="A6"/>
          <w:sz w:val="20"/>
          <w:szCs w:val="20"/>
        </w:rPr>
        <w:t>What are the training or employment aspirations of local Indigenous jobseekers or local communities?</w:t>
      </w:r>
    </w:p>
    <w:p w14:paraId="15080CE8" w14:textId="77777777" w:rsidR="00091525" w:rsidRPr="0093006A" w:rsidRDefault="00091525" w:rsidP="00091525">
      <w:pPr>
        <w:spacing w:after="200"/>
        <w:rPr>
          <w:color w:val="595959" w:themeColor="text1" w:themeTint="A6"/>
          <w:sz w:val="20"/>
          <w:szCs w:val="20"/>
        </w:rPr>
      </w:pPr>
      <w:r w:rsidRPr="0093006A">
        <w:rPr>
          <w:color w:val="595959" w:themeColor="text1" w:themeTint="A6"/>
          <w:sz w:val="20"/>
          <w:szCs w:val="20"/>
        </w:rPr>
        <w:t>Debrief prompts</w:t>
      </w:r>
    </w:p>
    <w:p w14:paraId="70E3D09B" w14:textId="77777777" w:rsidR="00091525" w:rsidRPr="0093006A" w:rsidRDefault="00091525" w:rsidP="00091525">
      <w:pPr>
        <w:pStyle w:val="ListParagraph"/>
        <w:numPr>
          <w:ilvl w:val="0"/>
          <w:numId w:val="67"/>
        </w:numPr>
        <w:tabs>
          <w:tab w:val="left" w:pos="384"/>
        </w:tabs>
        <w:spacing w:after="200"/>
        <w:rPr>
          <w:color w:val="595959" w:themeColor="text1" w:themeTint="A6"/>
          <w:sz w:val="20"/>
          <w:szCs w:val="20"/>
        </w:rPr>
      </w:pPr>
      <w:r w:rsidRPr="0093006A">
        <w:rPr>
          <w:color w:val="595959" w:themeColor="text1" w:themeTint="A6"/>
          <w:sz w:val="20"/>
          <w:szCs w:val="20"/>
        </w:rPr>
        <w:t>Who can tell me about a key opportunity you identified in your discussions?</w:t>
      </w:r>
    </w:p>
    <w:p w14:paraId="3A8E37FB" w14:textId="77777777" w:rsidR="00091525" w:rsidRDefault="00091525" w:rsidP="00243BCE">
      <w:pPr>
        <w:pStyle w:val="ListParagraph"/>
        <w:numPr>
          <w:ilvl w:val="0"/>
          <w:numId w:val="67"/>
        </w:numPr>
        <w:tabs>
          <w:tab w:val="left" w:pos="384"/>
        </w:tabs>
        <w:spacing w:after="200"/>
        <w:rPr>
          <w:color w:val="595959" w:themeColor="text1" w:themeTint="A6"/>
          <w:sz w:val="20"/>
          <w:szCs w:val="20"/>
        </w:rPr>
      </w:pPr>
      <w:r w:rsidRPr="00091525">
        <w:rPr>
          <w:color w:val="595959" w:themeColor="text1" w:themeTint="A6"/>
          <w:sz w:val="20"/>
          <w:szCs w:val="20"/>
        </w:rPr>
        <w:t>Why is this important?</w:t>
      </w:r>
    </w:p>
    <w:p w14:paraId="39B30B53" w14:textId="5DA26875" w:rsidR="00091525" w:rsidRPr="00091525" w:rsidRDefault="00091525" w:rsidP="00243BCE">
      <w:pPr>
        <w:pStyle w:val="ListParagraph"/>
        <w:numPr>
          <w:ilvl w:val="0"/>
          <w:numId w:val="67"/>
        </w:numPr>
        <w:tabs>
          <w:tab w:val="left" w:pos="384"/>
        </w:tabs>
        <w:spacing w:after="200"/>
        <w:rPr>
          <w:color w:val="595959" w:themeColor="text1" w:themeTint="A6"/>
          <w:sz w:val="20"/>
          <w:szCs w:val="20"/>
        </w:rPr>
      </w:pPr>
      <w:r w:rsidRPr="00091525">
        <w:rPr>
          <w:color w:val="595959" w:themeColor="text1" w:themeTint="A6"/>
          <w:sz w:val="20"/>
          <w:szCs w:val="20"/>
        </w:rPr>
        <w:t>What is the role of training in making the most of the opportunity?</w:t>
      </w:r>
    </w:p>
    <w:p w14:paraId="32E7FCB8" w14:textId="77777777" w:rsidR="00091525" w:rsidRPr="0093006A" w:rsidRDefault="00091525" w:rsidP="00091525">
      <w:pPr>
        <w:spacing w:after="200"/>
        <w:rPr>
          <w:b/>
          <w:bCs/>
          <w:color w:val="595959" w:themeColor="text1" w:themeTint="A6"/>
          <w:sz w:val="20"/>
          <w:szCs w:val="20"/>
        </w:rPr>
      </w:pPr>
      <w:r w:rsidRPr="0093006A">
        <w:rPr>
          <w:b/>
          <w:bCs/>
          <w:color w:val="595959" w:themeColor="text1" w:themeTint="A6"/>
          <w:sz w:val="20"/>
          <w:szCs w:val="20"/>
        </w:rPr>
        <w:t>Future success</w:t>
      </w:r>
    </w:p>
    <w:p w14:paraId="08D6EF2C"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For this last exercise we’d like you to think about the future and what success looks like.</w:t>
      </w:r>
    </w:p>
    <w:p w14:paraId="38A213AC"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 xml:space="preserve">Click on the link we are about to post in the chat to go to a worksheet where we will be asking you to think of one idea that you think might be a ‘quick win’, something that could take a bit longer and more effort but important to do and one idea you would want to do if we had unlimited resources.  </w:t>
      </w:r>
    </w:p>
    <w:p w14:paraId="3CD9792A" w14:textId="77777777" w:rsidR="00091525" w:rsidRPr="0093006A" w:rsidRDefault="00091525" w:rsidP="00091525">
      <w:pPr>
        <w:spacing w:after="200"/>
        <w:rPr>
          <w:i/>
          <w:iCs/>
          <w:color w:val="595959" w:themeColor="text1" w:themeTint="A6"/>
          <w:sz w:val="20"/>
          <w:szCs w:val="20"/>
        </w:rPr>
      </w:pPr>
      <w:r w:rsidRPr="0093006A">
        <w:rPr>
          <w:i/>
          <w:iCs/>
          <w:color w:val="595959" w:themeColor="text1" w:themeTint="A6"/>
          <w:sz w:val="20"/>
          <w:szCs w:val="20"/>
        </w:rPr>
        <w:t>Use the post-its in Mural to add comments and ideas to the journey. Try and focus on actions and programs that would address the barriers or take advantage of the opportunities we talked about earlier.</w:t>
      </w:r>
    </w:p>
    <w:p w14:paraId="7E0A0543" w14:textId="77777777" w:rsidR="00091525" w:rsidRPr="0093006A" w:rsidRDefault="00091525" w:rsidP="00091525">
      <w:pPr>
        <w:spacing w:after="200"/>
        <w:rPr>
          <w:color w:val="595959" w:themeColor="text1" w:themeTint="A6"/>
          <w:sz w:val="20"/>
          <w:szCs w:val="20"/>
        </w:rPr>
      </w:pPr>
      <w:r w:rsidRPr="0093006A">
        <w:rPr>
          <w:color w:val="595959" w:themeColor="text1" w:themeTint="A6"/>
          <w:sz w:val="20"/>
          <w:szCs w:val="20"/>
        </w:rPr>
        <w:t>Debrief prompts</w:t>
      </w:r>
    </w:p>
    <w:p w14:paraId="6178E6B4" w14:textId="77777777" w:rsidR="00091525" w:rsidRPr="0093006A" w:rsidRDefault="00091525" w:rsidP="00091525">
      <w:pPr>
        <w:pStyle w:val="ListParagraph"/>
        <w:numPr>
          <w:ilvl w:val="0"/>
          <w:numId w:val="68"/>
        </w:numPr>
        <w:spacing w:after="200"/>
        <w:rPr>
          <w:color w:val="595959" w:themeColor="text1" w:themeTint="A6"/>
          <w:sz w:val="20"/>
          <w:szCs w:val="20"/>
        </w:rPr>
      </w:pPr>
      <w:r w:rsidRPr="0093006A">
        <w:rPr>
          <w:color w:val="595959" w:themeColor="text1" w:themeTint="A6"/>
          <w:sz w:val="20"/>
          <w:szCs w:val="20"/>
        </w:rPr>
        <w:t>Can someone tell me an idea they wrote or saw on the worksheet that they think is a ‘must do’</w:t>
      </w:r>
    </w:p>
    <w:p w14:paraId="763781E5" w14:textId="77777777" w:rsidR="00091525" w:rsidRPr="0093006A" w:rsidRDefault="00091525" w:rsidP="00091525">
      <w:pPr>
        <w:pStyle w:val="ListParagraph"/>
        <w:numPr>
          <w:ilvl w:val="0"/>
          <w:numId w:val="68"/>
        </w:numPr>
        <w:spacing w:after="200"/>
        <w:rPr>
          <w:color w:val="595959" w:themeColor="text1" w:themeTint="A6"/>
          <w:sz w:val="20"/>
          <w:szCs w:val="20"/>
        </w:rPr>
      </w:pPr>
      <w:r w:rsidRPr="0093006A">
        <w:rPr>
          <w:color w:val="595959" w:themeColor="text1" w:themeTint="A6"/>
          <w:sz w:val="20"/>
          <w:szCs w:val="20"/>
        </w:rPr>
        <w:t>Are there any ‘quick wins’ that could happen now?</w:t>
      </w:r>
    </w:p>
    <w:p w14:paraId="4A7F2DB8" w14:textId="77777777" w:rsidR="00091525" w:rsidRPr="0093006A" w:rsidRDefault="00091525" w:rsidP="00091525">
      <w:pPr>
        <w:pStyle w:val="ListParagraph"/>
        <w:numPr>
          <w:ilvl w:val="0"/>
          <w:numId w:val="68"/>
        </w:numPr>
        <w:spacing w:after="200"/>
        <w:rPr>
          <w:color w:val="595959" w:themeColor="text1" w:themeTint="A6"/>
          <w:sz w:val="20"/>
          <w:szCs w:val="20"/>
        </w:rPr>
      </w:pPr>
      <w:r w:rsidRPr="0093006A">
        <w:rPr>
          <w:color w:val="595959" w:themeColor="text1" w:themeTint="A6"/>
          <w:sz w:val="20"/>
          <w:szCs w:val="20"/>
        </w:rPr>
        <w:t>Who would need to be involved?</w:t>
      </w:r>
    </w:p>
    <w:p w14:paraId="0C09CBAE" w14:textId="77777777" w:rsidR="00091525" w:rsidRPr="0093006A" w:rsidRDefault="00091525" w:rsidP="00091525">
      <w:pPr>
        <w:pStyle w:val="ListParagraph"/>
        <w:numPr>
          <w:ilvl w:val="0"/>
          <w:numId w:val="68"/>
        </w:numPr>
        <w:spacing w:after="200"/>
        <w:rPr>
          <w:color w:val="595959" w:themeColor="text1" w:themeTint="A6"/>
          <w:sz w:val="20"/>
          <w:szCs w:val="20"/>
        </w:rPr>
      </w:pPr>
      <w:r w:rsidRPr="0093006A">
        <w:rPr>
          <w:color w:val="595959" w:themeColor="text1" w:themeTint="A6"/>
          <w:sz w:val="20"/>
          <w:szCs w:val="20"/>
        </w:rPr>
        <w:t>What would have to happen for us to get there?</w:t>
      </w:r>
    </w:p>
    <w:p w14:paraId="6ED791E6" w14:textId="77777777" w:rsidR="00091525" w:rsidRPr="0093006A" w:rsidRDefault="00091525" w:rsidP="00091525">
      <w:pPr>
        <w:pStyle w:val="ListParagraph"/>
        <w:numPr>
          <w:ilvl w:val="0"/>
          <w:numId w:val="68"/>
        </w:numPr>
        <w:spacing w:after="200"/>
        <w:rPr>
          <w:color w:val="595959" w:themeColor="text1" w:themeTint="A6"/>
          <w:sz w:val="20"/>
          <w:szCs w:val="20"/>
        </w:rPr>
      </w:pPr>
      <w:r w:rsidRPr="0093006A">
        <w:rPr>
          <w:color w:val="595959" w:themeColor="text1" w:themeTint="A6"/>
          <w:sz w:val="20"/>
          <w:szCs w:val="20"/>
        </w:rPr>
        <w:t>What are the priorities?</w:t>
      </w:r>
    </w:p>
    <w:p w14:paraId="6B226058" w14:textId="77777777" w:rsidR="00091525" w:rsidRPr="0093006A" w:rsidRDefault="00091525" w:rsidP="00091525">
      <w:pPr>
        <w:spacing w:after="200"/>
        <w:rPr>
          <w:b/>
          <w:bCs/>
          <w:color w:val="595959" w:themeColor="text1" w:themeTint="A6"/>
          <w:sz w:val="20"/>
          <w:szCs w:val="20"/>
        </w:rPr>
      </w:pPr>
      <w:r w:rsidRPr="0093006A">
        <w:rPr>
          <w:b/>
          <w:bCs/>
          <w:color w:val="595959" w:themeColor="text1" w:themeTint="A6"/>
          <w:sz w:val="20"/>
          <w:szCs w:val="20"/>
        </w:rPr>
        <w:t>Wrap up and close</w:t>
      </w:r>
    </w:p>
    <w:p w14:paraId="20D70CF4" w14:textId="77777777" w:rsidR="00091525" w:rsidRPr="0093006A" w:rsidRDefault="00091525" w:rsidP="00091525">
      <w:pPr>
        <w:pStyle w:val="ListParagraph"/>
        <w:numPr>
          <w:ilvl w:val="0"/>
          <w:numId w:val="65"/>
        </w:numPr>
        <w:tabs>
          <w:tab w:val="left" w:pos="384"/>
        </w:tabs>
        <w:spacing w:after="200"/>
        <w:rPr>
          <w:color w:val="595959" w:themeColor="text1" w:themeTint="A6"/>
          <w:sz w:val="20"/>
          <w:szCs w:val="20"/>
        </w:rPr>
      </w:pPr>
      <w:r w:rsidRPr="0093006A">
        <w:rPr>
          <w:color w:val="595959" w:themeColor="text1" w:themeTint="A6"/>
          <w:sz w:val="20"/>
          <w:szCs w:val="20"/>
        </w:rPr>
        <w:t>Thank participants for attending and sharing their knowledge, experience and ideas with us to inform the design of ISEP</w:t>
      </w:r>
    </w:p>
    <w:p w14:paraId="75189F37" w14:textId="77777777" w:rsidR="00091525" w:rsidRPr="0093006A" w:rsidRDefault="00091525" w:rsidP="00091525">
      <w:pPr>
        <w:pStyle w:val="ListParagraph"/>
        <w:numPr>
          <w:ilvl w:val="0"/>
          <w:numId w:val="65"/>
        </w:numPr>
        <w:tabs>
          <w:tab w:val="left" w:pos="384"/>
        </w:tabs>
        <w:spacing w:after="200"/>
        <w:rPr>
          <w:color w:val="595959" w:themeColor="text1" w:themeTint="A6"/>
          <w:sz w:val="20"/>
          <w:szCs w:val="20"/>
        </w:rPr>
      </w:pPr>
      <w:r w:rsidRPr="0093006A">
        <w:rPr>
          <w:color w:val="595959" w:themeColor="text1" w:themeTint="A6"/>
          <w:sz w:val="20"/>
          <w:szCs w:val="20"/>
        </w:rPr>
        <w:t>Invite NIAA rep (Regional Manager) to summarise of key themes/things that stood out as important</w:t>
      </w:r>
    </w:p>
    <w:p w14:paraId="4CA0F21F" w14:textId="77777777" w:rsidR="00091525" w:rsidRPr="0093006A" w:rsidRDefault="00091525" w:rsidP="00091525">
      <w:pPr>
        <w:tabs>
          <w:tab w:val="left" w:pos="384"/>
        </w:tabs>
        <w:spacing w:after="200"/>
        <w:ind w:left="101"/>
        <w:rPr>
          <w:color w:val="595959" w:themeColor="text1" w:themeTint="A6"/>
          <w:sz w:val="20"/>
          <w:szCs w:val="20"/>
        </w:rPr>
      </w:pPr>
    </w:p>
    <w:p w14:paraId="557573E4" w14:textId="77777777" w:rsidR="00091525" w:rsidRPr="0093006A" w:rsidRDefault="00091525" w:rsidP="00091525">
      <w:pPr>
        <w:tabs>
          <w:tab w:val="left" w:pos="384"/>
        </w:tabs>
        <w:spacing w:after="200"/>
        <w:ind w:left="101"/>
        <w:rPr>
          <w:color w:val="595959" w:themeColor="text1" w:themeTint="A6"/>
          <w:sz w:val="20"/>
          <w:szCs w:val="20"/>
        </w:rPr>
      </w:pPr>
      <w:r w:rsidRPr="0093006A">
        <w:rPr>
          <w:color w:val="595959" w:themeColor="text1" w:themeTint="A6"/>
          <w:sz w:val="20"/>
          <w:szCs w:val="20"/>
        </w:rPr>
        <w:t>NIAA rep tells participants:</w:t>
      </w:r>
    </w:p>
    <w:p w14:paraId="15EBC97F" w14:textId="77777777" w:rsidR="00091525" w:rsidRPr="0093006A" w:rsidRDefault="00091525" w:rsidP="00091525">
      <w:pPr>
        <w:pStyle w:val="ListParagraph"/>
        <w:numPr>
          <w:ilvl w:val="0"/>
          <w:numId w:val="66"/>
        </w:numPr>
        <w:tabs>
          <w:tab w:val="left" w:pos="384"/>
        </w:tabs>
        <w:spacing w:after="200"/>
        <w:rPr>
          <w:color w:val="595959" w:themeColor="text1" w:themeTint="A6"/>
          <w:sz w:val="20"/>
          <w:szCs w:val="20"/>
        </w:rPr>
      </w:pPr>
      <w:r w:rsidRPr="0093006A">
        <w:rPr>
          <w:color w:val="595959" w:themeColor="text1" w:themeTint="A6"/>
          <w:sz w:val="20"/>
          <w:szCs w:val="20"/>
        </w:rPr>
        <w:t>Key findings from the consultation will inform the design of the program and will be shared on the website in October</w:t>
      </w:r>
    </w:p>
    <w:p w14:paraId="119DD48C" w14:textId="77777777" w:rsidR="00091525" w:rsidRPr="0093006A" w:rsidRDefault="00091525" w:rsidP="00091525">
      <w:pPr>
        <w:pStyle w:val="ListParagraph"/>
        <w:numPr>
          <w:ilvl w:val="0"/>
          <w:numId w:val="66"/>
        </w:numPr>
        <w:tabs>
          <w:tab w:val="left" w:pos="384"/>
        </w:tabs>
        <w:spacing w:after="200"/>
        <w:rPr>
          <w:color w:val="595959" w:themeColor="text1" w:themeTint="A6"/>
          <w:sz w:val="20"/>
          <w:szCs w:val="20"/>
        </w:rPr>
      </w:pPr>
      <w:r w:rsidRPr="0093006A">
        <w:rPr>
          <w:color w:val="595959" w:themeColor="text1" w:themeTint="A6"/>
          <w:sz w:val="20"/>
          <w:szCs w:val="20"/>
        </w:rPr>
        <w:t>Thanks participants</w:t>
      </w:r>
    </w:p>
    <w:p w14:paraId="28CA1207" w14:textId="6EEFB64E" w:rsidR="00091525" w:rsidRPr="00091525" w:rsidRDefault="00091525" w:rsidP="00091525">
      <w:pPr>
        <w:tabs>
          <w:tab w:val="left" w:pos="384"/>
        </w:tabs>
        <w:rPr>
          <w:color w:val="595959" w:themeColor="text1" w:themeTint="A6"/>
          <w:sz w:val="20"/>
          <w:szCs w:val="20"/>
        </w:rPr>
      </w:pPr>
      <w:r w:rsidRPr="0093006A">
        <w:rPr>
          <w:color w:val="595959" w:themeColor="text1" w:themeTint="A6"/>
          <w:sz w:val="20"/>
          <w:szCs w:val="20"/>
        </w:rPr>
        <w:t>Extends invitation to engage with NIAA in the future</w:t>
      </w:r>
    </w:p>
    <w:p w14:paraId="140A50FE" w14:textId="64518C3D" w:rsidR="00091525" w:rsidRDefault="00091525" w:rsidP="00091525">
      <w:pPr>
        <w:rPr>
          <w:color w:val="595959" w:themeColor="text1" w:themeTint="A6"/>
        </w:rPr>
      </w:pPr>
    </w:p>
    <w:p w14:paraId="0B74EC97" w14:textId="77777777" w:rsidR="00091525" w:rsidRPr="0093006A" w:rsidRDefault="00091525" w:rsidP="00091525">
      <w:pPr>
        <w:spacing w:after="200"/>
        <w:rPr>
          <w:b/>
          <w:bCs/>
          <w:color w:val="595959" w:themeColor="text1" w:themeTint="A6"/>
          <w:sz w:val="20"/>
          <w:szCs w:val="20"/>
        </w:rPr>
      </w:pPr>
      <w:r w:rsidRPr="0093006A">
        <w:rPr>
          <w:b/>
          <w:bCs/>
          <w:color w:val="595959" w:themeColor="text1" w:themeTint="A6"/>
          <w:sz w:val="20"/>
          <w:szCs w:val="20"/>
        </w:rPr>
        <w:t>Debrief</w:t>
      </w:r>
    </w:p>
    <w:p w14:paraId="1FA513DB" w14:textId="77777777" w:rsidR="00091525" w:rsidRPr="0093006A" w:rsidRDefault="00091525" w:rsidP="00091525">
      <w:pPr>
        <w:pStyle w:val="ListParagraph"/>
        <w:numPr>
          <w:ilvl w:val="0"/>
          <w:numId w:val="63"/>
        </w:numPr>
        <w:spacing w:after="200"/>
        <w:rPr>
          <w:color w:val="595959" w:themeColor="text1" w:themeTint="A6"/>
          <w:sz w:val="20"/>
          <w:szCs w:val="20"/>
        </w:rPr>
      </w:pPr>
      <w:r w:rsidRPr="0093006A">
        <w:rPr>
          <w:color w:val="595959" w:themeColor="text1" w:themeTint="A6"/>
          <w:sz w:val="20"/>
          <w:szCs w:val="20"/>
        </w:rPr>
        <w:t>What worked, what didn’t?</w:t>
      </w:r>
    </w:p>
    <w:p w14:paraId="1AF7787A" w14:textId="77777777" w:rsidR="00091525" w:rsidRPr="0093006A" w:rsidRDefault="00091525" w:rsidP="00091525">
      <w:pPr>
        <w:pStyle w:val="ListParagraph"/>
        <w:numPr>
          <w:ilvl w:val="0"/>
          <w:numId w:val="63"/>
        </w:numPr>
        <w:spacing w:after="200"/>
        <w:rPr>
          <w:color w:val="595959" w:themeColor="text1" w:themeTint="A6"/>
          <w:sz w:val="20"/>
          <w:szCs w:val="20"/>
        </w:rPr>
      </w:pPr>
      <w:r w:rsidRPr="0093006A">
        <w:rPr>
          <w:color w:val="595959" w:themeColor="text1" w:themeTint="A6"/>
          <w:sz w:val="20"/>
          <w:szCs w:val="20"/>
        </w:rPr>
        <w:t>What should change for future sessions?</w:t>
      </w:r>
    </w:p>
    <w:p w14:paraId="277DD9A0" w14:textId="22D5917A" w:rsidR="00091525" w:rsidRDefault="00091525" w:rsidP="00091525">
      <w:pPr>
        <w:rPr>
          <w:color w:val="595959" w:themeColor="text1" w:themeTint="A6"/>
        </w:rPr>
      </w:pPr>
      <w:r w:rsidRPr="0093006A">
        <w:rPr>
          <w:color w:val="595959" w:themeColor="text1" w:themeTint="A6"/>
          <w:sz w:val="20"/>
          <w:szCs w:val="20"/>
        </w:rPr>
        <w:t>What were the key things we heard?</w:t>
      </w:r>
    </w:p>
    <w:p w14:paraId="67A3862C" w14:textId="77777777" w:rsidR="002973B0" w:rsidRPr="0093006A" w:rsidRDefault="002973B0">
      <w:pPr>
        <w:rPr>
          <w:b/>
          <w:color w:val="595959" w:themeColor="text1" w:themeTint="A6"/>
          <w:sz w:val="32"/>
          <w:szCs w:val="32"/>
        </w:rPr>
      </w:pPr>
      <w:r w:rsidRPr="0093006A">
        <w:rPr>
          <w:b/>
          <w:color w:val="595959" w:themeColor="text1" w:themeTint="A6"/>
          <w:sz w:val="32"/>
          <w:szCs w:val="32"/>
        </w:rPr>
        <w:br w:type="page"/>
      </w:r>
    </w:p>
    <w:p w14:paraId="075F2B24" w14:textId="6624FE88" w:rsidR="008A2081" w:rsidRPr="0093006A" w:rsidRDefault="008A2081">
      <w:pPr>
        <w:pStyle w:val="Heading1"/>
        <w:rPr>
          <w:color w:val="595959" w:themeColor="text1" w:themeTint="A6"/>
        </w:rPr>
      </w:pPr>
      <w:bookmarkStart w:id="34" w:name="_Toc85030968"/>
      <w:r w:rsidRPr="0093006A">
        <w:rPr>
          <w:color w:val="595959" w:themeColor="text1" w:themeTint="A6"/>
        </w:rPr>
        <w:t xml:space="preserve">Appendix B: Roundtable Participant </w:t>
      </w:r>
      <w:r w:rsidR="006727BF" w:rsidRPr="0093006A">
        <w:rPr>
          <w:color w:val="595959" w:themeColor="text1" w:themeTint="A6"/>
        </w:rPr>
        <w:t>L</w:t>
      </w:r>
      <w:r w:rsidRPr="0093006A">
        <w:rPr>
          <w:color w:val="595959" w:themeColor="text1" w:themeTint="A6"/>
        </w:rPr>
        <w:t>ists</w:t>
      </w:r>
      <w:bookmarkEnd w:id="34"/>
    </w:p>
    <w:p w14:paraId="6906BFCB" w14:textId="4ABB0744" w:rsidR="008A2081" w:rsidRPr="0093006A" w:rsidRDefault="008A2081" w:rsidP="008A2081">
      <w:pPr>
        <w:spacing w:after="120"/>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B1</w:t>
      </w:r>
      <w:r w:rsidRPr="0093006A">
        <w:rPr>
          <w:b/>
          <w:bCs/>
          <w:color w:val="595959" w:themeColor="text1" w:themeTint="A6"/>
          <w:sz w:val="24"/>
          <w:szCs w:val="24"/>
        </w:rPr>
        <w:t>: Sequence of Regional Roundtables</w:t>
      </w:r>
    </w:p>
    <w:tbl>
      <w:tblPr>
        <w:tblW w:w="9623"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1: Sequence of Regional Roundtables"/>
        <w:tblDescription w:val="Total list of roundtable participants by location"/>
      </w:tblPr>
      <w:tblGrid>
        <w:gridCol w:w="562"/>
        <w:gridCol w:w="1003"/>
        <w:gridCol w:w="1832"/>
        <w:gridCol w:w="1832"/>
        <w:gridCol w:w="1591"/>
        <w:gridCol w:w="1145"/>
        <w:gridCol w:w="1658"/>
      </w:tblGrid>
      <w:tr w:rsidR="0093006A" w:rsidRPr="0093006A" w14:paraId="7FA1B2C4" w14:textId="77777777" w:rsidTr="0076290B">
        <w:trPr>
          <w:cantSplit/>
          <w:trHeight w:val="990"/>
          <w:tblHeader/>
        </w:trPr>
        <w:tc>
          <w:tcPr>
            <w:tcW w:w="562" w:type="dxa"/>
            <w:shd w:val="clear" w:color="auto" w:fill="D9D9D9" w:themeFill="background1" w:themeFillShade="D9"/>
            <w:hideMark/>
          </w:tcPr>
          <w:p w14:paraId="42F8C608" w14:textId="04129A6B" w:rsidR="00695E0A" w:rsidRPr="009E33CC" w:rsidRDefault="00695E0A" w:rsidP="00695E0A">
            <w:pPr>
              <w:ind w:right="-451"/>
              <w:rPr>
                <w:rFonts w:eastAsia="Times New Roman" w:cs="Arial"/>
                <w:b/>
                <w:bCs/>
                <w:color w:val="595959" w:themeColor="text1" w:themeTint="A6"/>
              </w:rPr>
            </w:pPr>
            <w:r w:rsidRPr="009E33CC">
              <w:rPr>
                <w:rFonts w:eastAsia="Times New Roman" w:cs="Arial"/>
                <w:b/>
                <w:bCs/>
                <w:color w:val="595959" w:themeColor="text1" w:themeTint="A6"/>
              </w:rPr>
              <w:t>No.</w:t>
            </w:r>
          </w:p>
        </w:tc>
        <w:tc>
          <w:tcPr>
            <w:tcW w:w="1003" w:type="dxa"/>
            <w:shd w:val="clear" w:color="auto" w:fill="D9D9D9" w:themeFill="background1" w:themeFillShade="D9"/>
            <w:hideMark/>
          </w:tcPr>
          <w:p w14:paraId="5CD20156" w14:textId="58BA9EC3" w:rsidR="00695E0A" w:rsidRPr="009E33CC" w:rsidRDefault="00695E0A" w:rsidP="00695E0A">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1832" w:type="dxa"/>
            <w:shd w:val="clear" w:color="auto" w:fill="D9D9D9" w:themeFill="background1" w:themeFillShade="D9"/>
            <w:hideMark/>
          </w:tcPr>
          <w:p w14:paraId="7F8A37AD" w14:textId="0A6978E8" w:rsidR="00695E0A" w:rsidRPr="009E33CC" w:rsidRDefault="00695E0A" w:rsidP="00695E0A">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1832" w:type="dxa"/>
            <w:shd w:val="clear" w:color="auto" w:fill="D9D9D9" w:themeFill="background1" w:themeFillShade="D9"/>
            <w:hideMark/>
          </w:tcPr>
          <w:p w14:paraId="7486D637" w14:textId="0B501C80" w:rsidR="00695E0A" w:rsidRPr="009E33CC" w:rsidRDefault="00695E0A" w:rsidP="00695E0A">
            <w:pPr>
              <w:rPr>
                <w:rFonts w:eastAsia="Times New Roman" w:cs="Arial"/>
                <w:b/>
                <w:bCs/>
                <w:color w:val="595959" w:themeColor="text1" w:themeTint="A6"/>
              </w:rPr>
            </w:pPr>
            <w:r w:rsidRPr="009E33CC">
              <w:rPr>
                <w:rFonts w:eastAsia="Times New Roman" w:cs="Arial"/>
                <w:b/>
                <w:bCs/>
                <w:color w:val="595959" w:themeColor="text1" w:themeTint="A6"/>
              </w:rPr>
              <w:t xml:space="preserve">Region </w:t>
            </w:r>
          </w:p>
        </w:tc>
        <w:tc>
          <w:tcPr>
            <w:tcW w:w="1591" w:type="dxa"/>
            <w:shd w:val="clear" w:color="auto" w:fill="D9D9D9" w:themeFill="background1" w:themeFillShade="D9"/>
            <w:hideMark/>
          </w:tcPr>
          <w:p w14:paraId="73D4EB3F" w14:textId="1B62012A" w:rsidR="00695E0A" w:rsidRPr="009E33CC" w:rsidRDefault="00695E0A" w:rsidP="00695E0A">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145" w:type="dxa"/>
            <w:shd w:val="clear" w:color="auto" w:fill="D9D9D9" w:themeFill="background1" w:themeFillShade="D9"/>
            <w:hideMark/>
          </w:tcPr>
          <w:p w14:paraId="4A51C60C" w14:textId="19D3779C" w:rsidR="00695E0A" w:rsidRPr="009E33CC" w:rsidRDefault="00695E0A" w:rsidP="00695E0A">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658" w:type="dxa"/>
            <w:shd w:val="clear" w:color="auto" w:fill="D9D9D9" w:themeFill="background1" w:themeFillShade="D9"/>
            <w:hideMark/>
          </w:tcPr>
          <w:p w14:paraId="4C12EF7E" w14:textId="77777777" w:rsidR="00695E0A" w:rsidRPr="009E33CC" w:rsidRDefault="00695E0A" w:rsidP="00695E0A">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12025C75" w14:textId="2DD171B4" w:rsidR="00695E0A" w:rsidRPr="009E33CC" w:rsidRDefault="00695E0A" w:rsidP="00695E0A">
            <w:pPr>
              <w:ind w:right="-590"/>
              <w:rPr>
                <w:rFonts w:eastAsia="Times New Roman" w:cs="Arial"/>
                <w:b/>
                <w:bCs/>
                <w:color w:val="595959" w:themeColor="text1" w:themeTint="A6"/>
                <w:highlight w:val="yellow"/>
              </w:rPr>
            </w:pPr>
            <w:r w:rsidRPr="009E33CC">
              <w:rPr>
                <w:rFonts w:eastAsia="Times New Roman" w:cs="Arial"/>
                <w:b/>
                <w:bCs/>
                <w:color w:val="595959" w:themeColor="text1" w:themeTint="A6"/>
              </w:rPr>
              <w:t>Participants</w:t>
            </w:r>
          </w:p>
        </w:tc>
      </w:tr>
      <w:tr w:rsidR="0093006A" w:rsidRPr="0093006A" w14:paraId="44CBA146" w14:textId="77777777" w:rsidTr="0048465C">
        <w:trPr>
          <w:trHeight w:val="900"/>
        </w:trPr>
        <w:tc>
          <w:tcPr>
            <w:tcW w:w="562" w:type="dxa"/>
            <w:shd w:val="clear" w:color="auto" w:fill="auto"/>
          </w:tcPr>
          <w:p w14:paraId="7954073B" w14:textId="5703CC7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w:t>
            </w:r>
          </w:p>
        </w:tc>
        <w:tc>
          <w:tcPr>
            <w:tcW w:w="1003" w:type="dxa"/>
            <w:shd w:val="clear" w:color="auto" w:fill="auto"/>
          </w:tcPr>
          <w:p w14:paraId="27A6505B" w14:textId="47C7424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 Aug</w:t>
            </w:r>
          </w:p>
        </w:tc>
        <w:tc>
          <w:tcPr>
            <w:tcW w:w="1832" w:type="dxa"/>
            <w:shd w:val="clear" w:color="auto" w:fill="auto"/>
          </w:tcPr>
          <w:p w14:paraId="32657885" w14:textId="42456F5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Wagga Wagga</w:t>
            </w:r>
          </w:p>
        </w:tc>
        <w:tc>
          <w:tcPr>
            <w:tcW w:w="1832" w:type="dxa"/>
            <w:shd w:val="clear" w:color="auto" w:fill="auto"/>
          </w:tcPr>
          <w:p w14:paraId="79CD4866" w14:textId="7CCDFBA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Western NSW</w:t>
            </w:r>
          </w:p>
        </w:tc>
        <w:tc>
          <w:tcPr>
            <w:tcW w:w="1591" w:type="dxa"/>
            <w:shd w:val="clear" w:color="auto" w:fill="auto"/>
          </w:tcPr>
          <w:p w14:paraId="535F7933" w14:textId="053C30B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tcPr>
          <w:p w14:paraId="10B97505" w14:textId="712526C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tcPr>
          <w:p w14:paraId="35CAEBFA" w14:textId="394CB140"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30</w:t>
            </w:r>
          </w:p>
        </w:tc>
      </w:tr>
      <w:tr w:rsidR="0093006A" w:rsidRPr="0093006A" w14:paraId="516F7C87" w14:textId="77777777" w:rsidTr="0048465C">
        <w:trPr>
          <w:trHeight w:val="900"/>
        </w:trPr>
        <w:tc>
          <w:tcPr>
            <w:tcW w:w="562" w:type="dxa"/>
            <w:shd w:val="clear" w:color="auto" w:fill="auto"/>
            <w:hideMark/>
          </w:tcPr>
          <w:p w14:paraId="52F6D0E5" w14:textId="4E38B6E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w:t>
            </w:r>
          </w:p>
        </w:tc>
        <w:tc>
          <w:tcPr>
            <w:tcW w:w="1003" w:type="dxa"/>
            <w:shd w:val="clear" w:color="auto" w:fill="auto"/>
            <w:hideMark/>
          </w:tcPr>
          <w:p w14:paraId="61B8D28E" w14:textId="70CD567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17 Aug</w:t>
            </w:r>
          </w:p>
        </w:tc>
        <w:tc>
          <w:tcPr>
            <w:tcW w:w="1832" w:type="dxa"/>
            <w:shd w:val="clear" w:color="auto" w:fill="auto"/>
            <w:hideMark/>
          </w:tcPr>
          <w:p w14:paraId="0A728AF9" w14:textId="107A126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Brisbane</w:t>
            </w:r>
          </w:p>
        </w:tc>
        <w:tc>
          <w:tcPr>
            <w:tcW w:w="1832" w:type="dxa"/>
            <w:shd w:val="clear" w:color="auto" w:fill="auto"/>
            <w:hideMark/>
          </w:tcPr>
          <w:p w14:paraId="674A2FD2" w14:textId="3621D6A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South Queensland </w:t>
            </w:r>
          </w:p>
        </w:tc>
        <w:tc>
          <w:tcPr>
            <w:tcW w:w="1591" w:type="dxa"/>
            <w:shd w:val="clear" w:color="auto" w:fill="auto"/>
            <w:hideMark/>
          </w:tcPr>
          <w:p w14:paraId="2419826D" w14:textId="4B34DCE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01AD6219" w14:textId="460C272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73990C08" w14:textId="5B4789DD"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36</w:t>
            </w:r>
          </w:p>
        </w:tc>
      </w:tr>
      <w:tr w:rsidR="0093006A" w:rsidRPr="0093006A" w14:paraId="547D2690" w14:textId="77777777" w:rsidTr="0048465C">
        <w:trPr>
          <w:trHeight w:val="900"/>
        </w:trPr>
        <w:tc>
          <w:tcPr>
            <w:tcW w:w="562" w:type="dxa"/>
            <w:shd w:val="clear" w:color="auto" w:fill="auto"/>
            <w:hideMark/>
          </w:tcPr>
          <w:p w14:paraId="3D092DEC" w14:textId="6280DD0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w:t>
            </w:r>
          </w:p>
        </w:tc>
        <w:tc>
          <w:tcPr>
            <w:tcW w:w="1003" w:type="dxa"/>
            <w:shd w:val="clear" w:color="auto" w:fill="auto"/>
            <w:hideMark/>
          </w:tcPr>
          <w:p w14:paraId="24337946" w14:textId="04ACCF3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18 Aug</w:t>
            </w:r>
          </w:p>
        </w:tc>
        <w:tc>
          <w:tcPr>
            <w:tcW w:w="1832" w:type="dxa"/>
            <w:shd w:val="clear" w:color="auto" w:fill="auto"/>
            <w:hideMark/>
          </w:tcPr>
          <w:p w14:paraId="65C0314B" w14:textId="7495E06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Toowoomba</w:t>
            </w:r>
          </w:p>
        </w:tc>
        <w:tc>
          <w:tcPr>
            <w:tcW w:w="1832" w:type="dxa"/>
            <w:shd w:val="clear" w:color="auto" w:fill="auto"/>
            <w:hideMark/>
          </w:tcPr>
          <w:p w14:paraId="192FF34C" w14:textId="34CF639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South Queensland </w:t>
            </w:r>
          </w:p>
        </w:tc>
        <w:tc>
          <w:tcPr>
            <w:tcW w:w="1591" w:type="dxa"/>
            <w:shd w:val="clear" w:color="auto" w:fill="auto"/>
            <w:hideMark/>
          </w:tcPr>
          <w:p w14:paraId="5F957769" w14:textId="132CF92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0412D7F5" w14:textId="3F5FA18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Hybrid</w:t>
            </w:r>
          </w:p>
        </w:tc>
        <w:tc>
          <w:tcPr>
            <w:tcW w:w="1658" w:type="dxa"/>
            <w:shd w:val="clear" w:color="auto" w:fill="auto"/>
            <w:hideMark/>
          </w:tcPr>
          <w:p w14:paraId="61F37931" w14:textId="52C415F3"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12</w:t>
            </w:r>
          </w:p>
        </w:tc>
      </w:tr>
      <w:tr w:rsidR="0093006A" w:rsidRPr="0093006A" w14:paraId="4A47F5A8" w14:textId="77777777" w:rsidTr="0048465C">
        <w:trPr>
          <w:trHeight w:val="900"/>
        </w:trPr>
        <w:tc>
          <w:tcPr>
            <w:tcW w:w="562" w:type="dxa"/>
            <w:shd w:val="clear" w:color="auto" w:fill="auto"/>
            <w:hideMark/>
          </w:tcPr>
          <w:p w14:paraId="603D5361" w14:textId="478AF2A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5</w:t>
            </w:r>
          </w:p>
        </w:tc>
        <w:tc>
          <w:tcPr>
            <w:tcW w:w="1003" w:type="dxa"/>
            <w:shd w:val="clear" w:color="auto" w:fill="auto"/>
            <w:hideMark/>
          </w:tcPr>
          <w:p w14:paraId="2BB48DC0" w14:textId="388CCA2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18 Aug</w:t>
            </w:r>
          </w:p>
        </w:tc>
        <w:tc>
          <w:tcPr>
            <w:tcW w:w="1832" w:type="dxa"/>
            <w:shd w:val="clear" w:color="auto" w:fill="auto"/>
            <w:hideMark/>
          </w:tcPr>
          <w:p w14:paraId="48AECC9A" w14:textId="0C3475A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Tennant Creek</w:t>
            </w:r>
          </w:p>
        </w:tc>
        <w:tc>
          <w:tcPr>
            <w:tcW w:w="1832" w:type="dxa"/>
            <w:shd w:val="clear" w:color="auto" w:fill="auto"/>
            <w:hideMark/>
          </w:tcPr>
          <w:p w14:paraId="74EBFF37" w14:textId="5391D9E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Central Australia </w:t>
            </w:r>
          </w:p>
        </w:tc>
        <w:tc>
          <w:tcPr>
            <w:tcW w:w="1591" w:type="dxa"/>
            <w:shd w:val="clear" w:color="auto" w:fill="auto"/>
            <w:hideMark/>
          </w:tcPr>
          <w:p w14:paraId="1CAAE7EE" w14:textId="1D60B3F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3904E2E" w14:textId="21E567D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321427CF" w14:textId="78CDA421"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12</w:t>
            </w:r>
          </w:p>
        </w:tc>
      </w:tr>
      <w:tr w:rsidR="0093006A" w:rsidRPr="0093006A" w14:paraId="1B270F5C" w14:textId="77777777" w:rsidTr="0048465C">
        <w:trPr>
          <w:trHeight w:val="900"/>
        </w:trPr>
        <w:tc>
          <w:tcPr>
            <w:tcW w:w="562" w:type="dxa"/>
            <w:shd w:val="clear" w:color="auto" w:fill="auto"/>
            <w:hideMark/>
          </w:tcPr>
          <w:p w14:paraId="45A8167B" w14:textId="041E7DF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6</w:t>
            </w:r>
          </w:p>
        </w:tc>
        <w:tc>
          <w:tcPr>
            <w:tcW w:w="1003" w:type="dxa"/>
            <w:shd w:val="clear" w:color="auto" w:fill="auto"/>
            <w:hideMark/>
          </w:tcPr>
          <w:p w14:paraId="5C734E77" w14:textId="20D2A5C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18 Aug</w:t>
            </w:r>
          </w:p>
        </w:tc>
        <w:tc>
          <w:tcPr>
            <w:tcW w:w="1832" w:type="dxa"/>
            <w:shd w:val="clear" w:color="auto" w:fill="auto"/>
            <w:hideMark/>
          </w:tcPr>
          <w:p w14:paraId="4E9606A4" w14:textId="4C2E763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Toowoomba</w:t>
            </w:r>
          </w:p>
        </w:tc>
        <w:tc>
          <w:tcPr>
            <w:tcW w:w="1832" w:type="dxa"/>
            <w:shd w:val="clear" w:color="auto" w:fill="auto"/>
            <w:hideMark/>
          </w:tcPr>
          <w:p w14:paraId="6C89B27E" w14:textId="2D7B162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South Queensland </w:t>
            </w:r>
          </w:p>
        </w:tc>
        <w:tc>
          <w:tcPr>
            <w:tcW w:w="1591" w:type="dxa"/>
            <w:shd w:val="clear" w:color="auto" w:fill="auto"/>
            <w:hideMark/>
          </w:tcPr>
          <w:p w14:paraId="799181B5" w14:textId="660D595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5E29F95C" w14:textId="2928440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Hybrid</w:t>
            </w:r>
          </w:p>
        </w:tc>
        <w:tc>
          <w:tcPr>
            <w:tcW w:w="1658" w:type="dxa"/>
            <w:shd w:val="clear" w:color="auto" w:fill="auto"/>
            <w:hideMark/>
          </w:tcPr>
          <w:p w14:paraId="0B501AF6" w14:textId="08C6A4F3"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12</w:t>
            </w:r>
          </w:p>
        </w:tc>
      </w:tr>
      <w:tr w:rsidR="0093006A" w:rsidRPr="0093006A" w14:paraId="7C4456E8" w14:textId="77777777" w:rsidTr="0048465C">
        <w:trPr>
          <w:trHeight w:val="900"/>
        </w:trPr>
        <w:tc>
          <w:tcPr>
            <w:tcW w:w="562" w:type="dxa"/>
            <w:shd w:val="clear" w:color="auto" w:fill="auto"/>
            <w:hideMark/>
          </w:tcPr>
          <w:p w14:paraId="4484F48B" w14:textId="47B2C10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7</w:t>
            </w:r>
          </w:p>
        </w:tc>
        <w:tc>
          <w:tcPr>
            <w:tcW w:w="1003" w:type="dxa"/>
            <w:shd w:val="clear" w:color="auto" w:fill="auto"/>
            <w:hideMark/>
          </w:tcPr>
          <w:p w14:paraId="3BA65435" w14:textId="2FA4706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19 Aug</w:t>
            </w:r>
          </w:p>
        </w:tc>
        <w:tc>
          <w:tcPr>
            <w:tcW w:w="1832" w:type="dxa"/>
            <w:shd w:val="clear" w:color="auto" w:fill="auto"/>
            <w:hideMark/>
          </w:tcPr>
          <w:p w14:paraId="76F95BAE" w14:textId="5278FC1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Alice Springs</w:t>
            </w:r>
          </w:p>
        </w:tc>
        <w:tc>
          <w:tcPr>
            <w:tcW w:w="1832" w:type="dxa"/>
            <w:shd w:val="clear" w:color="auto" w:fill="auto"/>
            <w:hideMark/>
          </w:tcPr>
          <w:p w14:paraId="573F07AA" w14:textId="066C65B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Central Australia </w:t>
            </w:r>
          </w:p>
        </w:tc>
        <w:tc>
          <w:tcPr>
            <w:tcW w:w="1591" w:type="dxa"/>
            <w:shd w:val="clear" w:color="auto" w:fill="auto"/>
            <w:hideMark/>
          </w:tcPr>
          <w:p w14:paraId="2815DC80" w14:textId="0787B38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9B8E8DF" w14:textId="7BFF919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75CAB310" w14:textId="1681539B"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28</w:t>
            </w:r>
          </w:p>
        </w:tc>
      </w:tr>
      <w:tr w:rsidR="0093006A" w:rsidRPr="0093006A" w14:paraId="1EC6F604" w14:textId="77777777" w:rsidTr="0048465C">
        <w:trPr>
          <w:trHeight w:val="900"/>
        </w:trPr>
        <w:tc>
          <w:tcPr>
            <w:tcW w:w="562" w:type="dxa"/>
            <w:shd w:val="clear" w:color="auto" w:fill="auto"/>
            <w:hideMark/>
          </w:tcPr>
          <w:p w14:paraId="64C70A46" w14:textId="7A711D9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8</w:t>
            </w:r>
          </w:p>
        </w:tc>
        <w:tc>
          <w:tcPr>
            <w:tcW w:w="1003" w:type="dxa"/>
            <w:shd w:val="clear" w:color="auto" w:fill="auto"/>
            <w:hideMark/>
          </w:tcPr>
          <w:p w14:paraId="42E21358" w14:textId="608A656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19 Aug</w:t>
            </w:r>
          </w:p>
        </w:tc>
        <w:tc>
          <w:tcPr>
            <w:tcW w:w="1832" w:type="dxa"/>
            <w:shd w:val="clear" w:color="auto" w:fill="auto"/>
            <w:hideMark/>
          </w:tcPr>
          <w:p w14:paraId="760CF0BB" w14:textId="386212C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Victoria</w:t>
            </w:r>
          </w:p>
        </w:tc>
        <w:tc>
          <w:tcPr>
            <w:tcW w:w="1832" w:type="dxa"/>
            <w:shd w:val="clear" w:color="auto" w:fill="auto"/>
            <w:hideMark/>
          </w:tcPr>
          <w:p w14:paraId="697C2700" w14:textId="2577A37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Victoria-Tasmania</w:t>
            </w:r>
          </w:p>
        </w:tc>
        <w:tc>
          <w:tcPr>
            <w:tcW w:w="1591" w:type="dxa"/>
            <w:shd w:val="clear" w:color="auto" w:fill="auto"/>
            <w:hideMark/>
          </w:tcPr>
          <w:p w14:paraId="5AF10896" w14:textId="79C66B5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BE3374F" w14:textId="4C10A60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06CDC338" w14:textId="35BEF21A"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36</w:t>
            </w:r>
          </w:p>
        </w:tc>
      </w:tr>
      <w:tr w:rsidR="0093006A" w:rsidRPr="0093006A" w14:paraId="331C421C" w14:textId="77777777" w:rsidTr="0048465C">
        <w:trPr>
          <w:trHeight w:val="900"/>
        </w:trPr>
        <w:tc>
          <w:tcPr>
            <w:tcW w:w="562" w:type="dxa"/>
            <w:shd w:val="clear" w:color="auto" w:fill="auto"/>
            <w:hideMark/>
          </w:tcPr>
          <w:p w14:paraId="51D8B38B" w14:textId="795A9DD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9</w:t>
            </w:r>
          </w:p>
        </w:tc>
        <w:tc>
          <w:tcPr>
            <w:tcW w:w="1003" w:type="dxa"/>
            <w:shd w:val="clear" w:color="auto" w:fill="auto"/>
            <w:hideMark/>
          </w:tcPr>
          <w:p w14:paraId="016CCF44" w14:textId="24655AF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20 Aug</w:t>
            </w:r>
          </w:p>
        </w:tc>
        <w:tc>
          <w:tcPr>
            <w:tcW w:w="1832" w:type="dxa"/>
            <w:shd w:val="clear" w:color="auto" w:fill="auto"/>
            <w:hideMark/>
          </w:tcPr>
          <w:p w14:paraId="4658092B" w14:textId="5F6012F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Rockhampton</w:t>
            </w:r>
          </w:p>
        </w:tc>
        <w:tc>
          <w:tcPr>
            <w:tcW w:w="1832" w:type="dxa"/>
            <w:shd w:val="clear" w:color="auto" w:fill="auto"/>
            <w:hideMark/>
          </w:tcPr>
          <w:p w14:paraId="3A648992" w14:textId="03C582E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South Queensland </w:t>
            </w:r>
          </w:p>
        </w:tc>
        <w:tc>
          <w:tcPr>
            <w:tcW w:w="1591" w:type="dxa"/>
            <w:shd w:val="clear" w:color="auto" w:fill="auto"/>
            <w:hideMark/>
          </w:tcPr>
          <w:p w14:paraId="3DFE67E7" w14:textId="4B3A94B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3E4D5CB" w14:textId="21689D1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Hybrid</w:t>
            </w:r>
          </w:p>
        </w:tc>
        <w:tc>
          <w:tcPr>
            <w:tcW w:w="1658" w:type="dxa"/>
            <w:shd w:val="clear" w:color="auto" w:fill="auto"/>
            <w:hideMark/>
          </w:tcPr>
          <w:p w14:paraId="5CEAB485" w14:textId="455FE01D"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14</w:t>
            </w:r>
          </w:p>
        </w:tc>
      </w:tr>
      <w:tr w:rsidR="0093006A" w:rsidRPr="0093006A" w14:paraId="6C3F4C58" w14:textId="77777777" w:rsidTr="0048465C">
        <w:trPr>
          <w:trHeight w:val="900"/>
        </w:trPr>
        <w:tc>
          <w:tcPr>
            <w:tcW w:w="562" w:type="dxa"/>
            <w:shd w:val="clear" w:color="auto" w:fill="auto"/>
            <w:hideMark/>
          </w:tcPr>
          <w:p w14:paraId="5E21064F" w14:textId="0A25811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10</w:t>
            </w:r>
          </w:p>
        </w:tc>
        <w:tc>
          <w:tcPr>
            <w:tcW w:w="1003" w:type="dxa"/>
            <w:shd w:val="clear" w:color="auto" w:fill="auto"/>
            <w:hideMark/>
          </w:tcPr>
          <w:p w14:paraId="33FBF23F" w14:textId="5BD53C6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20 Aug</w:t>
            </w:r>
          </w:p>
        </w:tc>
        <w:tc>
          <w:tcPr>
            <w:tcW w:w="1832" w:type="dxa"/>
            <w:shd w:val="clear" w:color="auto" w:fill="auto"/>
            <w:hideMark/>
          </w:tcPr>
          <w:p w14:paraId="638923CA" w14:textId="1E7BCD8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Rockhampton</w:t>
            </w:r>
          </w:p>
        </w:tc>
        <w:tc>
          <w:tcPr>
            <w:tcW w:w="1832" w:type="dxa"/>
            <w:shd w:val="clear" w:color="auto" w:fill="auto"/>
            <w:hideMark/>
          </w:tcPr>
          <w:p w14:paraId="1F2EF279" w14:textId="0E87B8A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South Queensland </w:t>
            </w:r>
          </w:p>
        </w:tc>
        <w:tc>
          <w:tcPr>
            <w:tcW w:w="1591" w:type="dxa"/>
            <w:shd w:val="clear" w:color="auto" w:fill="auto"/>
            <w:hideMark/>
          </w:tcPr>
          <w:p w14:paraId="6718C99F" w14:textId="07C318D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3CFBC569" w14:textId="629C987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Hybrid</w:t>
            </w:r>
          </w:p>
        </w:tc>
        <w:tc>
          <w:tcPr>
            <w:tcW w:w="1658" w:type="dxa"/>
            <w:shd w:val="clear" w:color="auto" w:fill="auto"/>
            <w:hideMark/>
          </w:tcPr>
          <w:p w14:paraId="21D10F29" w14:textId="2C92EFF1"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11</w:t>
            </w:r>
          </w:p>
        </w:tc>
      </w:tr>
      <w:tr w:rsidR="0093006A" w:rsidRPr="0093006A" w14:paraId="5644BEB2" w14:textId="77777777" w:rsidTr="0048465C">
        <w:trPr>
          <w:trHeight w:val="900"/>
        </w:trPr>
        <w:tc>
          <w:tcPr>
            <w:tcW w:w="562" w:type="dxa"/>
            <w:shd w:val="clear" w:color="auto" w:fill="auto"/>
            <w:hideMark/>
          </w:tcPr>
          <w:p w14:paraId="5360AB80" w14:textId="1C0BC60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12</w:t>
            </w:r>
          </w:p>
        </w:tc>
        <w:tc>
          <w:tcPr>
            <w:tcW w:w="1003" w:type="dxa"/>
            <w:shd w:val="clear" w:color="auto" w:fill="auto"/>
            <w:hideMark/>
          </w:tcPr>
          <w:p w14:paraId="3EA03E1E" w14:textId="0AB9778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24 Aug</w:t>
            </w:r>
          </w:p>
        </w:tc>
        <w:tc>
          <w:tcPr>
            <w:tcW w:w="1832" w:type="dxa"/>
            <w:shd w:val="clear" w:color="auto" w:fill="auto"/>
            <w:hideMark/>
          </w:tcPr>
          <w:p w14:paraId="247BDEF7" w14:textId="082A4BB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Woorabinda</w:t>
            </w:r>
          </w:p>
        </w:tc>
        <w:tc>
          <w:tcPr>
            <w:tcW w:w="1832" w:type="dxa"/>
            <w:shd w:val="clear" w:color="auto" w:fill="auto"/>
            <w:hideMark/>
          </w:tcPr>
          <w:p w14:paraId="3F2569F2" w14:textId="59A823C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South Queensland </w:t>
            </w:r>
          </w:p>
        </w:tc>
        <w:tc>
          <w:tcPr>
            <w:tcW w:w="1591" w:type="dxa"/>
            <w:shd w:val="clear" w:color="auto" w:fill="auto"/>
            <w:hideMark/>
          </w:tcPr>
          <w:p w14:paraId="195E35F1" w14:textId="2271FAF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4E482DE6" w14:textId="09B49B0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Hybrid</w:t>
            </w:r>
          </w:p>
        </w:tc>
        <w:tc>
          <w:tcPr>
            <w:tcW w:w="1658" w:type="dxa"/>
            <w:shd w:val="clear" w:color="auto" w:fill="auto"/>
            <w:hideMark/>
          </w:tcPr>
          <w:p w14:paraId="4215B81B" w14:textId="70AB830D" w:rsidR="00695E0A" w:rsidRPr="0093006A" w:rsidRDefault="0027618B" w:rsidP="00695E0A">
            <w:pPr>
              <w:jc w:val="right"/>
              <w:rPr>
                <w:rFonts w:eastAsia="Times New Roman" w:cs="Arial"/>
                <w:color w:val="595959" w:themeColor="text1" w:themeTint="A6"/>
              </w:rPr>
            </w:pPr>
            <w:r w:rsidRPr="0093006A">
              <w:rPr>
                <w:rFonts w:eastAsia="Times New Roman" w:cs="Arial"/>
                <w:color w:val="595959" w:themeColor="text1" w:themeTint="A6"/>
              </w:rPr>
              <w:t>35</w:t>
            </w:r>
          </w:p>
        </w:tc>
      </w:tr>
      <w:tr w:rsidR="0093006A" w:rsidRPr="0093006A" w14:paraId="1060FB46" w14:textId="77777777" w:rsidTr="0048465C">
        <w:trPr>
          <w:trHeight w:val="900"/>
        </w:trPr>
        <w:tc>
          <w:tcPr>
            <w:tcW w:w="562" w:type="dxa"/>
            <w:shd w:val="clear" w:color="auto" w:fill="auto"/>
            <w:hideMark/>
          </w:tcPr>
          <w:p w14:paraId="2654992B" w14:textId="0190F3C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13</w:t>
            </w:r>
          </w:p>
        </w:tc>
        <w:tc>
          <w:tcPr>
            <w:tcW w:w="1003" w:type="dxa"/>
            <w:shd w:val="clear" w:color="auto" w:fill="auto"/>
            <w:hideMark/>
          </w:tcPr>
          <w:p w14:paraId="1684CCAF" w14:textId="30E3C33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24 Aug</w:t>
            </w:r>
          </w:p>
        </w:tc>
        <w:tc>
          <w:tcPr>
            <w:tcW w:w="1832" w:type="dxa"/>
            <w:shd w:val="clear" w:color="auto" w:fill="auto"/>
            <w:hideMark/>
          </w:tcPr>
          <w:p w14:paraId="7FAD02AD" w14:textId="2CC53D9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Perth</w:t>
            </w:r>
          </w:p>
        </w:tc>
        <w:tc>
          <w:tcPr>
            <w:tcW w:w="1832" w:type="dxa"/>
            <w:shd w:val="clear" w:color="auto" w:fill="auto"/>
            <w:hideMark/>
          </w:tcPr>
          <w:p w14:paraId="2B4CB464" w14:textId="25D7E38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Greater Western Australia </w:t>
            </w:r>
          </w:p>
        </w:tc>
        <w:tc>
          <w:tcPr>
            <w:tcW w:w="1591" w:type="dxa"/>
            <w:shd w:val="clear" w:color="auto" w:fill="auto"/>
            <w:hideMark/>
          </w:tcPr>
          <w:p w14:paraId="38B11873" w14:textId="664110F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Town Hall</w:t>
            </w:r>
          </w:p>
        </w:tc>
        <w:tc>
          <w:tcPr>
            <w:tcW w:w="1145" w:type="dxa"/>
            <w:shd w:val="clear" w:color="auto" w:fill="auto"/>
            <w:hideMark/>
          </w:tcPr>
          <w:p w14:paraId="7D03CF7C" w14:textId="6935B90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163BD4D7" w14:textId="2C09F8A5" w:rsidR="00695E0A" w:rsidRPr="0093006A" w:rsidRDefault="00695E0A" w:rsidP="00981521">
            <w:pPr>
              <w:ind w:left="420"/>
              <w:contextualSpacing/>
              <w:jc w:val="right"/>
              <w:rPr>
                <w:rFonts w:eastAsia="Times New Roman" w:cs="Arial"/>
                <w:color w:val="595959" w:themeColor="text1" w:themeTint="A6"/>
                <w:highlight w:val="yellow"/>
              </w:rPr>
            </w:pPr>
            <w:r w:rsidRPr="0093006A">
              <w:rPr>
                <w:rFonts w:eastAsia="Times New Roman" w:cs="Arial"/>
                <w:color w:val="595959" w:themeColor="text1" w:themeTint="A6"/>
              </w:rPr>
              <w:t>23</w:t>
            </w:r>
          </w:p>
        </w:tc>
      </w:tr>
      <w:tr w:rsidR="0093006A" w:rsidRPr="0093006A" w14:paraId="7BFC343D" w14:textId="77777777" w:rsidTr="0048465C">
        <w:trPr>
          <w:trHeight w:val="900"/>
        </w:trPr>
        <w:tc>
          <w:tcPr>
            <w:tcW w:w="562" w:type="dxa"/>
            <w:shd w:val="clear" w:color="auto" w:fill="auto"/>
            <w:hideMark/>
          </w:tcPr>
          <w:p w14:paraId="739464A0" w14:textId="66D8302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14</w:t>
            </w:r>
          </w:p>
        </w:tc>
        <w:tc>
          <w:tcPr>
            <w:tcW w:w="1003" w:type="dxa"/>
            <w:shd w:val="clear" w:color="auto" w:fill="auto"/>
            <w:hideMark/>
          </w:tcPr>
          <w:p w14:paraId="1EE530CF" w14:textId="0EBCE0A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24 Aug</w:t>
            </w:r>
          </w:p>
        </w:tc>
        <w:tc>
          <w:tcPr>
            <w:tcW w:w="1832" w:type="dxa"/>
            <w:shd w:val="clear" w:color="auto" w:fill="auto"/>
            <w:hideMark/>
          </w:tcPr>
          <w:p w14:paraId="598E3137" w14:textId="7F022F6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Darwin</w:t>
            </w:r>
          </w:p>
        </w:tc>
        <w:tc>
          <w:tcPr>
            <w:tcW w:w="1832" w:type="dxa"/>
            <w:shd w:val="clear" w:color="auto" w:fill="auto"/>
            <w:hideMark/>
          </w:tcPr>
          <w:p w14:paraId="3F02F7C7" w14:textId="11E1044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Top End and Tiwi Islands</w:t>
            </w:r>
          </w:p>
        </w:tc>
        <w:tc>
          <w:tcPr>
            <w:tcW w:w="1591" w:type="dxa"/>
            <w:shd w:val="clear" w:color="auto" w:fill="auto"/>
            <w:hideMark/>
          </w:tcPr>
          <w:p w14:paraId="6FE85D3D" w14:textId="006E798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404DE618" w14:textId="2939FAE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07810728" w14:textId="305C34BC"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6</w:t>
            </w:r>
          </w:p>
        </w:tc>
      </w:tr>
      <w:tr w:rsidR="0093006A" w:rsidRPr="0093006A" w14:paraId="07788C7F" w14:textId="77777777" w:rsidTr="0048465C">
        <w:trPr>
          <w:trHeight w:val="900"/>
        </w:trPr>
        <w:tc>
          <w:tcPr>
            <w:tcW w:w="562" w:type="dxa"/>
            <w:shd w:val="clear" w:color="auto" w:fill="auto"/>
            <w:hideMark/>
          </w:tcPr>
          <w:p w14:paraId="156CF688" w14:textId="028A368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15</w:t>
            </w:r>
          </w:p>
        </w:tc>
        <w:tc>
          <w:tcPr>
            <w:tcW w:w="1003" w:type="dxa"/>
            <w:shd w:val="clear" w:color="auto" w:fill="auto"/>
            <w:hideMark/>
          </w:tcPr>
          <w:p w14:paraId="103A8851" w14:textId="0B5A605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24 Aug</w:t>
            </w:r>
          </w:p>
        </w:tc>
        <w:tc>
          <w:tcPr>
            <w:tcW w:w="1832" w:type="dxa"/>
            <w:shd w:val="clear" w:color="auto" w:fill="auto"/>
            <w:hideMark/>
          </w:tcPr>
          <w:p w14:paraId="308C34CA" w14:textId="252DA84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Darwin</w:t>
            </w:r>
          </w:p>
        </w:tc>
        <w:tc>
          <w:tcPr>
            <w:tcW w:w="1832" w:type="dxa"/>
            <w:shd w:val="clear" w:color="auto" w:fill="auto"/>
            <w:hideMark/>
          </w:tcPr>
          <w:p w14:paraId="0DD1E70D" w14:textId="639E1DC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Top End and Tiwi Islands</w:t>
            </w:r>
          </w:p>
        </w:tc>
        <w:tc>
          <w:tcPr>
            <w:tcW w:w="1591" w:type="dxa"/>
            <w:shd w:val="clear" w:color="auto" w:fill="auto"/>
            <w:hideMark/>
          </w:tcPr>
          <w:p w14:paraId="4899A401" w14:textId="43EA26E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4935A2BD" w14:textId="08E2B9B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29B1077A" w14:textId="7CFB86DB"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10</w:t>
            </w:r>
          </w:p>
        </w:tc>
      </w:tr>
      <w:tr w:rsidR="0093006A" w:rsidRPr="0093006A" w14:paraId="1F13E35C" w14:textId="77777777" w:rsidTr="0048465C">
        <w:trPr>
          <w:trHeight w:val="900"/>
        </w:trPr>
        <w:tc>
          <w:tcPr>
            <w:tcW w:w="562" w:type="dxa"/>
            <w:shd w:val="clear" w:color="auto" w:fill="auto"/>
            <w:hideMark/>
          </w:tcPr>
          <w:p w14:paraId="36B287F4" w14:textId="37ECF36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16</w:t>
            </w:r>
          </w:p>
        </w:tc>
        <w:tc>
          <w:tcPr>
            <w:tcW w:w="1003" w:type="dxa"/>
            <w:shd w:val="clear" w:color="auto" w:fill="auto"/>
            <w:hideMark/>
          </w:tcPr>
          <w:p w14:paraId="7A166EBC" w14:textId="1843897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25 Aug</w:t>
            </w:r>
          </w:p>
        </w:tc>
        <w:tc>
          <w:tcPr>
            <w:tcW w:w="1832" w:type="dxa"/>
            <w:shd w:val="clear" w:color="auto" w:fill="auto"/>
            <w:hideMark/>
          </w:tcPr>
          <w:p w14:paraId="49A30CFF" w14:textId="71FD978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Pilbara WA</w:t>
            </w:r>
          </w:p>
        </w:tc>
        <w:tc>
          <w:tcPr>
            <w:tcW w:w="1832" w:type="dxa"/>
            <w:shd w:val="clear" w:color="auto" w:fill="auto"/>
            <w:hideMark/>
          </w:tcPr>
          <w:p w14:paraId="0F365F4B" w14:textId="28AA4B0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Greater Western Australia </w:t>
            </w:r>
          </w:p>
        </w:tc>
        <w:tc>
          <w:tcPr>
            <w:tcW w:w="1591" w:type="dxa"/>
            <w:shd w:val="clear" w:color="auto" w:fill="auto"/>
            <w:hideMark/>
          </w:tcPr>
          <w:p w14:paraId="33F26CC1" w14:textId="280D9F5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7642FDE7" w14:textId="2DA79FB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0313864D" w14:textId="12A7A6D2"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8</w:t>
            </w:r>
          </w:p>
        </w:tc>
      </w:tr>
      <w:tr w:rsidR="0093006A" w:rsidRPr="0093006A" w14:paraId="62E75D00" w14:textId="77777777" w:rsidTr="0048465C">
        <w:trPr>
          <w:trHeight w:val="900"/>
        </w:trPr>
        <w:tc>
          <w:tcPr>
            <w:tcW w:w="562" w:type="dxa"/>
            <w:shd w:val="clear" w:color="auto" w:fill="auto"/>
            <w:hideMark/>
          </w:tcPr>
          <w:p w14:paraId="5905FA6B" w14:textId="4DE9046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17</w:t>
            </w:r>
          </w:p>
        </w:tc>
        <w:tc>
          <w:tcPr>
            <w:tcW w:w="1003" w:type="dxa"/>
            <w:shd w:val="clear" w:color="auto" w:fill="auto"/>
            <w:hideMark/>
          </w:tcPr>
          <w:p w14:paraId="5564BBFA" w14:textId="7F5B4A4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25 Aug</w:t>
            </w:r>
          </w:p>
        </w:tc>
        <w:tc>
          <w:tcPr>
            <w:tcW w:w="1832" w:type="dxa"/>
            <w:shd w:val="clear" w:color="auto" w:fill="auto"/>
            <w:hideMark/>
          </w:tcPr>
          <w:p w14:paraId="148C4F3F" w14:textId="6C3D2B4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Goldfields WA</w:t>
            </w:r>
          </w:p>
        </w:tc>
        <w:tc>
          <w:tcPr>
            <w:tcW w:w="1832" w:type="dxa"/>
            <w:shd w:val="clear" w:color="auto" w:fill="auto"/>
            <w:hideMark/>
          </w:tcPr>
          <w:p w14:paraId="65C8ED2A" w14:textId="01B155E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Greater Western Australia </w:t>
            </w:r>
          </w:p>
        </w:tc>
        <w:tc>
          <w:tcPr>
            <w:tcW w:w="1591" w:type="dxa"/>
            <w:shd w:val="clear" w:color="auto" w:fill="auto"/>
            <w:hideMark/>
          </w:tcPr>
          <w:p w14:paraId="683F56D2" w14:textId="0B3A1B9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0F2AC13" w14:textId="4F408BE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58C0436C" w14:textId="7A4401E9"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3</w:t>
            </w:r>
          </w:p>
        </w:tc>
      </w:tr>
      <w:tr w:rsidR="0093006A" w:rsidRPr="0093006A" w14:paraId="27586AAA" w14:textId="77777777" w:rsidTr="0048465C">
        <w:trPr>
          <w:trHeight w:val="900"/>
        </w:trPr>
        <w:tc>
          <w:tcPr>
            <w:tcW w:w="562" w:type="dxa"/>
            <w:shd w:val="clear" w:color="auto" w:fill="auto"/>
            <w:hideMark/>
          </w:tcPr>
          <w:p w14:paraId="60E7AFE0" w14:textId="3DD839B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18</w:t>
            </w:r>
          </w:p>
        </w:tc>
        <w:tc>
          <w:tcPr>
            <w:tcW w:w="1003" w:type="dxa"/>
            <w:shd w:val="clear" w:color="auto" w:fill="auto"/>
            <w:hideMark/>
          </w:tcPr>
          <w:p w14:paraId="33530D47" w14:textId="2B2BDBF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25 Aug</w:t>
            </w:r>
          </w:p>
        </w:tc>
        <w:tc>
          <w:tcPr>
            <w:tcW w:w="1832" w:type="dxa"/>
            <w:shd w:val="clear" w:color="auto" w:fill="auto"/>
            <w:hideMark/>
          </w:tcPr>
          <w:p w14:paraId="14311BA9" w14:textId="4CA206B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Darwin</w:t>
            </w:r>
          </w:p>
        </w:tc>
        <w:tc>
          <w:tcPr>
            <w:tcW w:w="1832" w:type="dxa"/>
            <w:shd w:val="clear" w:color="auto" w:fill="auto"/>
            <w:hideMark/>
          </w:tcPr>
          <w:p w14:paraId="3AFEE515" w14:textId="7EE97E7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Top End and Tiwi Islands</w:t>
            </w:r>
          </w:p>
        </w:tc>
        <w:tc>
          <w:tcPr>
            <w:tcW w:w="1591" w:type="dxa"/>
            <w:shd w:val="clear" w:color="auto" w:fill="auto"/>
            <w:hideMark/>
          </w:tcPr>
          <w:p w14:paraId="5FA7236E" w14:textId="5EA5741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2A0713C5" w14:textId="0C63A70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w:t>
            </w:r>
            <w:r w:rsidR="0027618B" w:rsidRPr="0093006A">
              <w:rPr>
                <w:rFonts w:eastAsia="Times New Roman" w:cs="Arial"/>
                <w:color w:val="595959" w:themeColor="text1" w:themeTint="A6"/>
              </w:rPr>
              <w:t>In-person</w:t>
            </w:r>
          </w:p>
        </w:tc>
        <w:tc>
          <w:tcPr>
            <w:tcW w:w="1658" w:type="dxa"/>
            <w:shd w:val="clear" w:color="auto" w:fill="auto"/>
            <w:hideMark/>
          </w:tcPr>
          <w:p w14:paraId="6C8E3A1D" w14:textId="660C212B"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8</w:t>
            </w:r>
          </w:p>
        </w:tc>
      </w:tr>
      <w:tr w:rsidR="0093006A" w:rsidRPr="0093006A" w14:paraId="432CD156" w14:textId="77777777" w:rsidTr="0048465C">
        <w:trPr>
          <w:trHeight w:val="900"/>
        </w:trPr>
        <w:tc>
          <w:tcPr>
            <w:tcW w:w="562" w:type="dxa"/>
            <w:shd w:val="clear" w:color="auto" w:fill="auto"/>
            <w:hideMark/>
          </w:tcPr>
          <w:p w14:paraId="0600C69D" w14:textId="02CED7A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19</w:t>
            </w:r>
          </w:p>
        </w:tc>
        <w:tc>
          <w:tcPr>
            <w:tcW w:w="1003" w:type="dxa"/>
            <w:shd w:val="clear" w:color="auto" w:fill="auto"/>
            <w:hideMark/>
          </w:tcPr>
          <w:p w14:paraId="66D03A1E" w14:textId="5432DAC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25 Aug</w:t>
            </w:r>
          </w:p>
        </w:tc>
        <w:tc>
          <w:tcPr>
            <w:tcW w:w="1832" w:type="dxa"/>
            <w:shd w:val="clear" w:color="auto" w:fill="auto"/>
            <w:hideMark/>
          </w:tcPr>
          <w:p w14:paraId="5D527CDE" w14:textId="3E01253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Darwin</w:t>
            </w:r>
          </w:p>
        </w:tc>
        <w:tc>
          <w:tcPr>
            <w:tcW w:w="1832" w:type="dxa"/>
            <w:shd w:val="clear" w:color="auto" w:fill="auto"/>
            <w:hideMark/>
          </w:tcPr>
          <w:p w14:paraId="408D4709" w14:textId="4CFC8D8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Top End and Tiwi Islands</w:t>
            </w:r>
          </w:p>
        </w:tc>
        <w:tc>
          <w:tcPr>
            <w:tcW w:w="1591" w:type="dxa"/>
            <w:shd w:val="clear" w:color="auto" w:fill="auto"/>
            <w:hideMark/>
          </w:tcPr>
          <w:p w14:paraId="06EAFDD0" w14:textId="0FCDA3B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0017CA5E" w14:textId="5F0EAE7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2BBB154C" w14:textId="51482F9F"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6</w:t>
            </w:r>
          </w:p>
        </w:tc>
      </w:tr>
      <w:tr w:rsidR="0093006A" w:rsidRPr="0093006A" w14:paraId="01928C23" w14:textId="77777777" w:rsidTr="0048465C">
        <w:trPr>
          <w:trHeight w:val="900"/>
        </w:trPr>
        <w:tc>
          <w:tcPr>
            <w:tcW w:w="562" w:type="dxa"/>
            <w:shd w:val="clear" w:color="auto" w:fill="auto"/>
            <w:hideMark/>
          </w:tcPr>
          <w:p w14:paraId="2967B7B8" w14:textId="0EFC7EB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20</w:t>
            </w:r>
          </w:p>
        </w:tc>
        <w:tc>
          <w:tcPr>
            <w:tcW w:w="1003" w:type="dxa"/>
            <w:shd w:val="clear" w:color="auto" w:fill="auto"/>
            <w:hideMark/>
          </w:tcPr>
          <w:p w14:paraId="0AFFE1C4" w14:textId="0795A48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26 Aug</w:t>
            </w:r>
          </w:p>
        </w:tc>
        <w:tc>
          <w:tcPr>
            <w:tcW w:w="1832" w:type="dxa"/>
            <w:shd w:val="clear" w:color="auto" w:fill="auto"/>
            <w:hideMark/>
          </w:tcPr>
          <w:p w14:paraId="1584E077" w14:textId="12D64A9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Midwest WA</w:t>
            </w:r>
          </w:p>
        </w:tc>
        <w:tc>
          <w:tcPr>
            <w:tcW w:w="1832" w:type="dxa"/>
            <w:shd w:val="clear" w:color="auto" w:fill="auto"/>
            <w:hideMark/>
          </w:tcPr>
          <w:p w14:paraId="25A3FAEA" w14:textId="41F7E0B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Greater Western Australia </w:t>
            </w:r>
          </w:p>
        </w:tc>
        <w:tc>
          <w:tcPr>
            <w:tcW w:w="1591" w:type="dxa"/>
            <w:shd w:val="clear" w:color="auto" w:fill="auto"/>
            <w:hideMark/>
          </w:tcPr>
          <w:p w14:paraId="1EDDBA00" w14:textId="5D73A05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3B35676B" w14:textId="37DC2D9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0ACD5069" w14:textId="14CD9B80"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7</w:t>
            </w:r>
          </w:p>
        </w:tc>
      </w:tr>
      <w:tr w:rsidR="0093006A" w:rsidRPr="0093006A" w14:paraId="1EE12E9F" w14:textId="77777777" w:rsidTr="0048465C">
        <w:trPr>
          <w:trHeight w:val="900"/>
        </w:trPr>
        <w:tc>
          <w:tcPr>
            <w:tcW w:w="562" w:type="dxa"/>
            <w:shd w:val="clear" w:color="auto" w:fill="auto"/>
            <w:hideMark/>
          </w:tcPr>
          <w:p w14:paraId="6E16D2D5" w14:textId="7A3DF3A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21</w:t>
            </w:r>
          </w:p>
        </w:tc>
        <w:tc>
          <w:tcPr>
            <w:tcW w:w="1003" w:type="dxa"/>
            <w:shd w:val="clear" w:color="auto" w:fill="auto"/>
            <w:hideMark/>
          </w:tcPr>
          <w:p w14:paraId="7CA33774" w14:textId="35B8760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26 Aug</w:t>
            </w:r>
          </w:p>
        </w:tc>
        <w:tc>
          <w:tcPr>
            <w:tcW w:w="1832" w:type="dxa"/>
            <w:shd w:val="clear" w:color="auto" w:fill="auto"/>
            <w:hideMark/>
          </w:tcPr>
          <w:p w14:paraId="14FCE655"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Southwest/</w:t>
            </w:r>
          </w:p>
          <w:p w14:paraId="1C934F1C" w14:textId="0093CA6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Great Southern WA </w:t>
            </w:r>
          </w:p>
        </w:tc>
        <w:tc>
          <w:tcPr>
            <w:tcW w:w="1832" w:type="dxa"/>
            <w:shd w:val="clear" w:color="auto" w:fill="auto"/>
            <w:hideMark/>
          </w:tcPr>
          <w:p w14:paraId="5A4EA349" w14:textId="40C964B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Greater Western Australia </w:t>
            </w:r>
          </w:p>
        </w:tc>
        <w:tc>
          <w:tcPr>
            <w:tcW w:w="1591" w:type="dxa"/>
            <w:shd w:val="clear" w:color="auto" w:fill="auto"/>
            <w:hideMark/>
          </w:tcPr>
          <w:p w14:paraId="15DB179D" w14:textId="0929349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1125B1B0" w14:textId="0CD2888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6E1E63A2" w14:textId="03CD55F4"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10</w:t>
            </w:r>
          </w:p>
        </w:tc>
      </w:tr>
      <w:tr w:rsidR="0093006A" w:rsidRPr="0093006A" w14:paraId="1CCBFC1E" w14:textId="77777777" w:rsidTr="0048465C">
        <w:trPr>
          <w:trHeight w:val="900"/>
        </w:trPr>
        <w:tc>
          <w:tcPr>
            <w:tcW w:w="562" w:type="dxa"/>
            <w:shd w:val="clear" w:color="auto" w:fill="auto"/>
            <w:hideMark/>
          </w:tcPr>
          <w:p w14:paraId="3FC64B79" w14:textId="0399D79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22</w:t>
            </w:r>
          </w:p>
        </w:tc>
        <w:tc>
          <w:tcPr>
            <w:tcW w:w="1003" w:type="dxa"/>
            <w:shd w:val="clear" w:color="auto" w:fill="auto"/>
            <w:hideMark/>
          </w:tcPr>
          <w:p w14:paraId="354A4643" w14:textId="3FF024E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26 Aug</w:t>
            </w:r>
          </w:p>
        </w:tc>
        <w:tc>
          <w:tcPr>
            <w:tcW w:w="1832" w:type="dxa"/>
            <w:shd w:val="clear" w:color="auto" w:fill="auto"/>
            <w:hideMark/>
          </w:tcPr>
          <w:p w14:paraId="3CCE9C51" w14:textId="60E5B6E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Darwin</w:t>
            </w:r>
          </w:p>
        </w:tc>
        <w:tc>
          <w:tcPr>
            <w:tcW w:w="1832" w:type="dxa"/>
            <w:shd w:val="clear" w:color="auto" w:fill="auto"/>
            <w:hideMark/>
          </w:tcPr>
          <w:p w14:paraId="5D4FB0C2" w14:textId="67A700A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Top End and Tiwi Islands</w:t>
            </w:r>
          </w:p>
        </w:tc>
        <w:tc>
          <w:tcPr>
            <w:tcW w:w="1591" w:type="dxa"/>
            <w:shd w:val="clear" w:color="auto" w:fill="auto"/>
            <w:hideMark/>
          </w:tcPr>
          <w:p w14:paraId="553CDA71" w14:textId="0CD1EC9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1A950455" w14:textId="6C6E9E2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61D3FE34" w14:textId="6AB6C9BC"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7</w:t>
            </w:r>
          </w:p>
        </w:tc>
      </w:tr>
      <w:tr w:rsidR="0093006A" w:rsidRPr="0093006A" w14:paraId="5E1D2738" w14:textId="77777777" w:rsidTr="0048465C">
        <w:trPr>
          <w:trHeight w:val="900"/>
        </w:trPr>
        <w:tc>
          <w:tcPr>
            <w:tcW w:w="562" w:type="dxa"/>
            <w:shd w:val="clear" w:color="auto" w:fill="auto"/>
            <w:hideMark/>
          </w:tcPr>
          <w:p w14:paraId="5893BB9A" w14:textId="0D80CE7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23</w:t>
            </w:r>
          </w:p>
        </w:tc>
        <w:tc>
          <w:tcPr>
            <w:tcW w:w="1003" w:type="dxa"/>
            <w:shd w:val="clear" w:color="auto" w:fill="auto"/>
            <w:hideMark/>
          </w:tcPr>
          <w:p w14:paraId="3690DF55" w14:textId="217E994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27 Aug</w:t>
            </w:r>
          </w:p>
        </w:tc>
        <w:tc>
          <w:tcPr>
            <w:tcW w:w="1832" w:type="dxa"/>
            <w:shd w:val="clear" w:color="auto" w:fill="auto"/>
            <w:hideMark/>
          </w:tcPr>
          <w:p w14:paraId="6ED4984B" w14:textId="10CA388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Darwin</w:t>
            </w:r>
          </w:p>
        </w:tc>
        <w:tc>
          <w:tcPr>
            <w:tcW w:w="1832" w:type="dxa"/>
            <w:shd w:val="clear" w:color="auto" w:fill="auto"/>
            <w:hideMark/>
          </w:tcPr>
          <w:p w14:paraId="6CE35BF8" w14:textId="38E6FAF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Top End and Tiwi Islands</w:t>
            </w:r>
          </w:p>
        </w:tc>
        <w:tc>
          <w:tcPr>
            <w:tcW w:w="1591" w:type="dxa"/>
            <w:shd w:val="clear" w:color="auto" w:fill="auto"/>
            <w:hideMark/>
          </w:tcPr>
          <w:p w14:paraId="694C3A7E" w14:textId="1037B05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Town Hall</w:t>
            </w:r>
          </w:p>
        </w:tc>
        <w:tc>
          <w:tcPr>
            <w:tcW w:w="1145" w:type="dxa"/>
            <w:shd w:val="clear" w:color="auto" w:fill="auto"/>
            <w:hideMark/>
          </w:tcPr>
          <w:p w14:paraId="2C6CE84A" w14:textId="43752A8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691823AA" w14:textId="00ECB7D0"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5</w:t>
            </w:r>
          </w:p>
        </w:tc>
      </w:tr>
      <w:tr w:rsidR="0093006A" w:rsidRPr="0093006A" w14:paraId="31C739A2" w14:textId="77777777" w:rsidTr="0048465C">
        <w:trPr>
          <w:trHeight w:val="900"/>
        </w:trPr>
        <w:tc>
          <w:tcPr>
            <w:tcW w:w="562" w:type="dxa"/>
            <w:shd w:val="clear" w:color="auto" w:fill="auto"/>
            <w:hideMark/>
          </w:tcPr>
          <w:p w14:paraId="1F766FDB" w14:textId="21196B0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24</w:t>
            </w:r>
          </w:p>
        </w:tc>
        <w:tc>
          <w:tcPr>
            <w:tcW w:w="1003" w:type="dxa"/>
            <w:shd w:val="clear" w:color="auto" w:fill="auto"/>
            <w:hideMark/>
          </w:tcPr>
          <w:p w14:paraId="1DADD63D" w14:textId="672C5AF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27 Aug</w:t>
            </w:r>
          </w:p>
        </w:tc>
        <w:tc>
          <w:tcPr>
            <w:tcW w:w="1832" w:type="dxa"/>
            <w:shd w:val="clear" w:color="auto" w:fill="auto"/>
            <w:hideMark/>
          </w:tcPr>
          <w:p w14:paraId="3100A60C" w14:textId="2BAB001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Greater Western Australia</w:t>
            </w:r>
          </w:p>
        </w:tc>
        <w:tc>
          <w:tcPr>
            <w:tcW w:w="1832" w:type="dxa"/>
            <w:shd w:val="clear" w:color="auto" w:fill="auto"/>
            <w:hideMark/>
          </w:tcPr>
          <w:p w14:paraId="00EEE392" w14:textId="5A2EB39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Greater Western Australia </w:t>
            </w:r>
          </w:p>
        </w:tc>
        <w:tc>
          <w:tcPr>
            <w:tcW w:w="1591" w:type="dxa"/>
            <w:shd w:val="clear" w:color="auto" w:fill="auto"/>
            <w:hideMark/>
          </w:tcPr>
          <w:p w14:paraId="679CF6E8" w14:textId="4CAB934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0BB91C32" w14:textId="6D3DB6D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577B570C" w14:textId="739C9B8A"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6</w:t>
            </w:r>
          </w:p>
        </w:tc>
      </w:tr>
      <w:tr w:rsidR="0093006A" w:rsidRPr="0093006A" w14:paraId="167223EC" w14:textId="77777777" w:rsidTr="0048465C">
        <w:trPr>
          <w:trHeight w:val="900"/>
        </w:trPr>
        <w:tc>
          <w:tcPr>
            <w:tcW w:w="562" w:type="dxa"/>
            <w:shd w:val="clear" w:color="auto" w:fill="auto"/>
            <w:hideMark/>
          </w:tcPr>
          <w:p w14:paraId="42FAC043" w14:textId="6880684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25</w:t>
            </w:r>
          </w:p>
        </w:tc>
        <w:tc>
          <w:tcPr>
            <w:tcW w:w="1003" w:type="dxa"/>
            <w:shd w:val="clear" w:color="auto" w:fill="auto"/>
            <w:hideMark/>
          </w:tcPr>
          <w:p w14:paraId="28AE9DF6" w14:textId="212CA16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31 Aug</w:t>
            </w:r>
          </w:p>
        </w:tc>
        <w:tc>
          <w:tcPr>
            <w:tcW w:w="1832" w:type="dxa"/>
            <w:shd w:val="clear" w:color="auto" w:fill="auto"/>
            <w:hideMark/>
          </w:tcPr>
          <w:p w14:paraId="4DEEB51E" w14:textId="4838450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Bendigo VIC</w:t>
            </w:r>
          </w:p>
        </w:tc>
        <w:tc>
          <w:tcPr>
            <w:tcW w:w="1832" w:type="dxa"/>
            <w:shd w:val="clear" w:color="auto" w:fill="auto"/>
            <w:hideMark/>
          </w:tcPr>
          <w:p w14:paraId="59A71611" w14:textId="31BC22B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Victoria-Tasmania</w:t>
            </w:r>
          </w:p>
        </w:tc>
        <w:tc>
          <w:tcPr>
            <w:tcW w:w="1591" w:type="dxa"/>
            <w:shd w:val="clear" w:color="auto" w:fill="auto"/>
            <w:hideMark/>
          </w:tcPr>
          <w:p w14:paraId="7A065FAA" w14:textId="198D6B4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19106A0" w14:textId="615A3D1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13B80A5C" w14:textId="5DE78110"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18</w:t>
            </w:r>
          </w:p>
        </w:tc>
      </w:tr>
      <w:tr w:rsidR="0093006A" w:rsidRPr="0093006A" w14:paraId="3C6ED16B" w14:textId="77777777" w:rsidTr="0048465C">
        <w:trPr>
          <w:trHeight w:val="900"/>
        </w:trPr>
        <w:tc>
          <w:tcPr>
            <w:tcW w:w="562" w:type="dxa"/>
            <w:shd w:val="clear" w:color="auto" w:fill="auto"/>
            <w:hideMark/>
          </w:tcPr>
          <w:p w14:paraId="33D8C690" w14:textId="36269A7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26</w:t>
            </w:r>
          </w:p>
        </w:tc>
        <w:tc>
          <w:tcPr>
            <w:tcW w:w="1003" w:type="dxa"/>
            <w:shd w:val="clear" w:color="auto" w:fill="auto"/>
            <w:hideMark/>
          </w:tcPr>
          <w:p w14:paraId="1E465423" w14:textId="0200B2A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 Sep</w:t>
            </w:r>
          </w:p>
        </w:tc>
        <w:tc>
          <w:tcPr>
            <w:tcW w:w="1832" w:type="dxa"/>
            <w:shd w:val="clear" w:color="auto" w:fill="auto"/>
            <w:hideMark/>
          </w:tcPr>
          <w:p w14:paraId="0B1683AE" w14:textId="6FD382D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Nhulunbuy NT </w:t>
            </w:r>
          </w:p>
        </w:tc>
        <w:tc>
          <w:tcPr>
            <w:tcW w:w="1832" w:type="dxa"/>
            <w:shd w:val="clear" w:color="auto" w:fill="auto"/>
            <w:hideMark/>
          </w:tcPr>
          <w:p w14:paraId="79C67031" w14:textId="4AFDD71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Arnhem Land and Groote Eylandt </w:t>
            </w:r>
          </w:p>
        </w:tc>
        <w:tc>
          <w:tcPr>
            <w:tcW w:w="1591" w:type="dxa"/>
            <w:shd w:val="clear" w:color="auto" w:fill="auto"/>
            <w:hideMark/>
          </w:tcPr>
          <w:p w14:paraId="4CCAFAAA" w14:textId="7EEA27A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Town Hall</w:t>
            </w:r>
          </w:p>
        </w:tc>
        <w:tc>
          <w:tcPr>
            <w:tcW w:w="1145" w:type="dxa"/>
            <w:shd w:val="clear" w:color="auto" w:fill="auto"/>
            <w:hideMark/>
          </w:tcPr>
          <w:p w14:paraId="21FF3722" w14:textId="7801184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56F2D1FE" w14:textId="5D0D1C28"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13</w:t>
            </w:r>
          </w:p>
        </w:tc>
      </w:tr>
      <w:tr w:rsidR="0093006A" w:rsidRPr="0093006A" w14:paraId="7F446AAD" w14:textId="77777777" w:rsidTr="0048465C">
        <w:trPr>
          <w:trHeight w:val="900"/>
        </w:trPr>
        <w:tc>
          <w:tcPr>
            <w:tcW w:w="562" w:type="dxa"/>
            <w:shd w:val="clear" w:color="auto" w:fill="auto"/>
            <w:hideMark/>
          </w:tcPr>
          <w:p w14:paraId="0264CF0A" w14:textId="52C7BCB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27</w:t>
            </w:r>
          </w:p>
        </w:tc>
        <w:tc>
          <w:tcPr>
            <w:tcW w:w="1003" w:type="dxa"/>
            <w:shd w:val="clear" w:color="auto" w:fill="auto"/>
            <w:hideMark/>
          </w:tcPr>
          <w:p w14:paraId="70676BF3" w14:textId="539F8CB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 Sep</w:t>
            </w:r>
          </w:p>
        </w:tc>
        <w:tc>
          <w:tcPr>
            <w:tcW w:w="1832" w:type="dxa"/>
            <w:shd w:val="clear" w:color="auto" w:fill="auto"/>
            <w:hideMark/>
          </w:tcPr>
          <w:p w14:paraId="4AA547C2" w14:textId="2AE58F2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Nhulunbuy NT</w:t>
            </w:r>
          </w:p>
        </w:tc>
        <w:tc>
          <w:tcPr>
            <w:tcW w:w="1832" w:type="dxa"/>
            <w:shd w:val="clear" w:color="auto" w:fill="auto"/>
            <w:hideMark/>
          </w:tcPr>
          <w:p w14:paraId="41BEBF68" w14:textId="0731AEE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Arnhem Land and Groote Eylandt </w:t>
            </w:r>
          </w:p>
        </w:tc>
        <w:tc>
          <w:tcPr>
            <w:tcW w:w="1591" w:type="dxa"/>
            <w:shd w:val="clear" w:color="auto" w:fill="auto"/>
            <w:hideMark/>
          </w:tcPr>
          <w:p w14:paraId="4DC1E221" w14:textId="075108F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220CF4AA" w14:textId="4AD0A6A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6612EE14" w14:textId="4196D2E6"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14</w:t>
            </w:r>
          </w:p>
        </w:tc>
      </w:tr>
      <w:tr w:rsidR="0093006A" w:rsidRPr="0093006A" w14:paraId="243C70B9" w14:textId="77777777" w:rsidTr="0048465C">
        <w:trPr>
          <w:trHeight w:val="900"/>
        </w:trPr>
        <w:tc>
          <w:tcPr>
            <w:tcW w:w="562" w:type="dxa"/>
            <w:shd w:val="clear" w:color="auto" w:fill="auto"/>
            <w:hideMark/>
          </w:tcPr>
          <w:p w14:paraId="7EBD60E3" w14:textId="239F110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28</w:t>
            </w:r>
          </w:p>
        </w:tc>
        <w:tc>
          <w:tcPr>
            <w:tcW w:w="1003" w:type="dxa"/>
            <w:shd w:val="clear" w:color="auto" w:fill="auto"/>
            <w:hideMark/>
          </w:tcPr>
          <w:p w14:paraId="423ACFFD" w14:textId="285C5C6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 Sep</w:t>
            </w:r>
          </w:p>
        </w:tc>
        <w:tc>
          <w:tcPr>
            <w:tcW w:w="1832" w:type="dxa"/>
            <w:shd w:val="clear" w:color="auto" w:fill="auto"/>
            <w:hideMark/>
          </w:tcPr>
          <w:p w14:paraId="6549E98F" w14:textId="7A51E41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Groote Eylandt NT</w:t>
            </w:r>
          </w:p>
        </w:tc>
        <w:tc>
          <w:tcPr>
            <w:tcW w:w="1832" w:type="dxa"/>
            <w:shd w:val="clear" w:color="auto" w:fill="auto"/>
            <w:hideMark/>
          </w:tcPr>
          <w:p w14:paraId="5F920C2E" w14:textId="180F9F1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Arnhem Land and Groote Eylandt </w:t>
            </w:r>
          </w:p>
        </w:tc>
        <w:tc>
          <w:tcPr>
            <w:tcW w:w="1591" w:type="dxa"/>
            <w:shd w:val="clear" w:color="auto" w:fill="auto"/>
            <w:hideMark/>
          </w:tcPr>
          <w:p w14:paraId="00EA3CDF" w14:textId="732B0F3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Town Hall</w:t>
            </w:r>
          </w:p>
        </w:tc>
        <w:tc>
          <w:tcPr>
            <w:tcW w:w="1145" w:type="dxa"/>
            <w:shd w:val="clear" w:color="auto" w:fill="auto"/>
            <w:hideMark/>
          </w:tcPr>
          <w:p w14:paraId="352DE9AA" w14:textId="55F4A39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3D69F082" w14:textId="25342787"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5</w:t>
            </w:r>
          </w:p>
        </w:tc>
      </w:tr>
      <w:tr w:rsidR="0093006A" w:rsidRPr="0093006A" w14:paraId="5E3C3F8B" w14:textId="77777777" w:rsidTr="0048465C">
        <w:trPr>
          <w:trHeight w:val="900"/>
        </w:trPr>
        <w:tc>
          <w:tcPr>
            <w:tcW w:w="562" w:type="dxa"/>
            <w:shd w:val="clear" w:color="auto" w:fill="auto"/>
            <w:hideMark/>
          </w:tcPr>
          <w:p w14:paraId="3DBD41EC" w14:textId="470C0E2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29</w:t>
            </w:r>
          </w:p>
        </w:tc>
        <w:tc>
          <w:tcPr>
            <w:tcW w:w="1003" w:type="dxa"/>
            <w:shd w:val="clear" w:color="auto" w:fill="auto"/>
            <w:hideMark/>
          </w:tcPr>
          <w:p w14:paraId="2096D6F9" w14:textId="3488AA9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 Sep</w:t>
            </w:r>
          </w:p>
        </w:tc>
        <w:tc>
          <w:tcPr>
            <w:tcW w:w="1832" w:type="dxa"/>
            <w:shd w:val="clear" w:color="auto" w:fill="auto"/>
            <w:hideMark/>
          </w:tcPr>
          <w:p w14:paraId="55C1D8EF" w14:textId="7A053F5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National</w:t>
            </w:r>
          </w:p>
        </w:tc>
        <w:tc>
          <w:tcPr>
            <w:tcW w:w="1832" w:type="dxa"/>
            <w:shd w:val="clear" w:color="auto" w:fill="auto"/>
            <w:hideMark/>
          </w:tcPr>
          <w:p w14:paraId="08AC37CC" w14:textId="21DA520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w:t>
            </w:r>
          </w:p>
        </w:tc>
        <w:tc>
          <w:tcPr>
            <w:tcW w:w="1591" w:type="dxa"/>
            <w:shd w:val="clear" w:color="auto" w:fill="auto"/>
            <w:hideMark/>
          </w:tcPr>
          <w:p w14:paraId="51E540F6" w14:textId="4F8A55D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2F9EB84" w14:textId="090B53B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28CD121A" w14:textId="1297B268"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22</w:t>
            </w:r>
          </w:p>
        </w:tc>
      </w:tr>
      <w:tr w:rsidR="0093006A" w:rsidRPr="0093006A" w14:paraId="12928060" w14:textId="77777777" w:rsidTr="0048465C">
        <w:trPr>
          <w:trHeight w:val="900"/>
        </w:trPr>
        <w:tc>
          <w:tcPr>
            <w:tcW w:w="562" w:type="dxa"/>
            <w:shd w:val="clear" w:color="auto" w:fill="auto"/>
            <w:hideMark/>
          </w:tcPr>
          <w:p w14:paraId="485E9801" w14:textId="53F9492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30</w:t>
            </w:r>
          </w:p>
        </w:tc>
        <w:tc>
          <w:tcPr>
            <w:tcW w:w="1003" w:type="dxa"/>
            <w:shd w:val="clear" w:color="auto" w:fill="auto"/>
            <w:hideMark/>
          </w:tcPr>
          <w:p w14:paraId="6FFA3667" w14:textId="1D7836D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 Sep</w:t>
            </w:r>
          </w:p>
        </w:tc>
        <w:tc>
          <w:tcPr>
            <w:tcW w:w="1832" w:type="dxa"/>
            <w:shd w:val="clear" w:color="auto" w:fill="auto"/>
            <w:hideMark/>
          </w:tcPr>
          <w:p w14:paraId="6D05F7AA" w14:textId="27DD59A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Groote Eylandt NT</w:t>
            </w:r>
          </w:p>
        </w:tc>
        <w:tc>
          <w:tcPr>
            <w:tcW w:w="1832" w:type="dxa"/>
            <w:shd w:val="clear" w:color="auto" w:fill="auto"/>
            <w:hideMark/>
          </w:tcPr>
          <w:p w14:paraId="18FB247B" w14:textId="2A56567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Arnhem Land and Groote Eylandt </w:t>
            </w:r>
          </w:p>
        </w:tc>
        <w:tc>
          <w:tcPr>
            <w:tcW w:w="1591" w:type="dxa"/>
            <w:shd w:val="clear" w:color="auto" w:fill="auto"/>
            <w:hideMark/>
          </w:tcPr>
          <w:p w14:paraId="75B32F90" w14:textId="3C8D3E3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76349FF2" w14:textId="119956B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5BE8F1D6" w14:textId="42A193C9"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5</w:t>
            </w:r>
          </w:p>
        </w:tc>
      </w:tr>
      <w:tr w:rsidR="0093006A" w:rsidRPr="0093006A" w14:paraId="0E70AD1C" w14:textId="77777777" w:rsidTr="0048465C">
        <w:trPr>
          <w:trHeight w:val="900"/>
        </w:trPr>
        <w:tc>
          <w:tcPr>
            <w:tcW w:w="562" w:type="dxa"/>
            <w:shd w:val="clear" w:color="auto" w:fill="auto"/>
            <w:hideMark/>
          </w:tcPr>
          <w:p w14:paraId="1953B05B" w14:textId="213F952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31</w:t>
            </w:r>
          </w:p>
        </w:tc>
        <w:tc>
          <w:tcPr>
            <w:tcW w:w="1003" w:type="dxa"/>
            <w:shd w:val="clear" w:color="auto" w:fill="auto"/>
            <w:hideMark/>
          </w:tcPr>
          <w:p w14:paraId="3AA13F7E" w14:textId="1F48EFD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 Sep</w:t>
            </w:r>
          </w:p>
        </w:tc>
        <w:tc>
          <w:tcPr>
            <w:tcW w:w="1832" w:type="dxa"/>
            <w:shd w:val="clear" w:color="auto" w:fill="auto"/>
            <w:hideMark/>
          </w:tcPr>
          <w:p w14:paraId="570D9399" w14:textId="4C254D8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Derby WA</w:t>
            </w:r>
          </w:p>
        </w:tc>
        <w:tc>
          <w:tcPr>
            <w:tcW w:w="1832" w:type="dxa"/>
            <w:shd w:val="clear" w:color="auto" w:fill="auto"/>
            <w:hideMark/>
          </w:tcPr>
          <w:p w14:paraId="3EE431B8" w14:textId="6FC89A8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Kimberley </w:t>
            </w:r>
          </w:p>
        </w:tc>
        <w:tc>
          <w:tcPr>
            <w:tcW w:w="1591" w:type="dxa"/>
            <w:shd w:val="clear" w:color="auto" w:fill="auto"/>
            <w:hideMark/>
          </w:tcPr>
          <w:p w14:paraId="53543137" w14:textId="7DDD598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5FF0EEDC" w14:textId="2FC06F4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39084CA2" w14:textId="0C72B265" w:rsidR="00695E0A" w:rsidRPr="0093006A" w:rsidRDefault="00B2491E"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6</w:t>
            </w:r>
          </w:p>
        </w:tc>
      </w:tr>
      <w:tr w:rsidR="0093006A" w:rsidRPr="0093006A" w14:paraId="5F3511CA" w14:textId="77777777" w:rsidTr="0048465C">
        <w:trPr>
          <w:trHeight w:val="900"/>
        </w:trPr>
        <w:tc>
          <w:tcPr>
            <w:tcW w:w="562" w:type="dxa"/>
            <w:shd w:val="clear" w:color="auto" w:fill="auto"/>
            <w:hideMark/>
          </w:tcPr>
          <w:p w14:paraId="13ADBEE0" w14:textId="44CD90F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32</w:t>
            </w:r>
          </w:p>
        </w:tc>
        <w:tc>
          <w:tcPr>
            <w:tcW w:w="1003" w:type="dxa"/>
            <w:shd w:val="clear" w:color="auto" w:fill="auto"/>
            <w:hideMark/>
          </w:tcPr>
          <w:p w14:paraId="0B805798" w14:textId="1D3F9BD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 Sep</w:t>
            </w:r>
          </w:p>
        </w:tc>
        <w:tc>
          <w:tcPr>
            <w:tcW w:w="1832" w:type="dxa"/>
            <w:shd w:val="clear" w:color="auto" w:fill="auto"/>
            <w:hideMark/>
          </w:tcPr>
          <w:p w14:paraId="55AD08E1" w14:textId="2C4B4D5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Broome WA</w:t>
            </w:r>
          </w:p>
        </w:tc>
        <w:tc>
          <w:tcPr>
            <w:tcW w:w="1832" w:type="dxa"/>
            <w:shd w:val="clear" w:color="auto" w:fill="auto"/>
            <w:hideMark/>
          </w:tcPr>
          <w:p w14:paraId="6A3A9573" w14:textId="5FE2FD9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Kimberley </w:t>
            </w:r>
          </w:p>
        </w:tc>
        <w:tc>
          <w:tcPr>
            <w:tcW w:w="1591" w:type="dxa"/>
            <w:shd w:val="clear" w:color="auto" w:fill="auto"/>
            <w:hideMark/>
          </w:tcPr>
          <w:p w14:paraId="64844454" w14:textId="222659E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413E2567" w14:textId="3454A00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082DC6EC" w14:textId="2D8D1373"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13</w:t>
            </w:r>
          </w:p>
        </w:tc>
      </w:tr>
      <w:tr w:rsidR="0093006A" w:rsidRPr="0093006A" w14:paraId="57FDA17F" w14:textId="77777777" w:rsidTr="0048465C">
        <w:trPr>
          <w:trHeight w:val="900"/>
        </w:trPr>
        <w:tc>
          <w:tcPr>
            <w:tcW w:w="562" w:type="dxa"/>
            <w:shd w:val="clear" w:color="auto" w:fill="auto"/>
            <w:hideMark/>
          </w:tcPr>
          <w:p w14:paraId="11F86C38" w14:textId="3D24F3A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33</w:t>
            </w:r>
          </w:p>
        </w:tc>
        <w:tc>
          <w:tcPr>
            <w:tcW w:w="1003" w:type="dxa"/>
            <w:shd w:val="clear" w:color="auto" w:fill="auto"/>
            <w:hideMark/>
          </w:tcPr>
          <w:p w14:paraId="025C6129" w14:textId="4DA400C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6 Sep</w:t>
            </w:r>
          </w:p>
        </w:tc>
        <w:tc>
          <w:tcPr>
            <w:tcW w:w="1832" w:type="dxa"/>
            <w:shd w:val="clear" w:color="auto" w:fill="auto"/>
            <w:hideMark/>
          </w:tcPr>
          <w:p w14:paraId="2D0819F1" w14:textId="27BE5AC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Kununurra WA</w:t>
            </w:r>
          </w:p>
        </w:tc>
        <w:tc>
          <w:tcPr>
            <w:tcW w:w="1832" w:type="dxa"/>
            <w:shd w:val="clear" w:color="auto" w:fill="auto"/>
            <w:hideMark/>
          </w:tcPr>
          <w:p w14:paraId="2AD8074C" w14:textId="4CACB27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Kimberley </w:t>
            </w:r>
          </w:p>
        </w:tc>
        <w:tc>
          <w:tcPr>
            <w:tcW w:w="1591" w:type="dxa"/>
            <w:shd w:val="clear" w:color="auto" w:fill="auto"/>
            <w:hideMark/>
          </w:tcPr>
          <w:p w14:paraId="3C9CC9CC" w14:textId="1847985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5F6731F" w14:textId="0DAAEC1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3AAB4833" w14:textId="712EE1B9"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10</w:t>
            </w:r>
          </w:p>
        </w:tc>
      </w:tr>
      <w:tr w:rsidR="0093006A" w:rsidRPr="0093006A" w14:paraId="52075CC2" w14:textId="77777777" w:rsidTr="0048465C">
        <w:trPr>
          <w:trHeight w:val="900"/>
        </w:trPr>
        <w:tc>
          <w:tcPr>
            <w:tcW w:w="562" w:type="dxa"/>
            <w:shd w:val="clear" w:color="auto" w:fill="auto"/>
            <w:hideMark/>
          </w:tcPr>
          <w:p w14:paraId="38295E3A" w14:textId="0A3337B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34</w:t>
            </w:r>
          </w:p>
        </w:tc>
        <w:tc>
          <w:tcPr>
            <w:tcW w:w="1003" w:type="dxa"/>
            <w:shd w:val="clear" w:color="auto" w:fill="auto"/>
            <w:hideMark/>
          </w:tcPr>
          <w:p w14:paraId="2610AFCA" w14:textId="69ECDD5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7 Sep</w:t>
            </w:r>
          </w:p>
        </w:tc>
        <w:tc>
          <w:tcPr>
            <w:tcW w:w="1832" w:type="dxa"/>
            <w:shd w:val="clear" w:color="auto" w:fill="auto"/>
            <w:hideMark/>
          </w:tcPr>
          <w:p w14:paraId="69348E41" w14:textId="3EF524F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Adelaide</w:t>
            </w:r>
          </w:p>
        </w:tc>
        <w:tc>
          <w:tcPr>
            <w:tcW w:w="1832" w:type="dxa"/>
            <w:shd w:val="clear" w:color="auto" w:fill="auto"/>
            <w:hideMark/>
          </w:tcPr>
          <w:p w14:paraId="20424475" w14:textId="5D98961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South Australia </w:t>
            </w:r>
          </w:p>
        </w:tc>
        <w:tc>
          <w:tcPr>
            <w:tcW w:w="1591" w:type="dxa"/>
            <w:shd w:val="clear" w:color="auto" w:fill="auto"/>
            <w:hideMark/>
          </w:tcPr>
          <w:p w14:paraId="2949051C" w14:textId="41C3A3B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7155DD62" w14:textId="096C5A6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061AED1E" w14:textId="1CD500BB"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38</w:t>
            </w:r>
          </w:p>
        </w:tc>
      </w:tr>
      <w:tr w:rsidR="0093006A" w:rsidRPr="0093006A" w14:paraId="5D30AFCD" w14:textId="77777777" w:rsidTr="0048465C">
        <w:trPr>
          <w:trHeight w:val="900"/>
        </w:trPr>
        <w:tc>
          <w:tcPr>
            <w:tcW w:w="562" w:type="dxa"/>
            <w:shd w:val="clear" w:color="auto" w:fill="auto"/>
            <w:hideMark/>
          </w:tcPr>
          <w:p w14:paraId="7F7E558A" w14:textId="6ACA92B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35</w:t>
            </w:r>
          </w:p>
        </w:tc>
        <w:tc>
          <w:tcPr>
            <w:tcW w:w="1003" w:type="dxa"/>
            <w:shd w:val="clear" w:color="auto" w:fill="auto"/>
            <w:hideMark/>
          </w:tcPr>
          <w:p w14:paraId="2CA491E2" w14:textId="786A678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8 Sep</w:t>
            </w:r>
          </w:p>
        </w:tc>
        <w:tc>
          <w:tcPr>
            <w:tcW w:w="1832" w:type="dxa"/>
            <w:shd w:val="clear" w:color="auto" w:fill="auto"/>
            <w:hideMark/>
          </w:tcPr>
          <w:p w14:paraId="407D6398" w14:textId="25121D4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Adelaide SA</w:t>
            </w:r>
          </w:p>
        </w:tc>
        <w:tc>
          <w:tcPr>
            <w:tcW w:w="1832" w:type="dxa"/>
            <w:shd w:val="clear" w:color="auto" w:fill="auto"/>
            <w:hideMark/>
          </w:tcPr>
          <w:p w14:paraId="2562858D" w14:textId="42F9FD0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South Australia </w:t>
            </w:r>
          </w:p>
        </w:tc>
        <w:tc>
          <w:tcPr>
            <w:tcW w:w="1591" w:type="dxa"/>
            <w:shd w:val="clear" w:color="auto" w:fill="auto"/>
            <w:hideMark/>
          </w:tcPr>
          <w:p w14:paraId="4FAA4910" w14:textId="0B6D571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52C1D8A8" w14:textId="7CB26A1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71A189CF" w14:textId="639BD2CF"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38</w:t>
            </w:r>
          </w:p>
        </w:tc>
      </w:tr>
      <w:tr w:rsidR="0093006A" w:rsidRPr="0093006A" w14:paraId="427D4D0C" w14:textId="77777777" w:rsidTr="0048465C">
        <w:trPr>
          <w:trHeight w:val="900"/>
        </w:trPr>
        <w:tc>
          <w:tcPr>
            <w:tcW w:w="562" w:type="dxa"/>
            <w:shd w:val="clear" w:color="auto" w:fill="auto"/>
            <w:hideMark/>
          </w:tcPr>
          <w:p w14:paraId="2FD53100" w14:textId="5B6B3A7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36</w:t>
            </w:r>
          </w:p>
        </w:tc>
        <w:tc>
          <w:tcPr>
            <w:tcW w:w="1003" w:type="dxa"/>
            <w:shd w:val="clear" w:color="auto" w:fill="auto"/>
            <w:hideMark/>
          </w:tcPr>
          <w:p w14:paraId="20C5AB90" w14:textId="3BAE005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9 Sep</w:t>
            </w:r>
          </w:p>
        </w:tc>
        <w:tc>
          <w:tcPr>
            <w:tcW w:w="1832" w:type="dxa"/>
            <w:shd w:val="clear" w:color="auto" w:fill="auto"/>
            <w:hideMark/>
          </w:tcPr>
          <w:p w14:paraId="5A536FA1" w14:textId="1D506DD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Port Augusta SA</w:t>
            </w:r>
          </w:p>
        </w:tc>
        <w:tc>
          <w:tcPr>
            <w:tcW w:w="1832" w:type="dxa"/>
            <w:shd w:val="clear" w:color="auto" w:fill="auto"/>
            <w:hideMark/>
          </w:tcPr>
          <w:p w14:paraId="4DEE55CB" w14:textId="31928F3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South Australia </w:t>
            </w:r>
          </w:p>
        </w:tc>
        <w:tc>
          <w:tcPr>
            <w:tcW w:w="1591" w:type="dxa"/>
            <w:shd w:val="clear" w:color="auto" w:fill="auto"/>
            <w:hideMark/>
          </w:tcPr>
          <w:p w14:paraId="4B5E3293" w14:textId="5E8D476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77C70578" w14:textId="6CFA635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2929C528" w14:textId="5CC1B74D"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24</w:t>
            </w:r>
          </w:p>
        </w:tc>
      </w:tr>
      <w:tr w:rsidR="0093006A" w:rsidRPr="0093006A" w14:paraId="39ADE198" w14:textId="77777777" w:rsidTr="0048465C">
        <w:trPr>
          <w:trHeight w:val="900"/>
        </w:trPr>
        <w:tc>
          <w:tcPr>
            <w:tcW w:w="562" w:type="dxa"/>
            <w:shd w:val="clear" w:color="auto" w:fill="auto"/>
            <w:hideMark/>
          </w:tcPr>
          <w:p w14:paraId="5C01A411" w14:textId="4E53748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37</w:t>
            </w:r>
          </w:p>
        </w:tc>
        <w:tc>
          <w:tcPr>
            <w:tcW w:w="1003" w:type="dxa"/>
            <w:shd w:val="clear" w:color="auto" w:fill="auto"/>
            <w:hideMark/>
          </w:tcPr>
          <w:p w14:paraId="460010CB" w14:textId="72A9943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9 Sep</w:t>
            </w:r>
          </w:p>
        </w:tc>
        <w:tc>
          <w:tcPr>
            <w:tcW w:w="1832" w:type="dxa"/>
            <w:shd w:val="clear" w:color="auto" w:fill="auto"/>
            <w:hideMark/>
          </w:tcPr>
          <w:p w14:paraId="0B9115D0" w14:textId="6EA6E40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Maningrida NT</w:t>
            </w:r>
          </w:p>
        </w:tc>
        <w:tc>
          <w:tcPr>
            <w:tcW w:w="1832" w:type="dxa"/>
            <w:shd w:val="clear" w:color="auto" w:fill="auto"/>
            <w:hideMark/>
          </w:tcPr>
          <w:p w14:paraId="57FE8CC6" w14:textId="56B3C8A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Arnhem Land and Groote Ey</w:t>
            </w:r>
            <w:r w:rsidR="00D9366C" w:rsidRPr="0093006A">
              <w:rPr>
                <w:rFonts w:eastAsia="Times New Roman" w:cs="Arial"/>
                <w:color w:val="595959" w:themeColor="text1" w:themeTint="A6"/>
              </w:rPr>
              <w:t>l</w:t>
            </w:r>
            <w:r w:rsidRPr="0093006A">
              <w:rPr>
                <w:rFonts w:eastAsia="Times New Roman" w:cs="Arial"/>
                <w:color w:val="595959" w:themeColor="text1" w:themeTint="A6"/>
              </w:rPr>
              <w:t xml:space="preserve">andt </w:t>
            </w:r>
          </w:p>
        </w:tc>
        <w:tc>
          <w:tcPr>
            <w:tcW w:w="1591" w:type="dxa"/>
            <w:shd w:val="clear" w:color="auto" w:fill="auto"/>
            <w:hideMark/>
          </w:tcPr>
          <w:p w14:paraId="5B6B7B51" w14:textId="38FE4A6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4566C823" w14:textId="0E79680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1318CE45" w14:textId="62988BC3"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8</w:t>
            </w:r>
          </w:p>
        </w:tc>
      </w:tr>
      <w:tr w:rsidR="0093006A" w:rsidRPr="0093006A" w14:paraId="2441D504" w14:textId="77777777" w:rsidTr="0048465C">
        <w:trPr>
          <w:trHeight w:val="900"/>
        </w:trPr>
        <w:tc>
          <w:tcPr>
            <w:tcW w:w="562" w:type="dxa"/>
            <w:shd w:val="clear" w:color="auto" w:fill="auto"/>
            <w:hideMark/>
          </w:tcPr>
          <w:p w14:paraId="5EB4445B" w14:textId="6A7275D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39</w:t>
            </w:r>
          </w:p>
        </w:tc>
        <w:tc>
          <w:tcPr>
            <w:tcW w:w="1003" w:type="dxa"/>
            <w:shd w:val="clear" w:color="auto" w:fill="auto"/>
            <w:hideMark/>
          </w:tcPr>
          <w:p w14:paraId="44AF437B" w14:textId="441F6E6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10 Sep</w:t>
            </w:r>
          </w:p>
        </w:tc>
        <w:tc>
          <w:tcPr>
            <w:tcW w:w="1832" w:type="dxa"/>
            <w:shd w:val="clear" w:color="auto" w:fill="auto"/>
            <w:noWrap/>
            <w:hideMark/>
          </w:tcPr>
          <w:p w14:paraId="12BC9928" w14:textId="04DA5EB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Cairns QLD</w:t>
            </w:r>
          </w:p>
        </w:tc>
        <w:tc>
          <w:tcPr>
            <w:tcW w:w="1832" w:type="dxa"/>
            <w:shd w:val="clear" w:color="auto" w:fill="auto"/>
            <w:noWrap/>
            <w:hideMark/>
          </w:tcPr>
          <w:p w14:paraId="684C5458" w14:textId="56E0183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North Queensland </w:t>
            </w:r>
          </w:p>
        </w:tc>
        <w:tc>
          <w:tcPr>
            <w:tcW w:w="1591" w:type="dxa"/>
            <w:shd w:val="clear" w:color="auto" w:fill="auto"/>
            <w:hideMark/>
          </w:tcPr>
          <w:p w14:paraId="534C9261" w14:textId="6E0D2CB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3B9867FC" w14:textId="0A78C1F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60D9F2BB" w14:textId="55B61325"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28</w:t>
            </w:r>
          </w:p>
        </w:tc>
      </w:tr>
      <w:tr w:rsidR="0093006A" w:rsidRPr="0093006A" w14:paraId="273AAFD4" w14:textId="77777777" w:rsidTr="0048465C">
        <w:trPr>
          <w:trHeight w:val="900"/>
        </w:trPr>
        <w:tc>
          <w:tcPr>
            <w:tcW w:w="562" w:type="dxa"/>
            <w:shd w:val="clear" w:color="auto" w:fill="auto"/>
            <w:hideMark/>
          </w:tcPr>
          <w:p w14:paraId="0C95AF35" w14:textId="1B0A8EE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40</w:t>
            </w:r>
          </w:p>
        </w:tc>
        <w:tc>
          <w:tcPr>
            <w:tcW w:w="1003" w:type="dxa"/>
            <w:shd w:val="clear" w:color="auto" w:fill="auto"/>
            <w:hideMark/>
          </w:tcPr>
          <w:p w14:paraId="656F32EF" w14:textId="7F19DF7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13 Sep</w:t>
            </w:r>
          </w:p>
        </w:tc>
        <w:tc>
          <w:tcPr>
            <w:tcW w:w="1832" w:type="dxa"/>
            <w:shd w:val="clear" w:color="auto" w:fill="auto"/>
            <w:hideMark/>
          </w:tcPr>
          <w:p w14:paraId="7601DAE1" w14:textId="1E9F532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NSW South Coast</w:t>
            </w:r>
          </w:p>
        </w:tc>
        <w:tc>
          <w:tcPr>
            <w:tcW w:w="1832" w:type="dxa"/>
            <w:shd w:val="clear" w:color="auto" w:fill="auto"/>
            <w:hideMark/>
          </w:tcPr>
          <w:p w14:paraId="4036E4B2" w14:textId="6146583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Eastern New South Wales</w:t>
            </w:r>
          </w:p>
        </w:tc>
        <w:tc>
          <w:tcPr>
            <w:tcW w:w="1591" w:type="dxa"/>
            <w:shd w:val="clear" w:color="auto" w:fill="auto"/>
            <w:hideMark/>
          </w:tcPr>
          <w:p w14:paraId="14F05D5A" w14:textId="62B3D7C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43A139E" w14:textId="286AC3C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230F9102" w14:textId="22E600F0"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12</w:t>
            </w:r>
          </w:p>
        </w:tc>
      </w:tr>
      <w:tr w:rsidR="0093006A" w:rsidRPr="0093006A" w14:paraId="73DCFD20" w14:textId="77777777" w:rsidTr="0048465C">
        <w:trPr>
          <w:trHeight w:val="900"/>
        </w:trPr>
        <w:tc>
          <w:tcPr>
            <w:tcW w:w="562" w:type="dxa"/>
            <w:shd w:val="clear" w:color="auto" w:fill="auto"/>
            <w:hideMark/>
          </w:tcPr>
          <w:p w14:paraId="1178110A" w14:textId="21A35FB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41</w:t>
            </w:r>
          </w:p>
        </w:tc>
        <w:tc>
          <w:tcPr>
            <w:tcW w:w="1003" w:type="dxa"/>
            <w:shd w:val="clear" w:color="auto" w:fill="auto"/>
            <w:hideMark/>
          </w:tcPr>
          <w:p w14:paraId="463268E0" w14:textId="139B901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14 Sep</w:t>
            </w:r>
          </w:p>
        </w:tc>
        <w:tc>
          <w:tcPr>
            <w:tcW w:w="1832" w:type="dxa"/>
            <w:shd w:val="clear" w:color="auto" w:fill="auto"/>
            <w:hideMark/>
          </w:tcPr>
          <w:p w14:paraId="16EE34B7" w14:textId="72D123C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NSW South Coast</w:t>
            </w:r>
          </w:p>
        </w:tc>
        <w:tc>
          <w:tcPr>
            <w:tcW w:w="1832" w:type="dxa"/>
            <w:shd w:val="clear" w:color="auto" w:fill="auto"/>
            <w:hideMark/>
          </w:tcPr>
          <w:p w14:paraId="4B691411" w14:textId="5C56DF4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Eastern New South Wales</w:t>
            </w:r>
          </w:p>
        </w:tc>
        <w:tc>
          <w:tcPr>
            <w:tcW w:w="1591" w:type="dxa"/>
            <w:shd w:val="clear" w:color="auto" w:fill="auto"/>
            <w:hideMark/>
          </w:tcPr>
          <w:p w14:paraId="1933A3E0" w14:textId="0BC0EAB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6D2277BA" w14:textId="02F9E16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5E5812FB" w14:textId="4748DB3F"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9</w:t>
            </w:r>
          </w:p>
        </w:tc>
      </w:tr>
      <w:tr w:rsidR="0093006A" w:rsidRPr="0093006A" w14:paraId="2C4D664C" w14:textId="77777777" w:rsidTr="0048465C">
        <w:trPr>
          <w:trHeight w:val="900"/>
        </w:trPr>
        <w:tc>
          <w:tcPr>
            <w:tcW w:w="562" w:type="dxa"/>
            <w:shd w:val="clear" w:color="auto" w:fill="auto"/>
            <w:hideMark/>
          </w:tcPr>
          <w:p w14:paraId="7FE79B93" w14:textId="6B25DA7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42</w:t>
            </w:r>
          </w:p>
        </w:tc>
        <w:tc>
          <w:tcPr>
            <w:tcW w:w="1003" w:type="dxa"/>
            <w:shd w:val="clear" w:color="auto" w:fill="auto"/>
            <w:hideMark/>
          </w:tcPr>
          <w:p w14:paraId="7348466B" w14:textId="263A8EC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14 Sep</w:t>
            </w:r>
          </w:p>
        </w:tc>
        <w:tc>
          <w:tcPr>
            <w:tcW w:w="1832" w:type="dxa"/>
            <w:shd w:val="clear" w:color="auto" w:fill="auto"/>
            <w:hideMark/>
          </w:tcPr>
          <w:p w14:paraId="36C265FE" w14:textId="2F850F4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Sydney NSW</w:t>
            </w:r>
          </w:p>
        </w:tc>
        <w:tc>
          <w:tcPr>
            <w:tcW w:w="1832" w:type="dxa"/>
            <w:shd w:val="clear" w:color="auto" w:fill="auto"/>
            <w:hideMark/>
          </w:tcPr>
          <w:p w14:paraId="5ACF8322" w14:textId="1EA841E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Eastern New South Wales</w:t>
            </w:r>
          </w:p>
        </w:tc>
        <w:tc>
          <w:tcPr>
            <w:tcW w:w="1591" w:type="dxa"/>
            <w:shd w:val="clear" w:color="auto" w:fill="auto"/>
            <w:hideMark/>
          </w:tcPr>
          <w:p w14:paraId="65E6A297" w14:textId="37F61C3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5BF862A1" w14:textId="77A4E17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62ECAA48" w14:textId="0B696AC5"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15</w:t>
            </w:r>
          </w:p>
        </w:tc>
      </w:tr>
      <w:tr w:rsidR="0093006A" w:rsidRPr="0093006A" w14:paraId="50E488DC" w14:textId="77777777" w:rsidTr="0048465C">
        <w:trPr>
          <w:trHeight w:val="900"/>
        </w:trPr>
        <w:tc>
          <w:tcPr>
            <w:tcW w:w="562" w:type="dxa"/>
            <w:shd w:val="clear" w:color="auto" w:fill="auto"/>
            <w:hideMark/>
          </w:tcPr>
          <w:p w14:paraId="305A38CB" w14:textId="4F1FF98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43</w:t>
            </w:r>
          </w:p>
        </w:tc>
        <w:tc>
          <w:tcPr>
            <w:tcW w:w="1003" w:type="dxa"/>
            <w:shd w:val="clear" w:color="auto" w:fill="auto"/>
            <w:hideMark/>
          </w:tcPr>
          <w:p w14:paraId="10418CA8" w14:textId="18B51E7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14 Sep</w:t>
            </w:r>
          </w:p>
        </w:tc>
        <w:tc>
          <w:tcPr>
            <w:tcW w:w="1832" w:type="dxa"/>
            <w:shd w:val="clear" w:color="auto" w:fill="auto"/>
            <w:hideMark/>
          </w:tcPr>
          <w:p w14:paraId="3DBDB264" w14:textId="775E945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Mount Isa QLD</w:t>
            </w:r>
          </w:p>
        </w:tc>
        <w:tc>
          <w:tcPr>
            <w:tcW w:w="1832" w:type="dxa"/>
            <w:shd w:val="clear" w:color="auto" w:fill="auto"/>
            <w:hideMark/>
          </w:tcPr>
          <w:p w14:paraId="31718A5C" w14:textId="026CE68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North Queensland </w:t>
            </w:r>
          </w:p>
        </w:tc>
        <w:tc>
          <w:tcPr>
            <w:tcW w:w="1591" w:type="dxa"/>
            <w:shd w:val="clear" w:color="auto" w:fill="auto"/>
            <w:hideMark/>
          </w:tcPr>
          <w:p w14:paraId="6BD5B1B4" w14:textId="26D3BF1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000F2EC5" w14:textId="245712E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6181F017" w14:textId="3B7DEDB5"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15</w:t>
            </w:r>
          </w:p>
        </w:tc>
      </w:tr>
      <w:tr w:rsidR="0093006A" w:rsidRPr="0093006A" w14:paraId="4B028B13" w14:textId="77777777" w:rsidTr="0048465C">
        <w:trPr>
          <w:trHeight w:val="900"/>
        </w:trPr>
        <w:tc>
          <w:tcPr>
            <w:tcW w:w="562" w:type="dxa"/>
            <w:shd w:val="clear" w:color="auto" w:fill="auto"/>
            <w:hideMark/>
          </w:tcPr>
          <w:p w14:paraId="6A63339D" w14:textId="459A62E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44</w:t>
            </w:r>
          </w:p>
        </w:tc>
        <w:tc>
          <w:tcPr>
            <w:tcW w:w="1003" w:type="dxa"/>
            <w:shd w:val="clear" w:color="auto" w:fill="auto"/>
            <w:hideMark/>
          </w:tcPr>
          <w:p w14:paraId="7AC00A1D" w14:textId="4ED1010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15 Sep</w:t>
            </w:r>
          </w:p>
        </w:tc>
        <w:tc>
          <w:tcPr>
            <w:tcW w:w="1832" w:type="dxa"/>
            <w:shd w:val="clear" w:color="auto" w:fill="auto"/>
            <w:hideMark/>
          </w:tcPr>
          <w:p w14:paraId="3450F2F2" w14:textId="43220DF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Townsville QLD</w:t>
            </w:r>
          </w:p>
        </w:tc>
        <w:tc>
          <w:tcPr>
            <w:tcW w:w="1832" w:type="dxa"/>
            <w:shd w:val="clear" w:color="auto" w:fill="auto"/>
            <w:hideMark/>
          </w:tcPr>
          <w:p w14:paraId="208503DC" w14:textId="0C7F7A9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North Queensland </w:t>
            </w:r>
          </w:p>
        </w:tc>
        <w:tc>
          <w:tcPr>
            <w:tcW w:w="1591" w:type="dxa"/>
            <w:shd w:val="clear" w:color="auto" w:fill="auto"/>
            <w:hideMark/>
          </w:tcPr>
          <w:p w14:paraId="29F1CF83" w14:textId="118E472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3CB29E18" w14:textId="1A4D40C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2B67DFD4" w14:textId="20BB9579"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24</w:t>
            </w:r>
          </w:p>
        </w:tc>
      </w:tr>
      <w:tr w:rsidR="0093006A" w:rsidRPr="0093006A" w14:paraId="2F15749E" w14:textId="77777777" w:rsidTr="0048465C">
        <w:trPr>
          <w:trHeight w:val="900"/>
        </w:trPr>
        <w:tc>
          <w:tcPr>
            <w:tcW w:w="562" w:type="dxa"/>
            <w:shd w:val="clear" w:color="auto" w:fill="auto"/>
            <w:hideMark/>
          </w:tcPr>
          <w:p w14:paraId="3B9E478C" w14:textId="5808728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45</w:t>
            </w:r>
          </w:p>
        </w:tc>
        <w:tc>
          <w:tcPr>
            <w:tcW w:w="1003" w:type="dxa"/>
            <w:shd w:val="clear" w:color="auto" w:fill="auto"/>
            <w:hideMark/>
          </w:tcPr>
          <w:p w14:paraId="422B9210" w14:textId="37B4310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15 Sep</w:t>
            </w:r>
          </w:p>
        </w:tc>
        <w:tc>
          <w:tcPr>
            <w:tcW w:w="1832" w:type="dxa"/>
            <w:shd w:val="clear" w:color="auto" w:fill="auto"/>
            <w:hideMark/>
          </w:tcPr>
          <w:p w14:paraId="1C8F3F3D" w14:textId="16CA14A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Townsville QLD</w:t>
            </w:r>
          </w:p>
        </w:tc>
        <w:tc>
          <w:tcPr>
            <w:tcW w:w="1832" w:type="dxa"/>
            <w:shd w:val="clear" w:color="auto" w:fill="auto"/>
            <w:hideMark/>
          </w:tcPr>
          <w:p w14:paraId="3E79CF51" w14:textId="6186A06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North Queensland </w:t>
            </w:r>
          </w:p>
        </w:tc>
        <w:tc>
          <w:tcPr>
            <w:tcW w:w="1591" w:type="dxa"/>
            <w:shd w:val="clear" w:color="auto" w:fill="auto"/>
            <w:hideMark/>
          </w:tcPr>
          <w:p w14:paraId="62132D31" w14:textId="04C4A4E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14B997AE" w14:textId="06F6F3B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2EFCB0C0" w14:textId="4AF02CA9"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25</w:t>
            </w:r>
          </w:p>
        </w:tc>
      </w:tr>
      <w:tr w:rsidR="0093006A" w:rsidRPr="0093006A" w14:paraId="2D9D532C" w14:textId="77777777" w:rsidTr="0048465C">
        <w:trPr>
          <w:trHeight w:val="900"/>
        </w:trPr>
        <w:tc>
          <w:tcPr>
            <w:tcW w:w="562" w:type="dxa"/>
            <w:shd w:val="clear" w:color="auto" w:fill="auto"/>
            <w:hideMark/>
          </w:tcPr>
          <w:p w14:paraId="65279415" w14:textId="6F51E8B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46</w:t>
            </w:r>
          </w:p>
        </w:tc>
        <w:tc>
          <w:tcPr>
            <w:tcW w:w="1003" w:type="dxa"/>
            <w:shd w:val="clear" w:color="auto" w:fill="auto"/>
            <w:hideMark/>
          </w:tcPr>
          <w:p w14:paraId="3A68DCCB" w14:textId="34594A83"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15 Sep</w:t>
            </w:r>
          </w:p>
        </w:tc>
        <w:tc>
          <w:tcPr>
            <w:tcW w:w="1832" w:type="dxa"/>
            <w:shd w:val="clear" w:color="auto" w:fill="auto"/>
            <w:hideMark/>
          </w:tcPr>
          <w:p w14:paraId="63EB388D" w14:textId="608C46A6"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Hobart TAS</w:t>
            </w:r>
          </w:p>
        </w:tc>
        <w:tc>
          <w:tcPr>
            <w:tcW w:w="1832" w:type="dxa"/>
            <w:shd w:val="clear" w:color="auto" w:fill="auto"/>
            <w:hideMark/>
          </w:tcPr>
          <w:p w14:paraId="51E56D23" w14:textId="007F3DF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Victoria-Tasmania</w:t>
            </w:r>
          </w:p>
        </w:tc>
        <w:tc>
          <w:tcPr>
            <w:tcW w:w="1591" w:type="dxa"/>
            <w:shd w:val="clear" w:color="auto" w:fill="auto"/>
            <w:hideMark/>
          </w:tcPr>
          <w:p w14:paraId="6998B17A" w14:textId="2C785F7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21DD8664" w14:textId="20F3C11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4A79617A" w14:textId="424422D4"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14</w:t>
            </w:r>
          </w:p>
        </w:tc>
      </w:tr>
      <w:tr w:rsidR="0093006A" w:rsidRPr="0093006A" w14:paraId="3BCBF143" w14:textId="77777777" w:rsidTr="0048465C">
        <w:trPr>
          <w:trHeight w:val="900"/>
        </w:trPr>
        <w:tc>
          <w:tcPr>
            <w:tcW w:w="562" w:type="dxa"/>
            <w:shd w:val="clear" w:color="auto" w:fill="auto"/>
            <w:hideMark/>
          </w:tcPr>
          <w:p w14:paraId="078C8E43" w14:textId="02EC180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47</w:t>
            </w:r>
          </w:p>
        </w:tc>
        <w:tc>
          <w:tcPr>
            <w:tcW w:w="1003" w:type="dxa"/>
            <w:shd w:val="clear" w:color="auto" w:fill="auto"/>
            <w:hideMark/>
          </w:tcPr>
          <w:p w14:paraId="363A5A8F" w14:textId="510368E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15 Sep</w:t>
            </w:r>
          </w:p>
        </w:tc>
        <w:tc>
          <w:tcPr>
            <w:tcW w:w="1832" w:type="dxa"/>
            <w:shd w:val="clear" w:color="auto" w:fill="auto"/>
            <w:hideMark/>
          </w:tcPr>
          <w:p w14:paraId="77B0FEF5" w14:textId="0ADC381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Hobart TAS</w:t>
            </w:r>
          </w:p>
        </w:tc>
        <w:tc>
          <w:tcPr>
            <w:tcW w:w="1832" w:type="dxa"/>
            <w:shd w:val="clear" w:color="auto" w:fill="auto"/>
            <w:hideMark/>
          </w:tcPr>
          <w:p w14:paraId="5C31E321" w14:textId="3D61945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Victoria-Tasmania</w:t>
            </w:r>
          </w:p>
        </w:tc>
        <w:tc>
          <w:tcPr>
            <w:tcW w:w="1591" w:type="dxa"/>
            <w:shd w:val="clear" w:color="auto" w:fill="auto"/>
            <w:hideMark/>
          </w:tcPr>
          <w:p w14:paraId="00E35903" w14:textId="6384A55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2CDA6A69" w14:textId="72C815B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5230F8F7" w14:textId="00F59A72"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13</w:t>
            </w:r>
          </w:p>
        </w:tc>
      </w:tr>
      <w:tr w:rsidR="0093006A" w:rsidRPr="0093006A" w14:paraId="2C6CC531" w14:textId="77777777" w:rsidTr="0048465C">
        <w:trPr>
          <w:trHeight w:val="900"/>
        </w:trPr>
        <w:tc>
          <w:tcPr>
            <w:tcW w:w="562" w:type="dxa"/>
            <w:shd w:val="clear" w:color="auto" w:fill="auto"/>
            <w:hideMark/>
          </w:tcPr>
          <w:p w14:paraId="19F36B1D" w14:textId="2EB5D58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48</w:t>
            </w:r>
          </w:p>
        </w:tc>
        <w:tc>
          <w:tcPr>
            <w:tcW w:w="1003" w:type="dxa"/>
            <w:shd w:val="clear" w:color="auto" w:fill="auto"/>
            <w:hideMark/>
          </w:tcPr>
          <w:p w14:paraId="2A60EDDC" w14:textId="10CD1A7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16 Sep</w:t>
            </w:r>
          </w:p>
        </w:tc>
        <w:tc>
          <w:tcPr>
            <w:tcW w:w="1832" w:type="dxa"/>
            <w:shd w:val="clear" w:color="auto" w:fill="auto"/>
            <w:hideMark/>
          </w:tcPr>
          <w:p w14:paraId="6391DED8" w14:textId="277D4E8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Sydney NSW</w:t>
            </w:r>
          </w:p>
        </w:tc>
        <w:tc>
          <w:tcPr>
            <w:tcW w:w="1832" w:type="dxa"/>
            <w:shd w:val="clear" w:color="auto" w:fill="auto"/>
            <w:hideMark/>
          </w:tcPr>
          <w:p w14:paraId="6E1F0112" w14:textId="0D3B52B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Eastern New South Wales</w:t>
            </w:r>
          </w:p>
        </w:tc>
        <w:tc>
          <w:tcPr>
            <w:tcW w:w="1591" w:type="dxa"/>
            <w:shd w:val="clear" w:color="auto" w:fill="auto"/>
            <w:hideMark/>
          </w:tcPr>
          <w:p w14:paraId="3679125D" w14:textId="37E0E1A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5DC25951" w14:textId="493D1C0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03E968F9" w14:textId="48693560"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12</w:t>
            </w:r>
          </w:p>
        </w:tc>
      </w:tr>
      <w:tr w:rsidR="0093006A" w:rsidRPr="0093006A" w14:paraId="70F6E3ED" w14:textId="77777777" w:rsidTr="0048465C">
        <w:trPr>
          <w:trHeight w:val="900"/>
        </w:trPr>
        <w:tc>
          <w:tcPr>
            <w:tcW w:w="562" w:type="dxa"/>
            <w:shd w:val="clear" w:color="auto" w:fill="auto"/>
            <w:hideMark/>
          </w:tcPr>
          <w:p w14:paraId="63D5AD22" w14:textId="1993763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49</w:t>
            </w:r>
          </w:p>
        </w:tc>
        <w:tc>
          <w:tcPr>
            <w:tcW w:w="1003" w:type="dxa"/>
            <w:shd w:val="clear" w:color="auto" w:fill="auto"/>
            <w:hideMark/>
          </w:tcPr>
          <w:p w14:paraId="175FE45F" w14:textId="492AA00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16 Sep</w:t>
            </w:r>
          </w:p>
        </w:tc>
        <w:tc>
          <w:tcPr>
            <w:tcW w:w="1832" w:type="dxa"/>
            <w:shd w:val="clear" w:color="auto" w:fill="auto"/>
            <w:hideMark/>
          </w:tcPr>
          <w:p w14:paraId="54C8BD05" w14:textId="0349FF0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Sydney NSW</w:t>
            </w:r>
          </w:p>
        </w:tc>
        <w:tc>
          <w:tcPr>
            <w:tcW w:w="1832" w:type="dxa"/>
            <w:shd w:val="clear" w:color="auto" w:fill="auto"/>
            <w:hideMark/>
          </w:tcPr>
          <w:p w14:paraId="34083E9C" w14:textId="48C9FBF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Eastern New South Wales</w:t>
            </w:r>
          </w:p>
        </w:tc>
        <w:tc>
          <w:tcPr>
            <w:tcW w:w="1591" w:type="dxa"/>
            <w:shd w:val="clear" w:color="auto" w:fill="auto"/>
            <w:hideMark/>
          </w:tcPr>
          <w:p w14:paraId="3B56BFB0" w14:textId="07D3608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0A0494B0" w14:textId="532B4EA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6CC8DDEE" w14:textId="3F74F8D7"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21</w:t>
            </w:r>
          </w:p>
        </w:tc>
      </w:tr>
      <w:tr w:rsidR="0093006A" w:rsidRPr="0093006A" w14:paraId="3788D59C" w14:textId="77777777" w:rsidTr="0048465C">
        <w:trPr>
          <w:trHeight w:val="900"/>
        </w:trPr>
        <w:tc>
          <w:tcPr>
            <w:tcW w:w="562" w:type="dxa"/>
            <w:shd w:val="clear" w:color="auto" w:fill="auto"/>
            <w:hideMark/>
          </w:tcPr>
          <w:p w14:paraId="4A92EDAA" w14:textId="10DD054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50</w:t>
            </w:r>
          </w:p>
        </w:tc>
        <w:tc>
          <w:tcPr>
            <w:tcW w:w="1003" w:type="dxa"/>
            <w:shd w:val="clear" w:color="auto" w:fill="auto"/>
            <w:hideMark/>
          </w:tcPr>
          <w:p w14:paraId="01B46243" w14:textId="0A1FBC2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16 Sep</w:t>
            </w:r>
          </w:p>
        </w:tc>
        <w:tc>
          <w:tcPr>
            <w:tcW w:w="1832" w:type="dxa"/>
            <w:shd w:val="clear" w:color="auto" w:fill="auto"/>
            <w:hideMark/>
          </w:tcPr>
          <w:p w14:paraId="002A4D1B" w14:textId="7E81CB5A"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Mackay QLD</w:t>
            </w:r>
          </w:p>
        </w:tc>
        <w:tc>
          <w:tcPr>
            <w:tcW w:w="1832" w:type="dxa"/>
            <w:shd w:val="clear" w:color="auto" w:fill="auto"/>
            <w:hideMark/>
          </w:tcPr>
          <w:p w14:paraId="71DCB117" w14:textId="54633BD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North Queensland </w:t>
            </w:r>
          </w:p>
        </w:tc>
        <w:tc>
          <w:tcPr>
            <w:tcW w:w="1591" w:type="dxa"/>
            <w:shd w:val="clear" w:color="auto" w:fill="auto"/>
            <w:hideMark/>
          </w:tcPr>
          <w:p w14:paraId="3A82BD9B" w14:textId="7DFAD88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44B0AF83" w14:textId="1B50B850"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58" w:type="dxa"/>
            <w:shd w:val="clear" w:color="auto" w:fill="auto"/>
            <w:hideMark/>
          </w:tcPr>
          <w:p w14:paraId="494A0403" w14:textId="02BB9AD3"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17</w:t>
            </w:r>
          </w:p>
        </w:tc>
      </w:tr>
      <w:tr w:rsidR="0093006A" w:rsidRPr="0093006A" w14:paraId="6A06FA81" w14:textId="77777777" w:rsidTr="0048465C">
        <w:trPr>
          <w:trHeight w:val="900"/>
        </w:trPr>
        <w:tc>
          <w:tcPr>
            <w:tcW w:w="562" w:type="dxa"/>
            <w:shd w:val="clear" w:color="auto" w:fill="auto"/>
            <w:hideMark/>
          </w:tcPr>
          <w:p w14:paraId="17779871" w14:textId="1AF3908D"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51</w:t>
            </w:r>
          </w:p>
        </w:tc>
        <w:tc>
          <w:tcPr>
            <w:tcW w:w="1003" w:type="dxa"/>
            <w:shd w:val="clear" w:color="auto" w:fill="auto"/>
            <w:hideMark/>
          </w:tcPr>
          <w:p w14:paraId="621FE790" w14:textId="0CFD3EC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17 Sep</w:t>
            </w:r>
          </w:p>
        </w:tc>
        <w:tc>
          <w:tcPr>
            <w:tcW w:w="1832" w:type="dxa"/>
            <w:shd w:val="clear" w:color="auto" w:fill="auto"/>
            <w:hideMark/>
          </w:tcPr>
          <w:p w14:paraId="7D036835" w14:textId="6A5E0BB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NSW North Coast</w:t>
            </w:r>
          </w:p>
        </w:tc>
        <w:tc>
          <w:tcPr>
            <w:tcW w:w="1832" w:type="dxa"/>
            <w:shd w:val="clear" w:color="auto" w:fill="auto"/>
            <w:hideMark/>
          </w:tcPr>
          <w:p w14:paraId="06C1C4D9" w14:textId="34F3765E"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Eastern New South Wales</w:t>
            </w:r>
          </w:p>
        </w:tc>
        <w:tc>
          <w:tcPr>
            <w:tcW w:w="1591" w:type="dxa"/>
            <w:shd w:val="clear" w:color="auto" w:fill="auto"/>
            <w:hideMark/>
          </w:tcPr>
          <w:p w14:paraId="52A97B98" w14:textId="7B10D1A8"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4AF749FD" w14:textId="4F480E3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0BDE4B9A" w14:textId="1A57563D"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8</w:t>
            </w:r>
          </w:p>
        </w:tc>
      </w:tr>
      <w:tr w:rsidR="0093006A" w:rsidRPr="0093006A" w14:paraId="37BA3FFE" w14:textId="77777777" w:rsidTr="0048465C">
        <w:trPr>
          <w:trHeight w:val="900"/>
        </w:trPr>
        <w:tc>
          <w:tcPr>
            <w:tcW w:w="562" w:type="dxa"/>
            <w:shd w:val="clear" w:color="auto" w:fill="auto"/>
            <w:hideMark/>
          </w:tcPr>
          <w:p w14:paraId="28C52379" w14:textId="051CE83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52</w:t>
            </w:r>
          </w:p>
        </w:tc>
        <w:tc>
          <w:tcPr>
            <w:tcW w:w="1003" w:type="dxa"/>
            <w:shd w:val="clear" w:color="auto" w:fill="auto"/>
            <w:hideMark/>
          </w:tcPr>
          <w:p w14:paraId="2DEE8F0F" w14:textId="410592D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17 Sep</w:t>
            </w:r>
          </w:p>
        </w:tc>
        <w:tc>
          <w:tcPr>
            <w:tcW w:w="1832" w:type="dxa"/>
            <w:shd w:val="clear" w:color="auto" w:fill="auto"/>
            <w:hideMark/>
          </w:tcPr>
          <w:p w14:paraId="33F2EB79" w14:textId="0DDF54E5"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Empowered Communities (National)</w:t>
            </w:r>
          </w:p>
        </w:tc>
        <w:tc>
          <w:tcPr>
            <w:tcW w:w="1832" w:type="dxa"/>
            <w:shd w:val="clear" w:color="auto" w:fill="auto"/>
            <w:hideMark/>
          </w:tcPr>
          <w:p w14:paraId="09403D34" w14:textId="4BC8824C"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w:t>
            </w:r>
          </w:p>
        </w:tc>
        <w:tc>
          <w:tcPr>
            <w:tcW w:w="1591" w:type="dxa"/>
            <w:shd w:val="clear" w:color="auto" w:fill="auto"/>
            <w:hideMark/>
          </w:tcPr>
          <w:p w14:paraId="0078A8DE" w14:textId="663B84C9"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2FF3103C" w14:textId="1461F16F"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1AC2A17F" w14:textId="0C77DDB5"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12</w:t>
            </w:r>
          </w:p>
        </w:tc>
      </w:tr>
      <w:tr w:rsidR="00695E0A" w:rsidRPr="0093006A" w14:paraId="6F6342BB" w14:textId="77777777" w:rsidTr="0048465C">
        <w:trPr>
          <w:trHeight w:val="900"/>
        </w:trPr>
        <w:tc>
          <w:tcPr>
            <w:tcW w:w="562" w:type="dxa"/>
            <w:shd w:val="clear" w:color="auto" w:fill="auto"/>
            <w:hideMark/>
          </w:tcPr>
          <w:p w14:paraId="7F35D3F7" w14:textId="686683E4"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53</w:t>
            </w:r>
          </w:p>
        </w:tc>
        <w:tc>
          <w:tcPr>
            <w:tcW w:w="1003" w:type="dxa"/>
            <w:shd w:val="clear" w:color="auto" w:fill="auto"/>
            <w:hideMark/>
          </w:tcPr>
          <w:p w14:paraId="4F11A769" w14:textId="3FDE9DD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17 Sep</w:t>
            </w:r>
          </w:p>
        </w:tc>
        <w:tc>
          <w:tcPr>
            <w:tcW w:w="1832" w:type="dxa"/>
            <w:shd w:val="clear" w:color="auto" w:fill="auto"/>
            <w:hideMark/>
          </w:tcPr>
          <w:p w14:paraId="73504A92" w14:textId="5A5A1D0B"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Empowered Communities NSW</w:t>
            </w:r>
          </w:p>
        </w:tc>
        <w:tc>
          <w:tcPr>
            <w:tcW w:w="1832" w:type="dxa"/>
            <w:shd w:val="clear" w:color="auto" w:fill="auto"/>
            <w:hideMark/>
          </w:tcPr>
          <w:p w14:paraId="6A49C4AA" w14:textId="4E1903F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Eastern New South Wales</w:t>
            </w:r>
          </w:p>
        </w:tc>
        <w:tc>
          <w:tcPr>
            <w:tcW w:w="1591" w:type="dxa"/>
            <w:shd w:val="clear" w:color="auto" w:fill="auto"/>
            <w:hideMark/>
          </w:tcPr>
          <w:p w14:paraId="2B0A90E4" w14:textId="30B9F3D2"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145" w:type="dxa"/>
            <w:shd w:val="clear" w:color="auto" w:fill="auto"/>
            <w:hideMark/>
          </w:tcPr>
          <w:p w14:paraId="4F653A38" w14:textId="68CB9801"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58" w:type="dxa"/>
            <w:shd w:val="clear" w:color="auto" w:fill="auto"/>
            <w:hideMark/>
          </w:tcPr>
          <w:p w14:paraId="79774371" w14:textId="65933A99" w:rsidR="00695E0A" w:rsidRPr="0093006A" w:rsidRDefault="00695E0A" w:rsidP="00695E0A">
            <w:pPr>
              <w:jc w:val="right"/>
              <w:rPr>
                <w:rFonts w:eastAsia="Times New Roman" w:cs="Arial"/>
                <w:color w:val="595959" w:themeColor="text1" w:themeTint="A6"/>
                <w:highlight w:val="yellow"/>
              </w:rPr>
            </w:pPr>
            <w:r w:rsidRPr="0093006A">
              <w:rPr>
                <w:rFonts w:eastAsia="Times New Roman" w:cs="Arial"/>
                <w:color w:val="595959" w:themeColor="text1" w:themeTint="A6"/>
              </w:rPr>
              <w:t>27</w:t>
            </w:r>
          </w:p>
        </w:tc>
      </w:tr>
    </w:tbl>
    <w:p w14:paraId="67941CBB" w14:textId="77777777" w:rsidR="008A2081" w:rsidRPr="0093006A" w:rsidRDefault="008A2081" w:rsidP="008A2081">
      <w:pPr>
        <w:rPr>
          <w:color w:val="595959" w:themeColor="text1" w:themeTint="A6"/>
        </w:rPr>
      </w:pPr>
    </w:p>
    <w:p w14:paraId="2DA74D3D" w14:textId="2920247B" w:rsidR="008A2081" w:rsidRPr="0093006A" w:rsidRDefault="008A2081" w:rsidP="008A2081">
      <w:pPr>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w:t>
      </w:r>
      <w:r w:rsidR="00B05D5B" w:rsidRPr="0093006A">
        <w:rPr>
          <w:b/>
          <w:bCs/>
          <w:color w:val="595959" w:themeColor="text1" w:themeTint="A6"/>
          <w:sz w:val="24"/>
          <w:szCs w:val="24"/>
        </w:rPr>
        <w:t>2</w:t>
      </w:r>
      <w:r w:rsidRPr="0093006A">
        <w:rPr>
          <w:b/>
          <w:bCs/>
          <w:color w:val="595959" w:themeColor="text1" w:themeTint="A6"/>
          <w:sz w:val="24"/>
          <w:szCs w:val="24"/>
        </w:rPr>
        <w:t xml:space="preserve">: Arnhem Land and Groote </w:t>
      </w:r>
      <w:r w:rsidR="00DB728A" w:rsidRPr="0093006A">
        <w:rPr>
          <w:b/>
          <w:bCs/>
          <w:color w:val="595959" w:themeColor="text1" w:themeTint="A6"/>
          <w:sz w:val="24"/>
          <w:szCs w:val="24"/>
        </w:rPr>
        <w:t>Eylandt</w:t>
      </w:r>
      <w:r w:rsidRPr="0093006A">
        <w:rPr>
          <w:b/>
          <w:bCs/>
          <w:color w:val="595959" w:themeColor="text1" w:themeTint="A6"/>
          <w:sz w:val="24"/>
          <w:szCs w:val="24"/>
        </w:rPr>
        <w:t xml:space="preserve"> Region </w:t>
      </w:r>
    </w:p>
    <w:p w14:paraId="064ADE21" w14:textId="77777777" w:rsidR="008A2081" w:rsidRPr="0093006A" w:rsidRDefault="008A2081" w:rsidP="008A2081">
      <w:pPr>
        <w:rPr>
          <w:color w:val="595959" w:themeColor="text1" w:themeTint="A6"/>
        </w:rPr>
      </w:pPr>
    </w:p>
    <w:tbl>
      <w:tblPr>
        <w:tblW w:w="9613"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2: Arnhem Land and Groot Eylandt Region"/>
        <w:tblDescription w:val="Arnhem Land and Groot Eylandt Region Roundtable Participants by location"/>
      </w:tblPr>
      <w:tblGrid>
        <w:gridCol w:w="770"/>
        <w:gridCol w:w="1098"/>
        <w:gridCol w:w="2471"/>
        <w:gridCol w:w="2016"/>
        <w:gridCol w:w="1396"/>
        <w:gridCol w:w="1862"/>
      </w:tblGrid>
      <w:tr w:rsidR="0093006A" w:rsidRPr="0093006A" w14:paraId="13BBD36D" w14:textId="77777777" w:rsidTr="0076290B">
        <w:trPr>
          <w:cantSplit/>
          <w:trHeight w:val="903"/>
          <w:tblHeader/>
        </w:trPr>
        <w:tc>
          <w:tcPr>
            <w:tcW w:w="770" w:type="dxa"/>
            <w:shd w:val="clear" w:color="auto" w:fill="D9D9D9"/>
          </w:tcPr>
          <w:p w14:paraId="0138431D"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098" w:type="dxa"/>
            <w:shd w:val="clear" w:color="auto" w:fill="D9D9D9"/>
          </w:tcPr>
          <w:p w14:paraId="66736452"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471" w:type="dxa"/>
            <w:shd w:val="clear" w:color="auto" w:fill="D9D9D9"/>
          </w:tcPr>
          <w:p w14:paraId="73DC897F"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2016" w:type="dxa"/>
            <w:shd w:val="clear" w:color="auto" w:fill="D9D9D9"/>
          </w:tcPr>
          <w:p w14:paraId="6E93C9D1"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396" w:type="dxa"/>
            <w:shd w:val="clear" w:color="auto" w:fill="D9D9D9"/>
          </w:tcPr>
          <w:p w14:paraId="36B23A5B"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862" w:type="dxa"/>
            <w:shd w:val="clear" w:color="auto" w:fill="D9D9D9"/>
          </w:tcPr>
          <w:p w14:paraId="6E759065" w14:textId="77777777" w:rsidR="008A2081" w:rsidRPr="009E33CC" w:rsidRDefault="008A2081"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2F315CA4"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540AFE56" w14:textId="77777777" w:rsidTr="00981521">
        <w:trPr>
          <w:trHeight w:val="903"/>
        </w:trPr>
        <w:tc>
          <w:tcPr>
            <w:tcW w:w="770" w:type="dxa"/>
            <w:shd w:val="clear" w:color="auto" w:fill="auto"/>
            <w:hideMark/>
          </w:tcPr>
          <w:p w14:paraId="27AAB9E4"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26</w:t>
            </w:r>
          </w:p>
        </w:tc>
        <w:tc>
          <w:tcPr>
            <w:tcW w:w="1098" w:type="dxa"/>
            <w:shd w:val="clear" w:color="auto" w:fill="auto"/>
            <w:hideMark/>
          </w:tcPr>
          <w:p w14:paraId="5BAA29A2"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1 Sep</w:t>
            </w:r>
          </w:p>
        </w:tc>
        <w:tc>
          <w:tcPr>
            <w:tcW w:w="2471" w:type="dxa"/>
            <w:shd w:val="clear" w:color="auto" w:fill="auto"/>
            <w:hideMark/>
          </w:tcPr>
          <w:p w14:paraId="2A0C0278"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 xml:space="preserve">Nhulunbuy NT </w:t>
            </w:r>
          </w:p>
        </w:tc>
        <w:tc>
          <w:tcPr>
            <w:tcW w:w="2016" w:type="dxa"/>
            <w:shd w:val="clear" w:color="auto" w:fill="auto"/>
            <w:hideMark/>
          </w:tcPr>
          <w:p w14:paraId="29C78E89"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Town Hall</w:t>
            </w:r>
          </w:p>
        </w:tc>
        <w:tc>
          <w:tcPr>
            <w:tcW w:w="1396" w:type="dxa"/>
            <w:shd w:val="clear" w:color="auto" w:fill="auto"/>
            <w:hideMark/>
          </w:tcPr>
          <w:p w14:paraId="67B3E88C"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In-person</w:t>
            </w:r>
          </w:p>
        </w:tc>
        <w:tc>
          <w:tcPr>
            <w:tcW w:w="1862" w:type="dxa"/>
            <w:shd w:val="clear" w:color="auto" w:fill="auto"/>
            <w:hideMark/>
          </w:tcPr>
          <w:p w14:paraId="7BED2756" w14:textId="77777777" w:rsidR="008A2081" w:rsidRPr="0093006A" w:rsidRDefault="008A2081" w:rsidP="0048465C">
            <w:pPr>
              <w:jc w:val="right"/>
              <w:rPr>
                <w:rFonts w:eastAsia="Times New Roman" w:cs="Arial"/>
                <w:color w:val="595959" w:themeColor="text1" w:themeTint="A6"/>
              </w:rPr>
            </w:pPr>
            <w:r w:rsidRPr="0093006A">
              <w:rPr>
                <w:rFonts w:eastAsia="Times New Roman" w:cs="Arial"/>
                <w:color w:val="595959" w:themeColor="text1" w:themeTint="A6"/>
              </w:rPr>
              <w:t>13</w:t>
            </w:r>
          </w:p>
        </w:tc>
      </w:tr>
      <w:tr w:rsidR="0093006A" w:rsidRPr="0093006A" w14:paraId="1923504B" w14:textId="77777777" w:rsidTr="00981521">
        <w:trPr>
          <w:trHeight w:val="903"/>
        </w:trPr>
        <w:tc>
          <w:tcPr>
            <w:tcW w:w="770" w:type="dxa"/>
            <w:shd w:val="clear" w:color="auto" w:fill="auto"/>
            <w:hideMark/>
          </w:tcPr>
          <w:p w14:paraId="44CBF8E4"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27</w:t>
            </w:r>
          </w:p>
        </w:tc>
        <w:tc>
          <w:tcPr>
            <w:tcW w:w="1098" w:type="dxa"/>
            <w:shd w:val="clear" w:color="auto" w:fill="auto"/>
            <w:hideMark/>
          </w:tcPr>
          <w:p w14:paraId="60181FE3"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1 Sep</w:t>
            </w:r>
          </w:p>
        </w:tc>
        <w:tc>
          <w:tcPr>
            <w:tcW w:w="2471" w:type="dxa"/>
            <w:shd w:val="clear" w:color="auto" w:fill="auto"/>
            <w:hideMark/>
          </w:tcPr>
          <w:p w14:paraId="188C383C"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Nhulunbuy NT</w:t>
            </w:r>
          </w:p>
        </w:tc>
        <w:tc>
          <w:tcPr>
            <w:tcW w:w="2016" w:type="dxa"/>
            <w:shd w:val="clear" w:color="auto" w:fill="auto"/>
            <w:hideMark/>
          </w:tcPr>
          <w:p w14:paraId="5656176F"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Roundtable</w:t>
            </w:r>
          </w:p>
        </w:tc>
        <w:tc>
          <w:tcPr>
            <w:tcW w:w="1396" w:type="dxa"/>
            <w:shd w:val="clear" w:color="auto" w:fill="auto"/>
            <w:hideMark/>
          </w:tcPr>
          <w:p w14:paraId="3FCDDBA9"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In-person</w:t>
            </w:r>
          </w:p>
        </w:tc>
        <w:tc>
          <w:tcPr>
            <w:tcW w:w="1862" w:type="dxa"/>
            <w:shd w:val="clear" w:color="auto" w:fill="auto"/>
            <w:hideMark/>
          </w:tcPr>
          <w:p w14:paraId="5770B02B" w14:textId="77777777" w:rsidR="008A2081" w:rsidRPr="0093006A" w:rsidRDefault="008A2081" w:rsidP="0048465C">
            <w:pPr>
              <w:jc w:val="right"/>
              <w:rPr>
                <w:rFonts w:eastAsia="Times New Roman" w:cs="Arial"/>
                <w:color w:val="595959" w:themeColor="text1" w:themeTint="A6"/>
              </w:rPr>
            </w:pPr>
            <w:r w:rsidRPr="0093006A">
              <w:rPr>
                <w:rFonts w:eastAsia="Times New Roman" w:cs="Arial"/>
                <w:color w:val="595959" w:themeColor="text1" w:themeTint="A6"/>
              </w:rPr>
              <w:t>14</w:t>
            </w:r>
          </w:p>
        </w:tc>
      </w:tr>
      <w:tr w:rsidR="0093006A" w:rsidRPr="0093006A" w14:paraId="4A2FCB64" w14:textId="77777777" w:rsidTr="00981521">
        <w:trPr>
          <w:trHeight w:val="903"/>
        </w:trPr>
        <w:tc>
          <w:tcPr>
            <w:tcW w:w="770" w:type="dxa"/>
            <w:shd w:val="clear" w:color="auto" w:fill="auto"/>
            <w:hideMark/>
          </w:tcPr>
          <w:p w14:paraId="7ACC0B95"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28</w:t>
            </w:r>
          </w:p>
        </w:tc>
        <w:tc>
          <w:tcPr>
            <w:tcW w:w="1098" w:type="dxa"/>
            <w:shd w:val="clear" w:color="auto" w:fill="auto"/>
            <w:hideMark/>
          </w:tcPr>
          <w:p w14:paraId="00E55821"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2 Sep</w:t>
            </w:r>
          </w:p>
        </w:tc>
        <w:tc>
          <w:tcPr>
            <w:tcW w:w="2471" w:type="dxa"/>
            <w:shd w:val="clear" w:color="auto" w:fill="auto"/>
            <w:hideMark/>
          </w:tcPr>
          <w:p w14:paraId="7972AD58"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Groote Eylandt NT</w:t>
            </w:r>
          </w:p>
        </w:tc>
        <w:tc>
          <w:tcPr>
            <w:tcW w:w="2016" w:type="dxa"/>
            <w:shd w:val="clear" w:color="auto" w:fill="auto"/>
            <w:hideMark/>
          </w:tcPr>
          <w:p w14:paraId="3F71147D"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Town Hall</w:t>
            </w:r>
          </w:p>
        </w:tc>
        <w:tc>
          <w:tcPr>
            <w:tcW w:w="1396" w:type="dxa"/>
            <w:shd w:val="clear" w:color="auto" w:fill="auto"/>
            <w:hideMark/>
          </w:tcPr>
          <w:p w14:paraId="702BC6AA"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In-person</w:t>
            </w:r>
          </w:p>
        </w:tc>
        <w:tc>
          <w:tcPr>
            <w:tcW w:w="1862" w:type="dxa"/>
            <w:shd w:val="clear" w:color="auto" w:fill="auto"/>
            <w:hideMark/>
          </w:tcPr>
          <w:p w14:paraId="5A715DFE" w14:textId="77777777" w:rsidR="008A2081" w:rsidRPr="0093006A" w:rsidRDefault="008A2081" w:rsidP="0048465C">
            <w:pPr>
              <w:jc w:val="right"/>
              <w:rPr>
                <w:rFonts w:eastAsia="Times New Roman" w:cs="Arial"/>
                <w:color w:val="595959" w:themeColor="text1" w:themeTint="A6"/>
              </w:rPr>
            </w:pPr>
            <w:r w:rsidRPr="0093006A">
              <w:rPr>
                <w:rFonts w:eastAsia="Times New Roman" w:cs="Arial"/>
                <w:color w:val="595959" w:themeColor="text1" w:themeTint="A6"/>
              </w:rPr>
              <w:t>5</w:t>
            </w:r>
          </w:p>
        </w:tc>
      </w:tr>
      <w:tr w:rsidR="0093006A" w:rsidRPr="0093006A" w14:paraId="5B7C6C9C" w14:textId="77777777" w:rsidTr="00981521">
        <w:trPr>
          <w:trHeight w:val="903"/>
        </w:trPr>
        <w:tc>
          <w:tcPr>
            <w:tcW w:w="770" w:type="dxa"/>
            <w:shd w:val="clear" w:color="auto" w:fill="auto"/>
          </w:tcPr>
          <w:p w14:paraId="269A874F"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30</w:t>
            </w:r>
          </w:p>
        </w:tc>
        <w:tc>
          <w:tcPr>
            <w:tcW w:w="1098" w:type="dxa"/>
            <w:shd w:val="clear" w:color="auto" w:fill="auto"/>
          </w:tcPr>
          <w:p w14:paraId="11459C39"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2 Sep</w:t>
            </w:r>
          </w:p>
        </w:tc>
        <w:tc>
          <w:tcPr>
            <w:tcW w:w="2471" w:type="dxa"/>
            <w:shd w:val="clear" w:color="auto" w:fill="auto"/>
          </w:tcPr>
          <w:p w14:paraId="3686E4DD"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Groote Eylandt NT</w:t>
            </w:r>
          </w:p>
        </w:tc>
        <w:tc>
          <w:tcPr>
            <w:tcW w:w="2016" w:type="dxa"/>
            <w:shd w:val="clear" w:color="auto" w:fill="auto"/>
          </w:tcPr>
          <w:p w14:paraId="7006C7ED"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Roundtable</w:t>
            </w:r>
          </w:p>
        </w:tc>
        <w:tc>
          <w:tcPr>
            <w:tcW w:w="1396" w:type="dxa"/>
            <w:shd w:val="clear" w:color="auto" w:fill="auto"/>
          </w:tcPr>
          <w:p w14:paraId="4F30C08A"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Virtual</w:t>
            </w:r>
          </w:p>
        </w:tc>
        <w:tc>
          <w:tcPr>
            <w:tcW w:w="1862" w:type="dxa"/>
            <w:shd w:val="clear" w:color="auto" w:fill="auto"/>
          </w:tcPr>
          <w:p w14:paraId="1C574846" w14:textId="77777777" w:rsidR="008A2081" w:rsidRPr="0093006A" w:rsidRDefault="008A2081" w:rsidP="0048465C">
            <w:pPr>
              <w:jc w:val="right"/>
              <w:rPr>
                <w:rFonts w:eastAsia="Times New Roman" w:cs="Arial"/>
                <w:color w:val="595959" w:themeColor="text1" w:themeTint="A6"/>
              </w:rPr>
            </w:pPr>
            <w:r w:rsidRPr="0093006A">
              <w:rPr>
                <w:rFonts w:eastAsia="Times New Roman" w:cs="Arial"/>
                <w:color w:val="595959" w:themeColor="text1" w:themeTint="A6"/>
              </w:rPr>
              <w:t>7</w:t>
            </w:r>
          </w:p>
        </w:tc>
      </w:tr>
      <w:tr w:rsidR="008A2081" w:rsidRPr="0093006A" w14:paraId="73B09715" w14:textId="77777777" w:rsidTr="00981521">
        <w:trPr>
          <w:trHeight w:val="903"/>
        </w:trPr>
        <w:tc>
          <w:tcPr>
            <w:tcW w:w="770" w:type="dxa"/>
            <w:shd w:val="clear" w:color="auto" w:fill="auto"/>
          </w:tcPr>
          <w:p w14:paraId="4F5F8BF1"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37</w:t>
            </w:r>
          </w:p>
        </w:tc>
        <w:tc>
          <w:tcPr>
            <w:tcW w:w="1098" w:type="dxa"/>
            <w:shd w:val="clear" w:color="auto" w:fill="auto"/>
          </w:tcPr>
          <w:p w14:paraId="1F886C47"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9 Sep</w:t>
            </w:r>
          </w:p>
        </w:tc>
        <w:tc>
          <w:tcPr>
            <w:tcW w:w="2471" w:type="dxa"/>
            <w:shd w:val="clear" w:color="auto" w:fill="auto"/>
          </w:tcPr>
          <w:p w14:paraId="4FAE9D75"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Maningrida NT</w:t>
            </w:r>
          </w:p>
        </w:tc>
        <w:tc>
          <w:tcPr>
            <w:tcW w:w="2016" w:type="dxa"/>
            <w:shd w:val="clear" w:color="auto" w:fill="auto"/>
          </w:tcPr>
          <w:p w14:paraId="78DB7E26"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Roundtable</w:t>
            </w:r>
          </w:p>
        </w:tc>
        <w:tc>
          <w:tcPr>
            <w:tcW w:w="1396" w:type="dxa"/>
            <w:shd w:val="clear" w:color="auto" w:fill="auto"/>
          </w:tcPr>
          <w:p w14:paraId="1783602F" w14:textId="77777777" w:rsidR="008A2081" w:rsidRPr="0093006A" w:rsidRDefault="008A2081" w:rsidP="0048465C">
            <w:pPr>
              <w:rPr>
                <w:rFonts w:eastAsia="Times New Roman" w:cs="Arial"/>
                <w:color w:val="595959" w:themeColor="text1" w:themeTint="A6"/>
              </w:rPr>
            </w:pPr>
            <w:r w:rsidRPr="0093006A">
              <w:rPr>
                <w:rFonts w:eastAsia="Times New Roman" w:cs="Arial"/>
                <w:color w:val="595959" w:themeColor="text1" w:themeTint="A6"/>
              </w:rPr>
              <w:t>In-person</w:t>
            </w:r>
          </w:p>
        </w:tc>
        <w:tc>
          <w:tcPr>
            <w:tcW w:w="1862" w:type="dxa"/>
            <w:shd w:val="clear" w:color="auto" w:fill="auto"/>
          </w:tcPr>
          <w:p w14:paraId="260D9F9A" w14:textId="77777777" w:rsidR="008A2081" w:rsidRPr="0093006A" w:rsidRDefault="008A2081" w:rsidP="0048465C">
            <w:pPr>
              <w:jc w:val="right"/>
              <w:rPr>
                <w:rFonts w:eastAsia="Times New Roman" w:cs="Arial"/>
                <w:color w:val="595959" w:themeColor="text1" w:themeTint="A6"/>
              </w:rPr>
            </w:pPr>
            <w:r w:rsidRPr="0093006A">
              <w:rPr>
                <w:rFonts w:eastAsia="Times New Roman" w:cs="Arial"/>
                <w:color w:val="595959" w:themeColor="text1" w:themeTint="A6"/>
              </w:rPr>
              <w:t>8</w:t>
            </w:r>
          </w:p>
        </w:tc>
      </w:tr>
    </w:tbl>
    <w:p w14:paraId="58A0ED0D" w14:textId="01704031" w:rsidR="008A2081" w:rsidRPr="0093006A" w:rsidRDefault="008A2081" w:rsidP="008A2081">
      <w:pPr>
        <w:rPr>
          <w:color w:val="595959" w:themeColor="text1" w:themeTint="A6"/>
        </w:rPr>
      </w:pPr>
    </w:p>
    <w:p w14:paraId="0FDC9696" w14:textId="77777777" w:rsidR="00B05D5B" w:rsidRPr="0093006A" w:rsidRDefault="00B05D5B" w:rsidP="008A2081">
      <w:pPr>
        <w:rPr>
          <w:color w:val="595959" w:themeColor="text1" w:themeTint="A6"/>
        </w:rPr>
      </w:pPr>
    </w:p>
    <w:p w14:paraId="349B523D" w14:textId="7281C054" w:rsidR="00695E0A" w:rsidRPr="0093006A" w:rsidRDefault="00695E0A" w:rsidP="008A2081">
      <w:pPr>
        <w:rPr>
          <w:color w:val="595959" w:themeColor="text1" w:themeTint="A6"/>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w:t>
      </w:r>
      <w:r w:rsidR="00B05D5B" w:rsidRPr="0093006A">
        <w:rPr>
          <w:b/>
          <w:bCs/>
          <w:color w:val="595959" w:themeColor="text1" w:themeTint="A6"/>
          <w:sz w:val="24"/>
          <w:szCs w:val="24"/>
        </w:rPr>
        <w:t>3</w:t>
      </w:r>
      <w:r w:rsidRPr="0093006A">
        <w:rPr>
          <w:b/>
          <w:bCs/>
          <w:color w:val="595959" w:themeColor="text1" w:themeTint="A6"/>
          <w:sz w:val="24"/>
          <w:szCs w:val="24"/>
        </w:rPr>
        <w:t xml:space="preserve">: Top End and Tiwi Islands Region </w:t>
      </w:r>
    </w:p>
    <w:p w14:paraId="58D78C3D" w14:textId="147E74EE" w:rsidR="00695E0A" w:rsidRPr="0093006A" w:rsidRDefault="00695E0A" w:rsidP="008A2081">
      <w:pPr>
        <w:rPr>
          <w:color w:val="595959" w:themeColor="text1" w:themeTint="A6"/>
        </w:rPr>
      </w:pPr>
    </w:p>
    <w:tbl>
      <w:tblPr>
        <w:tblW w:w="9684"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3: Top End and Tiwi Islands Region"/>
        <w:tblDescription w:val="Top End and Tiwi Islands Region Roundtable Participants by location"/>
      </w:tblPr>
      <w:tblGrid>
        <w:gridCol w:w="787"/>
        <w:gridCol w:w="1154"/>
        <w:gridCol w:w="2484"/>
        <w:gridCol w:w="2083"/>
        <w:gridCol w:w="1442"/>
        <w:gridCol w:w="1734"/>
      </w:tblGrid>
      <w:tr w:rsidR="0093006A" w:rsidRPr="0093006A" w14:paraId="5C2D5E97" w14:textId="77777777" w:rsidTr="0076290B">
        <w:trPr>
          <w:cantSplit/>
          <w:trHeight w:val="908"/>
          <w:tblHeader/>
        </w:trPr>
        <w:tc>
          <w:tcPr>
            <w:tcW w:w="787" w:type="dxa"/>
            <w:shd w:val="clear" w:color="auto" w:fill="D9D9D9"/>
          </w:tcPr>
          <w:p w14:paraId="5E13ADE2" w14:textId="77777777" w:rsidR="00B05D5B" w:rsidRPr="009E33CC" w:rsidRDefault="00B05D5B" w:rsidP="00FB3CC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154" w:type="dxa"/>
            <w:shd w:val="clear" w:color="auto" w:fill="D9D9D9"/>
          </w:tcPr>
          <w:p w14:paraId="34029FDA" w14:textId="77777777" w:rsidR="00B05D5B" w:rsidRPr="009E33CC" w:rsidRDefault="00B05D5B" w:rsidP="00FB3CC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484" w:type="dxa"/>
            <w:shd w:val="clear" w:color="auto" w:fill="D9D9D9"/>
          </w:tcPr>
          <w:p w14:paraId="63BB457C" w14:textId="77777777" w:rsidR="00B05D5B" w:rsidRPr="009E33CC" w:rsidRDefault="00B05D5B" w:rsidP="00FB3CC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2083" w:type="dxa"/>
            <w:shd w:val="clear" w:color="auto" w:fill="D9D9D9"/>
          </w:tcPr>
          <w:p w14:paraId="22659757" w14:textId="77777777" w:rsidR="00B05D5B" w:rsidRPr="009E33CC" w:rsidRDefault="00B05D5B" w:rsidP="00FB3CC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442" w:type="dxa"/>
            <w:shd w:val="clear" w:color="auto" w:fill="D9D9D9"/>
          </w:tcPr>
          <w:p w14:paraId="2E6BB0A9" w14:textId="77777777" w:rsidR="00B05D5B" w:rsidRPr="009E33CC" w:rsidRDefault="00B05D5B" w:rsidP="00FB3CCC">
            <w:pPr>
              <w:ind w:hanging="20"/>
              <w:rPr>
                <w:rFonts w:eastAsia="Times New Roman" w:cs="Arial"/>
                <w:b/>
                <w:bCs/>
                <w:color w:val="595959" w:themeColor="text1" w:themeTint="A6"/>
              </w:rPr>
            </w:pPr>
            <w:r w:rsidRPr="009E33CC">
              <w:rPr>
                <w:rFonts w:eastAsia="Times New Roman" w:cs="Arial"/>
                <w:b/>
                <w:bCs/>
                <w:color w:val="595959" w:themeColor="text1" w:themeTint="A6"/>
              </w:rPr>
              <w:t>Mode</w:t>
            </w:r>
          </w:p>
        </w:tc>
        <w:tc>
          <w:tcPr>
            <w:tcW w:w="1734" w:type="dxa"/>
            <w:shd w:val="clear" w:color="auto" w:fill="D9D9D9"/>
          </w:tcPr>
          <w:p w14:paraId="746504E1" w14:textId="77777777" w:rsidR="00B05D5B" w:rsidRPr="009E33CC" w:rsidRDefault="00B05D5B" w:rsidP="00FB3CC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6279227F" w14:textId="77777777" w:rsidR="00B05D5B" w:rsidRPr="009E33CC" w:rsidRDefault="00B05D5B" w:rsidP="00981521">
            <w:pP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5C725163" w14:textId="77777777" w:rsidTr="00981521">
        <w:trPr>
          <w:trHeight w:val="908"/>
        </w:trPr>
        <w:tc>
          <w:tcPr>
            <w:tcW w:w="787" w:type="dxa"/>
            <w:shd w:val="clear" w:color="auto" w:fill="auto"/>
            <w:hideMark/>
          </w:tcPr>
          <w:p w14:paraId="5392BBBE"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14</w:t>
            </w:r>
          </w:p>
        </w:tc>
        <w:tc>
          <w:tcPr>
            <w:tcW w:w="1154" w:type="dxa"/>
            <w:shd w:val="clear" w:color="auto" w:fill="auto"/>
            <w:hideMark/>
          </w:tcPr>
          <w:p w14:paraId="3F394FA6"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24 Aug</w:t>
            </w:r>
          </w:p>
        </w:tc>
        <w:tc>
          <w:tcPr>
            <w:tcW w:w="2484" w:type="dxa"/>
            <w:shd w:val="clear" w:color="auto" w:fill="auto"/>
            <w:hideMark/>
          </w:tcPr>
          <w:p w14:paraId="14B1752A"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Darwin</w:t>
            </w:r>
          </w:p>
        </w:tc>
        <w:tc>
          <w:tcPr>
            <w:tcW w:w="2083" w:type="dxa"/>
            <w:shd w:val="clear" w:color="auto" w:fill="auto"/>
            <w:hideMark/>
          </w:tcPr>
          <w:p w14:paraId="76E88846"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Roundtable</w:t>
            </w:r>
          </w:p>
        </w:tc>
        <w:tc>
          <w:tcPr>
            <w:tcW w:w="1442" w:type="dxa"/>
            <w:shd w:val="clear" w:color="auto" w:fill="auto"/>
            <w:hideMark/>
          </w:tcPr>
          <w:p w14:paraId="51C0D23A"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In-person</w:t>
            </w:r>
          </w:p>
        </w:tc>
        <w:tc>
          <w:tcPr>
            <w:tcW w:w="1734" w:type="dxa"/>
            <w:shd w:val="clear" w:color="auto" w:fill="auto"/>
            <w:hideMark/>
          </w:tcPr>
          <w:p w14:paraId="6D4DCB04" w14:textId="77777777" w:rsidR="00B05D5B" w:rsidRPr="0093006A" w:rsidRDefault="00B05D5B" w:rsidP="00FB3CCC">
            <w:pPr>
              <w:jc w:val="right"/>
              <w:rPr>
                <w:rFonts w:eastAsia="Times New Roman" w:cs="Arial"/>
                <w:color w:val="595959" w:themeColor="text1" w:themeTint="A6"/>
              </w:rPr>
            </w:pPr>
            <w:r w:rsidRPr="0093006A">
              <w:rPr>
                <w:rFonts w:eastAsia="Times New Roman" w:cs="Arial"/>
                <w:color w:val="595959" w:themeColor="text1" w:themeTint="A6"/>
              </w:rPr>
              <w:t>6</w:t>
            </w:r>
          </w:p>
        </w:tc>
      </w:tr>
      <w:tr w:rsidR="0093006A" w:rsidRPr="0093006A" w14:paraId="7D32963B" w14:textId="77777777" w:rsidTr="00981521">
        <w:trPr>
          <w:trHeight w:val="908"/>
        </w:trPr>
        <w:tc>
          <w:tcPr>
            <w:tcW w:w="787" w:type="dxa"/>
            <w:shd w:val="clear" w:color="auto" w:fill="auto"/>
            <w:hideMark/>
          </w:tcPr>
          <w:p w14:paraId="28A92366"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15</w:t>
            </w:r>
          </w:p>
        </w:tc>
        <w:tc>
          <w:tcPr>
            <w:tcW w:w="1154" w:type="dxa"/>
            <w:shd w:val="clear" w:color="auto" w:fill="auto"/>
            <w:hideMark/>
          </w:tcPr>
          <w:p w14:paraId="7BBFD120"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24 Aug</w:t>
            </w:r>
          </w:p>
        </w:tc>
        <w:tc>
          <w:tcPr>
            <w:tcW w:w="2484" w:type="dxa"/>
            <w:shd w:val="clear" w:color="auto" w:fill="auto"/>
            <w:hideMark/>
          </w:tcPr>
          <w:p w14:paraId="08C6A700"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Darwin</w:t>
            </w:r>
          </w:p>
        </w:tc>
        <w:tc>
          <w:tcPr>
            <w:tcW w:w="2083" w:type="dxa"/>
            <w:shd w:val="clear" w:color="auto" w:fill="auto"/>
            <w:hideMark/>
          </w:tcPr>
          <w:p w14:paraId="48014D8B"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Roundtable</w:t>
            </w:r>
          </w:p>
        </w:tc>
        <w:tc>
          <w:tcPr>
            <w:tcW w:w="1442" w:type="dxa"/>
            <w:shd w:val="clear" w:color="auto" w:fill="auto"/>
            <w:hideMark/>
          </w:tcPr>
          <w:p w14:paraId="75089D38"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In-person</w:t>
            </w:r>
          </w:p>
        </w:tc>
        <w:tc>
          <w:tcPr>
            <w:tcW w:w="1734" w:type="dxa"/>
            <w:shd w:val="clear" w:color="auto" w:fill="auto"/>
            <w:hideMark/>
          </w:tcPr>
          <w:p w14:paraId="6684515F" w14:textId="77777777" w:rsidR="00B05D5B" w:rsidRPr="0093006A" w:rsidRDefault="00B05D5B" w:rsidP="00FB3CCC">
            <w:pPr>
              <w:jc w:val="right"/>
              <w:rPr>
                <w:rFonts w:eastAsia="Times New Roman" w:cs="Arial"/>
                <w:color w:val="595959" w:themeColor="text1" w:themeTint="A6"/>
              </w:rPr>
            </w:pPr>
            <w:r w:rsidRPr="0093006A">
              <w:rPr>
                <w:rFonts w:eastAsia="Times New Roman" w:cs="Arial"/>
                <w:color w:val="595959" w:themeColor="text1" w:themeTint="A6"/>
              </w:rPr>
              <w:t>10</w:t>
            </w:r>
          </w:p>
        </w:tc>
      </w:tr>
      <w:tr w:rsidR="0093006A" w:rsidRPr="0093006A" w14:paraId="2F1EE21E" w14:textId="77777777" w:rsidTr="00981521">
        <w:trPr>
          <w:trHeight w:val="908"/>
        </w:trPr>
        <w:tc>
          <w:tcPr>
            <w:tcW w:w="787" w:type="dxa"/>
            <w:shd w:val="clear" w:color="auto" w:fill="auto"/>
          </w:tcPr>
          <w:p w14:paraId="18BA44C8"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18</w:t>
            </w:r>
          </w:p>
        </w:tc>
        <w:tc>
          <w:tcPr>
            <w:tcW w:w="1154" w:type="dxa"/>
            <w:shd w:val="clear" w:color="auto" w:fill="auto"/>
          </w:tcPr>
          <w:p w14:paraId="3CED5D23"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25 Aug</w:t>
            </w:r>
          </w:p>
        </w:tc>
        <w:tc>
          <w:tcPr>
            <w:tcW w:w="2484" w:type="dxa"/>
            <w:shd w:val="clear" w:color="auto" w:fill="auto"/>
          </w:tcPr>
          <w:p w14:paraId="791ACF31"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Darwin</w:t>
            </w:r>
          </w:p>
        </w:tc>
        <w:tc>
          <w:tcPr>
            <w:tcW w:w="2083" w:type="dxa"/>
            <w:shd w:val="clear" w:color="auto" w:fill="auto"/>
          </w:tcPr>
          <w:p w14:paraId="148B95F2"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Roundtable</w:t>
            </w:r>
          </w:p>
        </w:tc>
        <w:tc>
          <w:tcPr>
            <w:tcW w:w="1442" w:type="dxa"/>
            <w:shd w:val="clear" w:color="auto" w:fill="auto"/>
          </w:tcPr>
          <w:p w14:paraId="4A04243A"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 xml:space="preserve">In-person </w:t>
            </w:r>
          </w:p>
        </w:tc>
        <w:tc>
          <w:tcPr>
            <w:tcW w:w="1734" w:type="dxa"/>
            <w:shd w:val="clear" w:color="auto" w:fill="auto"/>
          </w:tcPr>
          <w:p w14:paraId="1BEEB192" w14:textId="77777777" w:rsidR="00B05D5B" w:rsidRPr="0093006A" w:rsidRDefault="00B05D5B" w:rsidP="00FB3CCC">
            <w:pPr>
              <w:jc w:val="right"/>
              <w:rPr>
                <w:rFonts w:eastAsia="Times New Roman" w:cs="Arial"/>
                <w:color w:val="595959" w:themeColor="text1" w:themeTint="A6"/>
              </w:rPr>
            </w:pPr>
            <w:r w:rsidRPr="0093006A">
              <w:rPr>
                <w:rFonts w:eastAsia="Times New Roman" w:cs="Arial"/>
                <w:color w:val="595959" w:themeColor="text1" w:themeTint="A6"/>
              </w:rPr>
              <w:t>8</w:t>
            </w:r>
          </w:p>
        </w:tc>
      </w:tr>
      <w:tr w:rsidR="0093006A" w:rsidRPr="0093006A" w14:paraId="7D8DD09E" w14:textId="77777777" w:rsidTr="00981521">
        <w:trPr>
          <w:trHeight w:val="908"/>
        </w:trPr>
        <w:tc>
          <w:tcPr>
            <w:tcW w:w="787" w:type="dxa"/>
            <w:shd w:val="clear" w:color="auto" w:fill="auto"/>
          </w:tcPr>
          <w:p w14:paraId="4ED55597"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19</w:t>
            </w:r>
          </w:p>
        </w:tc>
        <w:tc>
          <w:tcPr>
            <w:tcW w:w="1154" w:type="dxa"/>
            <w:shd w:val="clear" w:color="auto" w:fill="auto"/>
          </w:tcPr>
          <w:p w14:paraId="694160A3"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25 Aug</w:t>
            </w:r>
          </w:p>
        </w:tc>
        <w:tc>
          <w:tcPr>
            <w:tcW w:w="2484" w:type="dxa"/>
            <w:shd w:val="clear" w:color="auto" w:fill="auto"/>
          </w:tcPr>
          <w:p w14:paraId="0C2544CE"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Darwin</w:t>
            </w:r>
          </w:p>
        </w:tc>
        <w:tc>
          <w:tcPr>
            <w:tcW w:w="2083" w:type="dxa"/>
            <w:shd w:val="clear" w:color="auto" w:fill="auto"/>
          </w:tcPr>
          <w:p w14:paraId="0CCD426B"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Roundtable</w:t>
            </w:r>
          </w:p>
        </w:tc>
        <w:tc>
          <w:tcPr>
            <w:tcW w:w="1442" w:type="dxa"/>
            <w:shd w:val="clear" w:color="auto" w:fill="auto"/>
          </w:tcPr>
          <w:p w14:paraId="3979C376"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Virtual</w:t>
            </w:r>
          </w:p>
        </w:tc>
        <w:tc>
          <w:tcPr>
            <w:tcW w:w="1734" w:type="dxa"/>
            <w:shd w:val="clear" w:color="auto" w:fill="auto"/>
          </w:tcPr>
          <w:p w14:paraId="0F4C4F60" w14:textId="77777777" w:rsidR="00B05D5B" w:rsidRPr="0093006A" w:rsidRDefault="00B05D5B" w:rsidP="00FB3CCC">
            <w:pPr>
              <w:jc w:val="right"/>
              <w:rPr>
                <w:rFonts w:eastAsia="Times New Roman" w:cs="Arial"/>
                <w:color w:val="595959" w:themeColor="text1" w:themeTint="A6"/>
              </w:rPr>
            </w:pPr>
            <w:r w:rsidRPr="0093006A">
              <w:rPr>
                <w:rFonts w:eastAsia="Times New Roman" w:cs="Arial"/>
                <w:color w:val="595959" w:themeColor="text1" w:themeTint="A6"/>
              </w:rPr>
              <w:t>6</w:t>
            </w:r>
          </w:p>
        </w:tc>
      </w:tr>
      <w:tr w:rsidR="0093006A" w:rsidRPr="0093006A" w14:paraId="2651AA21" w14:textId="77777777" w:rsidTr="00981521">
        <w:trPr>
          <w:trHeight w:val="908"/>
        </w:trPr>
        <w:tc>
          <w:tcPr>
            <w:tcW w:w="787" w:type="dxa"/>
            <w:shd w:val="clear" w:color="auto" w:fill="auto"/>
          </w:tcPr>
          <w:p w14:paraId="448926D3"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22</w:t>
            </w:r>
          </w:p>
        </w:tc>
        <w:tc>
          <w:tcPr>
            <w:tcW w:w="1154" w:type="dxa"/>
            <w:shd w:val="clear" w:color="auto" w:fill="auto"/>
          </w:tcPr>
          <w:p w14:paraId="5CA33601"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26 Aug</w:t>
            </w:r>
          </w:p>
        </w:tc>
        <w:tc>
          <w:tcPr>
            <w:tcW w:w="2484" w:type="dxa"/>
            <w:shd w:val="clear" w:color="auto" w:fill="auto"/>
          </w:tcPr>
          <w:p w14:paraId="7C5BBDE5"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Darwin</w:t>
            </w:r>
          </w:p>
        </w:tc>
        <w:tc>
          <w:tcPr>
            <w:tcW w:w="2083" w:type="dxa"/>
            <w:shd w:val="clear" w:color="auto" w:fill="auto"/>
          </w:tcPr>
          <w:p w14:paraId="6690EBDB"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Roundtable</w:t>
            </w:r>
          </w:p>
        </w:tc>
        <w:tc>
          <w:tcPr>
            <w:tcW w:w="1442" w:type="dxa"/>
            <w:shd w:val="clear" w:color="auto" w:fill="auto"/>
          </w:tcPr>
          <w:p w14:paraId="60B51F87"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In-person</w:t>
            </w:r>
          </w:p>
        </w:tc>
        <w:tc>
          <w:tcPr>
            <w:tcW w:w="1734" w:type="dxa"/>
            <w:shd w:val="clear" w:color="auto" w:fill="auto"/>
          </w:tcPr>
          <w:p w14:paraId="1F875842" w14:textId="77777777" w:rsidR="00B05D5B" w:rsidRPr="0093006A" w:rsidRDefault="00B05D5B" w:rsidP="00FB3CCC">
            <w:pPr>
              <w:jc w:val="right"/>
              <w:rPr>
                <w:rFonts w:eastAsia="Times New Roman" w:cs="Arial"/>
                <w:color w:val="595959" w:themeColor="text1" w:themeTint="A6"/>
              </w:rPr>
            </w:pPr>
            <w:r w:rsidRPr="0093006A">
              <w:rPr>
                <w:rFonts w:eastAsia="Times New Roman" w:cs="Arial"/>
                <w:color w:val="595959" w:themeColor="text1" w:themeTint="A6"/>
              </w:rPr>
              <w:t>7</w:t>
            </w:r>
          </w:p>
        </w:tc>
      </w:tr>
      <w:tr w:rsidR="00B05D5B" w:rsidRPr="0093006A" w14:paraId="59B7F649" w14:textId="77777777" w:rsidTr="00981521">
        <w:trPr>
          <w:trHeight w:val="908"/>
        </w:trPr>
        <w:tc>
          <w:tcPr>
            <w:tcW w:w="787" w:type="dxa"/>
            <w:shd w:val="clear" w:color="auto" w:fill="auto"/>
          </w:tcPr>
          <w:p w14:paraId="25F878C6"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23</w:t>
            </w:r>
          </w:p>
        </w:tc>
        <w:tc>
          <w:tcPr>
            <w:tcW w:w="1154" w:type="dxa"/>
            <w:shd w:val="clear" w:color="auto" w:fill="auto"/>
          </w:tcPr>
          <w:p w14:paraId="483E1407"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27 Aug</w:t>
            </w:r>
          </w:p>
        </w:tc>
        <w:tc>
          <w:tcPr>
            <w:tcW w:w="2484" w:type="dxa"/>
            <w:shd w:val="clear" w:color="auto" w:fill="auto"/>
          </w:tcPr>
          <w:p w14:paraId="1093310E"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Darwin</w:t>
            </w:r>
          </w:p>
        </w:tc>
        <w:tc>
          <w:tcPr>
            <w:tcW w:w="2083" w:type="dxa"/>
            <w:shd w:val="clear" w:color="auto" w:fill="auto"/>
          </w:tcPr>
          <w:p w14:paraId="79CD97C3"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Town Hall</w:t>
            </w:r>
          </w:p>
        </w:tc>
        <w:tc>
          <w:tcPr>
            <w:tcW w:w="1442" w:type="dxa"/>
            <w:shd w:val="clear" w:color="auto" w:fill="auto"/>
          </w:tcPr>
          <w:p w14:paraId="5F43FE16" w14:textId="77777777" w:rsidR="00B05D5B" w:rsidRPr="0093006A" w:rsidRDefault="00B05D5B" w:rsidP="00FB3CCC">
            <w:pPr>
              <w:rPr>
                <w:rFonts w:eastAsia="Times New Roman" w:cs="Arial"/>
                <w:color w:val="595959" w:themeColor="text1" w:themeTint="A6"/>
              </w:rPr>
            </w:pPr>
            <w:r w:rsidRPr="0093006A">
              <w:rPr>
                <w:rFonts w:eastAsia="Times New Roman" w:cs="Arial"/>
                <w:color w:val="595959" w:themeColor="text1" w:themeTint="A6"/>
              </w:rPr>
              <w:t>In-person</w:t>
            </w:r>
          </w:p>
        </w:tc>
        <w:tc>
          <w:tcPr>
            <w:tcW w:w="1734" w:type="dxa"/>
            <w:shd w:val="clear" w:color="auto" w:fill="auto"/>
          </w:tcPr>
          <w:p w14:paraId="4E7781B6" w14:textId="77777777" w:rsidR="00B05D5B" w:rsidRPr="0093006A" w:rsidRDefault="00B05D5B" w:rsidP="00FB3CCC">
            <w:pPr>
              <w:jc w:val="right"/>
              <w:rPr>
                <w:rFonts w:eastAsia="Times New Roman" w:cs="Arial"/>
                <w:color w:val="595959" w:themeColor="text1" w:themeTint="A6"/>
              </w:rPr>
            </w:pPr>
            <w:r w:rsidRPr="0093006A">
              <w:rPr>
                <w:rFonts w:eastAsia="Times New Roman" w:cs="Arial"/>
                <w:color w:val="595959" w:themeColor="text1" w:themeTint="A6"/>
              </w:rPr>
              <w:t>5</w:t>
            </w:r>
          </w:p>
        </w:tc>
      </w:tr>
    </w:tbl>
    <w:p w14:paraId="0D48A452" w14:textId="36D4A56C" w:rsidR="00695E0A" w:rsidRPr="0093006A" w:rsidRDefault="00695E0A" w:rsidP="008A2081">
      <w:pPr>
        <w:rPr>
          <w:color w:val="595959" w:themeColor="text1" w:themeTint="A6"/>
        </w:rPr>
      </w:pPr>
    </w:p>
    <w:p w14:paraId="23B6273A" w14:textId="77777777" w:rsidR="0065098D" w:rsidRPr="0093006A" w:rsidRDefault="0065098D" w:rsidP="008A2081">
      <w:pPr>
        <w:rPr>
          <w:color w:val="595959" w:themeColor="text1" w:themeTint="A6"/>
        </w:rPr>
      </w:pPr>
    </w:p>
    <w:p w14:paraId="1C6F6EDC" w14:textId="2FD0DFC4" w:rsidR="008A2081" w:rsidRPr="0093006A" w:rsidRDefault="008A2081" w:rsidP="009E7864">
      <w:pPr>
        <w:rPr>
          <w:color w:val="595959" w:themeColor="text1" w:themeTint="A6"/>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w:t>
      </w:r>
      <w:r w:rsidR="00B05D5B" w:rsidRPr="0093006A">
        <w:rPr>
          <w:b/>
          <w:bCs/>
          <w:color w:val="595959" w:themeColor="text1" w:themeTint="A6"/>
          <w:sz w:val="24"/>
          <w:szCs w:val="24"/>
        </w:rPr>
        <w:t>4</w:t>
      </w:r>
      <w:r w:rsidRPr="0093006A">
        <w:rPr>
          <w:b/>
          <w:bCs/>
          <w:color w:val="595959" w:themeColor="text1" w:themeTint="A6"/>
          <w:sz w:val="24"/>
          <w:szCs w:val="24"/>
        </w:rPr>
        <w:t xml:space="preserve">: Central Australia Region </w:t>
      </w:r>
    </w:p>
    <w:tbl>
      <w:tblPr>
        <w:tblW w:w="9612"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4: Central Australia Region"/>
        <w:tblDescription w:val="Central Australia Region Roundtable Participants by location"/>
      </w:tblPr>
      <w:tblGrid>
        <w:gridCol w:w="770"/>
        <w:gridCol w:w="1241"/>
        <w:gridCol w:w="2482"/>
        <w:gridCol w:w="2017"/>
        <w:gridCol w:w="1396"/>
        <w:gridCol w:w="1706"/>
      </w:tblGrid>
      <w:tr w:rsidR="0093006A" w:rsidRPr="0093006A" w14:paraId="58D1283F" w14:textId="77777777" w:rsidTr="0076290B">
        <w:trPr>
          <w:cantSplit/>
          <w:trHeight w:val="912"/>
          <w:tblHeader/>
        </w:trPr>
        <w:tc>
          <w:tcPr>
            <w:tcW w:w="770" w:type="dxa"/>
            <w:shd w:val="clear" w:color="auto" w:fill="D9D9D9"/>
          </w:tcPr>
          <w:p w14:paraId="79FCABCF"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241" w:type="dxa"/>
            <w:shd w:val="clear" w:color="auto" w:fill="D9D9D9"/>
          </w:tcPr>
          <w:p w14:paraId="6D5825BF"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482" w:type="dxa"/>
            <w:shd w:val="clear" w:color="auto" w:fill="D9D9D9"/>
          </w:tcPr>
          <w:p w14:paraId="69AD12D6"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2017" w:type="dxa"/>
            <w:shd w:val="clear" w:color="auto" w:fill="D9D9D9"/>
          </w:tcPr>
          <w:p w14:paraId="2FB87EB9"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396" w:type="dxa"/>
            <w:shd w:val="clear" w:color="auto" w:fill="D9D9D9"/>
          </w:tcPr>
          <w:p w14:paraId="53E25706"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706" w:type="dxa"/>
            <w:shd w:val="clear" w:color="auto" w:fill="D9D9D9"/>
          </w:tcPr>
          <w:p w14:paraId="2D315686" w14:textId="741B5518" w:rsidR="008A2081" w:rsidRPr="009E33CC" w:rsidRDefault="008A2081"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r w:rsidR="002A3219" w:rsidRPr="009E33CC">
              <w:rPr>
                <w:rFonts w:eastAsia="Times New Roman" w:cs="Arial"/>
                <w:b/>
                <w:bCs/>
                <w:color w:val="595959" w:themeColor="text1" w:themeTint="A6"/>
              </w:rPr>
              <w:br/>
            </w:r>
            <w:r w:rsidRPr="009E33CC">
              <w:rPr>
                <w:rFonts w:eastAsia="Times New Roman" w:cs="Arial"/>
                <w:b/>
                <w:bCs/>
                <w:color w:val="595959" w:themeColor="text1" w:themeTint="A6"/>
              </w:rPr>
              <w:t>Participants</w:t>
            </w:r>
          </w:p>
        </w:tc>
      </w:tr>
      <w:tr w:rsidR="0093006A" w:rsidRPr="0093006A" w14:paraId="08D85EB4" w14:textId="77777777" w:rsidTr="00981521">
        <w:trPr>
          <w:trHeight w:val="912"/>
        </w:trPr>
        <w:tc>
          <w:tcPr>
            <w:tcW w:w="770" w:type="dxa"/>
            <w:shd w:val="clear" w:color="auto" w:fill="auto"/>
            <w:hideMark/>
          </w:tcPr>
          <w:p w14:paraId="6B01E35C"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5</w:t>
            </w:r>
          </w:p>
        </w:tc>
        <w:tc>
          <w:tcPr>
            <w:tcW w:w="1241" w:type="dxa"/>
            <w:shd w:val="clear" w:color="auto" w:fill="auto"/>
            <w:hideMark/>
          </w:tcPr>
          <w:p w14:paraId="427C1E88"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18 Aug</w:t>
            </w:r>
          </w:p>
        </w:tc>
        <w:tc>
          <w:tcPr>
            <w:tcW w:w="2482" w:type="dxa"/>
            <w:shd w:val="clear" w:color="auto" w:fill="auto"/>
            <w:hideMark/>
          </w:tcPr>
          <w:p w14:paraId="2EAC26A4"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Tennant Creek</w:t>
            </w:r>
          </w:p>
        </w:tc>
        <w:tc>
          <w:tcPr>
            <w:tcW w:w="2017" w:type="dxa"/>
            <w:shd w:val="clear" w:color="auto" w:fill="auto"/>
            <w:hideMark/>
          </w:tcPr>
          <w:p w14:paraId="1D533640"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96" w:type="dxa"/>
            <w:shd w:val="clear" w:color="auto" w:fill="auto"/>
            <w:hideMark/>
          </w:tcPr>
          <w:p w14:paraId="1C54F278"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706" w:type="dxa"/>
            <w:shd w:val="clear" w:color="auto" w:fill="auto"/>
            <w:hideMark/>
          </w:tcPr>
          <w:p w14:paraId="01E6A86F" w14:textId="7B2529C2"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12</w:t>
            </w:r>
          </w:p>
        </w:tc>
      </w:tr>
      <w:tr w:rsidR="00695E0A" w:rsidRPr="0093006A" w14:paraId="2D390F57" w14:textId="77777777" w:rsidTr="00981521">
        <w:trPr>
          <w:trHeight w:val="912"/>
        </w:trPr>
        <w:tc>
          <w:tcPr>
            <w:tcW w:w="770" w:type="dxa"/>
            <w:shd w:val="clear" w:color="auto" w:fill="auto"/>
          </w:tcPr>
          <w:p w14:paraId="6FB5D198"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7</w:t>
            </w:r>
          </w:p>
        </w:tc>
        <w:tc>
          <w:tcPr>
            <w:tcW w:w="1241" w:type="dxa"/>
            <w:shd w:val="clear" w:color="auto" w:fill="auto"/>
          </w:tcPr>
          <w:p w14:paraId="2D369984"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19 Aug</w:t>
            </w:r>
          </w:p>
        </w:tc>
        <w:tc>
          <w:tcPr>
            <w:tcW w:w="2482" w:type="dxa"/>
            <w:shd w:val="clear" w:color="auto" w:fill="auto"/>
          </w:tcPr>
          <w:p w14:paraId="22AC1779"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Alice Springs</w:t>
            </w:r>
          </w:p>
        </w:tc>
        <w:tc>
          <w:tcPr>
            <w:tcW w:w="2017" w:type="dxa"/>
            <w:shd w:val="clear" w:color="auto" w:fill="auto"/>
          </w:tcPr>
          <w:p w14:paraId="3F0D517A"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96" w:type="dxa"/>
            <w:shd w:val="clear" w:color="auto" w:fill="auto"/>
          </w:tcPr>
          <w:p w14:paraId="7CFB8AF6"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706" w:type="dxa"/>
            <w:shd w:val="clear" w:color="auto" w:fill="auto"/>
          </w:tcPr>
          <w:p w14:paraId="590EF0CF" w14:textId="5BBFE339"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28</w:t>
            </w:r>
          </w:p>
        </w:tc>
      </w:tr>
    </w:tbl>
    <w:p w14:paraId="1B4B654A" w14:textId="43397227" w:rsidR="002A3219" w:rsidRPr="0093006A" w:rsidRDefault="002A3219">
      <w:pPr>
        <w:rPr>
          <w:color w:val="595959" w:themeColor="text1" w:themeTint="A6"/>
          <w:sz w:val="26"/>
          <w:szCs w:val="26"/>
        </w:rPr>
      </w:pPr>
      <w:r w:rsidRPr="0093006A">
        <w:rPr>
          <w:color w:val="595959" w:themeColor="text1" w:themeTint="A6"/>
          <w:sz w:val="26"/>
          <w:szCs w:val="26"/>
        </w:rPr>
        <w:br w:type="page"/>
      </w:r>
    </w:p>
    <w:p w14:paraId="3679979C" w14:textId="312A4E15" w:rsidR="008A2081" w:rsidRPr="0093006A" w:rsidRDefault="008A2081" w:rsidP="008A2081">
      <w:pPr>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w:t>
      </w:r>
      <w:r w:rsidR="00B05D5B" w:rsidRPr="0093006A">
        <w:rPr>
          <w:b/>
          <w:bCs/>
          <w:color w:val="595959" w:themeColor="text1" w:themeTint="A6"/>
          <w:sz w:val="24"/>
          <w:szCs w:val="24"/>
        </w:rPr>
        <w:t>5</w:t>
      </w:r>
      <w:r w:rsidRPr="0093006A">
        <w:rPr>
          <w:b/>
          <w:bCs/>
          <w:color w:val="595959" w:themeColor="text1" w:themeTint="A6"/>
          <w:sz w:val="24"/>
          <w:szCs w:val="24"/>
        </w:rPr>
        <w:t>: Greater Western Australia Region</w:t>
      </w:r>
    </w:p>
    <w:p w14:paraId="71BA04D6" w14:textId="77777777" w:rsidR="008A2081" w:rsidRPr="0093006A" w:rsidRDefault="008A2081" w:rsidP="008A2081">
      <w:pPr>
        <w:rPr>
          <w:color w:val="595959" w:themeColor="text1" w:themeTint="A6"/>
        </w:rPr>
      </w:pPr>
    </w:p>
    <w:tbl>
      <w:tblPr>
        <w:tblW w:w="9557"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5: Greater Western Australia Region"/>
        <w:tblDescription w:val="Greater Western Australia Region Roundtable Participants by location"/>
      </w:tblPr>
      <w:tblGrid>
        <w:gridCol w:w="766"/>
        <w:gridCol w:w="1234"/>
        <w:gridCol w:w="2468"/>
        <w:gridCol w:w="2005"/>
        <w:gridCol w:w="1388"/>
        <w:gridCol w:w="1696"/>
      </w:tblGrid>
      <w:tr w:rsidR="0093006A" w:rsidRPr="0093006A" w14:paraId="7CB77090" w14:textId="77777777" w:rsidTr="0076290B">
        <w:trPr>
          <w:cantSplit/>
          <w:trHeight w:val="913"/>
          <w:tblHeader/>
        </w:trPr>
        <w:tc>
          <w:tcPr>
            <w:tcW w:w="766" w:type="dxa"/>
            <w:shd w:val="clear" w:color="auto" w:fill="D9D9D9"/>
          </w:tcPr>
          <w:p w14:paraId="08588114"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234" w:type="dxa"/>
            <w:shd w:val="clear" w:color="auto" w:fill="D9D9D9"/>
          </w:tcPr>
          <w:p w14:paraId="465C8F24"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468" w:type="dxa"/>
            <w:shd w:val="clear" w:color="auto" w:fill="D9D9D9"/>
          </w:tcPr>
          <w:p w14:paraId="67EC3EBA"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2005" w:type="dxa"/>
            <w:shd w:val="clear" w:color="auto" w:fill="D9D9D9"/>
          </w:tcPr>
          <w:p w14:paraId="6D2F5FED"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388" w:type="dxa"/>
            <w:shd w:val="clear" w:color="auto" w:fill="D9D9D9"/>
          </w:tcPr>
          <w:p w14:paraId="4D7FF8B0"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696" w:type="dxa"/>
            <w:shd w:val="clear" w:color="auto" w:fill="D9D9D9"/>
          </w:tcPr>
          <w:p w14:paraId="41745FDD" w14:textId="77777777" w:rsidR="008A2081" w:rsidRPr="009E33CC" w:rsidRDefault="008A2081"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288E78A7"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384834B4" w14:textId="77777777" w:rsidTr="00981521">
        <w:trPr>
          <w:trHeight w:val="913"/>
        </w:trPr>
        <w:tc>
          <w:tcPr>
            <w:tcW w:w="766" w:type="dxa"/>
            <w:shd w:val="clear" w:color="auto" w:fill="auto"/>
          </w:tcPr>
          <w:p w14:paraId="2466329C"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13</w:t>
            </w:r>
          </w:p>
        </w:tc>
        <w:tc>
          <w:tcPr>
            <w:tcW w:w="1234" w:type="dxa"/>
            <w:shd w:val="clear" w:color="auto" w:fill="auto"/>
          </w:tcPr>
          <w:p w14:paraId="7FB04C88"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24 Aug</w:t>
            </w:r>
          </w:p>
        </w:tc>
        <w:tc>
          <w:tcPr>
            <w:tcW w:w="2468" w:type="dxa"/>
            <w:shd w:val="clear" w:color="auto" w:fill="auto"/>
          </w:tcPr>
          <w:p w14:paraId="2974F0A6"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Perth</w:t>
            </w:r>
          </w:p>
        </w:tc>
        <w:tc>
          <w:tcPr>
            <w:tcW w:w="2005" w:type="dxa"/>
            <w:shd w:val="clear" w:color="auto" w:fill="auto"/>
          </w:tcPr>
          <w:p w14:paraId="0640D1DF"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Town Hall</w:t>
            </w:r>
          </w:p>
        </w:tc>
        <w:tc>
          <w:tcPr>
            <w:tcW w:w="1388" w:type="dxa"/>
            <w:shd w:val="clear" w:color="auto" w:fill="auto"/>
          </w:tcPr>
          <w:p w14:paraId="7FC00903"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96" w:type="dxa"/>
            <w:shd w:val="clear" w:color="auto" w:fill="auto"/>
          </w:tcPr>
          <w:p w14:paraId="0526B05B" w14:textId="3F024E93"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23</w:t>
            </w:r>
          </w:p>
        </w:tc>
      </w:tr>
      <w:tr w:rsidR="0093006A" w:rsidRPr="0093006A" w14:paraId="328F7A06" w14:textId="77777777" w:rsidTr="00981521">
        <w:trPr>
          <w:trHeight w:val="913"/>
        </w:trPr>
        <w:tc>
          <w:tcPr>
            <w:tcW w:w="766" w:type="dxa"/>
            <w:shd w:val="clear" w:color="auto" w:fill="auto"/>
          </w:tcPr>
          <w:p w14:paraId="451AA639"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16</w:t>
            </w:r>
          </w:p>
        </w:tc>
        <w:tc>
          <w:tcPr>
            <w:tcW w:w="1234" w:type="dxa"/>
            <w:shd w:val="clear" w:color="auto" w:fill="auto"/>
          </w:tcPr>
          <w:p w14:paraId="2A67A177"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25 Aug</w:t>
            </w:r>
          </w:p>
        </w:tc>
        <w:tc>
          <w:tcPr>
            <w:tcW w:w="2468" w:type="dxa"/>
            <w:shd w:val="clear" w:color="auto" w:fill="auto"/>
          </w:tcPr>
          <w:p w14:paraId="64AA1404"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Pilbara WA</w:t>
            </w:r>
          </w:p>
        </w:tc>
        <w:tc>
          <w:tcPr>
            <w:tcW w:w="2005" w:type="dxa"/>
            <w:shd w:val="clear" w:color="auto" w:fill="auto"/>
          </w:tcPr>
          <w:p w14:paraId="6BCEC9B9"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88" w:type="dxa"/>
            <w:shd w:val="clear" w:color="auto" w:fill="auto"/>
          </w:tcPr>
          <w:p w14:paraId="771DAA1A"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96" w:type="dxa"/>
            <w:shd w:val="clear" w:color="auto" w:fill="auto"/>
          </w:tcPr>
          <w:p w14:paraId="481396DD" w14:textId="568D3A2A"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8</w:t>
            </w:r>
          </w:p>
        </w:tc>
      </w:tr>
      <w:tr w:rsidR="0093006A" w:rsidRPr="0093006A" w14:paraId="229E47ED" w14:textId="77777777" w:rsidTr="00981521">
        <w:trPr>
          <w:trHeight w:val="913"/>
        </w:trPr>
        <w:tc>
          <w:tcPr>
            <w:tcW w:w="766" w:type="dxa"/>
            <w:shd w:val="clear" w:color="auto" w:fill="auto"/>
          </w:tcPr>
          <w:p w14:paraId="4548F492"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17</w:t>
            </w:r>
          </w:p>
        </w:tc>
        <w:tc>
          <w:tcPr>
            <w:tcW w:w="1234" w:type="dxa"/>
            <w:shd w:val="clear" w:color="auto" w:fill="auto"/>
          </w:tcPr>
          <w:p w14:paraId="1ADB6E51"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25 Aug</w:t>
            </w:r>
          </w:p>
        </w:tc>
        <w:tc>
          <w:tcPr>
            <w:tcW w:w="2468" w:type="dxa"/>
            <w:shd w:val="clear" w:color="auto" w:fill="auto"/>
          </w:tcPr>
          <w:p w14:paraId="6F23D4C4"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Goldfields WA</w:t>
            </w:r>
          </w:p>
        </w:tc>
        <w:tc>
          <w:tcPr>
            <w:tcW w:w="2005" w:type="dxa"/>
            <w:shd w:val="clear" w:color="auto" w:fill="auto"/>
          </w:tcPr>
          <w:p w14:paraId="4CA65E03"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88" w:type="dxa"/>
            <w:shd w:val="clear" w:color="auto" w:fill="auto"/>
          </w:tcPr>
          <w:p w14:paraId="257167D7"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96" w:type="dxa"/>
            <w:shd w:val="clear" w:color="auto" w:fill="auto"/>
          </w:tcPr>
          <w:p w14:paraId="0AA97947" w14:textId="02FD3228"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3</w:t>
            </w:r>
          </w:p>
        </w:tc>
      </w:tr>
      <w:tr w:rsidR="0093006A" w:rsidRPr="0093006A" w14:paraId="38688C87" w14:textId="77777777" w:rsidTr="00981521">
        <w:trPr>
          <w:trHeight w:val="913"/>
        </w:trPr>
        <w:tc>
          <w:tcPr>
            <w:tcW w:w="766" w:type="dxa"/>
            <w:shd w:val="clear" w:color="auto" w:fill="auto"/>
          </w:tcPr>
          <w:p w14:paraId="2D3A0C3E"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20</w:t>
            </w:r>
          </w:p>
        </w:tc>
        <w:tc>
          <w:tcPr>
            <w:tcW w:w="1234" w:type="dxa"/>
            <w:shd w:val="clear" w:color="auto" w:fill="auto"/>
          </w:tcPr>
          <w:p w14:paraId="26F46265"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26 Aug</w:t>
            </w:r>
          </w:p>
        </w:tc>
        <w:tc>
          <w:tcPr>
            <w:tcW w:w="2468" w:type="dxa"/>
            <w:shd w:val="clear" w:color="auto" w:fill="auto"/>
          </w:tcPr>
          <w:p w14:paraId="086F7531"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Midwest WA</w:t>
            </w:r>
          </w:p>
        </w:tc>
        <w:tc>
          <w:tcPr>
            <w:tcW w:w="2005" w:type="dxa"/>
            <w:shd w:val="clear" w:color="auto" w:fill="auto"/>
          </w:tcPr>
          <w:p w14:paraId="36EF8AA1"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88" w:type="dxa"/>
            <w:shd w:val="clear" w:color="auto" w:fill="auto"/>
          </w:tcPr>
          <w:p w14:paraId="1EA61450"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96" w:type="dxa"/>
            <w:shd w:val="clear" w:color="auto" w:fill="auto"/>
          </w:tcPr>
          <w:p w14:paraId="64660206" w14:textId="4679D44A"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7</w:t>
            </w:r>
          </w:p>
        </w:tc>
      </w:tr>
      <w:tr w:rsidR="0093006A" w:rsidRPr="0093006A" w14:paraId="171271A3" w14:textId="77777777" w:rsidTr="00981521">
        <w:trPr>
          <w:trHeight w:val="913"/>
        </w:trPr>
        <w:tc>
          <w:tcPr>
            <w:tcW w:w="766" w:type="dxa"/>
            <w:shd w:val="clear" w:color="auto" w:fill="auto"/>
          </w:tcPr>
          <w:p w14:paraId="1DE3E38C"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21</w:t>
            </w:r>
          </w:p>
        </w:tc>
        <w:tc>
          <w:tcPr>
            <w:tcW w:w="1234" w:type="dxa"/>
            <w:shd w:val="clear" w:color="auto" w:fill="auto"/>
          </w:tcPr>
          <w:p w14:paraId="4A9D36CB"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26 Aug</w:t>
            </w:r>
          </w:p>
        </w:tc>
        <w:tc>
          <w:tcPr>
            <w:tcW w:w="2468" w:type="dxa"/>
            <w:shd w:val="clear" w:color="auto" w:fill="auto"/>
          </w:tcPr>
          <w:p w14:paraId="0C4BE7C9"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Southwest/</w:t>
            </w:r>
          </w:p>
          <w:p w14:paraId="5707BBEC"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 xml:space="preserve">Great Southern WA </w:t>
            </w:r>
          </w:p>
        </w:tc>
        <w:tc>
          <w:tcPr>
            <w:tcW w:w="2005" w:type="dxa"/>
            <w:shd w:val="clear" w:color="auto" w:fill="auto"/>
          </w:tcPr>
          <w:p w14:paraId="5EC12586"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88" w:type="dxa"/>
            <w:shd w:val="clear" w:color="auto" w:fill="auto"/>
          </w:tcPr>
          <w:p w14:paraId="32C968E3"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96" w:type="dxa"/>
            <w:shd w:val="clear" w:color="auto" w:fill="auto"/>
          </w:tcPr>
          <w:p w14:paraId="73C992D2" w14:textId="4AD1F7B9"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10</w:t>
            </w:r>
          </w:p>
        </w:tc>
      </w:tr>
      <w:tr w:rsidR="00695E0A" w:rsidRPr="0093006A" w14:paraId="5F1F284C" w14:textId="77777777" w:rsidTr="00981521">
        <w:trPr>
          <w:trHeight w:val="913"/>
        </w:trPr>
        <w:tc>
          <w:tcPr>
            <w:tcW w:w="766" w:type="dxa"/>
            <w:shd w:val="clear" w:color="auto" w:fill="auto"/>
          </w:tcPr>
          <w:p w14:paraId="399E2AB2"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24</w:t>
            </w:r>
          </w:p>
        </w:tc>
        <w:tc>
          <w:tcPr>
            <w:tcW w:w="1234" w:type="dxa"/>
            <w:shd w:val="clear" w:color="auto" w:fill="auto"/>
          </w:tcPr>
          <w:p w14:paraId="03D8B626"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27 Aug</w:t>
            </w:r>
          </w:p>
        </w:tc>
        <w:tc>
          <w:tcPr>
            <w:tcW w:w="2468" w:type="dxa"/>
            <w:shd w:val="clear" w:color="auto" w:fill="auto"/>
          </w:tcPr>
          <w:p w14:paraId="2BD08E39"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Greater Western Australia</w:t>
            </w:r>
          </w:p>
        </w:tc>
        <w:tc>
          <w:tcPr>
            <w:tcW w:w="2005" w:type="dxa"/>
            <w:shd w:val="clear" w:color="auto" w:fill="auto"/>
          </w:tcPr>
          <w:p w14:paraId="7AECDFF1"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88" w:type="dxa"/>
            <w:shd w:val="clear" w:color="auto" w:fill="auto"/>
          </w:tcPr>
          <w:p w14:paraId="6C582C71"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Virtual</w:t>
            </w:r>
          </w:p>
        </w:tc>
        <w:tc>
          <w:tcPr>
            <w:tcW w:w="1696" w:type="dxa"/>
            <w:shd w:val="clear" w:color="auto" w:fill="auto"/>
          </w:tcPr>
          <w:p w14:paraId="0DADC9B0" w14:textId="741940B5"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6</w:t>
            </w:r>
          </w:p>
        </w:tc>
      </w:tr>
    </w:tbl>
    <w:p w14:paraId="4959D0C3" w14:textId="77777777" w:rsidR="008A2081" w:rsidRPr="0093006A" w:rsidRDefault="008A2081" w:rsidP="008A2081">
      <w:pPr>
        <w:rPr>
          <w:color w:val="595959" w:themeColor="text1" w:themeTint="A6"/>
          <w:sz w:val="26"/>
          <w:szCs w:val="26"/>
        </w:rPr>
      </w:pPr>
    </w:p>
    <w:p w14:paraId="15AAAAED" w14:textId="76500FC1" w:rsidR="008A2081" w:rsidRPr="0093006A" w:rsidRDefault="008A2081" w:rsidP="008A2081">
      <w:pPr>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w:t>
      </w:r>
      <w:r w:rsidR="00B05D5B" w:rsidRPr="0093006A">
        <w:rPr>
          <w:b/>
          <w:bCs/>
          <w:color w:val="595959" w:themeColor="text1" w:themeTint="A6"/>
          <w:sz w:val="24"/>
          <w:szCs w:val="24"/>
        </w:rPr>
        <w:t>6</w:t>
      </w:r>
      <w:r w:rsidRPr="0093006A">
        <w:rPr>
          <w:b/>
          <w:bCs/>
          <w:color w:val="595959" w:themeColor="text1" w:themeTint="A6"/>
          <w:sz w:val="24"/>
          <w:szCs w:val="24"/>
        </w:rPr>
        <w:t xml:space="preserve">: Kimberley Region </w:t>
      </w:r>
    </w:p>
    <w:p w14:paraId="4F6BF0A8" w14:textId="77777777" w:rsidR="008A2081" w:rsidRPr="0093006A" w:rsidRDefault="008A2081" w:rsidP="008A2081">
      <w:pPr>
        <w:rPr>
          <w:color w:val="595959" w:themeColor="text1" w:themeTint="A6"/>
        </w:rPr>
      </w:pPr>
    </w:p>
    <w:tbl>
      <w:tblPr>
        <w:tblW w:w="9537"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6: Kimberely Region"/>
        <w:tblDescription w:val="Kimberely Region Roundtable Participants by location"/>
      </w:tblPr>
      <w:tblGrid>
        <w:gridCol w:w="764"/>
        <w:gridCol w:w="1231"/>
        <w:gridCol w:w="2463"/>
        <w:gridCol w:w="2001"/>
        <w:gridCol w:w="1385"/>
        <w:gridCol w:w="1693"/>
      </w:tblGrid>
      <w:tr w:rsidR="0093006A" w:rsidRPr="0093006A" w14:paraId="4A3F75BF" w14:textId="77777777" w:rsidTr="0076290B">
        <w:trPr>
          <w:cantSplit/>
          <w:trHeight w:val="918"/>
          <w:tblHeader/>
        </w:trPr>
        <w:tc>
          <w:tcPr>
            <w:tcW w:w="764" w:type="dxa"/>
            <w:shd w:val="clear" w:color="auto" w:fill="D9D9D9"/>
          </w:tcPr>
          <w:p w14:paraId="7AFC3D76"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231" w:type="dxa"/>
            <w:shd w:val="clear" w:color="auto" w:fill="D9D9D9"/>
          </w:tcPr>
          <w:p w14:paraId="39CECF4E"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463" w:type="dxa"/>
            <w:shd w:val="clear" w:color="auto" w:fill="D9D9D9"/>
          </w:tcPr>
          <w:p w14:paraId="4DF3AB7E"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2001" w:type="dxa"/>
            <w:shd w:val="clear" w:color="auto" w:fill="D9D9D9"/>
          </w:tcPr>
          <w:p w14:paraId="1806D78B"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385" w:type="dxa"/>
            <w:shd w:val="clear" w:color="auto" w:fill="D9D9D9"/>
          </w:tcPr>
          <w:p w14:paraId="5987B002"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693" w:type="dxa"/>
            <w:shd w:val="clear" w:color="auto" w:fill="D9D9D9"/>
          </w:tcPr>
          <w:p w14:paraId="457825A0" w14:textId="77777777" w:rsidR="008A2081" w:rsidRPr="009E33CC" w:rsidRDefault="008A2081"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2D48505B"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3CB8DCE8" w14:textId="77777777" w:rsidTr="00981521">
        <w:trPr>
          <w:trHeight w:val="918"/>
        </w:trPr>
        <w:tc>
          <w:tcPr>
            <w:tcW w:w="764" w:type="dxa"/>
            <w:shd w:val="clear" w:color="auto" w:fill="auto"/>
            <w:hideMark/>
          </w:tcPr>
          <w:p w14:paraId="7F94ED2F"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31</w:t>
            </w:r>
          </w:p>
        </w:tc>
        <w:tc>
          <w:tcPr>
            <w:tcW w:w="1231" w:type="dxa"/>
            <w:shd w:val="clear" w:color="auto" w:fill="auto"/>
            <w:hideMark/>
          </w:tcPr>
          <w:p w14:paraId="0F5C2B40"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2 Sep</w:t>
            </w:r>
          </w:p>
        </w:tc>
        <w:tc>
          <w:tcPr>
            <w:tcW w:w="2463" w:type="dxa"/>
            <w:shd w:val="clear" w:color="auto" w:fill="auto"/>
            <w:hideMark/>
          </w:tcPr>
          <w:p w14:paraId="5DF3DD70"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Derby WA</w:t>
            </w:r>
          </w:p>
        </w:tc>
        <w:tc>
          <w:tcPr>
            <w:tcW w:w="2001" w:type="dxa"/>
            <w:shd w:val="clear" w:color="auto" w:fill="auto"/>
            <w:hideMark/>
          </w:tcPr>
          <w:p w14:paraId="6F82EB73"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85" w:type="dxa"/>
            <w:shd w:val="clear" w:color="auto" w:fill="auto"/>
            <w:hideMark/>
          </w:tcPr>
          <w:p w14:paraId="0C8F8BD9"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93" w:type="dxa"/>
            <w:shd w:val="clear" w:color="auto" w:fill="auto"/>
            <w:hideMark/>
          </w:tcPr>
          <w:p w14:paraId="79F4BB0D" w14:textId="78795DBD"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6</w:t>
            </w:r>
          </w:p>
        </w:tc>
      </w:tr>
      <w:tr w:rsidR="0093006A" w:rsidRPr="0093006A" w14:paraId="29389700" w14:textId="77777777" w:rsidTr="00981521">
        <w:trPr>
          <w:trHeight w:val="918"/>
        </w:trPr>
        <w:tc>
          <w:tcPr>
            <w:tcW w:w="764" w:type="dxa"/>
            <w:shd w:val="clear" w:color="auto" w:fill="auto"/>
            <w:hideMark/>
          </w:tcPr>
          <w:p w14:paraId="1AFF7B70"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32</w:t>
            </w:r>
          </w:p>
        </w:tc>
        <w:tc>
          <w:tcPr>
            <w:tcW w:w="1231" w:type="dxa"/>
            <w:shd w:val="clear" w:color="auto" w:fill="auto"/>
            <w:hideMark/>
          </w:tcPr>
          <w:p w14:paraId="562F3248"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 Sep</w:t>
            </w:r>
          </w:p>
        </w:tc>
        <w:tc>
          <w:tcPr>
            <w:tcW w:w="2463" w:type="dxa"/>
            <w:shd w:val="clear" w:color="auto" w:fill="auto"/>
            <w:hideMark/>
          </w:tcPr>
          <w:p w14:paraId="6BA8CFA4"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Broome WA</w:t>
            </w:r>
          </w:p>
        </w:tc>
        <w:tc>
          <w:tcPr>
            <w:tcW w:w="2001" w:type="dxa"/>
            <w:shd w:val="clear" w:color="auto" w:fill="auto"/>
            <w:hideMark/>
          </w:tcPr>
          <w:p w14:paraId="4632BE77"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85" w:type="dxa"/>
            <w:shd w:val="clear" w:color="auto" w:fill="auto"/>
            <w:hideMark/>
          </w:tcPr>
          <w:p w14:paraId="23C1A6AF"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93" w:type="dxa"/>
            <w:shd w:val="clear" w:color="auto" w:fill="auto"/>
            <w:hideMark/>
          </w:tcPr>
          <w:p w14:paraId="57245E0A" w14:textId="630E1AF6"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13</w:t>
            </w:r>
          </w:p>
        </w:tc>
      </w:tr>
      <w:tr w:rsidR="00695E0A" w:rsidRPr="0093006A" w14:paraId="6043EA8E" w14:textId="77777777" w:rsidTr="00981521">
        <w:trPr>
          <w:trHeight w:val="918"/>
        </w:trPr>
        <w:tc>
          <w:tcPr>
            <w:tcW w:w="764" w:type="dxa"/>
            <w:shd w:val="clear" w:color="auto" w:fill="auto"/>
            <w:hideMark/>
          </w:tcPr>
          <w:p w14:paraId="7B05AE04"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33</w:t>
            </w:r>
          </w:p>
        </w:tc>
        <w:tc>
          <w:tcPr>
            <w:tcW w:w="1231" w:type="dxa"/>
            <w:shd w:val="clear" w:color="auto" w:fill="auto"/>
            <w:hideMark/>
          </w:tcPr>
          <w:p w14:paraId="23F1D98C"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6 Sep</w:t>
            </w:r>
          </w:p>
        </w:tc>
        <w:tc>
          <w:tcPr>
            <w:tcW w:w="2463" w:type="dxa"/>
            <w:shd w:val="clear" w:color="auto" w:fill="auto"/>
            <w:hideMark/>
          </w:tcPr>
          <w:p w14:paraId="1033A0B6"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Kununurra WA</w:t>
            </w:r>
          </w:p>
        </w:tc>
        <w:tc>
          <w:tcPr>
            <w:tcW w:w="2001" w:type="dxa"/>
            <w:shd w:val="clear" w:color="auto" w:fill="auto"/>
            <w:hideMark/>
          </w:tcPr>
          <w:p w14:paraId="27A91938"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Roundtable</w:t>
            </w:r>
          </w:p>
        </w:tc>
        <w:tc>
          <w:tcPr>
            <w:tcW w:w="1385" w:type="dxa"/>
            <w:shd w:val="clear" w:color="auto" w:fill="auto"/>
            <w:hideMark/>
          </w:tcPr>
          <w:p w14:paraId="1D394E8A" w14:textId="77777777" w:rsidR="00695E0A" w:rsidRPr="0093006A" w:rsidRDefault="00695E0A" w:rsidP="00695E0A">
            <w:pPr>
              <w:rPr>
                <w:rFonts w:eastAsia="Times New Roman" w:cs="Arial"/>
                <w:color w:val="595959" w:themeColor="text1" w:themeTint="A6"/>
              </w:rPr>
            </w:pPr>
            <w:r w:rsidRPr="0093006A">
              <w:rPr>
                <w:rFonts w:eastAsia="Times New Roman" w:cs="Arial"/>
                <w:color w:val="595959" w:themeColor="text1" w:themeTint="A6"/>
              </w:rPr>
              <w:t>In-person</w:t>
            </w:r>
          </w:p>
        </w:tc>
        <w:tc>
          <w:tcPr>
            <w:tcW w:w="1693" w:type="dxa"/>
            <w:shd w:val="clear" w:color="auto" w:fill="auto"/>
            <w:hideMark/>
          </w:tcPr>
          <w:p w14:paraId="3A86CBC4" w14:textId="2F2D4096" w:rsidR="00695E0A" w:rsidRPr="0093006A" w:rsidRDefault="00695E0A" w:rsidP="00695E0A">
            <w:pPr>
              <w:jc w:val="right"/>
              <w:rPr>
                <w:rFonts w:eastAsia="Times New Roman" w:cs="Arial"/>
                <w:color w:val="595959" w:themeColor="text1" w:themeTint="A6"/>
              </w:rPr>
            </w:pPr>
            <w:r w:rsidRPr="0093006A">
              <w:rPr>
                <w:rFonts w:eastAsia="Times New Roman" w:cs="Arial"/>
                <w:color w:val="595959" w:themeColor="text1" w:themeTint="A6"/>
              </w:rPr>
              <w:t>10</w:t>
            </w:r>
          </w:p>
        </w:tc>
      </w:tr>
    </w:tbl>
    <w:p w14:paraId="288A26F3" w14:textId="77777777" w:rsidR="008A2081" w:rsidRPr="0093006A" w:rsidRDefault="008A2081" w:rsidP="008A2081">
      <w:pPr>
        <w:rPr>
          <w:color w:val="595959" w:themeColor="text1" w:themeTint="A6"/>
        </w:rPr>
      </w:pPr>
    </w:p>
    <w:p w14:paraId="655CCA3A" w14:textId="77777777" w:rsidR="002A3219" w:rsidRPr="0093006A" w:rsidRDefault="002A3219">
      <w:pPr>
        <w:rPr>
          <w:b/>
          <w:bCs/>
          <w:color w:val="595959" w:themeColor="text1" w:themeTint="A6"/>
          <w:sz w:val="24"/>
          <w:szCs w:val="24"/>
        </w:rPr>
      </w:pPr>
      <w:r w:rsidRPr="0093006A">
        <w:rPr>
          <w:b/>
          <w:bCs/>
          <w:color w:val="595959" w:themeColor="text1" w:themeTint="A6"/>
          <w:sz w:val="24"/>
          <w:szCs w:val="24"/>
        </w:rPr>
        <w:br w:type="page"/>
      </w:r>
    </w:p>
    <w:p w14:paraId="5704F831" w14:textId="6512165F" w:rsidR="008A2081" w:rsidRPr="0093006A" w:rsidRDefault="008A2081" w:rsidP="008A2081">
      <w:pPr>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w:t>
      </w:r>
      <w:r w:rsidR="00B05D5B" w:rsidRPr="0093006A">
        <w:rPr>
          <w:b/>
          <w:bCs/>
          <w:color w:val="595959" w:themeColor="text1" w:themeTint="A6"/>
          <w:sz w:val="24"/>
          <w:szCs w:val="24"/>
        </w:rPr>
        <w:t>7</w:t>
      </w:r>
      <w:r w:rsidRPr="0093006A">
        <w:rPr>
          <w:b/>
          <w:bCs/>
          <w:color w:val="595959" w:themeColor="text1" w:themeTint="A6"/>
          <w:sz w:val="24"/>
          <w:szCs w:val="24"/>
        </w:rPr>
        <w:t xml:space="preserve">: South Queensland Region </w:t>
      </w:r>
    </w:p>
    <w:p w14:paraId="2ADBD6F6" w14:textId="77777777" w:rsidR="0065098D" w:rsidRPr="0093006A" w:rsidRDefault="0065098D" w:rsidP="008A2081">
      <w:pPr>
        <w:rPr>
          <w:b/>
          <w:bCs/>
          <w:color w:val="595959" w:themeColor="text1" w:themeTint="A6"/>
          <w:sz w:val="24"/>
          <w:szCs w:val="24"/>
        </w:rPr>
      </w:pPr>
    </w:p>
    <w:tbl>
      <w:tblPr>
        <w:tblW w:w="9662"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7: South Queensland Region"/>
        <w:tblDescription w:val="South Queensland Region Roundtable Participants by location"/>
      </w:tblPr>
      <w:tblGrid>
        <w:gridCol w:w="855"/>
        <w:gridCol w:w="1208"/>
        <w:gridCol w:w="2417"/>
        <w:gridCol w:w="2046"/>
        <w:gridCol w:w="1449"/>
        <w:gridCol w:w="1687"/>
      </w:tblGrid>
      <w:tr w:rsidR="0093006A" w:rsidRPr="0093006A" w14:paraId="0E5FADF6" w14:textId="77777777" w:rsidTr="0076290B">
        <w:trPr>
          <w:cantSplit/>
          <w:trHeight w:val="892"/>
          <w:tblHeader/>
        </w:trPr>
        <w:tc>
          <w:tcPr>
            <w:tcW w:w="855" w:type="dxa"/>
            <w:shd w:val="clear" w:color="auto" w:fill="D9D9D9"/>
          </w:tcPr>
          <w:p w14:paraId="4ED2743B" w14:textId="77777777" w:rsidR="0065098D" w:rsidRPr="009E33CC" w:rsidRDefault="0065098D" w:rsidP="002A298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208" w:type="dxa"/>
            <w:shd w:val="clear" w:color="auto" w:fill="D9D9D9"/>
          </w:tcPr>
          <w:p w14:paraId="7AC1E59B" w14:textId="77777777" w:rsidR="0065098D" w:rsidRPr="009E33CC" w:rsidRDefault="0065098D" w:rsidP="002A298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417" w:type="dxa"/>
            <w:shd w:val="clear" w:color="auto" w:fill="D9D9D9"/>
          </w:tcPr>
          <w:p w14:paraId="7B9253E8" w14:textId="77777777" w:rsidR="0065098D" w:rsidRPr="009E33CC" w:rsidRDefault="0065098D" w:rsidP="002A298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2046" w:type="dxa"/>
            <w:shd w:val="clear" w:color="auto" w:fill="D9D9D9"/>
          </w:tcPr>
          <w:p w14:paraId="37A9DB00" w14:textId="77777777" w:rsidR="0065098D" w:rsidRPr="009E33CC" w:rsidRDefault="0065098D" w:rsidP="002A298C">
            <w:pPr>
              <w:ind w:right="-347"/>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449" w:type="dxa"/>
            <w:shd w:val="clear" w:color="auto" w:fill="D9D9D9"/>
          </w:tcPr>
          <w:p w14:paraId="0A436240" w14:textId="77777777" w:rsidR="0065098D" w:rsidRPr="009E33CC" w:rsidRDefault="0065098D" w:rsidP="002A298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687" w:type="dxa"/>
            <w:shd w:val="clear" w:color="auto" w:fill="D9D9D9"/>
          </w:tcPr>
          <w:p w14:paraId="561CDD28" w14:textId="77777777" w:rsidR="0065098D" w:rsidRPr="009E33CC" w:rsidRDefault="0065098D" w:rsidP="002A298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2C5D324E" w14:textId="77777777" w:rsidR="0065098D" w:rsidRPr="009E33CC" w:rsidRDefault="0065098D" w:rsidP="002A298C">
            <w:pP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05CEC77C" w14:textId="77777777" w:rsidTr="00981521">
        <w:trPr>
          <w:trHeight w:val="892"/>
        </w:trPr>
        <w:tc>
          <w:tcPr>
            <w:tcW w:w="855" w:type="dxa"/>
            <w:shd w:val="clear" w:color="auto" w:fill="auto"/>
            <w:hideMark/>
          </w:tcPr>
          <w:p w14:paraId="07A15EC2"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2</w:t>
            </w:r>
          </w:p>
        </w:tc>
        <w:tc>
          <w:tcPr>
            <w:tcW w:w="1208" w:type="dxa"/>
            <w:shd w:val="clear" w:color="auto" w:fill="auto"/>
            <w:hideMark/>
          </w:tcPr>
          <w:p w14:paraId="54BCE848"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17 Aug</w:t>
            </w:r>
          </w:p>
        </w:tc>
        <w:tc>
          <w:tcPr>
            <w:tcW w:w="2417" w:type="dxa"/>
            <w:shd w:val="clear" w:color="auto" w:fill="auto"/>
            <w:hideMark/>
          </w:tcPr>
          <w:p w14:paraId="6E27E7A6"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Brisbane</w:t>
            </w:r>
          </w:p>
        </w:tc>
        <w:tc>
          <w:tcPr>
            <w:tcW w:w="2046" w:type="dxa"/>
            <w:shd w:val="clear" w:color="auto" w:fill="auto"/>
            <w:hideMark/>
          </w:tcPr>
          <w:p w14:paraId="0BEEAED0"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Roundtable</w:t>
            </w:r>
          </w:p>
        </w:tc>
        <w:tc>
          <w:tcPr>
            <w:tcW w:w="1449" w:type="dxa"/>
            <w:shd w:val="clear" w:color="auto" w:fill="auto"/>
            <w:hideMark/>
          </w:tcPr>
          <w:p w14:paraId="5EB51D6E"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Virtual</w:t>
            </w:r>
          </w:p>
        </w:tc>
        <w:tc>
          <w:tcPr>
            <w:tcW w:w="1687" w:type="dxa"/>
            <w:shd w:val="clear" w:color="auto" w:fill="auto"/>
            <w:hideMark/>
          </w:tcPr>
          <w:p w14:paraId="6536E3D1" w14:textId="77777777" w:rsidR="0065098D" w:rsidRPr="0093006A" w:rsidRDefault="0065098D" w:rsidP="002A298C">
            <w:pPr>
              <w:jc w:val="right"/>
              <w:rPr>
                <w:rFonts w:eastAsia="Times New Roman" w:cs="Arial"/>
                <w:color w:val="595959" w:themeColor="text1" w:themeTint="A6"/>
              </w:rPr>
            </w:pPr>
            <w:r w:rsidRPr="0093006A">
              <w:rPr>
                <w:rFonts w:eastAsia="Times New Roman" w:cs="Arial"/>
                <w:color w:val="595959" w:themeColor="text1" w:themeTint="A6"/>
              </w:rPr>
              <w:t>23</w:t>
            </w:r>
          </w:p>
        </w:tc>
      </w:tr>
      <w:tr w:rsidR="0093006A" w:rsidRPr="0093006A" w14:paraId="0A1EFFE2" w14:textId="77777777" w:rsidTr="00981521">
        <w:trPr>
          <w:trHeight w:val="892"/>
        </w:trPr>
        <w:tc>
          <w:tcPr>
            <w:tcW w:w="855" w:type="dxa"/>
            <w:shd w:val="clear" w:color="auto" w:fill="auto"/>
            <w:hideMark/>
          </w:tcPr>
          <w:p w14:paraId="68C78B81"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3</w:t>
            </w:r>
          </w:p>
        </w:tc>
        <w:tc>
          <w:tcPr>
            <w:tcW w:w="1208" w:type="dxa"/>
            <w:shd w:val="clear" w:color="auto" w:fill="auto"/>
            <w:hideMark/>
          </w:tcPr>
          <w:p w14:paraId="4A3FBB30"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17 Aug</w:t>
            </w:r>
          </w:p>
        </w:tc>
        <w:tc>
          <w:tcPr>
            <w:tcW w:w="2417" w:type="dxa"/>
            <w:shd w:val="clear" w:color="auto" w:fill="auto"/>
            <w:hideMark/>
          </w:tcPr>
          <w:p w14:paraId="09FD0CCA"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Brisbane</w:t>
            </w:r>
          </w:p>
        </w:tc>
        <w:tc>
          <w:tcPr>
            <w:tcW w:w="2046" w:type="dxa"/>
            <w:shd w:val="clear" w:color="auto" w:fill="auto"/>
            <w:hideMark/>
          </w:tcPr>
          <w:p w14:paraId="4BE04785"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Roundtable</w:t>
            </w:r>
          </w:p>
        </w:tc>
        <w:tc>
          <w:tcPr>
            <w:tcW w:w="1449" w:type="dxa"/>
            <w:shd w:val="clear" w:color="auto" w:fill="auto"/>
            <w:hideMark/>
          </w:tcPr>
          <w:p w14:paraId="7624A49C"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Virtual</w:t>
            </w:r>
          </w:p>
        </w:tc>
        <w:tc>
          <w:tcPr>
            <w:tcW w:w="1687" w:type="dxa"/>
            <w:shd w:val="clear" w:color="auto" w:fill="auto"/>
            <w:hideMark/>
          </w:tcPr>
          <w:p w14:paraId="76CBF911" w14:textId="77777777" w:rsidR="0065098D" w:rsidRPr="0093006A" w:rsidRDefault="0065098D" w:rsidP="002A298C">
            <w:pPr>
              <w:jc w:val="right"/>
              <w:rPr>
                <w:rFonts w:eastAsia="Times New Roman" w:cs="Arial"/>
                <w:color w:val="595959" w:themeColor="text1" w:themeTint="A6"/>
              </w:rPr>
            </w:pPr>
            <w:r w:rsidRPr="0093006A">
              <w:rPr>
                <w:rFonts w:eastAsia="Times New Roman" w:cs="Arial"/>
                <w:color w:val="595959" w:themeColor="text1" w:themeTint="A6"/>
              </w:rPr>
              <w:t>36</w:t>
            </w:r>
          </w:p>
        </w:tc>
      </w:tr>
      <w:tr w:rsidR="0093006A" w:rsidRPr="0093006A" w14:paraId="1A8FC756" w14:textId="77777777" w:rsidTr="00981521">
        <w:trPr>
          <w:trHeight w:val="892"/>
        </w:trPr>
        <w:tc>
          <w:tcPr>
            <w:tcW w:w="855" w:type="dxa"/>
            <w:shd w:val="clear" w:color="auto" w:fill="auto"/>
            <w:hideMark/>
          </w:tcPr>
          <w:p w14:paraId="624B3A92"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4</w:t>
            </w:r>
          </w:p>
        </w:tc>
        <w:tc>
          <w:tcPr>
            <w:tcW w:w="1208" w:type="dxa"/>
            <w:shd w:val="clear" w:color="auto" w:fill="auto"/>
            <w:hideMark/>
          </w:tcPr>
          <w:p w14:paraId="7B12D917"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18 Aug</w:t>
            </w:r>
          </w:p>
        </w:tc>
        <w:tc>
          <w:tcPr>
            <w:tcW w:w="2417" w:type="dxa"/>
            <w:shd w:val="clear" w:color="auto" w:fill="auto"/>
            <w:hideMark/>
          </w:tcPr>
          <w:p w14:paraId="1D1F3055"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Toowoomba</w:t>
            </w:r>
          </w:p>
        </w:tc>
        <w:tc>
          <w:tcPr>
            <w:tcW w:w="2046" w:type="dxa"/>
            <w:shd w:val="clear" w:color="auto" w:fill="auto"/>
            <w:hideMark/>
          </w:tcPr>
          <w:p w14:paraId="508DF2C9"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Roundtable</w:t>
            </w:r>
          </w:p>
        </w:tc>
        <w:tc>
          <w:tcPr>
            <w:tcW w:w="1449" w:type="dxa"/>
            <w:shd w:val="clear" w:color="auto" w:fill="auto"/>
            <w:hideMark/>
          </w:tcPr>
          <w:p w14:paraId="70A7F4EA"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Hybrid</w:t>
            </w:r>
          </w:p>
        </w:tc>
        <w:tc>
          <w:tcPr>
            <w:tcW w:w="1687" w:type="dxa"/>
            <w:shd w:val="clear" w:color="auto" w:fill="auto"/>
            <w:hideMark/>
          </w:tcPr>
          <w:p w14:paraId="766BA46C" w14:textId="77777777" w:rsidR="0065098D" w:rsidRPr="0093006A" w:rsidRDefault="0065098D" w:rsidP="002A298C">
            <w:pPr>
              <w:jc w:val="right"/>
              <w:rPr>
                <w:rFonts w:eastAsia="Times New Roman" w:cs="Arial"/>
                <w:color w:val="595959" w:themeColor="text1" w:themeTint="A6"/>
              </w:rPr>
            </w:pPr>
            <w:r w:rsidRPr="0093006A">
              <w:rPr>
                <w:rFonts w:eastAsia="Times New Roman" w:cs="Arial"/>
                <w:color w:val="595959" w:themeColor="text1" w:themeTint="A6"/>
              </w:rPr>
              <w:t>12</w:t>
            </w:r>
          </w:p>
        </w:tc>
      </w:tr>
      <w:tr w:rsidR="0093006A" w:rsidRPr="0093006A" w14:paraId="474EA5C0" w14:textId="77777777" w:rsidTr="00981521">
        <w:trPr>
          <w:trHeight w:val="892"/>
        </w:trPr>
        <w:tc>
          <w:tcPr>
            <w:tcW w:w="855" w:type="dxa"/>
            <w:shd w:val="clear" w:color="auto" w:fill="auto"/>
          </w:tcPr>
          <w:p w14:paraId="18DEEAB6"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6</w:t>
            </w:r>
          </w:p>
        </w:tc>
        <w:tc>
          <w:tcPr>
            <w:tcW w:w="1208" w:type="dxa"/>
            <w:shd w:val="clear" w:color="auto" w:fill="auto"/>
          </w:tcPr>
          <w:p w14:paraId="3ADF11FF"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18 Aug</w:t>
            </w:r>
          </w:p>
        </w:tc>
        <w:tc>
          <w:tcPr>
            <w:tcW w:w="2417" w:type="dxa"/>
            <w:shd w:val="clear" w:color="auto" w:fill="auto"/>
          </w:tcPr>
          <w:p w14:paraId="1AC2413A"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Toowoomba</w:t>
            </w:r>
          </w:p>
        </w:tc>
        <w:tc>
          <w:tcPr>
            <w:tcW w:w="2046" w:type="dxa"/>
            <w:shd w:val="clear" w:color="auto" w:fill="auto"/>
          </w:tcPr>
          <w:p w14:paraId="294CFC87"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Roundtable</w:t>
            </w:r>
          </w:p>
        </w:tc>
        <w:tc>
          <w:tcPr>
            <w:tcW w:w="1449" w:type="dxa"/>
            <w:shd w:val="clear" w:color="auto" w:fill="auto"/>
          </w:tcPr>
          <w:p w14:paraId="09809233"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Hybrid</w:t>
            </w:r>
          </w:p>
        </w:tc>
        <w:tc>
          <w:tcPr>
            <w:tcW w:w="1687" w:type="dxa"/>
            <w:shd w:val="clear" w:color="auto" w:fill="auto"/>
          </w:tcPr>
          <w:p w14:paraId="24756920" w14:textId="77777777" w:rsidR="0065098D" w:rsidRPr="0093006A" w:rsidRDefault="0065098D" w:rsidP="002A298C">
            <w:pPr>
              <w:jc w:val="right"/>
              <w:rPr>
                <w:rFonts w:eastAsia="Times New Roman" w:cs="Arial"/>
                <w:color w:val="595959" w:themeColor="text1" w:themeTint="A6"/>
              </w:rPr>
            </w:pPr>
            <w:r w:rsidRPr="0093006A">
              <w:rPr>
                <w:rFonts w:eastAsia="Times New Roman" w:cs="Arial"/>
                <w:color w:val="595959" w:themeColor="text1" w:themeTint="A6"/>
              </w:rPr>
              <w:t>12</w:t>
            </w:r>
          </w:p>
        </w:tc>
      </w:tr>
      <w:tr w:rsidR="0093006A" w:rsidRPr="0093006A" w14:paraId="10A6EFBE" w14:textId="77777777" w:rsidTr="00981521">
        <w:trPr>
          <w:trHeight w:val="892"/>
        </w:trPr>
        <w:tc>
          <w:tcPr>
            <w:tcW w:w="855" w:type="dxa"/>
            <w:shd w:val="clear" w:color="auto" w:fill="auto"/>
          </w:tcPr>
          <w:p w14:paraId="2F398846"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9</w:t>
            </w:r>
          </w:p>
        </w:tc>
        <w:tc>
          <w:tcPr>
            <w:tcW w:w="1208" w:type="dxa"/>
            <w:shd w:val="clear" w:color="auto" w:fill="auto"/>
          </w:tcPr>
          <w:p w14:paraId="4D2DB0E2"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20 Aug</w:t>
            </w:r>
          </w:p>
        </w:tc>
        <w:tc>
          <w:tcPr>
            <w:tcW w:w="2417" w:type="dxa"/>
            <w:shd w:val="clear" w:color="auto" w:fill="auto"/>
          </w:tcPr>
          <w:p w14:paraId="6CE7A491"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Rockhampton</w:t>
            </w:r>
          </w:p>
        </w:tc>
        <w:tc>
          <w:tcPr>
            <w:tcW w:w="2046" w:type="dxa"/>
            <w:shd w:val="clear" w:color="auto" w:fill="auto"/>
          </w:tcPr>
          <w:p w14:paraId="0DA1400C"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Roundtable</w:t>
            </w:r>
          </w:p>
        </w:tc>
        <w:tc>
          <w:tcPr>
            <w:tcW w:w="1449" w:type="dxa"/>
            <w:shd w:val="clear" w:color="auto" w:fill="auto"/>
          </w:tcPr>
          <w:p w14:paraId="7E22B917"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Hybrid</w:t>
            </w:r>
          </w:p>
        </w:tc>
        <w:tc>
          <w:tcPr>
            <w:tcW w:w="1687" w:type="dxa"/>
            <w:shd w:val="clear" w:color="auto" w:fill="auto"/>
          </w:tcPr>
          <w:p w14:paraId="1523920E" w14:textId="77777777" w:rsidR="0065098D" w:rsidRPr="0093006A" w:rsidRDefault="0065098D" w:rsidP="002A298C">
            <w:pPr>
              <w:jc w:val="right"/>
              <w:rPr>
                <w:rFonts w:eastAsia="Times New Roman" w:cs="Arial"/>
                <w:color w:val="595959" w:themeColor="text1" w:themeTint="A6"/>
              </w:rPr>
            </w:pPr>
            <w:r w:rsidRPr="0093006A">
              <w:rPr>
                <w:rFonts w:eastAsia="Times New Roman" w:cs="Arial"/>
                <w:color w:val="595959" w:themeColor="text1" w:themeTint="A6"/>
              </w:rPr>
              <w:t>14</w:t>
            </w:r>
          </w:p>
        </w:tc>
      </w:tr>
      <w:tr w:rsidR="0093006A" w:rsidRPr="0093006A" w14:paraId="170A04C1" w14:textId="77777777" w:rsidTr="00981521">
        <w:trPr>
          <w:trHeight w:val="892"/>
        </w:trPr>
        <w:tc>
          <w:tcPr>
            <w:tcW w:w="855" w:type="dxa"/>
            <w:shd w:val="clear" w:color="auto" w:fill="auto"/>
          </w:tcPr>
          <w:p w14:paraId="6F47F887"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10</w:t>
            </w:r>
          </w:p>
        </w:tc>
        <w:tc>
          <w:tcPr>
            <w:tcW w:w="1208" w:type="dxa"/>
            <w:shd w:val="clear" w:color="auto" w:fill="auto"/>
          </w:tcPr>
          <w:p w14:paraId="37164F33"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20 Aug</w:t>
            </w:r>
          </w:p>
        </w:tc>
        <w:tc>
          <w:tcPr>
            <w:tcW w:w="2417" w:type="dxa"/>
            <w:shd w:val="clear" w:color="auto" w:fill="auto"/>
          </w:tcPr>
          <w:p w14:paraId="6DE9309D"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Rockhampton</w:t>
            </w:r>
          </w:p>
        </w:tc>
        <w:tc>
          <w:tcPr>
            <w:tcW w:w="2046" w:type="dxa"/>
            <w:shd w:val="clear" w:color="auto" w:fill="auto"/>
          </w:tcPr>
          <w:p w14:paraId="25FAF61E"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Roundtable</w:t>
            </w:r>
          </w:p>
        </w:tc>
        <w:tc>
          <w:tcPr>
            <w:tcW w:w="1449" w:type="dxa"/>
            <w:shd w:val="clear" w:color="auto" w:fill="auto"/>
          </w:tcPr>
          <w:p w14:paraId="27C092C6"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Hybrid</w:t>
            </w:r>
          </w:p>
        </w:tc>
        <w:tc>
          <w:tcPr>
            <w:tcW w:w="1687" w:type="dxa"/>
            <w:shd w:val="clear" w:color="auto" w:fill="auto"/>
          </w:tcPr>
          <w:p w14:paraId="21CB8069" w14:textId="77777777" w:rsidR="0065098D" w:rsidRPr="0093006A" w:rsidRDefault="0065098D" w:rsidP="002A298C">
            <w:pPr>
              <w:jc w:val="right"/>
              <w:rPr>
                <w:rFonts w:eastAsia="Times New Roman" w:cs="Arial"/>
                <w:color w:val="595959" w:themeColor="text1" w:themeTint="A6"/>
              </w:rPr>
            </w:pPr>
            <w:r w:rsidRPr="0093006A">
              <w:rPr>
                <w:rFonts w:eastAsia="Times New Roman" w:cs="Arial"/>
                <w:color w:val="595959" w:themeColor="text1" w:themeTint="A6"/>
              </w:rPr>
              <w:t>11</w:t>
            </w:r>
          </w:p>
        </w:tc>
      </w:tr>
      <w:tr w:rsidR="0065098D" w:rsidRPr="0093006A" w14:paraId="4B183A22" w14:textId="77777777" w:rsidTr="00981521">
        <w:trPr>
          <w:trHeight w:val="892"/>
        </w:trPr>
        <w:tc>
          <w:tcPr>
            <w:tcW w:w="855" w:type="dxa"/>
            <w:shd w:val="clear" w:color="auto" w:fill="auto"/>
          </w:tcPr>
          <w:p w14:paraId="766513F6"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12</w:t>
            </w:r>
          </w:p>
        </w:tc>
        <w:tc>
          <w:tcPr>
            <w:tcW w:w="1208" w:type="dxa"/>
            <w:shd w:val="clear" w:color="auto" w:fill="auto"/>
          </w:tcPr>
          <w:p w14:paraId="1EBBB8E2"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24 Aug</w:t>
            </w:r>
          </w:p>
        </w:tc>
        <w:tc>
          <w:tcPr>
            <w:tcW w:w="2417" w:type="dxa"/>
            <w:shd w:val="clear" w:color="auto" w:fill="auto"/>
          </w:tcPr>
          <w:p w14:paraId="22B07AF6"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Woorabinda</w:t>
            </w:r>
          </w:p>
        </w:tc>
        <w:tc>
          <w:tcPr>
            <w:tcW w:w="2046" w:type="dxa"/>
            <w:shd w:val="clear" w:color="auto" w:fill="auto"/>
          </w:tcPr>
          <w:p w14:paraId="676A066F"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Roundtable</w:t>
            </w:r>
          </w:p>
        </w:tc>
        <w:tc>
          <w:tcPr>
            <w:tcW w:w="1449" w:type="dxa"/>
            <w:shd w:val="clear" w:color="auto" w:fill="auto"/>
          </w:tcPr>
          <w:p w14:paraId="6985ACB5" w14:textId="77777777" w:rsidR="0065098D" w:rsidRPr="0093006A" w:rsidRDefault="0065098D" w:rsidP="002A298C">
            <w:pPr>
              <w:rPr>
                <w:rFonts w:eastAsia="Times New Roman" w:cs="Arial"/>
                <w:color w:val="595959" w:themeColor="text1" w:themeTint="A6"/>
              </w:rPr>
            </w:pPr>
            <w:r w:rsidRPr="0093006A">
              <w:rPr>
                <w:rFonts w:eastAsia="Times New Roman" w:cs="Arial"/>
                <w:color w:val="595959" w:themeColor="text1" w:themeTint="A6"/>
              </w:rPr>
              <w:t>Hybrid</w:t>
            </w:r>
          </w:p>
        </w:tc>
        <w:tc>
          <w:tcPr>
            <w:tcW w:w="1687" w:type="dxa"/>
            <w:shd w:val="clear" w:color="auto" w:fill="auto"/>
          </w:tcPr>
          <w:p w14:paraId="483F9A88" w14:textId="55F71B4C" w:rsidR="0065098D" w:rsidRPr="0093006A" w:rsidRDefault="0027618B" w:rsidP="00981521">
            <w:pPr>
              <w:ind w:left="420"/>
              <w:contextualSpacing/>
              <w:jc w:val="right"/>
              <w:rPr>
                <w:rFonts w:eastAsia="Times New Roman" w:cs="Arial"/>
                <w:color w:val="595959" w:themeColor="text1" w:themeTint="A6"/>
              </w:rPr>
            </w:pPr>
            <w:r w:rsidRPr="0093006A">
              <w:rPr>
                <w:rFonts w:eastAsia="Times New Roman" w:cs="Arial"/>
                <w:color w:val="595959" w:themeColor="text1" w:themeTint="A6"/>
              </w:rPr>
              <w:t>35</w:t>
            </w:r>
          </w:p>
        </w:tc>
      </w:tr>
    </w:tbl>
    <w:p w14:paraId="4E5A3EBE" w14:textId="77777777" w:rsidR="0065098D" w:rsidRPr="0093006A" w:rsidRDefault="0065098D" w:rsidP="00FB3095">
      <w:pPr>
        <w:rPr>
          <w:b/>
          <w:bCs/>
          <w:color w:val="595959" w:themeColor="text1" w:themeTint="A6"/>
          <w:sz w:val="24"/>
          <w:szCs w:val="24"/>
        </w:rPr>
      </w:pPr>
    </w:p>
    <w:p w14:paraId="6F64BF59" w14:textId="1CF0A0F8" w:rsidR="00FB3095" w:rsidRPr="0093006A" w:rsidRDefault="00FB3095" w:rsidP="00FB3095">
      <w:pPr>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w:t>
      </w:r>
      <w:r w:rsidR="00B05D5B" w:rsidRPr="0093006A">
        <w:rPr>
          <w:b/>
          <w:bCs/>
          <w:color w:val="595959" w:themeColor="text1" w:themeTint="A6"/>
          <w:sz w:val="24"/>
          <w:szCs w:val="24"/>
        </w:rPr>
        <w:t>8</w:t>
      </w:r>
      <w:r w:rsidRPr="0093006A">
        <w:rPr>
          <w:b/>
          <w:bCs/>
          <w:color w:val="595959" w:themeColor="text1" w:themeTint="A6"/>
          <w:sz w:val="24"/>
          <w:szCs w:val="24"/>
        </w:rPr>
        <w:t xml:space="preserve">: North Queensland Region </w:t>
      </w:r>
    </w:p>
    <w:p w14:paraId="070DAA2E" w14:textId="77777777" w:rsidR="008A2081" w:rsidRPr="0093006A" w:rsidRDefault="008A2081" w:rsidP="008A2081">
      <w:pPr>
        <w:rPr>
          <w:color w:val="595959" w:themeColor="text1" w:themeTint="A6"/>
        </w:rPr>
      </w:pPr>
    </w:p>
    <w:tbl>
      <w:tblPr>
        <w:tblW w:w="9665"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8: North Queensland Region"/>
        <w:tblDescription w:val="North Queensland Region Roundtable Participants by location"/>
      </w:tblPr>
      <w:tblGrid>
        <w:gridCol w:w="917"/>
        <w:gridCol w:w="1230"/>
        <w:gridCol w:w="2306"/>
        <w:gridCol w:w="1999"/>
        <w:gridCol w:w="1537"/>
        <w:gridCol w:w="1676"/>
      </w:tblGrid>
      <w:tr w:rsidR="0093006A" w:rsidRPr="0093006A" w14:paraId="0BDDAAA4" w14:textId="77777777" w:rsidTr="0076290B">
        <w:trPr>
          <w:cantSplit/>
          <w:trHeight w:val="912"/>
          <w:tblHeader/>
        </w:trPr>
        <w:tc>
          <w:tcPr>
            <w:tcW w:w="917" w:type="dxa"/>
            <w:shd w:val="clear" w:color="auto" w:fill="D9D9D9" w:themeFill="background1" w:themeFillShade="D9"/>
          </w:tcPr>
          <w:p w14:paraId="3246491B" w14:textId="77777777" w:rsidR="00FB3095" w:rsidRPr="009E33CC" w:rsidRDefault="00FB3095" w:rsidP="0048465C">
            <w:pPr>
              <w:ind w:right="-484"/>
              <w:rPr>
                <w:rFonts w:eastAsia="Times New Roman" w:cs="Arial"/>
                <w:b/>
                <w:bCs/>
                <w:color w:val="595959" w:themeColor="text1" w:themeTint="A6"/>
              </w:rPr>
            </w:pPr>
            <w:r w:rsidRPr="009E33CC">
              <w:rPr>
                <w:rFonts w:eastAsia="Times New Roman" w:cs="Arial"/>
                <w:b/>
                <w:bCs/>
                <w:color w:val="595959" w:themeColor="text1" w:themeTint="A6"/>
              </w:rPr>
              <w:t>No.</w:t>
            </w:r>
          </w:p>
        </w:tc>
        <w:tc>
          <w:tcPr>
            <w:tcW w:w="1230" w:type="dxa"/>
            <w:shd w:val="clear" w:color="auto" w:fill="D9D9D9" w:themeFill="background1" w:themeFillShade="D9"/>
          </w:tcPr>
          <w:p w14:paraId="4D6F5298"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306" w:type="dxa"/>
            <w:shd w:val="clear" w:color="auto" w:fill="D9D9D9" w:themeFill="background1" w:themeFillShade="D9"/>
          </w:tcPr>
          <w:p w14:paraId="42C07D7E"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1999" w:type="dxa"/>
            <w:shd w:val="clear" w:color="auto" w:fill="D9D9D9" w:themeFill="background1" w:themeFillShade="D9"/>
          </w:tcPr>
          <w:p w14:paraId="6D9B104E"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537" w:type="dxa"/>
            <w:shd w:val="clear" w:color="auto" w:fill="D9D9D9" w:themeFill="background1" w:themeFillShade="D9"/>
          </w:tcPr>
          <w:p w14:paraId="70CD6FC0"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676" w:type="dxa"/>
            <w:shd w:val="clear" w:color="auto" w:fill="D9D9D9" w:themeFill="background1" w:themeFillShade="D9"/>
          </w:tcPr>
          <w:p w14:paraId="14451CDA" w14:textId="77777777" w:rsidR="00FB3095" w:rsidRPr="009E33CC" w:rsidRDefault="00FB3095"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3A7093AA" w14:textId="77777777" w:rsidR="00FB3095" w:rsidRPr="009E33CC" w:rsidRDefault="00FB3095" w:rsidP="0048465C">
            <w:pPr>
              <w:jc w:val="cente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192DB235" w14:textId="77777777" w:rsidTr="00981521">
        <w:trPr>
          <w:trHeight w:val="912"/>
        </w:trPr>
        <w:tc>
          <w:tcPr>
            <w:tcW w:w="917" w:type="dxa"/>
            <w:shd w:val="clear" w:color="auto" w:fill="auto"/>
            <w:hideMark/>
          </w:tcPr>
          <w:p w14:paraId="51E80CCD"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36</w:t>
            </w:r>
          </w:p>
        </w:tc>
        <w:tc>
          <w:tcPr>
            <w:tcW w:w="1230" w:type="dxa"/>
            <w:shd w:val="clear" w:color="auto" w:fill="auto"/>
            <w:hideMark/>
          </w:tcPr>
          <w:p w14:paraId="4E3FE94A"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10 Sep</w:t>
            </w:r>
          </w:p>
        </w:tc>
        <w:tc>
          <w:tcPr>
            <w:tcW w:w="2306" w:type="dxa"/>
            <w:shd w:val="clear" w:color="auto" w:fill="auto"/>
            <w:hideMark/>
          </w:tcPr>
          <w:p w14:paraId="04E5AD67"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Cairns QLD</w:t>
            </w:r>
          </w:p>
        </w:tc>
        <w:tc>
          <w:tcPr>
            <w:tcW w:w="1999" w:type="dxa"/>
            <w:shd w:val="clear" w:color="auto" w:fill="auto"/>
            <w:hideMark/>
          </w:tcPr>
          <w:p w14:paraId="7A3A0302"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37" w:type="dxa"/>
            <w:shd w:val="clear" w:color="auto" w:fill="auto"/>
            <w:hideMark/>
          </w:tcPr>
          <w:p w14:paraId="1E926594"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In-person</w:t>
            </w:r>
          </w:p>
        </w:tc>
        <w:tc>
          <w:tcPr>
            <w:tcW w:w="1676" w:type="dxa"/>
            <w:shd w:val="clear" w:color="auto" w:fill="auto"/>
            <w:hideMark/>
          </w:tcPr>
          <w:p w14:paraId="714FB05C" w14:textId="565BFBC6"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28</w:t>
            </w:r>
          </w:p>
        </w:tc>
      </w:tr>
      <w:tr w:rsidR="0093006A" w:rsidRPr="0093006A" w14:paraId="6FE8E824" w14:textId="77777777" w:rsidTr="00981521">
        <w:trPr>
          <w:trHeight w:val="912"/>
        </w:trPr>
        <w:tc>
          <w:tcPr>
            <w:tcW w:w="917" w:type="dxa"/>
            <w:shd w:val="clear" w:color="auto" w:fill="auto"/>
          </w:tcPr>
          <w:p w14:paraId="091A6D9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40</w:t>
            </w:r>
          </w:p>
        </w:tc>
        <w:tc>
          <w:tcPr>
            <w:tcW w:w="1230" w:type="dxa"/>
            <w:shd w:val="clear" w:color="auto" w:fill="auto"/>
          </w:tcPr>
          <w:p w14:paraId="55EB7852"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14 Sep</w:t>
            </w:r>
          </w:p>
        </w:tc>
        <w:tc>
          <w:tcPr>
            <w:tcW w:w="2306" w:type="dxa"/>
            <w:shd w:val="clear" w:color="auto" w:fill="auto"/>
          </w:tcPr>
          <w:p w14:paraId="4573D7A7"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Mount Isa QLD</w:t>
            </w:r>
          </w:p>
        </w:tc>
        <w:tc>
          <w:tcPr>
            <w:tcW w:w="1999" w:type="dxa"/>
            <w:shd w:val="clear" w:color="auto" w:fill="auto"/>
          </w:tcPr>
          <w:p w14:paraId="0824F0CC"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37" w:type="dxa"/>
            <w:shd w:val="clear" w:color="auto" w:fill="auto"/>
          </w:tcPr>
          <w:p w14:paraId="0C366E65"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In-person</w:t>
            </w:r>
          </w:p>
        </w:tc>
        <w:tc>
          <w:tcPr>
            <w:tcW w:w="1676" w:type="dxa"/>
            <w:shd w:val="clear" w:color="auto" w:fill="auto"/>
          </w:tcPr>
          <w:p w14:paraId="1F35D995" w14:textId="21D6B5D2"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15</w:t>
            </w:r>
          </w:p>
        </w:tc>
      </w:tr>
      <w:tr w:rsidR="0093006A" w:rsidRPr="0093006A" w14:paraId="2C0C2148" w14:textId="77777777" w:rsidTr="00981521">
        <w:trPr>
          <w:trHeight w:val="912"/>
        </w:trPr>
        <w:tc>
          <w:tcPr>
            <w:tcW w:w="917" w:type="dxa"/>
            <w:shd w:val="clear" w:color="auto" w:fill="auto"/>
          </w:tcPr>
          <w:p w14:paraId="551EA410"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41</w:t>
            </w:r>
          </w:p>
        </w:tc>
        <w:tc>
          <w:tcPr>
            <w:tcW w:w="1230" w:type="dxa"/>
            <w:shd w:val="clear" w:color="auto" w:fill="auto"/>
          </w:tcPr>
          <w:p w14:paraId="1388E4BD"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15 Sep</w:t>
            </w:r>
          </w:p>
        </w:tc>
        <w:tc>
          <w:tcPr>
            <w:tcW w:w="2306" w:type="dxa"/>
            <w:shd w:val="clear" w:color="auto" w:fill="auto"/>
          </w:tcPr>
          <w:p w14:paraId="05BBE1D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Townsville QLD</w:t>
            </w:r>
          </w:p>
        </w:tc>
        <w:tc>
          <w:tcPr>
            <w:tcW w:w="1999" w:type="dxa"/>
            <w:shd w:val="clear" w:color="auto" w:fill="auto"/>
          </w:tcPr>
          <w:p w14:paraId="13D45512"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37" w:type="dxa"/>
            <w:shd w:val="clear" w:color="auto" w:fill="auto"/>
          </w:tcPr>
          <w:p w14:paraId="53D04417"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In-person</w:t>
            </w:r>
          </w:p>
        </w:tc>
        <w:tc>
          <w:tcPr>
            <w:tcW w:w="1676" w:type="dxa"/>
            <w:shd w:val="clear" w:color="auto" w:fill="auto"/>
          </w:tcPr>
          <w:p w14:paraId="77D11B2A" w14:textId="4509F96D"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24</w:t>
            </w:r>
          </w:p>
        </w:tc>
      </w:tr>
      <w:tr w:rsidR="0093006A" w:rsidRPr="0093006A" w14:paraId="78D79B44" w14:textId="77777777" w:rsidTr="00981521">
        <w:trPr>
          <w:trHeight w:val="912"/>
        </w:trPr>
        <w:tc>
          <w:tcPr>
            <w:tcW w:w="917" w:type="dxa"/>
            <w:shd w:val="clear" w:color="auto" w:fill="auto"/>
          </w:tcPr>
          <w:p w14:paraId="686586E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42</w:t>
            </w:r>
          </w:p>
        </w:tc>
        <w:tc>
          <w:tcPr>
            <w:tcW w:w="1230" w:type="dxa"/>
            <w:shd w:val="clear" w:color="auto" w:fill="auto"/>
          </w:tcPr>
          <w:p w14:paraId="19F5D551"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15 Sep</w:t>
            </w:r>
          </w:p>
        </w:tc>
        <w:tc>
          <w:tcPr>
            <w:tcW w:w="2306" w:type="dxa"/>
            <w:shd w:val="clear" w:color="auto" w:fill="auto"/>
          </w:tcPr>
          <w:p w14:paraId="07054624"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Townsville QLD</w:t>
            </w:r>
          </w:p>
        </w:tc>
        <w:tc>
          <w:tcPr>
            <w:tcW w:w="1999" w:type="dxa"/>
            <w:shd w:val="clear" w:color="auto" w:fill="auto"/>
          </w:tcPr>
          <w:p w14:paraId="70609204"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37" w:type="dxa"/>
            <w:shd w:val="clear" w:color="auto" w:fill="auto"/>
          </w:tcPr>
          <w:p w14:paraId="43CE9379"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In-person</w:t>
            </w:r>
          </w:p>
        </w:tc>
        <w:tc>
          <w:tcPr>
            <w:tcW w:w="1676" w:type="dxa"/>
            <w:shd w:val="clear" w:color="auto" w:fill="auto"/>
          </w:tcPr>
          <w:p w14:paraId="66FC51B6" w14:textId="2AB2B705"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25</w:t>
            </w:r>
          </w:p>
        </w:tc>
      </w:tr>
      <w:tr w:rsidR="0065098D" w:rsidRPr="0093006A" w14:paraId="3D3DADD8" w14:textId="77777777" w:rsidTr="00981521">
        <w:trPr>
          <w:trHeight w:val="912"/>
        </w:trPr>
        <w:tc>
          <w:tcPr>
            <w:tcW w:w="917" w:type="dxa"/>
            <w:shd w:val="clear" w:color="auto" w:fill="auto"/>
          </w:tcPr>
          <w:p w14:paraId="026C6BF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47</w:t>
            </w:r>
          </w:p>
        </w:tc>
        <w:tc>
          <w:tcPr>
            <w:tcW w:w="1230" w:type="dxa"/>
            <w:shd w:val="clear" w:color="auto" w:fill="auto"/>
          </w:tcPr>
          <w:p w14:paraId="14771B6F"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16 Sep</w:t>
            </w:r>
          </w:p>
        </w:tc>
        <w:tc>
          <w:tcPr>
            <w:tcW w:w="2306" w:type="dxa"/>
            <w:shd w:val="clear" w:color="auto" w:fill="auto"/>
          </w:tcPr>
          <w:p w14:paraId="38641AFD"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Mackay QLD</w:t>
            </w:r>
          </w:p>
        </w:tc>
        <w:tc>
          <w:tcPr>
            <w:tcW w:w="1999" w:type="dxa"/>
            <w:shd w:val="clear" w:color="auto" w:fill="auto"/>
          </w:tcPr>
          <w:p w14:paraId="736C2616"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37" w:type="dxa"/>
            <w:shd w:val="clear" w:color="auto" w:fill="auto"/>
          </w:tcPr>
          <w:p w14:paraId="16FE1374"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In-person</w:t>
            </w:r>
          </w:p>
        </w:tc>
        <w:tc>
          <w:tcPr>
            <w:tcW w:w="1676" w:type="dxa"/>
            <w:shd w:val="clear" w:color="auto" w:fill="auto"/>
          </w:tcPr>
          <w:p w14:paraId="2C3D0D8D" w14:textId="25240E4A"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17</w:t>
            </w:r>
          </w:p>
        </w:tc>
      </w:tr>
    </w:tbl>
    <w:p w14:paraId="02430639" w14:textId="77777777" w:rsidR="008A2081" w:rsidRPr="0093006A" w:rsidRDefault="008A2081" w:rsidP="008A2081">
      <w:pPr>
        <w:rPr>
          <w:color w:val="595959" w:themeColor="text1" w:themeTint="A6"/>
        </w:rPr>
      </w:pPr>
    </w:p>
    <w:p w14:paraId="60526882" w14:textId="365FA413" w:rsidR="008A2081" w:rsidRPr="0093006A" w:rsidRDefault="008A2081" w:rsidP="008A2081">
      <w:pPr>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w:t>
      </w:r>
      <w:r w:rsidR="00B05D5B" w:rsidRPr="0093006A">
        <w:rPr>
          <w:b/>
          <w:bCs/>
          <w:color w:val="595959" w:themeColor="text1" w:themeTint="A6"/>
          <w:sz w:val="24"/>
          <w:szCs w:val="24"/>
        </w:rPr>
        <w:t>9</w:t>
      </w:r>
      <w:r w:rsidRPr="0093006A">
        <w:rPr>
          <w:b/>
          <w:bCs/>
          <w:color w:val="595959" w:themeColor="text1" w:themeTint="A6"/>
          <w:sz w:val="24"/>
          <w:szCs w:val="24"/>
        </w:rPr>
        <w:t xml:space="preserve">: Victoria-Tasmania Region </w:t>
      </w:r>
    </w:p>
    <w:p w14:paraId="54803F16" w14:textId="77777777" w:rsidR="008A2081" w:rsidRPr="0093006A" w:rsidRDefault="008A2081" w:rsidP="008A2081">
      <w:pPr>
        <w:rPr>
          <w:color w:val="595959" w:themeColor="text1" w:themeTint="A6"/>
        </w:rPr>
      </w:pPr>
    </w:p>
    <w:tbl>
      <w:tblPr>
        <w:tblW w:w="9643"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9: Victoria-Tasmania Region"/>
        <w:tblDescription w:val="Victoria-Tasmania Roundtable Participants by location"/>
      </w:tblPr>
      <w:tblGrid>
        <w:gridCol w:w="914"/>
        <w:gridCol w:w="1225"/>
        <w:gridCol w:w="2297"/>
        <w:gridCol w:w="1991"/>
        <w:gridCol w:w="1531"/>
        <w:gridCol w:w="1685"/>
      </w:tblGrid>
      <w:tr w:rsidR="0093006A" w:rsidRPr="0093006A" w14:paraId="0D984BBA" w14:textId="77777777" w:rsidTr="0076290B">
        <w:trPr>
          <w:cantSplit/>
          <w:trHeight w:val="903"/>
          <w:tblHeader/>
        </w:trPr>
        <w:tc>
          <w:tcPr>
            <w:tcW w:w="914" w:type="dxa"/>
            <w:shd w:val="clear" w:color="auto" w:fill="D9D9D9"/>
          </w:tcPr>
          <w:p w14:paraId="57010323"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225" w:type="dxa"/>
            <w:shd w:val="clear" w:color="auto" w:fill="D9D9D9"/>
          </w:tcPr>
          <w:p w14:paraId="5CE22EE1" w14:textId="77777777" w:rsidR="008A2081" w:rsidRPr="009E33CC" w:rsidRDefault="008A2081" w:rsidP="0048465C">
            <w:pPr>
              <w:ind w:hanging="22"/>
              <w:rPr>
                <w:rFonts w:eastAsia="Times New Roman" w:cs="Arial"/>
                <w:b/>
                <w:bCs/>
                <w:color w:val="595959" w:themeColor="text1" w:themeTint="A6"/>
              </w:rPr>
            </w:pPr>
            <w:r w:rsidRPr="009E33CC">
              <w:rPr>
                <w:rFonts w:eastAsia="Times New Roman" w:cs="Arial"/>
                <w:b/>
                <w:bCs/>
                <w:color w:val="595959" w:themeColor="text1" w:themeTint="A6"/>
              </w:rPr>
              <w:t>Date</w:t>
            </w:r>
          </w:p>
        </w:tc>
        <w:tc>
          <w:tcPr>
            <w:tcW w:w="2297" w:type="dxa"/>
            <w:shd w:val="clear" w:color="auto" w:fill="D9D9D9"/>
          </w:tcPr>
          <w:p w14:paraId="6C2D4D6B"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1991" w:type="dxa"/>
            <w:shd w:val="clear" w:color="auto" w:fill="D9D9D9"/>
          </w:tcPr>
          <w:p w14:paraId="2100005A"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531" w:type="dxa"/>
            <w:shd w:val="clear" w:color="auto" w:fill="D9D9D9"/>
          </w:tcPr>
          <w:p w14:paraId="181A478D"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685" w:type="dxa"/>
            <w:shd w:val="clear" w:color="auto" w:fill="D9D9D9"/>
          </w:tcPr>
          <w:p w14:paraId="4337B14F" w14:textId="77777777" w:rsidR="008A2081" w:rsidRPr="009E33CC" w:rsidRDefault="008A2081"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4A99E94F" w14:textId="77777777" w:rsidR="008A2081" w:rsidRPr="009E33CC" w:rsidRDefault="008A2081" w:rsidP="0048465C">
            <w:pPr>
              <w:jc w:val="right"/>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6FCF4AF2" w14:textId="77777777" w:rsidTr="00981521">
        <w:trPr>
          <w:trHeight w:val="903"/>
        </w:trPr>
        <w:tc>
          <w:tcPr>
            <w:tcW w:w="914" w:type="dxa"/>
            <w:shd w:val="clear" w:color="auto" w:fill="auto"/>
            <w:hideMark/>
          </w:tcPr>
          <w:p w14:paraId="269DD1C0"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8</w:t>
            </w:r>
          </w:p>
        </w:tc>
        <w:tc>
          <w:tcPr>
            <w:tcW w:w="1225" w:type="dxa"/>
            <w:shd w:val="clear" w:color="auto" w:fill="auto"/>
            <w:hideMark/>
          </w:tcPr>
          <w:p w14:paraId="0F84688D"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19 Aug</w:t>
            </w:r>
          </w:p>
        </w:tc>
        <w:tc>
          <w:tcPr>
            <w:tcW w:w="2297" w:type="dxa"/>
            <w:shd w:val="clear" w:color="auto" w:fill="auto"/>
            <w:hideMark/>
          </w:tcPr>
          <w:p w14:paraId="65ABACB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Victoria</w:t>
            </w:r>
          </w:p>
        </w:tc>
        <w:tc>
          <w:tcPr>
            <w:tcW w:w="1991" w:type="dxa"/>
            <w:shd w:val="clear" w:color="auto" w:fill="auto"/>
            <w:hideMark/>
          </w:tcPr>
          <w:p w14:paraId="060E7507"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31" w:type="dxa"/>
            <w:shd w:val="clear" w:color="auto" w:fill="auto"/>
            <w:hideMark/>
          </w:tcPr>
          <w:p w14:paraId="73AC4104"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85" w:type="dxa"/>
            <w:shd w:val="clear" w:color="auto" w:fill="auto"/>
            <w:hideMark/>
          </w:tcPr>
          <w:p w14:paraId="32472E7D" w14:textId="0E2641A6"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36</w:t>
            </w:r>
          </w:p>
        </w:tc>
      </w:tr>
      <w:tr w:rsidR="0093006A" w:rsidRPr="0093006A" w14:paraId="25E596EE" w14:textId="77777777" w:rsidTr="00981521">
        <w:trPr>
          <w:trHeight w:val="903"/>
        </w:trPr>
        <w:tc>
          <w:tcPr>
            <w:tcW w:w="914" w:type="dxa"/>
            <w:shd w:val="clear" w:color="auto" w:fill="auto"/>
          </w:tcPr>
          <w:p w14:paraId="7E7B2870"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25</w:t>
            </w:r>
          </w:p>
        </w:tc>
        <w:tc>
          <w:tcPr>
            <w:tcW w:w="1225" w:type="dxa"/>
            <w:shd w:val="clear" w:color="auto" w:fill="auto"/>
          </w:tcPr>
          <w:p w14:paraId="55CB3AB6"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31 Aug</w:t>
            </w:r>
          </w:p>
        </w:tc>
        <w:tc>
          <w:tcPr>
            <w:tcW w:w="2297" w:type="dxa"/>
            <w:shd w:val="clear" w:color="auto" w:fill="auto"/>
          </w:tcPr>
          <w:p w14:paraId="709832DA"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Bendigo VIC</w:t>
            </w:r>
          </w:p>
        </w:tc>
        <w:tc>
          <w:tcPr>
            <w:tcW w:w="1991" w:type="dxa"/>
            <w:shd w:val="clear" w:color="auto" w:fill="auto"/>
          </w:tcPr>
          <w:p w14:paraId="19E3D420"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31" w:type="dxa"/>
            <w:shd w:val="clear" w:color="auto" w:fill="auto"/>
          </w:tcPr>
          <w:p w14:paraId="544D9E13"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85" w:type="dxa"/>
            <w:shd w:val="clear" w:color="auto" w:fill="auto"/>
          </w:tcPr>
          <w:p w14:paraId="40B61F8F" w14:textId="6CB1417D"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18</w:t>
            </w:r>
          </w:p>
        </w:tc>
      </w:tr>
      <w:tr w:rsidR="0093006A" w:rsidRPr="0093006A" w14:paraId="11252AE4" w14:textId="77777777" w:rsidTr="00981521">
        <w:trPr>
          <w:trHeight w:val="903"/>
        </w:trPr>
        <w:tc>
          <w:tcPr>
            <w:tcW w:w="914" w:type="dxa"/>
            <w:shd w:val="clear" w:color="auto" w:fill="auto"/>
          </w:tcPr>
          <w:p w14:paraId="73DBE41A"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46</w:t>
            </w:r>
          </w:p>
        </w:tc>
        <w:tc>
          <w:tcPr>
            <w:tcW w:w="1225" w:type="dxa"/>
            <w:shd w:val="clear" w:color="auto" w:fill="auto"/>
          </w:tcPr>
          <w:p w14:paraId="55CAA9C3"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15 Sep</w:t>
            </w:r>
          </w:p>
        </w:tc>
        <w:tc>
          <w:tcPr>
            <w:tcW w:w="2297" w:type="dxa"/>
            <w:shd w:val="clear" w:color="auto" w:fill="auto"/>
          </w:tcPr>
          <w:p w14:paraId="5ADF8278"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Hobart TAS</w:t>
            </w:r>
          </w:p>
        </w:tc>
        <w:tc>
          <w:tcPr>
            <w:tcW w:w="1991" w:type="dxa"/>
            <w:shd w:val="clear" w:color="auto" w:fill="auto"/>
          </w:tcPr>
          <w:p w14:paraId="4B9D0D42"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31" w:type="dxa"/>
            <w:shd w:val="clear" w:color="auto" w:fill="auto"/>
          </w:tcPr>
          <w:p w14:paraId="63128ABF"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85" w:type="dxa"/>
            <w:shd w:val="clear" w:color="auto" w:fill="auto"/>
          </w:tcPr>
          <w:p w14:paraId="59619F32" w14:textId="672A3D7D"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14</w:t>
            </w:r>
          </w:p>
        </w:tc>
      </w:tr>
      <w:tr w:rsidR="0065098D" w:rsidRPr="0093006A" w14:paraId="07CBFE2F" w14:textId="77777777" w:rsidTr="00981521">
        <w:trPr>
          <w:trHeight w:val="903"/>
        </w:trPr>
        <w:tc>
          <w:tcPr>
            <w:tcW w:w="914" w:type="dxa"/>
            <w:shd w:val="clear" w:color="auto" w:fill="auto"/>
          </w:tcPr>
          <w:p w14:paraId="59EB2B9E"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47</w:t>
            </w:r>
          </w:p>
        </w:tc>
        <w:tc>
          <w:tcPr>
            <w:tcW w:w="1225" w:type="dxa"/>
            <w:shd w:val="clear" w:color="auto" w:fill="auto"/>
          </w:tcPr>
          <w:p w14:paraId="2DF52E7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15 Sep</w:t>
            </w:r>
          </w:p>
        </w:tc>
        <w:tc>
          <w:tcPr>
            <w:tcW w:w="2297" w:type="dxa"/>
            <w:shd w:val="clear" w:color="auto" w:fill="auto"/>
          </w:tcPr>
          <w:p w14:paraId="3204F59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Hobart TAS</w:t>
            </w:r>
          </w:p>
        </w:tc>
        <w:tc>
          <w:tcPr>
            <w:tcW w:w="1991" w:type="dxa"/>
            <w:shd w:val="clear" w:color="auto" w:fill="auto"/>
          </w:tcPr>
          <w:p w14:paraId="034F1BBF"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31" w:type="dxa"/>
            <w:shd w:val="clear" w:color="auto" w:fill="auto"/>
          </w:tcPr>
          <w:p w14:paraId="0CE81919"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85" w:type="dxa"/>
            <w:shd w:val="clear" w:color="auto" w:fill="auto"/>
          </w:tcPr>
          <w:p w14:paraId="3F179C17" w14:textId="5A85BF99"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13</w:t>
            </w:r>
          </w:p>
        </w:tc>
      </w:tr>
    </w:tbl>
    <w:p w14:paraId="37E3017B" w14:textId="77777777" w:rsidR="008A2081" w:rsidRPr="0093006A" w:rsidRDefault="008A2081" w:rsidP="008A2081">
      <w:pPr>
        <w:rPr>
          <w:color w:val="595959" w:themeColor="text1" w:themeTint="A6"/>
        </w:rPr>
      </w:pPr>
    </w:p>
    <w:p w14:paraId="1ABC8C33" w14:textId="77777777" w:rsidR="008A2081" w:rsidRPr="0093006A" w:rsidRDefault="008A2081" w:rsidP="008A2081">
      <w:pPr>
        <w:rPr>
          <w:color w:val="595959" w:themeColor="text1" w:themeTint="A6"/>
          <w:sz w:val="26"/>
          <w:szCs w:val="26"/>
        </w:rPr>
      </w:pPr>
    </w:p>
    <w:p w14:paraId="4E5B4310" w14:textId="18FF9F29" w:rsidR="008A2081" w:rsidRPr="0093006A" w:rsidRDefault="008A2081" w:rsidP="008A2081">
      <w:pPr>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B1</w:t>
      </w:r>
      <w:r w:rsidR="00B05D5B" w:rsidRPr="0093006A">
        <w:rPr>
          <w:b/>
          <w:bCs/>
          <w:color w:val="595959" w:themeColor="text1" w:themeTint="A6"/>
          <w:sz w:val="24"/>
          <w:szCs w:val="24"/>
        </w:rPr>
        <w:t>0</w:t>
      </w:r>
      <w:r w:rsidRPr="0093006A">
        <w:rPr>
          <w:b/>
          <w:bCs/>
          <w:color w:val="595959" w:themeColor="text1" w:themeTint="A6"/>
          <w:sz w:val="24"/>
          <w:szCs w:val="24"/>
        </w:rPr>
        <w:t>: Eastern New South Wales Region</w:t>
      </w:r>
    </w:p>
    <w:p w14:paraId="1E28A20B" w14:textId="77777777" w:rsidR="008A2081" w:rsidRPr="0093006A" w:rsidRDefault="008A2081" w:rsidP="008A2081">
      <w:pPr>
        <w:rPr>
          <w:color w:val="595959" w:themeColor="text1" w:themeTint="A6"/>
        </w:rPr>
      </w:pPr>
    </w:p>
    <w:tbl>
      <w:tblPr>
        <w:tblW w:w="9622"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10: Eastern New South Wales Region"/>
        <w:tblDescription w:val="Eastern New South Wales Region Roundtable Participants by location"/>
      </w:tblPr>
      <w:tblGrid>
        <w:gridCol w:w="910"/>
        <w:gridCol w:w="1220"/>
        <w:gridCol w:w="2288"/>
        <w:gridCol w:w="1983"/>
        <w:gridCol w:w="1525"/>
        <w:gridCol w:w="1678"/>
        <w:gridCol w:w="18"/>
      </w:tblGrid>
      <w:tr w:rsidR="0093006A" w:rsidRPr="0093006A" w14:paraId="34E5DCB9" w14:textId="77777777" w:rsidTr="0076290B">
        <w:trPr>
          <w:gridAfter w:val="1"/>
          <w:wAfter w:w="18" w:type="dxa"/>
          <w:cantSplit/>
          <w:trHeight w:val="906"/>
          <w:tblHeader/>
        </w:trPr>
        <w:tc>
          <w:tcPr>
            <w:tcW w:w="910" w:type="dxa"/>
            <w:shd w:val="clear" w:color="auto" w:fill="D9D9D9"/>
          </w:tcPr>
          <w:p w14:paraId="17DD42AF"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220" w:type="dxa"/>
            <w:shd w:val="clear" w:color="auto" w:fill="D9D9D9"/>
          </w:tcPr>
          <w:p w14:paraId="1E540061"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288" w:type="dxa"/>
            <w:shd w:val="clear" w:color="auto" w:fill="D9D9D9"/>
          </w:tcPr>
          <w:p w14:paraId="179F43AF"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1983" w:type="dxa"/>
            <w:shd w:val="clear" w:color="auto" w:fill="D9D9D9"/>
          </w:tcPr>
          <w:p w14:paraId="53F45E20"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525" w:type="dxa"/>
            <w:shd w:val="clear" w:color="auto" w:fill="D9D9D9"/>
          </w:tcPr>
          <w:p w14:paraId="60CBCB63"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678" w:type="dxa"/>
            <w:shd w:val="clear" w:color="auto" w:fill="D9D9D9"/>
          </w:tcPr>
          <w:p w14:paraId="05468609" w14:textId="77777777" w:rsidR="008A2081" w:rsidRPr="009E33CC" w:rsidRDefault="008A2081"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7D90BE6A"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4326C988" w14:textId="77777777" w:rsidTr="00981521">
        <w:trPr>
          <w:gridAfter w:val="1"/>
          <w:wAfter w:w="18" w:type="dxa"/>
          <w:trHeight w:val="906"/>
        </w:trPr>
        <w:tc>
          <w:tcPr>
            <w:tcW w:w="910" w:type="dxa"/>
            <w:shd w:val="clear" w:color="auto" w:fill="auto"/>
            <w:hideMark/>
          </w:tcPr>
          <w:p w14:paraId="7151748E"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40</w:t>
            </w:r>
          </w:p>
        </w:tc>
        <w:tc>
          <w:tcPr>
            <w:tcW w:w="1220" w:type="dxa"/>
            <w:shd w:val="clear" w:color="auto" w:fill="auto"/>
            <w:hideMark/>
          </w:tcPr>
          <w:p w14:paraId="5CF15323"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13 Sep</w:t>
            </w:r>
          </w:p>
        </w:tc>
        <w:tc>
          <w:tcPr>
            <w:tcW w:w="2288" w:type="dxa"/>
            <w:shd w:val="clear" w:color="auto" w:fill="auto"/>
            <w:hideMark/>
          </w:tcPr>
          <w:p w14:paraId="310F40C1"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NSW South Coast</w:t>
            </w:r>
          </w:p>
        </w:tc>
        <w:tc>
          <w:tcPr>
            <w:tcW w:w="1983" w:type="dxa"/>
            <w:shd w:val="clear" w:color="auto" w:fill="auto"/>
            <w:hideMark/>
          </w:tcPr>
          <w:p w14:paraId="3133FA31"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25" w:type="dxa"/>
            <w:shd w:val="clear" w:color="auto" w:fill="auto"/>
            <w:hideMark/>
          </w:tcPr>
          <w:p w14:paraId="3211E79E"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78" w:type="dxa"/>
            <w:shd w:val="clear" w:color="auto" w:fill="auto"/>
            <w:hideMark/>
          </w:tcPr>
          <w:p w14:paraId="73EF6C9D" w14:textId="21899681"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17</w:t>
            </w:r>
          </w:p>
        </w:tc>
      </w:tr>
      <w:tr w:rsidR="0093006A" w:rsidRPr="0093006A" w14:paraId="521A620D" w14:textId="77777777" w:rsidTr="00981521">
        <w:trPr>
          <w:gridAfter w:val="1"/>
          <w:wAfter w:w="18" w:type="dxa"/>
          <w:trHeight w:val="906"/>
        </w:trPr>
        <w:tc>
          <w:tcPr>
            <w:tcW w:w="910" w:type="dxa"/>
            <w:shd w:val="clear" w:color="auto" w:fill="auto"/>
            <w:hideMark/>
          </w:tcPr>
          <w:p w14:paraId="420E420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41</w:t>
            </w:r>
          </w:p>
        </w:tc>
        <w:tc>
          <w:tcPr>
            <w:tcW w:w="1220" w:type="dxa"/>
            <w:shd w:val="clear" w:color="auto" w:fill="auto"/>
            <w:hideMark/>
          </w:tcPr>
          <w:p w14:paraId="38087F75"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14 Sep</w:t>
            </w:r>
          </w:p>
        </w:tc>
        <w:tc>
          <w:tcPr>
            <w:tcW w:w="2288" w:type="dxa"/>
            <w:shd w:val="clear" w:color="auto" w:fill="auto"/>
            <w:hideMark/>
          </w:tcPr>
          <w:p w14:paraId="390E6EB7"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NSW South Coast</w:t>
            </w:r>
          </w:p>
        </w:tc>
        <w:tc>
          <w:tcPr>
            <w:tcW w:w="1983" w:type="dxa"/>
            <w:shd w:val="clear" w:color="auto" w:fill="auto"/>
            <w:hideMark/>
          </w:tcPr>
          <w:p w14:paraId="79BA39B2"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25" w:type="dxa"/>
            <w:shd w:val="clear" w:color="auto" w:fill="auto"/>
            <w:hideMark/>
          </w:tcPr>
          <w:p w14:paraId="78444BFC"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78" w:type="dxa"/>
            <w:shd w:val="clear" w:color="auto" w:fill="auto"/>
            <w:hideMark/>
          </w:tcPr>
          <w:p w14:paraId="6F23F928" w14:textId="365F8597"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23</w:t>
            </w:r>
          </w:p>
        </w:tc>
      </w:tr>
      <w:tr w:rsidR="0093006A" w:rsidRPr="0093006A" w14:paraId="02740649" w14:textId="77777777" w:rsidTr="00981521">
        <w:trPr>
          <w:gridAfter w:val="1"/>
          <w:wAfter w:w="18" w:type="dxa"/>
          <w:trHeight w:val="906"/>
        </w:trPr>
        <w:tc>
          <w:tcPr>
            <w:tcW w:w="910" w:type="dxa"/>
            <w:shd w:val="clear" w:color="auto" w:fill="auto"/>
            <w:hideMark/>
          </w:tcPr>
          <w:p w14:paraId="59306390"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42</w:t>
            </w:r>
          </w:p>
        </w:tc>
        <w:tc>
          <w:tcPr>
            <w:tcW w:w="1220" w:type="dxa"/>
            <w:shd w:val="clear" w:color="auto" w:fill="auto"/>
            <w:hideMark/>
          </w:tcPr>
          <w:p w14:paraId="30687929"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14 Sep</w:t>
            </w:r>
          </w:p>
        </w:tc>
        <w:tc>
          <w:tcPr>
            <w:tcW w:w="2288" w:type="dxa"/>
            <w:shd w:val="clear" w:color="auto" w:fill="auto"/>
            <w:hideMark/>
          </w:tcPr>
          <w:p w14:paraId="32FCD850"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Sydney NSW</w:t>
            </w:r>
          </w:p>
        </w:tc>
        <w:tc>
          <w:tcPr>
            <w:tcW w:w="1983" w:type="dxa"/>
            <w:shd w:val="clear" w:color="auto" w:fill="auto"/>
            <w:hideMark/>
          </w:tcPr>
          <w:p w14:paraId="2903344E"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25" w:type="dxa"/>
            <w:shd w:val="clear" w:color="auto" w:fill="auto"/>
            <w:hideMark/>
          </w:tcPr>
          <w:p w14:paraId="7AFA537F"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78" w:type="dxa"/>
            <w:shd w:val="clear" w:color="auto" w:fill="auto"/>
            <w:hideMark/>
          </w:tcPr>
          <w:p w14:paraId="7062340F" w14:textId="0994CA93"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23</w:t>
            </w:r>
          </w:p>
        </w:tc>
      </w:tr>
      <w:tr w:rsidR="0093006A" w:rsidRPr="0093006A" w14:paraId="335EDC1F" w14:textId="77777777" w:rsidTr="00981521">
        <w:trPr>
          <w:gridAfter w:val="1"/>
          <w:wAfter w:w="18" w:type="dxa"/>
          <w:trHeight w:val="906"/>
        </w:trPr>
        <w:tc>
          <w:tcPr>
            <w:tcW w:w="910" w:type="dxa"/>
            <w:shd w:val="clear" w:color="auto" w:fill="auto"/>
          </w:tcPr>
          <w:p w14:paraId="3821C21C"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48</w:t>
            </w:r>
          </w:p>
        </w:tc>
        <w:tc>
          <w:tcPr>
            <w:tcW w:w="1220" w:type="dxa"/>
            <w:shd w:val="clear" w:color="auto" w:fill="auto"/>
          </w:tcPr>
          <w:p w14:paraId="022090B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16 Sep</w:t>
            </w:r>
          </w:p>
        </w:tc>
        <w:tc>
          <w:tcPr>
            <w:tcW w:w="2288" w:type="dxa"/>
            <w:shd w:val="clear" w:color="auto" w:fill="auto"/>
          </w:tcPr>
          <w:p w14:paraId="365D1746"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Sydney NSW</w:t>
            </w:r>
          </w:p>
        </w:tc>
        <w:tc>
          <w:tcPr>
            <w:tcW w:w="1983" w:type="dxa"/>
            <w:shd w:val="clear" w:color="auto" w:fill="auto"/>
          </w:tcPr>
          <w:p w14:paraId="2C529AE5"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25" w:type="dxa"/>
            <w:shd w:val="clear" w:color="auto" w:fill="auto"/>
          </w:tcPr>
          <w:p w14:paraId="780D1216"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78" w:type="dxa"/>
            <w:shd w:val="clear" w:color="auto" w:fill="auto"/>
          </w:tcPr>
          <w:p w14:paraId="287BE076" w14:textId="2C2C1F47"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29</w:t>
            </w:r>
          </w:p>
        </w:tc>
      </w:tr>
      <w:tr w:rsidR="0093006A" w:rsidRPr="0093006A" w14:paraId="6FBFA42B" w14:textId="77777777" w:rsidTr="00981521">
        <w:trPr>
          <w:gridAfter w:val="1"/>
          <w:wAfter w:w="18" w:type="dxa"/>
          <w:trHeight w:val="906"/>
        </w:trPr>
        <w:tc>
          <w:tcPr>
            <w:tcW w:w="910" w:type="dxa"/>
            <w:shd w:val="clear" w:color="auto" w:fill="auto"/>
          </w:tcPr>
          <w:p w14:paraId="592F4F27"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49</w:t>
            </w:r>
          </w:p>
        </w:tc>
        <w:tc>
          <w:tcPr>
            <w:tcW w:w="1220" w:type="dxa"/>
            <w:shd w:val="clear" w:color="auto" w:fill="auto"/>
          </w:tcPr>
          <w:p w14:paraId="06FC665C"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16 Sep</w:t>
            </w:r>
          </w:p>
        </w:tc>
        <w:tc>
          <w:tcPr>
            <w:tcW w:w="2288" w:type="dxa"/>
            <w:shd w:val="clear" w:color="auto" w:fill="auto"/>
          </w:tcPr>
          <w:p w14:paraId="1BEF8D13"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Sydney NSW</w:t>
            </w:r>
          </w:p>
        </w:tc>
        <w:tc>
          <w:tcPr>
            <w:tcW w:w="1983" w:type="dxa"/>
            <w:shd w:val="clear" w:color="auto" w:fill="auto"/>
          </w:tcPr>
          <w:p w14:paraId="5003C77A"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25" w:type="dxa"/>
            <w:shd w:val="clear" w:color="auto" w:fill="auto"/>
          </w:tcPr>
          <w:p w14:paraId="3C08684A"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78" w:type="dxa"/>
            <w:shd w:val="clear" w:color="auto" w:fill="auto"/>
          </w:tcPr>
          <w:p w14:paraId="2995B7F9" w14:textId="33B8B146"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13</w:t>
            </w:r>
          </w:p>
        </w:tc>
      </w:tr>
      <w:tr w:rsidR="0093006A" w:rsidRPr="0093006A" w14:paraId="5D2651C6" w14:textId="77777777" w:rsidTr="00981521">
        <w:trPr>
          <w:gridAfter w:val="1"/>
          <w:wAfter w:w="18" w:type="dxa"/>
          <w:trHeight w:val="906"/>
        </w:trPr>
        <w:tc>
          <w:tcPr>
            <w:tcW w:w="910" w:type="dxa"/>
            <w:shd w:val="clear" w:color="auto" w:fill="auto"/>
          </w:tcPr>
          <w:p w14:paraId="260A0839"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51</w:t>
            </w:r>
          </w:p>
        </w:tc>
        <w:tc>
          <w:tcPr>
            <w:tcW w:w="1220" w:type="dxa"/>
            <w:shd w:val="clear" w:color="auto" w:fill="auto"/>
          </w:tcPr>
          <w:p w14:paraId="69EA3D42"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17 Sep</w:t>
            </w:r>
          </w:p>
        </w:tc>
        <w:tc>
          <w:tcPr>
            <w:tcW w:w="2288" w:type="dxa"/>
            <w:shd w:val="clear" w:color="auto" w:fill="auto"/>
          </w:tcPr>
          <w:p w14:paraId="5A3D02EA"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NSW North Coast</w:t>
            </w:r>
          </w:p>
        </w:tc>
        <w:tc>
          <w:tcPr>
            <w:tcW w:w="1983" w:type="dxa"/>
            <w:shd w:val="clear" w:color="auto" w:fill="auto"/>
          </w:tcPr>
          <w:p w14:paraId="71A5A119"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25" w:type="dxa"/>
            <w:shd w:val="clear" w:color="auto" w:fill="auto"/>
          </w:tcPr>
          <w:p w14:paraId="7A2230F8"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78" w:type="dxa"/>
            <w:shd w:val="clear" w:color="auto" w:fill="auto"/>
          </w:tcPr>
          <w:p w14:paraId="0CBD81B9" w14:textId="4F759309"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12</w:t>
            </w:r>
          </w:p>
        </w:tc>
      </w:tr>
      <w:tr w:rsidR="0065098D" w:rsidRPr="0093006A" w14:paraId="57EE2D75" w14:textId="77777777" w:rsidTr="00981521">
        <w:trPr>
          <w:trHeight w:val="906"/>
        </w:trPr>
        <w:tc>
          <w:tcPr>
            <w:tcW w:w="910" w:type="dxa"/>
            <w:tcBorders>
              <w:top w:val="single" w:sz="4" w:space="0" w:color="009193"/>
              <w:left w:val="single" w:sz="4" w:space="0" w:color="009193"/>
              <w:bottom w:val="single" w:sz="4" w:space="0" w:color="009193"/>
              <w:right w:val="single" w:sz="4" w:space="0" w:color="009193"/>
            </w:tcBorders>
            <w:shd w:val="clear" w:color="auto" w:fill="auto"/>
          </w:tcPr>
          <w:p w14:paraId="221C0248"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53</w:t>
            </w:r>
          </w:p>
        </w:tc>
        <w:tc>
          <w:tcPr>
            <w:tcW w:w="1220" w:type="dxa"/>
            <w:tcBorders>
              <w:top w:val="single" w:sz="4" w:space="0" w:color="009193"/>
              <w:left w:val="single" w:sz="4" w:space="0" w:color="009193"/>
              <w:bottom w:val="single" w:sz="4" w:space="0" w:color="009193"/>
              <w:right w:val="single" w:sz="4" w:space="0" w:color="009193"/>
            </w:tcBorders>
            <w:shd w:val="clear" w:color="auto" w:fill="auto"/>
          </w:tcPr>
          <w:p w14:paraId="27904678"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17 Sep</w:t>
            </w:r>
          </w:p>
        </w:tc>
        <w:tc>
          <w:tcPr>
            <w:tcW w:w="2288" w:type="dxa"/>
            <w:tcBorders>
              <w:top w:val="single" w:sz="4" w:space="0" w:color="009193"/>
              <w:left w:val="single" w:sz="4" w:space="0" w:color="009193"/>
              <w:bottom w:val="single" w:sz="4" w:space="0" w:color="009193"/>
              <w:right w:val="single" w:sz="4" w:space="0" w:color="009193"/>
            </w:tcBorders>
            <w:shd w:val="clear" w:color="auto" w:fill="auto"/>
          </w:tcPr>
          <w:p w14:paraId="64EC39EA"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Empowered Communities NSW</w:t>
            </w:r>
          </w:p>
        </w:tc>
        <w:tc>
          <w:tcPr>
            <w:tcW w:w="1983" w:type="dxa"/>
            <w:tcBorders>
              <w:top w:val="single" w:sz="4" w:space="0" w:color="009193"/>
              <w:left w:val="single" w:sz="4" w:space="0" w:color="009193"/>
              <w:bottom w:val="single" w:sz="4" w:space="0" w:color="009193"/>
              <w:right w:val="single" w:sz="4" w:space="0" w:color="009193"/>
            </w:tcBorders>
            <w:shd w:val="clear" w:color="auto" w:fill="auto"/>
          </w:tcPr>
          <w:p w14:paraId="5576BB6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25" w:type="dxa"/>
            <w:tcBorders>
              <w:top w:val="single" w:sz="4" w:space="0" w:color="009193"/>
              <w:left w:val="single" w:sz="4" w:space="0" w:color="009193"/>
              <w:bottom w:val="single" w:sz="4" w:space="0" w:color="009193"/>
              <w:right w:val="single" w:sz="4" w:space="0" w:color="009193"/>
            </w:tcBorders>
            <w:shd w:val="clear" w:color="auto" w:fill="auto"/>
          </w:tcPr>
          <w:p w14:paraId="4700E9E9"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96" w:type="dxa"/>
            <w:gridSpan w:val="2"/>
            <w:tcBorders>
              <w:top w:val="single" w:sz="4" w:space="0" w:color="009193"/>
              <w:left w:val="single" w:sz="4" w:space="0" w:color="009193"/>
              <w:bottom w:val="single" w:sz="4" w:space="0" w:color="009193"/>
              <w:right w:val="single" w:sz="4" w:space="0" w:color="009193"/>
            </w:tcBorders>
            <w:shd w:val="clear" w:color="auto" w:fill="auto"/>
          </w:tcPr>
          <w:p w14:paraId="091A7B05" w14:textId="6C969A7B"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24</w:t>
            </w:r>
          </w:p>
        </w:tc>
      </w:tr>
    </w:tbl>
    <w:p w14:paraId="6752B5A5" w14:textId="77777777" w:rsidR="008A2081" w:rsidRPr="0093006A" w:rsidRDefault="008A2081" w:rsidP="008A2081">
      <w:pPr>
        <w:rPr>
          <w:color w:val="595959" w:themeColor="text1" w:themeTint="A6"/>
        </w:rPr>
      </w:pPr>
    </w:p>
    <w:p w14:paraId="6B0F7A78" w14:textId="761E4A62" w:rsidR="00FB3095" w:rsidRPr="0093006A" w:rsidRDefault="008A2081" w:rsidP="008A2081">
      <w:pPr>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B1</w:t>
      </w:r>
      <w:r w:rsidR="00B05D5B" w:rsidRPr="0093006A">
        <w:rPr>
          <w:b/>
          <w:bCs/>
          <w:color w:val="595959" w:themeColor="text1" w:themeTint="A6"/>
          <w:sz w:val="24"/>
          <w:szCs w:val="24"/>
        </w:rPr>
        <w:t>1</w:t>
      </w:r>
      <w:r w:rsidRPr="0093006A">
        <w:rPr>
          <w:b/>
          <w:bCs/>
          <w:color w:val="595959" w:themeColor="text1" w:themeTint="A6"/>
          <w:sz w:val="24"/>
          <w:szCs w:val="24"/>
        </w:rPr>
        <w:t xml:space="preserve">: </w:t>
      </w:r>
      <w:r w:rsidR="00FB3095" w:rsidRPr="0093006A">
        <w:rPr>
          <w:b/>
          <w:bCs/>
          <w:color w:val="595959" w:themeColor="text1" w:themeTint="A6"/>
          <w:sz w:val="24"/>
          <w:szCs w:val="24"/>
        </w:rPr>
        <w:t>Western NSW</w:t>
      </w:r>
    </w:p>
    <w:tbl>
      <w:tblPr>
        <w:tblW w:w="9601"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11: Western NSW"/>
        <w:tblDescription w:val="Western NSW Roundtable Participants by location"/>
      </w:tblPr>
      <w:tblGrid>
        <w:gridCol w:w="909"/>
        <w:gridCol w:w="1220"/>
        <w:gridCol w:w="2287"/>
        <w:gridCol w:w="1982"/>
        <w:gridCol w:w="1525"/>
        <w:gridCol w:w="1678"/>
      </w:tblGrid>
      <w:tr w:rsidR="0093006A" w:rsidRPr="0093006A" w14:paraId="3D5C1AAB" w14:textId="77777777" w:rsidTr="0076290B">
        <w:trPr>
          <w:cantSplit/>
          <w:trHeight w:val="928"/>
          <w:tblHeader/>
        </w:trPr>
        <w:tc>
          <w:tcPr>
            <w:tcW w:w="909" w:type="dxa"/>
            <w:shd w:val="clear" w:color="auto" w:fill="D9D9D9"/>
          </w:tcPr>
          <w:p w14:paraId="4BDA2D47"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220" w:type="dxa"/>
            <w:shd w:val="clear" w:color="auto" w:fill="D9D9D9"/>
          </w:tcPr>
          <w:p w14:paraId="0C07D4FD"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287" w:type="dxa"/>
            <w:shd w:val="clear" w:color="auto" w:fill="D9D9D9"/>
          </w:tcPr>
          <w:p w14:paraId="2382995F"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1982" w:type="dxa"/>
            <w:shd w:val="clear" w:color="auto" w:fill="D9D9D9"/>
          </w:tcPr>
          <w:p w14:paraId="64429279"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525" w:type="dxa"/>
            <w:shd w:val="clear" w:color="auto" w:fill="D9D9D9"/>
          </w:tcPr>
          <w:p w14:paraId="68FA184D"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678" w:type="dxa"/>
            <w:shd w:val="clear" w:color="auto" w:fill="D9D9D9"/>
          </w:tcPr>
          <w:p w14:paraId="5D8334D6" w14:textId="77777777" w:rsidR="00FB3095" w:rsidRPr="009E33CC" w:rsidRDefault="00FB3095"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0D8EE10B" w14:textId="77777777" w:rsidR="00FB3095" w:rsidRPr="009E33CC" w:rsidRDefault="00FB3095" w:rsidP="0048465C">
            <w:pP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FB3095" w:rsidRPr="0093006A" w14:paraId="565B3006" w14:textId="77777777" w:rsidTr="00981521">
        <w:trPr>
          <w:trHeight w:val="928"/>
        </w:trPr>
        <w:tc>
          <w:tcPr>
            <w:tcW w:w="909" w:type="dxa"/>
            <w:shd w:val="clear" w:color="auto" w:fill="auto"/>
            <w:hideMark/>
          </w:tcPr>
          <w:p w14:paraId="1177EA64" w14:textId="77777777" w:rsidR="00FB3095" w:rsidRPr="0093006A" w:rsidRDefault="00FB3095" w:rsidP="0048465C">
            <w:pPr>
              <w:rPr>
                <w:rFonts w:eastAsia="Times New Roman" w:cs="Arial"/>
                <w:color w:val="595959" w:themeColor="text1" w:themeTint="A6"/>
              </w:rPr>
            </w:pPr>
            <w:r w:rsidRPr="0093006A">
              <w:rPr>
                <w:rFonts w:eastAsia="Times New Roman" w:cs="Arial"/>
                <w:color w:val="595959" w:themeColor="text1" w:themeTint="A6"/>
              </w:rPr>
              <w:t>1</w:t>
            </w:r>
          </w:p>
        </w:tc>
        <w:tc>
          <w:tcPr>
            <w:tcW w:w="1220" w:type="dxa"/>
            <w:shd w:val="clear" w:color="auto" w:fill="auto"/>
            <w:hideMark/>
          </w:tcPr>
          <w:p w14:paraId="4067B0C1" w14:textId="77777777" w:rsidR="00FB3095" w:rsidRPr="0093006A" w:rsidRDefault="00FB3095" w:rsidP="0048465C">
            <w:pPr>
              <w:rPr>
                <w:rFonts w:eastAsia="Times New Roman" w:cs="Arial"/>
                <w:color w:val="595959" w:themeColor="text1" w:themeTint="A6"/>
              </w:rPr>
            </w:pPr>
            <w:r w:rsidRPr="0093006A">
              <w:rPr>
                <w:rFonts w:eastAsia="Times New Roman" w:cs="Arial"/>
                <w:color w:val="595959" w:themeColor="text1" w:themeTint="A6"/>
              </w:rPr>
              <w:t>3 Aug</w:t>
            </w:r>
          </w:p>
        </w:tc>
        <w:tc>
          <w:tcPr>
            <w:tcW w:w="2287" w:type="dxa"/>
            <w:shd w:val="clear" w:color="auto" w:fill="auto"/>
            <w:hideMark/>
          </w:tcPr>
          <w:p w14:paraId="64F4BF51" w14:textId="77777777" w:rsidR="00FB3095" w:rsidRPr="0093006A" w:rsidRDefault="00FB3095" w:rsidP="0048465C">
            <w:pPr>
              <w:rPr>
                <w:rFonts w:eastAsia="Times New Roman" w:cs="Arial"/>
                <w:color w:val="595959" w:themeColor="text1" w:themeTint="A6"/>
              </w:rPr>
            </w:pPr>
            <w:r w:rsidRPr="0093006A">
              <w:rPr>
                <w:rFonts w:eastAsia="Times New Roman" w:cs="Arial"/>
                <w:color w:val="595959" w:themeColor="text1" w:themeTint="A6"/>
              </w:rPr>
              <w:t>Wagga Wagga</w:t>
            </w:r>
          </w:p>
        </w:tc>
        <w:tc>
          <w:tcPr>
            <w:tcW w:w="1982" w:type="dxa"/>
            <w:shd w:val="clear" w:color="auto" w:fill="auto"/>
            <w:hideMark/>
          </w:tcPr>
          <w:p w14:paraId="1C5C7326" w14:textId="77777777" w:rsidR="00FB3095" w:rsidRPr="0093006A" w:rsidRDefault="00FB3095" w:rsidP="0048465C">
            <w:pPr>
              <w:rPr>
                <w:rFonts w:eastAsia="Times New Roman" w:cs="Arial"/>
                <w:color w:val="595959" w:themeColor="text1" w:themeTint="A6"/>
              </w:rPr>
            </w:pPr>
            <w:r w:rsidRPr="0093006A">
              <w:rPr>
                <w:rFonts w:eastAsia="Times New Roman" w:cs="Arial"/>
                <w:color w:val="595959" w:themeColor="text1" w:themeTint="A6"/>
              </w:rPr>
              <w:t>Roundtable</w:t>
            </w:r>
          </w:p>
        </w:tc>
        <w:tc>
          <w:tcPr>
            <w:tcW w:w="1525" w:type="dxa"/>
            <w:shd w:val="clear" w:color="auto" w:fill="auto"/>
            <w:hideMark/>
          </w:tcPr>
          <w:p w14:paraId="21BA41C9" w14:textId="77777777" w:rsidR="00FB3095" w:rsidRPr="0093006A" w:rsidRDefault="00FB3095" w:rsidP="0048465C">
            <w:pPr>
              <w:rPr>
                <w:rFonts w:eastAsia="Times New Roman" w:cs="Arial"/>
                <w:color w:val="595959" w:themeColor="text1" w:themeTint="A6"/>
              </w:rPr>
            </w:pPr>
            <w:r w:rsidRPr="0093006A">
              <w:rPr>
                <w:rFonts w:eastAsia="Times New Roman" w:cs="Arial"/>
                <w:color w:val="595959" w:themeColor="text1" w:themeTint="A6"/>
              </w:rPr>
              <w:t>Virtual</w:t>
            </w:r>
          </w:p>
        </w:tc>
        <w:tc>
          <w:tcPr>
            <w:tcW w:w="1678" w:type="dxa"/>
            <w:shd w:val="clear" w:color="auto" w:fill="auto"/>
            <w:hideMark/>
          </w:tcPr>
          <w:p w14:paraId="017A92B7" w14:textId="03188F09" w:rsidR="00FB3095" w:rsidRPr="0093006A" w:rsidRDefault="0065098D" w:rsidP="0048465C">
            <w:pPr>
              <w:jc w:val="right"/>
              <w:rPr>
                <w:rFonts w:eastAsia="Times New Roman" w:cs="Arial"/>
                <w:color w:val="595959" w:themeColor="text1" w:themeTint="A6"/>
              </w:rPr>
            </w:pPr>
            <w:r w:rsidRPr="0093006A">
              <w:rPr>
                <w:rFonts w:eastAsia="Times New Roman" w:cs="Arial"/>
                <w:color w:val="595959" w:themeColor="text1" w:themeTint="A6"/>
              </w:rPr>
              <w:t>31</w:t>
            </w:r>
          </w:p>
        </w:tc>
      </w:tr>
    </w:tbl>
    <w:p w14:paraId="64F43DD6" w14:textId="08F5321B" w:rsidR="00B05D5B" w:rsidRPr="0093006A" w:rsidRDefault="00B05D5B" w:rsidP="008A2081">
      <w:pPr>
        <w:rPr>
          <w:color w:val="595959" w:themeColor="text1" w:themeTint="A6"/>
          <w:sz w:val="26"/>
          <w:szCs w:val="26"/>
        </w:rPr>
      </w:pPr>
    </w:p>
    <w:p w14:paraId="418FF6D9" w14:textId="77777777" w:rsidR="00B05D5B" w:rsidRPr="0093006A" w:rsidRDefault="00B05D5B" w:rsidP="008A2081">
      <w:pPr>
        <w:rPr>
          <w:color w:val="595959" w:themeColor="text1" w:themeTint="A6"/>
          <w:sz w:val="26"/>
          <w:szCs w:val="26"/>
        </w:rPr>
      </w:pPr>
    </w:p>
    <w:p w14:paraId="5C88A206" w14:textId="464E8F68" w:rsidR="008A2081" w:rsidRPr="0093006A" w:rsidRDefault="00FB3095" w:rsidP="008A2081">
      <w:pPr>
        <w:rPr>
          <w:b/>
          <w:bCs/>
          <w:color w:val="595959" w:themeColor="text1" w:themeTint="A6"/>
          <w:sz w:val="24"/>
          <w:szCs w:val="24"/>
        </w:rPr>
      </w:pPr>
      <w:r w:rsidRPr="0093006A">
        <w:rPr>
          <w:b/>
          <w:bCs/>
          <w:color w:val="595959" w:themeColor="text1" w:themeTint="A6"/>
          <w:sz w:val="24"/>
          <w:szCs w:val="24"/>
        </w:rPr>
        <w:t>Table</w:t>
      </w:r>
      <w:r w:rsidR="009E7864" w:rsidRPr="0093006A">
        <w:rPr>
          <w:b/>
          <w:bCs/>
          <w:color w:val="595959" w:themeColor="text1" w:themeTint="A6"/>
          <w:sz w:val="24"/>
          <w:szCs w:val="24"/>
        </w:rPr>
        <w:t xml:space="preserve"> </w:t>
      </w:r>
      <w:r w:rsidR="0065098D" w:rsidRPr="0093006A">
        <w:rPr>
          <w:b/>
          <w:bCs/>
          <w:color w:val="595959" w:themeColor="text1" w:themeTint="A6"/>
          <w:sz w:val="24"/>
          <w:szCs w:val="24"/>
        </w:rPr>
        <w:t>B1</w:t>
      </w:r>
      <w:r w:rsidR="00B05D5B" w:rsidRPr="0093006A">
        <w:rPr>
          <w:b/>
          <w:bCs/>
          <w:color w:val="595959" w:themeColor="text1" w:themeTint="A6"/>
          <w:sz w:val="24"/>
          <w:szCs w:val="24"/>
        </w:rPr>
        <w:t>2</w:t>
      </w:r>
      <w:r w:rsidRPr="0093006A">
        <w:rPr>
          <w:b/>
          <w:bCs/>
          <w:color w:val="595959" w:themeColor="text1" w:themeTint="A6"/>
          <w:sz w:val="24"/>
          <w:szCs w:val="24"/>
        </w:rPr>
        <w:t xml:space="preserve">: </w:t>
      </w:r>
      <w:r w:rsidR="008A2081" w:rsidRPr="0093006A">
        <w:rPr>
          <w:b/>
          <w:bCs/>
          <w:color w:val="595959" w:themeColor="text1" w:themeTint="A6"/>
          <w:sz w:val="24"/>
          <w:szCs w:val="24"/>
        </w:rPr>
        <w:t xml:space="preserve">South Australia Region </w:t>
      </w:r>
    </w:p>
    <w:p w14:paraId="00BCA7F6" w14:textId="77777777" w:rsidR="008A2081" w:rsidRPr="0093006A" w:rsidRDefault="008A2081" w:rsidP="008A2081">
      <w:pPr>
        <w:rPr>
          <w:color w:val="595959" w:themeColor="text1" w:themeTint="A6"/>
        </w:rPr>
      </w:pPr>
    </w:p>
    <w:tbl>
      <w:tblPr>
        <w:tblW w:w="9569"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12: South Australia Region"/>
        <w:tblDescription w:val="South Australian Roundtable Participants by location"/>
      </w:tblPr>
      <w:tblGrid>
        <w:gridCol w:w="897"/>
        <w:gridCol w:w="1202"/>
        <w:gridCol w:w="2255"/>
        <w:gridCol w:w="1954"/>
        <w:gridCol w:w="1503"/>
        <w:gridCol w:w="1758"/>
      </w:tblGrid>
      <w:tr w:rsidR="0093006A" w:rsidRPr="0093006A" w14:paraId="25F5CCA7" w14:textId="77777777" w:rsidTr="0076290B">
        <w:trPr>
          <w:trHeight w:val="918"/>
          <w:tblHeader/>
        </w:trPr>
        <w:tc>
          <w:tcPr>
            <w:tcW w:w="897" w:type="dxa"/>
            <w:shd w:val="clear" w:color="auto" w:fill="D9D9D9"/>
          </w:tcPr>
          <w:p w14:paraId="60842B6F"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202" w:type="dxa"/>
            <w:shd w:val="clear" w:color="auto" w:fill="D9D9D9"/>
          </w:tcPr>
          <w:p w14:paraId="49831B77"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255" w:type="dxa"/>
            <w:shd w:val="clear" w:color="auto" w:fill="D9D9D9"/>
          </w:tcPr>
          <w:p w14:paraId="45C176E0"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1954" w:type="dxa"/>
            <w:shd w:val="clear" w:color="auto" w:fill="D9D9D9"/>
          </w:tcPr>
          <w:p w14:paraId="29FA56A1"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503" w:type="dxa"/>
            <w:shd w:val="clear" w:color="auto" w:fill="D9D9D9"/>
          </w:tcPr>
          <w:p w14:paraId="03DA1D82"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758" w:type="dxa"/>
            <w:shd w:val="clear" w:color="auto" w:fill="D9D9D9"/>
          </w:tcPr>
          <w:p w14:paraId="61AAAE7C" w14:textId="77777777" w:rsidR="008A2081" w:rsidRPr="009E33CC" w:rsidRDefault="008A2081"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6BF4B5F8"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36D72967" w14:textId="77777777" w:rsidTr="00981521">
        <w:trPr>
          <w:trHeight w:val="918"/>
        </w:trPr>
        <w:tc>
          <w:tcPr>
            <w:tcW w:w="897" w:type="dxa"/>
            <w:shd w:val="clear" w:color="auto" w:fill="auto"/>
            <w:hideMark/>
          </w:tcPr>
          <w:p w14:paraId="61B8E953"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34</w:t>
            </w:r>
          </w:p>
        </w:tc>
        <w:tc>
          <w:tcPr>
            <w:tcW w:w="1202" w:type="dxa"/>
            <w:shd w:val="clear" w:color="auto" w:fill="auto"/>
            <w:hideMark/>
          </w:tcPr>
          <w:p w14:paraId="0DDBFA02"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7 Sep</w:t>
            </w:r>
          </w:p>
        </w:tc>
        <w:tc>
          <w:tcPr>
            <w:tcW w:w="2255" w:type="dxa"/>
            <w:shd w:val="clear" w:color="auto" w:fill="auto"/>
            <w:hideMark/>
          </w:tcPr>
          <w:p w14:paraId="4B12E4EF"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Adelaide</w:t>
            </w:r>
          </w:p>
        </w:tc>
        <w:tc>
          <w:tcPr>
            <w:tcW w:w="1954" w:type="dxa"/>
            <w:shd w:val="clear" w:color="auto" w:fill="auto"/>
            <w:hideMark/>
          </w:tcPr>
          <w:p w14:paraId="2EE5863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03" w:type="dxa"/>
            <w:shd w:val="clear" w:color="auto" w:fill="auto"/>
            <w:hideMark/>
          </w:tcPr>
          <w:p w14:paraId="365B645E"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758" w:type="dxa"/>
            <w:shd w:val="clear" w:color="auto" w:fill="auto"/>
            <w:hideMark/>
          </w:tcPr>
          <w:p w14:paraId="6B26494E" w14:textId="4EE057E8"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38</w:t>
            </w:r>
          </w:p>
        </w:tc>
      </w:tr>
      <w:tr w:rsidR="0093006A" w:rsidRPr="0093006A" w14:paraId="79D34E1E" w14:textId="77777777" w:rsidTr="00981521">
        <w:trPr>
          <w:trHeight w:val="918"/>
        </w:trPr>
        <w:tc>
          <w:tcPr>
            <w:tcW w:w="897" w:type="dxa"/>
            <w:shd w:val="clear" w:color="auto" w:fill="auto"/>
            <w:hideMark/>
          </w:tcPr>
          <w:p w14:paraId="775C15D4"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35</w:t>
            </w:r>
          </w:p>
        </w:tc>
        <w:tc>
          <w:tcPr>
            <w:tcW w:w="1202" w:type="dxa"/>
            <w:shd w:val="clear" w:color="auto" w:fill="auto"/>
            <w:hideMark/>
          </w:tcPr>
          <w:p w14:paraId="22BE55D0"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8 Sep</w:t>
            </w:r>
          </w:p>
        </w:tc>
        <w:tc>
          <w:tcPr>
            <w:tcW w:w="2255" w:type="dxa"/>
            <w:shd w:val="clear" w:color="auto" w:fill="auto"/>
            <w:hideMark/>
          </w:tcPr>
          <w:p w14:paraId="7AEEC056"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Adelaide SA</w:t>
            </w:r>
          </w:p>
        </w:tc>
        <w:tc>
          <w:tcPr>
            <w:tcW w:w="1954" w:type="dxa"/>
            <w:shd w:val="clear" w:color="auto" w:fill="auto"/>
            <w:hideMark/>
          </w:tcPr>
          <w:p w14:paraId="345590CA"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03" w:type="dxa"/>
            <w:shd w:val="clear" w:color="auto" w:fill="auto"/>
            <w:hideMark/>
          </w:tcPr>
          <w:p w14:paraId="51A05E70"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758" w:type="dxa"/>
            <w:shd w:val="clear" w:color="auto" w:fill="auto"/>
            <w:hideMark/>
          </w:tcPr>
          <w:p w14:paraId="1053CC5A" w14:textId="0F9931EE"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38</w:t>
            </w:r>
          </w:p>
        </w:tc>
      </w:tr>
      <w:tr w:rsidR="0065098D" w:rsidRPr="0093006A" w14:paraId="3CA50669" w14:textId="77777777" w:rsidTr="00981521">
        <w:trPr>
          <w:trHeight w:val="918"/>
        </w:trPr>
        <w:tc>
          <w:tcPr>
            <w:tcW w:w="897" w:type="dxa"/>
            <w:shd w:val="clear" w:color="auto" w:fill="auto"/>
            <w:hideMark/>
          </w:tcPr>
          <w:p w14:paraId="3A68C24B"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36</w:t>
            </w:r>
          </w:p>
        </w:tc>
        <w:tc>
          <w:tcPr>
            <w:tcW w:w="1202" w:type="dxa"/>
            <w:shd w:val="clear" w:color="auto" w:fill="auto"/>
            <w:hideMark/>
          </w:tcPr>
          <w:p w14:paraId="5FF29894"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9 Sep</w:t>
            </w:r>
          </w:p>
        </w:tc>
        <w:tc>
          <w:tcPr>
            <w:tcW w:w="2255" w:type="dxa"/>
            <w:shd w:val="clear" w:color="auto" w:fill="auto"/>
            <w:hideMark/>
          </w:tcPr>
          <w:p w14:paraId="78D43DBA"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Port Augusta SA</w:t>
            </w:r>
          </w:p>
        </w:tc>
        <w:tc>
          <w:tcPr>
            <w:tcW w:w="1954" w:type="dxa"/>
            <w:shd w:val="clear" w:color="auto" w:fill="auto"/>
            <w:hideMark/>
          </w:tcPr>
          <w:p w14:paraId="01511238"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03" w:type="dxa"/>
            <w:shd w:val="clear" w:color="auto" w:fill="auto"/>
            <w:hideMark/>
          </w:tcPr>
          <w:p w14:paraId="1E349562"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758" w:type="dxa"/>
            <w:shd w:val="clear" w:color="auto" w:fill="auto"/>
            <w:hideMark/>
          </w:tcPr>
          <w:p w14:paraId="62539C6E" w14:textId="031D385A"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24</w:t>
            </w:r>
          </w:p>
        </w:tc>
      </w:tr>
    </w:tbl>
    <w:p w14:paraId="21F3AF3B" w14:textId="77777777" w:rsidR="008A2081" w:rsidRPr="0093006A" w:rsidRDefault="008A2081" w:rsidP="008A2081">
      <w:pPr>
        <w:rPr>
          <w:color w:val="595959" w:themeColor="text1" w:themeTint="A6"/>
        </w:rPr>
      </w:pPr>
    </w:p>
    <w:p w14:paraId="48BDE605" w14:textId="130793B7" w:rsidR="008A2081" w:rsidRPr="0093006A" w:rsidRDefault="008A2081" w:rsidP="00981521">
      <w:pPr>
        <w:tabs>
          <w:tab w:val="left" w:pos="2527"/>
        </w:tabs>
        <w:rPr>
          <w:color w:val="595959" w:themeColor="text1" w:themeTint="A6"/>
        </w:rPr>
      </w:pPr>
      <w:r w:rsidRPr="0093006A">
        <w:rPr>
          <w:color w:val="595959" w:themeColor="text1" w:themeTint="A6"/>
        </w:rPr>
        <w:tab/>
      </w:r>
    </w:p>
    <w:p w14:paraId="382E275B" w14:textId="2176BD97" w:rsidR="008A2081" w:rsidRPr="0093006A" w:rsidRDefault="008A2081" w:rsidP="008A2081">
      <w:pPr>
        <w:rPr>
          <w:b/>
          <w:bCs/>
          <w:color w:val="595959" w:themeColor="text1" w:themeTint="A6"/>
          <w:sz w:val="24"/>
          <w:szCs w:val="24"/>
        </w:rPr>
      </w:pPr>
      <w:r w:rsidRPr="0093006A">
        <w:rPr>
          <w:b/>
          <w:bCs/>
          <w:color w:val="595959" w:themeColor="text1" w:themeTint="A6"/>
          <w:sz w:val="24"/>
          <w:szCs w:val="24"/>
        </w:rPr>
        <w:t xml:space="preserve">Table </w:t>
      </w:r>
      <w:r w:rsidR="0065098D" w:rsidRPr="0093006A">
        <w:rPr>
          <w:b/>
          <w:bCs/>
          <w:color w:val="595959" w:themeColor="text1" w:themeTint="A6"/>
          <w:sz w:val="24"/>
          <w:szCs w:val="24"/>
        </w:rPr>
        <w:t>B1</w:t>
      </w:r>
      <w:r w:rsidR="00B05D5B" w:rsidRPr="0093006A">
        <w:rPr>
          <w:b/>
          <w:bCs/>
          <w:color w:val="595959" w:themeColor="text1" w:themeTint="A6"/>
          <w:sz w:val="24"/>
          <w:szCs w:val="24"/>
        </w:rPr>
        <w:t>3</w:t>
      </w:r>
      <w:r w:rsidRPr="0093006A">
        <w:rPr>
          <w:b/>
          <w:bCs/>
          <w:color w:val="595959" w:themeColor="text1" w:themeTint="A6"/>
          <w:sz w:val="24"/>
          <w:szCs w:val="24"/>
        </w:rPr>
        <w:t xml:space="preserve">: National </w:t>
      </w:r>
    </w:p>
    <w:p w14:paraId="5DA8AA38" w14:textId="77777777" w:rsidR="008A2081" w:rsidRPr="0093006A" w:rsidRDefault="008A2081" w:rsidP="008A2081">
      <w:pPr>
        <w:rPr>
          <w:color w:val="595959" w:themeColor="text1" w:themeTint="A6"/>
        </w:rPr>
      </w:pPr>
    </w:p>
    <w:tbl>
      <w:tblPr>
        <w:tblW w:w="9550"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ayout w:type="fixed"/>
        <w:tblLook w:val="04A0" w:firstRow="1" w:lastRow="0" w:firstColumn="1" w:lastColumn="0" w:noHBand="0" w:noVBand="1"/>
        <w:tblCaption w:val="Table B13: National"/>
        <w:tblDescription w:val="National roundtable participants by location"/>
      </w:tblPr>
      <w:tblGrid>
        <w:gridCol w:w="905"/>
        <w:gridCol w:w="1213"/>
        <w:gridCol w:w="2275"/>
        <w:gridCol w:w="1972"/>
        <w:gridCol w:w="1516"/>
        <w:gridCol w:w="1669"/>
      </w:tblGrid>
      <w:tr w:rsidR="0093006A" w:rsidRPr="0093006A" w14:paraId="483866BD" w14:textId="77777777" w:rsidTr="0076290B">
        <w:trPr>
          <w:trHeight w:val="906"/>
          <w:tblHeader/>
        </w:trPr>
        <w:tc>
          <w:tcPr>
            <w:tcW w:w="905" w:type="dxa"/>
            <w:shd w:val="clear" w:color="auto" w:fill="D9D9D9"/>
          </w:tcPr>
          <w:p w14:paraId="2A971038"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No.</w:t>
            </w:r>
          </w:p>
        </w:tc>
        <w:tc>
          <w:tcPr>
            <w:tcW w:w="1213" w:type="dxa"/>
            <w:shd w:val="clear" w:color="auto" w:fill="D9D9D9"/>
          </w:tcPr>
          <w:p w14:paraId="00560113"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Date</w:t>
            </w:r>
          </w:p>
        </w:tc>
        <w:tc>
          <w:tcPr>
            <w:tcW w:w="2275" w:type="dxa"/>
            <w:shd w:val="clear" w:color="auto" w:fill="D9D9D9"/>
          </w:tcPr>
          <w:p w14:paraId="7E73E960"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 xml:space="preserve">Location </w:t>
            </w:r>
          </w:p>
        </w:tc>
        <w:tc>
          <w:tcPr>
            <w:tcW w:w="1972" w:type="dxa"/>
            <w:shd w:val="clear" w:color="auto" w:fill="D9D9D9"/>
          </w:tcPr>
          <w:p w14:paraId="3FCCFFE9" w14:textId="77777777" w:rsidR="008A2081" w:rsidRPr="009E33CC" w:rsidRDefault="008A2081" w:rsidP="0048465C">
            <w:pPr>
              <w:ind w:right="-347"/>
              <w:rPr>
                <w:rFonts w:eastAsia="Times New Roman" w:cs="Arial"/>
                <w:b/>
                <w:bCs/>
                <w:color w:val="595959" w:themeColor="text1" w:themeTint="A6"/>
              </w:rPr>
            </w:pPr>
            <w:r w:rsidRPr="009E33CC">
              <w:rPr>
                <w:rFonts w:eastAsia="Times New Roman" w:cs="Arial"/>
                <w:b/>
                <w:bCs/>
                <w:color w:val="595959" w:themeColor="text1" w:themeTint="A6"/>
              </w:rPr>
              <w:t>Style</w:t>
            </w:r>
          </w:p>
        </w:tc>
        <w:tc>
          <w:tcPr>
            <w:tcW w:w="1516" w:type="dxa"/>
            <w:shd w:val="clear" w:color="auto" w:fill="D9D9D9"/>
          </w:tcPr>
          <w:p w14:paraId="3682756C"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Mode</w:t>
            </w:r>
          </w:p>
        </w:tc>
        <w:tc>
          <w:tcPr>
            <w:tcW w:w="1669" w:type="dxa"/>
            <w:shd w:val="clear" w:color="auto" w:fill="D9D9D9"/>
          </w:tcPr>
          <w:p w14:paraId="45DF79AA" w14:textId="77777777" w:rsidR="008A2081" w:rsidRPr="009E33CC" w:rsidRDefault="008A2081" w:rsidP="0048465C">
            <w:pPr>
              <w:ind w:right="-590"/>
              <w:rPr>
                <w:rFonts w:eastAsia="Times New Roman" w:cs="Arial"/>
                <w:b/>
                <w:bCs/>
                <w:color w:val="595959" w:themeColor="text1" w:themeTint="A6"/>
              </w:rPr>
            </w:pPr>
            <w:r w:rsidRPr="009E33CC">
              <w:rPr>
                <w:rFonts w:eastAsia="Times New Roman" w:cs="Arial"/>
                <w:b/>
                <w:bCs/>
                <w:color w:val="595959" w:themeColor="text1" w:themeTint="A6"/>
              </w:rPr>
              <w:t xml:space="preserve">No. of </w:t>
            </w:r>
          </w:p>
          <w:p w14:paraId="294B48E6" w14:textId="77777777" w:rsidR="008A2081" w:rsidRPr="009E33CC" w:rsidRDefault="008A2081" w:rsidP="0048465C">
            <w:pPr>
              <w:rPr>
                <w:rFonts w:eastAsia="Times New Roman" w:cs="Arial"/>
                <w:b/>
                <w:bCs/>
                <w:color w:val="595959" w:themeColor="text1" w:themeTint="A6"/>
              </w:rPr>
            </w:pPr>
            <w:r w:rsidRPr="009E33CC">
              <w:rPr>
                <w:rFonts w:eastAsia="Times New Roman" w:cs="Arial"/>
                <w:b/>
                <w:bCs/>
                <w:color w:val="595959" w:themeColor="text1" w:themeTint="A6"/>
              </w:rPr>
              <w:t>Participants</w:t>
            </w:r>
          </w:p>
        </w:tc>
      </w:tr>
      <w:tr w:rsidR="0093006A" w:rsidRPr="0093006A" w14:paraId="6DD5EFC4" w14:textId="77777777" w:rsidTr="00981521">
        <w:trPr>
          <w:trHeight w:val="906"/>
        </w:trPr>
        <w:tc>
          <w:tcPr>
            <w:tcW w:w="905" w:type="dxa"/>
            <w:shd w:val="clear" w:color="auto" w:fill="auto"/>
            <w:hideMark/>
          </w:tcPr>
          <w:p w14:paraId="36CA2991"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29</w:t>
            </w:r>
          </w:p>
        </w:tc>
        <w:tc>
          <w:tcPr>
            <w:tcW w:w="1213" w:type="dxa"/>
            <w:shd w:val="clear" w:color="auto" w:fill="auto"/>
            <w:hideMark/>
          </w:tcPr>
          <w:p w14:paraId="04A96F67"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2 Sep</w:t>
            </w:r>
          </w:p>
        </w:tc>
        <w:tc>
          <w:tcPr>
            <w:tcW w:w="2275" w:type="dxa"/>
            <w:shd w:val="clear" w:color="auto" w:fill="auto"/>
            <w:hideMark/>
          </w:tcPr>
          <w:p w14:paraId="73238015"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National</w:t>
            </w:r>
          </w:p>
        </w:tc>
        <w:tc>
          <w:tcPr>
            <w:tcW w:w="1972" w:type="dxa"/>
            <w:shd w:val="clear" w:color="auto" w:fill="auto"/>
            <w:hideMark/>
          </w:tcPr>
          <w:p w14:paraId="33F59247"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16" w:type="dxa"/>
            <w:shd w:val="clear" w:color="auto" w:fill="auto"/>
            <w:hideMark/>
          </w:tcPr>
          <w:p w14:paraId="6EF96FF4"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69" w:type="dxa"/>
            <w:shd w:val="clear" w:color="auto" w:fill="auto"/>
            <w:hideMark/>
          </w:tcPr>
          <w:p w14:paraId="7248CC63" w14:textId="27F6B9E1"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2</w:t>
            </w:r>
            <w:r w:rsidR="007B6005" w:rsidRPr="0093006A">
              <w:rPr>
                <w:rFonts w:eastAsia="Times New Roman" w:cs="Arial"/>
                <w:color w:val="595959" w:themeColor="text1" w:themeTint="A6"/>
              </w:rPr>
              <w:t>1</w:t>
            </w:r>
          </w:p>
        </w:tc>
      </w:tr>
      <w:tr w:rsidR="0065098D" w:rsidRPr="0093006A" w14:paraId="3C3DB575" w14:textId="77777777" w:rsidTr="00981521">
        <w:trPr>
          <w:trHeight w:val="906"/>
        </w:trPr>
        <w:tc>
          <w:tcPr>
            <w:tcW w:w="905" w:type="dxa"/>
            <w:shd w:val="clear" w:color="auto" w:fill="auto"/>
          </w:tcPr>
          <w:p w14:paraId="435C3182"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52</w:t>
            </w:r>
          </w:p>
        </w:tc>
        <w:tc>
          <w:tcPr>
            <w:tcW w:w="1213" w:type="dxa"/>
            <w:shd w:val="clear" w:color="auto" w:fill="auto"/>
          </w:tcPr>
          <w:p w14:paraId="42E41314"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17 Sep</w:t>
            </w:r>
          </w:p>
        </w:tc>
        <w:tc>
          <w:tcPr>
            <w:tcW w:w="2275" w:type="dxa"/>
            <w:shd w:val="clear" w:color="auto" w:fill="auto"/>
          </w:tcPr>
          <w:p w14:paraId="42BCD1B7"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Empowered Communities (National)</w:t>
            </w:r>
          </w:p>
        </w:tc>
        <w:tc>
          <w:tcPr>
            <w:tcW w:w="1972" w:type="dxa"/>
            <w:shd w:val="clear" w:color="auto" w:fill="auto"/>
          </w:tcPr>
          <w:p w14:paraId="60C61F16"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Roundtable</w:t>
            </w:r>
          </w:p>
        </w:tc>
        <w:tc>
          <w:tcPr>
            <w:tcW w:w="1516" w:type="dxa"/>
            <w:shd w:val="clear" w:color="auto" w:fill="auto"/>
          </w:tcPr>
          <w:p w14:paraId="2BA38561" w14:textId="77777777" w:rsidR="0065098D" w:rsidRPr="0093006A" w:rsidRDefault="0065098D" w:rsidP="0065098D">
            <w:pPr>
              <w:rPr>
                <w:rFonts w:eastAsia="Times New Roman" w:cs="Arial"/>
                <w:color w:val="595959" w:themeColor="text1" w:themeTint="A6"/>
              </w:rPr>
            </w:pPr>
            <w:r w:rsidRPr="0093006A">
              <w:rPr>
                <w:rFonts w:eastAsia="Times New Roman" w:cs="Arial"/>
                <w:color w:val="595959" w:themeColor="text1" w:themeTint="A6"/>
              </w:rPr>
              <w:t>Virtual</w:t>
            </w:r>
          </w:p>
        </w:tc>
        <w:tc>
          <w:tcPr>
            <w:tcW w:w="1669" w:type="dxa"/>
            <w:shd w:val="clear" w:color="auto" w:fill="auto"/>
          </w:tcPr>
          <w:p w14:paraId="3B40B3C7" w14:textId="3F45C395" w:rsidR="0065098D" w:rsidRPr="0093006A" w:rsidRDefault="0065098D" w:rsidP="0065098D">
            <w:pPr>
              <w:jc w:val="right"/>
              <w:rPr>
                <w:rFonts w:eastAsia="Times New Roman" w:cs="Arial"/>
                <w:color w:val="595959" w:themeColor="text1" w:themeTint="A6"/>
              </w:rPr>
            </w:pPr>
            <w:r w:rsidRPr="0093006A">
              <w:rPr>
                <w:rFonts w:eastAsia="Times New Roman" w:cs="Arial"/>
                <w:color w:val="595959" w:themeColor="text1" w:themeTint="A6"/>
              </w:rPr>
              <w:t>12</w:t>
            </w:r>
          </w:p>
        </w:tc>
      </w:tr>
    </w:tbl>
    <w:p w14:paraId="26670D04" w14:textId="77777777" w:rsidR="008A2081" w:rsidRPr="0093006A" w:rsidRDefault="008A2081" w:rsidP="008A2081">
      <w:pPr>
        <w:rPr>
          <w:color w:val="595959" w:themeColor="text1" w:themeTint="A6"/>
        </w:rPr>
      </w:pPr>
    </w:p>
    <w:p w14:paraId="742DCAD8" w14:textId="77777777" w:rsidR="000457D1" w:rsidRPr="0093006A" w:rsidRDefault="000457D1">
      <w:pPr>
        <w:rPr>
          <w:b/>
          <w:bCs/>
          <w:color w:val="595959" w:themeColor="text1" w:themeTint="A6"/>
          <w:sz w:val="24"/>
          <w:szCs w:val="24"/>
        </w:rPr>
      </w:pPr>
      <w:r w:rsidRPr="0093006A">
        <w:rPr>
          <w:b/>
          <w:bCs/>
          <w:color w:val="595959" w:themeColor="text1" w:themeTint="A6"/>
          <w:sz w:val="24"/>
          <w:szCs w:val="24"/>
        </w:rPr>
        <w:br w:type="page"/>
      </w:r>
    </w:p>
    <w:p w14:paraId="50BEE4A6" w14:textId="1EBDD8AB" w:rsidR="0065098D" w:rsidRPr="0093006A" w:rsidRDefault="0065098D">
      <w:pPr>
        <w:rPr>
          <w:b/>
          <w:bCs/>
          <w:color w:val="595959" w:themeColor="text1" w:themeTint="A6"/>
          <w:sz w:val="24"/>
          <w:szCs w:val="24"/>
        </w:rPr>
      </w:pPr>
      <w:r w:rsidRPr="0093006A">
        <w:rPr>
          <w:b/>
          <w:bCs/>
          <w:color w:val="595959" w:themeColor="text1" w:themeTint="A6"/>
          <w:sz w:val="24"/>
          <w:szCs w:val="24"/>
        </w:rPr>
        <w:t>Table B1</w:t>
      </w:r>
      <w:r w:rsidR="00B05D5B" w:rsidRPr="0093006A">
        <w:rPr>
          <w:b/>
          <w:bCs/>
          <w:color w:val="595959" w:themeColor="text1" w:themeTint="A6"/>
          <w:sz w:val="24"/>
          <w:szCs w:val="24"/>
        </w:rPr>
        <w:t>4</w:t>
      </w:r>
      <w:r w:rsidRPr="0093006A">
        <w:rPr>
          <w:b/>
          <w:bCs/>
          <w:color w:val="595959" w:themeColor="text1" w:themeTint="A6"/>
          <w:sz w:val="24"/>
          <w:szCs w:val="24"/>
        </w:rPr>
        <w:t>: Individual participants</w:t>
      </w:r>
    </w:p>
    <w:p w14:paraId="7EA487F6" w14:textId="367F5FD6" w:rsidR="002C2388" w:rsidRPr="0093006A" w:rsidRDefault="002C2388" w:rsidP="002C2388">
      <w:pPr>
        <w:rPr>
          <w:color w:val="595959" w:themeColor="text1" w:themeTint="A6"/>
          <w:sz w:val="20"/>
          <w:szCs w:val="20"/>
        </w:rPr>
      </w:pPr>
    </w:p>
    <w:tbl>
      <w:tblPr>
        <w:tblStyle w:val="TableGrid"/>
        <w:tblW w:w="9776" w:type="dxa"/>
        <w:tblInd w:w="-5" w:type="dxa"/>
        <w:tblLook w:val="04A0" w:firstRow="1" w:lastRow="0" w:firstColumn="1" w:lastColumn="0" w:noHBand="0" w:noVBand="1"/>
        <w:tblCaption w:val="Table B14: Individual Participants"/>
        <w:tblDescription w:val="List of all participating organisations by Roundtable location."/>
      </w:tblPr>
      <w:tblGrid>
        <w:gridCol w:w="4815"/>
        <w:gridCol w:w="4961"/>
      </w:tblGrid>
      <w:tr w:rsidR="0093006A" w:rsidRPr="0093006A" w14:paraId="3C419B90" w14:textId="77777777" w:rsidTr="0076290B">
        <w:trPr>
          <w:cantSplit/>
          <w:trHeight w:val="57"/>
          <w:tblHeader/>
        </w:trPr>
        <w:tc>
          <w:tcPr>
            <w:tcW w:w="4815" w:type="dxa"/>
            <w:shd w:val="clear" w:color="auto" w:fill="D9D9D9" w:themeFill="background1" w:themeFillShade="D9"/>
          </w:tcPr>
          <w:p w14:paraId="1BCBBF8D" w14:textId="77777777" w:rsidR="000457D1" w:rsidRPr="0076290B" w:rsidRDefault="000457D1" w:rsidP="001A5D81">
            <w:pPr>
              <w:jc w:val="center"/>
              <w:rPr>
                <w:rFonts w:cstheme="minorHAnsi"/>
                <w:b/>
                <w:bCs/>
                <w:color w:val="595959" w:themeColor="text1" w:themeTint="A6"/>
              </w:rPr>
            </w:pPr>
            <w:r w:rsidRPr="0076290B">
              <w:rPr>
                <w:rFonts w:cstheme="minorHAnsi"/>
                <w:b/>
                <w:bCs/>
                <w:color w:val="595959" w:themeColor="text1" w:themeTint="A6"/>
              </w:rPr>
              <w:t>Organisation</w:t>
            </w:r>
          </w:p>
        </w:tc>
        <w:tc>
          <w:tcPr>
            <w:tcW w:w="4961" w:type="dxa"/>
            <w:shd w:val="clear" w:color="auto" w:fill="D9D9D9" w:themeFill="background1" w:themeFillShade="D9"/>
          </w:tcPr>
          <w:p w14:paraId="72803A18" w14:textId="77777777" w:rsidR="000457D1" w:rsidRPr="0076290B" w:rsidRDefault="000457D1" w:rsidP="001A5D81">
            <w:pPr>
              <w:jc w:val="center"/>
              <w:rPr>
                <w:rFonts w:cstheme="minorHAnsi"/>
                <w:b/>
                <w:bCs/>
                <w:color w:val="595959" w:themeColor="text1" w:themeTint="A6"/>
              </w:rPr>
            </w:pPr>
            <w:r w:rsidRPr="0076290B">
              <w:rPr>
                <w:rFonts w:cstheme="minorHAnsi"/>
                <w:b/>
                <w:bCs/>
                <w:color w:val="595959" w:themeColor="text1" w:themeTint="A6"/>
              </w:rPr>
              <w:t>Roundtable</w:t>
            </w:r>
          </w:p>
        </w:tc>
      </w:tr>
      <w:tr w:rsidR="0093006A" w:rsidRPr="0093006A" w14:paraId="79F28C6C" w14:textId="77777777" w:rsidTr="0076290B">
        <w:trPr>
          <w:cantSplit/>
          <w:trHeight w:val="57"/>
        </w:trPr>
        <w:tc>
          <w:tcPr>
            <w:tcW w:w="4815" w:type="dxa"/>
            <w:hideMark/>
          </w:tcPr>
          <w:p w14:paraId="3BF9AC1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Adelaide North, LGP </w:t>
            </w:r>
          </w:p>
        </w:tc>
        <w:tc>
          <w:tcPr>
            <w:tcW w:w="4961" w:type="dxa"/>
            <w:hideMark/>
          </w:tcPr>
          <w:p w14:paraId="744AF05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35306934" w14:textId="77777777" w:rsidTr="0076290B">
        <w:trPr>
          <w:cantSplit/>
          <w:trHeight w:val="57"/>
        </w:trPr>
        <w:tc>
          <w:tcPr>
            <w:tcW w:w="4815" w:type="dxa"/>
            <w:hideMark/>
          </w:tcPr>
          <w:p w14:paraId="6901F73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AIS SA </w:t>
            </w:r>
          </w:p>
        </w:tc>
        <w:tc>
          <w:tcPr>
            <w:tcW w:w="4961" w:type="dxa"/>
            <w:hideMark/>
          </w:tcPr>
          <w:p w14:paraId="0B757C5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758D1252" w14:textId="77777777" w:rsidTr="0076290B">
        <w:trPr>
          <w:cantSplit/>
          <w:trHeight w:val="57"/>
        </w:trPr>
        <w:tc>
          <w:tcPr>
            <w:tcW w:w="4815" w:type="dxa"/>
            <w:hideMark/>
          </w:tcPr>
          <w:p w14:paraId="1D40C7E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Anglicare SA </w:t>
            </w:r>
          </w:p>
        </w:tc>
        <w:tc>
          <w:tcPr>
            <w:tcW w:w="4961" w:type="dxa"/>
            <w:hideMark/>
          </w:tcPr>
          <w:p w14:paraId="5942DFB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54FFC55F" w14:textId="77777777" w:rsidTr="0076290B">
        <w:trPr>
          <w:cantSplit/>
          <w:trHeight w:val="57"/>
        </w:trPr>
        <w:tc>
          <w:tcPr>
            <w:tcW w:w="4815" w:type="dxa"/>
            <w:hideMark/>
          </w:tcPr>
          <w:p w14:paraId="4004BF63" w14:textId="4A2553C2"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Status Employment Services for the Adelaide North</w:t>
            </w:r>
          </w:p>
        </w:tc>
        <w:tc>
          <w:tcPr>
            <w:tcW w:w="4961" w:type="dxa"/>
            <w:hideMark/>
          </w:tcPr>
          <w:p w14:paraId="112F0C8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7C4CDFE1" w14:textId="77777777" w:rsidTr="0076290B">
        <w:trPr>
          <w:cantSplit/>
          <w:trHeight w:val="57"/>
        </w:trPr>
        <w:tc>
          <w:tcPr>
            <w:tcW w:w="4815" w:type="dxa"/>
            <w:hideMark/>
          </w:tcPr>
          <w:p w14:paraId="7343A7C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ASG Group </w:t>
            </w:r>
          </w:p>
        </w:tc>
        <w:tc>
          <w:tcPr>
            <w:tcW w:w="4961" w:type="dxa"/>
            <w:hideMark/>
          </w:tcPr>
          <w:p w14:paraId="0589389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0D7B4C82" w14:textId="77777777" w:rsidTr="0076290B">
        <w:trPr>
          <w:cantSplit/>
          <w:trHeight w:val="57"/>
        </w:trPr>
        <w:tc>
          <w:tcPr>
            <w:tcW w:w="4815" w:type="dxa"/>
            <w:hideMark/>
          </w:tcPr>
          <w:p w14:paraId="2C35B19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Barda V Col</w:t>
            </w:r>
          </w:p>
        </w:tc>
        <w:tc>
          <w:tcPr>
            <w:tcW w:w="4961" w:type="dxa"/>
            <w:hideMark/>
          </w:tcPr>
          <w:p w14:paraId="22EA318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3484058D" w14:textId="77777777" w:rsidTr="0076290B">
        <w:trPr>
          <w:cantSplit/>
          <w:trHeight w:val="57"/>
        </w:trPr>
        <w:tc>
          <w:tcPr>
            <w:tcW w:w="4815" w:type="dxa"/>
            <w:hideMark/>
          </w:tcPr>
          <w:p w14:paraId="4E32D4B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BLCW Program</w:t>
            </w:r>
          </w:p>
        </w:tc>
        <w:tc>
          <w:tcPr>
            <w:tcW w:w="4961" w:type="dxa"/>
            <w:hideMark/>
          </w:tcPr>
          <w:p w14:paraId="0F185BB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6F1CD31B" w14:textId="77777777" w:rsidTr="0076290B">
        <w:trPr>
          <w:cantSplit/>
          <w:trHeight w:val="57"/>
        </w:trPr>
        <w:tc>
          <w:tcPr>
            <w:tcW w:w="4815" w:type="dxa"/>
            <w:hideMark/>
          </w:tcPr>
          <w:p w14:paraId="47D5CC4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Boweng </w:t>
            </w:r>
          </w:p>
        </w:tc>
        <w:tc>
          <w:tcPr>
            <w:tcW w:w="4961" w:type="dxa"/>
            <w:hideMark/>
          </w:tcPr>
          <w:p w14:paraId="700AF31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7C3B4867" w14:textId="77777777" w:rsidTr="0076290B">
        <w:trPr>
          <w:cantSplit/>
          <w:trHeight w:val="57"/>
        </w:trPr>
        <w:tc>
          <w:tcPr>
            <w:tcW w:w="4815" w:type="dxa"/>
            <w:hideMark/>
          </w:tcPr>
          <w:p w14:paraId="3FDBA885" w14:textId="150B0FF2"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Complete Personnel Group </w:t>
            </w:r>
          </w:p>
        </w:tc>
        <w:tc>
          <w:tcPr>
            <w:tcW w:w="4961" w:type="dxa"/>
            <w:hideMark/>
          </w:tcPr>
          <w:p w14:paraId="68DCDDF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30F8031F" w14:textId="77777777" w:rsidTr="0076290B">
        <w:trPr>
          <w:cantSplit/>
          <w:trHeight w:val="57"/>
        </w:trPr>
        <w:tc>
          <w:tcPr>
            <w:tcW w:w="4815" w:type="dxa"/>
            <w:hideMark/>
          </w:tcPr>
          <w:p w14:paraId="0955A02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Civil Apprenticeships and Careers Ltd</w:t>
            </w:r>
          </w:p>
        </w:tc>
        <w:tc>
          <w:tcPr>
            <w:tcW w:w="4961" w:type="dxa"/>
            <w:hideMark/>
          </w:tcPr>
          <w:p w14:paraId="34EE31C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0E2EB9E9" w14:textId="77777777" w:rsidTr="0076290B">
        <w:trPr>
          <w:cantSplit/>
          <w:trHeight w:val="57"/>
        </w:trPr>
        <w:tc>
          <w:tcPr>
            <w:tcW w:w="4815" w:type="dxa"/>
            <w:hideMark/>
          </w:tcPr>
          <w:p w14:paraId="359C8AB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Complete Personnel</w:t>
            </w:r>
          </w:p>
        </w:tc>
        <w:tc>
          <w:tcPr>
            <w:tcW w:w="4961" w:type="dxa"/>
            <w:hideMark/>
          </w:tcPr>
          <w:p w14:paraId="518248C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2082494C" w14:textId="77777777" w:rsidTr="0076290B">
        <w:trPr>
          <w:cantSplit/>
          <w:trHeight w:val="57"/>
        </w:trPr>
        <w:tc>
          <w:tcPr>
            <w:tcW w:w="4815" w:type="dxa"/>
            <w:hideMark/>
          </w:tcPr>
          <w:p w14:paraId="319EDB4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Curriculum and Learning Division, Schools SA</w:t>
            </w:r>
          </w:p>
        </w:tc>
        <w:tc>
          <w:tcPr>
            <w:tcW w:w="4961" w:type="dxa"/>
            <w:hideMark/>
          </w:tcPr>
          <w:p w14:paraId="364F6FD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220CA982" w14:textId="77777777" w:rsidTr="0076290B">
        <w:trPr>
          <w:cantSplit/>
          <w:trHeight w:val="57"/>
        </w:trPr>
        <w:tc>
          <w:tcPr>
            <w:tcW w:w="4815" w:type="dxa"/>
            <w:hideMark/>
          </w:tcPr>
          <w:p w14:paraId="4142B94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Data Com</w:t>
            </w:r>
          </w:p>
        </w:tc>
        <w:tc>
          <w:tcPr>
            <w:tcW w:w="4961" w:type="dxa"/>
            <w:hideMark/>
          </w:tcPr>
          <w:p w14:paraId="37CBD73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2B648AE3" w14:textId="77777777" w:rsidTr="0076290B">
        <w:trPr>
          <w:cantSplit/>
          <w:trHeight w:val="57"/>
        </w:trPr>
        <w:tc>
          <w:tcPr>
            <w:tcW w:w="4815" w:type="dxa"/>
            <w:hideMark/>
          </w:tcPr>
          <w:p w14:paraId="5ACFA71B" w14:textId="646F81E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Aboriginal Services, AnglicareSA</w:t>
            </w:r>
          </w:p>
        </w:tc>
        <w:tc>
          <w:tcPr>
            <w:tcW w:w="4961" w:type="dxa"/>
            <w:hideMark/>
          </w:tcPr>
          <w:p w14:paraId="6B4AB09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37CD936A" w14:textId="77777777" w:rsidTr="0076290B">
        <w:trPr>
          <w:cantSplit/>
          <w:trHeight w:val="57"/>
        </w:trPr>
        <w:tc>
          <w:tcPr>
            <w:tcW w:w="4815" w:type="dxa"/>
            <w:hideMark/>
          </w:tcPr>
          <w:p w14:paraId="4B30E2A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Downer Group </w:t>
            </w:r>
          </w:p>
        </w:tc>
        <w:tc>
          <w:tcPr>
            <w:tcW w:w="4961" w:type="dxa"/>
            <w:hideMark/>
          </w:tcPr>
          <w:p w14:paraId="2D73353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7AC70643" w14:textId="77777777" w:rsidTr="0076290B">
        <w:trPr>
          <w:cantSplit/>
          <w:trHeight w:val="57"/>
        </w:trPr>
        <w:tc>
          <w:tcPr>
            <w:tcW w:w="4815" w:type="dxa"/>
            <w:hideMark/>
          </w:tcPr>
          <w:p w14:paraId="649D1CD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DPC AAR</w:t>
            </w:r>
          </w:p>
        </w:tc>
        <w:tc>
          <w:tcPr>
            <w:tcW w:w="4961" w:type="dxa"/>
            <w:hideMark/>
          </w:tcPr>
          <w:p w14:paraId="7A67CA4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4A180131" w14:textId="77777777" w:rsidTr="0076290B">
        <w:trPr>
          <w:cantSplit/>
          <w:trHeight w:val="57"/>
        </w:trPr>
        <w:tc>
          <w:tcPr>
            <w:tcW w:w="4815" w:type="dxa"/>
            <w:hideMark/>
          </w:tcPr>
          <w:p w14:paraId="404832D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Employment Facilitator </w:t>
            </w:r>
          </w:p>
        </w:tc>
        <w:tc>
          <w:tcPr>
            <w:tcW w:w="4961" w:type="dxa"/>
            <w:hideMark/>
          </w:tcPr>
          <w:p w14:paraId="2CD3881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2B7D5C2B" w14:textId="77777777" w:rsidTr="0076290B">
        <w:trPr>
          <w:cantSplit/>
          <w:trHeight w:val="57"/>
        </w:trPr>
        <w:tc>
          <w:tcPr>
            <w:tcW w:w="4815" w:type="dxa"/>
            <w:hideMark/>
          </w:tcPr>
          <w:p w14:paraId="15F288C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Employment Facilitator for Adelaide North</w:t>
            </w:r>
          </w:p>
        </w:tc>
        <w:tc>
          <w:tcPr>
            <w:tcW w:w="4961" w:type="dxa"/>
            <w:hideMark/>
          </w:tcPr>
          <w:p w14:paraId="1476C55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57FA1022" w14:textId="77777777" w:rsidTr="0076290B">
        <w:trPr>
          <w:cantSplit/>
          <w:trHeight w:val="57"/>
        </w:trPr>
        <w:tc>
          <w:tcPr>
            <w:tcW w:w="4815" w:type="dxa"/>
            <w:hideMark/>
          </w:tcPr>
          <w:p w14:paraId="0345B4F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Employment Facilitator Mid North and Upper Spencer Gulf</w:t>
            </w:r>
          </w:p>
        </w:tc>
        <w:tc>
          <w:tcPr>
            <w:tcW w:w="4961" w:type="dxa"/>
            <w:hideMark/>
          </w:tcPr>
          <w:p w14:paraId="243D1FC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2917D1C5" w14:textId="77777777" w:rsidTr="0076290B">
        <w:trPr>
          <w:cantSplit/>
          <w:trHeight w:val="57"/>
        </w:trPr>
        <w:tc>
          <w:tcPr>
            <w:tcW w:w="4815" w:type="dxa"/>
            <w:hideMark/>
          </w:tcPr>
          <w:p w14:paraId="2F49C138" w14:textId="24D7E765"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Department for Innovation and Skills</w:t>
            </w:r>
          </w:p>
        </w:tc>
        <w:tc>
          <w:tcPr>
            <w:tcW w:w="4961" w:type="dxa"/>
            <w:hideMark/>
          </w:tcPr>
          <w:p w14:paraId="3B86452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1C9891DF" w14:textId="77777777" w:rsidTr="0076290B">
        <w:trPr>
          <w:cantSplit/>
          <w:trHeight w:val="57"/>
        </w:trPr>
        <w:tc>
          <w:tcPr>
            <w:tcW w:w="4815" w:type="dxa"/>
            <w:hideMark/>
          </w:tcPr>
          <w:p w14:paraId="67360D0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InComPro Aboriginal Association</w:t>
            </w:r>
          </w:p>
        </w:tc>
        <w:tc>
          <w:tcPr>
            <w:tcW w:w="4961" w:type="dxa"/>
            <w:hideMark/>
          </w:tcPr>
          <w:p w14:paraId="1F9E726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073C1650" w14:textId="77777777" w:rsidTr="0076290B">
        <w:trPr>
          <w:cantSplit/>
          <w:trHeight w:val="57"/>
        </w:trPr>
        <w:tc>
          <w:tcPr>
            <w:tcW w:w="4815" w:type="dxa"/>
            <w:hideMark/>
          </w:tcPr>
          <w:p w14:paraId="2420DC6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Indigenous Training and Recruitment</w:t>
            </w:r>
          </w:p>
        </w:tc>
        <w:tc>
          <w:tcPr>
            <w:tcW w:w="4961" w:type="dxa"/>
            <w:hideMark/>
          </w:tcPr>
          <w:p w14:paraId="1BB4EED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5B653495" w14:textId="77777777" w:rsidTr="0076290B">
        <w:trPr>
          <w:cantSplit/>
          <w:trHeight w:val="57"/>
        </w:trPr>
        <w:tc>
          <w:tcPr>
            <w:tcW w:w="4815" w:type="dxa"/>
            <w:hideMark/>
          </w:tcPr>
          <w:p w14:paraId="2730AAD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KPMG </w:t>
            </w:r>
          </w:p>
        </w:tc>
        <w:tc>
          <w:tcPr>
            <w:tcW w:w="4961" w:type="dxa"/>
            <w:hideMark/>
          </w:tcPr>
          <w:p w14:paraId="1117DC2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35D41459" w14:textId="77777777" w:rsidTr="0076290B">
        <w:trPr>
          <w:cantSplit/>
          <w:trHeight w:val="57"/>
        </w:trPr>
        <w:tc>
          <w:tcPr>
            <w:tcW w:w="4815" w:type="dxa"/>
            <w:hideMark/>
          </w:tcPr>
          <w:p w14:paraId="549F1A5C" w14:textId="09D4CB10"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Aboriginal Access Centre TAFE SA </w:t>
            </w:r>
          </w:p>
        </w:tc>
        <w:tc>
          <w:tcPr>
            <w:tcW w:w="4961" w:type="dxa"/>
            <w:hideMark/>
          </w:tcPr>
          <w:p w14:paraId="76C31A4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4F656703" w14:textId="77777777" w:rsidTr="0076290B">
        <w:trPr>
          <w:cantSplit/>
          <w:trHeight w:val="57"/>
        </w:trPr>
        <w:tc>
          <w:tcPr>
            <w:tcW w:w="4815" w:type="dxa"/>
            <w:hideMark/>
          </w:tcPr>
          <w:p w14:paraId="241D6C3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Maxima </w:t>
            </w:r>
          </w:p>
        </w:tc>
        <w:tc>
          <w:tcPr>
            <w:tcW w:w="4961" w:type="dxa"/>
            <w:hideMark/>
          </w:tcPr>
          <w:p w14:paraId="17CDDB5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15811DA9" w14:textId="77777777" w:rsidTr="0076290B">
        <w:trPr>
          <w:cantSplit/>
          <w:trHeight w:val="57"/>
        </w:trPr>
        <w:tc>
          <w:tcPr>
            <w:tcW w:w="4815" w:type="dxa"/>
            <w:hideMark/>
          </w:tcPr>
          <w:p w14:paraId="002DAAF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Moore SA NT</w:t>
            </w:r>
          </w:p>
        </w:tc>
        <w:tc>
          <w:tcPr>
            <w:tcW w:w="4961" w:type="dxa"/>
            <w:hideMark/>
          </w:tcPr>
          <w:p w14:paraId="7304AD8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543A3888" w14:textId="77777777" w:rsidTr="0076290B">
        <w:trPr>
          <w:cantSplit/>
          <w:trHeight w:val="57"/>
        </w:trPr>
        <w:tc>
          <w:tcPr>
            <w:tcW w:w="4815" w:type="dxa"/>
            <w:hideMark/>
          </w:tcPr>
          <w:p w14:paraId="155B9E8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MTL Consulting </w:t>
            </w:r>
          </w:p>
        </w:tc>
        <w:tc>
          <w:tcPr>
            <w:tcW w:w="4961" w:type="dxa"/>
            <w:hideMark/>
          </w:tcPr>
          <w:p w14:paraId="76DE965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25EB8E02" w14:textId="77777777" w:rsidTr="0076290B">
        <w:trPr>
          <w:cantSplit/>
          <w:trHeight w:val="57"/>
        </w:trPr>
        <w:tc>
          <w:tcPr>
            <w:tcW w:w="4815" w:type="dxa"/>
            <w:hideMark/>
          </w:tcPr>
          <w:p w14:paraId="5897AAC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Native Title SA </w:t>
            </w:r>
          </w:p>
        </w:tc>
        <w:tc>
          <w:tcPr>
            <w:tcW w:w="4961" w:type="dxa"/>
            <w:hideMark/>
          </w:tcPr>
          <w:p w14:paraId="4D7F40F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13119AF4" w14:textId="77777777" w:rsidTr="0076290B">
        <w:trPr>
          <w:cantSplit/>
          <w:trHeight w:val="57"/>
        </w:trPr>
        <w:tc>
          <w:tcPr>
            <w:tcW w:w="4815" w:type="dxa"/>
            <w:hideMark/>
          </w:tcPr>
          <w:p w14:paraId="58B3B380" w14:textId="437ECF39"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Eyre/North West Country SA - Complete Personnel Group</w:t>
            </w:r>
          </w:p>
        </w:tc>
        <w:tc>
          <w:tcPr>
            <w:tcW w:w="4961" w:type="dxa"/>
            <w:hideMark/>
          </w:tcPr>
          <w:p w14:paraId="00FA080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3F2D9FB6" w14:textId="77777777" w:rsidTr="0076290B">
        <w:trPr>
          <w:cantSplit/>
          <w:trHeight w:val="57"/>
        </w:trPr>
        <w:tc>
          <w:tcPr>
            <w:tcW w:w="4815" w:type="dxa"/>
            <w:hideMark/>
          </w:tcPr>
          <w:p w14:paraId="257249E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Pepsi Co</w:t>
            </w:r>
          </w:p>
        </w:tc>
        <w:tc>
          <w:tcPr>
            <w:tcW w:w="4961" w:type="dxa"/>
            <w:hideMark/>
          </w:tcPr>
          <w:p w14:paraId="2C89D7E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711EC948" w14:textId="77777777" w:rsidTr="0076290B">
        <w:trPr>
          <w:cantSplit/>
          <w:trHeight w:val="57"/>
        </w:trPr>
        <w:tc>
          <w:tcPr>
            <w:tcW w:w="4815" w:type="dxa"/>
            <w:hideMark/>
          </w:tcPr>
          <w:p w14:paraId="5454EDEF" w14:textId="72E09033"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MADEC Australia </w:t>
            </w:r>
          </w:p>
        </w:tc>
        <w:tc>
          <w:tcPr>
            <w:tcW w:w="4961" w:type="dxa"/>
            <w:hideMark/>
          </w:tcPr>
          <w:p w14:paraId="5938BFB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2958DBEF" w14:textId="77777777" w:rsidTr="0076290B">
        <w:trPr>
          <w:cantSplit/>
          <w:trHeight w:val="57"/>
        </w:trPr>
        <w:tc>
          <w:tcPr>
            <w:tcW w:w="4815" w:type="dxa"/>
            <w:hideMark/>
          </w:tcPr>
          <w:p w14:paraId="451CC325" w14:textId="2C08F435"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Skills and Workforce Capability, Department for Innovation and Skills</w:t>
            </w:r>
          </w:p>
        </w:tc>
        <w:tc>
          <w:tcPr>
            <w:tcW w:w="4961" w:type="dxa"/>
            <w:hideMark/>
          </w:tcPr>
          <w:p w14:paraId="7B77432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1147B736" w14:textId="77777777" w:rsidTr="0076290B">
        <w:trPr>
          <w:cantSplit/>
          <w:trHeight w:val="57"/>
        </w:trPr>
        <w:tc>
          <w:tcPr>
            <w:tcW w:w="4815" w:type="dxa"/>
            <w:hideMark/>
          </w:tcPr>
          <w:p w14:paraId="50FA177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PW2PA </w:t>
            </w:r>
          </w:p>
        </w:tc>
        <w:tc>
          <w:tcPr>
            <w:tcW w:w="4961" w:type="dxa"/>
            <w:hideMark/>
          </w:tcPr>
          <w:p w14:paraId="25643B6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7CC1020C" w14:textId="77777777" w:rsidTr="0076290B">
        <w:trPr>
          <w:cantSplit/>
          <w:trHeight w:val="57"/>
        </w:trPr>
        <w:tc>
          <w:tcPr>
            <w:tcW w:w="4815" w:type="dxa"/>
            <w:hideMark/>
          </w:tcPr>
          <w:p w14:paraId="074C4F7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Rainy Day Recruitment </w:t>
            </w:r>
          </w:p>
        </w:tc>
        <w:tc>
          <w:tcPr>
            <w:tcW w:w="4961" w:type="dxa"/>
            <w:hideMark/>
          </w:tcPr>
          <w:p w14:paraId="1591283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38B40466" w14:textId="77777777" w:rsidTr="0076290B">
        <w:trPr>
          <w:cantSplit/>
          <w:trHeight w:val="57"/>
        </w:trPr>
        <w:tc>
          <w:tcPr>
            <w:tcW w:w="4815" w:type="dxa"/>
            <w:hideMark/>
          </w:tcPr>
          <w:p w14:paraId="1378836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Reconciliations SA </w:t>
            </w:r>
          </w:p>
        </w:tc>
        <w:tc>
          <w:tcPr>
            <w:tcW w:w="4961" w:type="dxa"/>
            <w:hideMark/>
          </w:tcPr>
          <w:p w14:paraId="1156597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127C25C5" w14:textId="77777777" w:rsidTr="0076290B">
        <w:trPr>
          <w:cantSplit/>
          <w:trHeight w:val="57"/>
        </w:trPr>
        <w:tc>
          <w:tcPr>
            <w:tcW w:w="4815" w:type="dxa"/>
            <w:hideMark/>
          </w:tcPr>
          <w:p w14:paraId="6D199DC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Regional Anangu Services Aboriginal Corporation (RASAC</w:t>
            </w:r>
          </w:p>
        </w:tc>
        <w:tc>
          <w:tcPr>
            <w:tcW w:w="4961" w:type="dxa"/>
            <w:hideMark/>
          </w:tcPr>
          <w:p w14:paraId="0AC714F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68DB7ECE" w14:textId="77777777" w:rsidTr="0076290B">
        <w:trPr>
          <w:cantSplit/>
          <w:trHeight w:val="57"/>
        </w:trPr>
        <w:tc>
          <w:tcPr>
            <w:tcW w:w="4815" w:type="dxa"/>
            <w:hideMark/>
          </w:tcPr>
          <w:p w14:paraId="3FC1A87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SA Government</w:t>
            </w:r>
          </w:p>
        </w:tc>
        <w:tc>
          <w:tcPr>
            <w:tcW w:w="4961" w:type="dxa"/>
            <w:hideMark/>
          </w:tcPr>
          <w:p w14:paraId="0368DC6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0A9CF828" w14:textId="77777777" w:rsidTr="0076290B">
        <w:trPr>
          <w:cantSplit/>
          <w:trHeight w:val="57"/>
        </w:trPr>
        <w:tc>
          <w:tcPr>
            <w:tcW w:w="4815" w:type="dxa"/>
            <w:hideMark/>
          </w:tcPr>
          <w:p w14:paraId="479C918F" w14:textId="6E8D5C82"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Department of Education, Skills and Employment</w:t>
            </w:r>
          </w:p>
        </w:tc>
        <w:tc>
          <w:tcPr>
            <w:tcW w:w="4961" w:type="dxa"/>
            <w:hideMark/>
          </w:tcPr>
          <w:p w14:paraId="5C88E3E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61842396" w14:textId="77777777" w:rsidTr="0076290B">
        <w:trPr>
          <w:cantSplit/>
          <w:trHeight w:val="57"/>
        </w:trPr>
        <w:tc>
          <w:tcPr>
            <w:tcW w:w="4815" w:type="dxa"/>
            <w:hideMark/>
          </w:tcPr>
          <w:p w14:paraId="42E8D01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SA Water </w:t>
            </w:r>
          </w:p>
        </w:tc>
        <w:tc>
          <w:tcPr>
            <w:tcW w:w="4961" w:type="dxa"/>
            <w:hideMark/>
          </w:tcPr>
          <w:p w14:paraId="788355E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577C700F" w14:textId="77777777" w:rsidTr="0076290B">
        <w:trPr>
          <w:cantSplit/>
          <w:trHeight w:val="57"/>
        </w:trPr>
        <w:tc>
          <w:tcPr>
            <w:tcW w:w="4815" w:type="dxa"/>
            <w:hideMark/>
          </w:tcPr>
          <w:p w14:paraId="25561E3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Salvation Army </w:t>
            </w:r>
          </w:p>
        </w:tc>
        <w:tc>
          <w:tcPr>
            <w:tcW w:w="4961" w:type="dxa"/>
            <w:hideMark/>
          </w:tcPr>
          <w:p w14:paraId="73D1ECF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1A0D2503" w14:textId="77777777" w:rsidTr="0076290B">
        <w:trPr>
          <w:cantSplit/>
          <w:trHeight w:val="57"/>
        </w:trPr>
        <w:tc>
          <w:tcPr>
            <w:tcW w:w="4815" w:type="dxa"/>
            <w:hideMark/>
          </w:tcPr>
          <w:p w14:paraId="5BE3CF6E" w14:textId="4022DD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Local Jobs Program</w:t>
            </w:r>
          </w:p>
        </w:tc>
        <w:tc>
          <w:tcPr>
            <w:tcW w:w="4961" w:type="dxa"/>
            <w:hideMark/>
          </w:tcPr>
          <w:p w14:paraId="4D99A2F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021D14D8" w14:textId="77777777" w:rsidTr="0076290B">
        <w:trPr>
          <w:cantSplit/>
          <w:trHeight w:val="57"/>
        </w:trPr>
        <w:tc>
          <w:tcPr>
            <w:tcW w:w="4815" w:type="dxa"/>
            <w:hideMark/>
          </w:tcPr>
          <w:p w14:paraId="0551AAA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SYC</w:t>
            </w:r>
          </w:p>
        </w:tc>
        <w:tc>
          <w:tcPr>
            <w:tcW w:w="4961" w:type="dxa"/>
            <w:hideMark/>
          </w:tcPr>
          <w:p w14:paraId="290D665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289E7E64" w14:textId="77777777" w:rsidTr="0076290B">
        <w:trPr>
          <w:cantSplit/>
          <w:trHeight w:val="57"/>
        </w:trPr>
        <w:tc>
          <w:tcPr>
            <w:tcW w:w="4815" w:type="dxa"/>
            <w:hideMark/>
          </w:tcPr>
          <w:p w14:paraId="30B55D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Tauondi SA </w:t>
            </w:r>
          </w:p>
        </w:tc>
        <w:tc>
          <w:tcPr>
            <w:tcW w:w="4961" w:type="dxa"/>
            <w:hideMark/>
          </w:tcPr>
          <w:p w14:paraId="38C2EA2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17B38350" w14:textId="77777777" w:rsidTr="0076290B">
        <w:trPr>
          <w:cantSplit/>
          <w:trHeight w:val="57"/>
        </w:trPr>
        <w:tc>
          <w:tcPr>
            <w:tcW w:w="4815" w:type="dxa"/>
            <w:hideMark/>
          </w:tcPr>
          <w:p w14:paraId="6363851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USG Employment</w:t>
            </w:r>
          </w:p>
        </w:tc>
        <w:tc>
          <w:tcPr>
            <w:tcW w:w="4961" w:type="dxa"/>
            <w:hideMark/>
          </w:tcPr>
          <w:p w14:paraId="7BF5971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6ABB0785" w14:textId="77777777" w:rsidTr="0076290B">
        <w:trPr>
          <w:cantSplit/>
          <w:trHeight w:val="57"/>
        </w:trPr>
        <w:tc>
          <w:tcPr>
            <w:tcW w:w="4815" w:type="dxa"/>
            <w:hideMark/>
          </w:tcPr>
          <w:p w14:paraId="5CC1621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Workskill Australia</w:t>
            </w:r>
          </w:p>
        </w:tc>
        <w:tc>
          <w:tcPr>
            <w:tcW w:w="4961" w:type="dxa"/>
            <w:hideMark/>
          </w:tcPr>
          <w:p w14:paraId="01DBDD0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777B84F0" w14:textId="77777777" w:rsidTr="0076290B">
        <w:trPr>
          <w:cantSplit/>
          <w:trHeight w:val="57"/>
        </w:trPr>
        <w:tc>
          <w:tcPr>
            <w:tcW w:w="4815" w:type="dxa"/>
            <w:hideMark/>
          </w:tcPr>
          <w:p w14:paraId="241C591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WSP </w:t>
            </w:r>
          </w:p>
        </w:tc>
        <w:tc>
          <w:tcPr>
            <w:tcW w:w="4961" w:type="dxa"/>
            <w:hideMark/>
          </w:tcPr>
          <w:p w14:paraId="6E9223F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7E9086AF" w14:textId="77777777" w:rsidTr="0076290B">
        <w:trPr>
          <w:cantSplit/>
          <w:trHeight w:val="57"/>
        </w:trPr>
        <w:tc>
          <w:tcPr>
            <w:tcW w:w="4815" w:type="dxa"/>
            <w:hideMark/>
          </w:tcPr>
          <w:p w14:paraId="58A7D7E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Zancott Recruitment</w:t>
            </w:r>
          </w:p>
        </w:tc>
        <w:tc>
          <w:tcPr>
            <w:tcW w:w="4961" w:type="dxa"/>
            <w:hideMark/>
          </w:tcPr>
          <w:p w14:paraId="3A12CEB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Adelaide</w:t>
            </w:r>
          </w:p>
        </w:tc>
      </w:tr>
      <w:tr w:rsidR="0093006A" w:rsidRPr="0093006A" w14:paraId="226E1426" w14:textId="77777777" w:rsidTr="0076290B">
        <w:trPr>
          <w:cantSplit/>
          <w:trHeight w:val="57"/>
        </w:trPr>
        <w:tc>
          <w:tcPr>
            <w:tcW w:w="4815" w:type="dxa"/>
            <w:hideMark/>
          </w:tcPr>
          <w:p w14:paraId="098BE9B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CLC</w:t>
            </w:r>
          </w:p>
        </w:tc>
        <w:tc>
          <w:tcPr>
            <w:tcW w:w="4961" w:type="dxa"/>
            <w:hideMark/>
          </w:tcPr>
          <w:p w14:paraId="57924BA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635D4F52" w14:textId="77777777" w:rsidTr="0076290B">
        <w:trPr>
          <w:cantSplit/>
          <w:trHeight w:val="57"/>
        </w:trPr>
        <w:tc>
          <w:tcPr>
            <w:tcW w:w="4815" w:type="dxa"/>
            <w:hideMark/>
          </w:tcPr>
          <w:p w14:paraId="7407C9A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Bachelor Institute </w:t>
            </w:r>
          </w:p>
        </w:tc>
        <w:tc>
          <w:tcPr>
            <w:tcW w:w="4961" w:type="dxa"/>
            <w:hideMark/>
          </w:tcPr>
          <w:p w14:paraId="69CFC8F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72DE14A5" w14:textId="77777777" w:rsidTr="0076290B">
        <w:trPr>
          <w:cantSplit/>
          <w:trHeight w:val="57"/>
        </w:trPr>
        <w:tc>
          <w:tcPr>
            <w:tcW w:w="4815" w:type="dxa"/>
            <w:hideMark/>
          </w:tcPr>
          <w:p w14:paraId="0DB8E15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Batchelor Institute </w:t>
            </w:r>
          </w:p>
        </w:tc>
        <w:tc>
          <w:tcPr>
            <w:tcW w:w="4961" w:type="dxa"/>
            <w:hideMark/>
          </w:tcPr>
          <w:p w14:paraId="08A9BDA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02A9238D" w14:textId="77777777" w:rsidTr="0076290B">
        <w:trPr>
          <w:cantSplit/>
          <w:trHeight w:val="57"/>
        </w:trPr>
        <w:tc>
          <w:tcPr>
            <w:tcW w:w="4815" w:type="dxa"/>
            <w:hideMark/>
          </w:tcPr>
          <w:p w14:paraId="4CCB01B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CAAC</w:t>
            </w:r>
          </w:p>
        </w:tc>
        <w:tc>
          <w:tcPr>
            <w:tcW w:w="4961" w:type="dxa"/>
            <w:hideMark/>
          </w:tcPr>
          <w:p w14:paraId="230E9CF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43DFE324" w14:textId="77777777" w:rsidTr="0076290B">
        <w:trPr>
          <w:cantSplit/>
          <w:trHeight w:val="57"/>
        </w:trPr>
        <w:tc>
          <w:tcPr>
            <w:tcW w:w="4815" w:type="dxa"/>
            <w:hideMark/>
          </w:tcPr>
          <w:p w14:paraId="2DC58DF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Catholic Care </w:t>
            </w:r>
          </w:p>
        </w:tc>
        <w:tc>
          <w:tcPr>
            <w:tcW w:w="4961" w:type="dxa"/>
            <w:hideMark/>
          </w:tcPr>
          <w:p w14:paraId="0EE35FD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26FFC32A" w14:textId="77777777" w:rsidTr="0076290B">
        <w:trPr>
          <w:cantSplit/>
          <w:trHeight w:val="57"/>
        </w:trPr>
        <w:tc>
          <w:tcPr>
            <w:tcW w:w="4815" w:type="dxa"/>
            <w:hideMark/>
          </w:tcPr>
          <w:p w14:paraId="7F19AC79" w14:textId="1496E9FC"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Desert Knowledge Australia </w:t>
            </w:r>
          </w:p>
        </w:tc>
        <w:tc>
          <w:tcPr>
            <w:tcW w:w="4961" w:type="dxa"/>
            <w:hideMark/>
          </w:tcPr>
          <w:p w14:paraId="16FA9A5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1827055B" w14:textId="77777777" w:rsidTr="0076290B">
        <w:trPr>
          <w:cantSplit/>
          <w:trHeight w:val="57"/>
        </w:trPr>
        <w:tc>
          <w:tcPr>
            <w:tcW w:w="4815" w:type="dxa"/>
            <w:hideMark/>
          </w:tcPr>
          <w:p w14:paraId="3CEEE7A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CLC Employment Facilitator</w:t>
            </w:r>
          </w:p>
        </w:tc>
        <w:tc>
          <w:tcPr>
            <w:tcW w:w="4961" w:type="dxa"/>
            <w:hideMark/>
          </w:tcPr>
          <w:p w14:paraId="3439601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44AE5AB1" w14:textId="77777777" w:rsidTr="0076290B">
        <w:trPr>
          <w:cantSplit/>
          <w:trHeight w:val="57"/>
        </w:trPr>
        <w:tc>
          <w:tcPr>
            <w:tcW w:w="4815" w:type="dxa"/>
            <w:hideMark/>
          </w:tcPr>
          <w:p w14:paraId="2C0528B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CLC Ranger Program</w:t>
            </w:r>
          </w:p>
        </w:tc>
        <w:tc>
          <w:tcPr>
            <w:tcW w:w="4961" w:type="dxa"/>
            <w:hideMark/>
          </w:tcPr>
          <w:p w14:paraId="5CF8825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15AC596B" w14:textId="77777777" w:rsidTr="0076290B">
        <w:trPr>
          <w:cantSplit/>
          <w:trHeight w:val="57"/>
        </w:trPr>
        <w:tc>
          <w:tcPr>
            <w:tcW w:w="4815" w:type="dxa"/>
            <w:hideMark/>
          </w:tcPr>
          <w:p w14:paraId="6FDA0C85" w14:textId="7C9B3485"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NT Chamber of Commerce </w:t>
            </w:r>
          </w:p>
        </w:tc>
        <w:tc>
          <w:tcPr>
            <w:tcW w:w="4961" w:type="dxa"/>
            <w:hideMark/>
          </w:tcPr>
          <w:p w14:paraId="1B1F2A7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555FE68D" w14:textId="77777777" w:rsidTr="0076290B">
        <w:trPr>
          <w:cantSplit/>
          <w:trHeight w:val="57"/>
        </w:trPr>
        <w:tc>
          <w:tcPr>
            <w:tcW w:w="4815" w:type="dxa"/>
            <w:hideMark/>
          </w:tcPr>
          <w:p w14:paraId="0FEF16F8" w14:textId="693AD98F"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DOH Central Desert Regional Council </w:t>
            </w:r>
          </w:p>
        </w:tc>
        <w:tc>
          <w:tcPr>
            <w:tcW w:w="4961" w:type="dxa"/>
            <w:hideMark/>
          </w:tcPr>
          <w:p w14:paraId="6250EB4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0A768221" w14:textId="77777777" w:rsidTr="0076290B">
        <w:trPr>
          <w:cantSplit/>
          <w:trHeight w:val="57"/>
        </w:trPr>
        <w:tc>
          <w:tcPr>
            <w:tcW w:w="4815" w:type="dxa"/>
            <w:hideMark/>
          </w:tcPr>
          <w:p w14:paraId="7695559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NPY Women’s Council </w:t>
            </w:r>
          </w:p>
        </w:tc>
        <w:tc>
          <w:tcPr>
            <w:tcW w:w="4961" w:type="dxa"/>
            <w:hideMark/>
          </w:tcPr>
          <w:p w14:paraId="5A0199C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1D6E35FE" w14:textId="77777777" w:rsidTr="0076290B">
        <w:trPr>
          <w:cantSplit/>
          <w:trHeight w:val="57"/>
        </w:trPr>
        <w:tc>
          <w:tcPr>
            <w:tcW w:w="4815" w:type="dxa"/>
            <w:hideMark/>
          </w:tcPr>
          <w:p w14:paraId="7F6ADCF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NPYWC</w:t>
            </w:r>
          </w:p>
        </w:tc>
        <w:tc>
          <w:tcPr>
            <w:tcW w:w="4961" w:type="dxa"/>
            <w:hideMark/>
          </w:tcPr>
          <w:p w14:paraId="41ACCE2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1767EA77" w14:textId="77777777" w:rsidTr="0076290B">
        <w:trPr>
          <w:cantSplit/>
          <w:trHeight w:val="57"/>
        </w:trPr>
        <w:tc>
          <w:tcPr>
            <w:tcW w:w="4815" w:type="dxa"/>
            <w:hideMark/>
          </w:tcPr>
          <w:p w14:paraId="281A1A1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NT Govt</w:t>
            </w:r>
          </w:p>
        </w:tc>
        <w:tc>
          <w:tcPr>
            <w:tcW w:w="4961" w:type="dxa"/>
            <w:hideMark/>
          </w:tcPr>
          <w:p w14:paraId="0C68469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2D47D717" w14:textId="77777777" w:rsidTr="0076290B">
        <w:trPr>
          <w:cantSplit/>
          <w:trHeight w:val="57"/>
        </w:trPr>
        <w:tc>
          <w:tcPr>
            <w:tcW w:w="4815" w:type="dxa"/>
            <w:hideMark/>
          </w:tcPr>
          <w:p w14:paraId="089A9D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Regional Anangu Services </w:t>
            </w:r>
          </w:p>
        </w:tc>
        <w:tc>
          <w:tcPr>
            <w:tcW w:w="4961" w:type="dxa"/>
            <w:hideMark/>
          </w:tcPr>
          <w:p w14:paraId="2E8B339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2095958F" w14:textId="77777777" w:rsidTr="0076290B">
        <w:trPr>
          <w:cantSplit/>
          <w:trHeight w:val="57"/>
        </w:trPr>
        <w:tc>
          <w:tcPr>
            <w:tcW w:w="4815" w:type="dxa"/>
            <w:hideMark/>
          </w:tcPr>
          <w:p w14:paraId="38136B0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Salt Bush NT </w:t>
            </w:r>
          </w:p>
        </w:tc>
        <w:tc>
          <w:tcPr>
            <w:tcW w:w="4961" w:type="dxa"/>
            <w:hideMark/>
          </w:tcPr>
          <w:p w14:paraId="5BFD543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49768A86" w14:textId="77777777" w:rsidTr="0076290B">
        <w:trPr>
          <w:cantSplit/>
          <w:trHeight w:val="57"/>
        </w:trPr>
        <w:tc>
          <w:tcPr>
            <w:tcW w:w="4815" w:type="dxa"/>
            <w:hideMark/>
          </w:tcPr>
          <w:p w14:paraId="259749E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Saltbush Social Enterprises </w:t>
            </w:r>
          </w:p>
        </w:tc>
        <w:tc>
          <w:tcPr>
            <w:tcW w:w="4961" w:type="dxa"/>
            <w:hideMark/>
          </w:tcPr>
          <w:p w14:paraId="37FB945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5A34A28F" w14:textId="77777777" w:rsidTr="0076290B">
        <w:trPr>
          <w:cantSplit/>
          <w:trHeight w:val="57"/>
        </w:trPr>
        <w:tc>
          <w:tcPr>
            <w:tcW w:w="4815" w:type="dxa"/>
            <w:hideMark/>
          </w:tcPr>
          <w:p w14:paraId="63AD040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Tangentyere </w:t>
            </w:r>
          </w:p>
        </w:tc>
        <w:tc>
          <w:tcPr>
            <w:tcW w:w="4961" w:type="dxa"/>
            <w:hideMark/>
          </w:tcPr>
          <w:p w14:paraId="7F7F859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5DF31A8A" w14:textId="77777777" w:rsidTr="0076290B">
        <w:trPr>
          <w:cantSplit/>
          <w:trHeight w:val="57"/>
        </w:trPr>
        <w:tc>
          <w:tcPr>
            <w:tcW w:w="4815" w:type="dxa"/>
            <w:hideMark/>
          </w:tcPr>
          <w:p w14:paraId="304D247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Tjuwanpa Outstation Resource Centre (TBC)</w:t>
            </w:r>
          </w:p>
        </w:tc>
        <w:tc>
          <w:tcPr>
            <w:tcW w:w="4961" w:type="dxa"/>
            <w:hideMark/>
          </w:tcPr>
          <w:p w14:paraId="1A7D8F6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2941FDA5" w14:textId="77777777" w:rsidTr="0076290B">
        <w:trPr>
          <w:cantSplit/>
          <w:trHeight w:val="57"/>
        </w:trPr>
        <w:tc>
          <w:tcPr>
            <w:tcW w:w="4815" w:type="dxa"/>
            <w:hideMark/>
          </w:tcPr>
          <w:p w14:paraId="524DFBD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Voyages </w:t>
            </w:r>
          </w:p>
        </w:tc>
        <w:tc>
          <w:tcPr>
            <w:tcW w:w="4961" w:type="dxa"/>
            <w:hideMark/>
          </w:tcPr>
          <w:p w14:paraId="14C373E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Alice Springs </w:t>
            </w:r>
          </w:p>
        </w:tc>
      </w:tr>
      <w:tr w:rsidR="0093006A" w:rsidRPr="0093006A" w14:paraId="59E8ECDB" w14:textId="77777777" w:rsidTr="0076290B">
        <w:trPr>
          <w:cantSplit/>
          <w:trHeight w:val="57"/>
        </w:trPr>
        <w:tc>
          <w:tcPr>
            <w:tcW w:w="4815" w:type="dxa"/>
            <w:hideMark/>
          </w:tcPr>
          <w:p w14:paraId="5FEE857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Aboriginal Economic Inclusion Advisor</w:t>
            </w:r>
          </w:p>
        </w:tc>
        <w:tc>
          <w:tcPr>
            <w:tcW w:w="4961" w:type="dxa"/>
            <w:hideMark/>
          </w:tcPr>
          <w:p w14:paraId="5C8448C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2DD9532E" w14:textId="77777777" w:rsidTr="0076290B">
        <w:trPr>
          <w:cantSplit/>
          <w:trHeight w:val="57"/>
        </w:trPr>
        <w:tc>
          <w:tcPr>
            <w:tcW w:w="4815" w:type="dxa"/>
            <w:hideMark/>
          </w:tcPr>
          <w:p w14:paraId="57D3835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Access Australia Group Bendigo</w:t>
            </w:r>
          </w:p>
        </w:tc>
        <w:tc>
          <w:tcPr>
            <w:tcW w:w="4961" w:type="dxa"/>
            <w:hideMark/>
          </w:tcPr>
          <w:p w14:paraId="6862B57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1655128A" w14:textId="77777777" w:rsidTr="0076290B">
        <w:trPr>
          <w:cantSplit/>
          <w:trHeight w:val="57"/>
        </w:trPr>
        <w:tc>
          <w:tcPr>
            <w:tcW w:w="4815" w:type="dxa"/>
            <w:hideMark/>
          </w:tcPr>
          <w:p w14:paraId="0558CC3A" w14:textId="11B93DE9"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La Trobe University </w:t>
            </w:r>
          </w:p>
        </w:tc>
        <w:tc>
          <w:tcPr>
            <w:tcW w:w="4961" w:type="dxa"/>
            <w:hideMark/>
          </w:tcPr>
          <w:p w14:paraId="3A9F8F9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550DAE29" w14:textId="77777777" w:rsidTr="0076290B">
        <w:trPr>
          <w:cantSplit/>
          <w:trHeight w:val="57"/>
        </w:trPr>
        <w:tc>
          <w:tcPr>
            <w:tcW w:w="4815" w:type="dxa"/>
            <w:hideMark/>
          </w:tcPr>
          <w:p w14:paraId="58B4FAD1" w14:textId="0A88C9E5"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Yurringa</w:t>
            </w:r>
          </w:p>
        </w:tc>
        <w:tc>
          <w:tcPr>
            <w:tcW w:w="4961" w:type="dxa"/>
            <w:hideMark/>
          </w:tcPr>
          <w:p w14:paraId="3207171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6BCB4B62" w14:textId="77777777" w:rsidTr="0076290B">
        <w:trPr>
          <w:cantSplit/>
          <w:trHeight w:val="57"/>
        </w:trPr>
        <w:tc>
          <w:tcPr>
            <w:tcW w:w="4815" w:type="dxa"/>
            <w:hideMark/>
          </w:tcPr>
          <w:p w14:paraId="266D29E9" w14:textId="3CB61D26"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CVGT Australia</w:t>
            </w:r>
          </w:p>
        </w:tc>
        <w:tc>
          <w:tcPr>
            <w:tcW w:w="4961" w:type="dxa"/>
            <w:hideMark/>
          </w:tcPr>
          <w:p w14:paraId="44EDA47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4B7B4167" w14:textId="77777777" w:rsidTr="0076290B">
        <w:trPr>
          <w:cantSplit/>
          <w:trHeight w:val="57"/>
        </w:trPr>
        <w:tc>
          <w:tcPr>
            <w:tcW w:w="4815" w:type="dxa"/>
            <w:hideMark/>
          </w:tcPr>
          <w:p w14:paraId="7117ECDA" w14:textId="3189152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Castlemaine Community House</w:t>
            </w:r>
          </w:p>
        </w:tc>
        <w:tc>
          <w:tcPr>
            <w:tcW w:w="4961" w:type="dxa"/>
            <w:hideMark/>
          </w:tcPr>
          <w:p w14:paraId="3DE669F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7171ADB8" w14:textId="77777777" w:rsidTr="0076290B">
        <w:trPr>
          <w:cantSplit/>
          <w:trHeight w:val="57"/>
        </w:trPr>
        <w:tc>
          <w:tcPr>
            <w:tcW w:w="4815" w:type="dxa"/>
            <w:hideMark/>
          </w:tcPr>
          <w:p w14:paraId="5288FA1D" w14:textId="72FDEEB5"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First Peoples Training Institute </w:t>
            </w:r>
          </w:p>
        </w:tc>
        <w:tc>
          <w:tcPr>
            <w:tcW w:w="4961" w:type="dxa"/>
            <w:hideMark/>
          </w:tcPr>
          <w:p w14:paraId="6BF0016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60788DF7" w14:textId="77777777" w:rsidTr="0076290B">
        <w:trPr>
          <w:cantSplit/>
          <w:trHeight w:val="57"/>
        </w:trPr>
        <w:tc>
          <w:tcPr>
            <w:tcW w:w="4815" w:type="dxa"/>
            <w:hideMark/>
          </w:tcPr>
          <w:p w14:paraId="312250C6" w14:textId="12BB78A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Many Rivers Bendigo</w:t>
            </w:r>
          </w:p>
        </w:tc>
        <w:tc>
          <w:tcPr>
            <w:tcW w:w="4961" w:type="dxa"/>
            <w:hideMark/>
          </w:tcPr>
          <w:p w14:paraId="0C81892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32F4818A" w14:textId="77777777" w:rsidTr="0076290B">
        <w:trPr>
          <w:cantSplit/>
          <w:trHeight w:val="57"/>
        </w:trPr>
        <w:tc>
          <w:tcPr>
            <w:tcW w:w="4815" w:type="dxa"/>
            <w:hideMark/>
          </w:tcPr>
          <w:p w14:paraId="0BEB17EC" w14:textId="3D10BC3E"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GROW Greater Shepparton</w:t>
            </w:r>
          </w:p>
        </w:tc>
        <w:tc>
          <w:tcPr>
            <w:tcW w:w="4961" w:type="dxa"/>
            <w:hideMark/>
          </w:tcPr>
          <w:p w14:paraId="55016E6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0AFFC67D" w14:textId="77777777" w:rsidTr="0076290B">
        <w:trPr>
          <w:cantSplit/>
          <w:trHeight w:val="57"/>
        </w:trPr>
        <w:tc>
          <w:tcPr>
            <w:tcW w:w="4815" w:type="dxa"/>
            <w:hideMark/>
          </w:tcPr>
          <w:p w14:paraId="691A6019" w14:textId="46126FFD"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City of Greater Bendigo </w:t>
            </w:r>
          </w:p>
        </w:tc>
        <w:tc>
          <w:tcPr>
            <w:tcW w:w="4961" w:type="dxa"/>
            <w:hideMark/>
          </w:tcPr>
          <w:p w14:paraId="33E59E8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05394E9C" w14:textId="77777777" w:rsidTr="0076290B">
        <w:trPr>
          <w:cantSplit/>
          <w:trHeight w:val="57"/>
        </w:trPr>
        <w:tc>
          <w:tcPr>
            <w:tcW w:w="4815" w:type="dxa"/>
            <w:hideMark/>
          </w:tcPr>
          <w:p w14:paraId="116E5F49" w14:textId="4C5F121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Indigenous Business Australia</w:t>
            </w:r>
          </w:p>
        </w:tc>
        <w:tc>
          <w:tcPr>
            <w:tcW w:w="4961" w:type="dxa"/>
            <w:hideMark/>
          </w:tcPr>
          <w:p w14:paraId="524A3DF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5ED1042A" w14:textId="77777777" w:rsidTr="0076290B">
        <w:trPr>
          <w:cantSplit/>
          <w:trHeight w:val="57"/>
        </w:trPr>
        <w:tc>
          <w:tcPr>
            <w:tcW w:w="4815" w:type="dxa"/>
            <w:hideMark/>
          </w:tcPr>
          <w:p w14:paraId="02896A8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TAFE</w:t>
            </w:r>
          </w:p>
        </w:tc>
        <w:tc>
          <w:tcPr>
            <w:tcW w:w="4961" w:type="dxa"/>
            <w:hideMark/>
          </w:tcPr>
          <w:p w14:paraId="6CC864D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0311D70B" w14:textId="77777777" w:rsidTr="0076290B">
        <w:trPr>
          <w:cantSplit/>
          <w:trHeight w:val="57"/>
        </w:trPr>
        <w:tc>
          <w:tcPr>
            <w:tcW w:w="4815" w:type="dxa"/>
            <w:hideMark/>
          </w:tcPr>
          <w:p w14:paraId="1399A67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Victorian Department of Justice</w:t>
            </w:r>
          </w:p>
        </w:tc>
        <w:tc>
          <w:tcPr>
            <w:tcW w:w="4961" w:type="dxa"/>
            <w:hideMark/>
          </w:tcPr>
          <w:p w14:paraId="0892CEB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0E15A981" w14:textId="77777777" w:rsidTr="0076290B">
        <w:trPr>
          <w:cantSplit/>
          <w:trHeight w:val="57"/>
        </w:trPr>
        <w:tc>
          <w:tcPr>
            <w:tcW w:w="4815" w:type="dxa"/>
            <w:hideMark/>
          </w:tcPr>
          <w:p w14:paraId="5E73852E" w14:textId="76465D70"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City of Greater Bendigo </w:t>
            </w:r>
          </w:p>
        </w:tc>
        <w:tc>
          <w:tcPr>
            <w:tcW w:w="4961" w:type="dxa"/>
            <w:hideMark/>
          </w:tcPr>
          <w:p w14:paraId="10C91AC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Bendigo</w:t>
            </w:r>
          </w:p>
        </w:tc>
      </w:tr>
      <w:tr w:rsidR="0093006A" w:rsidRPr="0093006A" w14:paraId="009E1B7D" w14:textId="77777777" w:rsidTr="0076290B">
        <w:trPr>
          <w:cantSplit/>
          <w:trHeight w:val="57"/>
        </w:trPr>
        <w:tc>
          <w:tcPr>
            <w:tcW w:w="4815" w:type="dxa"/>
            <w:hideMark/>
          </w:tcPr>
          <w:p w14:paraId="70145F7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989 FM</w:t>
            </w:r>
          </w:p>
        </w:tc>
        <w:tc>
          <w:tcPr>
            <w:tcW w:w="4961" w:type="dxa"/>
            <w:hideMark/>
          </w:tcPr>
          <w:p w14:paraId="589FAC3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3A191486" w14:textId="77777777" w:rsidTr="0076290B">
        <w:trPr>
          <w:cantSplit/>
          <w:trHeight w:val="57"/>
        </w:trPr>
        <w:tc>
          <w:tcPr>
            <w:tcW w:w="4815" w:type="dxa"/>
            <w:hideMark/>
          </w:tcPr>
          <w:p w14:paraId="4C9140A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ATISCHS Brisbane </w:t>
            </w:r>
          </w:p>
        </w:tc>
        <w:tc>
          <w:tcPr>
            <w:tcW w:w="4961" w:type="dxa"/>
            <w:hideMark/>
          </w:tcPr>
          <w:p w14:paraId="7B6A5A5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7A38F8C1" w14:textId="77777777" w:rsidTr="0076290B">
        <w:trPr>
          <w:cantSplit/>
          <w:trHeight w:val="57"/>
        </w:trPr>
        <w:tc>
          <w:tcPr>
            <w:tcW w:w="4815" w:type="dxa"/>
            <w:hideMark/>
          </w:tcPr>
          <w:p w14:paraId="6F352CD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Black Card </w:t>
            </w:r>
          </w:p>
        </w:tc>
        <w:tc>
          <w:tcPr>
            <w:tcW w:w="4961" w:type="dxa"/>
            <w:hideMark/>
          </w:tcPr>
          <w:p w14:paraId="660573D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065DE978" w14:textId="77777777" w:rsidTr="0076290B">
        <w:trPr>
          <w:cantSplit/>
          <w:trHeight w:val="57"/>
        </w:trPr>
        <w:tc>
          <w:tcPr>
            <w:tcW w:w="4815" w:type="dxa"/>
            <w:hideMark/>
          </w:tcPr>
          <w:p w14:paraId="76AC108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BNE Catholic </w:t>
            </w:r>
          </w:p>
        </w:tc>
        <w:tc>
          <w:tcPr>
            <w:tcW w:w="4961" w:type="dxa"/>
            <w:hideMark/>
          </w:tcPr>
          <w:p w14:paraId="4202F42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378008AF" w14:textId="77777777" w:rsidTr="0076290B">
        <w:trPr>
          <w:cantSplit/>
          <w:trHeight w:val="57"/>
        </w:trPr>
        <w:tc>
          <w:tcPr>
            <w:tcW w:w="4815" w:type="dxa"/>
            <w:hideMark/>
          </w:tcPr>
          <w:p w14:paraId="5BD25DE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 South PHN</w:t>
            </w:r>
          </w:p>
        </w:tc>
        <w:tc>
          <w:tcPr>
            <w:tcW w:w="4961" w:type="dxa"/>
            <w:hideMark/>
          </w:tcPr>
          <w:p w14:paraId="3068974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17613E6A" w14:textId="77777777" w:rsidTr="0076290B">
        <w:trPr>
          <w:cantSplit/>
          <w:trHeight w:val="57"/>
        </w:trPr>
        <w:tc>
          <w:tcPr>
            <w:tcW w:w="4815" w:type="dxa"/>
            <w:hideMark/>
          </w:tcPr>
          <w:p w14:paraId="45D9FA8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Broncos </w:t>
            </w:r>
          </w:p>
        </w:tc>
        <w:tc>
          <w:tcPr>
            <w:tcW w:w="4961" w:type="dxa"/>
            <w:hideMark/>
          </w:tcPr>
          <w:p w14:paraId="566C64B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040C6B44" w14:textId="77777777" w:rsidTr="0076290B">
        <w:trPr>
          <w:cantSplit/>
          <w:trHeight w:val="57"/>
        </w:trPr>
        <w:tc>
          <w:tcPr>
            <w:tcW w:w="4815" w:type="dxa"/>
            <w:hideMark/>
          </w:tcPr>
          <w:p w14:paraId="08A4323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CEA Group </w:t>
            </w:r>
          </w:p>
        </w:tc>
        <w:tc>
          <w:tcPr>
            <w:tcW w:w="4961" w:type="dxa"/>
            <w:hideMark/>
          </w:tcPr>
          <w:p w14:paraId="1E281DD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61C28C83" w14:textId="77777777" w:rsidTr="0076290B">
        <w:trPr>
          <w:cantSplit/>
          <w:trHeight w:val="57"/>
        </w:trPr>
        <w:tc>
          <w:tcPr>
            <w:tcW w:w="4815" w:type="dxa"/>
            <w:hideMark/>
          </w:tcPr>
          <w:p w14:paraId="6B7BB3BE" w14:textId="047B8468"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Five Bridges </w:t>
            </w:r>
          </w:p>
        </w:tc>
        <w:tc>
          <w:tcPr>
            <w:tcW w:w="4961" w:type="dxa"/>
            <w:hideMark/>
          </w:tcPr>
          <w:p w14:paraId="03AB680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573F97F0" w14:textId="77777777" w:rsidTr="0076290B">
        <w:trPr>
          <w:cantSplit/>
          <w:trHeight w:val="57"/>
        </w:trPr>
        <w:tc>
          <w:tcPr>
            <w:tcW w:w="4815" w:type="dxa"/>
            <w:hideMark/>
          </w:tcPr>
          <w:p w14:paraId="7F9571BA" w14:textId="119340D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Inala Wangarra </w:t>
            </w:r>
          </w:p>
        </w:tc>
        <w:tc>
          <w:tcPr>
            <w:tcW w:w="4961" w:type="dxa"/>
            <w:hideMark/>
          </w:tcPr>
          <w:p w14:paraId="2338DB3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4918BA34" w14:textId="77777777" w:rsidTr="0076290B">
        <w:trPr>
          <w:cantSplit/>
          <w:trHeight w:val="57"/>
        </w:trPr>
        <w:tc>
          <w:tcPr>
            <w:tcW w:w="4815" w:type="dxa"/>
            <w:hideMark/>
          </w:tcPr>
          <w:p w14:paraId="3DB4B7C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Communities QLD </w:t>
            </w:r>
          </w:p>
        </w:tc>
        <w:tc>
          <w:tcPr>
            <w:tcW w:w="4961" w:type="dxa"/>
            <w:hideMark/>
          </w:tcPr>
          <w:p w14:paraId="58FBA5E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466D63CC" w14:textId="77777777" w:rsidTr="0076290B">
        <w:trPr>
          <w:cantSplit/>
          <w:trHeight w:val="57"/>
        </w:trPr>
        <w:tc>
          <w:tcPr>
            <w:tcW w:w="4815" w:type="dxa"/>
            <w:hideMark/>
          </w:tcPr>
          <w:p w14:paraId="54AC3F9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Department of Communities QLD </w:t>
            </w:r>
          </w:p>
        </w:tc>
        <w:tc>
          <w:tcPr>
            <w:tcW w:w="4961" w:type="dxa"/>
            <w:hideMark/>
          </w:tcPr>
          <w:p w14:paraId="6F0FA65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347F3521" w14:textId="77777777" w:rsidTr="0076290B">
        <w:trPr>
          <w:cantSplit/>
          <w:trHeight w:val="57"/>
        </w:trPr>
        <w:tc>
          <w:tcPr>
            <w:tcW w:w="4815" w:type="dxa"/>
            <w:hideMark/>
          </w:tcPr>
          <w:p w14:paraId="6D9A5D4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Dept of Communities QLD </w:t>
            </w:r>
          </w:p>
        </w:tc>
        <w:tc>
          <w:tcPr>
            <w:tcW w:w="4961" w:type="dxa"/>
            <w:hideMark/>
          </w:tcPr>
          <w:p w14:paraId="55F85FC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325AC77D" w14:textId="77777777" w:rsidTr="0076290B">
        <w:trPr>
          <w:cantSplit/>
          <w:trHeight w:val="57"/>
        </w:trPr>
        <w:tc>
          <w:tcPr>
            <w:tcW w:w="4815" w:type="dxa"/>
            <w:hideMark/>
          </w:tcPr>
          <w:p w14:paraId="0F25F2A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DESE </w:t>
            </w:r>
          </w:p>
        </w:tc>
        <w:tc>
          <w:tcPr>
            <w:tcW w:w="4961" w:type="dxa"/>
            <w:hideMark/>
          </w:tcPr>
          <w:p w14:paraId="3DDBBFD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2DB04EED" w14:textId="77777777" w:rsidTr="0076290B">
        <w:trPr>
          <w:cantSplit/>
          <w:trHeight w:val="57"/>
        </w:trPr>
        <w:tc>
          <w:tcPr>
            <w:tcW w:w="4815" w:type="dxa"/>
            <w:hideMark/>
          </w:tcPr>
          <w:p w14:paraId="5FA3C4F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DTIS QLD </w:t>
            </w:r>
          </w:p>
        </w:tc>
        <w:tc>
          <w:tcPr>
            <w:tcW w:w="4961" w:type="dxa"/>
            <w:hideMark/>
          </w:tcPr>
          <w:p w14:paraId="28C8780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7ADA6E4F" w14:textId="77777777" w:rsidTr="0076290B">
        <w:trPr>
          <w:cantSplit/>
          <w:trHeight w:val="57"/>
        </w:trPr>
        <w:tc>
          <w:tcPr>
            <w:tcW w:w="4815" w:type="dxa"/>
            <w:hideMark/>
          </w:tcPr>
          <w:p w14:paraId="5FD0930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Elephant in the Room Consulting </w:t>
            </w:r>
          </w:p>
        </w:tc>
        <w:tc>
          <w:tcPr>
            <w:tcW w:w="4961" w:type="dxa"/>
            <w:hideMark/>
          </w:tcPr>
          <w:p w14:paraId="5FA5E8A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6B7CEE22" w14:textId="77777777" w:rsidTr="0076290B">
        <w:trPr>
          <w:cantSplit/>
          <w:trHeight w:val="57"/>
        </w:trPr>
        <w:tc>
          <w:tcPr>
            <w:tcW w:w="4815" w:type="dxa"/>
            <w:hideMark/>
          </w:tcPr>
          <w:p w14:paraId="28C6B64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First Sun Employment </w:t>
            </w:r>
          </w:p>
        </w:tc>
        <w:tc>
          <w:tcPr>
            <w:tcW w:w="4961" w:type="dxa"/>
            <w:hideMark/>
          </w:tcPr>
          <w:p w14:paraId="6A4B72B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25E4145B" w14:textId="77777777" w:rsidTr="0076290B">
        <w:trPr>
          <w:cantSplit/>
          <w:trHeight w:val="57"/>
        </w:trPr>
        <w:tc>
          <w:tcPr>
            <w:tcW w:w="4815" w:type="dxa"/>
            <w:hideMark/>
          </w:tcPr>
          <w:p w14:paraId="32C880C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GCA Financial </w:t>
            </w:r>
          </w:p>
        </w:tc>
        <w:tc>
          <w:tcPr>
            <w:tcW w:w="4961" w:type="dxa"/>
            <w:hideMark/>
          </w:tcPr>
          <w:p w14:paraId="5100C72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195CF70D" w14:textId="77777777" w:rsidTr="0076290B">
        <w:trPr>
          <w:cantSplit/>
          <w:trHeight w:val="57"/>
        </w:trPr>
        <w:tc>
          <w:tcPr>
            <w:tcW w:w="4815" w:type="dxa"/>
            <w:hideMark/>
          </w:tcPr>
          <w:p w14:paraId="39EDB8F5" w14:textId="592BD871"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Kalwun Development Corporation </w:t>
            </w:r>
          </w:p>
        </w:tc>
        <w:tc>
          <w:tcPr>
            <w:tcW w:w="4961" w:type="dxa"/>
            <w:hideMark/>
          </w:tcPr>
          <w:p w14:paraId="6FDD56E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0E6327BF" w14:textId="77777777" w:rsidTr="0076290B">
        <w:trPr>
          <w:cantSplit/>
          <w:trHeight w:val="57"/>
        </w:trPr>
        <w:tc>
          <w:tcPr>
            <w:tcW w:w="4815" w:type="dxa"/>
            <w:hideMark/>
          </w:tcPr>
          <w:p w14:paraId="1E7E7AA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Griffith University </w:t>
            </w:r>
          </w:p>
        </w:tc>
        <w:tc>
          <w:tcPr>
            <w:tcW w:w="4961" w:type="dxa"/>
            <w:hideMark/>
          </w:tcPr>
          <w:p w14:paraId="7535073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017EAB4E" w14:textId="77777777" w:rsidTr="0076290B">
        <w:trPr>
          <w:cantSplit/>
          <w:trHeight w:val="57"/>
        </w:trPr>
        <w:tc>
          <w:tcPr>
            <w:tcW w:w="4815" w:type="dxa"/>
            <w:hideMark/>
          </w:tcPr>
          <w:p w14:paraId="0CF87E9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HYIS QLD </w:t>
            </w:r>
          </w:p>
        </w:tc>
        <w:tc>
          <w:tcPr>
            <w:tcW w:w="4961" w:type="dxa"/>
            <w:hideMark/>
          </w:tcPr>
          <w:p w14:paraId="341E17A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590B6F48" w14:textId="77777777" w:rsidTr="0076290B">
        <w:trPr>
          <w:cantSplit/>
          <w:trHeight w:val="57"/>
        </w:trPr>
        <w:tc>
          <w:tcPr>
            <w:tcW w:w="4815" w:type="dxa"/>
            <w:hideMark/>
          </w:tcPr>
          <w:p w14:paraId="737E7AF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Indigenous Elder Australian Army, Board Member University of Southern QLD</w:t>
            </w:r>
          </w:p>
        </w:tc>
        <w:tc>
          <w:tcPr>
            <w:tcW w:w="4961" w:type="dxa"/>
            <w:hideMark/>
          </w:tcPr>
          <w:p w14:paraId="563F64D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382EEDD2" w14:textId="77777777" w:rsidTr="0076290B">
        <w:trPr>
          <w:cantSplit/>
          <w:trHeight w:val="57"/>
        </w:trPr>
        <w:tc>
          <w:tcPr>
            <w:tcW w:w="4815" w:type="dxa"/>
            <w:hideMark/>
          </w:tcPr>
          <w:p w14:paraId="26B8F054" w14:textId="021B3A73"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Services Australia </w:t>
            </w:r>
          </w:p>
        </w:tc>
        <w:tc>
          <w:tcPr>
            <w:tcW w:w="4961" w:type="dxa"/>
            <w:hideMark/>
          </w:tcPr>
          <w:p w14:paraId="1FE891D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00C0A08F" w14:textId="77777777" w:rsidTr="0076290B">
        <w:trPr>
          <w:cantSplit/>
          <w:trHeight w:val="57"/>
        </w:trPr>
        <w:tc>
          <w:tcPr>
            <w:tcW w:w="4815" w:type="dxa"/>
            <w:hideMark/>
          </w:tcPr>
          <w:p w14:paraId="7B66648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Ipswich Govt</w:t>
            </w:r>
          </w:p>
        </w:tc>
        <w:tc>
          <w:tcPr>
            <w:tcW w:w="4961" w:type="dxa"/>
            <w:hideMark/>
          </w:tcPr>
          <w:p w14:paraId="222BAE0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26B90ACF" w14:textId="77777777" w:rsidTr="0076290B">
        <w:trPr>
          <w:cantSplit/>
          <w:trHeight w:val="57"/>
        </w:trPr>
        <w:tc>
          <w:tcPr>
            <w:tcW w:w="4815" w:type="dxa"/>
            <w:hideMark/>
          </w:tcPr>
          <w:p w14:paraId="78DC49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IUIH </w:t>
            </w:r>
          </w:p>
        </w:tc>
        <w:tc>
          <w:tcPr>
            <w:tcW w:w="4961" w:type="dxa"/>
            <w:hideMark/>
          </w:tcPr>
          <w:p w14:paraId="35EED6F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46C00DB5" w14:textId="77777777" w:rsidTr="0076290B">
        <w:trPr>
          <w:cantSplit/>
          <w:trHeight w:val="57"/>
        </w:trPr>
        <w:tc>
          <w:tcPr>
            <w:tcW w:w="4815" w:type="dxa"/>
            <w:hideMark/>
          </w:tcPr>
          <w:p w14:paraId="23E07B9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IYS </w:t>
            </w:r>
          </w:p>
        </w:tc>
        <w:tc>
          <w:tcPr>
            <w:tcW w:w="4961" w:type="dxa"/>
            <w:hideMark/>
          </w:tcPr>
          <w:p w14:paraId="75F157B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0C99AF19" w14:textId="77777777" w:rsidTr="0076290B">
        <w:trPr>
          <w:cantSplit/>
          <w:trHeight w:val="57"/>
        </w:trPr>
        <w:tc>
          <w:tcPr>
            <w:tcW w:w="4815" w:type="dxa"/>
            <w:hideMark/>
          </w:tcPr>
          <w:p w14:paraId="50DAB1F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JT Academy </w:t>
            </w:r>
          </w:p>
        </w:tc>
        <w:tc>
          <w:tcPr>
            <w:tcW w:w="4961" w:type="dxa"/>
            <w:hideMark/>
          </w:tcPr>
          <w:p w14:paraId="70EB43E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795F3E5C" w14:textId="77777777" w:rsidTr="0076290B">
        <w:trPr>
          <w:cantSplit/>
          <w:trHeight w:val="57"/>
        </w:trPr>
        <w:tc>
          <w:tcPr>
            <w:tcW w:w="4815" w:type="dxa"/>
            <w:hideMark/>
          </w:tcPr>
          <w:p w14:paraId="7EDEF70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Kambu Aboriginal Corporation </w:t>
            </w:r>
          </w:p>
        </w:tc>
        <w:tc>
          <w:tcPr>
            <w:tcW w:w="4961" w:type="dxa"/>
            <w:hideMark/>
          </w:tcPr>
          <w:p w14:paraId="4AB769B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52A22A48" w14:textId="77777777" w:rsidTr="0076290B">
        <w:trPr>
          <w:cantSplit/>
          <w:trHeight w:val="57"/>
        </w:trPr>
        <w:tc>
          <w:tcPr>
            <w:tcW w:w="4815" w:type="dxa"/>
            <w:hideMark/>
          </w:tcPr>
          <w:p w14:paraId="55E8480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Krungunal </w:t>
            </w:r>
          </w:p>
        </w:tc>
        <w:tc>
          <w:tcPr>
            <w:tcW w:w="4961" w:type="dxa"/>
            <w:hideMark/>
          </w:tcPr>
          <w:p w14:paraId="4B212C0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006C8852" w14:textId="77777777" w:rsidTr="0076290B">
        <w:trPr>
          <w:cantSplit/>
          <w:trHeight w:val="57"/>
        </w:trPr>
        <w:tc>
          <w:tcPr>
            <w:tcW w:w="4815" w:type="dxa"/>
            <w:hideMark/>
          </w:tcPr>
          <w:p w14:paraId="2FF1851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mindlebygul</w:t>
            </w:r>
          </w:p>
        </w:tc>
        <w:tc>
          <w:tcPr>
            <w:tcW w:w="4961" w:type="dxa"/>
            <w:hideMark/>
          </w:tcPr>
          <w:p w14:paraId="5F8B5C9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6B399DE8" w14:textId="77777777" w:rsidTr="0076290B">
        <w:trPr>
          <w:cantSplit/>
          <w:trHeight w:val="57"/>
        </w:trPr>
        <w:tc>
          <w:tcPr>
            <w:tcW w:w="4815" w:type="dxa"/>
            <w:hideMark/>
          </w:tcPr>
          <w:p w14:paraId="5EB6556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Moreton Bay Govt. </w:t>
            </w:r>
          </w:p>
        </w:tc>
        <w:tc>
          <w:tcPr>
            <w:tcW w:w="4961" w:type="dxa"/>
            <w:hideMark/>
          </w:tcPr>
          <w:p w14:paraId="13F64EC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1ABD0BB0" w14:textId="77777777" w:rsidTr="0076290B">
        <w:trPr>
          <w:cantSplit/>
          <w:trHeight w:val="57"/>
        </w:trPr>
        <w:tc>
          <w:tcPr>
            <w:tcW w:w="4815" w:type="dxa"/>
            <w:hideMark/>
          </w:tcPr>
          <w:p w14:paraId="1C6BB72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Preston Campbell Foundation </w:t>
            </w:r>
          </w:p>
        </w:tc>
        <w:tc>
          <w:tcPr>
            <w:tcW w:w="4961" w:type="dxa"/>
            <w:hideMark/>
          </w:tcPr>
          <w:p w14:paraId="6B5E465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3DEF360D" w14:textId="77777777" w:rsidTr="0076290B">
        <w:trPr>
          <w:cantSplit/>
          <w:trHeight w:val="57"/>
        </w:trPr>
        <w:tc>
          <w:tcPr>
            <w:tcW w:w="4815" w:type="dxa"/>
            <w:hideMark/>
          </w:tcPr>
          <w:p w14:paraId="61762C7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The Learning Workshop</w:t>
            </w:r>
          </w:p>
        </w:tc>
        <w:tc>
          <w:tcPr>
            <w:tcW w:w="4961" w:type="dxa"/>
            <w:hideMark/>
          </w:tcPr>
          <w:p w14:paraId="0D95912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263FCC95" w14:textId="77777777" w:rsidTr="0076290B">
        <w:trPr>
          <w:cantSplit/>
          <w:trHeight w:val="57"/>
        </w:trPr>
        <w:tc>
          <w:tcPr>
            <w:tcW w:w="4815" w:type="dxa"/>
            <w:hideMark/>
          </w:tcPr>
          <w:p w14:paraId="1CF96E3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Titans </w:t>
            </w:r>
          </w:p>
        </w:tc>
        <w:tc>
          <w:tcPr>
            <w:tcW w:w="4961" w:type="dxa"/>
            <w:hideMark/>
          </w:tcPr>
          <w:p w14:paraId="2806C1A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33F82ABC" w14:textId="77777777" w:rsidTr="0076290B">
        <w:trPr>
          <w:cantSplit/>
          <w:trHeight w:val="57"/>
        </w:trPr>
        <w:tc>
          <w:tcPr>
            <w:tcW w:w="4815" w:type="dxa"/>
            <w:hideMark/>
          </w:tcPr>
          <w:p w14:paraId="78982A5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Your Town </w:t>
            </w:r>
          </w:p>
        </w:tc>
        <w:tc>
          <w:tcPr>
            <w:tcW w:w="4961" w:type="dxa"/>
            <w:hideMark/>
          </w:tcPr>
          <w:p w14:paraId="009D775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Brisbane</w:t>
            </w:r>
          </w:p>
        </w:tc>
      </w:tr>
      <w:tr w:rsidR="0093006A" w:rsidRPr="0093006A" w14:paraId="40618144" w14:textId="77777777" w:rsidTr="0076290B">
        <w:trPr>
          <w:cantSplit/>
          <w:trHeight w:val="57"/>
        </w:trPr>
        <w:tc>
          <w:tcPr>
            <w:tcW w:w="4815" w:type="dxa"/>
            <w:hideMark/>
          </w:tcPr>
          <w:p w14:paraId="528C37E0" w14:textId="699E079F"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North Regional TAFE</w:t>
            </w:r>
          </w:p>
        </w:tc>
        <w:tc>
          <w:tcPr>
            <w:tcW w:w="4961" w:type="dxa"/>
            <w:hideMark/>
          </w:tcPr>
          <w:p w14:paraId="68487FF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1567061B" w14:textId="77777777" w:rsidTr="0076290B">
        <w:trPr>
          <w:cantSplit/>
          <w:trHeight w:val="57"/>
        </w:trPr>
        <w:tc>
          <w:tcPr>
            <w:tcW w:w="4815" w:type="dxa"/>
            <w:hideMark/>
          </w:tcPr>
          <w:p w14:paraId="77A8EE6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Broome SHS</w:t>
            </w:r>
          </w:p>
        </w:tc>
        <w:tc>
          <w:tcPr>
            <w:tcW w:w="4961" w:type="dxa"/>
            <w:hideMark/>
          </w:tcPr>
          <w:p w14:paraId="26D0054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6597107C" w14:textId="77777777" w:rsidTr="0076290B">
        <w:trPr>
          <w:cantSplit/>
          <w:trHeight w:val="57"/>
        </w:trPr>
        <w:tc>
          <w:tcPr>
            <w:tcW w:w="4815" w:type="dxa"/>
            <w:hideMark/>
          </w:tcPr>
          <w:p w14:paraId="2C61EBB6" w14:textId="6E97414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Kullari Regional Communities Incorporated</w:t>
            </w:r>
          </w:p>
        </w:tc>
        <w:tc>
          <w:tcPr>
            <w:tcW w:w="4961" w:type="dxa"/>
            <w:hideMark/>
          </w:tcPr>
          <w:p w14:paraId="439C7DE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3E80C0B4" w14:textId="77777777" w:rsidTr="0076290B">
        <w:trPr>
          <w:cantSplit/>
          <w:trHeight w:val="57"/>
        </w:trPr>
        <w:tc>
          <w:tcPr>
            <w:tcW w:w="4815" w:type="dxa"/>
            <w:hideMark/>
          </w:tcPr>
          <w:p w14:paraId="6F6051C4" w14:textId="3BB0C59E"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Kimberley Development Commission </w:t>
            </w:r>
          </w:p>
        </w:tc>
        <w:tc>
          <w:tcPr>
            <w:tcW w:w="4961" w:type="dxa"/>
            <w:hideMark/>
          </w:tcPr>
          <w:p w14:paraId="5D2DBB8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54315E0F" w14:textId="77777777" w:rsidTr="0076290B">
        <w:trPr>
          <w:cantSplit/>
          <w:trHeight w:val="57"/>
        </w:trPr>
        <w:tc>
          <w:tcPr>
            <w:tcW w:w="4815" w:type="dxa"/>
            <w:hideMark/>
          </w:tcPr>
          <w:p w14:paraId="6C6D80DF" w14:textId="079A237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Kullari Regional Communities Incorporated</w:t>
            </w:r>
          </w:p>
        </w:tc>
        <w:tc>
          <w:tcPr>
            <w:tcW w:w="4961" w:type="dxa"/>
            <w:hideMark/>
          </w:tcPr>
          <w:p w14:paraId="3FF5CFC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7D74DEBF" w14:textId="77777777" w:rsidTr="0076290B">
        <w:trPr>
          <w:cantSplit/>
          <w:trHeight w:val="57"/>
        </w:trPr>
        <w:tc>
          <w:tcPr>
            <w:tcW w:w="4815" w:type="dxa"/>
            <w:hideMark/>
          </w:tcPr>
          <w:p w14:paraId="04F251F3" w14:textId="3F4FDA6F"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Nirrumbuk  Aboriginal Corporation </w:t>
            </w:r>
          </w:p>
        </w:tc>
        <w:tc>
          <w:tcPr>
            <w:tcW w:w="4961" w:type="dxa"/>
            <w:hideMark/>
          </w:tcPr>
          <w:p w14:paraId="5F3E8B5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11E0D817" w14:textId="77777777" w:rsidTr="0076290B">
        <w:trPr>
          <w:cantSplit/>
          <w:trHeight w:val="57"/>
        </w:trPr>
        <w:tc>
          <w:tcPr>
            <w:tcW w:w="4815" w:type="dxa"/>
            <w:hideMark/>
          </w:tcPr>
          <w:p w14:paraId="07924A8A" w14:textId="757BA95D"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Shire of Broome - Tambellup</w:t>
            </w:r>
          </w:p>
        </w:tc>
        <w:tc>
          <w:tcPr>
            <w:tcW w:w="4961" w:type="dxa"/>
            <w:hideMark/>
          </w:tcPr>
          <w:p w14:paraId="12423B1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1F815D25" w14:textId="77777777" w:rsidTr="0076290B">
        <w:trPr>
          <w:cantSplit/>
          <w:trHeight w:val="57"/>
        </w:trPr>
        <w:tc>
          <w:tcPr>
            <w:tcW w:w="4815" w:type="dxa"/>
            <w:hideMark/>
          </w:tcPr>
          <w:p w14:paraId="79CEA6D2" w14:textId="241D5B35"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Broome Senior High School</w:t>
            </w:r>
          </w:p>
        </w:tc>
        <w:tc>
          <w:tcPr>
            <w:tcW w:w="4961" w:type="dxa"/>
            <w:hideMark/>
          </w:tcPr>
          <w:p w14:paraId="07E2B68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2FDA7C60" w14:textId="77777777" w:rsidTr="0076290B">
        <w:trPr>
          <w:cantSplit/>
          <w:trHeight w:val="57"/>
        </w:trPr>
        <w:tc>
          <w:tcPr>
            <w:tcW w:w="4815" w:type="dxa"/>
            <w:hideMark/>
          </w:tcPr>
          <w:p w14:paraId="40DF10D5" w14:textId="1540D500"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VET, Careers &amp; Workplace, Catholic Education Western Australia</w:t>
            </w:r>
          </w:p>
        </w:tc>
        <w:tc>
          <w:tcPr>
            <w:tcW w:w="4961" w:type="dxa"/>
            <w:hideMark/>
          </w:tcPr>
          <w:p w14:paraId="4895A4A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69E9F794" w14:textId="77777777" w:rsidTr="0076290B">
        <w:trPr>
          <w:cantSplit/>
          <w:trHeight w:val="57"/>
        </w:trPr>
        <w:tc>
          <w:tcPr>
            <w:tcW w:w="4815" w:type="dxa"/>
            <w:hideMark/>
          </w:tcPr>
          <w:p w14:paraId="6BE24351" w14:textId="7338252F"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 Department of Communities </w:t>
            </w:r>
          </w:p>
        </w:tc>
        <w:tc>
          <w:tcPr>
            <w:tcW w:w="4961" w:type="dxa"/>
            <w:hideMark/>
          </w:tcPr>
          <w:p w14:paraId="623D6F7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Broome </w:t>
            </w:r>
          </w:p>
        </w:tc>
      </w:tr>
      <w:tr w:rsidR="0093006A" w:rsidRPr="0093006A" w14:paraId="78777990" w14:textId="77777777" w:rsidTr="0076290B">
        <w:trPr>
          <w:cantSplit/>
          <w:trHeight w:val="57"/>
        </w:trPr>
        <w:tc>
          <w:tcPr>
            <w:tcW w:w="4815" w:type="dxa"/>
            <w:hideMark/>
          </w:tcPr>
          <w:p w14:paraId="4FCBD05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ADBT</w:t>
            </w:r>
          </w:p>
        </w:tc>
        <w:tc>
          <w:tcPr>
            <w:tcW w:w="4961" w:type="dxa"/>
            <w:hideMark/>
          </w:tcPr>
          <w:p w14:paraId="59038E5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415FA640" w14:textId="77777777" w:rsidTr="0076290B">
        <w:trPr>
          <w:cantSplit/>
          <w:trHeight w:val="57"/>
        </w:trPr>
        <w:tc>
          <w:tcPr>
            <w:tcW w:w="4815" w:type="dxa"/>
            <w:hideMark/>
          </w:tcPr>
          <w:p w14:paraId="1A7F75B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ATW</w:t>
            </w:r>
          </w:p>
        </w:tc>
        <w:tc>
          <w:tcPr>
            <w:tcW w:w="4961" w:type="dxa"/>
            <w:hideMark/>
          </w:tcPr>
          <w:p w14:paraId="26D480D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674F0C46" w14:textId="77777777" w:rsidTr="0076290B">
        <w:trPr>
          <w:cantSplit/>
          <w:trHeight w:val="57"/>
        </w:trPr>
        <w:tc>
          <w:tcPr>
            <w:tcW w:w="4815" w:type="dxa"/>
            <w:hideMark/>
          </w:tcPr>
          <w:p w14:paraId="0D79BF8B" w14:textId="4BF7612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TAFE QLD</w:t>
            </w:r>
          </w:p>
        </w:tc>
        <w:tc>
          <w:tcPr>
            <w:tcW w:w="4961" w:type="dxa"/>
            <w:hideMark/>
          </w:tcPr>
          <w:p w14:paraId="12B5E64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2A6E52BD" w14:textId="77777777" w:rsidTr="0076290B">
        <w:trPr>
          <w:cantSplit/>
          <w:trHeight w:val="57"/>
        </w:trPr>
        <w:tc>
          <w:tcPr>
            <w:tcW w:w="4815" w:type="dxa"/>
            <w:hideMark/>
          </w:tcPr>
          <w:p w14:paraId="5E96D04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Cape York Employment</w:t>
            </w:r>
          </w:p>
        </w:tc>
        <w:tc>
          <w:tcPr>
            <w:tcW w:w="4961" w:type="dxa"/>
            <w:hideMark/>
          </w:tcPr>
          <w:p w14:paraId="5AC09DB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6B03BCAC" w14:textId="77777777" w:rsidTr="0076290B">
        <w:trPr>
          <w:cantSplit/>
          <w:trHeight w:val="57"/>
        </w:trPr>
        <w:tc>
          <w:tcPr>
            <w:tcW w:w="4815" w:type="dxa"/>
            <w:hideMark/>
          </w:tcPr>
          <w:p w14:paraId="6568E26B" w14:textId="6C56F05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RDATN</w:t>
            </w:r>
          </w:p>
        </w:tc>
        <w:tc>
          <w:tcPr>
            <w:tcW w:w="4961" w:type="dxa"/>
            <w:hideMark/>
          </w:tcPr>
          <w:p w14:paraId="03C300D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14801E95" w14:textId="77777777" w:rsidTr="0076290B">
        <w:trPr>
          <w:cantSplit/>
          <w:trHeight w:val="57"/>
        </w:trPr>
        <w:tc>
          <w:tcPr>
            <w:tcW w:w="4815" w:type="dxa"/>
            <w:hideMark/>
          </w:tcPr>
          <w:p w14:paraId="096A15C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Community Enterprises QLD</w:t>
            </w:r>
          </w:p>
        </w:tc>
        <w:tc>
          <w:tcPr>
            <w:tcW w:w="4961" w:type="dxa"/>
            <w:hideMark/>
          </w:tcPr>
          <w:p w14:paraId="45D1964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7649391A" w14:textId="77777777" w:rsidTr="0076290B">
        <w:trPr>
          <w:cantSplit/>
          <w:trHeight w:val="57"/>
        </w:trPr>
        <w:tc>
          <w:tcPr>
            <w:tcW w:w="4815" w:type="dxa"/>
            <w:hideMark/>
          </w:tcPr>
          <w:p w14:paraId="1221F15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CQU</w:t>
            </w:r>
          </w:p>
        </w:tc>
        <w:tc>
          <w:tcPr>
            <w:tcW w:w="4961" w:type="dxa"/>
            <w:hideMark/>
          </w:tcPr>
          <w:p w14:paraId="3B34DE8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0F9B92A4" w14:textId="77777777" w:rsidTr="0076290B">
        <w:trPr>
          <w:cantSplit/>
          <w:trHeight w:val="57"/>
        </w:trPr>
        <w:tc>
          <w:tcPr>
            <w:tcW w:w="4815" w:type="dxa"/>
            <w:hideMark/>
          </w:tcPr>
          <w:p w14:paraId="7220A1C3" w14:textId="5E4FAF12"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NAIF</w:t>
            </w:r>
          </w:p>
        </w:tc>
        <w:tc>
          <w:tcPr>
            <w:tcW w:w="4961" w:type="dxa"/>
            <w:hideMark/>
          </w:tcPr>
          <w:p w14:paraId="68EAB7D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2871DBBD" w14:textId="77777777" w:rsidTr="0076290B">
        <w:trPr>
          <w:cantSplit/>
          <w:trHeight w:val="57"/>
        </w:trPr>
        <w:tc>
          <w:tcPr>
            <w:tcW w:w="4815" w:type="dxa"/>
            <w:hideMark/>
          </w:tcPr>
          <w:p w14:paraId="5E5567C1" w14:textId="31FC217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TMR</w:t>
            </w:r>
          </w:p>
        </w:tc>
        <w:tc>
          <w:tcPr>
            <w:tcW w:w="4961" w:type="dxa"/>
            <w:hideMark/>
          </w:tcPr>
          <w:p w14:paraId="0D7A509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306B779E" w14:textId="77777777" w:rsidTr="0076290B">
        <w:trPr>
          <w:cantSplit/>
          <w:trHeight w:val="57"/>
        </w:trPr>
        <w:tc>
          <w:tcPr>
            <w:tcW w:w="4815" w:type="dxa"/>
            <w:hideMark/>
          </w:tcPr>
          <w:p w14:paraId="3307AE5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DSATSP</w:t>
            </w:r>
          </w:p>
        </w:tc>
        <w:tc>
          <w:tcPr>
            <w:tcW w:w="4961" w:type="dxa"/>
            <w:hideMark/>
          </w:tcPr>
          <w:p w14:paraId="48B705E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73E88AF8" w14:textId="77777777" w:rsidTr="0076290B">
        <w:trPr>
          <w:cantSplit/>
          <w:trHeight w:val="57"/>
        </w:trPr>
        <w:tc>
          <w:tcPr>
            <w:tcW w:w="4815" w:type="dxa"/>
            <w:hideMark/>
          </w:tcPr>
          <w:p w14:paraId="25D8C16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DSDSATSIP</w:t>
            </w:r>
          </w:p>
        </w:tc>
        <w:tc>
          <w:tcPr>
            <w:tcW w:w="4961" w:type="dxa"/>
            <w:hideMark/>
          </w:tcPr>
          <w:p w14:paraId="0780D14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7BC09360" w14:textId="77777777" w:rsidTr="0076290B">
        <w:trPr>
          <w:cantSplit/>
          <w:trHeight w:val="57"/>
        </w:trPr>
        <w:tc>
          <w:tcPr>
            <w:tcW w:w="4815" w:type="dxa"/>
            <w:hideMark/>
          </w:tcPr>
          <w:p w14:paraId="3B283C9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DSDSATSIP – PPO</w:t>
            </w:r>
          </w:p>
        </w:tc>
        <w:tc>
          <w:tcPr>
            <w:tcW w:w="4961" w:type="dxa"/>
            <w:hideMark/>
          </w:tcPr>
          <w:p w14:paraId="11A82C8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041B3C41" w14:textId="77777777" w:rsidTr="0076290B">
        <w:trPr>
          <w:cantSplit/>
          <w:trHeight w:val="57"/>
        </w:trPr>
        <w:tc>
          <w:tcPr>
            <w:tcW w:w="4815" w:type="dxa"/>
            <w:hideMark/>
          </w:tcPr>
          <w:p w14:paraId="25E2B865" w14:textId="309D1A4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My Pathway</w:t>
            </w:r>
          </w:p>
        </w:tc>
        <w:tc>
          <w:tcPr>
            <w:tcW w:w="4961" w:type="dxa"/>
            <w:hideMark/>
          </w:tcPr>
          <w:p w14:paraId="05C8D18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32AAE2F8" w14:textId="77777777" w:rsidTr="0076290B">
        <w:trPr>
          <w:cantSplit/>
          <w:trHeight w:val="57"/>
        </w:trPr>
        <w:tc>
          <w:tcPr>
            <w:tcW w:w="4815" w:type="dxa"/>
            <w:hideMark/>
          </w:tcPr>
          <w:p w14:paraId="23E34808" w14:textId="160661F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Cairns Airport</w:t>
            </w:r>
          </w:p>
        </w:tc>
        <w:tc>
          <w:tcPr>
            <w:tcW w:w="4961" w:type="dxa"/>
            <w:hideMark/>
          </w:tcPr>
          <w:p w14:paraId="614F1A2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1E8C8FA4" w14:textId="77777777" w:rsidTr="0076290B">
        <w:trPr>
          <w:cantSplit/>
          <w:trHeight w:val="57"/>
        </w:trPr>
        <w:tc>
          <w:tcPr>
            <w:tcW w:w="4815" w:type="dxa"/>
            <w:hideMark/>
          </w:tcPr>
          <w:p w14:paraId="60D222A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HVASC</w:t>
            </w:r>
          </w:p>
        </w:tc>
        <w:tc>
          <w:tcPr>
            <w:tcW w:w="4961" w:type="dxa"/>
            <w:hideMark/>
          </w:tcPr>
          <w:p w14:paraId="7888435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2679A660" w14:textId="77777777" w:rsidTr="0076290B">
        <w:trPr>
          <w:cantSplit/>
          <w:trHeight w:val="57"/>
        </w:trPr>
        <w:tc>
          <w:tcPr>
            <w:tcW w:w="4815" w:type="dxa"/>
            <w:hideMark/>
          </w:tcPr>
          <w:p w14:paraId="116F460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KAPANI</w:t>
            </w:r>
          </w:p>
        </w:tc>
        <w:tc>
          <w:tcPr>
            <w:tcW w:w="4961" w:type="dxa"/>
            <w:hideMark/>
          </w:tcPr>
          <w:p w14:paraId="74DEE81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61AB36E3" w14:textId="77777777" w:rsidTr="0076290B">
        <w:trPr>
          <w:cantSplit/>
          <w:trHeight w:val="57"/>
        </w:trPr>
        <w:tc>
          <w:tcPr>
            <w:tcW w:w="4815" w:type="dxa"/>
            <w:hideMark/>
          </w:tcPr>
          <w:p w14:paraId="23F06E65" w14:textId="4E018238"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First Nations Cairns Airport</w:t>
            </w:r>
          </w:p>
        </w:tc>
        <w:tc>
          <w:tcPr>
            <w:tcW w:w="4961" w:type="dxa"/>
            <w:hideMark/>
          </w:tcPr>
          <w:p w14:paraId="59C7D10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214DF9CB" w14:textId="77777777" w:rsidTr="0076290B">
        <w:trPr>
          <w:cantSplit/>
          <w:trHeight w:val="57"/>
        </w:trPr>
        <w:tc>
          <w:tcPr>
            <w:tcW w:w="4815" w:type="dxa"/>
            <w:hideMark/>
          </w:tcPr>
          <w:p w14:paraId="00657C88" w14:textId="2AED8F30"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NJL</w:t>
            </w:r>
          </w:p>
        </w:tc>
        <w:tc>
          <w:tcPr>
            <w:tcW w:w="4961" w:type="dxa"/>
            <w:hideMark/>
          </w:tcPr>
          <w:p w14:paraId="50672D9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1B9F84F2" w14:textId="77777777" w:rsidTr="0076290B">
        <w:trPr>
          <w:cantSplit/>
          <w:trHeight w:val="57"/>
        </w:trPr>
        <w:tc>
          <w:tcPr>
            <w:tcW w:w="4815" w:type="dxa"/>
            <w:hideMark/>
          </w:tcPr>
          <w:p w14:paraId="4774981E" w14:textId="769AED0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NEATO</w:t>
            </w:r>
          </w:p>
        </w:tc>
        <w:tc>
          <w:tcPr>
            <w:tcW w:w="4961" w:type="dxa"/>
            <w:hideMark/>
          </w:tcPr>
          <w:p w14:paraId="5EFC99A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0DA6A0EA" w14:textId="77777777" w:rsidTr="0076290B">
        <w:trPr>
          <w:cantSplit/>
          <w:trHeight w:val="57"/>
        </w:trPr>
        <w:tc>
          <w:tcPr>
            <w:tcW w:w="4815" w:type="dxa"/>
            <w:hideMark/>
          </w:tcPr>
          <w:p w14:paraId="51BBF342" w14:textId="30849936"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Hopevale Aboriginal Shire Council</w:t>
            </w:r>
          </w:p>
        </w:tc>
        <w:tc>
          <w:tcPr>
            <w:tcW w:w="4961" w:type="dxa"/>
            <w:hideMark/>
          </w:tcPr>
          <w:p w14:paraId="326FFF6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1D1BC1C3" w14:textId="77777777" w:rsidTr="0076290B">
        <w:trPr>
          <w:cantSplit/>
          <w:trHeight w:val="57"/>
        </w:trPr>
        <w:tc>
          <w:tcPr>
            <w:tcW w:w="4815" w:type="dxa"/>
            <w:hideMark/>
          </w:tcPr>
          <w:p w14:paraId="4C77D9D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My Pathway</w:t>
            </w:r>
          </w:p>
        </w:tc>
        <w:tc>
          <w:tcPr>
            <w:tcW w:w="4961" w:type="dxa"/>
            <w:hideMark/>
          </w:tcPr>
          <w:p w14:paraId="2CED0D1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53B46F16" w14:textId="77777777" w:rsidTr="0076290B">
        <w:trPr>
          <w:cantSplit/>
          <w:trHeight w:val="57"/>
        </w:trPr>
        <w:tc>
          <w:tcPr>
            <w:tcW w:w="4815" w:type="dxa"/>
            <w:hideMark/>
          </w:tcPr>
          <w:p w14:paraId="4CE5153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QAWN (AG Workforce)</w:t>
            </w:r>
          </w:p>
        </w:tc>
        <w:tc>
          <w:tcPr>
            <w:tcW w:w="4961" w:type="dxa"/>
            <w:hideMark/>
          </w:tcPr>
          <w:p w14:paraId="0B6C458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1DCE9F1F" w14:textId="77777777" w:rsidTr="0076290B">
        <w:trPr>
          <w:cantSplit/>
          <w:trHeight w:val="57"/>
        </w:trPr>
        <w:tc>
          <w:tcPr>
            <w:tcW w:w="4815" w:type="dxa"/>
            <w:hideMark/>
          </w:tcPr>
          <w:p w14:paraId="4C16826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RRRC</w:t>
            </w:r>
          </w:p>
        </w:tc>
        <w:tc>
          <w:tcPr>
            <w:tcW w:w="4961" w:type="dxa"/>
            <w:hideMark/>
          </w:tcPr>
          <w:p w14:paraId="1696448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37CDB239" w14:textId="77777777" w:rsidTr="0076290B">
        <w:trPr>
          <w:cantSplit/>
          <w:trHeight w:val="57"/>
        </w:trPr>
        <w:tc>
          <w:tcPr>
            <w:tcW w:w="4815" w:type="dxa"/>
            <w:hideMark/>
          </w:tcPr>
          <w:p w14:paraId="1ABB19B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RRRC</w:t>
            </w:r>
          </w:p>
        </w:tc>
        <w:tc>
          <w:tcPr>
            <w:tcW w:w="4961" w:type="dxa"/>
            <w:hideMark/>
          </w:tcPr>
          <w:p w14:paraId="16D656D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39A06081" w14:textId="77777777" w:rsidTr="0076290B">
        <w:trPr>
          <w:cantSplit/>
          <w:trHeight w:val="57"/>
        </w:trPr>
        <w:tc>
          <w:tcPr>
            <w:tcW w:w="4815" w:type="dxa"/>
            <w:hideMark/>
          </w:tcPr>
          <w:p w14:paraId="693AF8D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SDC</w:t>
            </w:r>
          </w:p>
        </w:tc>
        <w:tc>
          <w:tcPr>
            <w:tcW w:w="4961" w:type="dxa"/>
            <w:hideMark/>
          </w:tcPr>
          <w:p w14:paraId="1668480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130771C0" w14:textId="77777777" w:rsidTr="0076290B">
        <w:trPr>
          <w:cantSplit/>
          <w:trHeight w:val="57"/>
        </w:trPr>
        <w:tc>
          <w:tcPr>
            <w:tcW w:w="4815" w:type="dxa"/>
            <w:hideMark/>
          </w:tcPr>
          <w:p w14:paraId="58A3098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TCICD</w:t>
            </w:r>
          </w:p>
        </w:tc>
        <w:tc>
          <w:tcPr>
            <w:tcW w:w="4961" w:type="dxa"/>
            <w:hideMark/>
          </w:tcPr>
          <w:p w14:paraId="01B189F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5D573165" w14:textId="77777777" w:rsidTr="0076290B">
        <w:trPr>
          <w:cantSplit/>
          <w:trHeight w:val="57"/>
        </w:trPr>
        <w:tc>
          <w:tcPr>
            <w:tcW w:w="4815" w:type="dxa"/>
            <w:hideMark/>
          </w:tcPr>
          <w:p w14:paraId="1FA3872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TDB Consulting </w:t>
            </w:r>
          </w:p>
        </w:tc>
        <w:tc>
          <w:tcPr>
            <w:tcW w:w="4961" w:type="dxa"/>
            <w:hideMark/>
          </w:tcPr>
          <w:p w14:paraId="5F83C63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Cairns </w:t>
            </w:r>
          </w:p>
        </w:tc>
      </w:tr>
      <w:tr w:rsidR="0093006A" w:rsidRPr="0093006A" w14:paraId="0B6B3A03" w14:textId="77777777" w:rsidTr="0076290B">
        <w:trPr>
          <w:cantSplit/>
          <w:trHeight w:val="57"/>
        </w:trPr>
        <w:tc>
          <w:tcPr>
            <w:tcW w:w="4815" w:type="dxa"/>
            <w:hideMark/>
          </w:tcPr>
          <w:p w14:paraId="750EE99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ALPA</w:t>
            </w:r>
          </w:p>
        </w:tc>
        <w:tc>
          <w:tcPr>
            <w:tcW w:w="4961" w:type="dxa"/>
            <w:hideMark/>
          </w:tcPr>
          <w:p w14:paraId="582480B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2C0CE446" w14:textId="77777777" w:rsidTr="0076290B">
        <w:trPr>
          <w:cantSplit/>
          <w:trHeight w:val="57"/>
        </w:trPr>
        <w:tc>
          <w:tcPr>
            <w:tcW w:w="4815" w:type="dxa"/>
            <w:hideMark/>
          </w:tcPr>
          <w:p w14:paraId="2B9D41C9" w14:textId="69F67AC4"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Local Government Association of the Northern Territory </w:t>
            </w:r>
          </w:p>
        </w:tc>
        <w:tc>
          <w:tcPr>
            <w:tcW w:w="4961" w:type="dxa"/>
            <w:hideMark/>
          </w:tcPr>
          <w:p w14:paraId="4AF1747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4023F4BC" w14:textId="77777777" w:rsidTr="0076290B">
        <w:trPr>
          <w:cantSplit/>
          <w:trHeight w:val="57"/>
        </w:trPr>
        <w:tc>
          <w:tcPr>
            <w:tcW w:w="4815" w:type="dxa"/>
            <w:hideMark/>
          </w:tcPr>
          <w:p w14:paraId="059E2760" w14:textId="2FD09C5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Tiwi Islands Regional Council </w:t>
            </w:r>
          </w:p>
        </w:tc>
        <w:tc>
          <w:tcPr>
            <w:tcW w:w="4961" w:type="dxa"/>
            <w:hideMark/>
          </w:tcPr>
          <w:p w14:paraId="1F594E7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71B118BF" w14:textId="77777777" w:rsidTr="0076290B">
        <w:trPr>
          <w:cantSplit/>
          <w:trHeight w:val="57"/>
        </w:trPr>
        <w:tc>
          <w:tcPr>
            <w:tcW w:w="4815" w:type="dxa"/>
            <w:hideMark/>
          </w:tcPr>
          <w:p w14:paraId="3E70B16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Chamber NT </w:t>
            </w:r>
          </w:p>
        </w:tc>
        <w:tc>
          <w:tcPr>
            <w:tcW w:w="4961" w:type="dxa"/>
            <w:hideMark/>
          </w:tcPr>
          <w:p w14:paraId="0452A5D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5E276533" w14:textId="77777777" w:rsidTr="0076290B">
        <w:trPr>
          <w:cantSplit/>
          <w:trHeight w:val="57"/>
        </w:trPr>
        <w:tc>
          <w:tcPr>
            <w:tcW w:w="4815" w:type="dxa"/>
            <w:hideMark/>
          </w:tcPr>
          <w:p w14:paraId="320F49F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Consultant</w:t>
            </w:r>
          </w:p>
        </w:tc>
        <w:tc>
          <w:tcPr>
            <w:tcW w:w="4961" w:type="dxa"/>
            <w:hideMark/>
          </w:tcPr>
          <w:p w14:paraId="0F94E52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67723631" w14:textId="77777777" w:rsidTr="0076290B">
        <w:trPr>
          <w:cantSplit/>
          <w:trHeight w:val="57"/>
        </w:trPr>
        <w:tc>
          <w:tcPr>
            <w:tcW w:w="4815" w:type="dxa"/>
            <w:hideMark/>
          </w:tcPr>
          <w:p w14:paraId="28624E8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DESE</w:t>
            </w:r>
          </w:p>
        </w:tc>
        <w:tc>
          <w:tcPr>
            <w:tcW w:w="4961" w:type="dxa"/>
            <w:hideMark/>
          </w:tcPr>
          <w:p w14:paraId="5E6BC50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111B901C" w14:textId="77777777" w:rsidTr="0076290B">
        <w:trPr>
          <w:cantSplit/>
          <w:trHeight w:val="57"/>
        </w:trPr>
        <w:tc>
          <w:tcPr>
            <w:tcW w:w="4815" w:type="dxa"/>
            <w:hideMark/>
          </w:tcPr>
          <w:p w14:paraId="2395ECCA" w14:textId="710AF8C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NT Department of Chief Minister &amp; Cabinet</w:t>
            </w:r>
          </w:p>
        </w:tc>
        <w:tc>
          <w:tcPr>
            <w:tcW w:w="4961" w:type="dxa"/>
            <w:hideMark/>
          </w:tcPr>
          <w:p w14:paraId="49A9C5F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1C654A71" w14:textId="77777777" w:rsidTr="0076290B">
        <w:trPr>
          <w:cantSplit/>
          <w:trHeight w:val="57"/>
        </w:trPr>
        <w:tc>
          <w:tcPr>
            <w:tcW w:w="4815" w:type="dxa"/>
            <w:hideMark/>
          </w:tcPr>
          <w:p w14:paraId="697448A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GTNT Group</w:t>
            </w:r>
          </w:p>
        </w:tc>
        <w:tc>
          <w:tcPr>
            <w:tcW w:w="4961" w:type="dxa"/>
            <w:hideMark/>
          </w:tcPr>
          <w:p w14:paraId="2D15122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47A1E9FF" w14:textId="77777777" w:rsidTr="0076290B">
        <w:trPr>
          <w:cantSplit/>
          <w:trHeight w:val="57"/>
        </w:trPr>
        <w:tc>
          <w:tcPr>
            <w:tcW w:w="4815" w:type="dxa"/>
            <w:hideMark/>
          </w:tcPr>
          <w:p w14:paraId="74E58B5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Larrakia Nation Development Corporation</w:t>
            </w:r>
          </w:p>
        </w:tc>
        <w:tc>
          <w:tcPr>
            <w:tcW w:w="4961" w:type="dxa"/>
            <w:hideMark/>
          </w:tcPr>
          <w:p w14:paraId="251F94F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3D92E2AD" w14:textId="77777777" w:rsidTr="0076290B">
        <w:trPr>
          <w:cantSplit/>
          <w:trHeight w:val="57"/>
        </w:trPr>
        <w:tc>
          <w:tcPr>
            <w:tcW w:w="4815" w:type="dxa"/>
            <w:hideMark/>
          </w:tcPr>
          <w:p w14:paraId="299AAC9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NLC </w:t>
            </w:r>
          </w:p>
        </w:tc>
        <w:tc>
          <w:tcPr>
            <w:tcW w:w="4961" w:type="dxa"/>
            <w:hideMark/>
          </w:tcPr>
          <w:p w14:paraId="2DDACA6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2A3E7516" w14:textId="77777777" w:rsidTr="0076290B">
        <w:trPr>
          <w:cantSplit/>
          <w:trHeight w:val="57"/>
        </w:trPr>
        <w:tc>
          <w:tcPr>
            <w:tcW w:w="4815" w:type="dxa"/>
            <w:hideMark/>
          </w:tcPr>
          <w:p w14:paraId="470ECED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Northern Territory Stolen Generations Aboriginal Corporation, NT</w:t>
            </w:r>
          </w:p>
        </w:tc>
        <w:tc>
          <w:tcPr>
            <w:tcW w:w="4961" w:type="dxa"/>
            <w:hideMark/>
          </w:tcPr>
          <w:p w14:paraId="1E22706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2BB10436" w14:textId="77777777" w:rsidTr="0076290B">
        <w:trPr>
          <w:cantSplit/>
          <w:trHeight w:val="57"/>
        </w:trPr>
        <w:tc>
          <w:tcPr>
            <w:tcW w:w="4815" w:type="dxa"/>
            <w:hideMark/>
          </w:tcPr>
          <w:p w14:paraId="391E8EC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NT Department of Chief Minister &amp; Cabinet </w:t>
            </w:r>
          </w:p>
        </w:tc>
        <w:tc>
          <w:tcPr>
            <w:tcW w:w="4961" w:type="dxa"/>
            <w:hideMark/>
          </w:tcPr>
          <w:p w14:paraId="6458549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72CCEF3A" w14:textId="77777777" w:rsidTr="0076290B">
        <w:trPr>
          <w:cantSplit/>
          <w:trHeight w:val="57"/>
        </w:trPr>
        <w:tc>
          <w:tcPr>
            <w:tcW w:w="4815" w:type="dxa"/>
            <w:hideMark/>
          </w:tcPr>
          <w:p w14:paraId="40FB54A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NT Department of Industry, Tourism &amp; Trade </w:t>
            </w:r>
          </w:p>
        </w:tc>
        <w:tc>
          <w:tcPr>
            <w:tcW w:w="4961" w:type="dxa"/>
            <w:hideMark/>
          </w:tcPr>
          <w:p w14:paraId="04EC282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75A64346" w14:textId="77777777" w:rsidTr="0076290B">
        <w:trPr>
          <w:cantSplit/>
          <w:trHeight w:val="57"/>
        </w:trPr>
        <w:tc>
          <w:tcPr>
            <w:tcW w:w="4815" w:type="dxa"/>
            <w:hideMark/>
          </w:tcPr>
          <w:p w14:paraId="3B02717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NT Farmers</w:t>
            </w:r>
          </w:p>
        </w:tc>
        <w:tc>
          <w:tcPr>
            <w:tcW w:w="4961" w:type="dxa"/>
            <w:hideMark/>
          </w:tcPr>
          <w:p w14:paraId="67C7C38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0927182B" w14:textId="77777777" w:rsidTr="0076290B">
        <w:trPr>
          <w:cantSplit/>
          <w:trHeight w:val="57"/>
        </w:trPr>
        <w:tc>
          <w:tcPr>
            <w:tcW w:w="4815" w:type="dxa"/>
            <w:hideMark/>
          </w:tcPr>
          <w:p w14:paraId="066FDE1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NT Government, Aboriginal Development</w:t>
            </w:r>
          </w:p>
        </w:tc>
        <w:tc>
          <w:tcPr>
            <w:tcW w:w="4961" w:type="dxa"/>
            <w:hideMark/>
          </w:tcPr>
          <w:p w14:paraId="0CA74C4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441C8C90" w14:textId="77777777" w:rsidTr="0076290B">
        <w:trPr>
          <w:cantSplit/>
          <w:trHeight w:val="57"/>
        </w:trPr>
        <w:tc>
          <w:tcPr>
            <w:tcW w:w="4815" w:type="dxa"/>
            <w:hideMark/>
          </w:tcPr>
          <w:p w14:paraId="3BD6D63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NT State Manager DESE </w:t>
            </w:r>
          </w:p>
        </w:tc>
        <w:tc>
          <w:tcPr>
            <w:tcW w:w="4961" w:type="dxa"/>
            <w:hideMark/>
          </w:tcPr>
          <w:p w14:paraId="3BE465A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28E2F5C2" w14:textId="77777777" w:rsidTr="0076290B">
        <w:trPr>
          <w:cantSplit/>
          <w:trHeight w:val="57"/>
        </w:trPr>
        <w:tc>
          <w:tcPr>
            <w:tcW w:w="4815" w:type="dxa"/>
            <w:hideMark/>
          </w:tcPr>
          <w:p w14:paraId="16494270" w14:textId="4CF76441"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Ironbark</w:t>
            </w:r>
          </w:p>
        </w:tc>
        <w:tc>
          <w:tcPr>
            <w:tcW w:w="4961" w:type="dxa"/>
            <w:hideMark/>
          </w:tcPr>
          <w:p w14:paraId="1386792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7E0753BE" w14:textId="77777777" w:rsidTr="0076290B">
        <w:trPr>
          <w:cantSplit/>
          <w:trHeight w:val="57"/>
        </w:trPr>
        <w:tc>
          <w:tcPr>
            <w:tcW w:w="4815" w:type="dxa"/>
            <w:hideMark/>
          </w:tcPr>
          <w:p w14:paraId="25FAE17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Tracks Indigenous Services</w:t>
            </w:r>
          </w:p>
        </w:tc>
        <w:tc>
          <w:tcPr>
            <w:tcW w:w="4961" w:type="dxa"/>
            <w:hideMark/>
          </w:tcPr>
          <w:p w14:paraId="24A8E28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7BE79997" w14:textId="77777777" w:rsidTr="0076290B">
        <w:trPr>
          <w:cantSplit/>
          <w:trHeight w:val="57"/>
        </w:trPr>
        <w:tc>
          <w:tcPr>
            <w:tcW w:w="4815" w:type="dxa"/>
            <w:hideMark/>
          </w:tcPr>
          <w:p w14:paraId="7A24A6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Ventia Pty Ltd </w:t>
            </w:r>
          </w:p>
        </w:tc>
        <w:tc>
          <w:tcPr>
            <w:tcW w:w="4961" w:type="dxa"/>
            <w:hideMark/>
          </w:tcPr>
          <w:p w14:paraId="6B06B8A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4EC0D116" w14:textId="77777777" w:rsidTr="0076290B">
        <w:trPr>
          <w:cantSplit/>
          <w:trHeight w:val="57"/>
        </w:trPr>
        <w:tc>
          <w:tcPr>
            <w:tcW w:w="4815" w:type="dxa"/>
            <w:hideMark/>
          </w:tcPr>
          <w:p w14:paraId="7EFC207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WISE employment</w:t>
            </w:r>
          </w:p>
        </w:tc>
        <w:tc>
          <w:tcPr>
            <w:tcW w:w="4961" w:type="dxa"/>
            <w:hideMark/>
          </w:tcPr>
          <w:p w14:paraId="2976D47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48A0E768" w14:textId="77777777" w:rsidTr="0076290B">
        <w:trPr>
          <w:cantSplit/>
          <w:trHeight w:val="57"/>
        </w:trPr>
        <w:tc>
          <w:tcPr>
            <w:tcW w:w="4815" w:type="dxa"/>
            <w:hideMark/>
          </w:tcPr>
          <w:p w14:paraId="5622114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YMCA</w:t>
            </w:r>
          </w:p>
        </w:tc>
        <w:tc>
          <w:tcPr>
            <w:tcW w:w="4961" w:type="dxa"/>
            <w:hideMark/>
          </w:tcPr>
          <w:p w14:paraId="73FCE9C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121E532A" w14:textId="77777777" w:rsidTr="0076290B">
        <w:trPr>
          <w:cantSplit/>
          <w:trHeight w:val="57"/>
        </w:trPr>
        <w:tc>
          <w:tcPr>
            <w:tcW w:w="4815" w:type="dxa"/>
            <w:hideMark/>
          </w:tcPr>
          <w:p w14:paraId="5FDA6D8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YWNT</w:t>
            </w:r>
          </w:p>
        </w:tc>
        <w:tc>
          <w:tcPr>
            <w:tcW w:w="4961" w:type="dxa"/>
            <w:hideMark/>
          </w:tcPr>
          <w:p w14:paraId="59A7B6D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Darwin </w:t>
            </w:r>
          </w:p>
        </w:tc>
      </w:tr>
      <w:tr w:rsidR="0093006A" w:rsidRPr="0093006A" w14:paraId="30CA7AA1" w14:textId="77777777" w:rsidTr="0076290B">
        <w:trPr>
          <w:cantSplit/>
          <w:trHeight w:val="57"/>
        </w:trPr>
        <w:tc>
          <w:tcPr>
            <w:tcW w:w="4815" w:type="dxa"/>
            <w:hideMark/>
          </w:tcPr>
          <w:p w14:paraId="30692BCE" w14:textId="49CDE9A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Winun Ngari Aboriginal Corporation  </w:t>
            </w:r>
          </w:p>
        </w:tc>
        <w:tc>
          <w:tcPr>
            <w:tcW w:w="4961" w:type="dxa"/>
            <w:hideMark/>
          </w:tcPr>
          <w:p w14:paraId="4DC2447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Derby </w:t>
            </w:r>
          </w:p>
        </w:tc>
      </w:tr>
      <w:tr w:rsidR="0093006A" w:rsidRPr="0093006A" w14:paraId="308D1F79" w14:textId="77777777" w:rsidTr="0076290B">
        <w:trPr>
          <w:cantSplit/>
          <w:trHeight w:val="57"/>
        </w:trPr>
        <w:tc>
          <w:tcPr>
            <w:tcW w:w="4815" w:type="dxa"/>
            <w:hideMark/>
          </w:tcPr>
          <w:p w14:paraId="62CF38B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Dambimangari Aboriginal Corporation </w:t>
            </w:r>
          </w:p>
        </w:tc>
        <w:tc>
          <w:tcPr>
            <w:tcW w:w="4961" w:type="dxa"/>
            <w:hideMark/>
          </w:tcPr>
          <w:p w14:paraId="42BEE61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Derby </w:t>
            </w:r>
          </w:p>
        </w:tc>
      </w:tr>
      <w:tr w:rsidR="0093006A" w:rsidRPr="0093006A" w14:paraId="2FC2D549" w14:textId="77777777" w:rsidTr="0076290B">
        <w:trPr>
          <w:cantSplit/>
          <w:trHeight w:val="57"/>
        </w:trPr>
        <w:tc>
          <w:tcPr>
            <w:tcW w:w="4815" w:type="dxa"/>
            <w:hideMark/>
          </w:tcPr>
          <w:p w14:paraId="30FD441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DOHS </w:t>
            </w:r>
          </w:p>
        </w:tc>
        <w:tc>
          <w:tcPr>
            <w:tcW w:w="4961" w:type="dxa"/>
            <w:hideMark/>
          </w:tcPr>
          <w:p w14:paraId="7F2B009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Derby </w:t>
            </w:r>
          </w:p>
        </w:tc>
      </w:tr>
      <w:tr w:rsidR="0093006A" w:rsidRPr="0093006A" w14:paraId="40F17639" w14:textId="77777777" w:rsidTr="0076290B">
        <w:trPr>
          <w:cantSplit/>
          <w:trHeight w:val="57"/>
        </w:trPr>
        <w:tc>
          <w:tcPr>
            <w:tcW w:w="4815" w:type="dxa"/>
            <w:hideMark/>
          </w:tcPr>
          <w:p w14:paraId="607D13F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Emama Nguda </w:t>
            </w:r>
          </w:p>
        </w:tc>
        <w:tc>
          <w:tcPr>
            <w:tcW w:w="4961" w:type="dxa"/>
            <w:hideMark/>
          </w:tcPr>
          <w:p w14:paraId="3974627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Derby </w:t>
            </w:r>
          </w:p>
        </w:tc>
      </w:tr>
      <w:tr w:rsidR="0093006A" w:rsidRPr="0093006A" w14:paraId="34FB1E5E" w14:textId="77777777" w:rsidTr="0076290B">
        <w:trPr>
          <w:cantSplit/>
          <w:trHeight w:val="57"/>
        </w:trPr>
        <w:tc>
          <w:tcPr>
            <w:tcW w:w="4815" w:type="dxa"/>
            <w:hideMark/>
          </w:tcPr>
          <w:p w14:paraId="0A51352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Winun Ngari Aboriginal Corporation  </w:t>
            </w:r>
          </w:p>
        </w:tc>
        <w:tc>
          <w:tcPr>
            <w:tcW w:w="4961" w:type="dxa"/>
            <w:hideMark/>
          </w:tcPr>
          <w:p w14:paraId="68703DA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Derby </w:t>
            </w:r>
          </w:p>
        </w:tc>
      </w:tr>
      <w:tr w:rsidR="0093006A" w:rsidRPr="0093006A" w14:paraId="3F1C985D" w14:textId="77777777" w:rsidTr="0076290B">
        <w:trPr>
          <w:cantSplit/>
          <w:trHeight w:val="57"/>
        </w:trPr>
        <w:tc>
          <w:tcPr>
            <w:tcW w:w="4815" w:type="dxa"/>
            <w:hideMark/>
          </w:tcPr>
          <w:p w14:paraId="20C8D40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Bara Barang </w:t>
            </w:r>
          </w:p>
        </w:tc>
        <w:tc>
          <w:tcPr>
            <w:tcW w:w="4961" w:type="dxa"/>
            <w:hideMark/>
          </w:tcPr>
          <w:p w14:paraId="537B5FF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National </w:t>
            </w:r>
          </w:p>
        </w:tc>
      </w:tr>
      <w:tr w:rsidR="0093006A" w:rsidRPr="0093006A" w14:paraId="090310AA" w14:textId="77777777" w:rsidTr="0076290B">
        <w:trPr>
          <w:cantSplit/>
          <w:trHeight w:val="57"/>
        </w:trPr>
        <w:tc>
          <w:tcPr>
            <w:tcW w:w="4815" w:type="dxa"/>
            <w:hideMark/>
          </w:tcPr>
          <w:p w14:paraId="470DEC4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CYP </w:t>
            </w:r>
          </w:p>
        </w:tc>
        <w:tc>
          <w:tcPr>
            <w:tcW w:w="4961" w:type="dxa"/>
            <w:hideMark/>
          </w:tcPr>
          <w:p w14:paraId="7C2DEDA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National </w:t>
            </w:r>
          </w:p>
        </w:tc>
      </w:tr>
      <w:tr w:rsidR="0093006A" w:rsidRPr="0093006A" w14:paraId="0F6C79CC" w14:textId="77777777" w:rsidTr="0076290B">
        <w:trPr>
          <w:cantSplit/>
          <w:trHeight w:val="57"/>
        </w:trPr>
        <w:tc>
          <w:tcPr>
            <w:tcW w:w="4815" w:type="dxa"/>
            <w:hideMark/>
          </w:tcPr>
          <w:p w14:paraId="55A2F9F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FWCP</w:t>
            </w:r>
          </w:p>
        </w:tc>
        <w:tc>
          <w:tcPr>
            <w:tcW w:w="4961" w:type="dxa"/>
            <w:hideMark/>
          </w:tcPr>
          <w:p w14:paraId="685B3E2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National </w:t>
            </w:r>
          </w:p>
        </w:tc>
      </w:tr>
      <w:tr w:rsidR="0093006A" w:rsidRPr="0093006A" w14:paraId="406CF5AB" w14:textId="77777777" w:rsidTr="0076290B">
        <w:trPr>
          <w:cantSplit/>
          <w:trHeight w:val="57"/>
        </w:trPr>
        <w:tc>
          <w:tcPr>
            <w:tcW w:w="4815" w:type="dxa"/>
            <w:hideMark/>
          </w:tcPr>
          <w:p w14:paraId="4F8944D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ISEC </w:t>
            </w:r>
          </w:p>
        </w:tc>
        <w:tc>
          <w:tcPr>
            <w:tcW w:w="4961" w:type="dxa"/>
            <w:hideMark/>
          </w:tcPr>
          <w:p w14:paraId="60232C7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National </w:t>
            </w:r>
          </w:p>
        </w:tc>
      </w:tr>
      <w:tr w:rsidR="0093006A" w:rsidRPr="0093006A" w14:paraId="6D1B280D" w14:textId="77777777" w:rsidTr="0076290B">
        <w:trPr>
          <w:cantSplit/>
          <w:trHeight w:val="57"/>
        </w:trPr>
        <w:tc>
          <w:tcPr>
            <w:tcW w:w="4815" w:type="dxa"/>
            <w:hideMark/>
          </w:tcPr>
          <w:p w14:paraId="2F197C4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Kaiela Institute </w:t>
            </w:r>
          </w:p>
        </w:tc>
        <w:tc>
          <w:tcPr>
            <w:tcW w:w="4961" w:type="dxa"/>
            <w:hideMark/>
          </w:tcPr>
          <w:p w14:paraId="7FC2BEB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National </w:t>
            </w:r>
          </w:p>
        </w:tc>
      </w:tr>
      <w:tr w:rsidR="0093006A" w:rsidRPr="0093006A" w14:paraId="3CED70D3" w14:textId="77777777" w:rsidTr="0076290B">
        <w:trPr>
          <w:cantSplit/>
          <w:trHeight w:val="57"/>
        </w:trPr>
        <w:tc>
          <w:tcPr>
            <w:tcW w:w="4815" w:type="dxa"/>
            <w:hideMark/>
          </w:tcPr>
          <w:p w14:paraId="45DC762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NREC</w:t>
            </w:r>
          </w:p>
        </w:tc>
        <w:tc>
          <w:tcPr>
            <w:tcW w:w="4961" w:type="dxa"/>
            <w:hideMark/>
          </w:tcPr>
          <w:p w14:paraId="35ACB01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National </w:t>
            </w:r>
          </w:p>
        </w:tc>
      </w:tr>
      <w:tr w:rsidR="0093006A" w:rsidRPr="0093006A" w14:paraId="1BE5EBC6" w14:textId="77777777" w:rsidTr="0076290B">
        <w:trPr>
          <w:cantSplit/>
          <w:trHeight w:val="57"/>
        </w:trPr>
        <w:tc>
          <w:tcPr>
            <w:tcW w:w="4815" w:type="dxa"/>
            <w:hideMark/>
          </w:tcPr>
          <w:p w14:paraId="7C0E27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NYPWC</w:t>
            </w:r>
          </w:p>
        </w:tc>
        <w:tc>
          <w:tcPr>
            <w:tcW w:w="4961" w:type="dxa"/>
            <w:hideMark/>
          </w:tcPr>
          <w:p w14:paraId="46007DC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National </w:t>
            </w:r>
          </w:p>
        </w:tc>
      </w:tr>
      <w:tr w:rsidR="0093006A" w:rsidRPr="0093006A" w14:paraId="08A74557" w14:textId="77777777" w:rsidTr="0076290B">
        <w:trPr>
          <w:cantSplit/>
          <w:trHeight w:val="57"/>
        </w:trPr>
        <w:tc>
          <w:tcPr>
            <w:tcW w:w="4815" w:type="dxa"/>
            <w:hideMark/>
          </w:tcPr>
          <w:p w14:paraId="5E92D26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Pama Futures</w:t>
            </w:r>
          </w:p>
        </w:tc>
        <w:tc>
          <w:tcPr>
            <w:tcW w:w="4961" w:type="dxa"/>
            <w:hideMark/>
          </w:tcPr>
          <w:p w14:paraId="419EEAE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National </w:t>
            </w:r>
          </w:p>
        </w:tc>
      </w:tr>
      <w:tr w:rsidR="0093006A" w:rsidRPr="0093006A" w14:paraId="0462634F" w14:textId="77777777" w:rsidTr="0076290B">
        <w:trPr>
          <w:cantSplit/>
          <w:trHeight w:val="57"/>
        </w:trPr>
        <w:tc>
          <w:tcPr>
            <w:tcW w:w="4815" w:type="dxa"/>
            <w:hideMark/>
          </w:tcPr>
          <w:p w14:paraId="141BD9C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WKFEC</w:t>
            </w:r>
          </w:p>
        </w:tc>
        <w:tc>
          <w:tcPr>
            <w:tcW w:w="4961" w:type="dxa"/>
            <w:hideMark/>
          </w:tcPr>
          <w:p w14:paraId="0B7E392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National </w:t>
            </w:r>
          </w:p>
        </w:tc>
      </w:tr>
      <w:tr w:rsidR="0093006A" w:rsidRPr="0093006A" w14:paraId="6C07EFD9" w14:textId="77777777" w:rsidTr="0076290B">
        <w:trPr>
          <w:cantSplit/>
          <w:trHeight w:val="57"/>
        </w:trPr>
        <w:tc>
          <w:tcPr>
            <w:tcW w:w="4815" w:type="dxa"/>
            <w:hideMark/>
          </w:tcPr>
          <w:p w14:paraId="4D8889A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GNL</w:t>
            </w:r>
          </w:p>
        </w:tc>
        <w:tc>
          <w:tcPr>
            <w:tcW w:w="4961" w:type="dxa"/>
            <w:hideMark/>
          </w:tcPr>
          <w:p w14:paraId="0A153E6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NSW </w:t>
            </w:r>
          </w:p>
        </w:tc>
      </w:tr>
      <w:tr w:rsidR="0093006A" w:rsidRPr="0093006A" w14:paraId="1254FFF7" w14:textId="77777777" w:rsidTr="0076290B">
        <w:trPr>
          <w:cantSplit/>
          <w:trHeight w:val="57"/>
        </w:trPr>
        <w:tc>
          <w:tcPr>
            <w:tcW w:w="4815" w:type="dxa"/>
            <w:hideMark/>
          </w:tcPr>
          <w:p w14:paraId="0789506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HGT Aust </w:t>
            </w:r>
          </w:p>
        </w:tc>
        <w:tc>
          <w:tcPr>
            <w:tcW w:w="4961" w:type="dxa"/>
            <w:hideMark/>
          </w:tcPr>
          <w:p w14:paraId="39DDF03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NSW </w:t>
            </w:r>
          </w:p>
        </w:tc>
      </w:tr>
      <w:tr w:rsidR="0093006A" w:rsidRPr="0093006A" w14:paraId="01294041" w14:textId="77777777" w:rsidTr="0076290B">
        <w:trPr>
          <w:cantSplit/>
          <w:trHeight w:val="57"/>
        </w:trPr>
        <w:tc>
          <w:tcPr>
            <w:tcW w:w="4815" w:type="dxa"/>
            <w:hideMark/>
          </w:tcPr>
          <w:p w14:paraId="61EC70F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NAISDA </w:t>
            </w:r>
          </w:p>
        </w:tc>
        <w:tc>
          <w:tcPr>
            <w:tcW w:w="4961" w:type="dxa"/>
            <w:hideMark/>
          </w:tcPr>
          <w:p w14:paraId="46B74D9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NSW </w:t>
            </w:r>
          </w:p>
        </w:tc>
      </w:tr>
      <w:tr w:rsidR="0093006A" w:rsidRPr="0093006A" w14:paraId="55DFE321" w14:textId="77777777" w:rsidTr="0076290B">
        <w:trPr>
          <w:cantSplit/>
          <w:trHeight w:val="57"/>
        </w:trPr>
        <w:tc>
          <w:tcPr>
            <w:tcW w:w="4815" w:type="dxa"/>
            <w:hideMark/>
          </w:tcPr>
          <w:p w14:paraId="2692A44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Nova Skill </w:t>
            </w:r>
          </w:p>
        </w:tc>
        <w:tc>
          <w:tcPr>
            <w:tcW w:w="4961" w:type="dxa"/>
            <w:hideMark/>
          </w:tcPr>
          <w:p w14:paraId="62B507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NSW </w:t>
            </w:r>
          </w:p>
        </w:tc>
      </w:tr>
      <w:tr w:rsidR="0093006A" w:rsidRPr="0093006A" w14:paraId="28A8FC7A" w14:textId="77777777" w:rsidTr="0076290B">
        <w:trPr>
          <w:cantSplit/>
          <w:trHeight w:val="57"/>
        </w:trPr>
        <w:tc>
          <w:tcPr>
            <w:tcW w:w="4815" w:type="dxa"/>
            <w:hideMark/>
          </w:tcPr>
          <w:p w14:paraId="0919527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The Glen Centre</w:t>
            </w:r>
          </w:p>
        </w:tc>
        <w:tc>
          <w:tcPr>
            <w:tcW w:w="4961" w:type="dxa"/>
            <w:hideMark/>
          </w:tcPr>
          <w:p w14:paraId="2B7E55A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NSW </w:t>
            </w:r>
          </w:p>
        </w:tc>
      </w:tr>
      <w:tr w:rsidR="0093006A" w:rsidRPr="0093006A" w14:paraId="326722B8" w14:textId="77777777" w:rsidTr="0076290B">
        <w:trPr>
          <w:cantSplit/>
          <w:trHeight w:val="57"/>
        </w:trPr>
        <w:tc>
          <w:tcPr>
            <w:tcW w:w="4815" w:type="dxa"/>
            <w:hideMark/>
          </w:tcPr>
          <w:p w14:paraId="75EAA41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Weekly Routine, The Glen Centre</w:t>
            </w:r>
          </w:p>
        </w:tc>
        <w:tc>
          <w:tcPr>
            <w:tcW w:w="4961" w:type="dxa"/>
            <w:hideMark/>
          </w:tcPr>
          <w:p w14:paraId="45A6FDE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NSW </w:t>
            </w:r>
          </w:p>
        </w:tc>
      </w:tr>
      <w:tr w:rsidR="0093006A" w:rsidRPr="0093006A" w14:paraId="42DC4780" w14:textId="77777777" w:rsidTr="0076290B">
        <w:trPr>
          <w:cantSplit/>
          <w:trHeight w:val="57"/>
        </w:trPr>
        <w:tc>
          <w:tcPr>
            <w:tcW w:w="4815" w:type="dxa"/>
            <w:hideMark/>
          </w:tcPr>
          <w:p w14:paraId="39ABAF3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Yerin </w:t>
            </w:r>
          </w:p>
        </w:tc>
        <w:tc>
          <w:tcPr>
            <w:tcW w:w="4961" w:type="dxa"/>
            <w:hideMark/>
          </w:tcPr>
          <w:p w14:paraId="0A6E41B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Empowered Communities NSW </w:t>
            </w:r>
          </w:p>
        </w:tc>
      </w:tr>
      <w:tr w:rsidR="0093006A" w:rsidRPr="0093006A" w14:paraId="5C359B4D" w14:textId="77777777" w:rsidTr="0076290B">
        <w:trPr>
          <w:cantSplit/>
          <w:trHeight w:val="57"/>
        </w:trPr>
        <w:tc>
          <w:tcPr>
            <w:tcW w:w="4815" w:type="dxa"/>
            <w:hideMark/>
          </w:tcPr>
          <w:p w14:paraId="17AFC58E" w14:textId="7B8995E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Coolgardie Aboriginal Corporation</w:t>
            </w:r>
          </w:p>
        </w:tc>
        <w:tc>
          <w:tcPr>
            <w:tcW w:w="4961" w:type="dxa"/>
            <w:hideMark/>
          </w:tcPr>
          <w:p w14:paraId="4D3A9A1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Goldfields </w:t>
            </w:r>
          </w:p>
        </w:tc>
      </w:tr>
      <w:tr w:rsidR="0093006A" w:rsidRPr="0093006A" w14:paraId="1CF869C4" w14:textId="77777777" w:rsidTr="0076290B">
        <w:trPr>
          <w:cantSplit/>
          <w:trHeight w:val="57"/>
        </w:trPr>
        <w:tc>
          <w:tcPr>
            <w:tcW w:w="4815" w:type="dxa"/>
            <w:hideMark/>
          </w:tcPr>
          <w:p w14:paraId="0F93AEFE" w14:textId="5899F013"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Ngaanyatjarra Council </w:t>
            </w:r>
          </w:p>
        </w:tc>
        <w:tc>
          <w:tcPr>
            <w:tcW w:w="4961" w:type="dxa"/>
            <w:hideMark/>
          </w:tcPr>
          <w:p w14:paraId="2FAD0DD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Goldfields </w:t>
            </w:r>
          </w:p>
        </w:tc>
      </w:tr>
      <w:tr w:rsidR="0093006A" w:rsidRPr="0093006A" w14:paraId="2D69EB57" w14:textId="77777777" w:rsidTr="0076290B">
        <w:trPr>
          <w:cantSplit/>
          <w:trHeight w:val="57"/>
        </w:trPr>
        <w:tc>
          <w:tcPr>
            <w:tcW w:w="4815" w:type="dxa"/>
            <w:hideMark/>
          </w:tcPr>
          <w:p w14:paraId="00FE3F5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Shire of Ngaanyatjarra Council</w:t>
            </w:r>
          </w:p>
        </w:tc>
        <w:tc>
          <w:tcPr>
            <w:tcW w:w="4961" w:type="dxa"/>
            <w:hideMark/>
          </w:tcPr>
          <w:p w14:paraId="34D012B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Goldfields </w:t>
            </w:r>
          </w:p>
        </w:tc>
      </w:tr>
      <w:tr w:rsidR="0093006A" w:rsidRPr="0093006A" w14:paraId="77D46FCC" w14:textId="77777777" w:rsidTr="0076290B">
        <w:trPr>
          <w:cantSplit/>
          <w:trHeight w:val="57"/>
        </w:trPr>
        <w:tc>
          <w:tcPr>
            <w:tcW w:w="4815" w:type="dxa"/>
            <w:hideMark/>
          </w:tcPr>
          <w:p w14:paraId="5376422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Breakaway Aboriginal Corporation</w:t>
            </w:r>
          </w:p>
        </w:tc>
        <w:tc>
          <w:tcPr>
            <w:tcW w:w="4961" w:type="dxa"/>
            <w:hideMark/>
          </w:tcPr>
          <w:p w14:paraId="7AD5D18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Greater Western Australia </w:t>
            </w:r>
          </w:p>
        </w:tc>
      </w:tr>
      <w:tr w:rsidR="0093006A" w:rsidRPr="0093006A" w14:paraId="36EF2220" w14:textId="77777777" w:rsidTr="0076290B">
        <w:trPr>
          <w:cantSplit/>
          <w:trHeight w:val="57"/>
        </w:trPr>
        <w:tc>
          <w:tcPr>
            <w:tcW w:w="4815" w:type="dxa"/>
            <w:hideMark/>
          </w:tcPr>
          <w:p w14:paraId="2BD1EF3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Diversity Team, Compass Group Australia</w:t>
            </w:r>
          </w:p>
        </w:tc>
        <w:tc>
          <w:tcPr>
            <w:tcW w:w="4961" w:type="dxa"/>
            <w:hideMark/>
          </w:tcPr>
          <w:p w14:paraId="2FD26EB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Greater Western Australia </w:t>
            </w:r>
          </w:p>
        </w:tc>
      </w:tr>
      <w:tr w:rsidR="0093006A" w:rsidRPr="0093006A" w14:paraId="1ACF5717" w14:textId="77777777" w:rsidTr="0076290B">
        <w:trPr>
          <w:cantSplit/>
          <w:trHeight w:val="57"/>
        </w:trPr>
        <w:tc>
          <w:tcPr>
            <w:tcW w:w="4815" w:type="dxa"/>
            <w:hideMark/>
          </w:tcPr>
          <w:p w14:paraId="0EFCFAD2" w14:textId="249BE36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LendLease</w:t>
            </w:r>
          </w:p>
        </w:tc>
        <w:tc>
          <w:tcPr>
            <w:tcW w:w="4961" w:type="dxa"/>
            <w:hideMark/>
          </w:tcPr>
          <w:p w14:paraId="1A2F11E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Greater Western Australia </w:t>
            </w:r>
          </w:p>
        </w:tc>
      </w:tr>
      <w:tr w:rsidR="0093006A" w:rsidRPr="0093006A" w14:paraId="5A4DA5F9" w14:textId="77777777" w:rsidTr="0076290B">
        <w:trPr>
          <w:cantSplit/>
          <w:trHeight w:val="57"/>
        </w:trPr>
        <w:tc>
          <w:tcPr>
            <w:tcW w:w="4815" w:type="dxa"/>
            <w:hideMark/>
          </w:tcPr>
          <w:p w14:paraId="1F4CC45B" w14:textId="0B704389"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Compass Group Australia</w:t>
            </w:r>
          </w:p>
        </w:tc>
        <w:tc>
          <w:tcPr>
            <w:tcW w:w="4961" w:type="dxa"/>
            <w:hideMark/>
          </w:tcPr>
          <w:p w14:paraId="5F1596F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Greater Western Australia </w:t>
            </w:r>
          </w:p>
        </w:tc>
      </w:tr>
      <w:tr w:rsidR="0093006A" w:rsidRPr="0093006A" w14:paraId="25932EF3" w14:textId="77777777" w:rsidTr="0076290B">
        <w:trPr>
          <w:cantSplit/>
          <w:trHeight w:val="57"/>
        </w:trPr>
        <w:tc>
          <w:tcPr>
            <w:tcW w:w="4815" w:type="dxa"/>
            <w:hideMark/>
          </w:tcPr>
          <w:p w14:paraId="6FE5214A" w14:textId="6CDB9311"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Oaks Civil Construction </w:t>
            </w:r>
          </w:p>
        </w:tc>
        <w:tc>
          <w:tcPr>
            <w:tcW w:w="4961" w:type="dxa"/>
            <w:hideMark/>
          </w:tcPr>
          <w:p w14:paraId="443AF9E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Greater Western Australia </w:t>
            </w:r>
          </w:p>
        </w:tc>
      </w:tr>
      <w:tr w:rsidR="0093006A" w:rsidRPr="0093006A" w14:paraId="34B79349" w14:textId="77777777" w:rsidTr="0076290B">
        <w:trPr>
          <w:cantSplit/>
          <w:trHeight w:val="57"/>
        </w:trPr>
        <w:tc>
          <w:tcPr>
            <w:tcW w:w="4815" w:type="dxa"/>
            <w:hideMark/>
          </w:tcPr>
          <w:p w14:paraId="1A7CF40D" w14:textId="7E3A7035"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Compass Group Australia</w:t>
            </w:r>
          </w:p>
        </w:tc>
        <w:tc>
          <w:tcPr>
            <w:tcW w:w="4961" w:type="dxa"/>
            <w:hideMark/>
          </w:tcPr>
          <w:p w14:paraId="46AB4D0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Greater Western Australia </w:t>
            </w:r>
          </w:p>
        </w:tc>
      </w:tr>
      <w:tr w:rsidR="0093006A" w:rsidRPr="0093006A" w14:paraId="60C65F5B" w14:textId="77777777" w:rsidTr="0076290B">
        <w:trPr>
          <w:cantSplit/>
          <w:trHeight w:val="57"/>
        </w:trPr>
        <w:tc>
          <w:tcPr>
            <w:tcW w:w="4815" w:type="dxa"/>
            <w:hideMark/>
          </w:tcPr>
          <w:p w14:paraId="019A2DC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ALC/Rangers </w:t>
            </w:r>
          </w:p>
        </w:tc>
        <w:tc>
          <w:tcPr>
            <w:tcW w:w="4961" w:type="dxa"/>
            <w:hideMark/>
          </w:tcPr>
          <w:p w14:paraId="12DA6E4E" w14:textId="22EFA0EF"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Groote Eylandt  </w:t>
            </w:r>
          </w:p>
        </w:tc>
      </w:tr>
      <w:tr w:rsidR="0093006A" w:rsidRPr="0093006A" w14:paraId="09EDB9F4" w14:textId="77777777" w:rsidTr="0076290B">
        <w:trPr>
          <w:cantSplit/>
          <w:trHeight w:val="57"/>
        </w:trPr>
        <w:tc>
          <w:tcPr>
            <w:tcW w:w="4815" w:type="dxa"/>
            <w:hideMark/>
          </w:tcPr>
          <w:p w14:paraId="3545142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CDC Angurugu </w:t>
            </w:r>
          </w:p>
        </w:tc>
        <w:tc>
          <w:tcPr>
            <w:tcW w:w="4961" w:type="dxa"/>
            <w:hideMark/>
          </w:tcPr>
          <w:p w14:paraId="36237935" w14:textId="5DFDB814"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Groote E</w:t>
            </w:r>
            <w:r w:rsidR="001A5D81" w:rsidRPr="0093006A">
              <w:rPr>
                <w:rFonts w:cstheme="minorHAnsi"/>
                <w:color w:val="595959" w:themeColor="text1" w:themeTint="A6"/>
                <w:sz w:val="20"/>
                <w:szCs w:val="20"/>
              </w:rPr>
              <w:t>y</w:t>
            </w:r>
            <w:r w:rsidRPr="0093006A">
              <w:rPr>
                <w:rFonts w:cstheme="minorHAnsi"/>
                <w:color w:val="595959" w:themeColor="text1" w:themeTint="A6"/>
                <w:sz w:val="20"/>
                <w:szCs w:val="20"/>
              </w:rPr>
              <w:t xml:space="preserve">landt  </w:t>
            </w:r>
          </w:p>
        </w:tc>
      </w:tr>
      <w:tr w:rsidR="0093006A" w:rsidRPr="0093006A" w14:paraId="2B3B0B72" w14:textId="77777777" w:rsidTr="0076290B">
        <w:trPr>
          <w:cantSplit/>
          <w:trHeight w:val="57"/>
        </w:trPr>
        <w:tc>
          <w:tcPr>
            <w:tcW w:w="4815" w:type="dxa"/>
            <w:hideMark/>
          </w:tcPr>
          <w:p w14:paraId="0003750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CDC Umbakumba </w:t>
            </w:r>
          </w:p>
        </w:tc>
        <w:tc>
          <w:tcPr>
            <w:tcW w:w="4961" w:type="dxa"/>
            <w:hideMark/>
          </w:tcPr>
          <w:p w14:paraId="1FAC2CAF" w14:textId="698BCD80"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Groote Ey</w:t>
            </w:r>
            <w:r w:rsidR="001A5D81" w:rsidRPr="0093006A">
              <w:rPr>
                <w:rFonts w:cstheme="minorHAnsi"/>
                <w:color w:val="595959" w:themeColor="text1" w:themeTint="A6"/>
                <w:sz w:val="20"/>
                <w:szCs w:val="20"/>
              </w:rPr>
              <w:t>l</w:t>
            </w:r>
            <w:r w:rsidRPr="0093006A">
              <w:rPr>
                <w:rFonts w:cstheme="minorHAnsi"/>
                <w:color w:val="595959" w:themeColor="text1" w:themeTint="A6"/>
                <w:sz w:val="20"/>
                <w:szCs w:val="20"/>
              </w:rPr>
              <w:t xml:space="preserve">andt  </w:t>
            </w:r>
          </w:p>
        </w:tc>
      </w:tr>
      <w:tr w:rsidR="0093006A" w:rsidRPr="0093006A" w14:paraId="49B00EC0" w14:textId="77777777" w:rsidTr="0076290B">
        <w:trPr>
          <w:cantSplit/>
          <w:trHeight w:val="57"/>
        </w:trPr>
        <w:tc>
          <w:tcPr>
            <w:tcW w:w="4815" w:type="dxa"/>
            <w:hideMark/>
          </w:tcPr>
          <w:p w14:paraId="1332DBDC" w14:textId="538703E0" w:rsidR="000457D1" w:rsidRPr="0093006A" w:rsidRDefault="001A5D81" w:rsidP="00825713">
            <w:pPr>
              <w:rPr>
                <w:rFonts w:cstheme="minorHAnsi"/>
                <w:color w:val="595959" w:themeColor="text1" w:themeTint="A6"/>
                <w:sz w:val="20"/>
                <w:szCs w:val="20"/>
              </w:rPr>
            </w:pPr>
            <w:r w:rsidRPr="0093006A">
              <w:rPr>
                <w:rFonts w:cstheme="minorHAnsi"/>
                <w:color w:val="595959" w:themeColor="text1" w:themeTint="A6"/>
                <w:sz w:val="20"/>
                <w:szCs w:val="20"/>
              </w:rPr>
              <w:t>GEBIE</w:t>
            </w:r>
            <w:r w:rsidR="000457D1" w:rsidRPr="0093006A">
              <w:rPr>
                <w:rFonts w:cstheme="minorHAnsi"/>
                <w:color w:val="595959" w:themeColor="text1" w:themeTint="A6"/>
                <w:sz w:val="20"/>
                <w:szCs w:val="20"/>
              </w:rPr>
              <w:t xml:space="preserve"> </w:t>
            </w:r>
          </w:p>
        </w:tc>
        <w:tc>
          <w:tcPr>
            <w:tcW w:w="4961" w:type="dxa"/>
            <w:hideMark/>
          </w:tcPr>
          <w:p w14:paraId="21295509" w14:textId="33579978"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Groote Eylandt  </w:t>
            </w:r>
          </w:p>
        </w:tc>
      </w:tr>
      <w:tr w:rsidR="0093006A" w:rsidRPr="0093006A" w14:paraId="0D988997" w14:textId="77777777" w:rsidTr="0076290B">
        <w:trPr>
          <w:cantSplit/>
          <w:trHeight w:val="57"/>
        </w:trPr>
        <w:tc>
          <w:tcPr>
            <w:tcW w:w="4815" w:type="dxa"/>
            <w:hideMark/>
          </w:tcPr>
          <w:p w14:paraId="0232C11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Gem </w:t>
            </w:r>
          </w:p>
        </w:tc>
        <w:tc>
          <w:tcPr>
            <w:tcW w:w="4961" w:type="dxa"/>
            <w:hideMark/>
          </w:tcPr>
          <w:p w14:paraId="70266FB6" w14:textId="42A74EA2"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Groote Eylandt  </w:t>
            </w:r>
          </w:p>
        </w:tc>
      </w:tr>
      <w:tr w:rsidR="0093006A" w:rsidRPr="0093006A" w14:paraId="125D7C0F" w14:textId="77777777" w:rsidTr="0076290B">
        <w:trPr>
          <w:cantSplit/>
          <w:trHeight w:val="57"/>
        </w:trPr>
        <w:tc>
          <w:tcPr>
            <w:tcW w:w="4815" w:type="dxa"/>
            <w:hideMark/>
          </w:tcPr>
          <w:p w14:paraId="2FE322A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NT Government </w:t>
            </w:r>
          </w:p>
        </w:tc>
        <w:tc>
          <w:tcPr>
            <w:tcW w:w="4961" w:type="dxa"/>
            <w:hideMark/>
          </w:tcPr>
          <w:p w14:paraId="37B41384" w14:textId="278085F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Groote Eylandt </w:t>
            </w:r>
          </w:p>
        </w:tc>
      </w:tr>
      <w:tr w:rsidR="0093006A" w:rsidRPr="0093006A" w14:paraId="57833D18" w14:textId="77777777" w:rsidTr="0076290B">
        <w:trPr>
          <w:cantSplit/>
          <w:trHeight w:val="57"/>
        </w:trPr>
        <w:tc>
          <w:tcPr>
            <w:tcW w:w="4815" w:type="dxa"/>
            <w:hideMark/>
          </w:tcPr>
          <w:p w14:paraId="276CFB6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Yalu </w:t>
            </w:r>
          </w:p>
        </w:tc>
        <w:tc>
          <w:tcPr>
            <w:tcW w:w="4961" w:type="dxa"/>
            <w:hideMark/>
          </w:tcPr>
          <w:p w14:paraId="1AF581DA" w14:textId="08A09B98"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Groote Eylandt </w:t>
            </w:r>
          </w:p>
        </w:tc>
      </w:tr>
      <w:tr w:rsidR="0093006A" w:rsidRPr="0093006A" w14:paraId="0FC9B9D1" w14:textId="77777777" w:rsidTr="0076290B">
        <w:trPr>
          <w:cantSplit/>
          <w:trHeight w:val="57"/>
        </w:trPr>
        <w:tc>
          <w:tcPr>
            <w:tcW w:w="4815" w:type="dxa"/>
            <w:hideMark/>
          </w:tcPr>
          <w:p w14:paraId="60CBA4B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Aboriginal Health Reference Group</w:t>
            </w:r>
          </w:p>
        </w:tc>
        <w:tc>
          <w:tcPr>
            <w:tcW w:w="4961" w:type="dxa"/>
            <w:hideMark/>
          </w:tcPr>
          <w:p w14:paraId="7F7A3ED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794C48DD" w14:textId="77777777" w:rsidTr="0076290B">
        <w:trPr>
          <w:cantSplit/>
          <w:trHeight w:val="57"/>
        </w:trPr>
        <w:tc>
          <w:tcPr>
            <w:tcW w:w="4815" w:type="dxa"/>
            <w:hideMark/>
          </w:tcPr>
          <w:p w14:paraId="48EA363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AFL SportsReady </w:t>
            </w:r>
          </w:p>
        </w:tc>
        <w:tc>
          <w:tcPr>
            <w:tcW w:w="4961" w:type="dxa"/>
            <w:hideMark/>
          </w:tcPr>
          <w:p w14:paraId="5C2E5A5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63BB07AC" w14:textId="77777777" w:rsidTr="0076290B">
        <w:trPr>
          <w:cantSplit/>
          <w:trHeight w:val="57"/>
        </w:trPr>
        <w:tc>
          <w:tcPr>
            <w:tcW w:w="4815" w:type="dxa"/>
            <w:hideMark/>
          </w:tcPr>
          <w:p w14:paraId="7E944C4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APM </w:t>
            </w:r>
          </w:p>
        </w:tc>
        <w:tc>
          <w:tcPr>
            <w:tcW w:w="4961" w:type="dxa"/>
            <w:hideMark/>
          </w:tcPr>
          <w:p w14:paraId="1A3E512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606972B9" w14:textId="77777777" w:rsidTr="0076290B">
        <w:trPr>
          <w:cantSplit/>
          <w:trHeight w:val="57"/>
        </w:trPr>
        <w:tc>
          <w:tcPr>
            <w:tcW w:w="4815" w:type="dxa"/>
            <w:hideMark/>
          </w:tcPr>
          <w:p w14:paraId="1922438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Brumby Hill Aboriginal Corporation </w:t>
            </w:r>
          </w:p>
        </w:tc>
        <w:tc>
          <w:tcPr>
            <w:tcW w:w="4961" w:type="dxa"/>
            <w:hideMark/>
          </w:tcPr>
          <w:p w14:paraId="5285570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183F6FA1" w14:textId="77777777" w:rsidTr="0076290B">
        <w:trPr>
          <w:cantSplit/>
          <w:trHeight w:val="57"/>
        </w:trPr>
        <w:tc>
          <w:tcPr>
            <w:tcW w:w="4815" w:type="dxa"/>
            <w:hideMark/>
          </w:tcPr>
          <w:p w14:paraId="48631DB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Commonwealth Department of Education, Skills and Employment </w:t>
            </w:r>
          </w:p>
        </w:tc>
        <w:tc>
          <w:tcPr>
            <w:tcW w:w="4961" w:type="dxa"/>
            <w:hideMark/>
          </w:tcPr>
          <w:p w14:paraId="1D77CEA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6B26FC52" w14:textId="77777777" w:rsidTr="0076290B">
        <w:trPr>
          <w:cantSplit/>
          <w:trHeight w:val="57"/>
        </w:trPr>
        <w:tc>
          <w:tcPr>
            <w:tcW w:w="4815" w:type="dxa"/>
            <w:hideMark/>
          </w:tcPr>
          <w:p w14:paraId="54AA253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CVGT </w:t>
            </w:r>
          </w:p>
        </w:tc>
        <w:tc>
          <w:tcPr>
            <w:tcW w:w="4961" w:type="dxa"/>
            <w:hideMark/>
          </w:tcPr>
          <w:p w14:paraId="1E63866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653448B1" w14:textId="77777777" w:rsidTr="0076290B">
        <w:trPr>
          <w:cantSplit/>
          <w:trHeight w:val="57"/>
        </w:trPr>
        <w:tc>
          <w:tcPr>
            <w:tcW w:w="4815" w:type="dxa"/>
            <w:hideMark/>
          </w:tcPr>
          <w:p w14:paraId="51AAC1C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Education TAS </w:t>
            </w:r>
          </w:p>
        </w:tc>
        <w:tc>
          <w:tcPr>
            <w:tcW w:w="4961" w:type="dxa"/>
            <w:hideMark/>
          </w:tcPr>
          <w:p w14:paraId="1ED825F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0914DFC9" w14:textId="77777777" w:rsidTr="0076290B">
        <w:trPr>
          <w:cantSplit/>
          <w:trHeight w:val="57"/>
        </w:trPr>
        <w:tc>
          <w:tcPr>
            <w:tcW w:w="4815" w:type="dxa"/>
            <w:hideMark/>
          </w:tcPr>
          <w:p w14:paraId="21D5ACB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Health </w:t>
            </w:r>
          </w:p>
        </w:tc>
        <w:tc>
          <w:tcPr>
            <w:tcW w:w="4961" w:type="dxa"/>
            <w:hideMark/>
          </w:tcPr>
          <w:p w14:paraId="1D4F5FA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2F6CF8AE" w14:textId="77777777" w:rsidTr="0076290B">
        <w:trPr>
          <w:cantSplit/>
          <w:trHeight w:val="57"/>
        </w:trPr>
        <w:tc>
          <w:tcPr>
            <w:tcW w:w="4815" w:type="dxa"/>
            <w:hideMark/>
          </w:tcPr>
          <w:p w14:paraId="00D9E74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Keen Partners</w:t>
            </w:r>
          </w:p>
        </w:tc>
        <w:tc>
          <w:tcPr>
            <w:tcW w:w="4961" w:type="dxa"/>
            <w:hideMark/>
          </w:tcPr>
          <w:p w14:paraId="42897C2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69E319AD" w14:textId="77777777" w:rsidTr="0076290B">
        <w:trPr>
          <w:cantSplit/>
          <w:trHeight w:val="57"/>
        </w:trPr>
        <w:tc>
          <w:tcPr>
            <w:tcW w:w="4815" w:type="dxa"/>
            <w:hideMark/>
          </w:tcPr>
          <w:p w14:paraId="028CEA9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Keystone Tasmania</w:t>
            </w:r>
          </w:p>
        </w:tc>
        <w:tc>
          <w:tcPr>
            <w:tcW w:w="4961" w:type="dxa"/>
            <w:hideMark/>
          </w:tcPr>
          <w:p w14:paraId="7310E30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5D2A5264" w14:textId="77777777" w:rsidTr="0076290B">
        <w:trPr>
          <w:cantSplit/>
          <w:trHeight w:val="57"/>
        </w:trPr>
        <w:tc>
          <w:tcPr>
            <w:tcW w:w="4815" w:type="dxa"/>
            <w:hideMark/>
          </w:tcPr>
          <w:p w14:paraId="485CFC5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 Path </w:t>
            </w:r>
          </w:p>
        </w:tc>
        <w:tc>
          <w:tcPr>
            <w:tcW w:w="4961" w:type="dxa"/>
            <w:hideMark/>
          </w:tcPr>
          <w:p w14:paraId="324A083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5C728A26" w14:textId="77777777" w:rsidTr="0076290B">
        <w:trPr>
          <w:cantSplit/>
          <w:trHeight w:val="57"/>
        </w:trPr>
        <w:tc>
          <w:tcPr>
            <w:tcW w:w="4815" w:type="dxa"/>
            <w:hideMark/>
          </w:tcPr>
          <w:p w14:paraId="3BA79E7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Mission Australia</w:t>
            </w:r>
          </w:p>
        </w:tc>
        <w:tc>
          <w:tcPr>
            <w:tcW w:w="4961" w:type="dxa"/>
            <w:hideMark/>
          </w:tcPr>
          <w:p w14:paraId="2876464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7834CDF6" w14:textId="77777777" w:rsidTr="0076290B">
        <w:trPr>
          <w:cantSplit/>
          <w:trHeight w:val="57"/>
        </w:trPr>
        <w:tc>
          <w:tcPr>
            <w:tcW w:w="4815" w:type="dxa"/>
            <w:hideMark/>
          </w:tcPr>
          <w:p w14:paraId="312ABFC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Switch Tasmania </w:t>
            </w:r>
          </w:p>
        </w:tc>
        <w:tc>
          <w:tcPr>
            <w:tcW w:w="4961" w:type="dxa"/>
            <w:hideMark/>
          </w:tcPr>
          <w:p w14:paraId="500C055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153AE1DD" w14:textId="77777777" w:rsidTr="0076290B">
        <w:trPr>
          <w:cantSplit/>
          <w:trHeight w:val="57"/>
        </w:trPr>
        <w:tc>
          <w:tcPr>
            <w:tcW w:w="4815" w:type="dxa"/>
            <w:hideMark/>
          </w:tcPr>
          <w:p w14:paraId="1CCE58E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TACINC</w:t>
            </w:r>
          </w:p>
        </w:tc>
        <w:tc>
          <w:tcPr>
            <w:tcW w:w="4961" w:type="dxa"/>
            <w:hideMark/>
          </w:tcPr>
          <w:p w14:paraId="33350CD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4AD51B02" w14:textId="77777777" w:rsidTr="0076290B">
        <w:trPr>
          <w:cantSplit/>
          <w:trHeight w:val="57"/>
        </w:trPr>
        <w:tc>
          <w:tcPr>
            <w:tcW w:w="4815" w:type="dxa"/>
            <w:hideMark/>
          </w:tcPr>
          <w:p w14:paraId="0EF7868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Tasmanian Automobile Chamber of Commerce</w:t>
            </w:r>
          </w:p>
        </w:tc>
        <w:tc>
          <w:tcPr>
            <w:tcW w:w="4961" w:type="dxa"/>
            <w:hideMark/>
          </w:tcPr>
          <w:p w14:paraId="48F06EB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74FB93E5" w14:textId="77777777" w:rsidTr="0076290B">
        <w:trPr>
          <w:cantSplit/>
          <w:trHeight w:val="57"/>
        </w:trPr>
        <w:tc>
          <w:tcPr>
            <w:tcW w:w="4815" w:type="dxa"/>
            <w:hideMark/>
          </w:tcPr>
          <w:p w14:paraId="6C79E71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Tasmanian Building Group Apprenticeship Scheme</w:t>
            </w:r>
          </w:p>
        </w:tc>
        <w:tc>
          <w:tcPr>
            <w:tcW w:w="4961" w:type="dxa"/>
            <w:hideMark/>
          </w:tcPr>
          <w:p w14:paraId="1BA3C64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025CA795" w14:textId="77777777" w:rsidTr="0076290B">
        <w:trPr>
          <w:cantSplit/>
          <w:trHeight w:val="57"/>
        </w:trPr>
        <w:tc>
          <w:tcPr>
            <w:tcW w:w="4815" w:type="dxa"/>
            <w:hideMark/>
          </w:tcPr>
          <w:p w14:paraId="7265B82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Tasmanian Department of Communities, Office of Aboriginal Affairs</w:t>
            </w:r>
          </w:p>
        </w:tc>
        <w:tc>
          <w:tcPr>
            <w:tcW w:w="4961" w:type="dxa"/>
            <w:hideMark/>
          </w:tcPr>
          <w:p w14:paraId="43572CC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1CB174FF" w14:textId="77777777" w:rsidTr="0076290B">
        <w:trPr>
          <w:cantSplit/>
          <w:trHeight w:val="57"/>
        </w:trPr>
        <w:tc>
          <w:tcPr>
            <w:tcW w:w="4815" w:type="dxa"/>
            <w:hideMark/>
          </w:tcPr>
          <w:p w14:paraId="3795ACD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TasWater </w:t>
            </w:r>
          </w:p>
        </w:tc>
        <w:tc>
          <w:tcPr>
            <w:tcW w:w="4961" w:type="dxa"/>
            <w:hideMark/>
          </w:tcPr>
          <w:p w14:paraId="04145FF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303830F5" w14:textId="77777777" w:rsidTr="0076290B">
        <w:trPr>
          <w:cantSplit/>
          <w:trHeight w:val="57"/>
        </w:trPr>
        <w:tc>
          <w:tcPr>
            <w:tcW w:w="4815" w:type="dxa"/>
            <w:hideMark/>
          </w:tcPr>
          <w:p w14:paraId="5EE2294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Workskills Incorporated</w:t>
            </w:r>
          </w:p>
        </w:tc>
        <w:tc>
          <w:tcPr>
            <w:tcW w:w="4961" w:type="dxa"/>
            <w:hideMark/>
          </w:tcPr>
          <w:p w14:paraId="2557B14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Hobart </w:t>
            </w:r>
          </w:p>
        </w:tc>
      </w:tr>
      <w:tr w:rsidR="0093006A" w:rsidRPr="0093006A" w14:paraId="54B7310A" w14:textId="77777777" w:rsidTr="0076290B">
        <w:trPr>
          <w:cantSplit/>
          <w:trHeight w:val="57"/>
        </w:trPr>
        <w:tc>
          <w:tcPr>
            <w:tcW w:w="4815" w:type="dxa"/>
            <w:hideMark/>
          </w:tcPr>
          <w:p w14:paraId="76BAE3C5" w14:textId="147DCC8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100+ Jobs MG Corp</w:t>
            </w:r>
          </w:p>
        </w:tc>
        <w:tc>
          <w:tcPr>
            <w:tcW w:w="4961" w:type="dxa"/>
            <w:hideMark/>
          </w:tcPr>
          <w:p w14:paraId="7AC0E25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Kununurra </w:t>
            </w:r>
          </w:p>
        </w:tc>
      </w:tr>
      <w:tr w:rsidR="0093006A" w:rsidRPr="0093006A" w14:paraId="41CBFF92" w14:textId="77777777" w:rsidTr="0076290B">
        <w:trPr>
          <w:cantSplit/>
          <w:trHeight w:val="57"/>
        </w:trPr>
        <w:tc>
          <w:tcPr>
            <w:tcW w:w="4815" w:type="dxa"/>
            <w:hideMark/>
          </w:tcPr>
          <w:p w14:paraId="12E130F7" w14:textId="391CBE6C"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KGT</w:t>
            </w:r>
          </w:p>
        </w:tc>
        <w:tc>
          <w:tcPr>
            <w:tcW w:w="4961" w:type="dxa"/>
            <w:hideMark/>
          </w:tcPr>
          <w:p w14:paraId="64202F8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Kununurra </w:t>
            </w:r>
          </w:p>
        </w:tc>
      </w:tr>
      <w:tr w:rsidR="0093006A" w:rsidRPr="0093006A" w14:paraId="273805ED" w14:textId="77777777" w:rsidTr="0076290B">
        <w:trPr>
          <w:cantSplit/>
          <w:trHeight w:val="57"/>
        </w:trPr>
        <w:tc>
          <w:tcPr>
            <w:tcW w:w="4815" w:type="dxa"/>
            <w:hideMark/>
          </w:tcPr>
          <w:p w14:paraId="4A18605A" w14:textId="1EC20B7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SNIQE (?) (WA Gov)</w:t>
            </w:r>
          </w:p>
        </w:tc>
        <w:tc>
          <w:tcPr>
            <w:tcW w:w="4961" w:type="dxa"/>
            <w:hideMark/>
          </w:tcPr>
          <w:p w14:paraId="24352E2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Kununurra </w:t>
            </w:r>
          </w:p>
        </w:tc>
      </w:tr>
      <w:tr w:rsidR="0093006A" w:rsidRPr="0093006A" w14:paraId="1FF8BA38" w14:textId="77777777" w:rsidTr="0076290B">
        <w:trPr>
          <w:cantSplit/>
          <w:trHeight w:val="57"/>
        </w:trPr>
        <w:tc>
          <w:tcPr>
            <w:tcW w:w="4815" w:type="dxa"/>
            <w:hideMark/>
          </w:tcPr>
          <w:p w14:paraId="2B482FB0" w14:textId="153F23C9"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VET, Careers Workplace (SMC)</w:t>
            </w:r>
          </w:p>
        </w:tc>
        <w:tc>
          <w:tcPr>
            <w:tcW w:w="4961" w:type="dxa"/>
            <w:hideMark/>
          </w:tcPr>
          <w:p w14:paraId="0B5A3D9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Kununurra </w:t>
            </w:r>
          </w:p>
        </w:tc>
      </w:tr>
      <w:tr w:rsidR="0093006A" w:rsidRPr="0093006A" w14:paraId="1CC64642" w14:textId="77777777" w:rsidTr="0076290B">
        <w:trPr>
          <w:cantSplit/>
          <w:trHeight w:val="57"/>
        </w:trPr>
        <w:tc>
          <w:tcPr>
            <w:tcW w:w="4815" w:type="dxa"/>
            <w:hideMark/>
          </w:tcPr>
          <w:p w14:paraId="240CC85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KWAC</w:t>
            </w:r>
          </w:p>
        </w:tc>
        <w:tc>
          <w:tcPr>
            <w:tcW w:w="4961" w:type="dxa"/>
            <w:hideMark/>
          </w:tcPr>
          <w:p w14:paraId="196D9A5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Kununurra </w:t>
            </w:r>
          </w:p>
        </w:tc>
      </w:tr>
      <w:tr w:rsidR="0093006A" w:rsidRPr="0093006A" w14:paraId="631BC37D" w14:textId="77777777" w:rsidTr="0076290B">
        <w:trPr>
          <w:cantSplit/>
          <w:trHeight w:val="57"/>
        </w:trPr>
        <w:tc>
          <w:tcPr>
            <w:tcW w:w="4815" w:type="dxa"/>
            <w:hideMark/>
          </w:tcPr>
          <w:p w14:paraId="7D821F39" w14:textId="324C8F0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East Kimberley College</w:t>
            </w:r>
          </w:p>
        </w:tc>
        <w:tc>
          <w:tcPr>
            <w:tcW w:w="4961" w:type="dxa"/>
            <w:hideMark/>
          </w:tcPr>
          <w:p w14:paraId="03F4D85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Kununurra </w:t>
            </w:r>
          </w:p>
        </w:tc>
      </w:tr>
      <w:tr w:rsidR="0093006A" w:rsidRPr="0093006A" w14:paraId="0396B99F" w14:textId="77777777" w:rsidTr="0076290B">
        <w:trPr>
          <w:cantSplit/>
          <w:trHeight w:val="57"/>
        </w:trPr>
        <w:tc>
          <w:tcPr>
            <w:tcW w:w="4815" w:type="dxa"/>
            <w:hideMark/>
          </w:tcPr>
          <w:p w14:paraId="3B277C5C" w14:textId="3E18553D"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KGT</w:t>
            </w:r>
          </w:p>
        </w:tc>
        <w:tc>
          <w:tcPr>
            <w:tcW w:w="4961" w:type="dxa"/>
            <w:hideMark/>
          </w:tcPr>
          <w:p w14:paraId="74DAA91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Kununurra </w:t>
            </w:r>
          </w:p>
        </w:tc>
      </w:tr>
      <w:tr w:rsidR="0093006A" w:rsidRPr="0093006A" w14:paraId="35BC5D24" w14:textId="77777777" w:rsidTr="0076290B">
        <w:trPr>
          <w:cantSplit/>
          <w:trHeight w:val="57"/>
        </w:trPr>
        <w:tc>
          <w:tcPr>
            <w:tcW w:w="4815" w:type="dxa"/>
            <w:hideMark/>
          </w:tcPr>
          <w:p w14:paraId="485BB47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Waringarri Arts</w:t>
            </w:r>
          </w:p>
        </w:tc>
        <w:tc>
          <w:tcPr>
            <w:tcW w:w="4961" w:type="dxa"/>
            <w:hideMark/>
          </w:tcPr>
          <w:p w14:paraId="01264F4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Kununurra </w:t>
            </w:r>
          </w:p>
        </w:tc>
      </w:tr>
      <w:tr w:rsidR="0093006A" w:rsidRPr="0093006A" w14:paraId="3F28A36C" w14:textId="77777777" w:rsidTr="0076290B">
        <w:trPr>
          <w:cantSplit/>
          <w:trHeight w:val="57"/>
        </w:trPr>
        <w:tc>
          <w:tcPr>
            <w:tcW w:w="4815" w:type="dxa"/>
            <w:hideMark/>
          </w:tcPr>
          <w:p w14:paraId="164DFBB5" w14:textId="468AE07F"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Wunan </w:t>
            </w:r>
          </w:p>
        </w:tc>
        <w:tc>
          <w:tcPr>
            <w:tcW w:w="4961" w:type="dxa"/>
            <w:hideMark/>
          </w:tcPr>
          <w:p w14:paraId="48BE149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Kununurra </w:t>
            </w:r>
          </w:p>
        </w:tc>
      </w:tr>
      <w:tr w:rsidR="0093006A" w:rsidRPr="0093006A" w14:paraId="3B27FB45" w14:textId="77777777" w:rsidTr="0076290B">
        <w:trPr>
          <w:cantSplit/>
          <w:trHeight w:val="57"/>
        </w:trPr>
        <w:tc>
          <w:tcPr>
            <w:tcW w:w="4815" w:type="dxa"/>
            <w:hideMark/>
          </w:tcPr>
          <w:p w14:paraId="1512336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Axiom College</w:t>
            </w:r>
          </w:p>
        </w:tc>
        <w:tc>
          <w:tcPr>
            <w:tcW w:w="4961" w:type="dxa"/>
            <w:hideMark/>
          </w:tcPr>
          <w:p w14:paraId="764B206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5AB70F68" w14:textId="77777777" w:rsidTr="0076290B">
        <w:trPr>
          <w:cantSplit/>
          <w:trHeight w:val="57"/>
        </w:trPr>
        <w:tc>
          <w:tcPr>
            <w:tcW w:w="4815" w:type="dxa"/>
            <w:hideMark/>
          </w:tcPr>
          <w:p w14:paraId="07DF61B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Bowen Gumlu Growers Association </w:t>
            </w:r>
          </w:p>
        </w:tc>
        <w:tc>
          <w:tcPr>
            <w:tcW w:w="4961" w:type="dxa"/>
            <w:hideMark/>
          </w:tcPr>
          <w:p w14:paraId="1FB415D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12DC648B" w14:textId="77777777" w:rsidTr="0076290B">
        <w:trPr>
          <w:cantSplit/>
          <w:trHeight w:val="57"/>
        </w:trPr>
        <w:tc>
          <w:tcPr>
            <w:tcW w:w="4815" w:type="dxa"/>
            <w:hideMark/>
          </w:tcPr>
          <w:p w14:paraId="3BD6E00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CQUniversity</w:t>
            </w:r>
          </w:p>
        </w:tc>
        <w:tc>
          <w:tcPr>
            <w:tcW w:w="4961" w:type="dxa"/>
            <w:hideMark/>
          </w:tcPr>
          <w:p w14:paraId="3D5C23F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12CF607B" w14:textId="77777777" w:rsidTr="0076290B">
        <w:trPr>
          <w:cantSplit/>
          <w:trHeight w:val="57"/>
        </w:trPr>
        <w:tc>
          <w:tcPr>
            <w:tcW w:w="4815" w:type="dxa"/>
            <w:hideMark/>
          </w:tcPr>
          <w:p w14:paraId="2C09E99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Elton Services</w:t>
            </w:r>
          </w:p>
        </w:tc>
        <w:tc>
          <w:tcPr>
            <w:tcW w:w="4961" w:type="dxa"/>
            <w:hideMark/>
          </w:tcPr>
          <w:p w14:paraId="1353D99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14F90780" w14:textId="77777777" w:rsidTr="0076290B">
        <w:trPr>
          <w:cantSplit/>
          <w:trHeight w:val="57"/>
        </w:trPr>
        <w:tc>
          <w:tcPr>
            <w:tcW w:w="4815" w:type="dxa"/>
            <w:hideMark/>
          </w:tcPr>
          <w:p w14:paraId="38B5145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Glencore Coal Assets Australia</w:t>
            </w:r>
          </w:p>
        </w:tc>
        <w:tc>
          <w:tcPr>
            <w:tcW w:w="4961" w:type="dxa"/>
            <w:hideMark/>
          </w:tcPr>
          <w:p w14:paraId="15DB312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6474933A" w14:textId="77777777" w:rsidTr="0076290B">
        <w:trPr>
          <w:cantSplit/>
          <w:trHeight w:val="57"/>
        </w:trPr>
        <w:tc>
          <w:tcPr>
            <w:tcW w:w="4815" w:type="dxa"/>
            <w:hideMark/>
          </w:tcPr>
          <w:p w14:paraId="30A16FA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Global Product Search</w:t>
            </w:r>
          </w:p>
        </w:tc>
        <w:tc>
          <w:tcPr>
            <w:tcW w:w="4961" w:type="dxa"/>
            <w:hideMark/>
          </w:tcPr>
          <w:p w14:paraId="3C45FFD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2922D915" w14:textId="77777777" w:rsidTr="0076290B">
        <w:trPr>
          <w:cantSplit/>
          <w:trHeight w:val="57"/>
        </w:trPr>
        <w:tc>
          <w:tcPr>
            <w:tcW w:w="4815" w:type="dxa"/>
            <w:hideMark/>
          </w:tcPr>
          <w:p w14:paraId="6740F3C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Jangga Operations </w:t>
            </w:r>
          </w:p>
        </w:tc>
        <w:tc>
          <w:tcPr>
            <w:tcW w:w="4961" w:type="dxa"/>
            <w:hideMark/>
          </w:tcPr>
          <w:p w14:paraId="41D5261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4D7D8E5F" w14:textId="77777777" w:rsidTr="0076290B">
        <w:trPr>
          <w:cantSplit/>
          <w:trHeight w:val="57"/>
        </w:trPr>
        <w:tc>
          <w:tcPr>
            <w:tcW w:w="4815" w:type="dxa"/>
            <w:hideMark/>
          </w:tcPr>
          <w:p w14:paraId="38EED23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&amp; Region Aboriginal &amp; Islander Development Association </w:t>
            </w:r>
          </w:p>
        </w:tc>
        <w:tc>
          <w:tcPr>
            <w:tcW w:w="4961" w:type="dxa"/>
            <w:hideMark/>
          </w:tcPr>
          <w:p w14:paraId="3D03952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5C12F0E7" w14:textId="77777777" w:rsidTr="0076290B">
        <w:trPr>
          <w:cantSplit/>
          <w:trHeight w:val="57"/>
        </w:trPr>
        <w:tc>
          <w:tcPr>
            <w:tcW w:w="4815" w:type="dxa"/>
            <w:hideMark/>
          </w:tcPr>
          <w:p w14:paraId="64CBBBD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Mackay Regional Council</w:t>
            </w:r>
          </w:p>
        </w:tc>
        <w:tc>
          <w:tcPr>
            <w:tcW w:w="4961" w:type="dxa"/>
            <w:hideMark/>
          </w:tcPr>
          <w:p w14:paraId="76F2CF9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4A58B5F5" w14:textId="77777777" w:rsidTr="0076290B">
        <w:trPr>
          <w:cantSplit/>
          <w:trHeight w:val="57"/>
        </w:trPr>
        <w:tc>
          <w:tcPr>
            <w:tcW w:w="4815" w:type="dxa"/>
            <w:hideMark/>
          </w:tcPr>
          <w:p w14:paraId="5DB0C35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Max Employment </w:t>
            </w:r>
          </w:p>
        </w:tc>
        <w:tc>
          <w:tcPr>
            <w:tcW w:w="4961" w:type="dxa"/>
            <w:hideMark/>
          </w:tcPr>
          <w:p w14:paraId="61425F8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2FF5E92D" w14:textId="77777777" w:rsidTr="0076290B">
        <w:trPr>
          <w:cantSplit/>
          <w:trHeight w:val="57"/>
        </w:trPr>
        <w:tc>
          <w:tcPr>
            <w:tcW w:w="4815" w:type="dxa"/>
            <w:hideMark/>
          </w:tcPr>
          <w:p w14:paraId="48495D0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Queensland Agriculture Workforce Network </w:t>
            </w:r>
          </w:p>
        </w:tc>
        <w:tc>
          <w:tcPr>
            <w:tcW w:w="4961" w:type="dxa"/>
            <w:hideMark/>
          </w:tcPr>
          <w:p w14:paraId="4181E9D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3DAC4B09" w14:textId="77777777" w:rsidTr="0076290B">
        <w:trPr>
          <w:cantSplit/>
          <w:trHeight w:val="57"/>
        </w:trPr>
        <w:tc>
          <w:tcPr>
            <w:tcW w:w="4815" w:type="dxa"/>
            <w:hideMark/>
          </w:tcPr>
          <w:p w14:paraId="07FF430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Queensland Department of Aboriginal &amp; Torres Strait Islander Partnerships</w:t>
            </w:r>
          </w:p>
        </w:tc>
        <w:tc>
          <w:tcPr>
            <w:tcW w:w="4961" w:type="dxa"/>
            <w:hideMark/>
          </w:tcPr>
          <w:p w14:paraId="66BB620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0B5F3D26" w14:textId="77777777" w:rsidTr="0076290B">
        <w:trPr>
          <w:cantSplit/>
          <w:trHeight w:val="57"/>
        </w:trPr>
        <w:tc>
          <w:tcPr>
            <w:tcW w:w="4815" w:type="dxa"/>
            <w:hideMark/>
          </w:tcPr>
          <w:p w14:paraId="15C75D5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Yuwi Aboriginal Corporation </w:t>
            </w:r>
          </w:p>
        </w:tc>
        <w:tc>
          <w:tcPr>
            <w:tcW w:w="4961" w:type="dxa"/>
            <w:hideMark/>
          </w:tcPr>
          <w:p w14:paraId="1C5531A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Mackay </w:t>
            </w:r>
          </w:p>
        </w:tc>
      </w:tr>
      <w:tr w:rsidR="0093006A" w:rsidRPr="0093006A" w14:paraId="0A3EEBEE" w14:textId="77777777" w:rsidTr="0076290B">
        <w:trPr>
          <w:cantSplit/>
          <w:trHeight w:val="57"/>
        </w:trPr>
        <w:tc>
          <w:tcPr>
            <w:tcW w:w="4815" w:type="dxa"/>
            <w:hideMark/>
          </w:tcPr>
          <w:p w14:paraId="441C024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BAC Enterprise</w:t>
            </w:r>
          </w:p>
        </w:tc>
        <w:tc>
          <w:tcPr>
            <w:tcW w:w="4961" w:type="dxa"/>
            <w:hideMark/>
          </w:tcPr>
          <w:p w14:paraId="018FF1E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Maningrida </w:t>
            </w:r>
          </w:p>
        </w:tc>
      </w:tr>
      <w:tr w:rsidR="0093006A" w:rsidRPr="0093006A" w14:paraId="497DE792" w14:textId="77777777" w:rsidTr="0076290B">
        <w:trPr>
          <w:cantSplit/>
          <w:trHeight w:val="57"/>
        </w:trPr>
        <w:tc>
          <w:tcPr>
            <w:tcW w:w="4815" w:type="dxa"/>
            <w:hideMark/>
          </w:tcPr>
          <w:p w14:paraId="2AEDBCDD" w14:textId="58D35216"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Gundjeimmi</w:t>
            </w:r>
          </w:p>
        </w:tc>
        <w:tc>
          <w:tcPr>
            <w:tcW w:w="4961" w:type="dxa"/>
            <w:hideMark/>
          </w:tcPr>
          <w:p w14:paraId="7D73407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Maningrida </w:t>
            </w:r>
          </w:p>
        </w:tc>
      </w:tr>
      <w:tr w:rsidR="0093006A" w:rsidRPr="0093006A" w14:paraId="7582345E" w14:textId="77777777" w:rsidTr="0076290B">
        <w:trPr>
          <w:cantSplit/>
          <w:trHeight w:val="57"/>
        </w:trPr>
        <w:tc>
          <w:tcPr>
            <w:tcW w:w="4815" w:type="dxa"/>
            <w:hideMark/>
          </w:tcPr>
          <w:p w14:paraId="7E299A56" w14:textId="3E00E9B0"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Malala</w:t>
            </w:r>
          </w:p>
        </w:tc>
        <w:tc>
          <w:tcPr>
            <w:tcW w:w="4961" w:type="dxa"/>
            <w:hideMark/>
          </w:tcPr>
          <w:p w14:paraId="1D12CE5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Maningrida </w:t>
            </w:r>
          </w:p>
        </w:tc>
      </w:tr>
      <w:tr w:rsidR="0093006A" w:rsidRPr="0093006A" w14:paraId="122B4275" w14:textId="77777777" w:rsidTr="0076290B">
        <w:trPr>
          <w:cantSplit/>
          <w:trHeight w:val="57"/>
        </w:trPr>
        <w:tc>
          <w:tcPr>
            <w:tcW w:w="4815" w:type="dxa"/>
            <w:hideMark/>
          </w:tcPr>
          <w:p w14:paraId="1F2001C5" w14:textId="4411DAA8"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Gundjeihmi</w:t>
            </w:r>
          </w:p>
        </w:tc>
        <w:tc>
          <w:tcPr>
            <w:tcW w:w="4961" w:type="dxa"/>
            <w:hideMark/>
          </w:tcPr>
          <w:p w14:paraId="29F0B3B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Maningrida </w:t>
            </w:r>
          </w:p>
        </w:tc>
      </w:tr>
      <w:tr w:rsidR="0093006A" w:rsidRPr="0093006A" w14:paraId="39CA60CD" w14:textId="77777777" w:rsidTr="0076290B">
        <w:trPr>
          <w:cantSplit/>
          <w:trHeight w:val="57"/>
        </w:trPr>
        <w:tc>
          <w:tcPr>
            <w:tcW w:w="4815" w:type="dxa"/>
            <w:hideMark/>
          </w:tcPr>
          <w:p w14:paraId="20A14737" w14:textId="61ADA222"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JKL</w:t>
            </w:r>
          </w:p>
        </w:tc>
        <w:tc>
          <w:tcPr>
            <w:tcW w:w="4961" w:type="dxa"/>
            <w:hideMark/>
          </w:tcPr>
          <w:p w14:paraId="6635D21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Maningrida </w:t>
            </w:r>
          </w:p>
        </w:tc>
      </w:tr>
      <w:tr w:rsidR="0093006A" w:rsidRPr="0093006A" w14:paraId="6DB95EDB" w14:textId="77777777" w:rsidTr="0076290B">
        <w:trPr>
          <w:cantSplit/>
          <w:trHeight w:val="57"/>
        </w:trPr>
        <w:tc>
          <w:tcPr>
            <w:tcW w:w="4815" w:type="dxa"/>
            <w:hideMark/>
          </w:tcPr>
          <w:p w14:paraId="23F070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RD Chief Minister</w:t>
            </w:r>
          </w:p>
        </w:tc>
        <w:tc>
          <w:tcPr>
            <w:tcW w:w="4961" w:type="dxa"/>
            <w:hideMark/>
          </w:tcPr>
          <w:p w14:paraId="5A0ADC7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Maningrida </w:t>
            </w:r>
          </w:p>
        </w:tc>
      </w:tr>
      <w:tr w:rsidR="0093006A" w:rsidRPr="0093006A" w14:paraId="05B5D4BB" w14:textId="77777777" w:rsidTr="0076290B">
        <w:trPr>
          <w:cantSplit/>
          <w:trHeight w:val="57"/>
        </w:trPr>
        <w:tc>
          <w:tcPr>
            <w:tcW w:w="4815" w:type="dxa"/>
            <w:hideMark/>
          </w:tcPr>
          <w:p w14:paraId="7B78E14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Services Australia </w:t>
            </w:r>
          </w:p>
        </w:tc>
        <w:tc>
          <w:tcPr>
            <w:tcW w:w="4961" w:type="dxa"/>
            <w:hideMark/>
          </w:tcPr>
          <w:p w14:paraId="67676C6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Maningrida </w:t>
            </w:r>
          </w:p>
        </w:tc>
      </w:tr>
      <w:tr w:rsidR="0093006A" w:rsidRPr="0093006A" w14:paraId="1DED482D" w14:textId="77777777" w:rsidTr="0076290B">
        <w:trPr>
          <w:cantSplit/>
          <w:trHeight w:val="57"/>
        </w:trPr>
        <w:tc>
          <w:tcPr>
            <w:tcW w:w="4815" w:type="dxa"/>
            <w:hideMark/>
          </w:tcPr>
          <w:p w14:paraId="2BAEB757" w14:textId="5D31D27C"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NAC NRM Aboriginal Ranger Program, Geraldton. </w:t>
            </w:r>
          </w:p>
        </w:tc>
        <w:tc>
          <w:tcPr>
            <w:tcW w:w="4961" w:type="dxa"/>
            <w:hideMark/>
          </w:tcPr>
          <w:p w14:paraId="68BC614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Midwest </w:t>
            </w:r>
          </w:p>
        </w:tc>
      </w:tr>
      <w:tr w:rsidR="0093006A" w:rsidRPr="0093006A" w14:paraId="1F3D3FCB" w14:textId="77777777" w:rsidTr="0076290B">
        <w:trPr>
          <w:cantSplit/>
          <w:trHeight w:val="57"/>
        </w:trPr>
        <w:tc>
          <w:tcPr>
            <w:tcW w:w="4815" w:type="dxa"/>
            <w:hideMark/>
          </w:tcPr>
          <w:p w14:paraId="32F6963A" w14:textId="5B64BA9C"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Yumagi Corporation Geraldton</w:t>
            </w:r>
          </w:p>
        </w:tc>
        <w:tc>
          <w:tcPr>
            <w:tcW w:w="4961" w:type="dxa"/>
            <w:hideMark/>
          </w:tcPr>
          <w:p w14:paraId="38EE0B8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Midwest </w:t>
            </w:r>
          </w:p>
        </w:tc>
      </w:tr>
      <w:tr w:rsidR="0093006A" w:rsidRPr="0093006A" w14:paraId="31DCC5D6" w14:textId="77777777" w:rsidTr="0076290B">
        <w:trPr>
          <w:cantSplit/>
          <w:trHeight w:val="57"/>
        </w:trPr>
        <w:tc>
          <w:tcPr>
            <w:tcW w:w="4815" w:type="dxa"/>
            <w:hideMark/>
          </w:tcPr>
          <w:p w14:paraId="0BC50AFE" w14:textId="4257CB2A" w:rsidR="000457D1" w:rsidRPr="0093006A" w:rsidRDefault="000457D1" w:rsidP="00825713">
            <w:pPr>
              <w:rPr>
                <w:rFonts w:cstheme="minorHAnsi"/>
                <w:color w:val="595959" w:themeColor="text1" w:themeTint="A6"/>
                <w:sz w:val="20"/>
                <w:szCs w:val="20"/>
                <w:lang w:val="fr-FR"/>
              </w:rPr>
            </w:pPr>
            <w:r w:rsidRPr="0093006A">
              <w:rPr>
                <w:rFonts w:cstheme="minorHAnsi"/>
                <w:color w:val="595959" w:themeColor="text1" w:themeTint="A6"/>
                <w:sz w:val="20"/>
                <w:szCs w:val="20"/>
                <w:lang w:val="fr-FR"/>
              </w:rPr>
              <w:t xml:space="preserve">APM </w:t>
            </w:r>
          </w:p>
        </w:tc>
        <w:tc>
          <w:tcPr>
            <w:tcW w:w="4961" w:type="dxa"/>
            <w:hideMark/>
          </w:tcPr>
          <w:p w14:paraId="2143674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Midwest </w:t>
            </w:r>
          </w:p>
        </w:tc>
      </w:tr>
      <w:tr w:rsidR="0093006A" w:rsidRPr="0093006A" w14:paraId="02DB73D5" w14:textId="77777777" w:rsidTr="0076290B">
        <w:trPr>
          <w:cantSplit/>
          <w:trHeight w:val="57"/>
        </w:trPr>
        <w:tc>
          <w:tcPr>
            <w:tcW w:w="4815" w:type="dxa"/>
            <w:hideMark/>
          </w:tcPr>
          <w:p w14:paraId="7D9E766F" w14:textId="3D19D19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Real Futures, CDP Program, Midwest </w:t>
            </w:r>
          </w:p>
        </w:tc>
        <w:tc>
          <w:tcPr>
            <w:tcW w:w="4961" w:type="dxa"/>
            <w:hideMark/>
          </w:tcPr>
          <w:p w14:paraId="43327C6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Midwest </w:t>
            </w:r>
          </w:p>
        </w:tc>
      </w:tr>
      <w:tr w:rsidR="0093006A" w:rsidRPr="0093006A" w14:paraId="5E175F9F" w14:textId="77777777" w:rsidTr="0076290B">
        <w:trPr>
          <w:cantSplit/>
          <w:trHeight w:val="57"/>
        </w:trPr>
        <w:tc>
          <w:tcPr>
            <w:tcW w:w="4815" w:type="dxa"/>
            <w:hideMark/>
          </w:tcPr>
          <w:p w14:paraId="37F761E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Yulala </w:t>
            </w:r>
          </w:p>
        </w:tc>
        <w:tc>
          <w:tcPr>
            <w:tcW w:w="4961" w:type="dxa"/>
            <w:hideMark/>
          </w:tcPr>
          <w:p w14:paraId="2872FB1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Midwest </w:t>
            </w:r>
          </w:p>
        </w:tc>
      </w:tr>
      <w:tr w:rsidR="0093006A" w:rsidRPr="0093006A" w14:paraId="296468F6" w14:textId="77777777" w:rsidTr="0076290B">
        <w:trPr>
          <w:cantSplit/>
          <w:trHeight w:val="57"/>
        </w:trPr>
        <w:tc>
          <w:tcPr>
            <w:tcW w:w="4815" w:type="dxa"/>
            <w:hideMark/>
          </w:tcPr>
          <w:p w14:paraId="41BC2E6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ATSIP</w:t>
            </w:r>
          </w:p>
        </w:tc>
        <w:tc>
          <w:tcPr>
            <w:tcW w:w="4961" w:type="dxa"/>
            <w:hideMark/>
          </w:tcPr>
          <w:p w14:paraId="6B4DF95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5B5C7749" w14:textId="77777777" w:rsidTr="0076290B">
        <w:trPr>
          <w:cantSplit/>
          <w:trHeight w:val="57"/>
        </w:trPr>
        <w:tc>
          <w:tcPr>
            <w:tcW w:w="4815" w:type="dxa"/>
            <w:hideMark/>
          </w:tcPr>
          <w:p w14:paraId="0C1B68B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AWX</w:t>
            </w:r>
          </w:p>
        </w:tc>
        <w:tc>
          <w:tcPr>
            <w:tcW w:w="4961" w:type="dxa"/>
            <w:hideMark/>
          </w:tcPr>
          <w:p w14:paraId="128D8CB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576B3D23" w14:textId="77777777" w:rsidTr="0076290B">
        <w:trPr>
          <w:cantSplit/>
          <w:trHeight w:val="57"/>
        </w:trPr>
        <w:tc>
          <w:tcPr>
            <w:tcW w:w="4815" w:type="dxa"/>
            <w:hideMark/>
          </w:tcPr>
          <w:p w14:paraId="055922C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DESBT</w:t>
            </w:r>
          </w:p>
        </w:tc>
        <w:tc>
          <w:tcPr>
            <w:tcW w:w="4961" w:type="dxa"/>
            <w:hideMark/>
          </w:tcPr>
          <w:p w14:paraId="4799194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563A3168" w14:textId="77777777" w:rsidTr="0076290B">
        <w:trPr>
          <w:cantSplit/>
          <w:trHeight w:val="57"/>
        </w:trPr>
        <w:tc>
          <w:tcPr>
            <w:tcW w:w="4815" w:type="dxa"/>
            <w:hideMark/>
          </w:tcPr>
          <w:p w14:paraId="4815561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DSDILGP</w:t>
            </w:r>
          </w:p>
        </w:tc>
        <w:tc>
          <w:tcPr>
            <w:tcW w:w="4961" w:type="dxa"/>
            <w:hideMark/>
          </w:tcPr>
          <w:p w14:paraId="759452D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3D6BF3B9" w14:textId="77777777" w:rsidTr="0076290B">
        <w:trPr>
          <w:cantSplit/>
          <w:trHeight w:val="57"/>
        </w:trPr>
        <w:tc>
          <w:tcPr>
            <w:tcW w:w="4815" w:type="dxa"/>
            <w:hideMark/>
          </w:tcPr>
          <w:p w14:paraId="11864B0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Glencore Mines</w:t>
            </w:r>
          </w:p>
        </w:tc>
        <w:tc>
          <w:tcPr>
            <w:tcW w:w="4961" w:type="dxa"/>
            <w:hideMark/>
          </w:tcPr>
          <w:p w14:paraId="67F8589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0AEB0652" w14:textId="77777777" w:rsidTr="0076290B">
        <w:trPr>
          <w:cantSplit/>
          <w:trHeight w:val="57"/>
        </w:trPr>
        <w:tc>
          <w:tcPr>
            <w:tcW w:w="4815" w:type="dxa"/>
            <w:hideMark/>
          </w:tcPr>
          <w:p w14:paraId="7171C9A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Kalkadoon Community </w:t>
            </w:r>
          </w:p>
        </w:tc>
        <w:tc>
          <w:tcPr>
            <w:tcW w:w="4961" w:type="dxa"/>
            <w:hideMark/>
          </w:tcPr>
          <w:p w14:paraId="35514C5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53DCB5E1" w14:textId="77777777" w:rsidTr="0076290B">
        <w:trPr>
          <w:cantSplit/>
          <w:trHeight w:val="57"/>
        </w:trPr>
        <w:tc>
          <w:tcPr>
            <w:tcW w:w="4815" w:type="dxa"/>
            <w:hideMark/>
          </w:tcPr>
          <w:p w14:paraId="755E214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Metz</w:t>
            </w:r>
          </w:p>
        </w:tc>
        <w:tc>
          <w:tcPr>
            <w:tcW w:w="4961" w:type="dxa"/>
            <w:hideMark/>
          </w:tcPr>
          <w:p w14:paraId="3730529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3FB3809B" w14:textId="77777777" w:rsidTr="0076290B">
        <w:trPr>
          <w:cantSplit/>
          <w:trHeight w:val="57"/>
        </w:trPr>
        <w:tc>
          <w:tcPr>
            <w:tcW w:w="4815" w:type="dxa"/>
            <w:hideMark/>
          </w:tcPr>
          <w:p w14:paraId="553A68D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MMG</w:t>
            </w:r>
          </w:p>
        </w:tc>
        <w:tc>
          <w:tcPr>
            <w:tcW w:w="4961" w:type="dxa"/>
            <w:hideMark/>
          </w:tcPr>
          <w:p w14:paraId="3CD4830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4C3AB73C" w14:textId="77777777" w:rsidTr="0076290B">
        <w:trPr>
          <w:cantSplit/>
          <w:trHeight w:val="57"/>
        </w:trPr>
        <w:tc>
          <w:tcPr>
            <w:tcW w:w="4815" w:type="dxa"/>
            <w:hideMark/>
          </w:tcPr>
          <w:p w14:paraId="645984B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Mona Aboriginal Corporation </w:t>
            </w:r>
          </w:p>
        </w:tc>
        <w:tc>
          <w:tcPr>
            <w:tcW w:w="4961" w:type="dxa"/>
            <w:hideMark/>
          </w:tcPr>
          <w:p w14:paraId="5945221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22A02D76" w14:textId="77777777" w:rsidTr="0076290B">
        <w:trPr>
          <w:cantSplit/>
          <w:trHeight w:val="57"/>
        </w:trPr>
        <w:tc>
          <w:tcPr>
            <w:tcW w:w="4815" w:type="dxa"/>
            <w:hideMark/>
          </w:tcPr>
          <w:p w14:paraId="0394469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City Council </w:t>
            </w:r>
          </w:p>
        </w:tc>
        <w:tc>
          <w:tcPr>
            <w:tcW w:w="4961" w:type="dxa"/>
            <w:hideMark/>
          </w:tcPr>
          <w:p w14:paraId="6A643DB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1FD6161F" w14:textId="77777777" w:rsidTr="0076290B">
        <w:trPr>
          <w:cantSplit/>
          <w:trHeight w:val="57"/>
        </w:trPr>
        <w:tc>
          <w:tcPr>
            <w:tcW w:w="4815" w:type="dxa"/>
            <w:hideMark/>
          </w:tcPr>
          <w:p w14:paraId="75FCC02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Muyma/RGL</w:t>
            </w:r>
          </w:p>
        </w:tc>
        <w:tc>
          <w:tcPr>
            <w:tcW w:w="4961" w:type="dxa"/>
            <w:hideMark/>
          </w:tcPr>
          <w:p w14:paraId="7C63E85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6E29C9EE" w14:textId="77777777" w:rsidTr="0076290B">
        <w:trPr>
          <w:cantSplit/>
          <w:trHeight w:val="57"/>
        </w:trPr>
        <w:tc>
          <w:tcPr>
            <w:tcW w:w="4815" w:type="dxa"/>
            <w:hideMark/>
          </w:tcPr>
          <w:p w14:paraId="731B711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My Pathways</w:t>
            </w:r>
          </w:p>
        </w:tc>
        <w:tc>
          <w:tcPr>
            <w:tcW w:w="4961" w:type="dxa"/>
            <w:hideMark/>
          </w:tcPr>
          <w:p w14:paraId="7ECF34C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Mount Isa </w:t>
            </w:r>
          </w:p>
        </w:tc>
      </w:tr>
      <w:tr w:rsidR="0093006A" w:rsidRPr="0093006A" w14:paraId="7451F735" w14:textId="77777777" w:rsidTr="0076290B">
        <w:trPr>
          <w:cantSplit/>
          <w:trHeight w:val="57"/>
        </w:trPr>
        <w:tc>
          <w:tcPr>
            <w:tcW w:w="4815" w:type="dxa"/>
            <w:hideMark/>
          </w:tcPr>
          <w:p w14:paraId="54349C7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Accor</w:t>
            </w:r>
          </w:p>
        </w:tc>
        <w:tc>
          <w:tcPr>
            <w:tcW w:w="4961" w:type="dxa"/>
            <w:hideMark/>
          </w:tcPr>
          <w:p w14:paraId="0163FF9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34CAE8AA" w14:textId="77777777" w:rsidTr="0076290B">
        <w:trPr>
          <w:cantSplit/>
          <w:trHeight w:val="57"/>
        </w:trPr>
        <w:tc>
          <w:tcPr>
            <w:tcW w:w="4815" w:type="dxa"/>
            <w:hideMark/>
          </w:tcPr>
          <w:p w14:paraId="0785AFE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AI Group</w:t>
            </w:r>
          </w:p>
        </w:tc>
        <w:tc>
          <w:tcPr>
            <w:tcW w:w="4961" w:type="dxa"/>
            <w:hideMark/>
          </w:tcPr>
          <w:p w14:paraId="2EBA1BD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710AF535" w14:textId="77777777" w:rsidTr="0076290B">
        <w:trPr>
          <w:cantSplit/>
          <w:trHeight w:val="57"/>
        </w:trPr>
        <w:tc>
          <w:tcPr>
            <w:tcW w:w="4815" w:type="dxa"/>
            <w:hideMark/>
          </w:tcPr>
          <w:p w14:paraId="674C884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COSBOA</w:t>
            </w:r>
          </w:p>
        </w:tc>
        <w:tc>
          <w:tcPr>
            <w:tcW w:w="4961" w:type="dxa"/>
            <w:hideMark/>
          </w:tcPr>
          <w:p w14:paraId="7E146F9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53C4398C" w14:textId="77777777" w:rsidTr="0076290B">
        <w:trPr>
          <w:cantSplit/>
          <w:trHeight w:val="57"/>
        </w:trPr>
        <w:tc>
          <w:tcPr>
            <w:tcW w:w="4815" w:type="dxa"/>
            <w:hideMark/>
          </w:tcPr>
          <w:p w14:paraId="4C6DF95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CSU </w:t>
            </w:r>
          </w:p>
        </w:tc>
        <w:tc>
          <w:tcPr>
            <w:tcW w:w="4961" w:type="dxa"/>
            <w:hideMark/>
          </w:tcPr>
          <w:p w14:paraId="3203B85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691A3A15" w14:textId="77777777" w:rsidTr="0076290B">
        <w:trPr>
          <w:cantSplit/>
          <w:trHeight w:val="57"/>
        </w:trPr>
        <w:tc>
          <w:tcPr>
            <w:tcW w:w="4815" w:type="dxa"/>
            <w:hideMark/>
          </w:tcPr>
          <w:p w14:paraId="29E09C6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Ingersoll</w:t>
            </w:r>
          </w:p>
        </w:tc>
        <w:tc>
          <w:tcPr>
            <w:tcW w:w="4961" w:type="dxa"/>
            <w:hideMark/>
          </w:tcPr>
          <w:p w14:paraId="28DE095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45E23A54" w14:textId="77777777" w:rsidTr="0076290B">
        <w:trPr>
          <w:cantSplit/>
          <w:trHeight w:val="57"/>
        </w:trPr>
        <w:tc>
          <w:tcPr>
            <w:tcW w:w="4815" w:type="dxa"/>
            <w:hideMark/>
          </w:tcPr>
          <w:p w14:paraId="2E3316C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JA </w:t>
            </w:r>
          </w:p>
        </w:tc>
        <w:tc>
          <w:tcPr>
            <w:tcW w:w="4961" w:type="dxa"/>
            <w:hideMark/>
          </w:tcPr>
          <w:p w14:paraId="78FE111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0F63CF75" w14:textId="77777777" w:rsidTr="0076290B">
        <w:trPr>
          <w:cantSplit/>
          <w:trHeight w:val="57"/>
        </w:trPr>
        <w:tc>
          <w:tcPr>
            <w:tcW w:w="4815" w:type="dxa"/>
            <w:hideMark/>
          </w:tcPr>
          <w:p w14:paraId="12E4915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Minderoo</w:t>
            </w:r>
          </w:p>
        </w:tc>
        <w:tc>
          <w:tcPr>
            <w:tcW w:w="4961" w:type="dxa"/>
            <w:hideMark/>
          </w:tcPr>
          <w:p w14:paraId="65A894D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6F61BC8A" w14:textId="77777777" w:rsidTr="0076290B">
        <w:trPr>
          <w:cantSplit/>
          <w:trHeight w:val="57"/>
        </w:trPr>
        <w:tc>
          <w:tcPr>
            <w:tcW w:w="4815" w:type="dxa"/>
            <w:hideMark/>
          </w:tcPr>
          <w:p w14:paraId="031A87E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NCVER</w:t>
            </w:r>
          </w:p>
        </w:tc>
        <w:tc>
          <w:tcPr>
            <w:tcW w:w="4961" w:type="dxa"/>
            <w:hideMark/>
          </w:tcPr>
          <w:p w14:paraId="2BDD99C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3B650BA8" w14:textId="77777777" w:rsidTr="0076290B">
        <w:trPr>
          <w:cantSplit/>
          <w:trHeight w:val="57"/>
        </w:trPr>
        <w:tc>
          <w:tcPr>
            <w:tcW w:w="4815" w:type="dxa"/>
            <w:hideMark/>
          </w:tcPr>
          <w:p w14:paraId="138AE90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NESA</w:t>
            </w:r>
          </w:p>
        </w:tc>
        <w:tc>
          <w:tcPr>
            <w:tcW w:w="4961" w:type="dxa"/>
            <w:hideMark/>
          </w:tcPr>
          <w:p w14:paraId="531A84C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2D0A7F3C" w14:textId="77777777" w:rsidTr="0076290B">
        <w:trPr>
          <w:cantSplit/>
          <w:trHeight w:val="57"/>
        </w:trPr>
        <w:tc>
          <w:tcPr>
            <w:tcW w:w="4815" w:type="dxa"/>
            <w:hideMark/>
          </w:tcPr>
          <w:p w14:paraId="2E7CF07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NFF </w:t>
            </w:r>
          </w:p>
        </w:tc>
        <w:tc>
          <w:tcPr>
            <w:tcW w:w="4961" w:type="dxa"/>
            <w:hideMark/>
          </w:tcPr>
          <w:p w14:paraId="0A20F2A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71BD6936" w14:textId="77777777" w:rsidTr="0076290B">
        <w:trPr>
          <w:cantSplit/>
          <w:trHeight w:val="57"/>
        </w:trPr>
        <w:tc>
          <w:tcPr>
            <w:tcW w:w="4815" w:type="dxa"/>
            <w:hideMark/>
          </w:tcPr>
          <w:p w14:paraId="06BFF6F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NIAA </w:t>
            </w:r>
          </w:p>
        </w:tc>
        <w:tc>
          <w:tcPr>
            <w:tcW w:w="4961" w:type="dxa"/>
            <w:hideMark/>
          </w:tcPr>
          <w:p w14:paraId="0D72373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7B60C35C" w14:textId="77777777" w:rsidTr="0076290B">
        <w:trPr>
          <w:cantSplit/>
          <w:trHeight w:val="57"/>
        </w:trPr>
        <w:tc>
          <w:tcPr>
            <w:tcW w:w="4815" w:type="dxa"/>
            <w:hideMark/>
          </w:tcPr>
          <w:p w14:paraId="0A7A1ED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NPYWC</w:t>
            </w:r>
          </w:p>
        </w:tc>
        <w:tc>
          <w:tcPr>
            <w:tcW w:w="4961" w:type="dxa"/>
            <w:hideMark/>
          </w:tcPr>
          <w:p w14:paraId="09FE49C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64C7A815" w14:textId="77777777" w:rsidTr="0076290B">
        <w:trPr>
          <w:cantSplit/>
          <w:trHeight w:val="57"/>
        </w:trPr>
        <w:tc>
          <w:tcPr>
            <w:tcW w:w="4815" w:type="dxa"/>
            <w:hideMark/>
          </w:tcPr>
          <w:p w14:paraId="4A33947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Recaus </w:t>
            </w:r>
          </w:p>
        </w:tc>
        <w:tc>
          <w:tcPr>
            <w:tcW w:w="4961" w:type="dxa"/>
            <w:hideMark/>
          </w:tcPr>
          <w:p w14:paraId="37D440D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7BC7A9A7" w14:textId="77777777" w:rsidTr="0076290B">
        <w:trPr>
          <w:cantSplit/>
          <w:trHeight w:val="57"/>
        </w:trPr>
        <w:tc>
          <w:tcPr>
            <w:tcW w:w="4815" w:type="dxa"/>
            <w:hideMark/>
          </w:tcPr>
          <w:p w14:paraId="5A8807C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Retail </w:t>
            </w:r>
          </w:p>
        </w:tc>
        <w:tc>
          <w:tcPr>
            <w:tcW w:w="4961" w:type="dxa"/>
            <w:hideMark/>
          </w:tcPr>
          <w:p w14:paraId="2F9ED7C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3FF00AB9" w14:textId="77777777" w:rsidTr="0076290B">
        <w:trPr>
          <w:cantSplit/>
          <w:trHeight w:val="57"/>
        </w:trPr>
        <w:tc>
          <w:tcPr>
            <w:tcW w:w="4815" w:type="dxa"/>
            <w:hideMark/>
          </w:tcPr>
          <w:p w14:paraId="35C461C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Retail </w:t>
            </w:r>
          </w:p>
        </w:tc>
        <w:tc>
          <w:tcPr>
            <w:tcW w:w="4961" w:type="dxa"/>
            <w:hideMark/>
          </w:tcPr>
          <w:p w14:paraId="49E70D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26104E16" w14:textId="77777777" w:rsidTr="0076290B">
        <w:trPr>
          <w:cantSplit/>
          <w:trHeight w:val="57"/>
        </w:trPr>
        <w:tc>
          <w:tcPr>
            <w:tcW w:w="4815" w:type="dxa"/>
            <w:hideMark/>
          </w:tcPr>
          <w:p w14:paraId="76D8439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Ventia </w:t>
            </w:r>
          </w:p>
        </w:tc>
        <w:tc>
          <w:tcPr>
            <w:tcW w:w="4961" w:type="dxa"/>
            <w:hideMark/>
          </w:tcPr>
          <w:p w14:paraId="61A585F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222094F7" w14:textId="77777777" w:rsidTr="0076290B">
        <w:trPr>
          <w:cantSplit/>
          <w:trHeight w:val="57"/>
        </w:trPr>
        <w:tc>
          <w:tcPr>
            <w:tcW w:w="4815" w:type="dxa"/>
            <w:hideMark/>
          </w:tcPr>
          <w:p w14:paraId="5A906C2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Wes Farmers</w:t>
            </w:r>
          </w:p>
        </w:tc>
        <w:tc>
          <w:tcPr>
            <w:tcW w:w="4961" w:type="dxa"/>
            <w:hideMark/>
          </w:tcPr>
          <w:p w14:paraId="7192A71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w:t>
            </w:r>
          </w:p>
        </w:tc>
      </w:tr>
      <w:tr w:rsidR="0093006A" w:rsidRPr="0093006A" w14:paraId="745865BF" w14:textId="77777777" w:rsidTr="0076290B">
        <w:trPr>
          <w:cantSplit/>
          <w:trHeight w:val="57"/>
        </w:trPr>
        <w:tc>
          <w:tcPr>
            <w:tcW w:w="4815" w:type="dxa"/>
            <w:hideMark/>
          </w:tcPr>
          <w:p w14:paraId="56FF946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Alpa/Bukmak </w:t>
            </w:r>
          </w:p>
        </w:tc>
        <w:tc>
          <w:tcPr>
            <w:tcW w:w="4961" w:type="dxa"/>
            <w:hideMark/>
          </w:tcPr>
          <w:p w14:paraId="25EC467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3F99C1B6" w14:textId="77777777" w:rsidTr="0076290B">
        <w:trPr>
          <w:cantSplit/>
          <w:trHeight w:val="57"/>
        </w:trPr>
        <w:tc>
          <w:tcPr>
            <w:tcW w:w="4815" w:type="dxa"/>
            <w:hideMark/>
          </w:tcPr>
          <w:p w14:paraId="7E444FC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Alpha CDP </w:t>
            </w:r>
          </w:p>
        </w:tc>
        <w:tc>
          <w:tcPr>
            <w:tcW w:w="4961" w:type="dxa"/>
            <w:hideMark/>
          </w:tcPr>
          <w:p w14:paraId="1DB4E3F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7252E507" w14:textId="77777777" w:rsidTr="0076290B">
        <w:trPr>
          <w:cantSplit/>
          <w:trHeight w:val="57"/>
        </w:trPr>
        <w:tc>
          <w:tcPr>
            <w:tcW w:w="4815" w:type="dxa"/>
            <w:hideMark/>
          </w:tcPr>
          <w:p w14:paraId="08A9343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ALPHA Higher Ed Hubs </w:t>
            </w:r>
          </w:p>
        </w:tc>
        <w:tc>
          <w:tcPr>
            <w:tcW w:w="4961" w:type="dxa"/>
            <w:hideMark/>
          </w:tcPr>
          <w:p w14:paraId="5E4403C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37999BB7" w14:textId="77777777" w:rsidTr="0076290B">
        <w:trPr>
          <w:cantSplit/>
          <w:trHeight w:val="57"/>
        </w:trPr>
        <w:tc>
          <w:tcPr>
            <w:tcW w:w="4815" w:type="dxa"/>
            <w:hideMark/>
          </w:tcPr>
          <w:p w14:paraId="71292CA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Chamber of Commerce </w:t>
            </w:r>
          </w:p>
        </w:tc>
        <w:tc>
          <w:tcPr>
            <w:tcW w:w="4961" w:type="dxa"/>
            <w:hideMark/>
          </w:tcPr>
          <w:p w14:paraId="53A3379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6F8DF3BB" w14:textId="77777777" w:rsidTr="0076290B">
        <w:trPr>
          <w:cantSplit/>
          <w:trHeight w:val="57"/>
        </w:trPr>
        <w:tc>
          <w:tcPr>
            <w:tcW w:w="4815" w:type="dxa"/>
            <w:hideMark/>
          </w:tcPr>
          <w:p w14:paraId="1AF783D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CM&amp;C</w:t>
            </w:r>
          </w:p>
        </w:tc>
        <w:tc>
          <w:tcPr>
            <w:tcW w:w="4961" w:type="dxa"/>
            <w:hideMark/>
          </w:tcPr>
          <w:p w14:paraId="248A7A9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10E56498" w14:textId="77777777" w:rsidTr="0076290B">
        <w:trPr>
          <w:cantSplit/>
          <w:trHeight w:val="57"/>
        </w:trPr>
        <w:tc>
          <w:tcPr>
            <w:tcW w:w="4815" w:type="dxa"/>
            <w:hideMark/>
          </w:tcPr>
          <w:p w14:paraId="33CC36F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DEAL </w:t>
            </w:r>
          </w:p>
        </w:tc>
        <w:tc>
          <w:tcPr>
            <w:tcW w:w="4961" w:type="dxa"/>
            <w:hideMark/>
          </w:tcPr>
          <w:p w14:paraId="3C652FB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7B528D77" w14:textId="77777777" w:rsidTr="0076290B">
        <w:trPr>
          <w:cantSplit/>
          <w:trHeight w:val="57"/>
        </w:trPr>
        <w:tc>
          <w:tcPr>
            <w:tcW w:w="4815" w:type="dxa"/>
            <w:hideMark/>
          </w:tcPr>
          <w:p w14:paraId="4B50C32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Dhimurru</w:t>
            </w:r>
          </w:p>
        </w:tc>
        <w:tc>
          <w:tcPr>
            <w:tcW w:w="4961" w:type="dxa"/>
            <w:hideMark/>
          </w:tcPr>
          <w:p w14:paraId="745BA84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7EB711F6" w14:textId="77777777" w:rsidTr="0076290B">
        <w:trPr>
          <w:cantSplit/>
          <w:trHeight w:val="57"/>
        </w:trPr>
        <w:tc>
          <w:tcPr>
            <w:tcW w:w="4815" w:type="dxa"/>
            <w:hideMark/>
          </w:tcPr>
          <w:p w14:paraId="290A15E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DIPL </w:t>
            </w:r>
          </w:p>
        </w:tc>
        <w:tc>
          <w:tcPr>
            <w:tcW w:w="4961" w:type="dxa"/>
            <w:hideMark/>
          </w:tcPr>
          <w:p w14:paraId="02F7FD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0EBC4814" w14:textId="77777777" w:rsidTr="0076290B">
        <w:trPr>
          <w:cantSplit/>
          <w:trHeight w:val="57"/>
        </w:trPr>
        <w:tc>
          <w:tcPr>
            <w:tcW w:w="4815" w:type="dxa"/>
            <w:hideMark/>
          </w:tcPr>
          <w:p w14:paraId="5038F9F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DITT </w:t>
            </w:r>
          </w:p>
        </w:tc>
        <w:tc>
          <w:tcPr>
            <w:tcW w:w="4961" w:type="dxa"/>
            <w:hideMark/>
          </w:tcPr>
          <w:p w14:paraId="34D9486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715E3738" w14:textId="77777777" w:rsidTr="0076290B">
        <w:trPr>
          <w:cantSplit/>
          <w:trHeight w:val="57"/>
        </w:trPr>
        <w:tc>
          <w:tcPr>
            <w:tcW w:w="4815" w:type="dxa"/>
            <w:hideMark/>
          </w:tcPr>
          <w:p w14:paraId="6825EFD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EARC </w:t>
            </w:r>
          </w:p>
        </w:tc>
        <w:tc>
          <w:tcPr>
            <w:tcW w:w="4961" w:type="dxa"/>
            <w:hideMark/>
          </w:tcPr>
          <w:p w14:paraId="1270183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40DA7243" w14:textId="77777777" w:rsidTr="0076290B">
        <w:trPr>
          <w:cantSplit/>
          <w:trHeight w:val="57"/>
        </w:trPr>
        <w:tc>
          <w:tcPr>
            <w:tcW w:w="4815" w:type="dxa"/>
            <w:hideMark/>
          </w:tcPr>
          <w:p w14:paraId="46794A7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Gapuwiyak School </w:t>
            </w:r>
          </w:p>
        </w:tc>
        <w:tc>
          <w:tcPr>
            <w:tcW w:w="4961" w:type="dxa"/>
            <w:hideMark/>
          </w:tcPr>
          <w:p w14:paraId="362B940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500E77A4" w14:textId="77777777" w:rsidTr="0076290B">
        <w:trPr>
          <w:cantSplit/>
          <w:trHeight w:val="57"/>
        </w:trPr>
        <w:tc>
          <w:tcPr>
            <w:tcW w:w="4815" w:type="dxa"/>
            <w:hideMark/>
          </w:tcPr>
          <w:p w14:paraId="175E44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Gomaty</w:t>
            </w:r>
          </w:p>
        </w:tc>
        <w:tc>
          <w:tcPr>
            <w:tcW w:w="4961" w:type="dxa"/>
            <w:hideMark/>
          </w:tcPr>
          <w:p w14:paraId="1668DDB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2CD11821" w14:textId="77777777" w:rsidTr="0076290B">
        <w:trPr>
          <w:cantSplit/>
          <w:trHeight w:val="57"/>
        </w:trPr>
        <w:tc>
          <w:tcPr>
            <w:tcW w:w="4815" w:type="dxa"/>
            <w:hideMark/>
          </w:tcPr>
          <w:p w14:paraId="5610B75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Gulkula </w:t>
            </w:r>
          </w:p>
        </w:tc>
        <w:tc>
          <w:tcPr>
            <w:tcW w:w="4961" w:type="dxa"/>
            <w:hideMark/>
          </w:tcPr>
          <w:p w14:paraId="5A55E8C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31AE7699" w14:textId="77777777" w:rsidTr="0076290B">
        <w:trPr>
          <w:cantSplit/>
          <w:trHeight w:val="57"/>
        </w:trPr>
        <w:tc>
          <w:tcPr>
            <w:tcW w:w="4815" w:type="dxa"/>
            <w:hideMark/>
          </w:tcPr>
          <w:p w14:paraId="6C97760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Gumatj </w:t>
            </w:r>
          </w:p>
        </w:tc>
        <w:tc>
          <w:tcPr>
            <w:tcW w:w="4961" w:type="dxa"/>
            <w:hideMark/>
          </w:tcPr>
          <w:p w14:paraId="0998457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15A139E5" w14:textId="77777777" w:rsidTr="0076290B">
        <w:trPr>
          <w:cantSplit/>
          <w:trHeight w:val="57"/>
        </w:trPr>
        <w:tc>
          <w:tcPr>
            <w:tcW w:w="4815" w:type="dxa"/>
            <w:hideMark/>
          </w:tcPr>
          <w:p w14:paraId="0D08892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Laynha Homelands School </w:t>
            </w:r>
          </w:p>
        </w:tc>
        <w:tc>
          <w:tcPr>
            <w:tcW w:w="4961" w:type="dxa"/>
            <w:hideMark/>
          </w:tcPr>
          <w:p w14:paraId="1B8342A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04A7E244" w14:textId="77777777" w:rsidTr="0076290B">
        <w:trPr>
          <w:cantSplit/>
          <w:trHeight w:val="57"/>
        </w:trPr>
        <w:tc>
          <w:tcPr>
            <w:tcW w:w="4815" w:type="dxa"/>
            <w:hideMark/>
          </w:tcPr>
          <w:p w14:paraId="6536BA4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LHAC </w:t>
            </w:r>
          </w:p>
        </w:tc>
        <w:tc>
          <w:tcPr>
            <w:tcW w:w="4961" w:type="dxa"/>
            <w:hideMark/>
          </w:tcPr>
          <w:p w14:paraId="7F94A5C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1011ED75" w14:textId="77777777" w:rsidTr="0076290B">
        <w:trPr>
          <w:cantSplit/>
          <w:trHeight w:val="57"/>
        </w:trPr>
        <w:tc>
          <w:tcPr>
            <w:tcW w:w="4815" w:type="dxa"/>
            <w:hideMark/>
          </w:tcPr>
          <w:p w14:paraId="379FF5A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MLA Mulka Office </w:t>
            </w:r>
          </w:p>
        </w:tc>
        <w:tc>
          <w:tcPr>
            <w:tcW w:w="4961" w:type="dxa"/>
            <w:hideMark/>
          </w:tcPr>
          <w:p w14:paraId="0E9F4B2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0EDE4242" w14:textId="77777777" w:rsidTr="0076290B">
        <w:trPr>
          <w:cantSplit/>
          <w:trHeight w:val="57"/>
        </w:trPr>
        <w:tc>
          <w:tcPr>
            <w:tcW w:w="4815" w:type="dxa"/>
            <w:hideMark/>
          </w:tcPr>
          <w:p w14:paraId="1ACF6B6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NEAL </w:t>
            </w:r>
          </w:p>
        </w:tc>
        <w:tc>
          <w:tcPr>
            <w:tcW w:w="4961" w:type="dxa"/>
            <w:hideMark/>
          </w:tcPr>
          <w:p w14:paraId="22576C3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7EC01A8C" w14:textId="77777777" w:rsidTr="0076290B">
        <w:trPr>
          <w:cantSplit/>
          <w:trHeight w:val="57"/>
        </w:trPr>
        <w:tc>
          <w:tcPr>
            <w:tcW w:w="4815" w:type="dxa"/>
            <w:hideMark/>
          </w:tcPr>
          <w:p w14:paraId="7FA0A92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NLC </w:t>
            </w:r>
          </w:p>
        </w:tc>
        <w:tc>
          <w:tcPr>
            <w:tcW w:w="4961" w:type="dxa"/>
            <w:hideMark/>
          </w:tcPr>
          <w:p w14:paraId="518537F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2584C3FB" w14:textId="77777777" w:rsidTr="0076290B">
        <w:trPr>
          <w:cantSplit/>
          <w:trHeight w:val="57"/>
        </w:trPr>
        <w:tc>
          <w:tcPr>
            <w:tcW w:w="4815" w:type="dxa"/>
            <w:hideMark/>
          </w:tcPr>
          <w:p w14:paraId="2AC772A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RAC </w:t>
            </w:r>
          </w:p>
        </w:tc>
        <w:tc>
          <w:tcPr>
            <w:tcW w:w="4961" w:type="dxa"/>
            <w:hideMark/>
          </w:tcPr>
          <w:p w14:paraId="408766E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602AF589" w14:textId="77777777" w:rsidTr="0076290B">
        <w:trPr>
          <w:cantSplit/>
          <w:trHeight w:val="57"/>
        </w:trPr>
        <w:tc>
          <w:tcPr>
            <w:tcW w:w="4815" w:type="dxa"/>
            <w:hideMark/>
          </w:tcPr>
          <w:p w14:paraId="715F2FE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Rio Tinto </w:t>
            </w:r>
          </w:p>
        </w:tc>
        <w:tc>
          <w:tcPr>
            <w:tcW w:w="4961" w:type="dxa"/>
            <w:hideMark/>
          </w:tcPr>
          <w:p w14:paraId="6BBD81D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1BA8F237" w14:textId="77777777" w:rsidTr="0076290B">
        <w:trPr>
          <w:cantSplit/>
          <w:trHeight w:val="57"/>
        </w:trPr>
        <w:tc>
          <w:tcPr>
            <w:tcW w:w="4815" w:type="dxa"/>
            <w:hideMark/>
          </w:tcPr>
          <w:p w14:paraId="6B1A804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TFHC </w:t>
            </w:r>
          </w:p>
        </w:tc>
        <w:tc>
          <w:tcPr>
            <w:tcW w:w="4961" w:type="dxa"/>
            <w:hideMark/>
          </w:tcPr>
          <w:p w14:paraId="72B8192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7A4A58AC" w14:textId="77777777" w:rsidTr="0076290B">
        <w:trPr>
          <w:cantSplit/>
          <w:trHeight w:val="57"/>
        </w:trPr>
        <w:tc>
          <w:tcPr>
            <w:tcW w:w="4815" w:type="dxa"/>
            <w:hideMark/>
          </w:tcPr>
          <w:p w14:paraId="3B60D8C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Yirrkala School </w:t>
            </w:r>
          </w:p>
        </w:tc>
        <w:tc>
          <w:tcPr>
            <w:tcW w:w="4961" w:type="dxa"/>
            <w:hideMark/>
          </w:tcPr>
          <w:p w14:paraId="0D686DD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Nhulunbuy </w:t>
            </w:r>
          </w:p>
        </w:tc>
      </w:tr>
      <w:tr w:rsidR="0093006A" w:rsidRPr="0093006A" w14:paraId="2755A3B1" w14:textId="77777777" w:rsidTr="0076290B">
        <w:trPr>
          <w:cantSplit/>
          <w:trHeight w:val="57"/>
        </w:trPr>
        <w:tc>
          <w:tcPr>
            <w:tcW w:w="4815" w:type="dxa"/>
            <w:hideMark/>
          </w:tcPr>
          <w:p w14:paraId="1138A597" w14:textId="228A64B3"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ACE Community Colleges </w:t>
            </w:r>
          </w:p>
        </w:tc>
        <w:tc>
          <w:tcPr>
            <w:tcW w:w="4961" w:type="dxa"/>
            <w:hideMark/>
          </w:tcPr>
          <w:p w14:paraId="453542E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North Coast </w:t>
            </w:r>
          </w:p>
        </w:tc>
      </w:tr>
      <w:tr w:rsidR="0093006A" w:rsidRPr="0093006A" w14:paraId="08BC304A" w14:textId="77777777" w:rsidTr="0076290B">
        <w:trPr>
          <w:cantSplit/>
          <w:trHeight w:val="57"/>
        </w:trPr>
        <w:tc>
          <w:tcPr>
            <w:tcW w:w="4815" w:type="dxa"/>
            <w:hideMark/>
          </w:tcPr>
          <w:p w14:paraId="1B75811D" w14:textId="3245EE83"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Bularri Muurlay Nyanggan Aboriginal </w:t>
            </w:r>
          </w:p>
        </w:tc>
        <w:tc>
          <w:tcPr>
            <w:tcW w:w="4961" w:type="dxa"/>
            <w:hideMark/>
          </w:tcPr>
          <w:p w14:paraId="05E6F7C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North Coast </w:t>
            </w:r>
          </w:p>
        </w:tc>
      </w:tr>
      <w:tr w:rsidR="0093006A" w:rsidRPr="0093006A" w14:paraId="5D3E7AD6" w14:textId="77777777" w:rsidTr="0076290B">
        <w:trPr>
          <w:cantSplit/>
          <w:trHeight w:val="57"/>
        </w:trPr>
        <w:tc>
          <w:tcPr>
            <w:tcW w:w="4815" w:type="dxa"/>
            <w:hideMark/>
          </w:tcPr>
          <w:p w14:paraId="369533B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Coffs Harbour Land Council </w:t>
            </w:r>
          </w:p>
        </w:tc>
        <w:tc>
          <w:tcPr>
            <w:tcW w:w="4961" w:type="dxa"/>
            <w:hideMark/>
          </w:tcPr>
          <w:p w14:paraId="14ECD89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North Coast </w:t>
            </w:r>
          </w:p>
        </w:tc>
      </w:tr>
      <w:tr w:rsidR="0093006A" w:rsidRPr="0093006A" w14:paraId="57594981" w14:textId="77777777" w:rsidTr="0076290B">
        <w:trPr>
          <w:cantSplit/>
          <w:trHeight w:val="57"/>
        </w:trPr>
        <w:tc>
          <w:tcPr>
            <w:tcW w:w="4815" w:type="dxa"/>
            <w:hideMark/>
          </w:tcPr>
          <w:p w14:paraId="40FB5D5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Corporation (BMNAC) Coffs Harbour </w:t>
            </w:r>
          </w:p>
        </w:tc>
        <w:tc>
          <w:tcPr>
            <w:tcW w:w="4961" w:type="dxa"/>
            <w:hideMark/>
          </w:tcPr>
          <w:p w14:paraId="063917F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North Coast </w:t>
            </w:r>
          </w:p>
        </w:tc>
      </w:tr>
      <w:tr w:rsidR="0093006A" w:rsidRPr="0093006A" w14:paraId="20D23447" w14:textId="77777777" w:rsidTr="0076290B">
        <w:trPr>
          <w:cantSplit/>
          <w:trHeight w:val="57"/>
        </w:trPr>
        <w:tc>
          <w:tcPr>
            <w:tcW w:w="4815" w:type="dxa"/>
            <w:hideMark/>
          </w:tcPr>
          <w:p w14:paraId="1765AD7C" w14:textId="3FDBD601"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North Coast Development Alliance. </w:t>
            </w:r>
          </w:p>
        </w:tc>
        <w:tc>
          <w:tcPr>
            <w:tcW w:w="4961" w:type="dxa"/>
            <w:hideMark/>
          </w:tcPr>
          <w:p w14:paraId="32BD3CC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North Coast </w:t>
            </w:r>
          </w:p>
        </w:tc>
      </w:tr>
      <w:tr w:rsidR="0093006A" w:rsidRPr="0093006A" w14:paraId="15ABD16A" w14:textId="77777777" w:rsidTr="0076290B">
        <w:trPr>
          <w:cantSplit/>
          <w:trHeight w:val="57"/>
        </w:trPr>
        <w:tc>
          <w:tcPr>
            <w:tcW w:w="4815" w:type="dxa"/>
            <w:hideMark/>
          </w:tcPr>
          <w:p w14:paraId="3B2C5D49" w14:textId="6FADC9F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North Coast Training Services NSW, Lismore </w:t>
            </w:r>
          </w:p>
        </w:tc>
        <w:tc>
          <w:tcPr>
            <w:tcW w:w="4961" w:type="dxa"/>
            <w:hideMark/>
          </w:tcPr>
          <w:p w14:paraId="30039D0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North Coast </w:t>
            </w:r>
          </w:p>
        </w:tc>
      </w:tr>
      <w:tr w:rsidR="0093006A" w:rsidRPr="0093006A" w14:paraId="5416277B" w14:textId="77777777" w:rsidTr="0076290B">
        <w:trPr>
          <w:cantSplit/>
          <w:trHeight w:val="57"/>
        </w:trPr>
        <w:tc>
          <w:tcPr>
            <w:tcW w:w="4815" w:type="dxa"/>
            <w:hideMark/>
          </w:tcPr>
          <w:p w14:paraId="7B8D8800" w14:textId="7929EE41"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Training Services NSW </w:t>
            </w:r>
          </w:p>
        </w:tc>
        <w:tc>
          <w:tcPr>
            <w:tcW w:w="4961" w:type="dxa"/>
            <w:hideMark/>
          </w:tcPr>
          <w:p w14:paraId="7FA7668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North Coast </w:t>
            </w:r>
          </w:p>
        </w:tc>
      </w:tr>
      <w:tr w:rsidR="0093006A" w:rsidRPr="0093006A" w14:paraId="132D8521" w14:textId="77777777" w:rsidTr="0076290B">
        <w:trPr>
          <w:cantSplit/>
          <w:trHeight w:val="57"/>
        </w:trPr>
        <w:tc>
          <w:tcPr>
            <w:tcW w:w="4815" w:type="dxa"/>
            <w:hideMark/>
          </w:tcPr>
          <w:p w14:paraId="70F5880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Western Sydney University</w:t>
            </w:r>
          </w:p>
        </w:tc>
        <w:tc>
          <w:tcPr>
            <w:tcW w:w="4961" w:type="dxa"/>
            <w:hideMark/>
          </w:tcPr>
          <w:p w14:paraId="167149E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North Coast </w:t>
            </w:r>
          </w:p>
        </w:tc>
      </w:tr>
      <w:tr w:rsidR="0093006A" w:rsidRPr="0093006A" w14:paraId="39F5EC6D" w14:textId="77777777" w:rsidTr="0076290B">
        <w:trPr>
          <w:cantSplit/>
          <w:trHeight w:val="57"/>
        </w:trPr>
        <w:tc>
          <w:tcPr>
            <w:tcW w:w="4815" w:type="dxa"/>
            <w:hideMark/>
          </w:tcPr>
          <w:p w14:paraId="545904C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ACAPS</w:t>
            </w:r>
          </w:p>
        </w:tc>
        <w:tc>
          <w:tcPr>
            <w:tcW w:w="4961" w:type="dxa"/>
            <w:hideMark/>
          </w:tcPr>
          <w:p w14:paraId="76190C3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08E5704E" w14:textId="77777777" w:rsidTr="0076290B">
        <w:trPr>
          <w:cantSplit/>
          <w:trHeight w:val="57"/>
        </w:trPr>
        <w:tc>
          <w:tcPr>
            <w:tcW w:w="4815" w:type="dxa"/>
            <w:hideMark/>
          </w:tcPr>
          <w:p w14:paraId="2A7BDAA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Bega LALC </w:t>
            </w:r>
          </w:p>
        </w:tc>
        <w:tc>
          <w:tcPr>
            <w:tcW w:w="4961" w:type="dxa"/>
            <w:hideMark/>
          </w:tcPr>
          <w:p w14:paraId="6C80165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15AD860F" w14:textId="77777777" w:rsidTr="0076290B">
        <w:trPr>
          <w:cantSplit/>
          <w:trHeight w:val="57"/>
        </w:trPr>
        <w:tc>
          <w:tcPr>
            <w:tcW w:w="4815" w:type="dxa"/>
            <w:hideMark/>
          </w:tcPr>
          <w:p w14:paraId="638C33C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Corporate Connections </w:t>
            </w:r>
          </w:p>
        </w:tc>
        <w:tc>
          <w:tcPr>
            <w:tcW w:w="4961" w:type="dxa"/>
            <w:hideMark/>
          </w:tcPr>
          <w:p w14:paraId="14AB963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4183E945" w14:textId="77777777" w:rsidTr="0076290B">
        <w:trPr>
          <w:cantSplit/>
          <w:trHeight w:val="57"/>
        </w:trPr>
        <w:tc>
          <w:tcPr>
            <w:tcW w:w="4815" w:type="dxa"/>
            <w:hideMark/>
          </w:tcPr>
          <w:p w14:paraId="3CFCA00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Dept Regional NSW Illawarra</w:t>
            </w:r>
          </w:p>
        </w:tc>
        <w:tc>
          <w:tcPr>
            <w:tcW w:w="4961" w:type="dxa"/>
            <w:hideMark/>
          </w:tcPr>
          <w:p w14:paraId="4293F75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02B5D99E" w14:textId="77777777" w:rsidTr="0076290B">
        <w:trPr>
          <w:cantSplit/>
          <w:trHeight w:val="57"/>
        </w:trPr>
        <w:tc>
          <w:tcPr>
            <w:tcW w:w="4815" w:type="dxa"/>
            <w:hideMark/>
          </w:tcPr>
          <w:p w14:paraId="7C98C5C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DET NSW </w:t>
            </w:r>
          </w:p>
        </w:tc>
        <w:tc>
          <w:tcPr>
            <w:tcW w:w="4961" w:type="dxa"/>
            <w:hideMark/>
          </w:tcPr>
          <w:p w14:paraId="0BE8F2C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750A931B" w14:textId="77777777" w:rsidTr="0076290B">
        <w:trPr>
          <w:cantSplit/>
          <w:trHeight w:val="57"/>
        </w:trPr>
        <w:tc>
          <w:tcPr>
            <w:tcW w:w="4815" w:type="dxa"/>
            <w:hideMark/>
          </w:tcPr>
          <w:p w14:paraId="156A2D69" w14:textId="58A6389C"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Aus Govt Local Jobs Program </w:t>
            </w:r>
          </w:p>
        </w:tc>
        <w:tc>
          <w:tcPr>
            <w:tcW w:w="4961" w:type="dxa"/>
            <w:hideMark/>
          </w:tcPr>
          <w:p w14:paraId="255CD2A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2DE6BAF2" w14:textId="77777777" w:rsidTr="0076290B">
        <w:trPr>
          <w:cantSplit/>
          <w:trHeight w:val="57"/>
        </w:trPr>
        <w:tc>
          <w:tcPr>
            <w:tcW w:w="4815" w:type="dxa"/>
            <w:hideMark/>
          </w:tcPr>
          <w:p w14:paraId="31BA5A5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Govt Teams </w:t>
            </w:r>
          </w:p>
        </w:tc>
        <w:tc>
          <w:tcPr>
            <w:tcW w:w="4961" w:type="dxa"/>
            <w:hideMark/>
          </w:tcPr>
          <w:p w14:paraId="5529567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444E554D" w14:textId="77777777" w:rsidTr="0076290B">
        <w:trPr>
          <w:cantSplit/>
          <w:trHeight w:val="57"/>
        </w:trPr>
        <w:tc>
          <w:tcPr>
            <w:tcW w:w="4815" w:type="dxa"/>
            <w:hideMark/>
          </w:tcPr>
          <w:p w14:paraId="079E93B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Illawarra Aboriginal Corporation </w:t>
            </w:r>
          </w:p>
        </w:tc>
        <w:tc>
          <w:tcPr>
            <w:tcW w:w="4961" w:type="dxa"/>
            <w:hideMark/>
          </w:tcPr>
          <w:p w14:paraId="6996412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251EA7AC" w14:textId="77777777" w:rsidTr="0076290B">
        <w:trPr>
          <w:cantSplit/>
          <w:trHeight w:val="57"/>
        </w:trPr>
        <w:tc>
          <w:tcPr>
            <w:tcW w:w="4815" w:type="dxa"/>
            <w:hideMark/>
          </w:tcPr>
          <w:p w14:paraId="0C2B468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More Sustainable Futures </w:t>
            </w:r>
          </w:p>
        </w:tc>
        <w:tc>
          <w:tcPr>
            <w:tcW w:w="4961" w:type="dxa"/>
            <w:hideMark/>
          </w:tcPr>
          <w:p w14:paraId="733DCE4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7E836C69" w14:textId="77777777" w:rsidTr="0076290B">
        <w:trPr>
          <w:cantSplit/>
          <w:trHeight w:val="57"/>
        </w:trPr>
        <w:tc>
          <w:tcPr>
            <w:tcW w:w="4815" w:type="dxa"/>
            <w:hideMark/>
          </w:tcPr>
          <w:p w14:paraId="2413485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Red Cross </w:t>
            </w:r>
          </w:p>
        </w:tc>
        <w:tc>
          <w:tcPr>
            <w:tcW w:w="4961" w:type="dxa"/>
            <w:hideMark/>
          </w:tcPr>
          <w:p w14:paraId="12CA860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63F93096" w14:textId="77777777" w:rsidTr="0076290B">
        <w:trPr>
          <w:cantSplit/>
          <w:trHeight w:val="57"/>
        </w:trPr>
        <w:tc>
          <w:tcPr>
            <w:tcW w:w="4815" w:type="dxa"/>
            <w:hideMark/>
          </w:tcPr>
          <w:p w14:paraId="12E3041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Sea Arms </w:t>
            </w:r>
          </w:p>
        </w:tc>
        <w:tc>
          <w:tcPr>
            <w:tcW w:w="4961" w:type="dxa"/>
            <w:hideMark/>
          </w:tcPr>
          <w:p w14:paraId="2A218BB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541243B6" w14:textId="77777777" w:rsidTr="0076290B">
        <w:trPr>
          <w:cantSplit/>
          <w:trHeight w:val="57"/>
        </w:trPr>
        <w:tc>
          <w:tcPr>
            <w:tcW w:w="4815" w:type="dxa"/>
            <w:hideMark/>
          </w:tcPr>
          <w:p w14:paraId="69C9CD2C" w14:textId="7420E1D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Shellharbour Mission Aus </w:t>
            </w:r>
          </w:p>
        </w:tc>
        <w:tc>
          <w:tcPr>
            <w:tcW w:w="4961" w:type="dxa"/>
            <w:hideMark/>
          </w:tcPr>
          <w:p w14:paraId="7DD0F34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4D84648C" w14:textId="77777777" w:rsidTr="0076290B">
        <w:trPr>
          <w:cantSplit/>
          <w:trHeight w:val="57"/>
        </w:trPr>
        <w:tc>
          <w:tcPr>
            <w:tcW w:w="4815" w:type="dxa"/>
            <w:hideMark/>
          </w:tcPr>
          <w:p w14:paraId="5BBC714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TAFE NSW </w:t>
            </w:r>
          </w:p>
        </w:tc>
        <w:tc>
          <w:tcPr>
            <w:tcW w:w="4961" w:type="dxa"/>
            <w:hideMark/>
          </w:tcPr>
          <w:p w14:paraId="6751F08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435C2502" w14:textId="77777777" w:rsidTr="0076290B">
        <w:trPr>
          <w:cantSplit/>
          <w:trHeight w:val="57"/>
        </w:trPr>
        <w:tc>
          <w:tcPr>
            <w:tcW w:w="4815" w:type="dxa"/>
            <w:hideMark/>
          </w:tcPr>
          <w:p w14:paraId="6B1226F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Waminda </w:t>
            </w:r>
          </w:p>
        </w:tc>
        <w:tc>
          <w:tcPr>
            <w:tcW w:w="4961" w:type="dxa"/>
            <w:hideMark/>
          </w:tcPr>
          <w:p w14:paraId="326E0FA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NSW South Coast </w:t>
            </w:r>
          </w:p>
        </w:tc>
      </w:tr>
      <w:tr w:rsidR="0093006A" w:rsidRPr="0093006A" w14:paraId="71D56412" w14:textId="77777777" w:rsidTr="0076290B">
        <w:trPr>
          <w:cantSplit/>
          <w:trHeight w:val="57"/>
        </w:trPr>
        <w:tc>
          <w:tcPr>
            <w:tcW w:w="4815" w:type="dxa"/>
            <w:hideMark/>
          </w:tcPr>
          <w:p w14:paraId="41048A4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At Work Australia</w:t>
            </w:r>
          </w:p>
        </w:tc>
        <w:tc>
          <w:tcPr>
            <w:tcW w:w="4961" w:type="dxa"/>
            <w:hideMark/>
          </w:tcPr>
          <w:p w14:paraId="663A9E3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34C75FAD" w14:textId="77777777" w:rsidTr="0076290B">
        <w:trPr>
          <w:cantSplit/>
          <w:trHeight w:val="57"/>
        </w:trPr>
        <w:tc>
          <w:tcPr>
            <w:tcW w:w="4815" w:type="dxa"/>
            <w:hideMark/>
          </w:tcPr>
          <w:p w14:paraId="226D058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Crown Resorts</w:t>
            </w:r>
          </w:p>
        </w:tc>
        <w:tc>
          <w:tcPr>
            <w:tcW w:w="4961" w:type="dxa"/>
            <w:hideMark/>
          </w:tcPr>
          <w:p w14:paraId="4B7A7AD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209F63C5" w14:textId="77777777" w:rsidTr="0076290B">
        <w:trPr>
          <w:cantSplit/>
          <w:trHeight w:val="57"/>
        </w:trPr>
        <w:tc>
          <w:tcPr>
            <w:tcW w:w="4815" w:type="dxa"/>
            <w:hideMark/>
          </w:tcPr>
          <w:p w14:paraId="5FAE33F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DESE</w:t>
            </w:r>
          </w:p>
        </w:tc>
        <w:tc>
          <w:tcPr>
            <w:tcW w:w="4961" w:type="dxa"/>
            <w:hideMark/>
          </w:tcPr>
          <w:p w14:paraId="390C1C1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319BA213" w14:textId="77777777" w:rsidTr="0076290B">
        <w:trPr>
          <w:cantSplit/>
          <w:trHeight w:val="57"/>
        </w:trPr>
        <w:tc>
          <w:tcPr>
            <w:tcW w:w="4815" w:type="dxa"/>
            <w:hideMark/>
          </w:tcPr>
          <w:p w14:paraId="1DC3513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DOJ</w:t>
            </w:r>
          </w:p>
        </w:tc>
        <w:tc>
          <w:tcPr>
            <w:tcW w:w="4961" w:type="dxa"/>
            <w:hideMark/>
          </w:tcPr>
          <w:p w14:paraId="69104E6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7DC74ABD" w14:textId="77777777" w:rsidTr="0076290B">
        <w:trPr>
          <w:cantSplit/>
          <w:trHeight w:val="57"/>
        </w:trPr>
        <w:tc>
          <w:tcPr>
            <w:tcW w:w="4815" w:type="dxa"/>
            <w:hideMark/>
          </w:tcPr>
          <w:p w14:paraId="3AA58DA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DPC</w:t>
            </w:r>
          </w:p>
        </w:tc>
        <w:tc>
          <w:tcPr>
            <w:tcW w:w="4961" w:type="dxa"/>
            <w:hideMark/>
          </w:tcPr>
          <w:p w14:paraId="7C37A5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7633358A" w14:textId="77777777" w:rsidTr="0076290B">
        <w:trPr>
          <w:cantSplit/>
          <w:trHeight w:val="57"/>
        </w:trPr>
        <w:tc>
          <w:tcPr>
            <w:tcW w:w="4815" w:type="dxa"/>
            <w:hideMark/>
          </w:tcPr>
          <w:p w14:paraId="618B2DD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DTWD WA</w:t>
            </w:r>
          </w:p>
        </w:tc>
        <w:tc>
          <w:tcPr>
            <w:tcW w:w="4961" w:type="dxa"/>
            <w:hideMark/>
          </w:tcPr>
          <w:p w14:paraId="3369A03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625B57A2" w14:textId="77777777" w:rsidTr="0076290B">
        <w:trPr>
          <w:cantSplit/>
          <w:trHeight w:val="57"/>
        </w:trPr>
        <w:tc>
          <w:tcPr>
            <w:tcW w:w="4815" w:type="dxa"/>
            <w:hideMark/>
          </w:tcPr>
          <w:p w14:paraId="2599E2C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Ebenezer</w:t>
            </w:r>
          </w:p>
        </w:tc>
        <w:tc>
          <w:tcPr>
            <w:tcW w:w="4961" w:type="dxa"/>
            <w:hideMark/>
          </w:tcPr>
          <w:p w14:paraId="1B9C9DB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3E9A9EB6" w14:textId="77777777" w:rsidTr="0076290B">
        <w:trPr>
          <w:cantSplit/>
          <w:trHeight w:val="57"/>
        </w:trPr>
        <w:tc>
          <w:tcPr>
            <w:tcW w:w="4815" w:type="dxa"/>
            <w:hideMark/>
          </w:tcPr>
          <w:p w14:paraId="653DE01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Elder</w:t>
            </w:r>
          </w:p>
        </w:tc>
        <w:tc>
          <w:tcPr>
            <w:tcW w:w="4961" w:type="dxa"/>
            <w:hideMark/>
          </w:tcPr>
          <w:p w14:paraId="11CB482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62C9B865" w14:textId="77777777" w:rsidTr="0076290B">
        <w:trPr>
          <w:cantSplit/>
          <w:trHeight w:val="57"/>
        </w:trPr>
        <w:tc>
          <w:tcPr>
            <w:tcW w:w="4815" w:type="dxa"/>
            <w:hideMark/>
          </w:tcPr>
          <w:p w14:paraId="4CC7709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Finance WA</w:t>
            </w:r>
          </w:p>
        </w:tc>
        <w:tc>
          <w:tcPr>
            <w:tcW w:w="4961" w:type="dxa"/>
            <w:hideMark/>
          </w:tcPr>
          <w:p w14:paraId="1A379E8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202068A3" w14:textId="77777777" w:rsidTr="0076290B">
        <w:trPr>
          <w:cantSplit/>
          <w:trHeight w:val="57"/>
        </w:trPr>
        <w:tc>
          <w:tcPr>
            <w:tcW w:w="4815" w:type="dxa"/>
            <w:hideMark/>
          </w:tcPr>
          <w:p w14:paraId="6FB3F79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Job Train WA</w:t>
            </w:r>
          </w:p>
        </w:tc>
        <w:tc>
          <w:tcPr>
            <w:tcW w:w="4961" w:type="dxa"/>
            <w:hideMark/>
          </w:tcPr>
          <w:p w14:paraId="662E7A8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34E68788" w14:textId="77777777" w:rsidTr="0076290B">
        <w:trPr>
          <w:cantSplit/>
          <w:trHeight w:val="57"/>
        </w:trPr>
        <w:tc>
          <w:tcPr>
            <w:tcW w:w="4815" w:type="dxa"/>
            <w:hideMark/>
          </w:tcPr>
          <w:p w14:paraId="165B00E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NDIA</w:t>
            </w:r>
          </w:p>
        </w:tc>
        <w:tc>
          <w:tcPr>
            <w:tcW w:w="4961" w:type="dxa"/>
            <w:hideMark/>
          </w:tcPr>
          <w:p w14:paraId="3C3E163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44BBC7A6" w14:textId="77777777" w:rsidTr="0076290B">
        <w:trPr>
          <w:cantSplit/>
          <w:trHeight w:val="57"/>
        </w:trPr>
        <w:tc>
          <w:tcPr>
            <w:tcW w:w="4815" w:type="dxa"/>
            <w:hideMark/>
          </w:tcPr>
          <w:p w14:paraId="0AEA408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NM TAFE</w:t>
            </w:r>
          </w:p>
        </w:tc>
        <w:tc>
          <w:tcPr>
            <w:tcW w:w="4961" w:type="dxa"/>
            <w:hideMark/>
          </w:tcPr>
          <w:p w14:paraId="57BB3A6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434B6484" w14:textId="77777777" w:rsidTr="0076290B">
        <w:trPr>
          <w:cantSplit/>
          <w:trHeight w:val="57"/>
        </w:trPr>
        <w:tc>
          <w:tcPr>
            <w:tcW w:w="4815" w:type="dxa"/>
            <w:hideMark/>
          </w:tcPr>
          <w:p w14:paraId="72E7036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Relationships WA</w:t>
            </w:r>
          </w:p>
        </w:tc>
        <w:tc>
          <w:tcPr>
            <w:tcW w:w="4961" w:type="dxa"/>
            <w:hideMark/>
          </w:tcPr>
          <w:p w14:paraId="237B111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4B45319D" w14:textId="77777777" w:rsidTr="0076290B">
        <w:trPr>
          <w:cantSplit/>
          <w:trHeight w:val="57"/>
        </w:trPr>
        <w:tc>
          <w:tcPr>
            <w:tcW w:w="4815" w:type="dxa"/>
            <w:hideMark/>
          </w:tcPr>
          <w:p w14:paraId="3E5BE88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SM TAFE</w:t>
            </w:r>
          </w:p>
        </w:tc>
        <w:tc>
          <w:tcPr>
            <w:tcW w:w="4961" w:type="dxa"/>
            <w:hideMark/>
          </w:tcPr>
          <w:p w14:paraId="66F4754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2D455380" w14:textId="77777777" w:rsidTr="0076290B">
        <w:trPr>
          <w:cantSplit/>
          <w:trHeight w:val="57"/>
        </w:trPr>
        <w:tc>
          <w:tcPr>
            <w:tcW w:w="4815" w:type="dxa"/>
            <w:hideMark/>
          </w:tcPr>
          <w:p w14:paraId="388D2CA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Stratsys</w:t>
            </w:r>
          </w:p>
        </w:tc>
        <w:tc>
          <w:tcPr>
            <w:tcW w:w="4961" w:type="dxa"/>
            <w:hideMark/>
          </w:tcPr>
          <w:p w14:paraId="1AF7BE1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6D9BBEE0" w14:textId="77777777" w:rsidTr="0076290B">
        <w:trPr>
          <w:cantSplit/>
          <w:trHeight w:val="57"/>
        </w:trPr>
        <w:tc>
          <w:tcPr>
            <w:tcW w:w="4815" w:type="dxa"/>
            <w:hideMark/>
          </w:tcPr>
          <w:p w14:paraId="57A11DB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Theiss</w:t>
            </w:r>
          </w:p>
        </w:tc>
        <w:tc>
          <w:tcPr>
            <w:tcW w:w="4961" w:type="dxa"/>
            <w:hideMark/>
          </w:tcPr>
          <w:p w14:paraId="5AFE6CA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2A9E2168" w14:textId="77777777" w:rsidTr="0076290B">
        <w:trPr>
          <w:cantSplit/>
          <w:trHeight w:val="57"/>
        </w:trPr>
        <w:tc>
          <w:tcPr>
            <w:tcW w:w="4815" w:type="dxa"/>
            <w:hideMark/>
          </w:tcPr>
          <w:p w14:paraId="0AF680A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Transport</w:t>
            </w:r>
          </w:p>
        </w:tc>
        <w:tc>
          <w:tcPr>
            <w:tcW w:w="4961" w:type="dxa"/>
            <w:hideMark/>
          </w:tcPr>
          <w:p w14:paraId="2DB2421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31F3D705" w14:textId="77777777" w:rsidTr="0076290B">
        <w:trPr>
          <w:cantSplit/>
          <w:trHeight w:val="57"/>
        </w:trPr>
        <w:tc>
          <w:tcPr>
            <w:tcW w:w="4815" w:type="dxa"/>
            <w:hideMark/>
          </w:tcPr>
          <w:p w14:paraId="0F745D5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Wirra Employment Services</w:t>
            </w:r>
          </w:p>
        </w:tc>
        <w:tc>
          <w:tcPr>
            <w:tcW w:w="4961" w:type="dxa"/>
            <w:hideMark/>
          </w:tcPr>
          <w:p w14:paraId="7E2D7BD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1BC4612F" w14:textId="77777777" w:rsidTr="0076290B">
        <w:trPr>
          <w:cantSplit/>
          <w:trHeight w:val="57"/>
        </w:trPr>
        <w:tc>
          <w:tcPr>
            <w:tcW w:w="4815" w:type="dxa"/>
            <w:hideMark/>
          </w:tcPr>
          <w:p w14:paraId="728CA96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Wirrpanda</w:t>
            </w:r>
          </w:p>
        </w:tc>
        <w:tc>
          <w:tcPr>
            <w:tcW w:w="4961" w:type="dxa"/>
            <w:hideMark/>
          </w:tcPr>
          <w:p w14:paraId="194C361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Perth </w:t>
            </w:r>
          </w:p>
        </w:tc>
      </w:tr>
      <w:tr w:rsidR="0093006A" w:rsidRPr="0093006A" w14:paraId="448F6092" w14:textId="77777777" w:rsidTr="0076290B">
        <w:trPr>
          <w:cantSplit/>
          <w:trHeight w:val="57"/>
        </w:trPr>
        <w:tc>
          <w:tcPr>
            <w:tcW w:w="4815" w:type="dxa"/>
            <w:hideMark/>
          </w:tcPr>
          <w:p w14:paraId="57D1047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Ashburton Aboriginal Corporation</w:t>
            </w:r>
          </w:p>
        </w:tc>
        <w:tc>
          <w:tcPr>
            <w:tcW w:w="4961" w:type="dxa"/>
            <w:hideMark/>
          </w:tcPr>
          <w:p w14:paraId="08A5328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Pilbara </w:t>
            </w:r>
          </w:p>
        </w:tc>
      </w:tr>
      <w:tr w:rsidR="0093006A" w:rsidRPr="0093006A" w14:paraId="10EF7C69" w14:textId="77777777" w:rsidTr="0076290B">
        <w:trPr>
          <w:cantSplit/>
          <w:trHeight w:val="57"/>
        </w:trPr>
        <w:tc>
          <w:tcPr>
            <w:tcW w:w="4815" w:type="dxa"/>
            <w:hideMark/>
          </w:tcPr>
          <w:p w14:paraId="4B78957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JP </w:t>
            </w:r>
          </w:p>
        </w:tc>
        <w:tc>
          <w:tcPr>
            <w:tcW w:w="4961" w:type="dxa"/>
            <w:hideMark/>
          </w:tcPr>
          <w:p w14:paraId="6C0B84B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Pilbara </w:t>
            </w:r>
          </w:p>
        </w:tc>
      </w:tr>
      <w:tr w:rsidR="0093006A" w:rsidRPr="0093006A" w14:paraId="45322BEF" w14:textId="77777777" w:rsidTr="0076290B">
        <w:trPr>
          <w:cantSplit/>
          <w:trHeight w:val="57"/>
        </w:trPr>
        <w:tc>
          <w:tcPr>
            <w:tcW w:w="4815" w:type="dxa"/>
            <w:hideMark/>
          </w:tcPr>
          <w:p w14:paraId="4E847B7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AMYNOMS</w:t>
            </w:r>
          </w:p>
        </w:tc>
        <w:tc>
          <w:tcPr>
            <w:tcW w:w="4961" w:type="dxa"/>
            <w:hideMark/>
          </w:tcPr>
          <w:p w14:paraId="4B8194B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2D10A564" w14:textId="77777777" w:rsidTr="0076290B">
        <w:trPr>
          <w:cantSplit/>
          <w:trHeight w:val="57"/>
        </w:trPr>
        <w:tc>
          <w:tcPr>
            <w:tcW w:w="4815" w:type="dxa"/>
            <w:hideMark/>
          </w:tcPr>
          <w:p w14:paraId="30CC3D4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Complete Personnel</w:t>
            </w:r>
          </w:p>
        </w:tc>
        <w:tc>
          <w:tcPr>
            <w:tcW w:w="4961" w:type="dxa"/>
            <w:hideMark/>
          </w:tcPr>
          <w:p w14:paraId="265885C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2237DFFA" w14:textId="77777777" w:rsidTr="0076290B">
        <w:trPr>
          <w:cantSplit/>
          <w:trHeight w:val="57"/>
        </w:trPr>
        <w:tc>
          <w:tcPr>
            <w:tcW w:w="4815" w:type="dxa"/>
            <w:hideMark/>
          </w:tcPr>
          <w:p w14:paraId="72A5CA7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DESE</w:t>
            </w:r>
          </w:p>
        </w:tc>
        <w:tc>
          <w:tcPr>
            <w:tcW w:w="4961" w:type="dxa"/>
            <w:hideMark/>
          </w:tcPr>
          <w:p w14:paraId="5D55089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017F0C1B" w14:textId="77777777" w:rsidTr="0076290B">
        <w:trPr>
          <w:cantSplit/>
          <w:trHeight w:val="57"/>
        </w:trPr>
        <w:tc>
          <w:tcPr>
            <w:tcW w:w="4815" w:type="dxa"/>
            <w:hideMark/>
          </w:tcPr>
          <w:p w14:paraId="5498401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Kokatham TBC</w:t>
            </w:r>
          </w:p>
        </w:tc>
        <w:tc>
          <w:tcPr>
            <w:tcW w:w="4961" w:type="dxa"/>
            <w:hideMark/>
          </w:tcPr>
          <w:p w14:paraId="6FE00DD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016D5962" w14:textId="77777777" w:rsidTr="0076290B">
        <w:trPr>
          <w:cantSplit/>
          <w:trHeight w:val="57"/>
        </w:trPr>
        <w:tc>
          <w:tcPr>
            <w:tcW w:w="4815" w:type="dxa"/>
            <w:hideMark/>
          </w:tcPr>
          <w:p w14:paraId="020020F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Local Jobs Program</w:t>
            </w:r>
          </w:p>
        </w:tc>
        <w:tc>
          <w:tcPr>
            <w:tcW w:w="4961" w:type="dxa"/>
            <w:hideMark/>
          </w:tcPr>
          <w:p w14:paraId="59FE075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116D0B94" w14:textId="77777777" w:rsidTr="0076290B">
        <w:trPr>
          <w:cantSplit/>
          <w:trHeight w:val="57"/>
        </w:trPr>
        <w:tc>
          <w:tcPr>
            <w:tcW w:w="4815" w:type="dxa"/>
            <w:hideMark/>
          </w:tcPr>
          <w:p w14:paraId="5B0AC09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OZ Minerals </w:t>
            </w:r>
          </w:p>
        </w:tc>
        <w:tc>
          <w:tcPr>
            <w:tcW w:w="4961" w:type="dxa"/>
            <w:hideMark/>
          </w:tcPr>
          <w:p w14:paraId="468C5A3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6D34C9E0" w14:textId="77777777" w:rsidTr="0076290B">
        <w:trPr>
          <w:cantSplit/>
          <w:trHeight w:val="57"/>
        </w:trPr>
        <w:tc>
          <w:tcPr>
            <w:tcW w:w="4815" w:type="dxa"/>
            <w:hideMark/>
          </w:tcPr>
          <w:p w14:paraId="1F61F75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RDAEP </w:t>
            </w:r>
          </w:p>
        </w:tc>
        <w:tc>
          <w:tcPr>
            <w:tcW w:w="4961" w:type="dxa"/>
            <w:hideMark/>
          </w:tcPr>
          <w:p w14:paraId="0C59D45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0ED29597" w14:textId="77777777" w:rsidTr="0076290B">
        <w:trPr>
          <w:cantSplit/>
          <w:trHeight w:val="57"/>
        </w:trPr>
        <w:tc>
          <w:tcPr>
            <w:tcW w:w="4815" w:type="dxa"/>
            <w:hideMark/>
          </w:tcPr>
          <w:p w14:paraId="1D318B4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SA Govt </w:t>
            </w:r>
          </w:p>
        </w:tc>
        <w:tc>
          <w:tcPr>
            <w:tcW w:w="4961" w:type="dxa"/>
            <w:hideMark/>
          </w:tcPr>
          <w:p w14:paraId="10B870F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071F9527" w14:textId="77777777" w:rsidTr="0076290B">
        <w:trPr>
          <w:cantSplit/>
          <w:trHeight w:val="57"/>
        </w:trPr>
        <w:tc>
          <w:tcPr>
            <w:tcW w:w="4815" w:type="dxa"/>
            <w:hideMark/>
          </w:tcPr>
          <w:p w14:paraId="3FC17DE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SureWay </w:t>
            </w:r>
          </w:p>
        </w:tc>
        <w:tc>
          <w:tcPr>
            <w:tcW w:w="4961" w:type="dxa"/>
            <w:hideMark/>
          </w:tcPr>
          <w:p w14:paraId="7D06C0C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763635EB" w14:textId="77777777" w:rsidTr="0076290B">
        <w:trPr>
          <w:cantSplit/>
          <w:trHeight w:val="57"/>
        </w:trPr>
        <w:tc>
          <w:tcPr>
            <w:tcW w:w="4815" w:type="dxa"/>
            <w:hideMark/>
          </w:tcPr>
          <w:p w14:paraId="61A9A57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TAFE SA </w:t>
            </w:r>
          </w:p>
        </w:tc>
        <w:tc>
          <w:tcPr>
            <w:tcW w:w="4961" w:type="dxa"/>
            <w:hideMark/>
          </w:tcPr>
          <w:p w14:paraId="443D140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7906DEBD" w14:textId="77777777" w:rsidTr="0076290B">
        <w:trPr>
          <w:cantSplit/>
          <w:trHeight w:val="57"/>
        </w:trPr>
        <w:tc>
          <w:tcPr>
            <w:tcW w:w="4815" w:type="dxa"/>
            <w:hideMark/>
          </w:tcPr>
          <w:p w14:paraId="18BF6F5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Ventia</w:t>
            </w:r>
          </w:p>
        </w:tc>
        <w:tc>
          <w:tcPr>
            <w:tcW w:w="4961" w:type="dxa"/>
            <w:hideMark/>
          </w:tcPr>
          <w:p w14:paraId="031FE0F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Port Augusta </w:t>
            </w:r>
          </w:p>
        </w:tc>
      </w:tr>
      <w:tr w:rsidR="0093006A" w:rsidRPr="0093006A" w14:paraId="6464DBE6" w14:textId="77777777" w:rsidTr="0076290B">
        <w:trPr>
          <w:cantSplit/>
          <w:trHeight w:val="57"/>
        </w:trPr>
        <w:tc>
          <w:tcPr>
            <w:tcW w:w="4815" w:type="dxa"/>
            <w:hideMark/>
          </w:tcPr>
          <w:p w14:paraId="179BE58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AIMS </w:t>
            </w:r>
          </w:p>
        </w:tc>
        <w:tc>
          <w:tcPr>
            <w:tcW w:w="4961" w:type="dxa"/>
            <w:hideMark/>
          </w:tcPr>
          <w:p w14:paraId="52C1805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028C7E07" w14:textId="77777777" w:rsidTr="0076290B">
        <w:trPr>
          <w:cantSplit/>
          <w:trHeight w:val="57"/>
        </w:trPr>
        <w:tc>
          <w:tcPr>
            <w:tcW w:w="4815" w:type="dxa"/>
            <w:hideMark/>
          </w:tcPr>
          <w:p w14:paraId="0C54E80A" w14:textId="2C84FDB4"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Department of Education Skills and Employment </w:t>
            </w:r>
          </w:p>
        </w:tc>
        <w:tc>
          <w:tcPr>
            <w:tcW w:w="4961" w:type="dxa"/>
            <w:hideMark/>
          </w:tcPr>
          <w:p w14:paraId="3056872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3465D9A6" w14:textId="77777777" w:rsidTr="0076290B">
        <w:trPr>
          <w:cantSplit/>
          <w:trHeight w:val="57"/>
        </w:trPr>
        <w:tc>
          <w:tcPr>
            <w:tcW w:w="4815" w:type="dxa"/>
            <w:hideMark/>
          </w:tcPr>
          <w:p w14:paraId="749F0A2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Choice Passion Life </w:t>
            </w:r>
          </w:p>
        </w:tc>
        <w:tc>
          <w:tcPr>
            <w:tcW w:w="4961" w:type="dxa"/>
            <w:hideMark/>
          </w:tcPr>
          <w:p w14:paraId="1455A34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281116EF" w14:textId="77777777" w:rsidTr="0076290B">
        <w:trPr>
          <w:cantSplit/>
          <w:trHeight w:val="57"/>
        </w:trPr>
        <w:tc>
          <w:tcPr>
            <w:tcW w:w="4815" w:type="dxa"/>
            <w:hideMark/>
          </w:tcPr>
          <w:p w14:paraId="425B7CA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CQHHS</w:t>
            </w:r>
          </w:p>
        </w:tc>
        <w:tc>
          <w:tcPr>
            <w:tcW w:w="4961" w:type="dxa"/>
            <w:hideMark/>
          </w:tcPr>
          <w:p w14:paraId="4AC9500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5EBA185E" w14:textId="77777777" w:rsidTr="0076290B">
        <w:trPr>
          <w:cantSplit/>
          <w:trHeight w:val="57"/>
        </w:trPr>
        <w:tc>
          <w:tcPr>
            <w:tcW w:w="4815" w:type="dxa"/>
            <w:hideMark/>
          </w:tcPr>
          <w:p w14:paraId="32A98D3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CQU</w:t>
            </w:r>
          </w:p>
        </w:tc>
        <w:tc>
          <w:tcPr>
            <w:tcW w:w="4961" w:type="dxa"/>
            <w:hideMark/>
          </w:tcPr>
          <w:p w14:paraId="2D9C42C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27A24AA2" w14:textId="77777777" w:rsidTr="0076290B">
        <w:trPr>
          <w:cantSplit/>
          <w:trHeight w:val="57"/>
        </w:trPr>
        <w:tc>
          <w:tcPr>
            <w:tcW w:w="4815" w:type="dxa"/>
            <w:hideMark/>
          </w:tcPr>
          <w:p w14:paraId="2445ACB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CQV</w:t>
            </w:r>
          </w:p>
        </w:tc>
        <w:tc>
          <w:tcPr>
            <w:tcW w:w="4961" w:type="dxa"/>
            <w:hideMark/>
          </w:tcPr>
          <w:p w14:paraId="1FFF7E7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5556BD55" w14:textId="77777777" w:rsidTr="0076290B">
        <w:trPr>
          <w:cantSplit/>
          <w:trHeight w:val="57"/>
        </w:trPr>
        <w:tc>
          <w:tcPr>
            <w:tcW w:w="4815" w:type="dxa"/>
            <w:hideMark/>
          </w:tcPr>
          <w:p w14:paraId="1815E85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DBS</w:t>
            </w:r>
          </w:p>
        </w:tc>
        <w:tc>
          <w:tcPr>
            <w:tcW w:w="4961" w:type="dxa"/>
            <w:hideMark/>
          </w:tcPr>
          <w:p w14:paraId="1B7E3F7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0C686FE1" w14:textId="77777777" w:rsidTr="0076290B">
        <w:trPr>
          <w:cantSplit/>
          <w:trHeight w:val="57"/>
        </w:trPr>
        <w:tc>
          <w:tcPr>
            <w:tcW w:w="4815" w:type="dxa"/>
            <w:hideMark/>
          </w:tcPr>
          <w:p w14:paraId="7BAA49A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Department of Aboriginal and Torres Strait Islander Partnerships </w:t>
            </w:r>
          </w:p>
        </w:tc>
        <w:tc>
          <w:tcPr>
            <w:tcW w:w="4961" w:type="dxa"/>
            <w:hideMark/>
          </w:tcPr>
          <w:p w14:paraId="4ED9965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0841251D" w14:textId="77777777" w:rsidTr="0076290B">
        <w:trPr>
          <w:cantSplit/>
          <w:trHeight w:val="57"/>
        </w:trPr>
        <w:tc>
          <w:tcPr>
            <w:tcW w:w="4815" w:type="dxa"/>
            <w:hideMark/>
          </w:tcPr>
          <w:p w14:paraId="1D98C50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Destiny Designed</w:t>
            </w:r>
          </w:p>
        </w:tc>
        <w:tc>
          <w:tcPr>
            <w:tcW w:w="4961" w:type="dxa"/>
            <w:hideMark/>
          </w:tcPr>
          <w:p w14:paraId="08CBA9E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6C303A68" w14:textId="77777777" w:rsidTr="0076290B">
        <w:trPr>
          <w:cantSplit/>
          <w:trHeight w:val="57"/>
        </w:trPr>
        <w:tc>
          <w:tcPr>
            <w:tcW w:w="4815" w:type="dxa"/>
            <w:hideMark/>
          </w:tcPr>
          <w:p w14:paraId="46396D20" w14:textId="05059AF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Regional Development Australia. </w:t>
            </w:r>
          </w:p>
        </w:tc>
        <w:tc>
          <w:tcPr>
            <w:tcW w:w="4961" w:type="dxa"/>
            <w:hideMark/>
          </w:tcPr>
          <w:p w14:paraId="241C492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5EBD7C9D" w14:textId="77777777" w:rsidTr="0076290B">
        <w:trPr>
          <w:cantSplit/>
          <w:trHeight w:val="57"/>
        </w:trPr>
        <w:tc>
          <w:tcPr>
            <w:tcW w:w="4815" w:type="dxa"/>
            <w:hideMark/>
          </w:tcPr>
          <w:p w14:paraId="113D99AD" w14:textId="4316AE8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JRT Group</w:t>
            </w:r>
          </w:p>
        </w:tc>
        <w:tc>
          <w:tcPr>
            <w:tcW w:w="4961" w:type="dxa"/>
            <w:hideMark/>
          </w:tcPr>
          <w:p w14:paraId="033D38E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433C1678" w14:textId="77777777" w:rsidTr="0076290B">
        <w:trPr>
          <w:cantSplit/>
          <w:trHeight w:val="57"/>
        </w:trPr>
        <w:tc>
          <w:tcPr>
            <w:tcW w:w="4815" w:type="dxa"/>
            <w:hideMark/>
          </w:tcPr>
          <w:p w14:paraId="26628CC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HY </w:t>
            </w:r>
          </w:p>
        </w:tc>
        <w:tc>
          <w:tcPr>
            <w:tcW w:w="4961" w:type="dxa"/>
            <w:hideMark/>
          </w:tcPr>
          <w:p w14:paraId="2DC03EF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7BBCDCCD" w14:textId="77777777" w:rsidTr="0076290B">
        <w:trPr>
          <w:cantSplit/>
          <w:trHeight w:val="57"/>
        </w:trPr>
        <w:tc>
          <w:tcPr>
            <w:tcW w:w="4815" w:type="dxa"/>
            <w:hideMark/>
          </w:tcPr>
          <w:p w14:paraId="7336CEC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Kangalu </w:t>
            </w:r>
          </w:p>
        </w:tc>
        <w:tc>
          <w:tcPr>
            <w:tcW w:w="4961" w:type="dxa"/>
            <w:hideMark/>
          </w:tcPr>
          <w:p w14:paraId="18A7E30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2616C24F" w14:textId="77777777" w:rsidTr="0076290B">
        <w:trPr>
          <w:cantSplit/>
          <w:trHeight w:val="57"/>
        </w:trPr>
        <w:tc>
          <w:tcPr>
            <w:tcW w:w="4815" w:type="dxa"/>
            <w:hideMark/>
          </w:tcPr>
          <w:p w14:paraId="176FA833" w14:textId="58323EBE"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Department of Agriculture and Fisheries, QLD</w:t>
            </w:r>
          </w:p>
        </w:tc>
        <w:tc>
          <w:tcPr>
            <w:tcW w:w="4961" w:type="dxa"/>
            <w:hideMark/>
          </w:tcPr>
          <w:p w14:paraId="31946C9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3F446C82" w14:textId="77777777" w:rsidTr="0076290B">
        <w:trPr>
          <w:cantSplit/>
          <w:trHeight w:val="57"/>
        </w:trPr>
        <w:tc>
          <w:tcPr>
            <w:tcW w:w="4815" w:type="dxa"/>
            <w:hideMark/>
          </w:tcPr>
          <w:p w14:paraId="5229284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Neato</w:t>
            </w:r>
          </w:p>
        </w:tc>
        <w:tc>
          <w:tcPr>
            <w:tcW w:w="4961" w:type="dxa"/>
            <w:hideMark/>
          </w:tcPr>
          <w:p w14:paraId="0FFB85B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2085D792" w14:textId="77777777" w:rsidTr="0076290B">
        <w:trPr>
          <w:cantSplit/>
          <w:trHeight w:val="57"/>
        </w:trPr>
        <w:tc>
          <w:tcPr>
            <w:tcW w:w="4815" w:type="dxa"/>
            <w:hideMark/>
          </w:tcPr>
          <w:p w14:paraId="3F037A36" w14:textId="1A9DE6B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Department of Employment, Small Business and Training, QLD </w:t>
            </w:r>
          </w:p>
        </w:tc>
        <w:tc>
          <w:tcPr>
            <w:tcW w:w="4961" w:type="dxa"/>
            <w:hideMark/>
          </w:tcPr>
          <w:p w14:paraId="0374524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7AEA0746" w14:textId="77777777" w:rsidTr="0076290B">
        <w:trPr>
          <w:cantSplit/>
          <w:trHeight w:val="57"/>
        </w:trPr>
        <w:tc>
          <w:tcPr>
            <w:tcW w:w="4815" w:type="dxa"/>
            <w:hideMark/>
          </w:tcPr>
          <w:p w14:paraId="49ABCB17" w14:textId="13A4812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Department of Aboriginal and Torres Strait Islander Partnerships</w:t>
            </w:r>
          </w:p>
        </w:tc>
        <w:tc>
          <w:tcPr>
            <w:tcW w:w="4961" w:type="dxa"/>
            <w:hideMark/>
          </w:tcPr>
          <w:p w14:paraId="5E9AFD0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08EA8FDB" w14:textId="77777777" w:rsidTr="0076290B">
        <w:trPr>
          <w:cantSplit/>
          <w:trHeight w:val="57"/>
        </w:trPr>
        <w:tc>
          <w:tcPr>
            <w:tcW w:w="4815" w:type="dxa"/>
            <w:hideMark/>
          </w:tcPr>
          <w:p w14:paraId="7F2613CB" w14:textId="28FC156E"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Roseberry</w:t>
            </w:r>
          </w:p>
        </w:tc>
        <w:tc>
          <w:tcPr>
            <w:tcW w:w="4961" w:type="dxa"/>
            <w:hideMark/>
          </w:tcPr>
          <w:p w14:paraId="72D24D4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171C9623" w14:textId="77777777" w:rsidTr="0076290B">
        <w:trPr>
          <w:cantSplit/>
          <w:trHeight w:val="57"/>
        </w:trPr>
        <w:tc>
          <w:tcPr>
            <w:tcW w:w="4815" w:type="dxa"/>
            <w:hideMark/>
          </w:tcPr>
          <w:p w14:paraId="299D84E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Transport and Main Roads QLD</w:t>
            </w:r>
          </w:p>
        </w:tc>
        <w:tc>
          <w:tcPr>
            <w:tcW w:w="4961" w:type="dxa"/>
            <w:hideMark/>
          </w:tcPr>
          <w:p w14:paraId="1B012CB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Rockhampton </w:t>
            </w:r>
          </w:p>
        </w:tc>
      </w:tr>
      <w:tr w:rsidR="0093006A" w:rsidRPr="0093006A" w14:paraId="0C1DA53F" w14:textId="77777777" w:rsidTr="0076290B">
        <w:trPr>
          <w:cantSplit/>
          <w:trHeight w:val="57"/>
        </w:trPr>
        <w:tc>
          <w:tcPr>
            <w:tcW w:w="4815" w:type="dxa"/>
            <w:hideMark/>
          </w:tcPr>
          <w:p w14:paraId="3EB87EA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AYSA </w:t>
            </w:r>
          </w:p>
        </w:tc>
        <w:tc>
          <w:tcPr>
            <w:tcW w:w="4961" w:type="dxa"/>
            <w:hideMark/>
          </w:tcPr>
          <w:p w14:paraId="46DFA08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Southwest/Great Southern WA </w:t>
            </w:r>
          </w:p>
        </w:tc>
      </w:tr>
      <w:tr w:rsidR="0093006A" w:rsidRPr="0093006A" w14:paraId="27E63F50" w14:textId="77777777" w:rsidTr="0076290B">
        <w:trPr>
          <w:cantSplit/>
          <w:trHeight w:val="57"/>
        </w:trPr>
        <w:tc>
          <w:tcPr>
            <w:tcW w:w="4815" w:type="dxa"/>
            <w:hideMark/>
          </w:tcPr>
          <w:p w14:paraId="68592BB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CLC AWA </w:t>
            </w:r>
          </w:p>
        </w:tc>
        <w:tc>
          <w:tcPr>
            <w:tcW w:w="4961" w:type="dxa"/>
            <w:hideMark/>
          </w:tcPr>
          <w:p w14:paraId="3FEDFBE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Southwest/Great Southern WA </w:t>
            </w:r>
          </w:p>
        </w:tc>
      </w:tr>
      <w:tr w:rsidR="0093006A" w:rsidRPr="0093006A" w14:paraId="4CC4EA39" w14:textId="77777777" w:rsidTr="0076290B">
        <w:trPr>
          <w:cantSplit/>
          <w:trHeight w:val="57"/>
        </w:trPr>
        <w:tc>
          <w:tcPr>
            <w:tcW w:w="4815" w:type="dxa"/>
            <w:hideMark/>
          </w:tcPr>
          <w:p w14:paraId="4717AAD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Impact Services </w:t>
            </w:r>
          </w:p>
        </w:tc>
        <w:tc>
          <w:tcPr>
            <w:tcW w:w="4961" w:type="dxa"/>
            <w:hideMark/>
          </w:tcPr>
          <w:p w14:paraId="7201DE9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Southwest/Great Southern WA </w:t>
            </w:r>
          </w:p>
        </w:tc>
      </w:tr>
      <w:tr w:rsidR="0093006A" w:rsidRPr="0093006A" w14:paraId="44902BAA" w14:textId="77777777" w:rsidTr="0076290B">
        <w:trPr>
          <w:cantSplit/>
          <w:trHeight w:val="57"/>
        </w:trPr>
        <w:tc>
          <w:tcPr>
            <w:tcW w:w="4815" w:type="dxa"/>
            <w:hideMark/>
          </w:tcPr>
          <w:p w14:paraId="395A5C5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Push Consult</w:t>
            </w:r>
          </w:p>
        </w:tc>
        <w:tc>
          <w:tcPr>
            <w:tcW w:w="4961" w:type="dxa"/>
            <w:hideMark/>
          </w:tcPr>
          <w:p w14:paraId="5A95EC1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Southwest/Great Southern WA </w:t>
            </w:r>
          </w:p>
        </w:tc>
      </w:tr>
      <w:tr w:rsidR="0093006A" w:rsidRPr="0093006A" w14:paraId="22302957" w14:textId="77777777" w:rsidTr="0076290B">
        <w:trPr>
          <w:cantSplit/>
          <w:trHeight w:val="57"/>
        </w:trPr>
        <w:tc>
          <w:tcPr>
            <w:tcW w:w="4815" w:type="dxa"/>
            <w:hideMark/>
          </w:tcPr>
          <w:p w14:paraId="69E800C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Roelands Village </w:t>
            </w:r>
          </w:p>
        </w:tc>
        <w:tc>
          <w:tcPr>
            <w:tcW w:w="4961" w:type="dxa"/>
            <w:hideMark/>
          </w:tcPr>
          <w:p w14:paraId="0471F0D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Southwest/Great Southern WA </w:t>
            </w:r>
          </w:p>
        </w:tc>
      </w:tr>
      <w:tr w:rsidR="0093006A" w:rsidRPr="0093006A" w14:paraId="6FBD4DF7" w14:textId="77777777" w:rsidTr="0076290B">
        <w:trPr>
          <w:cantSplit/>
          <w:trHeight w:val="57"/>
        </w:trPr>
        <w:tc>
          <w:tcPr>
            <w:tcW w:w="4815" w:type="dxa"/>
            <w:hideMark/>
          </w:tcPr>
          <w:p w14:paraId="2CAEB6E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SA Corp </w:t>
            </w:r>
          </w:p>
        </w:tc>
        <w:tc>
          <w:tcPr>
            <w:tcW w:w="4961" w:type="dxa"/>
            <w:hideMark/>
          </w:tcPr>
          <w:p w14:paraId="45ABED5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Southwest/Great Southern WA </w:t>
            </w:r>
          </w:p>
        </w:tc>
      </w:tr>
      <w:tr w:rsidR="0093006A" w:rsidRPr="0093006A" w14:paraId="1867D62E" w14:textId="77777777" w:rsidTr="0076290B">
        <w:trPr>
          <w:cantSplit/>
          <w:trHeight w:val="57"/>
        </w:trPr>
        <w:tc>
          <w:tcPr>
            <w:tcW w:w="4815" w:type="dxa"/>
            <w:hideMark/>
          </w:tcPr>
          <w:p w14:paraId="4C64E66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Skill Hire </w:t>
            </w:r>
          </w:p>
        </w:tc>
        <w:tc>
          <w:tcPr>
            <w:tcW w:w="4961" w:type="dxa"/>
            <w:hideMark/>
          </w:tcPr>
          <w:p w14:paraId="55E6F59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Southwest/Great Southern WA </w:t>
            </w:r>
          </w:p>
        </w:tc>
      </w:tr>
      <w:tr w:rsidR="0093006A" w:rsidRPr="0093006A" w14:paraId="4710A62A" w14:textId="77777777" w:rsidTr="0076290B">
        <w:trPr>
          <w:cantSplit/>
          <w:trHeight w:val="57"/>
        </w:trPr>
        <w:tc>
          <w:tcPr>
            <w:tcW w:w="4815" w:type="dxa"/>
            <w:hideMark/>
          </w:tcPr>
          <w:p w14:paraId="62906B04" w14:textId="41DC5F4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Campbelltown City Council</w:t>
            </w:r>
          </w:p>
        </w:tc>
        <w:tc>
          <w:tcPr>
            <w:tcW w:w="4961" w:type="dxa"/>
            <w:hideMark/>
          </w:tcPr>
          <w:p w14:paraId="59665D2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7FF3A76E" w14:textId="77777777" w:rsidTr="0076290B">
        <w:trPr>
          <w:cantSplit/>
          <w:trHeight w:val="57"/>
        </w:trPr>
        <w:tc>
          <w:tcPr>
            <w:tcW w:w="4815" w:type="dxa"/>
            <w:hideMark/>
          </w:tcPr>
          <w:p w14:paraId="64C382E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ALC</w:t>
            </w:r>
          </w:p>
        </w:tc>
        <w:tc>
          <w:tcPr>
            <w:tcW w:w="4961" w:type="dxa"/>
            <w:hideMark/>
          </w:tcPr>
          <w:p w14:paraId="3B81DC7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6F1DE447" w14:textId="77777777" w:rsidTr="0076290B">
        <w:trPr>
          <w:cantSplit/>
          <w:trHeight w:val="57"/>
        </w:trPr>
        <w:tc>
          <w:tcPr>
            <w:tcW w:w="4815" w:type="dxa"/>
            <w:hideMark/>
          </w:tcPr>
          <w:p w14:paraId="416B1DD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APM Employment Services </w:t>
            </w:r>
          </w:p>
        </w:tc>
        <w:tc>
          <w:tcPr>
            <w:tcW w:w="4961" w:type="dxa"/>
            <w:hideMark/>
          </w:tcPr>
          <w:p w14:paraId="4565D80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33C50B33" w14:textId="77777777" w:rsidTr="0076290B">
        <w:trPr>
          <w:cantSplit/>
          <w:trHeight w:val="57"/>
        </w:trPr>
        <w:tc>
          <w:tcPr>
            <w:tcW w:w="4815" w:type="dxa"/>
            <w:hideMark/>
          </w:tcPr>
          <w:p w14:paraId="088D94FF" w14:textId="3E40A26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Apprenticeships International</w:t>
            </w:r>
          </w:p>
        </w:tc>
        <w:tc>
          <w:tcPr>
            <w:tcW w:w="4961" w:type="dxa"/>
            <w:hideMark/>
          </w:tcPr>
          <w:p w14:paraId="3A99A7B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23919D03" w14:textId="77777777" w:rsidTr="0076290B">
        <w:trPr>
          <w:cantSplit/>
          <w:trHeight w:val="57"/>
        </w:trPr>
        <w:tc>
          <w:tcPr>
            <w:tcW w:w="4815" w:type="dxa"/>
            <w:hideMark/>
          </w:tcPr>
          <w:p w14:paraId="294B81F0" w14:textId="50A3214F"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Gandangara Local Aboriginal Land Council</w:t>
            </w:r>
          </w:p>
        </w:tc>
        <w:tc>
          <w:tcPr>
            <w:tcW w:w="4961" w:type="dxa"/>
            <w:hideMark/>
          </w:tcPr>
          <w:p w14:paraId="50C4A8E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5C91FE52" w14:textId="77777777" w:rsidTr="0076290B">
        <w:trPr>
          <w:cantSplit/>
          <w:trHeight w:val="57"/>
        </w:trPr>
        <w:tc>
          <w:tcPr>
            <w:tcW w:w="4815" w:type="dxa"/>
            <w:hideMark/>
          </w:tcPr>
          <w:p w14:paraId="24413ACF" w14:textId="1D41B003"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Metropolitan Aboriginal Land Council</w:t>
            </w:r>
          </w:p>
        </w:tc>
        <w:tc>
          <w:tcPr>
            <w:tcW w:w="4961" w:type="dxa"/>
            <w:hideMark/>
          </w:tcPr>
          <w:p w14:paraId="7579CBF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4C631819" w14:textId="77777777" w:rsidTr="0076290B">
        <w:trPr>
          <w:cantSplit/>
          <w:trHeight w:val="57"/>
        </w:trPr>
        <w:tc>
          <w:tcPr>
            <w:tcW w:w="4815" w:type="dxa"/>
            <w:hideMark/>
          </w:tcPr>
          <w:p w14:paraId="67D66FEC" w14:textId="7C0A3489"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Yilabarra Solutions </w:t>
            </w:r>
          </w:p>
        </w:tc>
        <w:tc>
          <w:tcPr>
            <w:tcW w:w="4961" w:type="dxa"/>
            <w:hideMark/>
          </w:tcPr>
          <w:p w14:paraId="28908C4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6269EF32" w14:textId="77777777" w:rsidTr="0076290B">
        <w:trPr>
          <w:cantSplit/>
          <w:trHeight w:val="57"/>
        </w:trPr>
        <w:tc>
          <w:tcPr>
            <w:tcW w:w="4815" w:type="dxa"/>
            <w:hideMark/>
          </w:tcPr>
          <w:p w14:paraId="10A064C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Crystal Parker </w:t>
            </w:r>
          </w:p>
        </w:tc>
        <w:tc>
          <w:tcPr>
            <w:tcW w:w="4961" w:type="dxa"/>
            <w:hideMark/>
          </w:tcPr>
          <w:p w14:paraId="7446FD2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3804457A" w14:textId="77777777" w:rsidTr="0076290B">
        <w:trPr>
          <w:cantSplit/>
          <w:trHeight w:val="57"/>
        </w:trPr>
        <w:tc>
          <w:tcPr>
            <w:tcW w:w="4815" w:type="dxa"/>
            <w:hideMark/>
          </w:tcPr>
          <w:p w14:paraId="150A3618" w14:textId="2E8E569E"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Ability Options </w:t>
            </w:r>
          </w:p>
        </w:tc>
        <w:tc>
          <w:tcPr>
            <w:tcW w:w="4961" w:type="dxa"/>
            <w:hideMark/>
          </w:tcPr>
          <w:p w14:paraId="43CA03E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26272F16" w14:textId="77777777" w:rsidTr="0076290B">
        <w:trPr>
          <w:cantSplit/>
          <w:trHeight w:val="57"/>
        </w:trPr>
        <w:tc>
          <w:tcPr>
            <w:tcW w:w="4815" w:type="dxa"/>
            <w:hideMark/>
          </w:tcPr>
          <w:p w14:paraId="16EA38A2" w14:textId="259DC623"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Global Skills Employment Services</w:t>
            </w:r>
          </w:p>
        </w:tc>
        <w:tc>
          <w:tcPr>
            <w:tcW w:w="4961" w:type="dxa"/>
            <w:hideMark/>
          </w:tcPr>
          <w:p w14:paraId="328B542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65C68221" w14:textId="77777777" w:rsidTr="0076290B">
        <w:trPr>
          <w:cantSplit/>
          <w:trHeight w:val="57"/>
        </w:trPr>
        <w:tc>
          <w:tcPr>
            <w:tcW w:w="4815" w:type="dxa"/>
            <w:hideMark/>
          </w:tcPr>
          <w:p w14:paraId="48462234" w14:textId="30C70548"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Global Skills Employment Services </w:t>
            </w:r>
          </w:p>
        </w:tc>
        <w:tc>
          <w:tcPr>
            <w:tcW w:w="4961" w:type="dxa"/>
            <w:hideMark/>
          </w:tcPr>
          <w:p w14:paraId="459AFC1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253E1074" w14:textId="77777777" w:rsidTr="0076290B">
        <w:trPr>
          <w:cantSplit/>
          <w:trHeight w:val="57"/>
        </w:trPr>
        <w:tc>
          <w:tcPr>
            <w:tcW w:w="4815" w:type="dxa"/>
            <w:hideMark/>
          </w:tcPr>
          <w:p w14:paraId="0B7B2287" w14:textId="5E226974"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Community Junction Inc</w:t>
            </w:r>
          </w:p>
        </w:tc>
        <w:tc>
          <w:tcPr>
            <w:tcW w:w="4961" w:type="dxa"/>
            <w:hideMark/>
          </w:tcPr>
          <w:p w14:paraId="0DE8562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719E236F" w14:textId="77777777" w:rsidTr="0076290B">
        <w:trPr>
          <w:cantSplit/>
          <w:trHeight w:val="57"/>
        </w:trPr>
        <w:tc>
          <w:tcPr>
            <w:tcW w:w="4815" w:type="dxa"/>
            <w:hideMark/>
          </w:tcPr>
          <w:p w14:paraId="5909F666" w14:textId="69348039"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Aurora Education Foundation </w:t>
            </w:r>
          </w:p>
        </w:tc>
        <w:tc>
          <w:tcPr>
            <w:tcW w:w="4961" w:type="dxa"/>
            <w:hideMark/>
          </w:tcPr>
          <w:p w14:paraId="6E3E931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074D6516" w14:textId="77777777" w:rsidTr="0076290B">
        <w:trPr>
          <w:cantSplit/>
          <w:trHeight w:val="57"/>
        </w:trPr>
        <w:tc>
          <w:tcPr>
            <w:tcW w:w="4815" w:type="dxa"/>
            <w:hideMark/>
          </w:tcPr>
          <w:p w14:paraId="5AC2552E" w14:textId="1E27F8EE"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Asuria </w:t>
            </w:r>
          </w:p>
        </w:tc>
        <w:tc>
          <w:tcPr>
            <w:tcW w:w="4961" w:type="dxa"/>
            <w:hideMark/>
          </w:tcPr>
          <w:p w14:paraId="6C4AA94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5D3FA9C7" w14:textId="77777777" w:rsidTr="0076290B">
        <w:trPr>
          <w:cantSplit/>
          <w:trHeight w:val="57"/>
        </w:trPr>
        <w:tc>
          <w:tcPr>
            <w:tcW w:w="4815" w:type="dxa"/>
            <w:hideMark/>
          </w:tcPr>
          <w:p w14:paraId="3F2BB15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Jarrah House</w:t>
            </w:r>
          </w:p>
        </w:tc>
        <w:tc>
          <w:tcPr>
            <w:tcW w:w="4961" w:type="dxa"/>
            <w:hideMark/>
          </w:tcPr>
          <w:p w14:paraId="0A403BB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3CC1970D" w14:textId="77777777" w:rsidTr="0076290B">
        <w:trPr>
          <w:cantSplit/>
          <w:trHeight w:val="57"/>
        </w:trPr>
        <w:tc>
          <w:tcPr>
            <w:tcW w:w="4815" w:type="dxa"/>
            <w:hideMark/>
          </w:tcPr>
          <w:p w14:paraId="6E61306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LinkUp, NSW</w:t>
            </w:r>
          </w:p>
        </w:tc>
        <w:tc>
          <w:tcPr>
            <w:tcW w:w="4961" w:type="dxa"/>
            <w:hideMark/>
          </w:tcPr>
          <w:p w14:paraId="2189C11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0EC915AC" w14:textId="77777777" w:rsidTr="0076290B">
        <w:trPr>
          <w:cantSplit/>
          <w:trHeight w:val="57"/>
        </w:trPr>
        <w:tc>
          <w:tcPr>
            <w:tcW w:w="4815" w:type="dxa"/>
            <w:hideMark/>
          </w:tcPr>
          <w:p w14:paraId="69CCA5B0" w14:textId="7E857D5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Gandangara Local Aboriginal Land Council </w:t>
            </w:r>
          </w:p>
        </w:tc>
        <w:tc>
          <w:tcPr>
            <w:tcW w:w="4961" w:type="dxa"/>
            <w:hideMark/>
          </w:tcPr>
          <w:p w14:paraId="6AFD343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7CC44CA7" w14:textId="77777777" w:rsidTr="0076290B">
        <w:trPr>
          <w:cantSplit/>
          <w:trHeight w:val="57"/>
        </w:trPr>
        <w:tc>
          <w:tcPr>
            <w:tcW w:w="4815" w:type="dxa"/>
            <w:hideMark/>
          </w:tcPr>
          <w:p w14:paraId="53512C5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MatchWork – Indigenous Mentor</w:t>
            </w:r>
          </w:p>
        </w:tc>
        <w:tc>
          <w:tcPr>
            <w:tcW w:w="4961" w:type="dxa"/>
            <w:hideMark/>
          </w:tcPr>
          <w:p w14:paraId="6C1F030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63687ECD" w14:textId="77777777" w:rsidTr="0076290B">
        <w:trPr>
          <w:cantSplit/>
          <w:trHeight w:val="57"/>
        </w:trPr>
        <w:tc>
          <w:tcPr>
            <w:tcW w:w="4815" w:type="dxa"/>
            <w:hideMark/>
          </w:tcPr>
          <w:p w14:paraId="11BDA18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MEGT</w:t>
            </w:r>
          </w:p>
        </w:tc>
        <w:tc>
          <w:tcPr>
            <w:tcW w:w="4961" w:type="dxa"/>
            <w:hideMark/>
          </w:tcPr>
          <w:p w14:paraId="32EA591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4F89A482" w14:textId="77777777" w:rsidTr="0076290B">
        <w:trPr>
          <w:cantSplit/>
          <w:trHeight w:val="57"/>
        </w:trPr>
        <w:tc>
          <w:tcPr>
            <w:tcW w:w="4815" w:type="dxa"/>
            <w:hideMark/>
          </w:tcPr>
          <w:p w14:paraId="3AD56832" w14:textId="6226DD0E"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Aurora Education Foundation </w:t>
            </w:r>
          </w:p>
        </w:tc>
        <w:tc>
          <w:tcPr>
            <w:tcW w:w="4961" w:type="dxa"/>
            <w:hideMark/>
          </w:tcPr>
          <w:p w14:paraId="280B2B5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4CC8DF4F" w14:textId="77777777" w:rsidTr="0076290B">
        <w:trPr>
          <w:cantSplit/>
          <w:trHeight w:val="57"/>
        </w:trPr>
        <w:tc>
          <w:tcPr>
            <w:tcW w:w="4815" w:type="dxa"/>
            <w:hideMark/>
          </w:tcPr>
          <w:p w14:paraId="6E78E02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NSW Transport</w:t>
            </w:r>
          </w:p>
        </w:tc>
        <w:tc>
          <w:tcPr>
            <w:tcW w:w="4961" w:type="dxa"/>
            <w:hideMark/>
          </w:tcPr>
          <w:p w14:paraId="2E3BF23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04C56C15" w14:textId="77777777" w:rsidTr="0076290B">
        <w:trPr>
          <w:cantSplit/>
          <w:trHeight w:val="57"/>
        </w:trPr>
        <w:tc>
          <w:tcPr>
            <w:tcW w:w="4815" w:type="dxa"/>
            <w:hideMark/>
          </w:tcPr>
          <w:p w14:paraId="512BA8A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Opportunity Hub, Campbelltown</w:t>
            </w:r>
          </w:p>
        </w:tc>
        <w:tc>
          <w:tcPr>
            <w:tcW w:w="4961" w:type="dxa"/>
            <w:hideMark/>
          </w:tcPr>
          <w:p w14:paraId="12F2B98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2E5EF588" w14:textId="77777777" w:rsidTr="0076290B">
        <w:trPr>
          <w:cantSplit/>
          <w:trHeight w:val="57"/>
        </w:trPr>
        <w:tc>
          <w:tcPr>
            <w:tcW w:w="4815" w:type="dxa"/>
            <w:hideMark/>
          </w:tcPr>
          <w:p w14:paraId="22E8DA54" w14:textId="07FB4991"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Aboriginal Health &amp; Medical Research Council of NSW</w:t>
            </w:r>
          </w:p>
        </w:tc>
        <w:tc>
          <w:tcPr>
            <w:tcW w:w="4961" w:type="dxa"/>
            <w:hideMark/>
          </w:tcPr>
          <w:p w14:paraId="5A0C8BE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765B154A" w14:textId="77777777" w:rsidTr="0076290B">
        <w:trPr>
          <w:cantSplit/>
          <w:trHeight w:val="57"/>
        </w:trPr>
        <w:tc>
          <w:tcPr>
            <w:tcW w:w="4815" w:type="dxa"/>
            <w:hideMark/>
          </w:tcPr>
          <w:p w14:paraId="0BFE1E2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Real Futures </w:t>
            </w:r>
          </w:p>
        </w:tc>
        <w:tc>
          <w:tcPr>
            <w:tcW w:w="4961" w:type="dxa"/>
            <w:hideMark/>
          </w:tcPr>
          <w:p w14:paraId="2ED6828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6D3AAEAE" w14:textId="77777777" w:rsidTr="0076290B">
        <w:trPr>
          <w:cantSplit/>
          <w:trHeight w:val="57"/>
        </w:trPr>
        <w:tc>
          <w:tcPr>
            <w:tcW w:w="4815" w:type="dxa"/>
            <w:hideMark/>
          </w:tcPr>
          <w:p w14:paraId="1F4CAF5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Recruitment Consultant</w:t>
            </w:r>
          </w:p>
        </w:tc>
        <w:tc>
          <w:tcPr>
            <w:tcW w:w="4961" w:type="dxa"/>
            <w:hideMark/>
          </w:tcPr>
          <w:p w14:paraId="5BEEA4F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5A0E8400" w14:textId="77777777" w:rsidTr="0076290B">
        <w:trPr>
          <w:cantSplit/>
          <w:trHeight w:val="57"/>
        </w:trPr>
        <w:tc>
          <w:tcPr>
            <w:tcW w:w="4815" w:type="dxa"/>
            <w:hideMark/>
          </w:tcPr>
          <w:p w14:paraId="7F4C3015" w14:textId="4E41ED3B"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APM Employment Services </w:t>
            </w:r>
          </w:p>
        </w:tc>
        <w:tc>
          <w:tcPr>
            <w:tcW w:w="4961" w:type="dxa"/>
            <w:hideMark/>
          </w:tcPr>
          <w:p w14:paraId="28DDA4F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7FDA9567" w14:textId="77777777" w:rsidTr="0076290B">
        <w:trPr>
          <w:cantSplit/>
          <w:trHeight w:val="57"/>
        </w:trPr>
        <w:tc>
          <w:tcPr>
            <w:tcW w:w="4815" w:type="dxa"/>
            <w:hideMark/>
          </w:tcPr>
          <w:p w14:paraId="79EADFE5" w14:textId="5236DB0E"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Marksoo</w:t>
            </w:r>
          </w:p>
        </w:tc>
        <w:tc>
          <w:tcPr>
            <w:tcW w:w="4961" w:type="dxa"/>
            <w:hideMark/>
          </w:tcPr>
          <w:p w14:paraId="429C439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559F7585" w14:textId="77777777" w:rsidTr="0076290B">
        <w:trPr>
          <w:cantSplit/>
          <w:trHeight w:val="57"/>
        </w:trPr>
        <w:tc>
          <w:tcPr>
            <w:tcW w:w="4815" w:type="dxa"/>
            <w:hideMark/>
          </w:tcPr>
          <w:p w14:paraId="7FA29988" w14:textId="1D7E9423"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APM Employment Services</w:t>
            </w:r>
          </w:p>
        </w:tc>
        <w:tc>
          <w:tcPr>
            <w:tcW w:w="4961" w:type="dxa"/>
            <w:hideMark/>
          </w:tcPr>
          <w:p w14:paraId="1BE9063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4C39B503" w14:textId="77777777" w:rsidTr="0076290B">
        <w:trPr>
          <w:cantSplit/>
          <w:trHeight w:val="57"/>
        </w:trPr>
        <w:tc>
          <w:tcPr>
            <w:tcW w:w="4815" w:type="dxa"/>
            <w:hideMark/>
          </w:tcPr>
          <w:p w14:paraId="616C427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TAFE NSW</w:t>
            </w:r>
          </w:p>
        </w:tc>
        <w:tc>
          <w:tcPr>
            <w:tcW w:w="4961" w:type="dxa"/>
            <w:hideMark/>
          </w:tcPr>
          <w:p w14:paraId="113F80B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49F7CC5D" w14:textId="77777777" w:rsidTr="0076290B">
        <w:trPr>
          <w:cantSplit/>
          <w:trHeight w:val="57"/>
        </w:trPr>
        <w:tc>
          <w:tcPr>
            <w:tcW w:w="4815" w:type="dxa"/>
            <w:hideMark/>
          </w:tcPr>
          <w:p w14:paraId="5CE2075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Tharawal</w:t>
            </w:r>
          </w:p>
        </w:tc>
        <w:tc>
          <w:tcPr>
            <w:tcW w:w="4961" w:type="dxa"/>
            <w:hideMark/>
          </w:tcPr>
          <w:p w14:paraId="6640408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5F7AA292" w14:textId="77777777" w:rsidTr="0076290B">
        <w:trPr>
          <w:cantSplit/>
          <w:trHeight w:val="57"/>
        </w:trPr>
        <w:tc>
          <w:tcPr>
            <w:tcW w:w="4815" w:type="dxa"/>
            <w:hideMark/>
          </w:tcPr>
          <w:p w14:paraId="4267DF68" w14:textId="1C05B359"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TRA</w:t>
            </w:r>
            <w:r w:rsidR="001A5D81" w:rsidRPr="0093006A">
              <w:rPr>
                <w:rFonts w:cstheme="minorHAnsi"/>
                <w:color w:val="595959" w:themeColor="text1" w:themeTint="A6"/>
                <w:sz w:val="20"/>
                <w:szCs w:val="20"/>
              </w:rPr>
              <w:t>N</w:t>
            </w:r>
            <w:r w:rsidRPr="0093006A">
              <w:rPr>
                <w:rFonts w:cstheme="minorHAnsi"/>
                <w:color w:val="595959" w:themeColor="text1" w:themeTint="A6"/>
                <w:sz w:val="20"/>
                <w:szCs w:val="20"/>
              </w:rPr>
              <w:t xml:space="preserve">BY </w:t>
            </w:r>
          </w:p>
        </w:tc>
        <w:tc>
          <w:tcPr>
            <w:tcW w:w="4961" w:type="dxa"/>
            <w:hideMark/>
          </w:tcPr>
          <w:p w14:paraId="25F2678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5DC558E5" w14:textId="77777777" w:rsidTr="0076290B">
        <w:trPr>
          <w:cantSplit/>
          <w:trHeight w:val="57"/>
        </w:trPr>
        <w:tc>
          <w:tcPr>
            <w:tcW w:w="4815" w:type="dxa"/>
            <w:hideMark/>
          </w:tcPr>
          <w:p w14:paraId="7EBBB6E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Tribal Warrior</w:t>
            </w:r>
          </w:p>
        </w:tc>
        <w:tc>
          <w:tcPr>
            <w:tcW w:w="4961" w:type="dxa"/>
            <w:hideMark/>
          </w:tcPr>
          <w:p w14:paraId="026452B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2D152521" w14:textId="77777777" w:rsidTr="0076290B">
        <w:trPr>
          <w:cantSplit/>
          <w:trHeight w:val="57"/>
        </w:trPr>
        <w:tc>
          <w:tcPr>
            <w:tcW w:w="4815" w:type="dxa"/>
            <w:hideMark/>
          </w:tcPr>
          <w:p w14:paraId="76F0280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Weave</w:t>
            </w:r>
          </w:p>
        </w:tc>
        <w:tc>
          <w:tcPr>
            <w:tcW w:w="4961" w:type="dxa"/>
            <w:hideMark/>
          </w:tcPr>
          <w:p w14:paraId="763D69E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7EC27650" w14:textId="77777777" w:rsidTr="0076290B">
        <w:trPr>
          <w:cantSplit/>
          <w:trHeight w:val="57"/>
        </w:trPr>
        <w:tc>
          <w:tcPr>
            <w:tcW w:w="4815" w:type="dxa"/>
            <w:hideMark/>
          </w:tcPr>
          <w:p w14:paraId="1F3E24D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Yarn’n</w:t>
            </w:r>
          </w:p>
        </w:tc>
        <w:tc>
          <w:tcPr>
            <w:tcW w:w="4961" w:type="dxa"/>
            <w:hideMark/>
          </w:tcPr>
          <w:p w14:paraId="2E188C1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Sydney </w:t>
            </w:r>
          </w:p>
        </w:tc>
      </w:tr>
      <w:tr w:rsidR="0093006A" w:rsidRPr="0093006A" w14:paraId="2AEA5336" w14:textId="77777777" w:rsidTr="0076290B">
        <w:trPr>
          <w:cantSplit/>
          <w:trHeight w:val="57"/>
        </w:trPr>
        <w:tc>
          <w:tcPr>
            <w:tcW w:w="4815" w:type="dxa"/>
            <w:hideMark/>
          </w:tcPr>
          <w:p w14:paraId="0541CAD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Aboriginal Community Leadership Group</w:t>
            </w:r>
          </w:p>
        </w:tc>
        <w:tc>
          <w:tcPr>
            <w:tcW w:w="4961" w:type="dxa"/>
            <w:hideMark/>
          </w:tcPr>
          <w:p w14:paraId="48100DB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Tennant Creek </w:t>
            </w:r>
          </w:p>
        </w:tc>
      </w:tr>
      <w:tr w:rsidR="0093006A" w:rsidRPr="0093006A" w14:paraId="7516A672" w14:textId="77777777" w:rsidTr="0076290B">
        <w:trPr>
          <w:cantSplit/>
          <w:trHeight w:val="57"/>
        </w:trPr>
        <w:tc>
          <w:tcPr>
            <w:tcW w:w="4815" w:type="dxa"/>
            <w:hideMark/>
          </w:tcPr>
          <w:p w14:paraId="7A87078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Aboriginal Corporations Leadership Group </w:t>
            </w:r>
          </w:p>
        </w:tc>
        <w:tc>
          <w:tcPr>
            <w:tcW w:w="4961" w:type="dxa"/>
            <w:hideMark/>
          </w:tcPr>
          <w:p w14:paraId="29386F6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Tennant Creek </w:t>
            </w:r>
          </w:p>
        </w:tc>
      </w:tr>
      <w:tr w:rsidR="0093006A" w:rsidRPr="0093006A" w14:paraId="6CA83435" w14:textId="77777777" w:rsidTr="0076290B">
        <w:trPr>
          <w:cantSplit/>
          <w:trHeight w:val="57"/>
        </w:trPr>
        <w:tc>
          <w:tcPr>
            <w:tcW w:w="4815" w:type="dxa"/>
            <w:hideMark/>
          </w:tcPr>
          <w:p w14:paraId="00FC501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Barkley Backbone Team </w:t>
            </w:r>
          </w:p>
        </w:tc>
        <w:tc>
          <w:tcPr>
            <w:tcW w:w="4961" w:type="dxa"/>
            <w:hideMark/>
          </w:tcPr>
          <w:p w14:paraId="6A9837F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Tennant Creek </w:t>
            </w:r>
          </w:p>
        </w:tc>
      </w:tr>
      <w:tr w:rsidR="0093006A" w:rsidRPr="0093006A" w14:paraId="18AAB773" w14:textId="77777777" w:rsidTr="0076290B">
        <w:trPr>
          <w:cantSplit/>
          <w:trHeight w:val="57"/>
        </w:trPr>
        <w:tc>
          <w:tcPr>
            <w:tcW w:w="4815" w:type="dxa"/>
            <w:hideMark/>
          </w:tcPr>
          <w:p w14:paraId="0BE7B80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Department of Industry, Tourism and Trade</w:t>
            </w:r>
          </w:p>
        </w:tc>
        <w:tc>
          <w:tcPr>
            <w:tcW w:w="4961" w:type="dxa"/>
            <w:hideMark/>
          </w:tcPr>
          <w:p w14:paraId="538B0E2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Tennant Creek </w:t>
            </w:r>
          </w:p>
        </w:tc>
      </w:tr>
      <w:tr w:rsidR="0093006A" w:rsidRPr="0093006A" w14:paraId="568976D4" w14:textId="77777777" w:rsidTr="0076290B">
        <w:trPr>
          <w:cantSplit/>
          <w:trHeight w:val="57"/>
        </w:trPr>
        <w:tc>
          <w:tcPr>
            <w:tcW w:w="4815" w:type="dxa"/>
            <w:hideMark/>
          </w:tcPr>
          <w:p w14:paraId="684C82F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Group Training Northern Territory  </w:t>
            </w:r>
          </w:p>
        </w:tc>
        <w:tc>
          <w:tcPr>
            <w:tcW w:w="4961" w:type="dxa"/>
            <w:hideMark/>
          </w:tcPr>
          <w:p w14:paraId="5A49A69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Tennant Creek </w:t>
            </w:r>
          </w:p>
        </w:tc>
      </w:tr>
      <w:tr w:rsidR="0093006A" w:rsidRPr="0093006A" w14:paraId="17224E62" w14:textId="77777777" w:rsidTr="0076290B">
        <w:trPr>
          <w:cantSplit/>
          <w:trHeight w:val="57"/>
        </w:trPr>
        <w:tc>
          <w:tcPr>
            <w:tcW w:w="4815" w:type="dxa"/>
            <w:hideMark/>
          </w:tcPr>
          <w:p w14:paraId="72A079C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National Business Development for Outback </w:t>
            </w:r>
          </w:p>
        </w:tc>
        <w:tc>
          <w:tcPr>
            <w:tcW w:w="4961" w:type="dxa"/>
            <w:hideMark/>
          </w:tcPr>
          <w:p w14:paraId="116CD48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Tennant Creek </w:t>
            </w:r>
          </w:p>
        </w:tc>
      </w:tr>
      <w:tr w:rsidR="0093006A" w:rsidRPr="0093006A" w14:paraId="3A65F8CA" w14:textId="77777777" w:rsidTr="0076290B">
        <w:trPr>
          <w:cantSplit/>
          <w:trHeight w:val="57"/>
        </w:trPr>
        <w:tc>
          <w:tcPr>
            <w:tcW w:w="4815" w:type="dxa"/>
            <w:hideMark/>
          </w:tcPr>
          <w:p w14:paraId="1A25CB7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Rise Ngurratjuta Employment Services </w:t>
            </w:r>
          </w:p>
        </w:tc>
        <w:tc>
          <w:tcPr>
            <w:tcW w:w="4961" w:type="dxa"/>
            <w:hideMark/>
          </w:tcPr>
          <w:p w14:paraId="36FA464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Tennant Creek </w:t>
            </w:r>
          </w:p>
        </w:tc>
      </w:tr>
      <w:tr w:rsidR="0093006A" w:rsidRPr="0093006A" w14:paraId="6FA90498" w14:textId="77777777" w:rsidTr="0076290B">
        <w:trPr>
          <w:cantSplit/>
          <w:trHeight w:val="57"/>
        </w:trPr>
        <w:tc>
          <w:tcPr>
            <w:tcW w:w="4815" w:type="dxa"/>
            <w:hideMark/>
          </w:tcPr>
          <w:p w14:paraId="75063AA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AgForce</w:t>
            </w:r>
          </w:p>
        </w:tc>
        <w:tc>
          <w:tcPr>
            <w:tcW w:w="4961" w:type="dxa"/>
            <w:hideMark/>
          </w:tcPr>
          <w:p w14:paraId="0B05916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48CEB636" w14:textId="77777777" w:rsidTr="0076290B">
        <w:trPr>
          <w:cantSplit/>
          <w:trHeight w:val="57"/>
        </w:trPr>
        <w:tc>
          <w:tcPr>
            <w:tcW w:w="4815" w:type="dxa"/>
            <w:hideMark/>
          </w:tcPr>
          <w:p w14:paraId="4222410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Carbal</w:t>
            </w:r>
          </w:p>
        </w:tc>
        <w:tc>
          <w:tcPr>
            <w:tcW w:w="4961" w:type="dxa"/>
            <w:hideMark/>
          </w:tcPr>
          <w:p w14:paraId="3726065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4D4F90B6" w14:textId="77777777" w:rsidTr="0076290B">
        <w:trPr>
          <w:cantSplit/>
          <w:trHeight w:val="57"/>
        </w:trPr>
        <w:tc>
          <w:tcPr>
            <w:tcW w:w="4815" w:type="dxa"/>
            <w:hideMark/>
          </w:tcPr>
          <w:p w14:paraId="3D3117B3" w14:textId="21BE0C64"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Goondir </w:t>
            </w:r>
          </w:p>
        </w:tc>
        <w:tc>
          <w:tcPr>
            <w:tcW w:w="4961" w:type="dxa"/>
            <w:hideMark/>
          </w:tcPr>
          <w:p w14:paraId="1F66FEF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5D97F007" w14:textId="77777777" w:rsidTr="0076290B">
        <w:trPr>
          <w:cantSplit/>
          <w:trHeight w:val="57"/>
        </w:trPr>
        <w:tc>
          <w:tcPr>
            <w:tcW w:w="4815" w:type="dxa"/>
            <w:hideMark/>
          </w:tcPr>
          <w:p w14:paraId="006F6732" w14:textId="12EE0E81"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Goolburri</w:t>
            </w:r>
          </w:p>
        </w:tc>
        <w:tc>
          <w:tcPr>
            <w:tcW w:w="4961" w:type="dxa"/>
            <w:hideMark/>
          </w:tcPr>
          <w:p w14:paraId="4CD68AC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399D3C0A" w14:textId="77777777" w:rsidTr="0076290B">
        <w:trPr>
          <w:cantSplit/>
          <w:trHeight w:val="57"/>
        </w:trPr>
        <w:tc>
          <w:tcPr>
            <w:tcW w:w="4815" w:type="dxa"/>
            <w:hideMark/>
          </w:tcPr>
          <w:p w14:paraId="28E0372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DPC</w:t>
            </w:r>
          </w:p>
        </w:tc>
        <w:tc>
          <w:tcPr>
            <w:tcW w:w="4961" w:type="dxa"/>
            <w:hideMark/>
          </w:tcPr>
          <w:p w14:paraId="3CAFA6C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746CDBD8" w14:textId="77777777" w:rsidTr="0076290B">
        <w:trPr>
          <w:cantSplit/>
          <w:trHeight w:val="57"/>
        </w:trPr>
        <w:tc>
          <w:tcPr>
            <w:tcW w:w="4815" w:type="dxa"/>
            <w:hideMark/>
          </w:tcPr>
          <w:p w14:paraId="6015241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DSDILGP</w:t>
            </w:r>
          </w:p>
        </w:tc>
        <w:tc>
          <w:tcPr>
            <w:tcW w:w="4961" w:type="dxa"/>
            <w:hideMark/>
          </w:tcPr>
          <w:p w14:paraId="2617A6F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72878D72" w14:textId="77777777" w:rsidTr="0076290B">
        <w:trPr>
          <w:cantSplit/>
          <w:trHeight w:val="57"/>
        </w:trPr>
        <w:tc>
          <w:tcPr>
            <w:tcW w:w="4815" w:type="dxa"/>
            <w:hideMark/>
          </w:tcPr>
          <w:p w14:paraId="0F3ADB5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DSDSATSIP </w:t>
            </w:r>
          </w:p>
        </w:tc>
        <w:tc>
          <w:tcPr>
            <w:tcW w:w="4961" w:type="dxa"/>
            <w:hideMark/>
          </w:tcPr>
          <w:p w14:paraId="5FFC70F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37C2D3C5" w14:textId="77777777" w:rsidTr="0076290B">
        <w:trPr>
          <w:cantSplit/>
          <w:trHeight w:val="57"/>
        </w:trPr>
        <w:tc>
          <w:tcPr>
            <w:tcW w:w="4815" w:type="dxa"/>
            <w:hideMark/>
          </w:tcPr>
          <w:p w14:paraId="554A521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Education QLD</w:t>
            </w:r>
          </w:p>
        </w:tc>
        <w:tc>
          <w:tcPr>
            <w:tcW w:w="4961" w:type="dxa"/>
            <w:hideMark/>
          </w:tcPr>
          <w:p w14:paraId="1F3B0F3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7B47A257" w14:textId="77777777" w:rsidTr="0076290B">
        <w:trPr>
          <w:cantSplit/>
          <w:trHeight w:val="57"/>
        </w:trPr>
        <w:tc>
          <w:tcPr>
            <w:tcW w:w="4815" w:type="dxa"/>
            <w:hideMark/>
          </w:tcPr>
          <w:p w14:paraId="484307E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Exceed 100</w:t>
            </w:r>
          </w:p>
        </w:tc>
        <w:tc>
          <w:tcPr>
            <w:tcW w:w="4961" w:type="dxa"/>
            <w:hideMark/>
          </w:tcPr>
          <w:p w14:paraId="4E9312D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66CA7D6A" w14:textId="77777777" w:rsidTr="0076290B">
        <w:trPr>
          <w:cantSplit/>
          <w:trHeight w:val="57"/>
        </w:trPr>
        <w:tc>
          <w:tcPr>
            <w:tcW w:w="4815" w:type="dxa"/>
            <w:hideMark/>
          </w:tcPr>
          <w:p w14:paraId="062BDFB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GM Energy </w:t>
            </w:r>
          </w:p>
        </w:tc>
        <w:tc>
          <w:tcPr>
            <w:tcW w:w="4961" w:type="dxa"/>
            <w:hideMark/>
          </w:tcPr>
          <w:p w14:paraId="5C3134F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27037FCA" w14:textId="77777777" w:rsidTr="0076290B">
        <w:trPr>
          <w:cantSplit/>
          <w:trHeight w:val="57"/>
        </w:trPr>
        <w:tc>
          <w:tcPr>
            <w:tcW w:w="4815" w:type="dxa"/>
            <w:hideMark/>
          </w:tcPr>
          <w:p w14:paraId="013A2B7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Goondir</w:t>
            </w:r>
          </w:p>
        </w:tc>
        <w:tc>
          <w:tcPr>
            <w:tcW w:w="4961" w:type="dxa"/>
            <w:hideMark/>
          </w:tcPr>
          <w:p w14:paraId="2FA34E6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7F15D0FA" w14:textId="77777777" w:rsidTr="0076290B">
        <w:trPr>
          <w:cantSplit/>
          <w:trHeight w:val="57"/>
        </w:trPr>
        <w:tc>
          <w:tcPr>
            <w:tcW w:w="4815" w:type="dxa"/>
            <w:hideMark/>
          </w:tcPr>
          <w:p w14:paraId="4C4A3A7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Harness Energy </w:t>
            </w:r>
          </w:p>
        </w:tc>
        <w:tc>
          <w:tcPr>
            <w:tcW w:w="4961" w:type="dxa"/>
            <w:hideMark/>
          </w:tcPr>
          <w:p w14:paraId="56B1D3C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7ECC1AEE" w14:textId="77777777" w:rsidTr="0076290B">
        <w:trPr>
          <w:cantSplit/>
          <w:trHeight w:val="57"/>
        </w:trPr>
        <w:tc>
          <w:tcPr>
            <w:tcW w:w="4815" w:type="dxa"/>
            <w:hideMark/>
          </w:tcPr>
          <w:p w14:paraId="02FF11A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Inland Rail</w:t>
            </w:r>
          </w:p>
        </w:tc>
        <w:tc>
          <w:tcPr>
            <w:tcW w:w="4961" w:type="dxa"/>
            <w:hideMark/>
          </w:tcPr>
          <w:p w14:paraId="0E55709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26828DE5" w14:textId="77777777" w:rsidTr="0076290B">
        <w:trPr>
          <w:cantSplit/>
          <w:trHeight w:val="57"/>
        </w:trPr>
        <w:tc>
          <w:tcPr>
            <w:tcW w:w="4815" w:type="dxa"/>
            <w:hideMark/>
          </w:tcPr>
          <w:p w14:paraId="77320C6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NDIS – Carers QLD</w:t>
            </w:r>
          </w:p>
        </w:tc>
        <w:tc>
          <w:tcPr>
            <w:tcW w:w="4961" w:type="dxa"/>
            <w:hideMark/>
          </w:tcPr>
          <w:p w14:paraId="5612B3A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5B389EB4" w14:textId="77777777" w:rsidTr="0076290B">
        <w:trPr>
          <w:cantSplit/>
          <w:trHeight w:val="57"/>
        </w:trPr>
        <w:tc>
          <w:tcPr>
            <w:tcW w:w="4815" w:type="dxa"/>
            <w:hideMark/>
          </w:tcPr>
          <w:p w14:paraId="798A5292" w14:textId="51AF2AD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Indigenous Health </w:t>
            </w:r>
          </w:p>
        </w:tc>
        <w:tc>
          <w:tcPr>
            <w:tcW w:w="4961" w:type="dxa"/>
            <w:hideMark/>
          </w:tcPr>
          <w:p w14:paraId="4A8E96B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2799DB6A" w14:textId="77777777" w:rsidTr="0076290B">
        <w:trPr>
          <w:cantSplit/>
          <w:trHeight w:val="57"/>
        </w:trPr>
        <w:tc>
          <w:tcPr>
            <w:tcW w:w="4815" w:type="dxa"/>
            <w:hideMark/>
          </w:tcPr>
          <w:p w14:paraId="262D506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RD DESBT</w:t>
            </w:r>
          </w:p>
        </w:tc>
        <w:tc>
          <w:tcPr>
            <w:tcW w:w="4961" w:type="dxa"/>
            <w:hideMark/>
          </w:tcPr>
          <w:p w14:paraId="3371962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2FCA06B8" w14:textId="77777777" w:rsidTr="0076290B">
        <w:trPr>
          <w:cantSplit/>
          <w:trHeight w:val="57"/>
        </w:trPr>
        <w:tc>
          <w:tcPr>
            <w:tcW w:w="4815" w:type="dxa"/>
            <w:hideMark/>
          </w:tcPr>
          <w:p w14:paraId="5483406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RDA DASW </w:t>
            </w:r>
          </w:p>
        </w:tc>
        <w:tc>
          <w:tcPr>
            <w:tcW w:w="4961" w:type="dxa"/>
            <w:hideMark/>
          </w:tcPr>
          <w:p w14:paraId="4A4AB9E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0B69EA23" w14:textId="77777777" w:rsidTr="0076290B">
        <w:trPr>
          <w:cantSplit/>
          <w:trHeight w:val="57"/>
        </w:trPr>
        <w:tc>
          <w:tcPr>
            <w:tcW w:w="4815" w:type="dxa"/>
            <w:hideMark/>
          </w:tcPr>
          <w:p w14:paraId="74707EBB" w14:textId="480BCBAE"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SWIN</w:t>
            </w:r>
          </w:p>
        </w:tc>
        <w:tc>
          <w:tcPr>
            <w:tcW w:w="4961" w:type="dxa"/>
            <w:hideMark/>
          </w:tcPr>
          <w:p w14:paraId="1ABACD7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Toowoomba </w:t>
            </w:r>
          </w:p>
        </w:tc>
      </w:tr>
      <w:tr w:rsidR="0093006A" w:rsidRPr="0093006A" w14:paraId="73728130" w14:textId="77777777" w:rsidTr="0076290B">
        <w:trPr>
          <w:cantSplit/>
          <w:trHeight w:val="57"/>
        </w:trPr>
        <w:tc>
          <w:tcPr>
            <w:tcW w:w="4815" w:type="dxa"/>
            <w:hideMark/>
          </w:tcPr>
          <w:p w14:paraId="7947FD4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ABIS Community Housing</w:t>
            </w:r>
          </w:p>
        </w:tc>
        <w:tc>
          <w:tcPr>
            <w:tcW w:w="4961" w:type="dxa"/>
            <w:hideMark/>
          </w:tcPr>
          <w:p w14:paraId="59CB9DD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2242B1FE" w14:textId="77777777" w:rsidTr="0076290B">
        <w:trPr>
          <w:cantSplit/>
          <w:trHeight w:val="57"/>
        </w:trPr>
        <w:tc>
          <w:tcPr>
            <w:tcW w:w="4815" w:type="dxa"/>
            <w:hideMark/>
          </w:tcPr>
          <w:p w14:paraId="0AD310F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Access Community Services</w:t>
            </w:r>
          </w:p>
        </w:tc>
        <w:tc>
          <w:tcPr>
            <w:tcW w:w="4961" w:type="dxa"/>
            <w:hideMark/>
          </w:tcPr>
          <w:p w14:paraId="5E3E976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A9CBBAC" w14:textId="77777777" w:rsidTr="0076290B">
        <w:trPr>
          <w:cantSplit/>
          <w:trHeight w:val="57"/>
        </w:trPr>
        <w:tc>
          <w:tcPr>
            <w:tcW w:w="4815" w:type="dxa"/>
            <w:hideMark/>
          </w:tcPr>
          <w:p w14:paraId="73B32ED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Active One</w:t>
            </w:r>
          </w:p>
        </w:tc>
        <w:tc>
          <w:tcPr>
            <w:tcW w:w="4961" w:type="dxa"/>
            <w:hideMark/>
          </w:tcPr>
          <w:p w14:paraId="3C19F36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D848738" w14:textId="77777777" w:rsidTr="0076290B">
        <w:trPr>
          <w:cantSplit/>
          <w:trHeight w:val="57"/>
        </w:trPr>
        <w:tc>
          <w:tcPr>
            <w:tcW w:w="4815" w:type="dxa"/>
            <w:hideMark/>
          </w:tcPr>
          <w:p w14:paraId="79D880D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ATSWLSNP</w:t>
            </w:r>
          </w:p>
        </w:tc>
        <w:tc>
          <w:tcPr>
            <w:tcW w:w="4961" w:type="dxa"/>
            <w:hideMark/>
          </w:tcPr>
          <w:p w14:paraId="01D46DC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2329F08E" w14:textId="77777777" w:rsidTr="0076290B">
        <w:trPr>
          <w:cantSplit/>
          <w:trHeight w:val="57"/>
        </w:trPr>
        <w:tc>
          <w:tcPr>
            <w:tcW w:w="4815" w:type="dxa"/>
            <w:hideMark/>
          </w:tcPr>
          <w:p w14:paraId="704448F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AWX</w:t>
            </w:r>
          </w:p>
        </w:tc>
        <w:tc>
          <w:tcPr>
            <w:tcW w:w="4961" w:type="dxa"/>
            <w:hideMark/>
          </w:tcPr>
          <w:p w14:paraId="06AFD9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3F8C577C" w14:textId="77777777" w:rsidTr="0076290B">
        <w:trPr>
          <w:cantSplit/>
          <w:trHeight w:val="57"/>
        </w:trPr>
        <w:tc>
          <w:tcPr>
            <w:tcW w:w="4815" w:type="dxa"/>
            <w:hideMark/>
          </w:tcPr>
          <w:p w14:paraId="1AFE2D1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BESIX Watpac </w:t>
            </w:r>
          </w:p>
        </w:tc>
        <w:tc>
          <w:tcPr>
            <w:tcW w:w="4961" w:type="dxa"/>
            <w:hideMark/>
          </w:tcPr>
          <w:p w14:paraId="241472F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79F2A14A" w14:textId="77777777" w:rsidTr="0076290B">
        <w:trPr>
          <w:cantSplit/>
          <w:trHeight w:val="57"/>
        </w:trPr>
        <w:tc>
          <w:tcPr>
            <w:tcW w:w="4815" w:type="dxa"/>
            <w:hideMark/>
          </w:tcPr>
          <w:p w14:paraId="0605086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CBD</w:t>
            </w:r>
          </w:p>
        </w:tc>
        <w:tc>
          <w:tcPr>
            <w:tcW w:w="4961" w:type="dxa"/>
            <w:hideMark/>
          </w:tcPr>
          <w:p w14:paraId="0A1F9DB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5695961A" w14:textId="77777777" w:rsidTr="0076290B">
        <w:trPr>
          <w:cantSplit/>
          <w:trHeight w:val="57"/>
        </w:trPr>
        <w:tc>
          <w:tcPr>
            <w:tcW w:w="4815" w:type="dxa"/>
            <w:hideMark/>
          </w:tcPr>
          <w:p w14:paraId="6C2280F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Cowboys</w:t>
            </w:r>
          </w:p>
        </w:tc>
        <w:tc>
          <w:tcPr>
            <w:tcW w:w="4961" w:type="dxa"/>
            <w:hideMark/>
          </w:tcPr>
          <w:p w14:paraId="02BAE2A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03F558BC" w14:textId="77777777" w:rsidTr="0076290B">
        <w:trPr>
          <w:cantSplit/>
          <w:trHeight w:val="57"/>
        </w:trPr>
        <w:tc>
          <w:tcPr>
            <w:tcW w:w="4815" w:type="dxa"/>
            <w:hideMark/>
          </w:tcPr>
          <w:p w14:paraId="43AC4C3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CQU</w:t>
            </w:r>
          </w:p>
        </w:tc>
        <w:tc>
          <w:tcPr>
            <w:tcW w:w="4961" w:type="dxa"/>
            <w:hideMark/>
          </w:tcPr>
          <w:p w14:paraId="43F4087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6BD09653" w14:textId="77777777" w:rsidTr="0076290B">
        <w:trPr>
          <w:cantSplit/>
          <w:trHeight w:val="57"/>
        </w:trPr>
        <w:tc>
          <w:tcPr>
            <w:tcW w:w="4815" w:type="dxa"/>
            <w:hideMark/>
          </w:tcPr>
          <w:p w14:paraId="7659CAC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Defence</w:t>
            </w:r>
          </w:p>
        </w:tc>
        <w:tc>
          <w:tcPr>
            <w:tcW w:w="4961" w:type="dxa"/>
            <w:hideMark/>
          </w:tcPr>
          <w:p w14:paraId="6DC64EF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5C0C8275" w14:textId="77777777" w:rsidTr="0076290B">
        <w:trPr>
          <w:cantSplit/>
          <w:trHeight w:val="57"/>
        </w:trPr>
        <w:tc>
          <w:tcPr>
            <w:tcW w:w="4815" w:type="dxa"/>
            <w:hideMark/>
          </w:tcPr>
          <w:p w14:paraId="3C23CF5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DESBT</w:t>
            </w:r>
          </w:p>
        </w:tc>
        <w:tc>
          <w:tcPr>
            <w:tcW w:w="4961" w:type="dxa"/>
            <w:hideMark/>
          </w:tcPr>
          <w:p w14:paraId="44D5E05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7BC5175A" w14:textId="77777777" w:rsidTr="0076290B">
        <w:trPr>
          <w:cantSplit/>
          <w:trHeight w:val="57"/>
        </w:trPr>
        <w:tc>
          <w:tcPr>
            <w:tcW w:w="4815" w:type="dxa"/>
            <w:hideMark/>
          </w:tcPr>
          <w:p w14:paraId="66F5B15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DESE </w:t>
            </w:r>
          </w:p>
        </w:tc>
        <w:tc>
          <w:tcPr>
            <w:tcW w:w="4961" w:type="dxa"/>
            <w:hideMark/>
          </w:tcPr>
          <w:p w14:paraId="7AA0896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780CA0A" w14:textId="77777777" w:rsidTr="0076290B">
        <w:trPr>
          <w:cantSplit/>
          <w:trHeight w:val="57"/>
        </w:trPr>
        <w:tc>
          <w:tcPr>
            <w:tcW w:w="4815" w:type="dxa"/>
            <w:hideMark/>
          </w:tcPr>
          <w:p w14:paraId="531DC22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DSDATSIP</w:t>
            </w:r>
          </w:p>
        </w:tc>
        <w:tc>
          <w:tcPr>
            <w:tcW w:w="4961" w:type="dxa"/>
            <w:hideMark/>
          </w:tcPr>
          <w:p w14:paraId="37AEC9C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61A6C96F" w14:textId="77777777" w:rsidTr="0076290B">
        <w:trPr>
          <w:cantSplit/>
          <w:trHeight w:val="57"/>
        </w:trPr>
        <w:tc>
          <w:tcPr>
            <w:tcW w:w="4815" w:type="dxa"/>
            <w:hideMark/>
          </w:tcPr>
          <w:p w14:paraId="32D3B22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DSDILGP</w:t>
            </w:r>
          </w:p>
        </w:tc>
        <w:tc>
          <w:tcPr>
            <w:tcW w:w="4961" w:type="dxa"/>
            <w:hideMark/>
          </w:tcPr>
          <w:p w14:paraId="7E6772A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6B096184" w14:textId="77777777" w:rsidTr="0076290B">
        <w:trPr>
          <w:cantSplit/>
          <w:trHeight w:val="57"/>
        </w:trPr>
        <w:tc>
          <w:tcPr>
            <w:tcW w:w="4815" w:type="dxa"/>
            <w:hideMark/>
          </w:tcPr>
          <w:p w14:paraId="568A93E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DSDSATSP</w:t>
            </w:r>
          </w:p>
        </w:tc>
        <w:tc>
          <w:tcPr>
            <w:tcW w:w="4961" w:type="dxa"/>
            <w:hideMark/>
          </w:tcPr>
          <w:p w14:paraId="1D58999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5ADF773D" w14:textId="77777777" w:rsidTr="0076290B">
        <w:trPr>
          <w:cantSplit/>
          <w:trHeight w:val="57"/>
        </w:trPr>
        <w:tc>
          <w:tcPr>
            <w:tcW w:w="4815" w:type="dxa"/>
            <w:hideMark/>
          </w:tcPr>
          <w:p w14:paraId="61EEE41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Feros Care</w:t>
            </w:r>
          </w:p>
        </w:tc>
        <w:tc>
          <w:tcPr>
            <w:tcW w:w="4961" w:type="dxa"/>
            <w:hideMark/>
          </w:tcPr>
          <w:p w14:paraId="24B1FA6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0DB58809" w14:textId="77777777" w:rsidTr="0076290B">
        <w:trPr>
          <w:cantSplit/>
          <w:trHeight w:val="57"/>
        </w:trPr>
        <w:tc>
          <w:tcPr>
            <w:tcW w:w="4815" w:type="dxa"/>
            <w:hideMark/>
          </w:tcPr>
          <w:p w14:paraId="49EE3FBE" w14:textId="0791ADED"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Townsville Council</w:t>
            </w:r>
          </w:p>
        </w:tc>
        <w:tc>
          <w:tcPr>
            <w:tcW w:w="4961" w:type="dxa"/>
            <w:hideMark/>
          </w:tcPr>
          <w:p w14:paraId="54103B0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72B63F95" w14:textId="77777777" w:rsidTr="0076290B">
        <w:trPr>
          <w:cantSplit/>
          <w:trHeight w:val="57"/>
        </w:trPr>
        <w:tc>
          <w:tcPr>
            <w:tcW w:w="4815" w:type="dxa"/>
            <w:hideMark/>
          </w:tcPr>
          <w:p w14:paraId="08308AD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Local Jobs Townsville</w:t>
            </w:r>
          </w:p>
        </w:tc>
        <w:tc>
          <w:tcPr>
            <w:tcW w:w="4961" w:type="dxa"/>
            <w:hideMark/>
          </w:tcPr>
          <w:p w14:paraId="494B8EE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EA04719" w14:textId="77777777" w:rsidTr="0076290B">
        <w:trPr>
          <w:cantSplit/>
          <w:trHeight w:val="57"/>
        </w:trPr>
        <w:tc>
          <w:tcPr>
            <w:tcW w:w="4815" w:type="dxa"/>
            <w:hideMark/>
          </w:tcPr>
          <w:p w14:paraId="54B2272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My Pathway</w:t>
            </w:r>
          </w:p>
        </w:tc>
        <w:tc>
          <w:tcPr>
            <w:tcW w:w="4961" w:type="dxa"/>
            <w:hideMark/>
          </w:tcPr>
          <w:p w14:paraId="5194A58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819FE46" w14:textId="77777777" w:rsidTr="0076290B">
        <w:trPr>
          <w:cantSplit/>
          <w:trHeight w:val="57"/>
        </w:trPr>
        <w:tc>
          <w:tcPr>
            <w:tcW w:w="4815" w:type="dxa"/>
            <w:hideMark/>
          </w:tcPr>
          <w:p w14:paraId="75D4765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NAIF</w:t>
            </w:r>
          </w:p>
        </w:tc>
        <w:tc>
          <w:tcPr>
            <w:tcW w:w="4961" w:type="dxa"/>
            <w:hideMark/>
          </w:tcPr>
          <w:p w14:paraId="72CD469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3507B5D" w14:textId="77777777" w:rsidTr="0076290B">
        <w:trPr>
          <w:cantSplit/>
          <w:trHeight w:val="57"/>
        </w:trPr>
        <w:tc>
          <w:tcPr>
            <w:tcW w:w="4815" w:type="dxa"/>
            <w:hideMark/>
          </w:tcPr>
          <w:p w14:paraId="283CA12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NEATO</w:t>
            </w:r>
          </w:p>
        </w:tc>
        <w:tc>
          <w:tcPr>
            <w:tcW w:w="4961" w:type="dxa"/>
            <w:hideMark/>
          </w:tcPr>
          <w:p w14:paraId="38FFAB0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3FA3D105" w14:textId="77777777" w:rsidTr="0076290B">
        <w:trPr>
          <w:cantSplit/>
          <w:trHeight w:val="57"/>
        </w:trPr>
        <w:tc>
          <w:tcPr>
            <w:tcW w:w="4815" w:type="dxa"/>
            <w:hideMark/>
          </w:tcPr>
          <w:p w14:paraId="0199807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OCC</w:t>
            </w:r>
          </w:p>
        </w:tc>
        <w:tc>
          <w:tcPr>
            <w:tcW w:w="4961" w:type="dxa"/>
            <w:hideMark/>
          </w:tcPr>
          <w:p w14:paraId="78E3363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32134578" w14:textId="77777777" w:rsidTr="0076290B">
        <w:trPr>
          <w:cantSplit/>
          <w:trHeight w:val="57"/>
        </w:trPr>
        <w:tc>
          <w:tcPr>
            <w:tcW w:w="4815" w:type="dxa"/>
            <w:hideMark/>
          </w:tcPr>
          <w:p w14:paraId="0A96878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On Community On Country</w:t>
            </w:r>
          </w:p>
        </w:tc>
        <w:tc>
          <w:tcPr>
            <w:tcW w:w="4961" w:type="dxa"/>
            <w:hideMark/>
          </w:tcPr>
          <w:p w14:paraId="4BDB2B2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895216A" w14:textId="77777777" w:rsidTr="0076290B">
        <w:trPr>
          <w:cantSplit/>
          <w:trHeight w:val="57"/>
        </w:trPr>
        <w:tc>
          <w:tcPr>
            <w:tcW w:w="4815" w:type="dxa"/>
            <w:hideMark/>
          </w:tcPr>
          <w:p w14:paraId="285CDF5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ONA</w:t>
            </w:r>
          </w:p>
        </w:tc>
        <w:tc>
          <w:tcPr>
            <w:tcW w:w="4961" w:type="dxa"/>
            <w:hideMark/>
          </w:tcPr>
          <w:p w14:paraId="0DEFEE4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6515F9A7" w14:textId="77777777" w:rsidTr="0076290B">
        <w:trPr>
          <w:cantSplit/>
          <w:trHeight w:val="57"/>
        </w:trPr>
        <w:tc>
          <w:tcPr>
            <w:tcW w:w="4815" w:type="dxa"/>
            <w:hideMark/>
          </w:tcPr>
          <w:p w14:paraId="1C2FB08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PIASC</w:t>
            </w:r>
          </w:p>
        </w:tc>
        <w:tc>
          <w:tcPr>
            <w:tcW w:w="4961" w:type="dxa"/>
            <w:hideMark/>
          </w:tcPr>
          <w:p w14:paraId="6C932C43"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24497B55" w14:textId="77777777" w:rsidTr="0076290B">
        <w:trPr>
          <w:cantSplit/>
          <w:trHeight w:val="57"/>
        </w:trPr>
        <w:tc>
          <w:tcPr>
            <w:tcW w:w="4815" w:type="dxa"/>
            <w:hideMark/>
          </w:tcPr>
          <w:p w14:paraId="17176A7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Pimlico High</w:t>
            </w:r>
          </w:p>
        </w:tc>
        <w:tc>
          <w:tcPr>
            <w:tcW w:w="4961" w:type="dxa"/>
            <w:hideMark/>
          </w:tcPr>
          <w:p w14:paraId="785D09A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1F3D2E0D" w14:textId="77777777" w:rsidTr="0076290B">
        <w:trPr>
          <w:cantSplit/>
          <w:trHeight w:val="57"/>
        </w:trPr>
        <w:tc>
          <w:tcPr>
            <w:tcW w:w="4815" w:type="dxa"/>
            <w:hideMark/>
          </w:tcPr>
          <w:p w14:paraId="320D2FF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PSDO DESBT</w:t>
            </w:r>
          </w:p>
        </w:tc>
        <w:tc>
          <w:tcPr>
            <w:tcW w:w="4961" w:type="dxa"/>
            <w:hideMark/>
          </w:tcPr>
          <w:p w14:paraId="3EF6DB0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0A10D57C" w14:textId="77777777" w:rsidTr="0076290B">
        <w:trPr>
          <w:cantSplit/>
          <w:trHeight w:val="57"/>
        </w:trPr>
        <w:tc>
          <w:tcPr>
            <w:tcW w:w="4815" w:type="dxa"/>
            <w:hideMark/>
          </w:tcPr>
          <w:p w14:paraId="091C7D6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RAQ</w:t>
            </w:r>
          </w:p>
        </w:tc>
        <w:tc>
          <w:tcPr>
            <w:tcW w:w="4961" w:type="dxa"/>
            <w:hideMark/>
          </w:tcPr>
          <w:p w14:paraId="250348E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06F28BC7" w14:textId="77777777" w:rsidTr="0076290B">
        <w:trPr>
          <w:cantSplit/>
          <w:trHeight w:val="57"/>
        </w:trPr>
        <w:tc>
          <w:tcPr>
            <w:tcW w:w="4815" w:type="dxa"/>
            <w:hideMark/>
          </w:tcPr>
          <w:p w14:paraId="42DAAA6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Rural Trainers</w:t>
            </w:r>
          </w:p>
        </w:tc>
        <w:tc>
          <w:tcPr>
            <w:tcW w:w="4961" w:type="dxa"/>
            <w:hideMark/>
          </w:tcPr>
          <w:p w14:paraId="59C8C9C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7A2870EF" w14:textId="77777777" w:rsidTr="0076290B">
        <w:trPr>
          <w:cantSplit/>
          <w:trHeight w:val="57"/>
        </w:trPr>
        <w:tc>
          <w:tcPr>
            <w:tcW w:w="4815" w:type="dxa"/>
            <w:hideMark/>
          </w:tcPr>
          <w:p w14:paraId="21E8FDA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Seed Foundation</w:t>
            </w:r>
          </w:p>
        </w:tc>
        <w:tc>
          <w:tcPr>
            <w:tcW w:w="4961" w:type="dxa"/>
            <w:hideMark/>
          </w:tcPr>
          <w:p w14:paraId="0257B78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9FBAFA5" w14:textId="77777777" w:rsidTr="0076290B">
        <w:trPr>
          <w:cantSplit/>
          <w:trHeight w:val="57"/>
        </w:trPr>
        <w:tc>
          <w:tcPr>
            <w:tcW w:w="4815" w:type="dxa"/>
            <w:hideMark/>
          </w:tcPr>
          <w:p w14:paraId="7C81782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Skill 360</w:t>
            </w:r>
          </w:p>
        </w:tc>
        <w:tc>
          <w:tcPr>
            <w:tcW w:w="4961" w:type="dxa"/>
            <w:hideMark/>
          </w:tcPr>
          <w:p w14:paraId="0DECA17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CCF4C02" w14:textId="77777777" w:rsidTr="0076290B">
        <w:trPr>
          <w:cantSplit/>
          <w:trHeight w:val="57"/>
        </w:trPr>
        <w:tc>
          <w:tcPr>
            <w:tcW w:w="4815" w:type="dxa"/>
            <w:hideMark/>
          </w:tcPr>
          <w:p w14:paraId="578E1D1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SLFA</w:t>
            </w:r>
          </w:p>
        </w:tc>
        <w:tc>
          <w:tcPr>
            <w:tcW w:w="4961" w:type="dxa"/>
            <w:hideMark/>
          </w:tcPr>
          <w:p w14:paraId="01FFC90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7C4B7D86" w14:textId="77777777" w:rsidTr="0076290B">
        <w:trPr>
          <w:cantSplit/>
          <w:trHeight w:val="57"/>
        </w:trPr>
        <w:tc>
          <w:tcPr>
            <w:tcW w:w="4815" w:type="dxa"/>
            <w:hideMark/>
          </w:tcPr>
          <w:p w14:paraId="47A3D35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TCC</w:t>
            </w:r>
          </w:p>
        </w:tc>
        <w:tc>
          <w:tcPr>
            <w:tcW w:w="4961" w:type="dxa"/>
            <w:hideMark/>
          </w:tcPr>
          <w:p w14:paraId="72F00061"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EC74283" w14:textId="77777777" w:rsidTr="0076290B">
        <w:trPr>
          <w:cantSplit/>
          <w:trHeight w:val="57"/>
        </w:trPr>
        <w:tc>
          <w:tcPr>
            <w:tcW w:w="4815" w:type="dxa"/>
            <w:hideMark/>
          </w:tcPr>
          <w:p w14:paraId="771B7A4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Tec NQ </w:t>
            </w:r>
          </w:p>
        </w:tc>
        <w:tc>
          <w:tcPr>
            <w:tcW w:w="4961" w:type="dxa"/>
            <w:hideMark/>
          </w:tcPr>
          <w:p w14:paraId="742F1F0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1583A324" w14:textId="77777777" w:rsidTr="0076290B">
        <w:trPr>
          <w:cantSplit/>
          <w:trHeight w:val="57"/>
        </w:trPr>
        <w:tc>
          <w:tcPr>
            <w:tcW w:w="4815" w:type="dxa"/>
            <w:hideMark/>
          </w:tcPr>
          <w:p w14:paraId="60A3567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Watpac</w:t>
            </w:r>
          </w:p>
        </w:tc>
        <w:tc>
          <w:tcPr>
            <w:tcW w:w="4961" w:type="dxa"/>
            <w:hideMark/>
          </w:tcPr>
          <w:p w14:paraId="75388CE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4C9F2403" w14:textId="77777777" w:rsidTr="0076290B">
        <w:trPr>
          <w:cantSplit/>
          <w:trHeight w:val="57"/>
        </w:trPr>
        <w:tc>
          <w:tcPr>
            <w:tcW w:w="4815" w:type="dxa"/>
            <w:hideMark/>
          </w:tcPr>
          <w:p w14:paraId="7616485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YMC</w:t>
            </w:r>
          </w:p>
        </w:tc>
        <w:tc>
          <w:tcPr>
            <w:tcW w:w="4961" w:type="dxa"/>
            <w:hideMark/>
          </w:tcPr>
          <w:p w14:paraId="4FE2D8A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13336CDB" w14:textId="77777777" w:rsidTr="0076290B">
        <w:trPr>
          <w:cantSplit/>
          <w:trHeight w:val="57"/>
        </w:trPr>
        <w:tc>
          <w:tcPr>
            <w:tcW w:w="4815" w:type="dxa"/>
            <w:hideMark/>
          </w:tcPr>
          <w:p w14:paraId="103565A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Yumba-Meta Ltd</w:t>
            </w:r>
          </w:p>
        </w:tc>
        <w:tc>
          <w:tcPr>
            <w:tcW w:w="4961" w:type="dxa"/>
            <w:hideMark/>
          </w:tcPr>
          <w:p w14:paraId="6B8973F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Townsville </w:t>
            </w:r>
          </w:p>
        </w:tc>
      </w:tr>
      <w:tr w:rsidR="0093006A" w:rsidRPr="0093006A" w14:paraId="32E3F073" w14:textId="77777777" w:rsidTr="0076290B">
        <w:trPr>
          <w:cantSplit/>
          <w:trHeight w:val="57"/>
        </w:trPr>
        <w:tc>
          <w:tcPr>
            <w:tcW w:w="4815" w:type="dxa"/>
            <w:hideMark/>
          </w:tcPr>
          <w:p w14:paraId="36E3CD06" w14:textId="7ACA1D28"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Chandler Macleod</w:t>
            </w:r>
          </w:p>
        </w:tc>
        <w:tc>
          <w:tcPr>
            <w:tcW w:w="4961" w:type="dxa"/>
            <w:hideMark/>
          </w:tcPr>
          <w:p w14:paraId="5C3D333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2D001772" w14:textId="77777777" w:rsidTr="0076290B">
        <w:trPr>
          <w:cantSplit/>
          <w:trHeight w:val="57"/>
        </w:trPr>
        <w:tc>
          <w:tcPr>
            <w:tcW w:w="4815" w:type="dxa"/>
            <w:hideMark/>
          </w:tcPr>
          <w:p w14:paraId="6D8C293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Charles Sturt University</w:t>
            </w:r>
          </w:p>
        </w:tc>
        <w:tc>
          <w:tcPr>
            <w:tcW w:w="4961" w:type="dxa"/>
            <w:hideMark/>
          </w:tcPr>
          <w:p w14:paraId="3516211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0EA3B305" w14:textId="77777777" w:rsidTr="0076290B">
        <w:trPr>
          <w:cantSplit/>
          <w:trHeight w:val="57"/>
        </w:trPr>
        <w:tc>
          <w:tcPr>
            <w:tcW w:w="4815" w:type="dxa"/>
            <w:hideMark/>
          </w:tcPr>
          <w:p w14:paraId="77902AB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Compact Incorporated</w:t>
            </w:r>
          </w:p>
        </w:tc>
        <w:tc>
          <w:tcPr>
            <w:tcW w:w="4961" w:type="dxa"/>
            <w:hideMark/>
          </w:tcPr>
          <w:p w14:paraId="70C347B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5F0D21A9" w14:textId="77777777" w:rsidTr="0076290B">
        <w:trPr>
          <w:cantSplit/>
          <w:trHeight w:val="57"/>
        </w:trPr>
        <w:tc>
          <w:tcPr>
            <w:tcW w:w="4815" w:type="dxa"/>
            <w:hideMark/>
          </w:tcPr>
          <w:p w14:paraId="3917717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Connexions</w:t>
            </w:r>
          </w:p>
        </w:tc>
        <w:tc>
          <w:tcPr>
            <w:tcW w:w="4961" w:type="dxa"/>
            <w:hideMark/>
          </w:tcPr>
          <w:p w14:paraId="5368302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40BE697A" w14:textId="77777777" w:rsidTr="0076290B">
        <w:trPr>
          <w:cantSplit/>
          <w:trHeight w:val="57"/>
        </w:trPr>
        <w:tc>
          <w:tcPr>
            <w:tcW w:w="4815" w:type="dxa"/>
            <w:hideMark/>
          </w:tcPr>
          <w:p w14:paraId="15D13F2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CVGT</w:t>
            </w:r>
          </w:p>
        </w:tc>
        <w:tc>
          <w:tcPr>
            <w:tcW w:w="4961" w:type="dxa"/>
            <w:hideMark/>
          </w:tcPr>
          <w:p w14:paraId="17700D6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033F0974" w14:textId="77777777" w:rsidTr="0076290B">
        <w:trPr>
          <w:cantSplit/>
          <w:trHeight w:val="57"/>
        </w:trPr>
        <w:tc>
          <w:tcPr>
            <w:tcW w:w="4815" w:type="dxa"/>
            <w:hideMark/>
          </w:tcPr>
          <w:p w14:paraId="63E1575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DESE</w:t>
            </w:r>
          </w:p>
        </w:tc>
        <w:tc>
          <w:tcPr>
            <w:tcW w:w="4961" w:type="dxa"/>
            <w:hideMark/>
          </w:tcPr>
          <w:p w14:paraId="56E0A5A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22537CC2" w14:textId="77777777" w:rsidTr="0076290B">
        <w:trPr>
          <w:cantSplit/>
          <w:trHeight w:val="57"/>
        </w:trPr>
        <w:tc>
          <w:tcPr>
            <w:tcW w:w="4815" w:type="dxa"/>
            <w:hideMark/>
          </w:tcPr>
          <w:p w14:paraId="245A5333" w14:textId="36CD9359"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Griffith City Council</w:t>
            </w:r>
          </w:p>
        </w:tc>
        <w:tc>
          <w:tcPr>
            <w:tcW w:w="4961" w:type="dxa"/>
            <w:hideMark/>
          </w:tcPr>
          <w:p w14:paraId="38369DE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09EA2FDE" w14:textId="77777777" w:rsidTr="0076290B">
        <w:trPr>
          <w:cantSplit/>
          <w:trHeight w:val="57"/>
        </w:trPr>
        <w:tc>
          <w:tcPr>
            <w:tcW w:w="4815" w:type="dxa"/>
            <w:hideMark/>
          </w:tcPr>
          <w:p w14:paraId="77E5E4E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Industry Capability Network</w:t>
            </w:r>
          </w:p>
        </w:tc>
        <w:tc>
          <w:tcPr>
            <w:tcW w:w="4961" w:type="dxa"/>
            <w:hideMark/>
          </w:tcPr>
          <w:p w14:paraId="498B8E9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5B82F380" w14:textId="77777777" w:rsidTr="0076290B">
        <w:trPr>
          <w:cantSplit/>
          <w:trHeight w:val="57"/>
        </w:trPr>
        <w:tc>
          <w:tcPr>
            <w:tcW w:w="4815" w:type="dxa"/>
            <w:hideMark/>
          </w:tcPr>
          <w:p w14:paraId="783B1889" w14:textId="079A9514"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DESE</w:t>
            </w:r>
          </w:p>
        </w:tc>
        <w:tc>
          <w:tcPr>
            <w:tcW w:w="4961" w:type="dxa"/>
            <w:hideMark/>
          </w:tcPr>
          <w:p w14:paraId="0E292527"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5ABDDA16" w14:textId="77777777" w:rsidTr="0076290B">
        <w:trPr>
          <w:cantSplit/>
          <w:trHeight w:val="57"/>
        </w:trPr>
        <w:tc>
          <w:tcPr>
            <w:tcW w:w="4815" w:type="dxa"/>
            <w:hideMark/>
          </w:tcPr>
          <w:p w14:paraId="49C4676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Personnel Group</w:t>
            </w:r>
          </w:p>
        </w:tc>
        <w:tc>
          <w:tcPr>
            <w:tcW w:w="4961" w:type="dxa"/>
            <w:hideMark/>
          </w:tcPr>
          <w:p w14:paraId="0EBF44C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1EB93184" w14:textId="77777777" w:rsidTr="0076290B">
        <w:trPr>
          <w:cantSplit/>
          <w:trHeight w:val="57"/>
        </w:trPr>
        <w:tc>
          <w:tcPr>
            <w:tcW w:w="4815" w:type="dxa"/>
            <w:hideMark/>
          </w:tcPr>
          <w:p w14:paraId="40645163" w14:textId="28568738"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Charles Sturt University</w:t>
            </w:r>
          </w:p>
        </w:tc>
        <w:tc>
          <w:tcPr>
            <w:tcW w:w="4961" w:type="dxa"/>
            <w:hideMark/>
          </w:tcPr>
          <w:p w14:paraId="6393232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202D373F" w14:textId="77777777" w:rsidTr="0076290B">
        <w:trPr>
          <w:cantSplit/>
          <w:trHeight w:val="57"/>
        </w:trPr>
        <w:tc>
          <w:tcPr>
            <w:tcW w:w="4815" w:type="dxa"/>
            <w:hideMark/>
          </w:tcPr>
          <w:p w14:paraId="41AD6953" w14:textId="1A8E3E3F"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NSW/Regional Aboriginal Partnerships</w:t>
            </w:r>
          </w:p>
        </w:tc>
        <w:tc>
          <w:tcPr>
            <w:tcW w:w="4961" w:type="dxa"/>
            <w:hideMark/>
          </w:tcPr>
          <w:p w14:paraId="34AE5CD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3C1986C5" w14:textId="77777777" w:rsidTr="0076290B">
        <w:trPr>
          <w:cantSplit/>
          <w:trHeight w:val="57"/>
        </w:trPr>
        <w:tc>
          <w:tcPr>
            <w:tcW w:w="4815" w:type="dxa"/>
            <w:hideMark/>
          </w:tcPr>
          <w:p w14:paraId="01AD1EC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Regional Development Riverina</w:t>
            </w:r>
          </w:p>
        </w:tc>
        <w:tc>
          <w:tcPr>
            <w:tcW w:w="4961" w:type="dxa"/>
            <w:hideMark/>
          </w:tcPr>
          <w:p w14:paraId="6982057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771F2F48" w14:textId="77777777" w:rsidTr="0076290B">
        <w:trPr>
          <w:cantSplit/>
          <w:trHeight w:val="57"/>
        </w:trPr>
        <w:tc>
          <w:tcPr>
            <w:tcW w:w="4815" w:type="dxa"/>
            <w:hideMark/>
          </w:tcPr>
          <w:p w14:paraId="3A5415CC"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RMRA</w:t>
            </w:r>
          </w:p>
        </w:tc>
        <w:tc>
          <w:tcPr>
            <w:tcW w:w="4961" w:type="dxa"/>
            <w:hideMark/>
          </w:tcPr>
          <w:p w14:paraId="46D511F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487203CF" w14:textId="77777777" w:rsidTr="0076290B">
        <w:trPr>
          <w:cantSplit/>
          <w:trHeight w:val="57"/>
        </w:trPr>
        <w:tc>
          <w:tcPr>
            <w:tcW w:w="4815" w:type="dxa"/>
            <w:hideMark/>
          </w:tcPr>
          <w:p w14:paraId="0265D558" w14:textId="5DF6B4A0"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Dept. of Education</w:t>
            </w:r>
          </w:p>
        </w:tc>
        <w:tc>
          <w:tcPr>
            <w:tcW w:w="4961" w:type="dxa"/>
            <w:hideMark/>
          </w:tcPr>
          <w:p w14:paraId="17B651E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3074789F" w14:textId="77777777" w:rsidTr="0076290B">
        <w:trPr>
          <w:cantSplit/>
          <w:trHeight w:val="57"/>
        </w:trPr>
        <w:tc>
          <w:tcPr>
            <w:tcW w:w="4815" w:type="dxa"/>
            <w:hideMark/>
          </w:tcPr>
          <w:p w14:paraId="5908FFB4" w14:textId="5C7C51BD"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Secure Energy </w:t>
            </w:r>
          </w:p>
        </w:tc>
        <w:tc>
          <w:tcPr>
            <w:tcW w:w="4961" w:type="dxa"/>
            <w:hideMark/>
          </w:tcPr>
          <w:p w14:paraId="49467E9F"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1FAACB32" w14:textId="77777777" w:rsidTr="0076290B">
        <w:trPr>
          <w:cantSplit/>
          <w:trHeight w:val="57"/>
        </w:trPr>
        <w:tc>
          <w:tcPr>
            <w:tcW w:w="4815" w:type="dxa"/>
            <w:hideMark/>
          </w:tcPr>
          <w:p w14:paraId="7F4443F3" w14:textId="2858A3EA"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Water Infrastructure NSW</w:t>
            </w:r>
          </w:p>
        </w:tc>
        <w:tc>
          <w:tcPr>
            <w:tcW w:w="4961" w:type="dxa"/>
            <w:hideMark/>
          </w:tcPr>
          <w:p w14:paraId="78EFB97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70D626AC" w14:textId="77777777" w:rsidTr="0076290B">
        <w:trPr>
          <w:cantSplit/>
          <w:trHeight w:val="57"/>
        </w:trPr>
        <w:tc>
          <w:tcPr>
            <w:tcW w:w="4815" w:type="dxa"/>
            <w:hideMark/>
          </w:tcPr>
          <w:p w14:paraId="7642033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Shaw Employment and Training</w:t>
            </w:r>
          </w:p>
        </w:tc>
        <w:tc>
          <w:tcPr>
            <w:tcW w:w="4961" w:type="dxa"/>
            <w:hideMark/>
          </w:tcPr>
          <w:p w14:paraId="5D82752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22475DC7" w14:textId="77777777" w:rsidTr="0076290B">
        <w:trPr>
          <w:cantSplit/>
          <w:trHeight w:val="57"/>
        </w:trPr>
        <w:tc>
          <w:tcPr>
            <w:tcW w:w="4815" w:type="dxa"/>
            <w:hideMark/>
          </w:tcPr>
          <w:p w14:paraId="629680D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Summit Employment and Training</w:t>
            </w:r>
          </w:p>
        </w:tc>
        <w:tc>
          <w:tcPr>
            <w:tcW w:w="4961" w:type="dxa"/>
            <w:hideMark/>
          </w:tcPr>
          <w:p w14:paraId="42D9380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12FB487A" w14:textId="77777777" w:rsidTr="0076290B">
        <w:trPr>
          <w:cantSplit/>
          <w:trHeight w:val="57"/>
        </w:trPr>
        <w:tc>
          <w:tcPr>
            <w:tcW w:w="4815" w:type="dxa"/>
            <w:hideMark/>
          </w:tcPr>
          <w:p w14:paraId="26E5711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TAFE NSW</w:t>
            </w:r>
          </w:p>
        </w:tc>
        <w:tc>
          <w:tcPr>
            <w:tcW w:w="4961" w:type="dxa"/>
            <w:hideMark/>
          </w:tcPr>
          <w:p w14:paraId="4B303202"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5B584088" w14:textId="77777777" w:rsidTr="0076290B">
        <w:trPr>
          <w:cantSplit/>
          <w:trHeight w:val="57"/>
        </w:trPr>
        <w:tc>
          <w:tcPr>
            <w:tcW w:w="4815" w:type="dxa"/>
            <w:hideMark/>
          </w:tcPr>
          <w:p w14:paraId="4D182A50"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Three Rivers Regional Assembly </w:t>
            </w:r>
          </w:p>
        </w:tc>
        <w:tc>
          <w:tcPr>
            <w:tcW w:w="4961" w:type="dxa"/>
            <w:hideMark/>
          </w:tcPr>
          <w:p w14:paraId="331C2F88"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3267A5BA" w14:textId="77777777" w:rsidTr="0076290B">
        <w:trPr>
          <w:cantSplit/>
          <w:trHeight w:val="57"/>
        </w:trPr>
        <w:tc>
          <w:tcPr>
            <w:tcW w:w="4815" w:type="dxa"/>
            <w:hideMark/>
          </w:tcPr>
          <w:p w14:paraId="63B09039"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Training Services NSW Dept. of Education</w:t>
            </w:r>
          </w:p>
        </w:tc>
        <w:tc>
          <w:tcPr>
            <w:tcW w:w="4961" w:type="dxa"/>
            <w:hideMark/>
          </w:tcPr>
          <w:p w14:paraId="0799CD5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35EB8022" w14:textId="77777777" w:rsidTr="0076290B">
        <w:trPr>
          <w:cantSplit/>
          <w:trHeight w:val="57"/>
        </w:trPr>
        <w:tc>
          <w:tcPr>
            <w:tcW w:w="4815" w:type="dxa"/>
            <w:hideMark/>
          </w:tcPr>
          <w:p w14:paraId="4D4D949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Training Services with Rick</w:t>
            </w:r>
          </w:p>
        </w:tc>
        <w:tc>
          <w:tcPr>
            <w:tcW w:w="4961" w:type="dxa"/>
            <w:hideMark/>
          </w:tcPr>
          <w:p w14:paraId="344AD574"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2787C670" w14:textId="77777777" w:rsidTr="0076290B">
        <w:trPr>
          <w:cantSplit/>
          <w:trHeight w:val="57"/>
        </w:trPr>
        <w:tc>
          <w:tcPr>
            <w:tcW w:w="4815" w:type="dxa"/>
            <w:hideMark/>
          </w:tcPr>
          <w:p w14:paraId="269F6CA6"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TransGrid</w:t>
            </w:r>
          </w:p>
        </w:tc>
        <w:tc>
          <w:tcPr>
            <w:tcW w:w="4961" w:type="dxa"/>
            <w:hideMark/>
          </w:tcPr>
          <w:p w14:paraId="4D17DD0B"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5793514A" w14:textId="77777777" w:rsidTr="0076290B">
        <w:trPr>
          <w:cantSplit/>
          <w:trHeight w:val="57"/>
        </w:trPr>
        <w:tc>
          <w:tcPr>
            <w:tcW w:w="4815" w:type="dxa"/>
            <w:hideMark/>
          </w:tcPr>
          <w:p w14:paraId="1ED48F8E"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Transition to Work Personnel Group</w:t>
            </w:r>
          </w:p>
        </w:tc>
        <w:tc>
          <w:tcPr>
            <w:tcW w:w="4961" w:type="dxa"/>
            <w:hideMark/>
          </w:tcPr>
          <w:p w14:paraId="5B93FE65"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r w:rsidR="0093006A" w:rsidRPr="0093006A" w14:paraId="57D98033" w14:textId="77777777" w:rsidTr="0076290B">
        <w:trPr>
          <w:cantSplit/>
          <w:trHeight w:val="57"/>
        </w:trPr>
        <w:tc>
          <w:tcPr>
            <w:tcW w:w="4815" w:type="dxa"/>
            <w:hideMark/>
          </w:tcPr>
          <w:p w14:paraId="49A2739A"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Youth Justice</w:t>
            </w:r>
          </w:p>
        </w:tc>
        <w:tc>
          <w:tcPr>
            <w:tcW w:w="4961" w:type="dxa"/>
            <w:hideMark/>
          </w:tcPr>
          <w:p w14:paraId="7839AE1D" w14:textId="77777777" w:rsidR="000457D1" w:rsidRPr="0093006A" w:rsidRDefault="000457D1" w:rsidP="00825713">
            <w:pPr>
              <w:rPr>
                <w:rFonts w:cstheme="minorHAnsi"/>
                <w:color w:val="595959" w:themeColor="text1" w:themeTint="A6"/>
                <w:sz w:val="20"/>
                <w:szCs w:val="20"/>
              </w:rPr>
            </w:pPr>
            <w:r w:rsidRPr="0093006A">
              <w:rPr>
                <w:rFonts w:cstheme="minorHAnsi"/>
                <w:color w:val="595959" w:themeColor="text1" w:themeTint="A6"/>
                <w:sz w:val="20"/>
                <w:szCs w:val="20"/>
              </w:rPr>
              <w:t xml:space="preserve">Wagga Wagga </w:t>
            </w:r>
          </w:p>
        </w:tc>
      </w:tr>
    </w:tbl>
    <w:p w14:paraId="4E0B335A" w14:textId="77777777" w:rsidR="000457D1" w:rsidRPr="0093006A" w:rsidRDefault="000457D1" w:rsidP="002C2388">
      <w:pPr>
        <w:rPr>
          <w:color w:val="595959" w:themeColor="text1" w:themeTint="A6"/>
          <w:sz w:val="20"/>
          <w:szCs w:val="20"/>
        </w:rPr>
      </w:pPr>
    </w:p>
    <w:p w14:paraId="7E83CF77" w14:textId="4E9232A3" w:rsidR="0065098D" w:rsidRPr="0093006A" w:rsidRDefault="007C2C01">
      <w:pPr>
        <w:rPr>
          <w:b/>
          <w:bCs/>
          <w:color w:val="595959" w:themeColor="text1" w:themeTint="A6"/>
          <w:sz w:val="24"/>
          <w:szCs w:val="24"/>
        </w:rPr>
      </w:pPr>
      <w:r w:rsidRPr="0093006A">
        <w:rPr>
          <w:b/>
          <w:bCs/>
          <w:color w:val="595959" w:themeColor="text1" w:themeTint="A6"/>
          <w:sz w:val="24"/>
          <w:szCs w:val="24"/>
        </w:rPr>
        <w:t xml:space="preserve">B15: List of National Roundtable Participant </w:t>
      </w:r>
      <w:r w:rsidR="002A3219" w:rsidRPr="0093006A">
        <w:rPr>
          <w:b/>
          <w:bCs/>
          <w:color w:val="595959" w:themeColor="text1" w:themeTint="A6"/>
          <w:sz w:val="24"/>
          <w:szCs w:val="24"/>
        </w:rPr>
        <w:t>O</w:t>
      </w:r>
      <w:r w:rsidRPr="0093006A">
        <w:rPr>
          <w:b/>
          <w:bCs/>
          <w:color w:val="595959" w:themeColor="text1" w:themeTint="A6"/>
          <w:sz w:val="24"/>
          <w:szCs w:val="24"/>
        </w:rPr>
        <w:t xml:space="preserve">rganisations </w:t>
      </w:r>
    </w:p>
    <w:p w14:paraId="3428B2F4"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Accor</w:t>
      </w:r>
    </w:p>
    <w:p w14:paraId="1866117C"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Australian Industry Group</w:t>
      </w:r>
    </w:p>
    <w:p w14:paraId="1EB98988"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Australian Retailers Association</w:t>
      </w:r>
    </w:p>
    <w:p w14:paraId="4EDDE4D2"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Charles Sturt University</w:t>
      </w:r>
    </w:p>
    <w:p w14:paraId="31A031E5"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Council of Small Business Organisations Australia</w:t>
      </w:r>
    </w:p>
    <w:p w14:paraId="69A6DD5B"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Jobs Australia</w:t>
      </w:r>
    </w:p>
    <w:p w14:paraId="4186CA9E"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Minderoo</w:t>
      </w:r>
    </w:p>
    <w:p w14:paraId="6B17F214"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Minerals Council of Australia</w:t>
      </w:r>
    </w:p>
    <w:p w14:paraId="10AECB93"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National Centre for Vocational Education Research</w:t>
      </w:r>
    </w:p>
    <w:p w14:paraId="1CC485DE"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National Employment Services Association</w:t>
      </w:r>
    </w:p>
    <w:p w14:paraId="3A5069B8"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National Farmers Federation</w:t>
      </w:r>
    </w:p>
    <w:p w14:paraId="39F48A0A"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Reconciliation Australia</w:t>
      </w:r>
    </w:p>
    <w:p w14:paraId="7560856F"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UTS Jumbunna Institute for Indigenous Education and Research</w:t>
      </w:r>
    </w:p>
    <w:p w14:paraId="12EBF16E"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Ventia/Broadspectrum</w:t>
      </w:r>
    </w:p>
    <w:p w14:paraId="0099D76A" w14:textId="77777777" w:rsidR="0027618B" w:rsidRPr="0093006A" w:rsidRDefault="0027618B" w:rsidP="00981521">
      <w:pPr>
        <w:pStyle w:val="ListParagraph"/>
        <w:numPr>
          <w:ilvl w:val="0"/>
          <w:numId w:val="75"/>
        </w:numPr>
        <w:ind w:left="709" w:hanging="425"/>
        <w:rPr>
          <w:color w:val="595959" w:themeColor="text1" w:themeTint="A6"/>
        </w:rPr>
      </w:pPr>
      <w:r w:rsidRPr="0093006A">
        <w:rPr>
          <w:color w:val="595959" w:themeColor="text1" w:themeTint="A6"/>
        </w:rPr>
        <w:t>Wesfarmers</w:t>
      </w:r>
    </w:p>
    <w:p w14:paraId="5A6B1F2E" w14:textId="4C9A265F" w:rsidR="00D00D79" w:rsidRPr="0093006A" w:rsidRDefault="00D00D79">
      <w:pPr>
        <w:rPr>
          <w:rFonts w:eastAsiaTheme="majorEastAsia" w:cstheme="majorBidi"/>
          <w:b/>
          <w:color w:val="595959" w:themeColor="text1" w:themeTint="A6"/>
          <w:sz w:val="32"/>
          <w:szCs w:val="32"/>
        </w:rPr>
      </w:pPr>
      <w:r w:rsidRPr="0093006A">
        <w:rPr>
          <w:color w:val="595959" w:themeColor="text1" w:themeTint="A6"/>
        </w:rPr>
        <w:br w:type="page"/>
      </w:r>
    </w:p>
    <w:p w14:paraId="7BF38CAE" w14:textId="32985584" w:rsidR="00044A26" w:rsidRPr="0093006A" w:rsidRDefault="00044A26">
      <w:pPr>
        <w:pStyle w:val="Heading1"/>
        <w:rPr>
          <w:color w:val="595959" w:themeColor="text1" w:themeTint="A6"/>
        </w:rPr>
      </w:pPr>
      <w:bookmarkStart w:id="35" w:name="_Toc85030969"/>
      <w:r w:rsidRPr="0093006A">
        <w:rPr>
          <w:color w:val="595959" w:themeColor="text1" w:themeTint="A6"/>
        </w:rPr>
        <w:t xml:space="preserve">Appendix </w:t>
      </w:r>
      <w:r w:rsidR="008E0D62" w:rsidRPr="0093006A">
        <w:rPr>
          <w:color w:val="595959" w:themeColor="text1" w:themeTint="A6"/>
        </w:rPr>
        <w:t>C</w:t>
      </w:r>
      <w:r w:rsidRPr="0093006A">
        <w:rPr>
          <w:color w:val="595959" w:themeColor="text1" w:themeTint="A6"/>
        </w:rPr>
        <w:t xml:space="preserve">: Written Submissions </w:t>
      </w:r>
      <w:r w:rsidR="00DB728A" w:rsidRPr="0093006A">
        <w:rPr>
          <w:color w:val="595959" w:themeColor="text1" w:themeTint="A6"/>
        </w:rPr>
        <w:t>Received</w:t>
      </w:r>
      <w:bookmarkEnd w:id="35"/>
    </w:p>
    <w:p w14:paraId="4968E78C"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Jobs Australia</w:t>
      </w:r>
    </w:p>
    <w:p w14:paraId="5887B4E8"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NORTEC</w:t>
      </w:r>
    </w:p>
    <w:p w14:paraId="69341A52"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The Australia Institute</w:t>
      </w:r>
    </w:p>
    <w:p w14:paraId="0EE2A72A"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 xml:space="preserve">East </w:t>
      </w:r>
      <w:r w:rsidR="007177FF" w:rsidRPr="0093006A">
        <w:rPr>
          <w:color w:val="595959" w:themeColor="text1" w:themeTint="A6"/>
        </w:rPr>
        <w:t>Kimberley</w:t>
      </w:r>
      <w:r w:rsidRPr="0093006A">
        <w:rPr>
          <w:color w:val="595959" w:themeColor="text1" w:themeTint="A6"/>
        </w:rPr>
        <w:t xml:space="preserve"> Job Pathways</w:t>
      </w:r>
    </w:p>
    <w:p w14:paraId="2833B4E6"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Volunteering Australia</w:t>
      </w:r>
    </w:p>
    <w:p w14:paraId="62AFAFB3"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Latrobe Health Advocate</w:t>
      </w:r>
    </w:p>
    <w:p w14:paraId="08F43F32" w14:textId="77777777" w:rsidR="00044A26" w:rsidRPr="0093006A" w:rsidRDefault="00742BD6" w:rsidP="003769B7">
      <w:pPr>
        <w:pStyle w:val="ListParagraph"/>
        <w:numPr>
          <w:ilvl w:val="0"/>
          <w:numId w:val="18"/>
        </w:numPr>
        <w:spacing w:after="120"/>
        <w:rPr>
          <w:color w:val="595959" w:themeColor="text1" w:themeTint="A6"/>
        </w:rPr>
      </w:pPr>
      <w:r w:rsidRPr="0093006A">
        <w:rPr>
          <w:color w:val="595959" w:themeColor="text1" w:themeTint="A6"/>
        </w:rPr>
        <w:t>Mid-West</w:t>
      </w:r>
      <w:r w:rsidR="00044A26" w:rsidRPr="0093006A">
        <w:rPr>
          <w:color w:val="595959" w:themeColor="text1" w:themeTint="A6"/>
        </w:rPr>
        <w:t xml:space="preserve"> Development Commission</w:t>
      </w:r>
    </w:p>
    <w:p w14:paraId="1D291A7D"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Fifteen (15) Times Better</w:t>
      </w:r>
    </w:p>
    <w:p w14:paraId="4CE9DF29"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RISE Ventures</w:t>
      </w:r>
    </w:p>
    <w:p w14:paraId="4323191C"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University of NSW, Sydney</w:t>
      </w:r>
    </w:p>
    <w:p w14:paraId="3487329F"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Yalu Aboriginal Corporation</w:t>
      </w:r>
    </w:p>
    <w:p w14:paraId="41ADC35F"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Kajarinya Training Organisation</w:t>
      </w:r>
    </w:p>
    <w:p w14:paraId="422CE389"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Yilabara Solutions</w:t>
      </w:r>
    </w:p>
    <w:p w14:paraId="4F21D84F"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National Accreditation Authority for Translators &amp; Interpreters</w:t>
      </w:r>
    </w:p>
    <w:p w14:paraId="60742ADC"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Indigenous Land &amp; Sea Corporation</w:t>
      </w:r>
    </w:p>
    <w:p w14:paraId="639D23CB"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Gumatj Aboriginal Corporation</w:t>
      </w:r>
    </w:p>
    <w:p w14:paraId="1E7315D7"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WSP Australia PTY Limited</w:t>
      </w:r>
    </w:p>
    <w:p w14:paraId="40198C95"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Macquarie University</w:t>
      </w:r>
    </w:p>
    <w:p w14:paraId="2F3301CD"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Universities Australia</w:t>
      </w:r>
    </w:p>
    <w:p w14:paraId="52D8EEDC"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Jumbunna Institute, University of Technology Sydney</w:t>
      </w:r>
    </w:p>
    <w:p w14:paraId="67506282"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Australian Indigenous Leadership Centre</w:t>
      </w:r>
    </w:p>
    <w:p w14:paraId="11E00758"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National Rugby League LTD</w:t>
      </w:r>
    </w:p>
    <w:p w14:paraId="5A8686F2"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Real Futures</w:t>
      </w:r>
    </w:p>
    <w:p w14:paraId="75F3D2CB"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North Coast Aboriginal Development Alliance</w:t>
      </w:r>
    </w:p>
    <w:p w14:paraId="25EAB0A1"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Aboriginal Art Association</w:t>
      </w:r>
    </w:p>
    <w:p w14:paraId="3786E622"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Advance Personnel Management</w:t>
      </w:r>
    </w:p>
    <w:p w14:paraId="4D37716E"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My Pathway</w:t>
      </w:r>
    </w:p>
    <w:p w14:paraId="630762F3"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Generation One, Indigenous Employment Partners, and Wirrpanda Foundation</w:t>
      </w:r>
    </w:p>
    <w:p w14:paraId="2D6BE3E3"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National Apprentice Employment Network</w:t>
      </w:r>
    </w:p>
    <w:p w14:paraId="1F124C9D"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Indigenous Eye Health, The University of Melbourne</w:t>
      </w:r>
    </w:p>
    <w:p w14:paraId="1C11F203"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Indigenous Allied Health Australia LTD</w:t>
      </w:r>
    </w:p>
    <w:p w14:paraId="777E21CC" w14:textId="34A18B8F" w:rsidR="00044A26" w:rsidRPr="0093006A" w:rsidRDefault="00742C43" w:rsidP="003769B7">
      <w:pPr>
        <w:pStyle w:val="ListParagraph"/>
        <w:numPr>
          <w:ilvl w:val="0"/>
          <w:numId w:val="18"/>
        </w:numPr>
        <w:spacing w:after="120"/>
        <w:rPr>
          <w:color w:val="595959" w:themeColor="text1" w:themeTint="A6"/>
        </w:rPr>
      </w:pPr>
      <w:r w:rsidRPr="0093006A">
        <w:rPr>
          <w:color w:val="595959" w:themeColor="text1" w:themeTint="A6"/>
        </w:rPr>
        <w:t>[Permission not provided to publish identity of the submitter]</w:t>
      </w:r>
    </w:p>
    <w:p w14:paraId="3CE37E9A"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Minerals Council of Australia</w:t>
      </w:r>
    </w:p>
    <w:p w14:paraId="7E7CBE92" w14:textId="77777777" w:rsidR="00044A26" w:rsidRPr="0093006A" w:rsidRDefault="007177FF" w:rsidP="003769B7">
      <w:pPr>
        <w:pStyle w:val="ListParagraph"/>
        <w:numPr>
          <w:ilvl w:val="0"/>
          <w:numId w:val="18"/>
        </w:numPr>
        <w:spacing w:after="120"/>
        <w:rPr>
          <w:color w:val="595959" w:themeColor="text1" w:themeTint="A6"/>
        </w:rPr>
      </w:pPr>
      <w:r w:rsidRPr="0093006A">
        <w:rPr>
          <w:color w:val="595959" w:themeColor="text1" w:themeTint="A6"/>
        </w:rPr>
        <w:t>Kimberley</w:t>
      </w:r>
      <w:r w:rsidR="00044A26" w:rsidRPr="0093006A">
        <w:rPr>
          <w:color w:val="595959" w:themeColor="text1" w:themeTint="A6"/>
        </w:rPr>
        <w:t xml:space="preserve"> Group Training</w:t>
      </w:r>
    </w:p>
    <w:p w14:paraId="12A7E512"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The RAW Group of Companies</w:t>
      </w:r>
    </w:p>
    <w:p w14:paraId="4E0BAB18"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East Arnhem Regional Council</w:t>
      </w:r>
    </w:p>
    <w:p w14:paraId="30AFA378"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Victorian Aboriginal Child Care Agency</w:t>
      </w:r>
    </w:p>
    <w:p w14:paraId="5D1EEDB6"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Kapani</w:t>
      </w:r>
    </w:p>
    <w:p w14:paraId="06924506"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Halls Creek Shire</w:t>
      </w:r>
    </w:p>
    <w:p w14:paraId="346EABDB"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National Native Title Council</w:t>
      </w:r>
    </w:p>
    <w:p w14:paraId="0F59430A" w14:textId="77777777" w:rsidR="00742C43" w:rsidRPr="0093006A" w:rsidRDefault="00742C43" w:rsidP="00742C43">
      <w:pPr>
        <w:pStyle w:val="ListParagraph"/>
        <w:numPr>
          <w:ilvl w:val="0"/>
          <w:numId w:val="18"/>
        </w:numPr>
        <w:spacing w:after="120"/>
        <w:rPr>
          <w:color w:val="595959" w:themeColor="text1" w:themeTint="A6"/>
        </w:rPr>
      </w:pPr>
      <w:r w:rsidRPr="0093006A">
        <w:rPr>
          <w:color w:val="595959" w:themeColor="text1" w:themeTint="A6"/>
        </w:rPr>
        <w:t>[Permission not provided to publish identity of the submitter]</w:t>
      </w:r>
    </w:p>
    <w:p w14:paraId="34753108" w14:textId="77777777" w:rsidR="00044A26" w:rsidRPr="0093006A" w:rsidRDefault="00044A26">
      <w:pPr>
        <w:pStyle w:val="ListParagraph"/>
        <w:numPr>
          <w:ilvl w:val="0"/>
          <w:numId w:val="18"/>
        </w:numPr>
        <w:spacing w:after="120"/>
        <w:rPr>
          <w:color w:val="595959" w:themeColor="text1" w:themeTint="A6"/>
        </w:rPr>
      </w:pPr>
      <w:r w:rsidRPr="0093006A">
        <w:rPr>
          <w:color w:val="595959" w:themeColor="text1" w:themeTint="A6"/>
        </w:rPr>
        <w:t>First Nations Media Australia</w:t>
      </w:r>
    </w:p>
    <w:p w14:paraId="0EE6D421"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The Arnhem Land Progress Aboriginal Corporation</w:t>
      </w:r>
    </w:p>
    <w:p w14:paraId="427274A1" w14:textId="77777777" w:rsidR="00742C43" w:rsidRPr="0093006A" w:rsidRDefault="00742C43" w:rsidP="00742C43">
      <w:pPr>
        <w:pStyle w:val="ListParagraph"/>
        <w:numPr>
          <w:ilvl w:val="0"/>
          <w:numId w:val="18"/>
        </w:numPr>
        <w:spacing w:after="120"/>
        <w:rPr>
          <w:color w:val="595959" w:themeColor="text1" w:themeTint="A6"/>
        </w:rPr>
      </w:pPr>
      <w:r w:rsidRPr="0093006A">
        <w:rPr>
          <w:color w:val="595959" w:themeColor="text1" w:themeTint="A6"/>
        </w:rPr>
        <w:t>[Permission not provided to publish identity of the submitter]</w:t>
      </w:r>
    </w:p>
    <w:p w14:paraId="59B7810A" w14:textId="77777777" w:rsidR="00044A26" w:rsidRPr="0093006A" w:rsidRDefault="00044A26">
      <w:pPr>
        <w:pStyle w:val="ListParagraph"/>
        <w:numPr>
          <w:ilvl w:val="0"/>
          <w:numId w:val="18"/>
        </w:numPr>
        <w:spacing w:after="120"/>
        <w:rPr>
          <w:color w:val="595959" w:themeColor="text1" w:themeTint="A6"/>
        </w:rPr>
      </w:pPr>
      <w:r w:rsidRPr="0093006A">
        <w:rPr>
          <w:color w:val="595959" w:themeColor="text1" w:themeTint="A6"/>
        </w:rPr>
        <w:t>Aurora Education Foundation</w:t>
      </w:r>
    </w:p>
    <w:p w14:paraId="6FDE351F"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Illawarra Aboriginal Corporation</w:t>
      </w:r>
    </w:p>
    <w:p w14:paraId="3AA8D3F5"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Crown Perth LTD</w:t>
      </w:r>
    </w:p>
    <w:p w14:paraId="79D834D8"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Aboriginal Executive Council</w:t>
      </w:r>
    </w:p>
    <w:p w14:paraId="76703050"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Charles Darwin University</w:t>
      </w:r>
    </w:p>
    <w:p w14:paraId="48FA51FE"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Reconciliation Australia</w:t>
      </w:r>
    </w:p>
    <w:p w14:paraId="46284A86"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yourtown</w:t>
      </w:r>
    </w:p>
    <w:p w14:paraId="12BFDAF0"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Woolworths Group</w:t>
      </w:r>
    </w:p>
    <w:p w14:paraId="653EDE03"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Australian Institute of Marine Science</w:t>
      </w:r>
    </w:p>
    <w:p w14:paraId="37D7F51A"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Ngaanyatjarra Pitjantjatjara Yankunytjatjara Empowered Communities</w:t>
      </w:r>
    </w:p>
    <w:p w14:paraId="72E2C261" w14:textId="77777777" w:rsidR="00044A26" w:rsidRPr="0093006A" w:rsidRDefault="007177FF" w:rsidP="003769B7">
      <w:pPr>
        <w:pStyle w:val="ListParagraph"/>
        <w:numPr>
          <w:ilvl w:val="0"/>
          <w:numId w:val="18"/>
        </w:numPr>
        <w:spacing w:after="120"/>
        <w:rPr>
          <w:color w:val="595959" w:themeColor="text1" w:themeTint="A6"/>
        </w:rPr>
      </w:pPr>
      <w:r w:rsidRPr="0093006A">
        <w:rPr>
          <w:color w:val="595959" w:themeColor="text1" w:themeTint="A6"/>
        </w:rPr>
        <w:t>Kimberley</w:t>
      </w:r>
      <w:r w:rsidR="00044A26" w:rsidRPr="0093006A">
        <w:rPr>
          <w:color w:val="595959" w:themeColor="text1" w:themeTint="A6"/>
        </w:rPr>
        <w:t xml:space="preserve"> Regional Group and </w:t>
      </w:r>
      <w:r w:rsidRPr="0093006A">
        <w:rPr>
          <w:color w:val="595959" w:themeColor="text1" w:themeTint="A6"/>
        </w:rPr>
        <w:t>Kimberley</w:t>
      </w:r>
      <w:r w:rsidR="00044A26" w:rsidRPr="0093006A">
        <w:rPr>
          <w:color w:val="595959" w:themeColor="text1" w:themeTint="A6"/>
        </w:rPr>
        <w:t xml:space="preserve"> Zone </w:t>
      </w:r>
    </w:p>
    <w:p w14:paraId="0047FE93"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Reading Writing Hotline</w:t>
      </w:r>
    </w:p>
    <w:p w14:paraId="64FE0047"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NSW Aboriginal Land Council</w:t>
      </w:r>
    </w:p>
    <w:p w14:paraId="7F5D8A71"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Queensland Aboriginal and Islander Health Council</w:t>
      </w:r>
    </w:p>
    <w:p w14:paraId="429519CC"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AFL Sports Ready</w:t>
      </w:r>
    </w:p>
    <w:p w14:paraId="31F9FD0A" w14:textId="77777777" w:rsidR="00742C43" w:rsidRPr="0093006A" w:rsidRDefault="00742C43" w:rsidP="00742C43">
      <w:pPr>
        <w:pStyle w:val="ListParagraph"/>
        <w:numPr>
          <w:ilvl w:val="0"/>
          <w:numId w:val="18"/>
        </w:numPr>
        <w:spacing w:after="120"/>
        <w:rPr>
          <w:color w:val="595959" w:themeColor="text1" w:themeTint="A6"/>
        </w:rPr>
      </w:pPr>
      <w:r w:rsidRPr="0093006A">
        <w:rPr>
          <w:color w:val="595959" w:themeColor="text1" w:themeTint="A6"/>
        </w:rPr>
        <w:t>[Permission not provided to publish identity of the submitter]</w:t>
      </w:r>
    </w:p>
    <w:p w14:paraId="6A791D50" w14:textId="77777777" w:rsidR="00044A26" w:rsidRPr="0093006A" w:rsidRDefault="00EB0759">
      <w:pPr>
        <w:pStyle w:val="ListParagraph"/>
        <w:numPr>
          <w:ilvl w:val="0"/>
          <w:numId w:val="18"/>
        </w:numPr>
        <w:spacing w:after="120"/>
        <w:rPr>
          <w:color w:val="595959" w:themeColor="text1" w:themeTint="A6"/>
        </w:rPr>
      </w:pPr>
      <w:r w:rsidRPr="0093006A">
        <w:rPr>
          <w:color w:val="595959" w:themeColor="text1" w:themeTint="A6"/>
        </w:rPr>
        <w:t>National Aboriginal Community Controlled Health Organisation (NACCHO)</w:t>
      </w:r>
    </w:p>
    <w:p w14:paraId="43667AE0" w14:textId="77777777" w:rsidR="00044A26" w:rsidRPr="0093006A" w:rsidRDefault="00044A26" w:rsidP="003769B7">
      <w:pPr>
        <w:pStyle w:val="ListParagraph"/>
        <w:numPr>
          <w:ilvl w:val="0"/>
          <w:numId w:val="18"/>
        </w:numPr>
        <w:spacing w:after="120"/>
        <w:rPr>
          <w:color w:val="595959" w:themeColor="text1" w:themeTint="A6"/>
        </w:rPr>
      </w:pPr>
      <w:r w:rsidRPr="0093006A">
        <w:rPr>
          <w:color w:val="595959" w:themeColor="text1" w:themeTint="A6"/>
        </w:rPr>
        <w:t>Tranby National Indigenous Adult Education and Training</w:t>
      </w:r>
    </w:p>
    <w:p w14:paraId="24CF5C1C" w14:textId="77777777" w:rsidR="00E54089" w:rsidRPr="0093006A" w:rsidRDefault="00E54089">
      <w:pPr>
        <w:spacing w:after="120"/>
        <w:rPr>
          <w:color w:val="595959" w:themeColor="text1" w:themeTint="A6"/>
        </w:rPr>
      </w:pPr>
    </w:p>
    <w:sectPr w:rsidR="00E54089" w:rsidRPr="0093006A">
      <w:footerReference w:type="even" r:id="rId14"/>
      <w:footerReference w:type="default" r:id="rId15"/>
      <w:pgSz w:w="11900" w:h="16840"/>
      <w:pgMar w:top="1116"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EFC2B" w14:textId="77777777" w:rsidR="00F8226B" w:rsidRDefault="00F8226B">
      <w:r>
        <w:separator/>
      </w:r>
    </w:p>
  </w:endnote>
  <w:endnote w:type="continuationSeparator" w:id="0">
    <w:p w14:paraId="7F73A098" w14:textId="77777777" w:rsidR="00F8226B" w:rsidRDefault="00F8226B">
      <w:r>
        <w:continuationSeparator/>
      </w:r>
    </w:p>
  </w:endnote>
  <w:endnote w:type="continuationNotice" w:id="1">
    <w:p w14:paraId="179454B5" w14:textId="77777777" w:rsidR="00F8226B" w:rsidRDefault="00F82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merican Typewriter">
    <w:altName w:val="Sitka Small"/>
    <w:charset w:val="4D"/>
    <w:family w:val="roman"/>
    <w:pitch w:val="variable"/>
    <w:sig w:usb0="00000001" w:usb1="00000019" w:usb2="00000000" w:usb3="00000000" w:csb0="00000111" w:csb1="00000000"/>
  </w:font>
  <w:font w:name="Cutiv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8528215"/>
      <w:docPartObj>
        <w:docPartGallery w:val="Page Numbers (Bottom of Page)"/>
        <w:docPartUnique/>
      </w:docPartObj>
    </w:sdtPr>
    <w:sdtEndPr>
      <w:rPr>
        <w:rStyle w:val="PageNumber"/>
      </w:rPr>
    </w:sdtEndPr>
    <w:sdtContent>
      <w:p w14:paraId="6584BBF7" w14:textId="77777777" w:rsidR="009D3D63" w:rsidRDefault="009D3D63" w:rsidP="00484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2BEA64" w14:textId="77777777" w:rsidR="009D3D63" w:rsidRDefault="009D3D63" w:rsidP="00424F6E">
    <w:pPr>
      <w:pBdr>
        <w:top w:val="nil"/>
        <w:left w:val="nil"/>
        <w:bottom w:val="nil"/>
        <w:right w:val="nil"/>
        <w:between w:val="nil"/>
      </w:pBdr>
      <w:tabs>
        <w:tab w:val="center" w:pos="4680"/>
        <w:tab w:val="right" w:pos="9360"/>
      </w:tabs>
      <w:ind w:right="360"/>
      <w:jc w:val="right"/>
      <w:rPr>
        <w:color w:val="404040"/>
      </w:rPr>
    </w:pPr>
  </w:p>
  <w:p w14:paraId="1FCBDB3E" w14:textId="77777777" w:rsidR="009D3D63" w:rsidRDefault="009D3D63">
    <w:pPr>
      <w:pBdr>
        <w:top w:val="nil"/>
        <w:left w:val="nil"/>
        <w:bottom w:val="nil"/>
        <w:right w:val="nil"/>
        <w:between w:val="nil"/>
      </w:pBdr>
      <w:tabs>
        <w:tab w:val="center" w:pos="4680"/>
        <w:tab w:val="right" w:pos="9360"/>
      </w:tabs>
      <w:ind w:right="360"/>
      <w:rPr>
        <w:color w:val="40404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69997936"/>
      <w:docPartObj>
        <w:docPartGallery w:val="Page Numbers (Bottom of Page)"/>
        <w:docPartUnique/>
      </w:docPartObj>
    </w:sdtPr>
    <w:sdtEndPr>
      <w:rPr>
        <w:rStyle w:val="PageNumber"/>
        <w:rFonts w:ascii="American Typewriter" w:hAnsi="American Typewriter"/>
        <w:sz w:val="20"/>
        <w:szCs w:val="20"/>
      </w:rPr>
    </w:sdtEndPr>
    <w:sdtContent>
      <w:p w14:paraId="13D4FB28" w14:textId="5A81DCD9" w:rsidR="009D3D63" w:rsidRPr="00110D84" w:rsidRDefault="009D3D63" w:rsidP="0048465C">
        <w:pPr>
          <w:pStyle w:val="Footer"/>
          <w:framePr w:wrap="none" w:vAnchor="text" w:hAnchor="margin" w:xAlign="right" w:y="1"/>
          <w:rPr>
            <w:rStyle w:val="PageNumber"/>
            <w:rFonts w:ascii="American Typewriter" w:hAnsi="American Typewriter"/>
            <w:sz w:val="20"/>
            <w:szCs w:val="20"/>
          </w:rPr>
        </w:pPr>
        <w:r w:rsidRPr="00110D84">
          <w:rPr>
            <w:rStyle w:val="PageNumber"/>
            <w:rFonts w:ascii="American Typewriter" w:hAnsi="American Typewriter"/>
            <w:sz w:val="20"/>
            <w:szCs w:val="20"/>
          </w:rPr>
          <w:fldChar w:fldCharType="begin"/>
        </w:r>
        <w:r w:rsidRPr="00110D84">
          <w:rPr>
            <w:rStyle w:val="PageNumber"/>
            <w:rFonts w:ascii="American Typewriter" w:hAnsi="American Typewriter"/>
            <w:sz w:val="20"/>
            <w:szCs w:val="20"/>
          </w:rPr>
          <w:instrText xml:space="preserve"> PAGE </w:instrText>
        </w:r>
        <w:r w:rsidRPr="00110D84">
          <w:rPr>
            <w:rStyle w:val="PageNumber"/>
            <w:rFonts w:ascii="American Typewriter" w:hAnsi="American Typewriter"/>
            <w:sz w:val="20"/>
            <w:szCs w:val="20"/>
          </w:rPr>
          <w:fldChar w:fldCharType="separate"/>
        </w:r>
        <w:r w:rsidR="00496B0D">
          <w:rPr>
            <w:rStyle w:val="PageNumber"/>
            <w:rFonts w:ascii="American Typewriter" w:hAnsi="American Typewriter"/>
            <w:noProof/>
            <w:sz w:val="20"/>
            <w:szCs w:val="20"/>
          </w:rPr>
          <w:t>21</w:t>
        </w:r>
        <w:r w:rsidRPr="00110D84">
          <w:rPr>
            <w:rStyle w:val="PageNumber"/>
            <w:rFonts w:ascii="American Typewriter" w:hAnsi="American Typewriter"/>
            <w:sz w:val="20"/>
            <w:szCs w:val="20"/>
          </w:rPr>
          <w:fldChar w:fldCharType="end"/>
        </w:r>
      </w:p>
    </w:sdtContent>
  </w:sdt>
  <w:p w14:paraId="6CB3E4C0" w14:textId="77777777" w:rsidR="009D3D63" w:rsidRPr="00110D84" w:rsidRDefault="009D3D63" w:rsidP="00424F6E">
    <w:pPr>
      <w:pBdr>
        <w:top w:val="nil"/>
        <w:left w:val="nil"/>
        <w:bottom w:val="nil"/>
        <w:right w:val="nil"/>
        <w:between w:val="nil"/>
      </w:pBdr>
      <w:tabs>
        <w:tab w:val="center" w:pos="4680"/>
        <w:tab w:val="right" w:pos="9360"/>
      </w:tabs>
      <w:ind w:right="360"/>
      <w:rPr>
        <w:sz w:val="20"/>
        <w:szCs w:val="20"/>
      </w:rPr>
    </w:pPr>
    <w:r w:rsidRPr="00110D84">
      <w:rPr>
        <w:rFonts w:ascii="American Typewriter" w:eastAsia="Cutive" w:hAnsi="American Typewriter" w:cs="Cutive"/>
        <w:sz w:val="20"/>
        <w:szCs w:val="20"/>
      </w:rPr>
      <w:t>Inside Policy | Changing the world one policy at a time</w:t>
    </w:r>
    <w:r w:rsidRPr="00110D84">
      <w:rPr>
        <w:rFonts w:ascii="Cutive" w:eastAsia="Cutive" w:hAnsi="Cutive" w:cs="Cutive"/>
        <w:sz w:val="20"/>
        <w:szCs w:val="20"/>
      </w:rPr>
      <w:tab/>
    </w:r>
    <w:r w:rsidRPr="00110D84">
      <w:rPr>
        <w:sz w:val="20"/>
        <w:szCs w:val="20"/>
      </w:rPr>
      <w:t xml:space="preserve"> </w:t>
    </w:r>
  </w:p>
  <w:p w14:paraId="4C5B94EF" w14:textId="77777777" w:rsidR="009D3D63" w:rsidRDefault="009D3D63">
    <w:pPr>
      <w:pBdr>
        <w:top w:val="nil"/>
        <w:left w:val="nil"/>
        <w:bottom w:val="nil"/>
        <w:right w:val="nil"/>
        <w:between w:val="nil"/>
      </w:pBdr>
      <w:tabs>
        <w:tab w:val="center" w:pos="4680"/>
        <w:tab w:val="right" w:pos="9360"/>
      </w:tabs>
      <w:ind w:right="360"/>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82697" w14:textId="77777777" w:rsidR="00F8226B" w:rsidRDefault="00F8226B">
      <w:r>
        <w:separator/>
      </w:r>
    </w:p>
  </w:footnote>
  <w:footnote w:type="continuationSeparator" w:id="0">
    <w:p w14:paraId="37356920" w14:textId="77777777" w:rsidR="00F8226B" w:rsidRDefault="00F8226B">
      <w:r>
        <w:continuationSeparator/>
      </w:r>
    </w:p>
  </w:footnote>
  <w:footnote w:type="continuationNotice" w:id="1">
    <w:p w14:paraId="2CD35068" w14:textId="77777777" w:rsidR="00F8226B" w:rsidRDefault="00F8226B"/>
  </w:footnote>
  <w:footnote w:id="2">
    <w:p w14:paraId="39E685FD" w14:textId="475B2A18" w:rsidR="00D723EE" w:rsidRPr="00D926C3" w:rsidRDefault="00D723EE" w:rsidP="00D723EE">
      <w:pPr>
        <w:pStyle w:val="FootnoteText"/>
        <w:rPr>
          <w:rFonts w:ascii="Helvetica" w:hAnsi="Helvetica"/>
          <w:sz w:val="18"/>
          <w:szCs w:val="18"/>
        </w:rPr>
      </w:pPr>
      <w:r>
        <w:rPr>
          <w:rStyle w:val="FootnoteReference"/>
        </w:rPr>
        <w:footnoteRef/>
      </w:r>
      <w:r>
        <w:t xml:space="preserve"> A</w:t>
      </w:r>
      <w:r w:rsidR="00D926C3">
        <w:t>ustralian Institute of Aboriginal and Torres Strait Islander Studies (A</w:t>
      </w:r>
      <w:r>
        <w:t>IATSIS</w:t>
      </w:r>
      <w:r w:rsidR="00D926C3">
        <w:t>)</w:t>
      </w:r>
      <w:r>
        <w:t xml:space="preserve">, </w:t>
      </w:r>
      <w:hyperlink r:id="rId1" w:history="1">
        <w:r w:rsidRPr="00D926C3">
          <w:rPr>
            <w:rStyle w:val="Hyperlink"/>
            <w:rFonts w:ascii="Helvetica" w:hAnsi="Helvetica"/>
            <w:i/>
            <w:iCs/>
            <w:sz w:val="18"/>
            <w:szCs w:val="18"/>
          </w:rPr>
          <w:t>What is Country?</w:t>
        </w:r>
      </w:hyperlink>
      <w:r w:rsidRPr="00D926C3">
        <w:rPr>
          <w:rFonts w:ascii="Helvetica" w:hAnsi="Helvetica"/>
          <w:sz w:val="18"/>
          <w:szCs w:val="18"/>
        </w:rPr>
        <w:t xml:space="preserve">, </w:t>
      </w:r>
      <w:r w:rsidR="00D926C3" w:rsidRPr="00D926C3">
        <w:rPr>
          <w:rFonts w:ascii="Helvetica" w:hAnsi="Helvetica"/>
          <w:sz w:val="18"/>
          <w:szCs w:val="18"/>
        </w:rPr>
        <w:t xml:space="preserve">AIATSIS, 2021, </w:t>
      </w:r>
      <w:r w:rsidRPr="00D926C3">
        <w:rPr>
          <w:rFonts w:ascii="Helvetica" w:hAnsi="Helvetica"/>
          <w:sz w:val="18"/>
          <w:szCs w:val="18"/>
        </w:rPr>
        <w:t>accessed 8 October 2021</w:t>
      </w:r>
      <w:r w:rsidR="00CB6F36">
        <w:rPr>
          <w:rFonts w:ascii="Helvetica" w:hAnsi="Helvetica"/>
          <w:sz w:val="18"/>
          <w:szCs w:val="18"/>
        </w:rPr>
        <w:t>.</w:t>
      </w:r>
    </w:p>
  </w:footnote>
  <w:footnote w:id="3">
    <w:p w14:paraId="553EC9A0" w14:textId="25425F60" w:rsidR="00D926C3" w:rsidRPr="00D926C3" w:rsidRDefault="00D926C3">
      <w:pPr>
        <w:pStyle w:val="FootnoteText"/>
        <w:rPr>
          <w:rFonts w:ascii="Helvetica" w:hAnsi="Helvetica"/>
          <w:sz w:val="18"/>
          <w:szCs w:val="18"/>
        </w:rPr>
      </w:pPr>
      <w:r w:rsidRPr="00D926C3">
        <w:rPr>
          <w:rStyle w:val="FootnoteReference"/>
          <w:rFonts w:ascii="Helvetica" w:hAnsi="Helvetica"/>
          <w:sz w:val="18"/>
          <w:szCs w:val="18"/>
        </w:rPr>
        <w:footnoteRef/>
      </w:r>
      <w:r w:rsidRPr="00D926C3">
        <w:rPr>
          <w:rFonts w:ascii="Helvetica" w:hAnsi="Helvetica"/>
          <w:sz w:val="18"/>
          <w:szCs w:val="18"/>
        </w:rPr>
        <w:t xml:space="preserve"> </w:t>
      </w:r>
      <w:r w:rsidR="00CB6F36">
        <w:rPr>
          <w:rFonts w:ascii="Helvetica" w:hAnsi="Helvetica"/>
          <w:sz w:val="18"/>
          <w:szCs w:val="18"/>
        </w:rPr>
        <w:t xml:space="preserve">National Indigenous Australians Agency (NIAA), </w:t>
      </w:r>
      <w:hyperlink r:id="rId2" w:history="1">
        <w:r w:rsidR="00CB6F36" w:rsidRPr="00CB6F36">
          <w:rPr>
            <w:rStyle w:val="Hyperlink"/>
            <w:rFonts w:ascii="Helvetica" w:hAnsi="Helvetica"/>
            <w:i/>
            <w:iCs/>
            <w:sz w:val="18"/>
            <w:szCs w:val="18"/>
          </w:rPr>
          <w:t>Regional Office Addresses</w:t>
        </w:r>
      </w:hyperlink>
      <w:r w:rsidR="00CB6F36">
        <w:rPr>
          <w:rFonts w:ascii="Helvetica" w:hAnsi="Helvetica"/>
          <w:sz w:val="18"/>
          <w:szCs w:val="18"/>
        </w:rPr>
        <w:t>, NIAA, 2021, accessed 8 October 2021.</w:t>
      </w:r>
    </w:p>
  </w:footnote>
  <w:footnote w:id="4">
    <w:p w14:paraId="14829801" w14:textId="774E87FA" w:rsidR="009D3D63" w:rsidRPr="006A3DEB" w:rsidRDefault="00D723EE" w:rsidP="002433ED">
      <w:pPr>
        <w:pStyle w:val="FootnoteText"/>
        <w:rPr>
          <w:rFonts w:ascii="Helvetica" w:hAnsi="Helvetica"/>
          <w:sz w:val="18"/>
          <w:szCs w:val="18"/>
        </w:rPr>
      </w:pPr>
      <w:r w:rsidRPr="00D926C3">
        <w:rPr>
          <w:rStyle w:val="FootnoteReference"/>
          <w:rFonts w:ascii="Helvetica" w:hAnsi="Helvetica"/>
          <w:sz w:val="18"/>
          <w:szCs w:val="18"/>
        </w:rPr>
        <w:footnoteRef/>
      </w:r>
      <w:r w:rsidRPr="00D926C3">
        <w:rPr>
          <w:rFonts w:ascii="Helvetica" w:hAnsi="Helvetica"/>
          <w:sz w:val="18"/>
          <w:szCs w:val="18"/>
        </w:rPr>
        <w:t xml:space="preserve"> </w:t>
      </w:r>
      <w:r w:rsidR="00D926C3" w:rsidRPr="00D926C3">
        <w:rPr>
          <w:rFonts w:ascii="Helvetica" w:hAnsi="Helvetica"/>
          <w:sz w:val="18"/>
          <w:szCs w:val="18"/>
        </w:rPr>
        <w:t xml:space="preserve">National Indigenous Australians Agency (NIAA), </w:t>
      </w:r>
      <w:r w:rsidR="009D3D63" w:rsidRPr="00D926C3">
        <w:rPr>
          <w:rStyle w:val="Hyperlink"/>
          <w:rFonts w:ascii="Helvetica" w:hAnsi="Helvetica"/>
          <w:i/>
          <w:iCs/>
          <w:sz w:val="18"/>
          <w:szCs w:val="18"/>
        </w:rPr>
        <w:t>Indigenous Skills and Employment Program (ISEP)</w:t>
      </w:r>
      <w:r w:rsidR="009D3D63" w:rsidRPr="00D926C3">
        <w:rPr>
          <w:rFonts w:ascii="Helvetica" w:hAnsi="Helvetica"/>
          <w:sz w:val="18"/>
          <w:szCs w:val="18"/>
        </w:rPr>
        <w:t>, NIAA, 2021, Australian Government, accessed 23 September 2021.</w:t>
      </w:r>
    </w:p>
  </w:footnote>
  <w:footnote w:id="5">
    <w:p w14:paraId="0540A7C2" w14:textId="6C30752F" w:rsidR="00C273ED" w:rsidRDefault="00C273ED">
      <w:pPr>
        <w:pStyle w:val="FootnoteText"/>
      </w:pPr>
      <w:r w:rsidRPr="00D70B7F">
        <w:rPr>
          <w:rStyle w:val="FootnoteReference"/>
        </w:rPr>
        <w:footnoteRef/>
      </w:r>
      <w:r w:rsidRPr="00D70B7F">
        <w:t xml:space="preserve"> </w:t>
      </w:r>
      <w:r w:rsidRPr="00D70B7F">
        <w:rPr>
          <w:rFonts w:ascii="Helvetica" w:hAnsi="Helvetica"/>
          <w:sz w:val="18"/>
          <w:szCs w:val="18"/>
        </w:rPr>
        <w:t xml:space="preserve">National Indigenous Australians Agency (NIAA), </w:t>
      </w:r>
      <w:hyperlink r:id="rId3" w:history="1">
        <w:r w:rsidRPr="00D70B7F">
          <w:rPr>
            <w:rStyle w:val="Hyperlink"/>
            <w:rFonts w:ascii="Helvetica" w:hAnsi="Helvetica"/>
            <w:i/>
            <w:iCs/>
            <w:sz w:val="18"/>
            <w:szCs w:val="18"/>
          </w:rPr>
          <w:t>Indigenous Skills and Employment Program (ISEP)</w:t>
        </w:r>
      </w:hyperlink>
      <w:r w:rsidRPr="00D70B7F">
        <w:rPr>
          <w:rFonts w:ascii="Helvetica" w:hAnsi="Helvetica"/>
          <w:sz w:val="18"/>
          <w:szCs w:val="18"/>
        </w:rPr>
        <w:t>, NIAA, 2021, Australian Government, accessed 23 September 2021.</w:t>
      </w:r>
    </w:p>
  </w:footnote>
  <w:footnote w:id="6">
    <w:p w14:paraId="2C855522"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National Indigenous Australians Agency (NIAA), </w:t>
      </w:r>
      <w:r w:rsidRPr="006A3DEB">
        <w:rPr>
          <w:rFonts w:ascii="Helvetica" w:hAnsi="Helvetica"/>
          <w:i/>
          <w:iCs/>
          <w:sz w:val="18"/>
          <w:szCs w:val="18"/>
        </w:rPr>
        <w:t>Indigenous Skills, Engagement and Employment Program (ISEP): Discussion Paper</w:t>
      </w:r>
      <w:r w:rsidRPr="006A3DEB">
        <w:rPr>
          <w:rFonts w:ascii="Helvetica" w:hAnsi="Helvetica"/>
          <w:sz w:val="18"/>
          <w:szCs w:val="18"/>
        </w:rPr>
        <w:t>, NIAA, 2021, Australian Government.</w:t>
      </w:r>
    </w:p>
  </w:footnote>
  <w:footnote w:id="7">
    <w:p w14:paraId="68C51E2E" w14:textId="489ECFEB" w:rsidR="009D3D63" w:rsidRPr="006A3DEB" w:rsidRDefault="009D3D63" w:rsidP="006A3DEB">
      <w:pPr>
        <w:pStyle w:val="FootnoteText"/>
        <w:rPr>
          <w:rFonts w:ascii="Helvetica" w:hAnsi="Helvetica"/>
          <w:sz w:val="18"/>
          <w:szCs w:val="18"/>
        </w:rPr>
      </w:pPr>
    </w:p>
  </w:footnote>
  <w:footnote w:id="8">
    <w:p w14:paraId="6D23B2EF" w14:textId="77777777" w:rsidR="009D3D63" w:rsidRPr="006A3DEB" w:rsidRDefault="009D3D63" w:rsidP="00F0000E">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National Indigenous Australians Agency (NIAA), </w:t>
      </w:r>
      <w:r w:rsidRPr="006A3DEB">
        <w:rPr>
          <w:rFonts w:ascii="Helvetica" w:hAnsi="Helvetica"/>
          <w:i/>
          <w:iCs/>
          <w:sz w:val="18"/>
          <w:szCs w:val="18"/>
        </w:rPr>
        <w:t>Indigenous Skills, Engagement and Employment Program (ISEP): Discussion Paper</w:t>
      </w:r>
      <w:r w:rsidRPr="006A3DEB">
        <w:rPr>
          <w:rFonts w:ascii="Helvetica" w:hAnsi="Helvetica"/>
          <w:sz w:val="18"/>
          <w:szCs w:val="18"/>
        </w:rPr>
        <w:t>, NIAA, 2021, Australian Government.</w:t>
      </w:r>
    </w:p>
  </w:footnote>
  <w:footnote w:id="9">
    <w:p w14:paraId="3A60A158" w14:textId="26C3C749" w:rsidR="00B2491E" w:rsidRDefault="00B2491E" w:rsidP="001A5D81">
      <w:r>
        <w:rPr>
          <w:rStyle w:val="FootnoteReference"/>
        </w:rPr>
        <w:footnoteRef/>
      </w:r>
      <w:r>
        <w:t xml:space="preserve"> </w:t>
      </w:r>
      <w:r w:rsidRPr="006A3DEB">
        <w:rPr>
          <w:rFonts w:ascii="Helvetica" w:hAnsi="Helvetica" w:cs="Open Sans"/>
          <w:color w:val="45494B"/>
          <w:sz w:val="18"/>
          <w:szCs w:val="18"/>
        </w:rPr>
        <w:t>CSDH (Commission on Social Determinants of Health) 2008. </w:t>
      </w:r>
      <w:hyperlink r:id="rId4" w:history="1">
        <w:r w:rsidRPr="006A3DEB">
          <w:rPr>
            <w:rStyle w:val="Hyperlink"/>
            <w:rFonts w:ascii="Helvetica" w:hAnsi="Helvetica" w:cs="Open Sans"/>
            <w:color w:val="6C518A"/>
            <w:sz w:val="18"/>
            <w:szCs w:val="18"/>
            <w:bdr w:val="none" w:sz="0" w:space="0" w:color="auto" w:frame="1"/>
          </w:rPr>
          <w:t>Closing the gap in a generation: health equity through action on the social determinants of health. Final report of the Commission on Social Determinants of Health</w:t>
        </w:r>
      </w:hyperlink>
      <w:r w:rsidRPr="006A3DEB">
        <w:rPr>
          <w:rFonts w:ascii="Helvetica" w:hAnsi="Helvetica" w:cs="Open Sans"/>
          <w:color w:val="45494B"/>
          <w:sz w:val="18"/>
          <w:szCs w:val="18"/>
        </w:rPr>
        <w:t>. Geneva: World Health Organization.</w:t>
      </w:r>
    </w:p>
  </w:footnote>
  <w:footnote w:id="10">
    <w:p w14:paraId="76F0BB70" w14:textId="5EFCFC24" w:rsidR="009D3D63" w:rsidRPr="00981521" w:rsidRDefault="009D3D63" w:rsidP="00981521">
      <w:pPr>
        <w:rPr>
          <w:rFonts w:ascii="Helvetica" w:hAnsi="Helvetica"/>
          <w:color w:val="auto"/>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w:t>
      </w:r>
      <w:r w:rsidRPr="006A3DEB">
        <w:rPr>
          <w:rFonts w:ascii="Helvetica" w:hAnsi="Helvetica" w:cs="Open Sans"/>
          <w:color w:val="45494B"/>
          <w:sz w:val="18"/>
          <w:szCs w:val="18"/>
        </w:rPr>
        <w:t>CSDH (Commission on Social Determinants of Health) 2008. </w:t>
      </w:r>
      <w:hyperlink r:id="rId5" w:history="1">
        <w:r w:rsidRPr="006A3DEB">
          <w:rPr>
            <w:rStyle w:val="Hyperlink"/>
            <w:rFonts w:ascii="Helvetica" w:hAnsi="Helvetica" w:cs="Open Sans"/>
            <w:color w:val="6C518A"/>
            <w:sz w:val="18"/>
            <w:szCs w:val="18"/>
            <w:bdr w:val="none" w:sz="0" w:space="0" w:color="auto" w:frame="1"/>
          </w:rPr>
          <w:t>Closing the gap in a generation: health equity through action on the social determinants of health. Final report of the Commission on Social Determinants of Health</w:t>
        </w:r>
      </w:hyperlink>
      <w:r w:rsidRPr="006A3DEB">
        <w:rPr>
          <w:rFonts w:ascii="Helvetica" w:hAnsi="Helvetica" w:cs="Open Sans"/>
          <w:color w:val="45494B"/>
          <w:sz w:val="18"/>
          <w:szCs w:val="18"/>
        </w:rPr>
        <w:t>. Geneva: World Health Organization.</w:t>
      </w:r>
    </w:p>
  </w:footnote>
  <w:footnote w:id="11">
    <w:p w14:paraId="16A0BF73" w14:textId="161619D3" w:rsidR="00C17B63" w:rsidRDefault="00C17B63">
      <w:pPr>
        <w:pStyle w:val="FootnoteText"/>
      </w:pPr>
      <w:r>
        <w:rPr>
          <w:rStyle w:val="FootnoteReference"/>
        </w:rPr>
        <w:footnoteRef/>
      </w:r>
      <w:r>
        <w:t xml:space="preserve"> </w:t>
      </w:r>
      <w:r w:rsidRPr="006A3DEB">
        <w:rPr>
          <w:rFonts w:ascii="Helvetica" w:hAnsi="Helvetica"/>
          <w:sz w:val="18"/>
          <w:szCs w:val="18"/>
        </w:rPr>
        <w:t xml:space="preserve">Australian Government, AIHW (Australian Institute of Health and Welfare) 2020, Social determinants of health, </w:t>
      </w:r>
      <w:hyperlink r:id="rId6" w:history="1">
        <w:r w:rsidRPr="006A3DEB">
          <w:rPr>
            <w:rStyle w:val="Hyperlink"/>
            <w:rFonts w:ascii="Helvetica" w:hAnsi="Helvetica"/>
            <w:sz w:val="18"/>
            <w:szCs w:val="18"/>
          </w:rPr>
          <w:t>https://www.aihw.gov.au/reports/australias-health/social-determinants-of-health</w:t>
        </w:r>
      </w:hyperlink>
    </w:p>
  </w:footnote>
  <w:footnote w:id="12">
    <w:p w14:paraId="0013766A"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 East Kimberley Job Pathways, p. 4</w:t>
      </w:r>
    </w:p>
  </w:footnote>
  <w:footnote w:id="13">
    <w:p w14:paraId="05B26706"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48: Aboriginal Executive Council</w:t>
      </w:r>
    </w:p>
  </w:footnote>
  <w:footnote w:id="14">
    <w:p w14:paraId="28271298"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National Indigenous Australians Agency (NIAA), </w:t>
      </w:r>
      <w:r w:rsidRPr="006A3DEB">
        <w:rPr>
          <w:rFonts w:ascii="Helvetica" w:hAnsi="Helvetica"/>
          <w:i/>
          <w:iCs/>
          <w:sz w:val="18"/>
          <w:szCs w:val="18"/>
        </w:rPr>
        <w:t>Indigenous Skills, Engagement and Employment Program (ISEP): Discussion Paper</w:t>
      </w:r>
      <w:r w:rsidRPr="006A3DEB">
        <w:rPr>
          <w:rFonts w:ascii="Helvetica" w:hAnsi="Helvetica"/>
          <w:sz w:val="18"/>
          <w:szCs w:val="18"/>
        </w:rPr>
        <w:t>, NIAA, 2021, Australian Government, p. 8.</w:t>
      </w:r>
    </w:p>
  </w:footnote>
  <w:footnote w:id="15">
    <w:p w14:paraId="7E01284D"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40: National Native Title Council</w:t>
      </w:r>
    </w:p>
  </w:footnote>
  <w:footnote w:id="16">
    <w:p w14:paraId="0D740CDC"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23: Real Futures</w:t>
      </w:r>
    </w:p>
  </w:footnote>
  <w:footnote w:id="17">
    <w:p w14:paraId="381E0334"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49: Charles Darwin University</w:t>
      </w:r>
    </w:p>
  </w:footnote>
  <w:footnote w:id="18">
    <w:p w14:paraId="726DACF7"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32</w:t>
      </w:r>
    </w:p>
  </w:footnote>
  <w:footnote w:id="19">
    <w:p w14:paraId="4BE3FBF7" w14:textId="77777777" w:rsidR="009D3D63" w:rsidRDefault="009D3D63" w:rsidP="00800824">
      <w:pPr>
        <w:pStyle w:val="FootnoteText"/>
      </w:pPr>
      <w:r>
        <w:rPr>
          <w:rStyle w:val="FootnoteReference"/>
        </w:rPr>
        <w:footnoteRef/>
      </w:r>
      <w:r>
        <w:t xml:space="preserve"> </w:t>
      </w:r>
      <w:r w:rsidRPr="00CC6DB7">
        <w:rPr>
          <w:rFonts w:ascii="Helvetica" w:hAnsi="Helvetica"/>
          <w:sz w:val="18"/>
          <w:szCs w:val="18"/>
        </w:rPr>
        <w:t>Submission 57: NSW Aboriginal Land Council</w:t>
      </w:r>
    </w:p>
  </w:footnote>
  <w:footnote w:id="20">
    <w:p w14:paraId="04460561" w14:textId="77777777" w:rsidR="009D3D63" w:rsidRDefault="009D3D63" w:rsidP="00800824">
      <w:pPr>
        <w:pStyle w:val="FootnoteText"/>
      </w:pPr>
      <w:r>
        <w:rPr>
          <w:rStyle w:val="FootnoteReference"/>
        </w:rPr>
        <w:footnoteRef/>
      </w:r>
      <w:r>
        <w:t xml:space="preserve"> </w:t>
      </w:r>
      <w:r w:rsidRPr="00CC6DB7">
        <w:rPr>
          <w:rFonts w:ascii="Helvetica" w:hAnsi="Helvetica"/>
          <w:sz w:val="18"/>
          <w:szCs w:val="18"/>
        </w:rPr>
        <w:t>Submission 61: National Aboriginal Community Controlled Health Organisation</w:t>
      </w:r>
    </w:p>
  </w:footnote>
  <w:footnote w:id="21">
    <w:p w14:paraId="74918014"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18: Macquarie University</w:t>
      </w:r>
    </w:p>
  </w:footnote>
  <w:footnote w:id="22">
    <w:p w14:paraId="0CEB8551"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48: Aboriginal Executive Council</w:t>
      </w:r>
    </w:p>
  </w:footnote>
  <w:footnote w:id="23">
    <w:p w14:paraId="42662641"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13: Yilabara Solutions</w:t>
      </w:r>
    </w:p>
  </w:footnote>
  <w:footnote w:id="24">
    <w:p w14:paraId="63D65D6F"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37: Victorian Aboriginal Child Care Agency</w:t>
      </w:r>
    </w:p>
  </w:footnote>
  <w:footnote w:id="25">
    <w:p w14:paraId="31CB52A7"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42: First Nations Media Australia</w:t>
      </w:r>
    </w:p>
  </w:footnote>
  <w:footnote w:id="26">
    <w:p w14:paraId="602E96A6" w14:textId="77777777" w:rsidR="009D3D63" w:rsidRPr="00091525" w:rsidRDefault="009D3D63">
      <w:pPr>
        <w:pStyle w:val="FootnoteText"/>
        <w:rPr>
          <w:rFonts w:ascii="Helvetica" w:hAnsi="Helvetica"/>
        </w:rPr>
      </w:pPr>
      <w:r w:rsidRPr="00091525">
        <w:rPr>
          <w:rStyle w:val="FootnoteReference"/>
          <w:rFonts w:ascii="Helvetica" w:hAnsi="Helvetica"/>
        </w:rPr>
        <w:footnoteRef/>
      </w:r>
      <w:r w:rsidRPr="00091525">
        <w:rPr>
          <w:rFonts w:ascii="Helvetica" w:hAnsi="Helvetica"/>
        </w:rPr>
        <w:t xml:space="preserve"> </w:t>
      </w:r>
      <w:r w:rsidRPr="00091525">
        <w:rPr>
          <w:rFonts w:ascii="Helvetica" w:hAnsi="Helvetica"/>
          <w:sz w:val="18"/>
          <w:szCs w:val="18"/>
        </w:rPr>
        <w:t>Submission 3: The Australia Institute</w:t>
      </w:r>
    </w:p>
  </w:footnote>
  <w:footnote w:id="27">
    <w:p w14:paraId="7AE3BC88" w14:textId="77777777" w:rsidR="009D3D63" w:rsidRPr="00091525" w:rsidRDefault="009D3D63" w:rsidP="00800824">
      <w:pPr>
        <w:pStyle w:val="FootnoteText"/>
        <w:rPr>
          <w:rFonts w:ascii="Helvetica" w:hAnsi="Helvetica"/>
        </w:rPr>
      </w:pPr>
      <w:r w:rsidRPr="00091525">
        <w:rPr>
          <w:rStyle w:val="FootnoteReference"/>
          <w:rFonts w:ascii="Helvetica" w:hAnsi="Helvetica"/>
        </w:rPr>
        <w:footnoteRef/>
      </w:r>
      <w:r w:rsidRPr="00091525">
        <w:rPr>
          <w:rFonts w:ascii="Helvetica" w:hAnsi="Helvetica"/>
        </w:rPr>
        <w:t xml:space="preserve"> </w:t>
      </w:r>
      <w:r w:rsidRPr="00091525">
        <w:rPr>
          <w:rFonts w:ascii="Helvetica" w:hAnsi="Helvetica"/>
          <w:sz w:val="18"/>
          <w:szCs w:val="18"/>
        </w:rPr>
        <w:t>Submission 58: Queensland Aboriginal and Islander Health Council</w:t>
      </w:r>
    </w:p>
  </w:footnote>
  <w:footnote w:id="28">
    <w:p w14:paraId="0DC4ACA3" w14:textId="77777777" w:rsidR="009D3D63" w:rsidRPr="00091525" w:rsidRDefault="009D3D63" w:rsidP="00800824">
      <w:pPr>
        <w:pStyle w:val="FootnoteText"/>
        <w:rPr>
          <w:rFonts w:ascii="Helvetica" w:hAnsi="Helvetica"/>
        </w:rPr>
      </w:pPr>
      <w:r w:rsidRPr="00091525">
        <w:rPr>
          <w:rStyle w:val="FootnoteReference"/>
          <w:rFonts w:ascii="Helvetica" w:hAnsi="Helvetica"/>
        </w:rPr>
        <w:footnoteRef/>
      </w:r>
      <w:r w:rsidRPr="00091525">
        <w:rPr>
          <w:rFonts w:ascii="Helvetica" w:hAnsi="Helvetica"/>
        </w:rPr>
        <w:t xml:space="preserve"> </w:t>
      </w:r>
      <w:r w:rsidRPr="00091525">
        <w:rPr>
          <w:rFonts w:ascii="Helvetica" w:hAnsi="Helvetica"/>
          <w:sz w:val="18"/>
          <w:szCs w:val="18"/>
        </w:rPr>
        <w:t>Submission 57: NSW Aboriginal Land Council</w:t>
      </w:r>
    </w:p>
  </w:footnote>
  <w:footnote w:id="29">
    <w:p w14:paraId="7656512B"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27: My Pathway</w:t>
      </w:r>
    </w:p>
  </w:footnote>
  <w:footnote w:id="30">
    <w:p w14:paraId="6874C9EB"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40: National Native Title Council</w:t>
      </w:r>
    </w:p>
  </w:footnote>
  <w:footnote w:id="31">
    <w:p w14:paraId="63731A67"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48: Aboriginal Executive Council</w:t>
      </w:r>
    </w:p>
  </w:footnote>
  <w:footnote w:id="32">
    <w:p w14:paraId="51C8E00C"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54: Ngaanyatjarra Pitjantjatjara Yankunytjatjara Empowered Communities</w:t>
      </w:r>
    </w:p>
  </w:footnote>
  <w:footnote w:id="33">
    <w:p w14:paraId="22480527" w14:textId="77777777" w:rsidR="009D3D63" w:rsidRPr="00091525" w:rsidRDefault="009D3D63">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49: Charles Darwin University</w:t>
      </w:r>
    </w:p>
  </w:footnote>
  <w:footnote w:id="34">
    <w:p w14:paraId="7F438A19" w14:textId="77777777" w:rsidR="009D3D63" w:rsidRPr="00091525" w:rsidRDefault="009D3D63" w:rsidP="00800824">
      <w:pPr>
        <w:pStyle w:val="FootnoteText"/>
        <w:rPr>
          <w:rFonts w:ascii="Helvetica" w:hAnsi="Helvetica"/>
        </w:rPr>
      </w:pPr>
      <w:r w:rsidRPr="00091525">
        <w:rPr>
          <w:rStyle w:val="FootnoteReference"/>
          <w:rFonts w:ascii="Helvetica" w:hAnsi="Helvetica"/>
        </w:rPr>
        <w:footnoteRef/>
      </w:r>
      <w:r w:rsidRPr="00091525">
        <w:rPr>
          <w:rFonts w:ascii="Helvetica" w:hAnsi="Helvetica"/>
        </w:rPr>
        <w:t xml:space="preserve"> </w:t>
      </w:r>
      <w:r w:rsidRPr="00091525">
        <w:rPr>
          <w:rFonts w:ascii="Helvetica" w:hAnsi="Helvetica"/>
          <w:sz w:val="18"/>
          <w:szCs w:val="18"/>
        </w:rPr>
        <w:t>Submission 62: Tranby National Indigenous Adult Education and Training</w:t>
      </w:r>
    </w:p>
  </w:footnote>
  <w:footnote w:id="35">
    <w:p w14:paraId="5043A8F0" w14:textId="77777777" w:rsidR="009D3D63" w:rsidRPr="00091525" w:rsidRDefault="009D3D63" w:rsidP="00800824">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48: Aboriginal Executive Council</w:t>
      </w:r>
    </w:p>
  </w:footnote>
  <w:footnote w:id="36">
    <w:p w14:paraId="4EB4E0E5" w14:textId="77777777" w:rsidR="009D3D63" w:rsidRPr="00091525" w:rsidRDefault="009D3D63" w:rsidP="00800824">
      <w:pPr>
        <w:pStyle w:val="FootnoteText"/>
        <w:rPr>
          <w:rFonts w:ascii="Helvetica" w:hAnsi="Helvetica"/>
        </w:rPr>
      </w:pPr>
      <w:r w:rsidRPr="00091525">
        <w:rPr>
          <w:rStyle w:val="FootnoteReference"/>
          <w:rFonts w:ascii="Helvetica" w:hAnsi="Helvetica"/>
        </w:rPr>
        <w:footnoteRef/>
      </w:r>
      <w:r w:rsidRPr="00091525">
        <w:rPr>
          <w:rFonts w:ascii="Helvetica" w:hAnsi="Helvetica"/>
        </w:rPr>
        <w:t xml:space="preserve"> </w:t>
      </w:r>
      <w:r w:rsidRPr="00091525">
        <w:rPr>
          <w:rFonts w:ascii="Helvetica" w:hAnsi="Helvetica"/>
          <w:sz w:val="18"/>
          <w:szCs w:val="18"/>
        </w:rPr>
        <w:t>Submission 61: National Aboriginal Community Controlled Health Organisation (NACCHO)</w:t>
      </w:r>
    </w:p>
  </w:footnote>
  <w:footnote w:id="37">
    <w:p w14:paraId="0C2485A4" w14:textId="77777777" w:rsidR="009D3D63" w:rsidRPr="00091525" w:rsidRDefault="009D3D63" w:rsidP="00800824">
      <w:pPr>
        <w:pStyle w:val="FootnoteText"/>
        <w:rPr>
          <w:rFonts w:ascii="Helvetica" w:hAnsi="Helvetica"/>
        </w:rPr>
      </w:pPr>
      <w:r w:rsidRPr="00091525">
        <w:rPr>
          <w:rStyle w:val="FootnoteReference"/>
          <w:rFonts w:ascii="Helvetica" w:hAnsi="Helvetica"/>
        </w:rPr>
        <w:footnoteRef/>
      </w:r>
      <w:r w:rsidRPr="00091525">
        <w:rPr>
          <w:rFonts w:ascii="Helvetica" w:hAnsi="Helvetica"/>
        </w:rPr>
        <w:t xml:space="preserve"> </w:t>
      </w:r>
      <w:r w:rsidRPr="00091525">
        <w:rPr>
          <w:rFonts w:ascii="Helvetica" w:hAnsi="Helvetica"/>
          <w:sz w:val="18"/>
          <w:szCs w:val="18"/>
        </w:rPr>
        <w:t>Submission 58: Queensland Aboriginal and Islander Health Council</w:t>
      </w:r>
    </w:p>
  </w:footnote>
  <w:footnote w:id="38">
    <w:p w14:paraId="70278CE3" w14:textId="77777777" w:rsidR="009D3D63" w:rsidRPr="00091525" w:rsidRDefault="009D3D63" w:rsidP="00800824">
      <w:pPr>
        <w:pStyle w:val="FootnoteText"/>
        <w:rPr>
          <w:rFonts w:ascii="Helvetica" w:hAnsi="Helvetica"/>
        </w:rPr>
      </w:pPr>
      <w:r w:rsidRPr="00091525">
        <w:rPr>
          <w:rStyle w:val="FootnoteReference"/>
          <w:rFonts w:ascii="Helvetica" w:hAnsi="Helvetica"/>
        </w:rPr>
        <w:footnoteRef/>
      </w:r>
      <w:r w:rsidRPr="00091525">
        <w:rPr>
          <w:rFonts w:ascii="Helvetica" w:hAnsi="Helvetica"/>
        </w:rPr>
        <w:t xml:space="preserve"> </w:t>
      </w:r>
      <w:r w:rsidRPr="00091525">
        <w:rPr>
          <w:rFonts w:ascii="Helvetica" w:hAnsi="Helvetica"/>
          <w:sz w:val="18"/>
          <w:szCs w:val="18"/>
        </w:rPr>
        <w:t>Submission 60</w:t>
      </w:r>
    </w:p>
  </w:footnote>
  <w:footnote w:id="39">
    <w:p w14:paraId="04284774"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40: National Native Title Council</w:t>
      </w:r>
    </w:p>
  </w:footnote>
  <w:footnote w:id="40">
    <w:p w14:paraId="1849CFC3" w14:textId="77777777" w:rsidR="009D3D63" w:rsidRPr="00091525" w:rsidRDefault="009D3D63">
      <w:pPr>
        <w:pStyle w:val="FootnoteText"/>
        <w:rPr>
          <w:rFonts w:ascii="Helvetica" w:hAnsi="Helvetica"/>
        </w:rPr>
      </w:pPr>
      <w:r w:rsidRPr="00091525">
        <w:rPr>
          <w:rStyle w:val="FootnoteReference"/>
          <w:rFonts w:ascii="Helvetica" w:hAnsi="Helvetica"/>
        </w:rPr>
        <w:footnoteRef/>
      </w:r>
      <w:r w:rsidRPr="00091525">
        <w:rPr>
          <w:rFonts w:ascii="Helvetica" w:hAnsi="Helvetica"/>
        </w:rPr>
        <w:t xml:space="preserve"> </w:t>
      </w:r>
      <w:r w:rsidRPr="00091525">
        <w:rPr>
          <w:rFonts w:ascii="Helvetica" w:hAnsi="Helvetica"/>
          <w:sz w:val="18"/>
          <w:szCs w:val="18"/>
        </w:rPr>
        <w:t>Submission 3: The Australia Institute</w:t>
      </w:r>
    </w:p>
  </w:footnote>
  <w:footnote w:id="41">
    <w:p w14:paraId="680C600F" w14:textId="77777777" w:rsidR="009D3D63" w:rsidRPr="00091525" w:rsidRDefault="009D3D63" w:rsidP="00800824">
      <w:pPr>
        <w:pStyle w:val="FootnoteText"/>
        <w:rPr>
          <w:rFonts w:ascii="Helvetica" w:hAnsi="Helvetica"/>
        </w:rPr>
      </w:pPr>
      <w:r w:rsidRPr="00091525">
        <w:rPr>
          <w:rStyle w:val="FootnoteReference"/>
          <w:rFonts w:ascii="Helvetica" w:hAnsi="Helvetica"/>
        </w:rPr>
        <w:footnoteRef/>
      </w:r>
      <w:r w:rsidRPr="00091525">
        <w:rPr>
          <w:rFonts w:ascii="Helvetica" w:hAnsi="Helvetica"/>
        </w:rPr>
        <w:t xml:space="preserve"> </w:t>
      </w:r>
      <w:r w:rsidRPr="00091525">
        <w:rPr>
          <w:rFonts w:ascii="Helvetica" w:hAnsi="Helvetica"/>
          <w:sz w:val="18"/>
          <w:szCs w:val="18"/>
        </w:rPr>
        <w:t>Submission 58: Queensland Aboriginal and Islander Health Council</w:t>
      </w:r>
    </w:p>
  </w:footnote>
  <w:footnote w:id="42">
    <w:p w14:paraId="62B41C2B"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33: Minerals Council of Australia</w:t>
      </w:r>
    </w:p>
  </w:footnote>
  <w:footnote w:id="43">
    <w:p w14:paraId="32A97D88"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26: Advance Personnel Management</w:t>
      </w:r>
    </w:p>
  </w:footnote>
  <w:footnote w:id="44">
    <w:p w14:paraId="2B419111"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34: Kimberley Group Training</w:t>
      </w:r>
    </w:p>
  </w:footnote>
  <w:footnote w:id="45">
    <w:p w14:paraId="0D66F7AB"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13: Yilabara Solutions</w:t>
      </w:r>
    </w:p>
  </w:footnote>
  <w:footnote w:id="46">
    <w:p w14:paraId="7E6374EB"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24: North Coast Aboriginal Development Alliance</w:t>
      </w:r>
    </w:p>
  </w:footnote>
  <w:footnote w:id="47">
    <w:p w14:paraId="488960AB"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4: East Kimberley Job Pathways</w:t>
      </w:r>
    </w:p>
  </w:footnote>
  <w:footnote w:id="48">
    <w:p w14:paraId="594E5F5B" w14:textId="77777777" w:rsidR="009D3D63" w:rsidRPr="00091525" w:rsidRDefault="009D3D63" w:rsidP="006A3DEB">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22: National Rugby League</w:t>
      </w:r>
    </w:p>
  </w:footnote>
  <w:footnote w:id="49">
    <w:p w14:paraId="2EACFABB" w14:textId="77777777" w:rsidR="009D3D63" w:rsidRPr="00091525" w:rsidRDefault="009D3D63">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33: Minerals Council of Australia</w:t>
      </w:r>
    </w:p>
  </w:footnote>
  <w:footnote w:id="50">
    <w:p w14:paraId="3D1B9527" w14:textId="77777777" w:rsidR="009D3D63" w:rsidRPr="00981521" w:rsidRDefault="009D3D63">
      <w:pPr>
        <w:pStyle w:val="FootnoteText"/>
        <w:rPr>
          <w:rFonts w:ascii="Helvetica" w:hAnsi="Helvetica"/>
          <w:sz w:val="18"/>
          <w:szCs w:val="18"/>
        </w:rPr>
      </w:pPr>
      <w:r w:rsidRPr="00091525">
        <w:rPr>
          <w:rStyle w:val="FootnoteReference"/>
          <w:rFonts w:ascii="Helvetica" w:hAnsi="Helvetica"/>
          <w:sz w:val="18"/>
          <w:szCs w:val="18"/>
        </w:rPr>
        <w:footnoteRef/>
      </w:r>
      <w:r w:rsidRPr="00091525">
        <w:rPr>
          <w:rFonts w:ascii="Helvetica" w:hAnsi="Helvetica"/>
          <w:sz w:val="18"/>
          <w:szCs w:val="18"/>
        </w:rPr>
        <w:t xml:space="preserve"> Submission 50: Reconciliation Australia</w:t>
      </w:r>
    </w:p>
  </w:footnote>
  <w:footnote w:id="51">
    <w:p w14:paraId="6635BC01"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12: Kajarinya Training Organisation</w:t>
      </w:r>
    </w:p>
  </w:footnote>
  <w:footnote w:id="52">
    <w:p w14:paraId="367A4D1A"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48: First Nations Media Australia</w:t>
      </w:r>
    </w:p>
  </w:footnote>
  <w:footnote w:id="53">
    <w:p w14:paraId="0CECB704"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8: Fifteen (15) Times Better</w:t>
      </w:r>
    </w:p>
  </w:footnote>
  <w:footnote w:id="54">
    <w:p w14:paraId="7035BC63"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37: Victorian Aboriginal Child Care Agency</w:t>
      </w:r>
    </w:p>
  </w:footnote>
  <w:footnote w:id="55">
    <w:p w14:paraId="58891B0C"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21: Australian Indigenous Leadership Centre</w:t>
      </w:r>
    </w:p>
  </w:footnote>
  <w:footnote w:id="56">
    <w:p w14:paraId="1EDF8995"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27: My Pathway</w:t>
      </w:r>
    </w:p>
  </w:footnote>
  <w:footnote w:id="57">
    <w:p w14:paraId="00ADD40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29: National Apprentice Employment Network</w:t>
      </w:r>
    </w:p>
  </w:footnote>
  <w:footnote w:id="58">
    <w:p w14:paraId="27ABBB2E"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50: Reconciliation Australia</w:t>
      </w:r>
    </w:p>
  </w:footnote>
  <w:footnote w:id="59">
    <w:p w14:paraId="023894C1"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36: East Arnhem Regional Council, p. 2</w:t>
      </w:r>
    </w:p>
  </w:footnote>
  <w:footnote w:id="60">
    <w:p w14:paraId="16573BED"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29: National Apprentice Employment Network</w:t>
      </w:r>
    </w:p>
  </w:footnote>
  <w:footnote w:id="61">
    <w:p w14:paraId="2BA2A96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38: Kapani</w:t>
      </w:r>
    </w:p>
  </w:footnote>
  <w:footnote w:id="62">
    <w:p w14:paraId="1A4A622A"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15: Indigenous Land &amp; Sea Corporation</w:t>
      </w:r>
    </w:p>
  </w:footnote>
  <w:footnote w:id="63">
    <w:p w14:paraId="32A49523"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49: Charles Darwin University</w:t>
      </w:r>
    </w:p>
  </w:footnote>
  <w:footnote w:id="64">
    <w:p w14:paraId="6EFA3C2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22: National Rugby League</w:t>
      </w:r>
    </w:p>
  </w:footnote>
  <w:footnote w:id="65">
    <w:p w14:paraId="10E369B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32</w:t>
      </w:r>
    </w:p>
  </w:footnote>
  <w:footnote w:id="66">
    <w:p w14:paraId="7F5C0D9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 East Kimberley Job Pathways</w:t>
      </w:r>
    </w:p>
  </w:footnote>
  <w:footnote w:id="67">
    <w:p w14:paraId="09832258"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8: Fifteen (15) Times Better</w:t>
      </w:r>
    </w:p>
  </w:footnote>
  <w:footnote w:id="68">
    <w:p w14:paraId="06C94970" w14:textId="77777777" w:rsidR="009D3D63" w:rsidRPr="006A3DEB"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13: Yilabara Solutions</w:t>
      </w:r>
    </w:p>
  </w:footnote>
  <w:footnote w:id="69">
    <w:p w14:paraId="7312FB64"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33: Minerals Council of Australia</w:t>
      </w:r>
    </w:p>
  </w:footnote>
  <w:footnote w:id="70">
    <w:p w14:paraId="3A4323E3"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8: Fifteen (15) Times Better</w:t>
      </w:r>
    </w:p>
  </w:footnote>
  <w:footnote w:id="71">
    <w:p w14:paraId="44151751" w14:textId="77777777" w:rsidR="009D3D63" w:rsidRPr="00760EA8" w:rsidRDefault="009D3D63" w:rsidP="00800824">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59: AFL SportsReady</w:t>
      </w:r>
    </w:p>
  </w:footnote>
  <w:footnote w:id="72">
    <w:p w14:paraId="3CC49F58"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45: Aurora Education Foundation</w:t>
      </w:r>
    </w:p>
  </w:footnote>
  <w:footnote w:id="73">
    <w:p w14:paraId="5E21D1AD"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26: Advance Personnel Management</w:t>
      </w:r>
    </w:p>
  </w:footnote>
  <w:footnote w:id="74">
    <w:p w14:paraId="5275CA7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47: Crown Perth LTD</w:t>
      </w:r>
    </w:p>
  </w:footnote>
  <w:footnote w:id="75">
    <w:p w14:paraId="0BE5114C"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20: Jumbunna Institute</w:t>
      </w:r>
    </w:p>
  </w:footnote>
  <w:footnote w:id="76">
    <w:p w14:paraId="6DD550D2"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49: Charles Darwin University</w:t>
      </w:r>
    </w:p>
  </w:footnote>
  <w:footnote w:id="77">
    <w:p w14:paraId="2B8A7BAE"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48: First Nations Media Australia</w:t>
      </w:r>
    </w:p>
  </w:footnote>
  <w:footnote w:id="78">
    <w:p w14:paraId="7AB7918F"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54: Ngaanyatjarra Pitjantjatjara Yankunytjatjara Empowered Communities</w:t>
      </w:r>
    </w:p>
  </w:footnote>
  <w:footnote w:id="79">
    <w:p w14:paraId="6F58027F"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22: National Rugby League</w:t>
      </w:r>
    </w:p>
  </w:footnote>
  <w:footnote w:id="80">
    <w:p w14:paraId="1E64C38A"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43: The Arnhem Land Aboriginal Progress Corporation</w:t>
      </w:r>
    </w:p>
  </w:footnote>
  <w:footnote w:id="81">
    <w:p w14:paraId="1AAE5349"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22: National Rugby League</w:t>
      </w:r>
    </w:p>
  </w:footnote>
  <w:footnote w:id="82">
    <w:p w14:paraId="2CBDDC4E"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13: Yilabara Solutions</w:t>
      </w:r>
    </w:p>
  </w:footnote>
  <w:footnote w:id="83">
    <w:p w14:paraId="0AB96C70"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55: Kimberley Regional Group and Kimberley Zone</w:t>
      </w:r>
    </w:p>
  </w:footnote>
  <w:footnote w:id="84">
    <w:p w14:paraId="0681BED6"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34: Kimberley Group Training</w:t>
      </w:r>
    </w:p>
  </w:footnote>
  <w:footnote w:id="85">
    <w:p w14:paraId="3A82C96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 NORTEC</w:t>
      </w:r>
    </w:p>
  </w:footnote>
  <w:footnote w:id="86">
    <w:p w14:paraId="4675F81F"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26: Advance Personnel Management</w:t>
      </w:r>
    </w:p>
  </w:footnote>
  <w:footnote w:id="87">
    <w:p w14:paraId="36BC8678"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23: Real Futures</w:t>
      </w:r>
    </w:p>
  </w:footnote>
  <w:footnote w:id="88">
    <w:p w14:paraId="797F6ED3"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56: Reading Writing Hotline</w:t>
      </w:r>
    </w:p>
  </w:footnote>
  <w:footnote w:id="89">
    <w:p w14:paraId="28CB8E90"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21: Australian Indigenous Leadership Centre</w:t>
      </w:r>
    </w:p>
  </w:footnote>
  <w:footnote w:id="90">
    <w:p w14:paraId="4ACB35D6" w14:textId="77777777" w:rsidR="009D3D63" w:rsidRPr="00760EA8" w:rsidRDefault="009D3D63" w:rsidP="00800824">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58: Queensland Aboriginal and Islander Health Council</w:t>
      </w:r>
    </w:p>
  </w:footnote>
  <w:footnote w:id="91">
    <w:p w14:paraId="70DD259C" w14:textId="77777777" w:rsidR="009D3D63" w:rsidRPr="00981521" w:rsidRDefault="009D3D63" w:rsidP="00800824">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61: National Aboriginal Community Controlled Health Organisation</w:t>
      </w:r>
    </w:p>
  </w:footnote>
  <w:footnote w:id="92">
    <w:p w14:paraId="2428F22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39: Halls Creek Shire</w:t>
      </w:r>
    </w:p>
  </w:footnote>
  <w:footnote w:id="93">
    <w:p w14:paraId="51DF3CE1"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41</w:t>
      </w:r>
    </w:p>
  </w:footnote>
  <w:footnote w:id="94">
    <w:p w14:paraId="7C2F54BB"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22: My Pathway</w:t>
      </w:r>
    </w:p>
  </w:footnote>
  <w:footnote w:id="95">
    <w:p w14:paraId="3ED297B3"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5: Volunteering Australia</w:t>
      </w:r>
    </w:p>
  </w:footnote>
  <w:footnote w:id="96">
    <w:p w14:paraId="30127AFB"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39: Halls Shire Creek</w:t>
      </w:r>
    </w:p>
  </w:footnote>
  <w:footnote w:id="97">
    <w:p w14:paraId="5004B790"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32</w:t>
      </w:r>
    </w:p>
  </w:footnote>
  <w:footnote w:id="98">
    <w:p w14:paraId="6002FAFC" w14:textId="77777777" w:rsidR="009D3D63" w:rsidRPr="006A3DEB"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34: Kimberley Group Training</w:t>
      </w:r>
    </w:p>
  </w:footnote>
  <w:footnote w:id="99">
    <w:p w14:paraId="6D63700F"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54: Ngaanyatjarra Pitjantjatjara Yankunytjatjara Empowered Communities</w:t>
      </w:r>
    </w:p>
  </w:footnote>
  <w:footnote w:id="100">
    <w:p w14:paraId="1ACED97A"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13: Yilabara Solutions</w:t>
      </w:r>
    </w:p>
  </w:footnote>
  <w:footnote w:id="101">
    <w:p w14:paraId="0F657205"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National Indigenous Australians Agency (NIAA), </w:t>
      </w:r>
      <w:r w:rsidRPr="006A3DEB">
        <w:rPr>
          <w:rFonts w:ascii="Helvetica" w:hAnsi="Helvetica"/>
          <w:i/>
          <w:iCs/>
          <w:sz w:val="18"/>
          <w:szCs w:val="18"/>
        </w:rPr>
        <w:t>Indigenous Skills, Engagement and Employment Program (ISEP): Discussion Paper</w:t>
      </w:r>
      <w:r w:rsidRPr="006A3DEB">
        <w:rPr>
          <w:rFonts w:ascii="Helvetica" w:hAnsi="Helvetica"/>
          <w:sz w:val="18"/>
          <w:szCs w:val="18"/>
        </w:rPr>
        <w:t>, NIAA, 2021, Australian Government, p. 9.</w:t>
      </w:r>
    </w:p>
  </w:footnote>
  <w:footnote w:id="102">
    <w:p w14:paraId="41D3F1AD"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35: RAW Group of Companies</w:t>
      </w:r>
    </w:p>
  </w:footnote>
  <w:footnote w:id="103">
    <w:p w14:paraId="444B2592" w14:textId="77777777" w:rsidR="009D3D63" w:rsidRPr="00CC6DB7" w:rsidRDefault="009D3D63" w:rsidP="00800824">
      <w:pPr>
        <w:pStyle w:val="FootnoteText"/>
        <w:rPr>
          <w:rFonts w:ascii="Helvetica" w:hAnsi="Helvetica"/>
          <w:sz w:val="18"/>
          <w:szCs w:val="18"/>
        </w:rPr>
      </w:pPr>
      <w:r w:rsidRPr="00CC6DB7">
        <w:rPr>
          <w:rStyle w:val="FootnoteReference"/>
          <w:rFonts w:ascii="Helvetica" w:hAnsi="Helvetica"/>
          <w:sz w:val="18"/>
          <w:szCs w:val="18"/>
        </w:rPr>
        <w:footnoteRef/>
      </w:r>
      <w:r w:rsidRPr="00CC6DB7">
        <w:rPr>
          <w:rFonts w:ascii="Helvetica" w:hAnsi="Helvetica"/>
          <w:sz w:val="18"/>
          <w:szCs w:val="18"/>
        </w:rPr>
        <w:t xml:space="preserve"> Submission 61: National Aboriginal Community Controlled Health Organisation</w:t>
      </w:r>
    </w:p>
  </w:footnote>
  <w:footnote w:id="104">
    <w:p w14:paraId="7AEB431B"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18: Macquarie University</w:t>
      </w:r>
    </w:p>
  </w:footnote>
  <w:footnote w:id="105">
    <w:p w14:paraId="2E7A5D3E"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48: Aboriginal Executive Council</w:t>
      </w:r>
    </w:p>
  </w:footnote>
  <w:footnote w:id="106">
    <w:p w14:paraId="2757E5DF"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31: Indigenous Allied Health Australia LTD</w:t>
      </w:r>
    </w:p>
  </w:footnote>
  <w:footnote w:id="107">
    <w:p w14:paraId="721A6763"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12: Kajarinya Training Organisation</w:t>
      </w:r>
    </w:p>
  </w:footnote>
  <w:footnote w:id="108">
    <w:p w14:paraId="79FD36D3"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54: Ngaanyatjarra Pitjantjatjara Yankunytjatjara Empowered Communities</w:t>
      </w:r>
    </w:p>
  </w:footnote>
  <w:footnote w:id="109">
    <w:p w14:paraId="022D3238"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37: Victorian Aboriginal Child Care Agency</w:t>
      </w:r>
    </w:p>
  </w:footnote>
  <w:footnote w:id="110">
    <w:p w14:paraId="1AEC41AC"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28: Generation One, Indigenous Employment Partners, and Wirrpanda Foundation</w:t>
      </w:r>
    </w:p>
  </w:footnote>
  <w:footnote w:id="111">
    <w:p w14:paraId="74A02738" w14:textId="77777777" w:rsidR="009D3D63" w:rsidRPr="00981521"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981521">
        <w:rPr>
          <w:rFonts w:ascii="Helvetica" w:hAnsi="Helvetica"/>
          <w:sz w:val="18"/>
          <w:szCs w:val="18"/>
        </w:rPr>
        <w:t xml:space="preserve"> Submission 13: Yilabara Solutions</w:t>
      </w:r>
    </w:p>
  </w:footnote>
  <w:footnote w:id="112">
    <w:p w14:paraId="510DE0F6" w14:textId="77777777" w:rsidR="009D3D63" w:rsidRPr="00CC6DB7" w:rsidRDefault="009D3D63" w:rsidP="00800824">
      <w:pPr>
        <w:pStyle w:val="FootnoteText"/>
        <w:rPr>
          <w:rFonts w:ascii="Helvetica" w:hAnsi="Helvetica"/>
          <w:sz w:val="18"/>
          <w:szCs w:val="18"/>
        </w:rPr>
      </w:pPr>
      <w:r w:rsidRPr="00CC6DB7">
        <w:rPr>
          <w:rStyle w:val="FootnoteReference"/>
          <w:rFonts w:ascii="Helvetica" w:hAnsi="Helvetica"/>
          <w:sz w:val="18"/>
          <w:szCs w:val="18"/>
        </w:rPr>
        <w:footnoteRef/>
      </w:r>
      <w:r w:rsidRPr="00CC6DB7">
        <w:rPr>
          <w:rFonts w:ascii="Helvetica" w:hAnsi="Helvetica"/>
          <w:sz w:val="18"/>
          <w:szCs w:val="18"/>
        </w:rPr>
        <w:t xml:space="preserve"> Submission 58: Queensland Aboriginal and Islander Health Council</w:t>
      </w:r>
    </w:p>
  </w:footnote>
  <w:footnote w:id="113">
    <w:p w14:paraId="1C7C2B97" w14:textId="77777777" w:rsidR="009D3D63" w:rsidRPr="00CC6DB7" w:rsidRDefault="009D3D63" w:rsidP="00800824">
      <w:pPr>
        <w:pStyle w:val="FootnoteText"/>
        <w:rPr>
          <w:rFonts w:ascii="Helvetica" w:hAnsi="Helvetica"/>
          <w:sz w:val="18"/>
          <w:szCs w:val="18"/>
        </w:rPr>
      </w:pPr>
      <w:r w:rsidRPr="00CC6DB7">
        <w:rPr>
          <w:rStyle w:val="FootnoteReference"/>
          <w:rFonts w:ascii="Helvetica" w:hAnsi="Helvetica"/>
          <w:sz w:val="18"/>
          <w:szCs w:val="18"/>
        </w:rPr>
        <w:footnoteRef/>
      </w:r>
      <w:r w:rsidRPr="00CC6DB7">
        <w:rPr>
          <w:rFonts w:ascii="Helvetica" w:hAnsi="Helvetica"/>
          <w:sz w:val="18"/>
          <w:szCs w:val="18"/>
        </w:rPr>
        <w:t xml:space="preserve"> Submission 57: NSW Aboriginal Land Council</w:t>
      </w:r>
    </w:p>
  </w:footnote>
  <w:footnote w:id="114">
    <w:p w14:paraId="62A0FABF" w14:textId="77777777" w:rsidR="009D3D63" w:rsidRPr="00CC6DB7" w:rsidRDefault="009D3D63" w:rsidP="00800824">
      <w:pPr>
        <w:pStyle w:val="FootnoteText"/>
        <w:rPr>
          <w:rFonts w:ascii="Helvetica" w:hAnsi="Helvetica"/>
          <w:sz w:val="18"/>
          <w:szCs w:val="18"/>
        </w:rPr>
      </w:pPr>
      <w:r w:rsidRPr="00CC6DB7">
        <w:rPr>
          <w:rStyle w:val="FootnoteReference"/>
          <w:rFonts w:ascii="Helvetica" w:hAnsi="Helvetica"/>
          <w:sz w:val="18"/>
          <w:szCs w:val="18"/>
        </w:rPr>
        <w:footnoteRef/>
      </w:r>
      <w:r w:rsidRPr="00CC6DB7">
        <w:rPr>
          <w:rFonts w:ascii="Helvetica" w:hAnsi="Helvetica"/>
          <w:sz w:val="18"/>
          <w:szCs w:val="18"/>
        </w:rPr>
        <w:t xml:space="preserve"> Submission 61: National Aboriginal Community Controlled Health Organisation</w:t>
      </w:r>
    </w:p>
  </w:footnote>
  <w:footnote w:id="115">
    <w:p w14:paraId="7174973C" w14:textId="77777777" w:rsidR="009D3D63" w:rsidRPr="0082234D" w:rsidRDefault="009D3D63" w:rsidP="00DB4DA5">
      <w:pPr>
        <w:pStyle w:val="FootnoteText"/>
        <w:rPr>
          <w:rFonts w:ascii="Helvetica" w:hAnsi="Helvetica"/>
          <w:sz w:val="18"/>
          <w:szCs w:val="18"/>
        </w:rPr>
      </w:pPr>
      <w:r w:rsidRPr="006A3DEB">
        <w:rPr>
          <w:rStyle w:val="FootnoteReference"/>
          <w:rFonts w:ascii="Helvetica" w:hAnsi="Helvetica"/>
          <w:sz w:val="18"/>
          <w:szCs w:val="18"/>
        </w:rPr>
        <w:footnoteRef/>
      </w:r>
      <w:r w:rsidRPr="0082234D">
        <w:rPr>
          <w:rFonts w:ascii="Helvetica" w:hAnsi="Helvetica"/>
          <w:sz w:val="18"/>
          <w:szCs w:val="18"/>
        </w:rPr>
        <w:t xml:space="preserve"> Submission 13: Yilabara Solutions</w:t>
      </w:r>
    </w:p>
  </w:footnote>
  <w:footnote w:id="116">
    <w:p w14:paraId="20DAD10F" w14:textId="77777777" w:rsidR="009D3D63" w:rsidRPr="006A3DEB" w:rsidRDefault="009D3D63" w:rsidP="00DB4DA5">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28: Generation One, Indigenous Employment Partners, and Wirrpanda Foundation</w:t>
      </w:r>
    </w:p>
  </w:footnote>
  <w:footnote w:id="117">
    <w:p w14:paraId="0592F476" w14:textId="77777777" w:rsidR="009D3D63" w:rsidRPr="006A3DEB" w:rsidRDefault="009D3D63" w:rsidP="00DB4DA5">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34: Kimberley Group Training</w:t>
      </w:r>
    </w:p>
  </w:footnote>
  <w:footnote w:id="118">
    <w:p w14:paraId="71B8F555" w14:textId="77777777" w:rsidR="009D3D63" w:rsidRPr="006A3DEB" w:rsidRDefault="009D3D63" w:rsidP="00DB4DA5">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37: Victorian Aboriginal Child Care Agency</w:t>
      </w:r>
    </w:p>
  </w:footnote>
  <w:footnote w:id="119">
    <w:p w14:paraId="5FA8ACFF" w14:textId="77777777" w:rsidR="009D3D63" w:rsidRPr="00CC6DB7" w:rsidRDefault="009D3D63" w:rsidP="00DB4DA5">
      <w:pPr>
        <w:pStyle w:val="FootnoteText"/>
        <w:rPr>
          <w:rFonts w:ascii="Helvetica" w:hAnsi="Helvetica"/>
          <w:sz w:val="18"/>
          <w:szCs w:val="18"/>
        </w:rPr>
      </w:pPr>
      <w:r w:rsidRPr="00CC6DB7">
        <w:rPr>
          <w:rStyle w:val="FootnoteReference"/>
          <w:rFonts w:ascii="Helvetica" w:hAnsi="Helvetica"/>
          <w:sz w:val="18"/>
          <w:szCs w:val="18"/>
        </w:rPr>
        <w:footnoteRef/>
      </w:r>
      <w:r w:rsidRPr="00CC6DB7">
        <w:rPr>
          <w:rFonts w:ascii="Helvetica" w:hAnsi="Helvetica"/>
          <w:sz w:val="18"/>
          <w:szCs w:val="18"/>
        </w:rPr>
        <w:t xml:space="preserve"> Submission 57: NSW Aboriginal Land Council</w:t>
      </w:r>
    </w:p>
  </w:footnote>
  <w:footnote w:id="120">
    <w:p w14:paraId="7E208320"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32</w:t>
      </w:r>
    </w:p>
  </w:footnote>
  <w:footnote w:id="121">
    <w:p w14:paraId="40536EF7"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34: Kimberley Group Training</w:t>
      </w:r>
    </w:p>
  </w:footnote>
  <w:footnote w:id="122">
    <w:p w14:paraId="5BD4DBCF"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39: Halls Creek Shire</w:t>
      </w:r>
    </w:p>
  </w:footnote>
  <w:footnote w:id="123">
    <w:p w14:paraId="10018B7D"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 East Kimberley Job Pathways</w:t>
      </w:r>
    </w:p>
  </w:footnote>
  <w:footnote w:id="124">
    <w:p w14:paraId="2650F47B"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35: RAW Group of Companies</w:t>
      </w:r>
    </w:p>
  </w:footnote>
  <w:footnote w:id="125">
    <w:p w14:paraId="0ABFE3C2"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24: North Coast Aboriginal Development Alliance</w:t>
      </w:r>
    </w:p>
  </w:footnote>
  <w:footnote w:id="126">
    <w:p w14:paraId="7E91517B"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12: Kajarinya Training Organisation</w:t>
      </w:r>
    </w:p>
  </w:footnote>
  <w:footnote w:id="127">
    <w:p w14:paraId="27EFCAE1"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26: Advance Personnel Management</w:t>
      </w:r>
    </w:p>
  </w:footnote>
  <w:footnote w:id="128">
    <w:p w14:paraId="3546E27F"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23: Real Futures</w:t>
      </w:r>
    </w:p>
  </w:footnote>
  <w:footnote w:id="129">
    <w:p w14:paraId="7B6BE3EC"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17: WSP Australia PTY LTD</w:t>
      </w:r>
    </w:p>
  </w:footnote>
  <w:footnote w:id="130">
    <w:p w14:paraId="7513C101"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46: Illawarra Aboriginal Corporation</w:t>
      </w:r>
    </w:p>
  </w:footnote>
  <w:footnote w:id="131">
    <w:p w14:paraId="11E02F57"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12: Kajarinya Training Organisation</w:t>
      </w:r>
    </w:p>
  </w:footnote>
  <w:footnote w:id="132">
    <w:p w14:paraId="6084C65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31: Indigenous Allied Health Australia LTD</w:t>
      </w:r>
    </w:p>
  </w:footnote>
  <w:footnote w:id="133">
    <w:p w14:paraId="60B9D81D"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32</w:t>
      </w:r>
    </w:p>
  </w:footnote>
  <w:footnote w:id="134">
    <w:p w14:paraId="54A4A893"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45: Aurora Education Foundation</w:t>
      </w:r>
    </w:p>
  </w:footnote>
  <w:footnote w:id="135">
    <w:p w14:paraId="4BE3F9A6"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38: Kapani</w:t>
      </w:r>
    </w:p>
  </w:footnote>
  <w:footnote w:id="136">
    <w:p w14:paraId="03ED44E0"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8: Fifteen (15) Times Better</w:t>
      </w:r>
    </w:p>
  </w:footnote>
  <w:footnote w:id="137">
    <w:p w14:paraId="35A7DB0E" w14:textId="77777777" w:rsidR="009D3D63" w:rsidRPr="00760EA8" w:rsidRDefault="009D3D63" w:rsidP="005830C6">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59: AFL SportsReady</w:t>
      </w:r>
    </w:p>
  </w:footnote>
  <w:footnote w:id="138">
    <w:p w14:paraId="0A95EA21"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46: Illawarra Aboriginal Corporation</w:t>
      </w:r>
    </w:p>
  </w:footnote>
  <w:footnote w:id="139">
    <w:p w14:paraId="3443A7EA"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 East Kimberley Job Pathways</w:t>
      </w:r>
    </w:p>
  </w:footnote>
  <w:footnote w:id="140">
    <w:p w14:paraId="228D9121"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21: Indigenous Australian Leadership Centre</w:t>
      </w:r>
    </w:p>
  </w:footnote>
  <w:footnote w:id="141">
    <w:p w14:paraId="2C055FA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27: My Pathway</w:t>
      </w:r>
    </w:p>
  </w:footnote>
  <w:footnote w:id="142">
    <w:p w14:paraId="65335A24"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41</w:t>
      </w:r>
    </w:p>
  </w:footnote>
  <w:footnote w:id="143">
    <w:p w14:paraId="7E15F410"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28: Generation One, Indigenous Employment Partners, and Wirrpanda Foundation</w:t>
      </w:r>
    </w:p>
  </w:footnote>
  <w:footnote w:id="144">
    <w:p w14:paraId="2B40F39D"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26: Advance Personnel Management</w:t>
      </w:r>
    </w:p>
  </w:footnote>
  <w:footnote w:id="145">
    <w:p w14:paraId="75CE93CA"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48: Aboriginal Executive Council</w:t>
      </w:r>
    </w:p>
  </w:footnote>
  <w:footnote w:id="146">
    <w:p w14:paraId="1108B0B6"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37: Victorian Aboriginal Child Care Agency</w:t>
      </w:r>
    </w:p>
  </w:footnote>
  <w:footnote w:id="147">
    <w:p w14:paraId="56D7F83E" w14:textId="77777777" w:rsidR="009D3D63" w:rsidRPr="00760EA8" w:rsidRDefault="009D3D63" w:rsidP="005830C6">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61: National Aboriginal Community Controlled Health Organisation</w:t>
      </w:r>
    </w:p>
  </w:footnote>
  <w:footnote w:id="148">
    <w:p w14:paraId="156FE134"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43: The Arnhem Land Progress Aboriginal Corporation</w:t>
      </w:r>
    </w:p>
  </w:footnote>
  <w:footnote w:id="149">
    <w:p w14:paraId="001F4C61"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45: Aurora Education Foundation</w:t>
      </w:r>
    </w:p>
  </w:footnote>
  <w:footnote w:id="150">
    <w:p w14:paraId="13AB1ED4" w14:textId="77777777" w:rsidR="009D3D63" w:rsidRPr="00760EA8" w:rsidRDefault="009D3D63" w:rsidP="005830C6">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57: NSW Aboriginal Land Council</w:t>
      </w:r>
    </w:p>
  </w:footnote>
  <w:footnote w:id="151">
    <w:p w14:paraId="4BC1D97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26: Advance Personnel Management</w:t>
      </w:r>
    </w:p>
  </w:footnote>
  <w:footnote w:id="152">
    <w:p w14:paraId="66C074D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 NORTEC</w:t>
      </w:r>
    </w:p>
  </w:footnote>
  <w:footnote w:id="153">
    <w:p w14:paraId="005000DB"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13: Yilabara Solutions</w:t>
      </w:r>
    </w:p>
  </w:footnote>
  <w:footnote w:id="154">
    <w:p w14:paraId="564CEBF4" w14:textId="77777777" w:rsidR="009D3D63" w:rsidRPr="00981521" w:rsidRDefault="009D3D63" w:rsidP="005830C6">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57: NSW Aboriginal Land Council</w:t>
      </w:r>
    </w:p>
  </w:footnote>
  <w:footnote w:id="155">
    <w:p w14:paraId="183D7860"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8: Fifteen (15) Times Better</w:t>
      </w:r>
    </w:p>
  </w:footnote>
  <w:footnote w:id="156">
    <w:p w14:paraId="093FB1CD" w14:textId="77777777" w:rsidR="009D3D63" w:rsidRPr="006A3DEB"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48: Aboriginal Executive Council</w:t>
      </w:r>
    </w:p>
  </w:footnote>
  <w:footnote w:id="157">
    <w:p w14:paraId="61C42D50"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National Indigenous Australians Agency (NIAA), </w:t>
      </w:r>
      <w:r w:rsidRPr="006A3DEB">
        <w:rPr>
          <w:rFonts w:ascii="Helvetica" w:hAnsi="Helvetica"/>
          <w:i/>
          <w:iCs/>
          <w:sz w:val="18"/>
          <w:szCs w:val="18"/>
        </w:rPr>
        <w:t>Indigenous Skills, Engagement and Employment Program (ISEP): Discussion Paper</w:t>
      </w:r>
      <w:r w:rsidRPr="006A3DEB">
        <w:rPr>
          <w:rFonts w:ascii="Helvetica" w:hAnsi="Helvetica"/>
          <w:sz w:val="18"/>
          <w:szCs w:val="18"/>
        </w:rPr>
        <w:t>, NIAA, 2021, Australian Government, p. 9.</w:t>
      </w:r>
    </w:p>
  </w:footnote>
  <w:footnote w:id="158">
    <w:p w14:paraId="5796F149" w14:textId="77777777" w:rsidR="00676C0D" w:rsidRPr="006A3DEB" w:rsidRDefault="00676C0D" w:rsidP="00676C0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35: RAW Group of Companies, p. 4</w:t>
      </w:r>
    </w:p>
  </w:footnote>
  <w:footnote w:id="159">
    <w:p w14:paraId="54B35E2D" w14:textId="77777777" w:rsidR="00676C0D" w:rsidRPr="006A3DEB" w:rsidRDefault="00676C0D" w:rsidP="00676C0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31: Indigenous Allied Health Australia LTD</w:t>
      </w:r>
    </w:p>
  </w:footnote>
  <w:footnote w:id="160">
    <w:p w14:paraId="0030CA54" w14:textId="77777777" w:rsidR="00676C0D" w:rsidRPr="006A3DEB" w:rsidRDefault="00676C0D" w:rsidP="00676C0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54: Ngaanyatjarra Pitjantjatjara Yankunytjatjara Empowered Communities</w:t>
      </w:r>
    </w:p>
  </w:footnote>
  <w:footnote w:id="161">
    <w:p w14:paraId="6ACEB428" w14:textId="77777777" w:rsidR="00676C0D" w:rsidRPr="00CC6DB7" w:rsidRDefault="00676C0D" w:rsidP="00676C0D">
      <w:pPr>
        <w:pStyle w:val="FootnoteText"/>
        <w:rPr>
          <w:rFonts w:ascii="Helvetica" w:hAnsi="Helvetica"/>
          <w:sz w:val="18"/>
          <w:szCs w:val="18"/>
        </w:rPr>
      </w:pPr>
      <w:r w:rsidRPr="00CC6DB7">
        <w:rPr>
          <w:rStyle w:val="FootnoteReference"/>
          <w:rFonts w:ascii="Helvetica" w:hAnsi="Helvetica"/>
          <w:sz w:val="18"/>
          <w:szCs w:val="18"/>
        </w:rPr>
        <w:footnoteRef/>
      </w:r>
      <w:r w:rsidRPr="00CC6DB7">
        <w:rPr>
          <w:rFonts w:ascii="Helvetica" w:hAnsi="Helvetica"/>
          <w:sz w:val="18"/>
          <w:szCs w:val="18"/>
        </w:rPr>
        <w:t xml:space="preserve"> Submission 57: NSW Aboriginal Land Council</w:t>
      </w:r>
    </w:p>
  </w:footnote>
  <w:footnote w:id="162">
    <w:p w14:paraId="16E252DA" w14:textId="77777777" w:rsidR="00676C0D" w:rsidRPr="00760EA8" w:rsidRDefault="00676C0D" w:rsidP="00676C0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45: Aurora Education Foundation</w:t>
      </w:r>
    </w:p>
  </w:footnote>
  <w:footnote w:id="163">
    <w:p w14:paraId="039141DA" w14:textId="77777777" w:rsidR="00676C0D" w:rsidRPr="00760EA8" w:rsidRDefault="00676C0D" w:rsidP="00676C0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9: RISE Ventures</w:t>
      </w:r>
    </w:p>
  </w:footnote>
  <w:footnote w:id="164">
    <w:p w14:paraId="7697F4B3" w14:textId="77777777" w:rsidR="00676C0D" w:rsidRPr="00760EA8" w:rsidRDefault="00676C0D" w:rsidP="00676C0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55: Kimberley Regional Group and Kimberley Zone</w:t>
      </w:r>
    </w:p>
  </w:footnote>
  <w:footnote w:id="165">
    <w:p w14:paraId="3E93732F" w14:textId="77777777" w:rsidR="00676C0D" w:rsidRPr="006A3DEB" w:rsidRDefault="00676C0D" w:rsidP="00676C0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40: National Native Title Council</w:t>
      </w:r>
    </w:p>
  </w:footnote>
  <w:footnote w:id="166">
    <w:p w14:paraId="39B6AB2A" w14:textId="77777777" w:rsidR="00676C0D" w:rsidRPr="006A3DEB" w:rsidRDefault="00676C0D" w:rsidP="00676C0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28: Generation One, Indigenous Employment Partners, and Wirrpanda Foundation</w:t>
      </w:r>
    </w:p>
  </w:footnote>
  <w:footnote w:id="167">
    <w:p w14:paraId="2FD142F9" w14:textId="77777777" w:rsidR="00676C0D" w:rsidRPr="006A3DEB" w:rsidRDefault="00676C0D" w:rsidP="00676C0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37: Victorian Aboriginal Child Care Agency</w:t>
      </w:r>
    </w:p>
  </w:footnote>
  <w:footnote w:id="168">
    <w:p w14:paraId="0A0326B3" w14:textId="77777777" w:rsidR="00676C0D" w:rsidRPr="00CC6DB7" w:rsidRDefault="00676C0D" w:rsidP="00676C0D">
      <w:pPr>
        <w:pStyle w:val="FootnoteText"/>
        <w:rPr>
          <w:rFonts w:ascii="Helvetica" w:hAnsi="Helvetica"/>
          <w:sz w:val="18"/>
          <w:szCs w:val="18"/>
        </w:rPr>
      </w:pPr>
      <w:r w:rsidRPr="00CC6DB7">
        <w:rPr>
          <w:rStyle w:val="FootnoteReference"/>
          <w:rFonts w:ascii="Helvetica" w:hAnsi="Helvetica"/>
          <w:sz w:val="18"/>
          <w:szCs w:val="18"/>
        </w:rPr>
        <w:footnoteRef/>
      </w:r>
      <w:r w:rsidRPr="00CC6DB7">
        <w:rPr>
          <w:rFonts w:ascii="Helvetica" w:hAnsi="Helvetica"/>
          <w:sz w:val="18"/>
          <w:szCs w:val="18"/>
        </w:rPr>
        <w:t xml:space="preserve"> Submission 61: National Aboriginal Community Controlled Health Organisation</w:t>
      </w:r>
    </w:p>
  </w:footnote>
  <w:footnote w:id="169">
    <w:p w14:paraId="35F04525" w14:textId="77777777" w:rsidR="00676C0D" w:rsidRPr="00760EA8" w:rsidRDefault="00676C0D" w:rsidP="00676C0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28: Generation One, Indigenous Employment Partners, and Wirrpanda Foundation</w:t>
      </w:r>
    </w:p>
  </w:footnote>
  <w:footnote w:id="170">
    <w:p w14:paraId="5D99650C" w14:textId="77777777" w:rsidR="00676C0D" w:rsidRPr="00760EA8" w:rsidRDefault="00676C0D" w:rsidP="00676C0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52: Woolworths Group</w:t>
      </w:r>
    </w:p>
  </w:footnote>
  <w:footnote w:id="171">
    <w:p w14:paraId="60C65792" w14:textId="77777777" w:rsidR="00676C0D" w:rsidRPr="00760EA8" w:rsidRDefault="00676C0D" w:rsidP="00676C0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54: Ngaanyatjarra Pitjantjatjara Yankunytjatjara Empowered Communities</w:t>
      </w:r>
    </w:p>
  </w:footnote>
  <w:footnote w:id="172">
    <w:p w14:paraId="341A708E" w14:textId="77777777" w:rsidR="00676C0D" w:rsidRPr="00760EA8" w:rsidRDefault="00676C0D" w:rsidP="00676C0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37: Victorian Aboriginal Child Care Agency</w:t>
      </w:r>
    </w:p>
  </w:footnote>
  <w:footnote w:id="173">
    <w:p w14:paraId="755CBC5E" w14:textId="77777777" w:rsidR="00676C0D" w:rsidRPr="00760EA8" w:rsidRDefault="00676C0D" w:rsidP="00676C0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58: Queensland Aboriginal and Islander Health Council</w:t>
      </w:r>
    </w:p>
  </w:footnote>
  <w:footnote w:id="174">
    <w:p w14:paraId="01B3589D" w14:textId="77777777" w:rsidR="00676C0D" w:rsidRPr="00981521" w:rsidRDefault="00676C0D" w:rsidP="00676C0D">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20: Jumbunna Institute</w:t>
      </w:r>
    </w:p>
  </w:footnote>
  <w:footnote w:id="175">
    <w:p w14:paraId="585B3941" w14:textId="77777777" w:rsidR="00676C0D" w:rsidRPr="00981521" w:rsidRDefault="00676C0D" w:rsidP="00676C0D">
      <w:pPr>
        <w:pStyle w:val="FootnoteText"/>
        <w:rPr>
          <w:rFonts w:ascii="Helvetica" w:hAnsi="Helvetica"/>
        </w:rPr>
      </w:pPr>
      <w:r w:rsidRPr="00981521">
        <w:rPr>
          <w:rStyle w:val="FootnoteReference"/>
          <w:rFonts w:ascii="Helvetica" w:hAnsi="Helvetica"/>
          <w:sz w:val="18"/>
          <w:szCs w:val="18"/>
        </w:rPr>
        <w:footnoteRef/>
      </w:r>
      <w:r w:rsidRPr="00981521">
        <w:rPr>
          <w:rFonts w:ascii="Helvetica" w:hAnsi="Helvetica"/>
          <w:sz w:val="18"/>
          <w:szCs w:val="18"/>
        </w:rPr>
        <w:t xml:space="preserve"> Submission 28: Generation One, Indigenous Employment Partners, and Wirrpanda Foundation</w:t>
      </w:r>
    </w:p>
  </w:footnote>
  <w:footnote w:id="176">
    <w:p w14:paraId="3EB051A0" w14:textId="77777777" w:rsidR="00676C0D" w:rsidRPr="00760EA8" w:rsidRDefault="00676C0D" w:rsidP="00676C0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34: Kimberley Group Training</w:t>
      </w:r>
    </w:p>
  </w:footnote>
  <w:footnote w:id="177">
    <w:p w14:paraId="5F34F688"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31: Indigenous Allied Health Australia LTD</w:t>
      </w:r>
    </w:p>
  </w:footnote>
  <w:footnote w:id="178">
    <w:p w14:paraId="0DE2B00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8: Fifteen (15) Times Better</w:t>
      </w:r>
    </w:p>
  </w:footnote>
  <w:footnote w:id="179">
    <w:p w14:paraId="4C87B03E"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31: Indigenous Allied Health Australia LTD</w:t>
      </w:r>
    </w:p>
  </w:footnote>
  <w:footnote w:id="180">
    <w:p w14:paraId="5087AC60" w14:textId="77777777" w:rsidR="009D3D63" w:rsidRPr="00760EA8" w:rsidRDefault="009D3D63" w:rsidP="00211D8F">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61: National Aboriginal Community Controlled Health Organisation</w:t>
      </w:r>
    </w:p>
  </w:footnote>
  <w:footnote w:id="181">
    <w:p w14:paraId="31122F96"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 East Kimberley Job Pathways</w:t>
      </w:r>
    </w:p>
  </w:footnote>
  <w:footnote w:id="182">
    <w:p w14:paraId="21B860F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32</w:t>
      </w:r>
    </w:p>
  </w:footnote>
  <w:footnote w:id="183">
    <w:p w14:paraId="396CA48B" w14:textId="77777777" w:rsidR="009D3D63" w:rsidRPr="006A3DEB"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37: Victorian Aboriginal Child Care Agency</w:t>
      </w:r>
    </w:p>
  </w:footnote>
  <w:footnote w:id="184">
    <w:p w14:paraId="17F146E9"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 East Kimberley Job Pathways</w:t>
      </w:r>
    </w:p>
  </w:footnote>
  <w:footnote w:id="185">
    <w:p w14:paraId="1E3A070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52: Woolworths Group</w:t>
      </w:r>
    </w:p>
  </w:footnote>
  <w:footnote w:id="186">
    <w:p w14:paraId="332C5BBB"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41</w:t>
      </w:r>
    </w:p>
  </w:footnote>
  <w:footnote w:id="187">
    <w:p w14:paraId="47C7D3A6"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13: Yilabara Solutions, p. 7</w:t>
      </w:r>
    </w:p>
  </w:footnote>
  <w:footnote w:id="188">
    <w:p w14:paraId="580F626B" w14:textId="77777777" w:rsidR="009D3D63" w:rsidRPr="00981521" w:rsidRDefault="009D3D63">
      <w:pPr>
        <w:pStyle w:val="FootnoteText"/>
        <w:rPr>
          <w:rFonts w:ascii="Helvetica" w:hAnsi="Helvetica"/>
        </w:rPr>
      </w:pPr>
      <w:r w:rsidRPr="00981521">
        <w:rPr>
          <w:rStyle w:val="FootnoteReference"/>
          <w:rFonts w:ascii="Helvetica" w:hAnsi="Helvetica"/>
          <w:sz w:val="18"/>
          <w:szCs w:val="18"/>
        </w:rPr>
        <w:footnoteRef/>
      </w:r>
      <w:r w:rsidRPr="00981521">
        <w:rPr>
          <w:rFonts w:ascii="Helvetica" w:hAnsi="Helvetica"/>
          <w:sz w:val="18"/>
          <w:szCs w:val="18"/>
        </w:rPr>
        <w:t xml:space="preserve"> Submission 51: yourtown</w:t>
      </w:r>
    </w:p>
  </w:footnote>
  <w:footnote w:id="189">
    <w:p w14:paraId="35D96F67"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27: My Pathway</w:t>
      </w:r>
    </w:p>
  </w:footnote>
  <w:footnote w:id="190">
    <w:p w14:paraId="71938DDE"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 NORTEC</w:t>
      </w:r>
    </w:p>
  </w:footnote>
  <w:footnote w:id="191">
    <w:p w14:paraId="44B67A7B"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26: Advance Personnel Management, p. 26</w:t>
      </w:r>
    </w:p>
  </w:footnote>
  <w:footnote w:id="192">
    <w:p w14:paraId="27858BD7" w14:textId="77777777" w:rsidR="009D3D63" w:rsidRPr="006A3DEB"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46: Illawarra Aboriginal Corporation</w:t>
      </w:r>
    </w:p>
  </w:footnote>
  <w:footnote w:id="193">
    <w:p w14:paraId="763E4FD2"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National Indigenous Australians Agency (NIAA), </w:t>
      </w:r>
      <w:r w:rsidRPr="00760EA8">
        <w:rPr>
          <w:rFonts w:ascii="Helvetica" w:hAnsi="Helvetica"/>
          <w:i/>
          <w:iCs/>
          <w:sz w:val="18"/>
          <w:szCs w:val="18"/>
        </w:rPr>
        <w:t>Indigenous Skills, Engagement and Employment Program (ISEP): Discussion Paper</w:t>
      </w:r>
      <w:r w:rsidRPr="00760EA8">
        <w:rPr>
          <w:rFonts w:ascii="Helvetica" w:hAnsi="Helvetica"/>
          <w:sz w:val="18"/>
          <w:szCs w:val="18"/>
        </w:rPr>
        <w:t>, NIAA, 2021, Australian Government, p. 9.</w:t>
      </w:r>
    </w:p>
  </w:footnote>
  <w:footnote w:id="194">
    <w:p w14:paraId="4F892B1E"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54: Ngaanyatjarra Pitjantjatjara Yankunytjatjara Empowered Communities</w:t>
      </w:r>
    </w:p>
  </w:footnote>
  <w:footnote w:id="195">
    <w:p w14:paraId="5C47F33E"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56: Reading Writing Hotline</w:t>
      </w:r>
    </w:p>
  </w:footnote>
  <w:footnote w:id="196">
    <w:p w14:paraId="4F4B671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38: Kapani</w:t>
      </w:r>
    </w:p>
  </w:footnote>
  <w:footnote w:id="197">
    <w:p w14:paraId="1ABEC7D5"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37: Victorian Aboriginal Child Care Agency</w:t>
      </w:r>
    </w:p>
  </w:footnote>
  <w:footnote w:id="198">
    <w:p w14:paraId="2404EE21" w14:textId="77777777" w:rsidR="009D3D63" w:rsidRPr="00981521" w:rsidRDefault="009D3D63">
      <w:pPr>
        <w:pStyle w:val="FootnoteText"/>
        <w:rPr>
          <w:rFonts w:ascii="Helvetica" w:hAnsi="Helvetica"/>
        </w:rPr>
      </w:pPr>
      <w:r w:rsidRPr="00981521">
        <w:rPr>
          <w:rStyle w:val="FootnoteReference"/>
          <w:rFonts w:ascii="Helvetica" w:hAnsi="Helvetica"/>
        </w:rPr>
        <w:footnoteRef/>
      </w:r>
      <w:r w:rsidRPr="00981521">
        <w:rPr>
          <w:rFonts w:ascii="Helvetica" w:hAnsi="Helvetica"/>
        </w:rPr>
        <w:t xml:space="preserve"> </w:t>
      </w:r>
      <w:r w:rsidRPr="00981521">
        <w:rPr>
          <w:rFonts w:ascii="Helvetica" w:hAnsi="Helvetica"/>
          <w:sz w:val="18"/>
          <w:szCs w:val="18"/>
        </w:rPr>
        <w:t>Submission 48: Aboriginal Executive Council</w:t>
      </w:r>
    </w:p>
  </w:footnote>
  <w:footnote w:id="199">
    <w:p w14:paraId="4E33253A"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58: Queensland Aboriginal and Islander Health Council</w:t>
      </w:r>
    </w:p>
  </w:footnote>
  <w:footnote w:id="200">
    <w:p w14:paraId="6C3020DB"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13: Yilabara Solutions</w:t>
      </w:r>
    </w:p>
  </w:footnote>
  <w:footnote w:id="201">
    <w:p w14:paraId="0D696C98"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31: Indigenous Allied Health Australia LTD.</w:t>
      </w:r>
    </w:p>
  </w:footnote>
  <w:footnote w:id="202">
    <w:p w14:paraId="2077C096"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24: North Coast Aboriginal Development Alliance</w:t>
      </w:r>
    </w:p>
  </w:footnote>
  <w:footnote w:id="203">
    <w:p w14:paraId="2D240B44"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55: Kimberley Regional Group and Kimberley Zone</w:t>
      </w:r>
    </w:p>
  </w:footnote>
  <w:footnote w:id="204">
    <w:p w14:paraId="5AD10233" w14:textId="77777777" w:rsidR="009D3D63" w:rsidRPr="00981521" w:rsidRDefault="009D3D63">
      <w:pPr>
        <w:pStyle w:val="FootnoteText"/>
        <w:rPr>
          <w:rFonts w:ascii="Helvetica" w:hAnsi="Helvetica"/>
        </w:rPr>
      </w:pPr>
      <w:r w:rsidRPr="00981521">
        <w:rPr>
          <w:rStyle w:val="FootnoteReference"/>
          <w:rFonts w:ascii="Helvetica" w:hAnsi="Helvetica"/>
        </w:rPr>
        <w:footnoteRef/>
      </w:r>
      <w:r w:rsidRPr="00981521">
        <w:rPr>
          <w:rFonts w:ascii="Helvetica" w:hAnsi="Helvetica"/>
        </w:rPr>
        <w:t xml:space="preserve"> </w:t>
      </w:r>
      <w:r w:rsidRPr="00981521">
        <w:rPr>
          <w:rFonts w:ascii="Helvetica" w:hAnsi="Helvetica"/>
          <w:sz w:val="18"/>
          <w:szCs w:val="18"/>
        </w:rPr>
        <w:t>Submission 11: Yalu Aboriginal Corporation</w:t>
      </w:r>
    </w:p>
  </w:footnote>
  <w:footnote w:id="205">
    <w:p w14:paraId="1F4E37D8" w14:textId="77777777" w:rsidR="009D3D63" w:rsidRPr="006A3DEB"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 East Kimberley Job Pathways</w:t>
      </w:r>
    </w:p>
  </w:footnote>
  <w:footnote w:id="206">
    <w:p w14:paraId="16C120BA"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37: Victorian Aboriginal Child Care Agency</w:t>
      </w:r>
    </w:p>
  </w:footnote>
  <w:footnote w:id="207">
    <w:p w14:paraId="7CDD432F" w14:textId="77777777" w:rsidR="009D3D63" w:rsidRPr="006A3DEB" w:rsidRDefault="009D3D63" w:rsidP="00942D5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8: Fifteen (15) Times Better</w:t>
      </w:r>
    </w:p>
  </w:footnote>
  <w:footnote w:id="208">
    <w:p w14:paraId="4F67528A" w14:textId="77777777" w:rsidR="009D3D63" w:rsidRPr="006A3DEB" w:rsidRDefault="009D3D63" w:rsidP="00942D5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26: Advance Personnel Management</w:t>
      </w:r>
    </w:p>
  </w:footnote>
  <w:footnote w:id="209">
    <w:p w14:paraId="49D66AB3" w14:textId="77777777" w:rsidR="009D3D63" w:rsidRPr="006A3DEB" w:rsidRDefault="009D3D63" w:rsidP="00942D5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28: Generation One, Indigenous Employment Partners, and Wirrpanda Foundation</w:t>
      </w:r>
    </w:p>
  </w:footnote>
  <w:footnote w:id="210">
    <w:p w14:paraId="41C82474" w14:textId="77777777" w:rsidR="009D3D63" w:rsidRPr="006A3DEB" w:rsidRDefault="009D3D63" w:rsidP="00942D5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23: Real Futures</w:t>
      </w:r>
    </w:p>
  </w:footnote>
  <w:footnote w:id="211">
    <w:p w14:paraId="362B3E4C" w14:textId="77777777" w:rsidR="009D3D63" w:rsidRPr="006A3DEB" w:rsidRDefault="009D3D63" w:rsidP="00942D5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38: Kapani</w:t>
      </w:r>
    </w:p>
  </w:footnote>
  <w:footnote w:id="212">
    <w:p w14:paraId="3401C061" w14:textId="77777777" w:rsidR="009D3D63" w:rsidRPr="006A3DEB" w:rsidRDefault="009D3D63" w:rsidP="00942D5D">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34: Kimberley Training Group</w:t>
      </w:r>
    </w:p>
  </w:footnote>
  <w:footnote w:id="213">
    <w:p w14:paraId="423E09C0" w14:textId="77777777" w:rsidR="009D3D63" w:rsidRPr="00CC6DB7" w:rsidRDefault="009D3D63" w:rsidP="00942D5D">
      <w:pPr>
        <w:pStyle w:val="FootnoteText"/>
        <w:rPr>
          <w:rFonts w:ascii="Helvetica" w:hAnsi="Helvetica"/>
          <w:sz w:val="18"/>
          <w:szCs w:val="18"/>
        </w:rPr>
      </w:pPr>
      <w:r w:rsidRPr="00CC6DB7">
        <w:rPr>
          <w:rStyle w:val="FootnoteReference"/>
          <w:rFonts w:ascii="Helvetica" w:hAnsi="Helvetica"/>
          <w:sz w:val="18"/>
          <w:szCs w:val="18"/>
        </w:rPr>
        <w:footnoteRef/>
      </w:r>
      <w:r w:rsidRPr="00CC6DB7">
        <w:rPr>
          <w:rFonts w:ascii="Helvetica" w:hAnsi="Helvetica"/>
          <w:sz w:val="18"/>
          <w:szCs w:val="18"/>
        </w:rPr>
        <w:t xml:space="preserve"> Submission 58: Queensland Aboriginal and Islander Health Council</w:t>
      </w:r>
    </w:p>
  </w:footnote>
  <w:footnote w:id="214">
    <w:p w14:paraId="113AD4D5"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42: First Nations Media Australia</w:t>
      </w:r>
    </w:p>
  </w:footnote>
  <w:footnote w:id="215">
    <w:p w14:paraId="1903A867"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9: RISE Ventures</w:t>
      </w:r>
    </w:p>
  </w:footnote>
  <w:footnote w:id="216">
    <w:p w14:paraId="3C6033A9"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8: Fifteen (15) Times Better</w:t>
      </w:r>
    </w:p>
  </w:footnote>
  <w:footnote w:id="217">
    <w:p w14:paraId="51AAB5BB"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24: North Coast Aboriginal Development Alliance</w:t>
      </w:r>
    </w:p>
  </w:footnote>
  <w:footnote w:id="218">
    <w:p w14:paraId="1D0AB0E2"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46: Illawarra Aboriginal Corporation</w:t>
      </w:r>
    </w:p>
  </w:footnote>
  <w:footnote w:id="219">
    <w:p w14:paraId="3E30A1CC"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35: RAW Group of Companies</w:t>
      </w:r>
    </w:p>
  </w:footnote>
  <w:footnote w:id="220">
    <w:p w14:paraId="2361705E" w14:textId="77777777" w:rsidR="009D3D63" w:rsidRDefault="009D3D63" w:rsidP="00942D5D">
      <w:pPr>
        <w:pStyle w:val="FootnoteText"/>
      </w:pPr>
      <w:r w:rsidRPr="00CC6DB7">
        <w:rPr>
          <w:rStyle w:val="FootnoteReference"/>
          <w:rFonts w:ascii="Helvetica" w:hAnsi="Helvetica"/>
          <w:sz w:val="18"/>
          <w:szCs w:val="18"/>
        </w:rPr>
        <w:footnoteRef/>
      </w:r>
      <w:r w:rsidRPr="00CC6DB7">
        <w:rPr>
          <w:rFonts w:ascii="Helvetica" w:hAnsi="Helvetica"/>
          <w:sz w:val="18"/>
          <w:szCs w:val="18"/>
        </w:rPr>
        <w:t xml:space="preserve"> Submission 57: NSW Aboriginal Land Council</w:t>
      </w:r>
    </w:p>
  </w:footnote>
  <w:footnote w:id="221">
    <w:p w14:paraId="6ABBE4D3"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9: RISE Ventures</w:t>
      </w:r>
    </w:p>
  </w:footnote>
  <w:footnote w:id="222">
    <w:p w14:paraId="45466B10"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26: Advance Personnel Management</w:t>
      </w:r>
    </w:p>
  </w:footnote>
  <w:footnote w:id="223">
    <w:p w14:paraId="39861AAE"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31: Indigenous Allied Health Australia LTD</w:t>
      </w:r>
    </w:p>
  </w:footnote>
  <w:footnote w:id="224">
    <w:p w14:paraId="68BA6531"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41</w:t>
      </w:r>
    </w:p>
  </w:footnote>
  <w:footnote w:id="225">
    <w:p w14:paraId="51C8FCCA"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32</w:t>
      </w:r>
    </w:p>
  </w:footnote>
  <w:footnote w:id="226">
    <w:p w14:paraId="2696B21E"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35: RAW Group of Companies</w:t>
      </w:r>
    </w:p>
  </w:footnote>
  <w:footnote w:id="227">
    <w:p w14:paraId="7E3BEF7A"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40: National Native Title Council</w:t>
      </w:r>
    </w:p>
  </w:footnote>
  <w:footnote w:id="228">
    <w:p w14:paraId="5C5F1F91"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15: Indigenous Land &amp; Sea Corporation</w:t>
      </w:r>
    </w:p>
  </w:footnote>
  <w:footnote w:id="229">
    <w:p w14:paraId="7B066F4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National Indigenous Australians Agency (NIAA), </w:t>
      </w:r>
      <w:r w:rsidRPr="00760EA8">
        <w:rPr>
          <w:rFonts w:ascii="Helvetica" w:hAnsi="Helvetica"/>
          <w:i/>
          <w:iCs/>
          <w:sz w:val="18"/>
          <w:szCs w:val="18"/>
        </w:rPr>
        <w:t>Indigenous Skills, Engagement and Employment Program (ISEP): Discussion Paper</w:t>
      </w:r>
      <w:r w:rsidRPr="00760EA8">
        <w:rPr>
          <w:rFonts w:ascii="Helvetica" w:hAnsi="Helvetica"/>
          <w:sz w:val="18"/>
          <w:szCs w:val="18"/>
        </w:rPr>
        <w:t>, NIAA, 2021, Australian Government, p. 9.</w:t>
      </w:r>
    </w:p>
  </w:footnote>
  <w:footnote w:id="230">
    <w:p w14:paraId="40E8AC3F"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 Volunteers Australia</w:t>
      </w:r>
    </w:p>
  </w:footnote>
  <w:footnote w:id="231">
    <w:p w14:paraId="3924CD9F"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35: RAW Group of Companies</w:t>
      </w:r>
    </w:p>
  </w:footnote>
  <w:footnote w:id="232">
    <w:p w14:paraId="53F11358"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10: University NSW Sydney</w:t>
      </w:r>
    </w:p>
  </w:footnote>
  <w:footnote w:id="233">
    <w:p w14:paraId="627FF4DA"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20: Jumbunna Institute</w:t>
      </w:r>
    </w:p>
  </w:footnote>
  <w:footnote w:id="234">
    <w:p w14:paraId="61E13FE3"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50: Reconciliation Australia</w:t>
      </w:r>
    </w:p>
  </w:footnote>
  <w:footnote w:id="235">
    <w:p w14:paraId="525CB1D8"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58: Queensland Aboriginal and Islander Health Council</w:t>
      </w:r>
    </w:p>
  </w:footnote>
  <w:footnote w:id="236">
    <w:p w14:paraId="491F94F8" w14:textId="77777777" w:rsidR="009D3D63" w:rsidRPr="00CC6DB7"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61: National Aboriginal Community Controlled Health Organisation</w:t>
      </w:r>
    </w:p>
  </w:footnote>
  <w:footnote w:id="237">
    <w:p w14:paraId="195CC880"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Ngaanyatjarra Pitjantjatjara Yankunytjatjara Empowered Communities</w:t>
      </w:r>
    </w:p>
  </w:footnote>
  <w:footnote w:id="238">
    <w:p w14:paraId="17849298" w14:textId="77777777" w:rsidR="009D3D63" w:rsidRPr="00981521" w:rsidRDefault="009D3D6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20: Jumbunna Institute</w:t>
      </w:r>
    </w:p>
  </w:footnote>
  <w:footnote w:id="239">
    <w:p w14:paraId="53F89E9E"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26: Advance Personnel Management</w:t>
      </w:r>
    </w:p>
  </w:footnote>
  <w:footnote w:id="240">
    <w:p w14:paraId="03EA0598"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28: Generation One, Indigenous Employment Partners, and Wirrpanda Foundation</w:t>
      </w:r>
    </w:p>
  </w:footnote>
  <w:footnote w:id="241">
    <w:p w14:paraId="43E544CD"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32</w:t>
      </w:r>
    </w:p>
  </w:footnote>
  <w:footnote w:id="242">
    <w:p w14:paraId="4D8D493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8: Fifteen (15) Times Better</w:t>
      </w:r>
    </w:p>
  </w:footnote>
  <w:footnote w:id="243">
    <w:p w14:paraId="403F57B1"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41</w:t>
      </w:r>
    </w:p>
  </w:footnote>
  <w:footnote w:id="244">
    <w:p w14:paraId="5913F36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33: Minerals Council of Australia</w:t>
      </w:r>
    </w:p>
  </w:footnote>
  <w:footnote w:id="245">
    <w:p w14:paraId="6D6E5311"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29: National Apprentice Employment Network</w:t>
      </w:r>
    </w:p>
  </w:footnote>
  <w:footnote w:id="246">
    <w:p w14:paraId="3C75B567"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13: Yilabara Solutions</w:t>
      </w:r>
    </w:p>
  </w:footnote>
  <w:footnote w:id="247">
    <w:p w14:paraId="0ABCFE92"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47: Crown Perth LTD</w:t>
      </w:r>
    </w:p>
  </w:footnote>
  <w:footnote w:id="248">
    <w:p w14:paraId="0F7EEBD4"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23: Real Futures</w:t>
      </w:r>
    </w:p>
  </w:footnote>
  <w:footnote w:id="249">
    <w:p w14:paraId="326B242F"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 Jobs Australia</w:t>
      </w:r>
    </w:p>
  </w:footnote>
  <w:footnote w:id="250">
    <w:p w14:paraId="5357F637" w14:textId="77777777" w:rsidR="009D3D63" w:rsidRPr="00981521"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58: Queensland Aboriginal and Islander Health Council</w:t>
      </w:r>
    </w:p>
  </w:footnote>
  <w:footnote w:id="251">
    <w:p w14:paraId="45C71F42"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37: Victorian Aboriginal Child Care Agency, p. 4</w:t>
      </w:r>
    </w:p>
  </w:footnote>
  <w:footnote w:id="252">
    <w:p w14:paraId="54743FED"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31: Indigenous Allied Health Australia LTD</w:t>
      </w:r>
    </w:p>
  </w:footnote>
  <w:footnote w:id="253">
    <w:p w14:paraId="0AC55578"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34: Kimberley Group Training</w:t>
      </w:r>
    </w:p>
  </w:footnote>
  <w:footnote w:id="254">
    <w:p w14:paraId="4F6CA56C"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13: Yilabara Solutions</w:t>
      </w:r>
    </w:p>
  </w:footnote>
  <w:footnote w:id="255">
    <w:p w14:paraId="16130F5B"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55: Kimberley Regional Group and Kimberley Zone</w:t>
      </w:r>
    </w:p>
  </w:footnote>
  <w:footnote w:id="256">
    <w:p w14:paraId="7440D7D8" w14:textId="77777777" w:rsidR="009D3D63" w:rsidRPr="00760EA8" w:rsidRDefault="009D3D63" w:rsidP="00942D5D">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9: RISE Ventures</w:t>
      </w:r>
    </w:p>
  </w:footnote>
  <w:footnote w:id="257">
    <w:p w14:paraId="6359E92C"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31: Indigenous Allied Health Australia LTD</w:t>
      </w:r>
    </w:p>
  </w:footnote>
  <w:footnote w:id="258">
    <w:p w14:paraId="0B531734"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37: Victorian Aboriginal Child Care Agency</w:t>
      </w:r>
    </w:p>
  </w:footnote>
  <w:footnote w:id="259">
    <w:p w14:paraId="177407C9" w14:textId="77777777" w:rsidR="009D3D63" w:rsidRPr="00981521" w:rsidRDefault="009D3D63" w:rsidP="00942D5D">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62: Tranby</w:t>
      </w:r>
      <w:r w:rsidRPr="00760EA8">
        <w:rPr>
          <w:rFonts w:ascii="Helvetica" w:hAnsi="Helvetica"/>
          <w:sz w:val="18"/>
          <w:szCs w:val="18"/>
        </w:rPr>
        <w:t xml:space="preserve"> National Indigenous Adult Education and Training</w:t>
      </w:r>
    </w:p>
  </w:footnote>
  <w:footnote w:id="260">
    <w:p w14:paraId="0DADCDAE" w14:textId="77777777" w:rsidR="009D3D63" w:rsidRPr="0082738F" w:rsidRDefault="009D3D63">
      <w:pPr>
        <w:pStyle w:val="FootnoteText"/>
        <w:rPr>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Submission 20: Jumbunna Institute</w:t>
      </w:r>
    </w:p>
  </w:footnote>
  <w:footnote w:id="261">
    <w:p w14:paraId="7A5D0ACD"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28: Generation One, Indigenous Employment Partners, and Wirrpanda Foundation</w:t>
      </w:r>
    </w:p>
  </w:footnote>
  <w:footnote w:id="262">
    <w:p w14:paraId="5E7458E0"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43: The Arnhem Land Progress Aboriginal Corporation</w:t>
      </w:r>
    </w:p>
  </w:footnote>
  <w:footnote w:id="263">
    <w:p w14:paraId="308273B3"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40: National Native Title Council</w:t>
      </w:r>
    </w:p>
  </w:footnote>
  <w:footnote w:id="264">
    <w:p w14:paraId="179D6A34"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37: Victorian Aboriginal Child Care Agency</w:t>
      </w:r>
    </w:p>
  </w:footnote>
  <w:footnote w:id="265">
    <w:p w14:paraId="3AF38F7C"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43: The Arnhem Land Progress Aboriginal Corporation, p. 2.</w:t>
      </w:r>
    </w:p>
  </w:footnote>
  <w:footnote w:id="266">
    <w:p w14:paraId="2CD463B0"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 East Kimberley Job Pathways</w:t>
      </w:r>
    </w:p>
  </w:footnote>
  <w:footnote w:id="267">
    <w:p w14:paraId="6B011008"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62: Tranby National Indigenous Adult Education and Training</w:t>
      </w:r>
    </w:p>
  </w:footnote>
  <w:footnote w:id="268">
    <w:p w14:paraId="1C0DF335"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28: Generation One, Indigenous Employment Partners, and Wirrpanda Foundation</w:t>
      </w:r>
    </w:p>
  </w:footnote>
  <w:footnote w:id="269">
    <w:p w14:paraId="5E37FD1D"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54: Ngaanyatjarra Pitjantjatjara Yankunytjatjara Empowered Communities</w:t>
      </w:r>
    </w:p>
  </w:footnote>
  <w:footnote w:id="270">
    <w:p w14:paraId="24F6189B"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57: NSW Aboriginal Land Council</w:t>
      </w:r>
    </w:p>
  </w:footnote>
  <w:footnote w:id="271">
    <w:p w14:paraId="101AA856"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43: The Arnhem Land Progress Aboriginal Corporation</w:t>
      </w:r>
    </w:p>
  </w:footnote>
  <w:footnote w:id="272">
    <w:p w14:paraId="69B89D4B"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38: Kapani</w:t>
      </w:r>
    </w:p>
  </w:footnote>
  <w:footnote w:id="273">
    <w:p w14:paraId="6A772CF8"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10: University NSW Sydney</w:t>
      </w:r>
    </w:p>
  </w:footnote>
  <w:footnote w:id="274">
    <w:p w14:paraId="7905276B"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24: North Coast Aboriginal Development Alliance</w:t>
      </w:r>
    </w:p>
  </w:footnote>
  <w:footnote w:id="275">
    <w:p w14:paraId="55C62157"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54: Ngaanyatjarra Pitjantjatjara Yankunytjatjara Empowered Communities</w:t>
      </w:r>
    </w:p>
  </w:footnote>
  <w:footnote w:id="276">
    <w:p w14:paraId="2CF9EEFB"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34: Kimberley Group Training, p. 2</w:t>
      </w:r>
    </w:p>
  </w:footnote>
  <w:footnote w:id="277">
    <w:p w14:paraId="0B51EE00" w14:textId="77777777" w:rsidR="009D3D63" w:rsidRPr="00760EA8" w:rsidRDefault="009D3D63" w:rsidP="00CB6505">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37: Victorian Aboriginal Child Care Agency</w:t>
      </w:r>
    </w:p>
  </w:footnote>
  <w:footnote w:id="278">
    <w:p w14:paraId="61242F2B" w14:textId="77777777" w:rsidR="009D3D63" w:rsidRDefault="009D3D63" w:rsidP="00CB6505">
      <w:pPr>
        <w:pStyle w:val="FootnoteText"/>
      </w:pPr>
      <w:r w:rsidRPr="00981521">
        <w:rPr>
          <w:rStyle w:val="FootnoteReference"/>
          <w:rFonts w:ascii="Helvetica" w:hAnsi="Helvetica"/>
          <w:sz w:val="18"/>
          <w:szCs w:val="18"/>
        </w:rPr>
        <w:footnoteRef/>
      </w:r>
      <w:r w:rsidRPr="00981521">
        <w:rPr>
          <w:rFonts w:ascii="Helvetica" w:hAnsi="Helvetica"/>
          <w:sz w:val="18"/>
          <w:szCs w:val="18"/>
        </w:rPr>
        <w:t xml:space="preserve"> Submission 31: Indigenous Allied Health Australia LTD</w:t>
      </w:r>
    </w:p>
  </w:footnote>
  <w:footnote w:id="279">
    <w:p w14:paraId="2CF4A28E" w14:textId="77777777" w:rsidR="009D3D63" w:rsidRPr="00760EA8" w:rsidRDefault="009D3D63" w:rsidP="00B65A60">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22: National Rugby League</w:t>
      </w:r>
    </w:p>
  </w:footnote>
  <w:footnote w:id="280">
    <w:p w14:paraId="400CFBA6" w14:textId="77777777" w:rsidR="009D3D63" w:rsidRPr="00760EA8" w:rsidRDefault="009D3D63" w:rsidP="00B65A60">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24: North Coast Aboriginal Development Alliance</w:t>
      </w:r>
    </w:p>
  </w:footnote>
  <w:footnote w:id="281">
    <w:p w14:paraId="4D1EF5E2" w14:textId="77777777" w:rsidR="009D3D63" w:rsidRPr="00760EA8" w:rsidRDefault="009D3D63" w:rsidP="00B65A60">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19: Universities Australia</w:t>
      </w:r>
    </w:p>
  </w:footnote>
  <w:footnote w:id="282">
    <w:p w14:paraId="37CBAC21" w14:textId="77777777" w:rsidR="009D3D63" w:rsidRPr="00760EA8" w:rsidRDefault="009D3D63" w:rsidP="00B65A60">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33: Minerals Council of Australia</w:t>
      </w:r>
    </w:p>
  </w:footnote>
  <w:footnote w:id="283">
    <w:p w14:paraId="1B973D57" w14:textId="77777777" w:rsidR="009D3D63" w:rsidRPr="00981521" w:rsidRDefault="009D3D63" w:rsidP="00B65A60">
      <w:pPr>
        <w:pStyle w:val="FootnoteText"/>
        <w:rPr>
          <w:rFonts w:ascii="Helvetica" w:hAnsi="Helvetica"/>
        </w:rPr>
      </w:pPr>
      <w:r w:rsidRPr="00760EA8">
        <w:rPr>
          <w:rStyle w:val="FootnoteReference"/>
          <w:rFonts w:ascii="Helvetica" w:hAnsi="Helvetica"/>
          <w:sz w:val="18"/>
          <w:szCs w:val="18"/>
        </w:rPr>
        <w:footnoteRef/>
      </w:r>
      <w:r w:rsidRPr="00760EA8">
        <w:rPr>
          <w:rFonts w:ascii="Helvetica" w:hAnsi="Helvetica"/>
          <w:sz w:val="18"/>
          <w:szCs w:val="18"/>
        </w:rPr>
        <w:t xml:space="preserve"> Submission 49: Charles Darwin University</w:t>
      </w:r>
    </w:p>
  </w:footnote>
  <w:footnote w:id="284">
    <w:p w14:paraId="1418F3CC" w14:textId="77777777" w:rsidR="009D3D63" w:rsidRPr="00760EA8" w:rsidRDefault="009D3D63" w:rsidP="00B65A60">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58: Queensland Aboriginal and Islander Health Service</w:t>
      </w:r>
    </w:p>
  </w:footnote>
  <w:footnote w:id="285">
    <w:p w14:paraId="1C4D8DA3" w14:textId="77777777" w:rsidR="009D3D63" w:rsidRPr="00760EA8" w:rsidRDefault="009D3D63" w:rsidP="00B65A60">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61: National Aboriginal Community Controlled Health Organisation</w:t>
      </w:r>
    </w:p>
  </w:footnote>
  <w:footnote w:id="286">
    <w:p w14:paraId="663F665A" w14:textId="77777777" w:rsidR="009D3D63" w:rsidRPr="00760EA8" w:rsidRDefault="009D3D63" w:rsidP="00B65A60">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46: Illawarra Aboriginal Corporation</w:t>
      </w:r>
    </w:p>
  </w:footnote>
  <w:footnote w:id="287">
    <w:p w14:paraId="2946771E" w14:textId="77777777" w:rsidR="009D3D63" w:rsidRPr="00760EA8" w:rsidRDefault="009D3D63" w:rsidP="00B65A60">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42: First Nations Media Australia</w:t>
      </w:r>
    </w:p>
  </w:footnote>
  <w:footnote w:id="288">
    <w:p w14:paraId="0F548D5F" w14:textId="77777777" w:rsidR="009D3D63" w:rsidRPr="00CC6DB7" w:rsidRDefault="009D3D63" w:rsidP="00B65A60">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60</w:t>
      </w:r>
    </w:p>
  </w:footnote>
  <w:footnote w:id="289">
    <w:p w14:paraId="0A946E3D"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National Indigenous Australians Agency (NIAA), </w:t>
      </w:r>
      <w:r w:rsidRPr="00760EA8">
        <w:rPr>
          <w:rFonts w:ascii="Helvetica" w:hAnsi="Helvetica"/>
          <w:i/>
          <w:iCs/>
          <w:sz w:val="18"/>
          <w:szCs w:val="18"/>
        </w:rPr>
        <w:t>Indigenous Skills, Engagement and Employment Program (ISEP): Discussion Paper</w:t>
      </w:r>
      <w:r w:rsidRPr="00760EA8">
        <w:rPr>
          <w:rFonts w:ascii="Helvetica" w:hAnsi="Helvetica"/>
          <w:sz w:val="18"/>
          <w:szCs w:val="18"/>
        </w:rPr>
        <w:t>, NIAA, 2021, Australian Government, p. 9</w:t>
      </w:r>
    </w:p>
  </w:footnote>
  <w:footnote w:id="290">
    <w:p w14:paraId="29329142"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54: Ngaanyatjarra Pitjantjatjara Yankunytjatjara Empowered Communities, p. 26</w:t>
      </w:r>
    </w:p>
  </w:footnote>
  <w:footnote w:id="291">
    <w:p w14:paraId="13FB5B3C"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32</w:t>
      </w:r>
    </w:p>
  </w:footnote>
  <w:footnote w:id="292">
    <w:p w14:paraId="2CE7C080" w14:textId="77777777" w:rsidR="00BE340B" w:rsidRPr="00760EA8" w:rsidRDefault="00BE340B" w:rsidP="00BE340B">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w:t>
      </w:r>
      <w:r w:rsidRPr="00760EA8">
        <w:rPr>
          <w:rFonts w:ascii="Helvetica" w:hAnsi="Helvetica"/>
          <w:sz w:val="18"/>
          <w:szCs w:val="18"/>
        </w:rPr>
        <w:t>Submission 33: Minerals Council of Australia</w:t>
      </w:r>
    </w:p>
  </w:footnote>
  <w:footnote w:id="293">
    <w:p w14:paraId="51D0AEB6"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49: Charles Darwin University</w:t>
      </w:r>
    </w:p>
  </w:footnote>
  <w:footnote w:id="294">
    <w:p w14:paraId="4DCB6F82" w14:textId="77777777" w:rsidR="00BE340B" w:rsidRDefault="00BE340B" w:rsidP="00BE340B">
      <w:pPr>
        <w:pStyle w:val="FootnoteText"/>
      </w:pPr>
      <w:r w:rsidRPr="00760EA8">
        <w:rPr>
          <w:rStyle w:val="FootnoteReference"/>
          <w:rFonts w:ascii="Helvetica" w:hAnsi="Helvetica"/>
          <w:sz w:val="18"/>
          <w:szCs w:val="18"/>
        </w:rPr>
        <w:footnoteRef/>
      </w:r>
      <w:r w:rsidRPr="00760EA8">
        <w:rPr>
          <w:rFonts w:ascii="Helvetica" w:hAnsi="Helvetica"/>
          <w:sz w:val="18"/>
          <w:szCs w:val="18"/>
        </w:rPr>
        <w:t xml:space="preserve"> Submission 3: The Australia Institute</w:t>
      </w:r>
    </w:p>
  </w:footnote>
  <w:footnote w:id="295">
    <w:p w14:paraId="10819D94"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13: Yilabara Solutions</w:t>
      </w:r>
    </w:p>
  </w:footnote>
  <w:footnote w:id="296">
    <w:p w14:paraId="5786F7F4"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62: Tranby National Indigenous Adult Education and Training</w:t>
      </w:r>
    </w:p>
  </w:footnote>
  <w:footnote w:id="297">
    <w:p w14:paraId="6FE32687"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15: Indigenous Land &amp; Sea Corporation</w:t>
      </w:r>
    </w:p>
  </w:footnote>
  <w:footnote w:id="298">
    <w:p w14:paraId="7849EF8B"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45: Aurora Education Foundation</w:t>
      </w:r>
    </w:p>
  </w:footnote>
  <w:footnote w:id="299">
    <w:p w14:paraId="477793EB"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32</w:t>
      </w:r>
    </w:p>
  </w:footnote>
  <w:footnote w:id="300">
    <w:p w14:paraId="517271EA"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57: NSW Aboriginal Land Council</w:t>
      </w:r>
    </w:p>
  </w:footnote>
  <w:footnote w:id="301">
    <w:p w14:paraId="2E890C27"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61: National Aboriginal Community Controlled Health Organisation</w:t>
      </w:r>
    </w:p>
  </w:footnote>
  <w:footnote w:id="302">
    <w:p w14:paraId="5AA40E75"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33: Minerals Council of Australia</w:t>
      </w:r>
    </w:p>
  </w:footnote>
  <w:footnote w:id="303">
    <w:p w14:paraId="62CB739F"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28: Generation One, Indigenous Employment Partners, and Wirrpanda Foundation</w:t>
      </w:r>
    </w:p>
  </w:footnote>
  <w:footnote w:id="304">
    <w:p w14:paraId="321F81CA"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34: Kimberley Group Training</w:t>
      </w:r>
    </w:p>
  </w:footnote>
  <w:footnote w:id="305">
    <w:p w14:paraId="7DC2F2DA" w14:textId="77777777" w:rsidR="00BE340B" w:rsidRPr="00981521"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60</w:t>
      </w:r>
    </w:p>
  </w:footnote>
  <w:footnote w:id="306">
    <w:p w14:paraId="3AEB988C"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 East Kimberley Job Pathways</w:t>
      </w:r>
    </w:p>
  </w:footnote>
  <w:footnote w:id="307">
    <w:p w14:paraId="7B47F65E"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13: Yilabara Solutions</w:t>
      </w:r>
    </w:p>
  </w:footnote>
  <w:footnote w:id="308">
    <w:p w14:paraId="12C3673E"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57 NSW Aboriginal Land Council</w:t>
      </w:r>
    </w:p>
  </w:footnote>
  <w:footnote w:id="309">
    <w:p w14:paraId="6D5C68FF"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60</w:t>
      </w:r>
    </w:p>
  </w:footnote>
  <w:footnote w:id="310">
    <w:p w14:paraId="0D34F6AD" w14:textId="77777777" w:rsidR="00BE340B" w:rsidRPr="00760EA8" w:rsidRDefault="00BE340B" w:rsidP="00BE340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46: Illawarra Aboriginal Corporation</w:t>
      </w:r>
    </w:p>
  </w:footnote>
  <w:footnote w:id="311">
    <w:p w14:paraId="40DBA5E6"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45: Aurora Education Foundation</w:t>
      </w:r>
    </w:p>
  </w:footnote>
  <w:footnote w:id="312">
    <w:p w14:paraId="792D02CA" w14:textId="77777777" w:rsidR="009D3D63" w:rsidRPr="00760EA8" w:rsidRDefault="009D3D63" w:rsidP="00A70543">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31: Indigenous Allied Health Australia LTD</w:t>
      </w:r>
    </w:p>
  </w:footnote>
  <w:footnote w:id="313">
    <w:p w14:paraId="4ED10AC0" w14:textId="77777777" w:rsidR="009D3D63" w:rsidRPr="00981521" w:rsidRDefault="009D3D63" w:rsidP="00A7054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w:t>
      </w:r>
      <w:r w:rsidRPr="00760EA8">
        <w:rPr>
          <w:rFonts w:ascii="Helvetica" w:hAnsi="Helvetica"/>
          <w:sz w:val="18"/>
          <w:szCs w:val="18"/>
        </w:rPr>
        <w:t>Submission 61: National Aboriginal Community Controlled Health Organisation</w:t>
      </w:r>
    </w:p>
  </w:footnote>
  <w:footnote w:id="314">
    <w:p w14:paraId="44963BE5" w14:textId="77777777" w:rsidR="009D3D63" w:rsidRPr="00981521" w:rsidRDefault="009D3D63" w:rsidP="00A70543">
      <w:pPr>
        <w:pStyle w:val="FootnoteText"/>
        <w:rPr>
          <w:rFonts w:ascii="Helvetica" w:hAnsi="Helvetica"/>
          <w:sz w:val="18"/>
          <w:szCs w:val="18"/>
        </w:rPr>
      </w:pPr>
      <w:r w:rsidRPr="00981521">
        <w:rPr>
          <w:rStyle w:val="FootnoteReference"/>
          <w:rFonts w:ascii="Helvetica" w:hAnsi="Helvetica"/>
          <w:sz w:val="18"/>
          <w:szCs w:val="18"/>
        </w:rPr>
        <w:footnoteRef/>
      </w:r>
      <w:r w:rsidRPr="00981521">
        <w:rPr>
          <w:rFonts w:ascii="Helvetica" w:hAnsi="Helvetica"/>
          <w:sz w:val="18"/>
          <w:szCs w:val="18"/>
        </w:rPr>
        <w:t xml:space="preserve"> </w:t>
      </w:r>
      <w:r w:rsidRPr="00760EA8">
        <w:rPr>
          <w:rFonts w:ascii="Helvetica" w:hAnsi="Helvetica"/>
          <w:sz w:val="18"/>
          <w:szCs w:val="18"/>
        </w:rPr>
        <w:t>Submission 57: NSW Aboriginal Land Council</w:t>
      </w:r>
    </w:p>
  </w:footnote>
  <w:footnote w:id="315">
    <w:p w14:paraId="08EED8BF" w14:textId="77777777" w:rsidR="009D3D63" w:rsidRPr="00760EA8"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2: NORTEC, p. 2</w:t>
      </w:r>
    </w:p>
  </w:footnote>
  <w:footnote w:id="316">
    <w:p w14:paraId="4DFDCA56" w14:textId="77777777" w:rsidR="009D3D63" w:rsidRPr="006A3DEB" w:rsidRDefault="009D3D63" w:rsidP="006A3DEB">
      <w:pPr>
        <w:pStyle w:val="FootnoteText"/>
        <w:rPr>
          <w:rFonts w:ascii="Helvetica" w:hAnsi="Helvetica"/>
          <w:sz w:val="18"/>
          <w:szCs w:val="18"/>
        </w:rPr>
      </w:pPr>
      <w:r w:rsidRPr="00760EA8">
        <w:rPr>
          <w:rStyle w:val="FootnoteReference"/>
          <w:rFonts w:ascii="Helvetica" w:hAnsi="Helvetica"/>
          <w:sz w:val="18"/>
          <w:szCs w:val="18"/>
        </w:rPr>
        <w:footnoteRef/>
      </w:r>
      <w:r w:rsidRPr="00760EA8">
        <w:rPr>
          <w:rFonts w:ascii="Helvetica" w:hAnsi="Helvetica"/>
          <w:sz w:val="18"/>
          <w:szCs w:val="18"/>
        </w:rPr>
        <w:t xml:space="preserve"> Submission 1: Jobs Australia</w:t>
      </w:r>
    </w:p>
  </w:footnote>
  <w:footnote w:id="317">
    <w:p w14:paraId="1C4832DD"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1: Jobs Australia</w:t>
      </w:r>
    </w:p>
  </w:footnote>
  <w:footnote w:id="318">
    <w:p w14:paraId="18D41829"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13: Yilabara Solutions</w:t>
      </w:r>
    </w:p>
  </w:footnote>
  <w:footnote w:id="319">
    <w:p w14:paraId="1BAFA880"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24: North Coast Aboriginal Development Alliance</w:t>
      </w:r>
    </w:p>
  </w:footnote>
  <w:footnote w:id="320">
    <w:p w14:paraId="3CDFF48B"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9: RISE Ventures</w:t>
      </w:r>
    </w:p>
  </w:footnote>
  <w:footnote w:id="321">
    <w:p w14:paraId="21AF26C0"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33: Minerals Council of Australia</w:t>
      </w:r>
    </w:p>
  </w:footnote>
  <w:footnote w:id="322">
    <w:p w14:paraId="576E4A39" w14:textId="77777777" w:rsidR="009D3D63" w:rsidRPr="006A3DEB" w:rsidRDefault="009D3D63" w:rsidP="006A3DEB">
      <w:pPr>
        <w:pStyle w:val="FootnoteText"/>
        <w:rPr>
          <w:rFonts w:ascii="Helvetica" w:hAnsi="Helvetica"/>
          <w:sz w:val="18"/>
          <w:szCs w:val="18"/>
        </w:rPr>
      </w:pPr>
      <w:r w:rsidRPr="006A3DEB">
        <w:rPr>
          <w:rStyle w:val="FootnoteReference"/>
          <w:rFonts w:ascii="Helvetica" w:hAnsi="Helvetica"/>
          <w:sz w:val="18"/>
          <w:szCs w:val="18"/>
        </w:rPr>
        <w:footnoteRef/>
      </w:r>
      <w:r w:rsidRPr="006A3DEB">
        <w:rPr>
          <w:rFonts w:ascii="Helvetica" w:hAnsi="Helvetica"/>
          <w:sz w:val="18"/>
          <w:szCs w:val="18"/>
        </w:rPr>
        <w:t xml:space="preserve"> Submission 52: Woolworths Group</w:t>
      </w:r>
    </w:p>
  </w:footnote>
  <w:footnote w:id="323">
    <w:p w14:paraId="20E8DF0A" w14:textId="77777777" w:rsidR="009D3D63" w:rsidRPr="00CC6DB7" w:rsidRDefault="009D3D63" w:rsidP="007B15E2">
      <w:pPr>
        <w:pStyle w:val="FootnoteText"/>
        <w:rPr>
          <w:rFonts w:ascii="Helvetica" w:hAnsi="Helvetica"/>
          <w:sz w:val="18"/>
          <w:szCs w:val="18"/>
        </w:rPr>
      </w:pPr>
      <w:r w:rsidRPr="00CC6DB7">
        <w:rPr>
          <w:rStyle w:val="FootnoteReference"/>
          <w:rFonts w:ascii="Helvetica" w:hAnsi="Helvetica"/>
          <w:sz w:val="18"/>
          <w:szCs w:val="18"/>
        </w:rPr>
        <w:footnoteRef/>
      </w:r>
      <w:r w:rsidRPr="00CC6DB7">
        <w:rPr>
          <w:rFonts w:ascii="Helvetica" w:hAnsi="Helvetica"/>
          <w:sz w:val="18"/>
          <w:szCs w:val="18"/>
        </w:rPr>
        <w:t xml:space="preserve"> Submission 39: AFL SportsReady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9BC"/>
    <w:multiLevelType w:val="hybridMultilevel"/>
    <w:tmpl w:val="C5BA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018B"/>
    <w:multiLevelType w:val="hybridMultilevel"/>
    <w:tmpl w:val="A308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350DF"/>
    <w:multiLevelType w:val="hybridMultilevel"/>
    <w:tmpl w:val="622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0332"/>
    <w:multiLevelType w:val="hybridMultilevel"/>
    <w:tmpl w:val="A46A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153C5"/>
    <w:multiLevelType w:val="hybridMultilevel"/>
    <w:tmpl w:val="086C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D0316"/>
    <w:multiLevelType w:val="hybridMultilevel"/>
    <w:tmpl w:val="01C0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C237C"/>
    <w:multiLevelType w:val="hybridMultilevel"/>
    <w:tmpl w:val="13121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E51A9"/>
    <w:multiLevelType w:val="hybridMultilevel"/>
    <w:tmpl w:val="F2AA02F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0C9C65B7"/>
    <w:multiLevelType w:val="hybridMultilevel"/>
    <w:tmpl w:val="C498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BE72DF"/>
    <w:multiLevelType w:val="hybridMultilevel"/>
    <w:tmpl w:val="0E8EA0E4"/>
    <w:lvl w:ilvl="0" w:tplc="ECD40DB0">
      <w:start w:val="1"/>
      <w:numFmt w:val="bullet"/>
      <w:lvlText w:val=""/>
      <w:lvlJc w:val="left"/>
      <w:pPr>
        <w:ind w:left="1080" w:hanging="360"/>
      </w:pPr>
      <w:rPr>
        <w:rFonts w:ascii="Symbol" w:hAnsi="Symbol" w:hint="default"/>
        <w:color w:val="4A66AC" w:themeColor="accent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F710B1A"/>
    <w:multiLevelType w:val="hybridMultilevel"/>
    <w:tmpl w:val="8E3C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8252E"/>
    <w:multiLevelType w:val="hybridMultilevel"/>
    <w:tmpl w:val="12906EC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2" w15:restartNumberingAfterBreak="0">
    <w:nsid w:val="10071A00"/>
    <w:multiLevelType w:val="hybridMultilevel"/>
    <w:tmpl w:val="61C6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D72EF"/>
    <w:multiLevelType w:val="hybridMultilevel"/>
    <w:tmpl w:val="1CE018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2565F7"/>
    <w:multiLevelType w:val="hybridMultilevel"/>
    <w:tmpl w:val="33106614"/>
    <w:lvl w:ilvl="0" w:tplc="08090001">
      <w:start w:val="1"/>
      <w:numFmt w:val="bullet"/>
      <w:lvlText w:val=""/>
      <w:lvlJc w:val="left"/>
      <w:pPr>
        <w:ind w:left="787"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021056"/>
    <w:multiLevelType w:val="hybridMultilevel"/>
    <w:tmpl w:val="CC5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A70F03"/>
    <w:multiLevelType w:val="hybridMultilevel"/>
    <w:tmpl w:val="4C0E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2803E3"/>
    <w:multiLevelType w:val="hybridMultilevel"/>
    <w:tmpl w:val="8838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826C22"/>
    <w:multiLevelType w:val="hybridMultilevel"/>
    <w:tmpl w:val="4792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1E5BD9"/>
    <w:multiLevelType w:val="hybridMultilevel"/>
    <w:tmpl w:val="C1B4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0A2CBA"/>
    <w:multiLevelType w:val="hybridMultilevel"/>
    <w:tmpl w:val="46AA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BD72E7"/>
    <w:multiLevelType w:val="hybridMultilevel"/>
    <w:tmpl w:val="FF60ACD8"/>
    <w:lvl w:ilvl="0" w:tplc="08090001">
      <w:start w:val="1"/>
      <w:numFmt w:val="bullet"/>
      <w:lvlText w:val=""/>
      <w:lvlJc w:val="left"/>
      <w:pPr>
        <w:ind w:left="720" w:hanging="360"/>
      </w:pPr>
      <w:rPr>
        <w:rFonts w:ascii="Symbol" w:hAnsi="Symbol" w:hint="default"/>
        <w:color w:val="404040" w:themeColor="text1"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58035F"/>
    <w:multiLevelType w:val="hybridMultilevel"/>
    <w:tmpl w:val="03A063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19E64295"/>
    <w:multiLevelType w:val="hybridMultilevel"/>
    <w:tmpl w:val="04FC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810871"/>
    <w:multiLevelType w:val="hybridMultilevel"/>
    <w:tmpl w:val="1324C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095BA3"/>
    <w:multiLevelType w:val="hybridMultilevel"/>
    <w:tmpl w:val="D480E1FE"/>
    <w:lvl w:ilvl="0" w:tplc="59B4A3F0">
      <w:start w:val="1"/>
      <w:numFmt w:val="decimal"/>
      <w:lvlText w:val="%1."/>
      <w:lvlJc w:val="left"/>
      <w:pPr>
        <w:ind w:left="720" w:hanging="360"/>
      </w:pPr>
      <w:rPr>
        <w:rFonts w:hint="default"/>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1A5FDD"/>
    <w:multiLevelType w:val="hybridMultilevel"/>
    <w:tmpl w:val="C94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F74DF9"/>
    <w:multiLevelType w:val="multilevel"/>
    <w:tmpl w:val="11E8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C12978"/>
    <w:multiLevelType w:val="hybridMultilevel"/>
    <w:tmpl w:val="3A64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F62D64"/>
    <w:multiLevelType w:val="hybridMultilevel"/>
    <w:tmpl w:val="296E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F728BD"/>
    <w:multiLevelType w:val="hybridMultilevel"/>
    <w:tmpl w:val="725CB21E"/>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F57805"/>
    <w:multiLevelType w:val="hybridMultilevel"/>
    <w:tmpl w:val="4AE0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293AD0"/>
    <w:multiLevelType w:val="hybridMultilevel"/>
    <w:tmpl w:val="D5C4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D653E8"/>
    <w:multiLevelType w:val="hybridMultilevel"/>
    <w:tmpl w:val="F658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D77CC7"/>
    <w:multiLevelType w:val="hybridMultilevel"/>
    <w:tmpl w:val="B5287140"/>
    <w:lvl w:ilvl="0" w:tplc="87FC4106">
      <w:start w:val="1"/>
      <w:numFmt w:val="decimal"/>
      <w:lvlText w:val="%1."/>
      <w:lvlJc w:val="left"/>
      <w:pPr>
        <w:ind w:left="720" w:hanging="360"/>
      </w:pPr>
      <w:rPr>
        <w:rFonts w:hint="default"/>
        <w:color w:val="1E9995"/>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3C1EE9"/>
    <w:multiLevelType w:val="hybridMultilevel"/>
    <w:tmpl w:val="EDD4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EE53D2"/>
    <w:multiLevelType w:val="hybridMultilevel"/>
    <w:tmpl w:val="E1B4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B231D5"/>
    <w:multiLevelType w:val="hybridMultilevel"/>
    <w:tmpl w:val="06BA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03737A"/>
    <w:multiLevelType w:val="hybridMultilevel"/>
    <w:tmpl w:val="61D8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FA18BE"/>
    <w:multiLevelType w:val="hybridMultilevel"/>
    <w:tmpl w:val="E59C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2211DF"/>
    <w:multiLevelType w:val="hybridMultilevel"/>
    <w:tmpl w:val="7998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DE739F"/>
    <w:multiLevelType w:val="hybridMultilevel"/>
    <w:tmpl w:val="1622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6603BE"/>
    <w:multiLevelType w:val="hybridMultilevel"/>
    <w:tmpl w:val="945282BA"/>
    <w:lvl w:ilvl="0" w:tplc="B726A47A">
      <w:start w:val="1"/>
      <w:numFmt w:val="bullet"/>
      <w:lvlText w:val=""/>
      <w:lvlJc w:val="left"/>
      <w:pPr>
        <w:ind w:left="720" w:hanging="360"/>
      </w:pPr>
      <w:rPr>
        <w:rFonts w:ascii="Symbol" w:hAnsi="Symbol" w:hint="default"/>
        <w:color w:val="404040" w:themeColor="text1"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133D93"/>
    <w:multiLevelType w:val="hybridMultilevel"/>
    <w:tmpl w:val="FB7E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36696F"/>
    <w:multiLevelType w:val="hybridMultilevel"/>
    <w:tmpl w:val="2198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BC0671"/>
    <w:multiLevelType w:val="hybridMultilevel"/>
    <w:tmpl w:val="83BAD7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8D727BF"/>
    <w:multiLevelType w:val="hybridMultilevel"/>
    <w:tmpl w:val="BEDE037E"/>
    <w:lvl w:ilvl="0" w:tplc="39C810B4">
      <w:start w:val="2"/>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5710F9"/>
    <w:multiLevelType w:val="hybridMultilevel"/>
    <w:tmpl w:val="12D01BA2"/>
    <w:lvl w:ilvl="0" w:tplc="72CA0C12">
      <w:start w:val="1"/>
      <w:numFmt w:val="decimal"/>
      <w:lvlText w:val="%1."/>
      <w:lvlJc w:val="left"/>
      <w:pPr>
        <w:ind w:left="720" w:hanging="360"/>
      </w:pPr>
      <w:rPr>
        <w:rFonts w:ascii="Helvetica Neue" w:eastAsia="Helvetica Neue" w:hAnsi="Helvetica Neue" w:cs="Helvetica Neue"/>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C587F9F"/>
    <w:multiLevelType w:val="hybridMultilevel"/>
    <w:tmpl w:val="BCC2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64F18"/>
    <w:multiLevelType w:val="multilevel"/>
    <w:tmpl w:val="3A6A54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1B840B8"/>
    <w:multiLevelType w:val="hybridMultilevel"/>
    <w:tmpl w:val="AFEE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F72776"/>
    <w:multiLevelType w:val="hybridMultilevel"/>
    <w:tmpl w:val="0C6852A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2" w15:restartNumberingAfterBreak="0">
    <w:nsid w:val="5291513D"/>
    <w:multiLevelType w:val="hybridMultilevel"/>
    <w:tmpl w:val="BC54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DF631A"/>
    <w:multiLevelType w:val="hybridMultilevel"/>
    <w:tmpl w:val="84345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A5C521B"/>
    <w:multiLevelType w:val="hybridMultilevel"/>
    <w:tmpl w:val="20A82B9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5" w15:restartNumberingAfterBreak="0">
    <w:nsid w:val="5A663B50"/>
    <w:multiLevelType w:val="hybridMultilevel"/>
    <w:tmpl w:val="7AE6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F5333A"/>
    <w:multiLevelType w:val="hybridMultilevel"/>
    <w:tmpl w:val="04C2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0939C8"/>
    <w:multiLevelType w:val="hybridMultilevel"/>
    <w:tmpl w:val="DEF0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C2791F"/>
    <w:multiLevelType w:val="hybridMultilevel"/>
    <w:tmpl w:val="CBF8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846D34"/>
    <w:multiLevelType w:val="hybridMultilevel"/>
    <w:tmpl w:val="5D76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0147AA"/>
    <w:multiLevelType w:val="hybridMultilevel"/>
    <w:tmpl w:val="265CEFA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5F587F43"/>
    <w:multiLevelType w:val="hybridMultilevel"/>
    <w:tmpl w:val="F34E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362A89"/>
    <w:multiLevelType w:val="hybridMultilevel"/>
    <w:tmpl w:val="09A0A8EE"/>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9176BA"/>
    <w:multiLevelType w:val="hybridMultilevel"/>
    <w:tmpl w:val="4AC0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CE1208"/>
    <w:multiLevelType w:val="hybridMultilevel"/>
    <w:tmpl w:val="2E42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F25263"/>
    <w:multiLevelType w:val="hybridMultilevel"/>
    <w:tmpl w:val="B51E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F717B8"/>
    <w:multiLevelType w:val="hybridMultilevel"/>
    <w:tmpl w:val="611E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6D4686"/>
    <w:multiLevelType w:val="hybridMultilevel"/>
    <w:tmpl w:val="C214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0E73C9"/>
    <w:multiLevelType w:val="hybridMultilevel"/>
    <w:tmpl w:val="8E50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E0B9D"/>
    <w:multiLevelType w:val="hybridMultilevel"/>
    <w:tmpl w:val="83421CB6"/>
    <w:lvl w:ilvl="0" w:tplc="4B3E09DC">
      <w:start w:val="1"/>
      <w:numFmt w:val="bullet"/>
      <w:lvlText w:val=""/>
      <w:lvlJc w:val="left"/>
      <w:pPr>
        <w:ind w:left="720" w:hanging="360"/>
      </w:pPr>
      <w:rPr>
        <w:rFonts w:ascii="Symbol" w:hAnsi="Symbol" w:hint="default"/>
        <w:color w:val="404040" w:themeColor="text1"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0C5072"/>
    <w:multiLevelType w:val="hybridMultilevel"/>
    <w:tmpl w:val="39609B4E"/>
    <w:lvl w:ilvl="0" w:tplc="6DD0268C">
      <w:start w:val="26"/>
      <w:numFmt w:val="bullet"/>
      <w:lvlText w:val="-"/>
      <w:lvlJc w:val="left"/>
      <w:pPr>
        <w:ind w:left="420" w:hanging="360"/>
      </w:pPr>
      <w:rPr>
        <w:rFonts w:ascii="Helvetica Neue" w:eastAsia="Times New Roman" w:hAnsi="Helvetica Neue"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1" w15:restartNumberingAfterBreak="0">
    <w:nsid w:val="69F120B3"/>
    <w:multiLevelType w:val="hybridMultilevel"/>
    <w:tmpl w:val="539C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777BF9"/>
    <w:multiLevelType w:val="hybridMultilevel"/>
    <w:tmpl w:val="B9BAB43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8E404E"/>
    <w:multiLevelType w:val="hybridMultilevel"/>
    <w:tmpl w:val="875E8E6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74" w15:restartNumberingAfterBreak="0">
    <w:nsid w:val="727D751C"/>
    <w:multiLevelType w:val="multilevel"/>
    <w:tmpl w:val="0B68E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63808F5"/>
    <w:multiLevelType w:val="hybridMultilevel"/>
    <w:tmpl w:val="0826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5E1747"/>
    <w:multiLevelType w:val="multilevel"/>
    <w:tmpl w:val="8498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EB6C8D"/>
    <w:multiLevelType w:val="hybridMultilevel"/>
    <w:tmpl w:val="618C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D64E26"/>
    <w:multiLevelType w:val="hybridMultilevel"/>
    <w:tmpl w:val="A95A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E8770A"/>
    <w:multiLevelType w:val="hybridMultilevel"/>
    <w:tmpl w:val="3E7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2"/>
  </w:num>
  <w:num w:numId="3">
    <w:abstractNumId w:val="49"/>
  </w:num>
  <w:num w:numId="4">
    <w:abstractNumId w:val="70"/>
  </w:num>
  <w:num w:numId="5">
    <w:abstractNumId w:val="76"/>
  </w:num>
  <w:num w:numId="6">
    <w:abstractNumId w:val="44"/>
  </w:num>
  <w:num w:numId="7">
    <w:abstractNumId w:val="33"/>
  </w:num>
  <w:num w:numId="8">
    <w:abstractNumId w:val="55"/>
  </w:num>
  <w:num w:numId="9">
    <w:abstractNumId w:val="61"/>
  </w:num>
  <w:num w:numId="10">
    <w:abstractNumId w:val="34"/>
  </w:num>
  <w:num w:numId="11">
    <w:abstractNumId w:val="47"/>
  </w:num>
  <w:num w:numId="12">
    <w:abstractNumId w:val="21"/>
  </w:num>
  <w:num w:numId="13">
    <w:abstractNumId w:val="66"/>
  </w:num>
  <w:num w:numId="14">
    <w:abstractNumId w:val="46"/>
  </w:num>
  <w:num w:numId="15">
    <w:abstractNumId w:val="8"/>
  </w:num>
  <w:num w:numId="16">
    <w:abstractNumId w:val="18"/>
  </w:num>
  <w:num w:numId="17">
    <w:abstractNumId w:val="30"/>
  </w:num>
  <w:num w:numId="18">
    <w:abstractNumId w:val="53"/>
  </w:num>
  <w:num w:numId="19">
    <w:abstractNumId w:val="27"/>
  </w:num>
  <w:num w:numId="20">
    <w:abstractNumId w:val="60"/>
  </w:num>
  <w:num w:numId="21">
    <w:abstractNumId w:val="54"/>
  </w:num>
  <w:num w:numId="22">
    <w:abstractNumId w:val="26"/>
  </w:num>
  <w:num w:numId="23">
    <w:abstractNumId w:val="67"/>
  </w:num>
  <w:num w:numId="24">
    <w:abstractNumId w:val="75"/>
  </w:num>
  <w:num w:numId="25">
    <w:abstractNumId w:val="62"/>
  </w:num>
  <w:num w:numId="26">
    <w:abstractNumId w:val="65"/>
  </w:num>
  <w:num w:numId="27">
    <w:abstractNumId w:val="38"/>
  </w:num>
  <w:num w:numId="28">
    <w:abstractNumId w:val="25"/>
  </w:num>
  <w:num w:numId="29">
    <w:abstractNumId w:val="31"/>
  </w:num>
  <w:num w:numId="30">
    <w:abstractNumId w:val="45"/>
  </w:num>
  <w:num w:numId="31">
    <w:abstractNumId w:val="13"/>
  </w:num>
  <w:num w:numId="32">
    <w:abstractNumId w:val="5"/>
  </w:num>
  <w:num w:numId="33">
    <w:abstractNumId w:val="69"/>
  </w:num>
  <w:num w:numId="34">
    <w:abstractNumId w:val="1"/>
  </w:num>
  <w:num w:numId="35">
    <w:abstractNumId w:val="63"/>
  </w:num>
  <w:num w:numId="36">
    <w:abstractNumId w:val="10"/>
  </w:num>
  <w:num w:numId="37">
    <w:abstractNumId w:val="50"/>
  </w:num>
  <w:num w:numId="38">
    <w:abstractNumId w:val="41"/>
  </w:num>
  <w:num w:numId="39">
    <w:abstractNumId w:val="19"/>
  </w:num>
  <w:num w:numId="40">
    <w:abstractNumId w:val="40"/>
  </w:num>
  <w:num w:numId="41">
    <w:abstractNumId w:val="37"/>
  </w:num>
  <w:num w:numId="42">
    <w:abstractNumId w:val="42"/>
  </w:num>
  <w:num w:numId="43">
    <w:abstractNumId w:val="64"/>
  </w:num>
  <w:num w:numId="44">
    <w:abstractNumId w:val="57"/>
  </w:num>
  <w:num w:numId="45">
    <w:abstractNumId w:val="56"/>
  </w:num>
  <w:num w:numId="46">
    <w:abstractNumId w:val="4"/>
  </w:num>
  <w:num w:numId="47">
    <w:abstractNumId w:val="72"/>
  </w:num>
  <w:num w:numId="48">
    <w:abstractNumId w:val="14"/>
  </w:num>
  <w:num w:numId="49">
    <w:abstractNumId w:val="32"/>
  </w:num>
  <w:num w:numId="50">
    <w:abstractNumId w:val="3"/>
  </w:num>
  <w:num w:numId="51">
    <w:abstractNumId w:val="24"/>
  </w:num>
  <w:num w:numId="52">
    <w:abstractNumId w:val="43"/>
  </w:num>
  <w:num w:numId="53">
    <w:abstractNumId w:val="6"/>
  </w:num>
  <w:num w:numId="54">
    <w:abstractNumId w:val="11"/>
  </w:num>
  <w:num w:numId="55">
    <w:abstractNumId w:val="58"/>
  </w:num>
  <w:num w:numId="56">
    <w:abstractNumId w:val="2"/>
  </w:num>
  <w:num w:numId="57">
    <w:abstractNumId w:val="20"/>
  </w:num>
  <w:num w:numId="58">
    <w:abstractNumId w:val="17"/>
  </w:num>
  <w:num w:numId="59">
    <w:abstractNumId w:val="35"/>
  </w:num>
  <w:num w:numId="60">
    <w:abstractNumId w:val="59"/>
  </w:num>
  <w:num w:numId="61">
    <w:abstractNumId w:val="48"/>
  </w:num>
  <w:num w:numId="62">
    <w:abstractNumId w:val="79"/>
  </w:num>
  <w:num w:numId="63">
    <w:abstractNumId w:val="15"/>
  </w:num>
  <w:num w:numId="64">
    <w:abstractNumId w:val="77"/>
  </w:num>
  <w:num w:numId="65">
    <w:abstractNumId w:val="0"/>
  </w:num>
  <w:num w:numId="66">
    <w:abstractNumId w:val="23"/>
  </w:num>
  <w:num w:numId="67">
    <w:abstractNumId w:val="68"/>
  </w:num>
  <w:num w:numId="68">
    <w:abstractNumId w:val="78"/>
  </w:num>
  <w:num w:numId="69">
    <w:abstractNumId w:val="12"/>
  </w:num>
  <w:num w:numId="70">
    <w:abstractNumId w:val="29"/>
  </w:num>
  <w:num w:numId="71">
    <w:abstractNumId w:val="16"/>
  </w:num>
  <w:num w:numId="72">
    <w:abstractNumId w:val="51"/>
  </w:num>
  <w:num w:numId="73">
    <w:abstractNumId w:val="39"/>
  </w:num>
  <w:num w:numId="74">
    <w:abstractNumId w:val="74"/>
  </w:num>
  <w:num w:numId="75">
    <w:abstractNumId w:val="73"/>
  </w:num>
  <w:num w:numId="76">
    <w:abstractNumId w:val="71"/>
  </w:num>
  <w:num w:numId="77">
    <w:abstractNumId w:val="7"/>
  </w:num>
  <w:num w:numId="78">
    <w:abstractNumId w:val="9"/>
  </w:num>
  <w:num w:numId="79">
    <w:abstractNumId w:val="22"/>
  </w:num>
  <w:num w:numId="80">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1F"/>
    <w:rsid w:val="00010AE9"/>
    <w:rsid w:val="00011FEB"/>
    <w:rsid w:val="00012038"/>
    <w:rsid w:val="0001606F"/>
    <w:rsid w:val="000162C7"/>
    <w:rsid w:val="00016324"/>
    <w:rsid w:val="000220D5"/>
    <w:rsid w:val="00031BCE"/>
    <w:rsid w:val="0004173F"/>
    <w:rsid w:val="00044A26"/>
    <w:rsid w:val="000457D1"/>
    <w:rsid w:val="00050C0A"/>
    <w:rsid w:val="00054C22"/>
    <w:rsid w:val="00055EF2"/>
    <w:rsid w:val="00056200"/>
    <w:rsid w:val="00056A22"/>
    <w:rsid w:val="00056C0C"/>
    <w:rsid w:val="0005743A"/>
    <w:rsid w:val="000620D4"/>
    <w:rsid w:val="00063205"/>
    <w:rsid w:val="00067E85"/>
    <w:rsid w:val="000700BD"/>
    <w:rsid w:val="00091525"/>
    <w:rsid w:val="00091DDF"/>
    <w:rsid w:val="0009387E"/>
    <w:rsid w:val="000950CB"/>
    <w:rsid w:val="000A0B59"/>
    <w:rsid w:val="000A2024"/>
    <w:rsid w:val="000A699F"/>
    <w:rsid w:val="000A7A6D"/>
    <w:rsid w:val="000B3EE4"/>
    <w:rsid w:val="000C0DAB"/>
    <w:rsid w:val="000C1BDF"/>
    <w:rsid w:val="000D0834"/>
    <w:rsid w:val="000D2205"/>
    <w:rsid w:val="000D2A51"/>
    <w:rsid w:val="000D4457"/>
    <w:rsid w:val="000D5E2A"/>
    <w:rsid w:val="000D7921"/>
    <w:rsid w:val="000E0183"/>
    <w:rsid w:val="000E23C8"/>
    <w:rsid w:val="000E7424"/>
    <w:rsid w:val="000E7A78"/>
    <w:rsid w:val="000F416A"/>
    <w:rsid w:val="000F65F8"/>
    <w:rsid w:val="00102F7C"/>
    <w:rsid w:val="00103516"/>
    <w:rsid w:val="0011000F"/>
    <w:rsid w:val="00110D84"/>
    <w:rsid w:val="00120819"/>
    <w:rsid w:val="0012269A"/>
    <w:rsid w:val="001244A9"/>
    <w:rsid w:val="00124EF5"/>
    <w:rsid w:val="00134D3A"/>
    <w:rsid w:val="00140BFC"/>
    <w:rsid w:val="001419EB"/>
    <w:rsid w:val="001435CD"/>
    <w:rsid w:val="00143A32"/>
    <w:rsid w:val="001534A6"/>
    <w:rsid w:val="00153F1B"/>
    <w:rsid w:val="001617E3"/>
    <w:rsid w:val="00161BDD"/>
    <w:rsid w:val="001649B0"/>
    <w:rsid w:val="001716C3"/>
    <w:rsid w:val="0017380C"/>
    <w:rsid w:val="0018073A"/>
    <w:rsid w:val="001810E0"/>
    <w:rsid w:val="001832D9"/>
    <w:rsid w:val="00194E42"/>
    <w:rsid w:val="001A221F"/>
    <w:rsid w:val="001A5D81"/>
    <w:rsid w:val="001A693A"/>
    <w:rsid w:val="001B3841"/>
    <w:rsid w:val="001B7A5D"/>
    <w:rsid w:val="001B7E87"/>
    <w:rsid w:val="001C74B5"/>
    <w:rsid w:val="001D0500"/>
    <w:rsid w:val="001D369B"/>
    <w:rsid w:val="001D3F31"/>
    <w:rsid w:val="001D5045"/>
    <w:rsid w:val="001E0599"/>
    <w:rsid w:val="001E67FE"/>
    <w:rsid w:val="001E6BB8"/>
    <w:rsid w:val="001E7DE5"/>
    <w:rsid w:val="001F1BBA"/>
    <w:rsid w:val="001F4604"/>
    <w:rsid w:val="00202B5F"/>
    <w:rsid w:val="00203381"/>
    <w:rsid w:val="00203A70"/>
    <w:rsid w:val="002062FE"/>
    <w:rsid w:val="002101BC"/>
    <w:rsid w:val="0021126F"/>
    <w:rsid w:val="00211D8F"/>
    <w:rsid w:val="00217F55"/>
    <w:rsid w:val="00220337"/>
    <w:rsid w:val="00226D85"/>
    <w:rsid w:val="002331DE"/>
    <w:rsid w:val="002411B3"/>
    <w:rsid w:val="0024148F"/>
    <w:rsid w:val="002433ED"/>
    <w:rsid w:val="00243EAF"/>
    <w:rsid w:val="0024599D"/>
    <w:rsid w:val="00246A48"/>
    <w:rsid w:val="00254CC1"/>
    <w:rsid w:val="0025689A"/>
    <w:rsid w:val="002603B5"/>
    <w:rsid w:val="002623BF"/>
    <w:rsid w:val="00262BFB"/>
    <w:rsid w:val="002648EE"/>
    <w:rsid w:val="00274AEF"/>
    <w:rsid w:val="0027618B"/>
    <w:rsid w:val="00276308"/>
    <w:rsid w:val="00276AB4"/>
    <w:rsid w:val="00277896"/>
    <w:rsid w:val="002818DE"/>
    <w:rsid w:val="00285B8E"/>
    <w:rsid w:val="002868A7"/>
    <w:rsid w:val="00293623"/>
    <w:rsid w:val="002973B0"/>
    <w:rsid w:val="002A298C"/>
    <w:rsid w:val="002A2A0F"/>
    <w:rsid w:val="002A3219"/>
    <w:rsid w:val="002A3740"/>
    <w:rsid w:val="002A7084"/>
    <w:rsid w:val="002B1A68"/>
    <w:rsid w:val="002B433D"/>
    <w:rsid w:val="002B4630"/>
    <w:rsid w:val="002C05F7"/>
    <w:rsid w:val="002C1406"/>
    <w:rsid w:val="002C14A2"/>
    <w:rsid w:val="002C2388"/>
    <w:rsid w:val="002C32DF"/>
    <w:rsid w:val="002D2B16"/>
    <w:rsid w:val="002D39D6"/>
    <w:rsid w:val="002D3B71"/>
    <w:rsid w:val="002E6151"/>
    <w:rsid w:val="002F1A05"/>
    <w:rsid w:val="002F2F34"/>
    <w:rsid w:val="002F51A7"/>
    <w:rsid w:val="002F6D50"/>
    <w:rsid w:val="00303D6E"/>
    <w:rsid w:val="00304D9F"/>
    <w:rsid w:val="00313AB0"/>
    <w:rsid w:val="00313AC8"/>
    <w:rsid w:val="00315870"/>
    <w:rsid w:val="00315F81"/>
    <w:rsid w:val="0032247C"/>
    <w:rsid w:val="00324F99"/>
    <w:rsid w:val="00333F78"/>
    <w:rsid w:val="00340AB9"/>
    <w:rsid w:val="00342009"/>
    <w:rsid w:val="00342CCD"/>
    <w:rsid w:val="00346597"/>
    <w:rsid w:val="003576FB"/>
    <w:rsid w:val="00357792"/>
    <w:rsid w:val="00362FF1"/>
    <w:rsid w:val="00363563"/>
    <w:rsid w:val="00370EC5"/>
    <w:rsid w:val="00374816"/>
    <w:rsid w:val="003769B7"/>
    <w:rsid w:val="0038049F"/>
    <w:rsid w:val="003855C4"/>
    <w:rsid w:val="003871CA"/>
    <w:rsid w:val="003917BD"/>
    <w:rsid w:val="003940AC"/>
    <w:rsid w:val="0039487B"/>
    <w:rsid w:val="0039785D"/>
    <w:rsid w:val="003A3449"/>
    <w:rsid w:val="003A352D"/>
    <w:rsid w:val="003B1D59"/>
    <w:rsid w:val="003B4A7B"/>
    <w:rsid w:val="003B4E03"/>
    <w:rsid w:val="003B570E"/>
    <w:rsid w:val="003C0862"/>
    <w:rsid w:val="003C2D64"/>
    <w:rsid w:val="003C565D"/>
    <w:rsid w:val="003D231A"/>
    <w:rsid w:val="003D2BE5"/>
    <w:rsid w:val="003D2FC0"/>
    <w:rsid w:val="003D61FF"/>
    <w:rsid w:val="003E1DC6"/>
    <w:rsid w:val="003E4855"/>
    <w:rsid w:val="003E4C6C"/>
    <w:rsid w:val="003E5604"/>
    <w:rsid w:val="003F1C30"/>
    <w:rsid w:val="003F61E7"/>
    <w:rsid w:val="004015BC"/>
    <w:rsid w:val="0041129C"/>
    <w:rsid w:val="00411E71"/>
    <w:rsid w:val="00413F74"/>
    <w:rsid w:val="0041588A"/>
    <w:rsid w:val="00424BD2"/>
    <w:rsid w:val="00424F6E"/>
    <w:rsid w:val="00426AC6"/>
    <w:rsid w:val="00430BCF"/>
    <w:rsid w:val="00434335"/>
    <w:rsid w:val="0043435F"/>
    <w:rsid w:val="00440FF4"/>
    <w:rsid w:val="0044365E"/>
    <w:rsid w:val="00445417"/>
    <w:rsid w:val="00445DC4"/>
    <w:rsid w:val="00447712"/>
    <w:rsid w:val="004536E9"/>
    <w:rsid w:val="00454715"/>
    <w:rsid w:val="0045741B"/>
    <w:rsid w:val="004602E7"/>
    <w:rsid w:val="0046543D"/>
    <w:rsid w:val="00467A87"/>
    <w:rsid w:val="00473D88"/>
    <w:rsid w:val="0048465C"/>
    <w:rsid w:val="00486A75"/>
    <w:rsid w:val="00490DA9"/>
    <w:rsid w:val="00496B0D"/>
    <w:rsid w:val="00496B73"/>
    <w:rsid w:val="004970F1"/>
    <w:rsid w:val="004976E1"/>
    <w:rsid w:val="004A0AA2"/>
    <w:rsid w:val="004A3B07"/>
    <w:rsid w:val="004A3F57"/>
    <w:rsid w:val="004A611E"/>
    <w:rsid w:val="004B58E0"/>
    <w:rsid w:val="004C1942"/>
    <w:rsid w:val="004C19CC"/>
    <w:rsid w:val="004C2DFA"/>
    <w:rsid w:val="004D133C"/>
    <w:rsid w:val="004D5BAA"/>
    <w:rsid w:val="004D6E36"/>
    <w:rsid w:val="004E416F"/>
    <w:rsid w:val="004E5704"/>
    <w:rsid w:val="004E586D"/>
    <w:rsid w:val="004F4A26"/>
    <w:rsid w:val="0050403C"/>
    <w:rsid w:val="0050476D"/>
    <w:rsid w:val="0051644D"/>
    <w:rsid w:val="0052063F"/>
    <w:rsid w:val="0052472D"/>
    <w:rsid w:val="0052643C"/>
    <w:rsid w:val="00531CBB"/>
    <w:rsid w:val="00534497"/>
    <w:rsid w:val="005435C1"/>
    <w:rsid w:val="005463ED"/>
    <w:rsid w:val="005524A5"/>
    <w:rsid w:val="00553E80"/>
    <w:rsid w:val="00553ECB"/>
    <w:rsid w:val="00556262"/>
    <w:rsid w:val="00562340"/>
    <w:rsid w:val="00563300"/>
    <w:rsid w:val="00571DD7"/>
    <w:rsid w:val="00577A96"/>
    <w:rsid w:val="00580D41"/>
    <w:rsid w:val="00581A46"/>
    <w:rsid w:val="005830C6"/>
    <w:rsid w:val="00583C44"/>
    <w:rsid w:val="00587057"/>
    <w:rsid w:val="005A2FA9"/>
    <w:rsid w:val="005B1B02"/>
    <w:rsid w:val="005B32B9"/>
    <w:rsid w:val="005B3391"/>
    <w:rsid w:val="005B33D8"/>
    <w:rsid w:val="005C7E0C"/>
    <w:rsid w:val="005D09DC"/>
    <w:rsid w:val="005D24BE"/>
    <w:rsid w:val="005D27E2"/>
    <w:rsid w:val="005D483B"/>
    <w:rsid w:val="005D5519"/>
    <w:rsid w:val="005E7200"/>
    <w:rsid w:val="005F10FB"/>
    <w:rsid w:val="005F1619"/>
    <w:rsid w:val="005F4134"/>
    <w:rsid w:val="005F4B27"/>
    <w:rsid w:val="005F695A"/>
    <w:rsid w:val="005F7757"/>
    <w:rsid w:val="00632112"/>
    <w:rsid w:val="0063311E"/>
    <w:rsid w:val="006359DF"/>
    <w:rsid w:val="0063790D"/>
    <w:rsid w:val="00640148"/>
    <w:rsid w:val="00641123"/>
    <w:rsid w:val="00642376"/>
    <w:rsid w:val="00646024"/>
    <w:rsid w:val="006479A0"/>
    <w:rsid w:val="0065098D"/>
    <w:rsid w:val="00652837"/>
    <w:rsid w:val="006635A8"/>
    <w:rsid w:val="006727BF"/>
    <w:rsid w:val="00673549"/>
    <w:rsid w:val="006735DF"/>
    <w:rsid w:val="006759D2"/>
    <w:rsid w:val="00676C0D"/>
    <w:rsid w:val="006807B9"/>
    <w:rsid w:val="00684D5F"/>
    <w:rsid w:val="00685244"/>
    <w:rsid w:val="0068600F"/>
    <w:rsid w:val="00693B02"/>
    <w:rsid w:val="00693D04"/>
    <w:rsid w:val="0069440F"/>
    <w:rsid w:val="00694951"/>
    <w:rsid w:val="00695E0A"/>
    <w:rsid w:val="006A0D80"/>
    <w:rsid w:val="006A3DEB"/>
    <w:rsid w:val="006A53FC"/>
    <w:rsid w:val="006B0672"/>
    <w:rsid w:val="006B2F6B"/>
    <w:rsid w:val="006B578A"/>
    <w:rsid w:val="006D384A"/>
    <w:rsid w:val="006E32F9"/>
    <w:rsid w:val="006E7BF5"/>
    <w:rsid w:val="006F1916"/>
    <w:rsid w:val="006F2650"/>
    <w:rsid w:val="006F35AE"/>
    <w:rsid w:val="006F6210"/>
    <w:rsid w:val="006F6B5B"/>
    <w:rsid w:val="00703F04"/>
    <w:rsid w:val="0070407E"/>
    <w:rsid w:val="00704D0B"/>
    <w:rsid w:val="0071077A"/>
    <w:rsid w:val="00711135"/>
    <w:rsid w:val="007137D3"/>
    <w:rsid w:val="007177FF"/>
    <w:rsid w:val="00717FA5"/>
    <w:rsid w:val="007218E4"/>
    <w:rsid w:val="00730C25"/>
    <w:rsid w:val="007319EF"/>
    <w:rsid w:val="00735A54"/>
    <w:rsid w:val="00735DAD"/>
    <w:rsid w:val="0073627A"/>
    <w:rsid w:val="00741517"/>
    <w:rsid w:val="00742BD6"/>
    <w:rsid w:val="00742C43"/>
    <w:rsid w:val="00747623"/>
    <w:rsid w:val="00756A67"/>
    <w:rsid w:val="00757F49"/>
    <w:rsid w:val="00760EA8"/>
    <w:rsid w:val="00761151"/>
    <w:rsid w:val="0076290B"/>
    <w:rsid w:val="00764064"/>
    <w:rsid w:val="007774FB"/>
    <w:rsid w:val="007829DA"/>
    <w:rsid w:val="00783589"/>
    <w:rsid w:val="0078421E"/>
    <w:rsid w:val="00784D96"/>
    <w:rsid w:val="00793E42"/>
    <w:rsid w:val="007A166D"/>
    <w:rsid w:val="007A34C4"/>
    <w:rsid w:val="007A617C"/>
    <w:rsid w:val="007B0C55"/>
    <w:rsid w:val="007B0E96"/>
    <w:rsid w:val="007B15E2"/>
    <w:rsid w:val="007B3020"/>
    <w:rsid w:val="007B3B06"/>
    <w:rsid w:val="007B504B"/>
    <w:rsid w:val="007B5649"/>
    <w:rsid w:val="007B6005"/>
    <w:rsid w:val="007B7836"/>
    <w:rsid w:val="007C12B3"/>
    <w:rsid w:val="007C2806"/>
    <w:rsid w:val="007C2C01"/>
    <w:rsid w:val="007C2DBF"/>
    <w:rsid w:val="007C47E5"/>
    <w:rsid w:val="007C5B96"/>
    <w:rsid w:val="007C6D06"/>
    <w:rsid w:val="007D0D7C"/>
    <w:rsid w:val="007D6242"/>
    <w:rsid w:val="007E44DE"/>
    <w:rsid w:val="007E4728"/>
    <w:rsid w:val="007E7C9F"/>
    <w:rsid w:val="007F27A6"/>
    <w:rsid w:val="007F531F"/>
    <w:rsid w:val="007F6D73"/>
    <w:rsid w:val="007F6DDE"/>
    <w:rsid w:val="00800824"/>
    <w:rsid w:val="0080296F"/>
    <w:rsid w:val="00806C1F"/>
    <w:rsid w:val="00806EA1"/>
    <w:rsid w:val="00806EB3"/>
    <w:rsid w:val="00815F64"/>
    <w:rsid w:val="008202F7"/>
    <w:rsid w:val="00826926"/>
    <w:rsid w:val="0082738F"/>
    <w:rsid w:val="00830693"/>
    <w:rsid w:val="00836F6A"/>
    <w:rsid w:val="00842F0F"/>
    <w:rsid w:val="00850F37"/>
    <w:rsid w:val="0085195A"/>
    <w:rsid w:val="00851C95"/>
    <w:rsid w:val="008549AF"/>
    <w:rsid w:val="0086619F"/>
    <w:rsid w:val="00867F6E"/>
    <w:rsid w:val="00874ACD"/>
    <w:rsid w:val="00875F6C"/>
    <w:rsid w:val="0087775D"/>
    <w:rsid w:val="008820D3"/>
    <w:rsid w:val="00883627"/>
    <w:rsid w:val="00883996"/>
    <w:rsid w:val="008851DF"/>
    <w:rsid w:val="0089123E"/>
    <w:rsid w:val="0089266A"/>
    <w:rsid w:val="00892B45"/>
    <w:rsid w:val="00893F3D"/>
    <w:rsid w:val="008944EE"/>
    <w:rsid w:val="0089538A"/>
    <w:rsid w:val="008A0666"/>
    <w:rsid w:val="008A2081"/>
    <w:rsid w:val="008A2423"/>
    <w:rsid w:val="008A258A"/>
    <w:rsid w:val="008A50E0"/>
    <w:rsid w:val="008B1290"/>
    <w:rsid w:val="008B2848"/>
    <w:rsid w:val="008B4A45"/>
    <w:rsid w:val="008B4CB0"/>
    <w:rsid w:val="008B6F8C"/>
    <w:rsid w:val="008C0E8B"/>
    <w:rsid w:val="008C2202"/>
    <w:rsid w:val="008C7ABD"/>
    <w:rsid w:val="008D2CA4"/>
    <w:rsid w:val="008D4DA2"/>
    <w:rsid w:val="008D5544"/>
    <w:rsid w:val="008D5739"/>
    <w:rsid w:val="008D76D5"/>
    <w:rsid w:val="008E0D62"/>
    <w:rsid w:val="008E3B89"/>
    <w:rsid w:val="008E54FD"/>
    <w:rsid w:val="008F0E6B"/>
    <w:rsid w:val="008F577F"/>
    <w:rsid w:val="008F62D1"/>
    <w:rsid w:val="008F65BA"/>
    <w:rsid w:val="00902FE0"/>
    <w:rsid w:val="00903B2D"/>
    <w:rsid w:val="00904121"/>
    <w:rsid w:val="00905697"/>
    <w:rsid w:val="0090713F"/>
    <w:rsid w:val="00910299"/>
    <w:rsid w:val="009108C2"/>
    <w:rsid w:val="009146F0"/>
    <w:rsid w:val="00915B7F"/>
    <w:rsid w:val="009170D8"/>
    <w:rsid w:val="00920272"/>
    <w:rsid w:val="009227DD"/>
    <w:rsid w:val="009235EB"/>
    <w:rsid w:val="00924EF2"/>
    <w:rsid w:val="009268EC"/>
    <w:rsid w:val="0092787F"/>
    <w:rsid w:val="00927AA1"/>
    <w:rsid w:val="0093006A"/>
    <w:rsid w:val="00930830"/>
    <w:rsid w:val="00931107"/>
    <w:rsid w:val="0093126C"/>
    <w:rsid w:val="00934F69"/>
    <w:rsid w:val="00937ED9"/>
    <w:rsid w:val="00940094"/>
    <w:rsid w:val="00942D5D"/>
    <w:rsid w:val="00944AD8"/>
    <w:rsid w:val="00945DD7"/>
    <w:rsid w:val="00954191"/>
    <w:rsid w:val="00961613"/>
    <w:rsid w:val="00967A20"/>
    <w:rsid w:val="00972229"/>
    <w:rsid w:val="0097343F"/>
    <w:rsid w:val="00974815"/>
    <w:rsid w:val="00975710"/>
    <w:rsid w:val="00976003"/>
    <w:rsid w:val="0097727D"/>
    <w:rsid w:val="009806ED"/>
    <w:rsid w:val="00981521"/>
    <w:rsid w:val="009850A1"/>
    <w:rsid w:val="00985126"/>
    <w:rsid w:val="00990A45"/>
    <w:rsid w:val="00992329"/>
    <w:rsid w:val="00996704"/>
    <w:rsid w:val="009973CC"/>
    <w:rsid w:val="009A25AB"/>
    <w:rsid w:val="009A3C0E"/>
    <w:rsid w:val="009A69A0"/>
    <w:rsid w:val="009B15BB"/>
    <w:rsid w:val="009B287C"/>
    <w:rsid w:val="009B3258"/>
    <w:rsid w:val="009B34E7"/>
    <w:rsid w:val="009B4938"/>
    <w:rsid w:val="009B4DF6"/>
    <w:rsid w:val="009B69F1"/>
    <w:rsid w:val="009C065C"/>
    <w:rsid w:val="009C3BE8"/>
    <w:rsid w:val="009C4D69"/>
    <w:rsid w:val="009C650D"/>
    <w:rsid w:val="009D3D63"/>
    <w:rsid w:val="009D51BA"/>
    <w:rsid w:val="009D5F15"/>
    <w:rsid w:val="009E1F7E"/>
    <w:rsid w:val="009E33CC"/>
    <w:rsid w:val="009E62B5"/>
    <w:rsid w:val="009E7864"/>
    <w:rsid w:val="009F1A7A"/>
    <w:rsid w:val="009F464C"/>
    <w:rsid w:val="009F5804"/>
    <w:rsid w:val="00A01ABA"/>
    <w:rsid w:val="00A02047"/>
    <w:rsid w:val="00A0364A"/>
    <w:rsid w:val="00A127B6"/>
    <w:rsid w:val="00A26F4D"/>
    <w:rsid w:val="00A30546"/>
    <w:rsid w:val="00A31F1C"/>
    <w:rsid w:val="00A4263E"/>
    <w:rsid w:val="00A42920"/>
    <w:rsid w:val="00A43469"/>
    <w:rsid w:val="00A50896"/>
    <w:rsid w:val="00A53D48"/>
    <w:rsid w:val="00A5563A"/>
    <w:rsid w:val="00A6044E"/>
    <w:rsid w:val="00A60FCD"/>
    <w:rsid w:val="00A6154F"/>
    <w:rsid w:val="00A6302D"/>
    <w:rsid w:val="00A700BB"/>
    <w:rsid w:val="00A70543"/>
    <w:rsid w:val="00A708EA"/>
    <w:rsid w:val="00A74853"/>
    <w:rsid w:val="00A85515"/>
    <w:rsid w:val="00A856FF"/>
    <w:rsid w:val="00A96444"/>
    <w:rsid w:val="00AA0004"/>
    <w:rsid w:val="00AA1C4C"/>
    <w:rsid w:val="00AA73C1"/>
    <w:rsid w:val="00AA78DE"/>
    <w:rsid w:val="00AB294D"/>
    <w:rsid w:val="00AB65E8"/>
    <w:rsid w:val="00AC383E"/>
    <w:rsid w:val="00AC3AD7"/>
    <w:rsid w:val="00AC4F78"/>
    <w:rsid w:val="00AC6050"/>
    <w:rsid w:val="00AC67AE"/>
    <w:rsid w:val="00AD115C"/>
    <w:rsid w:val="00AD173E"/>
    <w:rsid w:val="00AD239A"/>
    <w:rsid w:val="00AD47E9"/>
    <w:rsid w:val="00AD596F"/>
    <w:rsid w:val="00AE5D1C"/>
    <w:rsid w:val="00AF0E0F"/>
    <w:rsid w:val="00AF410C"/>
    <w:rsid w:val="00AF6D8B"/>
    <w:rsid w:val="00B021E1"/>
    <w:rsid w:val="00B05D5B"/>
    <w:rsid w:val="00B12144"/>
    <w:rsid w:val="00B20B11"/>
    <w:rsid w:val="00B20B7B"/>
    <w:rsid w:val="00B2491E"/>
    <w:rsid w:val="00B32F6D"/>
    <w:rsid w:val="00B351CC"/>
    <w:rsid w:val="00B36ECC"/>
    <w:rsid w:val="00B37623"/>
    <w:rsid w:val="00B44A43"/>
    <w:rsid w:val="00B4744A"/>
    <w:rsid w:val="00B51A55"/>
    <w:rsid w:val="00B51B50"/>
    <w:rsid w:val="00B549D3"/>
    <w:rsid w:val="00B56403"/>
    <w:rsid w:val="00B61529"/>
    <w:rsid w:val="00B631F2"/>
    <w:rsid w:val="00B63A42"/>
    <w:rsid w:val="00B65A60"/>
    <w:rsid w:val="00B65DBD"/>
    <w:rsid w:val="00B727D0"/>
    <w:rsid w:val="00B73DE2"/>
    <w:rsid w:val="00B743FE"/>
    <w:rsid w:val="00B7519E"/>
    <w:rsid w:val="00B811FA"/>
    <w:rsid w:val="00B91ECE"/>
    <w:rsid w:val="00B92996"/>
    <w:rsid w:val="00B94FAA"/>
    <w:rsid w:val="00B96895"/>
    <w:rsid w:val="00BA76E8"/>
    <w:rsid w:val="00BB3BA6"/>
    <w:rsid w:val="00BB5B00"/>
    <w:rsid w:val="00BB634A"/>
    <w:rsid w:val="00BB76F7"/>
    <w:rsid w:val="00BC5742"/>
    <w:rsid w:val="00BD37F2"/>
    <w:rsid w:val="00BD7B98"/>
    <w:rsid w:val="00BE22ED"/>
    <w:rsid w:val="00BE340B"/>
    <w:rsid w:val="00BE7261"/>
    <w:rsid w:val="00BF209F"/>
    <w:rsid w:val="00BF3DB2"/>
    <w:rsid w:val="00BF7422"/>
    <w:rsid w:val="00C0735A"/>
    <w:rsid w:val="00C12344"/>
    <w:rsid w:val="00C14B9D"/>
    <w:rsid w:val="00C169B5"/>
    <w:rsid w:val="00C16D39"/>
    <w:rsid w:val="00C17B63"/>
    <w:rsid w:val="00C2318C"/>
    <w:rsid w:val="00C24340"/>
    <w:rsid w:val="00C252EC"/>
    <w:rsid w:val="00C273ED"/>
    <w:rsid w:val="00C328EB"/>
    <w:rsid w:val="00C36E60"/>
    <w:rsid w:val="00C47C8D"/>
    <w:rsid w:val="00C50FAD"/>
    <w:rsid w:val="00C526CF"/>
    <w:rsid w:val="00C611DE"/>
    <w:rsid w:val="00C62EEB"/>
    <w:rsid w:val="00C63688"/>
    <w:rsid w:val="00C63D2C"/>
    <w:rsid w:val="00C63D94"/>
    <w:rsid w:val="00C64331"/>
    <w:rsid w:val="00C66783"/>
    <w:rsid w:val="00C676A4"/>
    <w:rsid w:val="00C71BE4"/>
    <w:rsid w:val="00C733D0"/>
    <w:rsid w:val="00C8184B"/>
    <w:rsid w:val="00C856F8"/>
    <w:rsid w:val="00C90885"/>
    <w:rsid w:val="00C9392B"/>
    <w:rsid w:val="00C95CDB"/>
    <w:rsid w:val="00C966B5"/>
    <w:rsid w:val="00CA2F24"/>
    <w:rsid w:val="00CA6901"/>
    <w:rsid w:val="00CB6505"/>
    <w:rsid w:val="00CB6F36"/>
    <w:rsid w:val="00CC278D"/>
    <w:rsid w:val="00CC2A0A"/>
    <w:rsid w:val="00CC4449"/>
    <w:rsid w:val="00CD6621"/>
    <w:rsid w:val="00CE1B42"/>
    <w:rsid w:val="00CE6A8A"/>
    <w:rsid w:val="00CE7B89"/>
    <w:rsid w:val="00CF4DCC"/>
    <w:rsid w:val="00CF699D"/>
    <w:rsid w:val="00D00D79"/>
    <w:rsid w:val="00D0549F"/>
    <w:rsid w:val="00D0602B"/>
    <w:rsid w:val="00D138D4"/>
    <w:rsid w:val="00D20DC2"/>
    <w:rsid w:val="00D20F4C"/>
    <w:rsid w:val="00D22BAA"/>
    <w:rsid w:val="00D278B7"/>
    <w:rsid w:val="00D31334"/>
    <w:rsid w:val="00D32B16"/>
    <w:rsid w:val="00D40E2F"/>
    <w:rsid w:val="00D44852"/>
    <w:rsid w:val="00D465AD"/>
    <w:rsid w:val="00D5211A"/>
    <w:rsid w:val="00D53325"/>
    <w:rsid w:val="00D55066"/>
    <w:rsid w:val="00D602E3"/>
    <w:rsid w:val="00D65077"/>
    <w:rsid w:val="00D70B7F"/>
    <w:rsid w:val="00D71271"/>
    <w:rsid w:val="00D71509"/>
    <w:rsid w:val="00D723EE"/>
    <w:rsid w:val="00D75BA5"/>
    <w:rsid w:val="00D77D29"/>
    <w:rsid w:val="00D809B1"/>
    <w:rsid w:val="00D84544"/>
    <w:rsid w:val="00D926C3"/>
    <w:rsid w:val="00D9366C"/>
    <w:rsid w:val="00D94A1C"/>
    <w:rsid w:val="00D96409"/>
    <w:rsid w:val="00D9761D"/>
    <w:rsid w:val="00DA1DD8"/>
    <w:rsid w:val="00DB1A66"/>
    <w:rsid w:val="00DB4DA5"/>
    <w:rsid w:val="00DB4F0F"/>
    <w:rsid w:val="00DB728A"/>
    <w:rsid w:val="00DC29E6"/>
    <w:rsid w:val="00DC342C"/>
    <w:rsid w:val="00DC7D0F"/>
    <w:rsid w:val="00DD3DF9"/>
    <w:rsid w:val="00DD3E50"/>
    <w:rsid w:val="00DF4609"/>
    <w:rsid w:val="00DF4F87"/>
    <w:rsid w:val="00DF544A"/>
    <w:rsid w:val="00DF5F54"/>
    <w:rsid w:val="00DF6C0D"/>
    <w:rsid w:val="00E0342F"/>
    <w:rsid w:val="00E1329E"/>
    <w:rsid w:val="00E14236"/>
    <w:rsid w:val="00E33F68"/>
    <w:rsid w:val="00E35B75"/>
    <w:rsid w:val="00E36635"/>
    <w:rsid w:val="00E4084E"/>
    <w:rsid w:val="00E501C6"/>
    <w:rsid w:val="00E53E8C"/>
    <w:rsid w:val="00E54089"/>
    <w:rsid w:val="00E54AA6"/>
    <w:rsid w:val="00E551D2"/>
    <w:rsid w:val="00E56084"/>
    <w:rsid w:val="00E56ABE"/>
    <w:rsid w:val="00E56EEB"/>
    <w:rsid w:val="00E60965"/>
    <w:rsid w:val="00E63B6F"/>
    <w:rsid w:val="00E6730F"/>
    <w:rsid w:val="00E70D34"/>
    <w:rsid w:val="00E719E9"/>
    <w:rsid w:val="00E71A98"/>
    <w:rsid w:val="00E71F19"/>
    <w:rsid w:val="00E74E06"/>
    <w:rsid w:val="00E74FD3"/>
    <w:rsid w:val="00E77797"/>
    <w:rsid w:val="00E77D42"/>
    <w:rsid w:val="00E81AE2"/>
    <w:rsid w:val="00E82D73"/>
    <w:rsid w:val="00E87690"/>
    <w:rsid w:val="00E92550"/>
    <w:rsid w:val="00E94E5F"/>
    <w:rsid w:val="00EA1AF6"/>
    <w:rsid w:val="00EA54D1"/>
    <w:rsid w:val="00EB0377"/>
    <w:rsid w:val="00EB0759"/>
    <w:rsid w:val="00EB3216"/>
    <w:rsid w:val="00EC72C4"/>
    <w:rsid w:val="00ED394D"/>
    <w:rsid w:val="00ED48A2"/>
    <w:rsid w:val="00ED4DFA"/>
    <w:rsid w:val="00ED5C7C"/>
    <w:rsid w:val="00EE3768"/>
    <w:rsid w:val="00EF0656"/>
    <w:rsid w:val="00EF1101"/>
    <w:rsid w:val="00EF7C93"/>
    <w:rsid w:val="00F0000E"/>
    <w:rsid w:val="00F01ECF"/>
    <w:rsid w:val="00F02724"/>
    <w:rsid w:val="00F04E08"/>
    <w:rsid w:val="00F059F3"/>
    <w:rsid w:val="00F175A0"/>
    <w:rsid w:val="00F176D2"/>
    <w:rsid w:val="00F17A64"/>
    <w:rsid w:val="00F20442"/>
    <w:rsid w:val="00F24846"/>
    <w:rsid w:val="00F24D1C"/>
    <w:rsid w:val="00F2610F"/>
    <w:rsid w:val="00F30ED7"/>
    <w:rsid w:val="00F33D5D"/>
    <w:rsid w:val="00F519C5"/>
    <w:rsid w:val="00F5289D"/>
    <w:rsid w:val="00F631C7"/>
    <w:rsid w:val="00F64AAD"/>
    <w:rsid w:val="00F77404"/>
    <w:rsid w:val="00F8226B"/>
    <w:rsid w:val="00F824B9"/>
    <w:rsid w:val="00F82C78"/>
    <w:rsid w:val="00F842E0"/>
    <w:rsid w:val="00F87F66"/>
    <w:rsid w:val="00F90FDE"/>
    <w:rsid w:val="00F9142C"/>
    <w:rsid w:val="00F930E9"/>
    <w:rsid w:val="00F93411"/>
    <w:rsid w:val="00FA2DA4"/>
    <w:rsid w:val="00FA454F"/>
    <w:rsid w:val="00FA5736"/>
    <w:rsid w:val="00FA6589"/>
    <w:rsid w:val="00FB2E9C"/>
    <w:rsid w:val="00FB3095"/>
    <w:rsid w:val="00FB374E"/>
    <w:rsid w:val="00FB3CCC"/>
    <w:rsid w:val="00FB4595"/>
    <w:rsid w:val="00FC0D36"/>
    <w:rsid w:val="00FD0643"/>
    <w:rsid w:val="00FD6496"/>
    <w:rsid w:val="00FD6D26"/>
    <w:rsid w:val="00FD77BA"/>
    <w:rsid w:val="00FE025C"/>
    <w:rsid w:val="00FF17FE"/>
    <w:rsid w:val="00FF3CC7"/>
    <w:rsid w:val="00FF62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98403"/>
  <w15:docId w15:val="{DD9600B1-6B9C-994C-B772-02556E89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color w:val="404040"/>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08"/>
    <w:rPr>
      <w:color w:val="404040" w:themeColor="text1" w:themeTint="BF"/>
    </w:rPr>
  </w:style>
  <w:style w:type="paragraph" w:styleId="Heading1">
    <w:name w:val="heading 1"/>
    <w:basedOn w:val="Normal"/>
    <w:next w:val="Normal"/>
    <w:link w:val="Heading1Char"/>
    <w:uiPriority w:val="9"/>
    <w:qFormat/>
    <w:rsid w:val="00947246"/>
    <w:pPr>
      <w:keepNext/>
      <w:keepLines/>
      <w:spacing w:before="240" w:line="360" w:lineRule="auto"/>
      <w:outlineLvl w:val="0"/>
    </w:pPr>
    <w:rPr>
      <w:rFonts w:eastAsiaTheme="majorEastAsia" w:cstheme="majorBidi"/>
      <w:b/>
      <w:color w:val="1E9995"/>
      <w:sz w:val="32"/>
      <w:szCs w:val="32"/>
    </w:rPr>
  </w:style>
  <w:style w:type="paragraph" w:styleId="Heading2">
    <w:name w:val="heading 2"/>
    <w:basedOn w:val="Normal"/>
    <w:next w:val="Normal"/>
    <w:link w:val="Heading2Char"/>
    <w:uiPriority w:val="9"/>
    <w:unhideWhenUsed/>
    <w:qFormat/>
    <w:rsid w:val="00947246"/>
    <w:pPr>
      <w:keepNext/>
      <w:keepLines/>
      <w:spacing w:before="40" w:line="360" w:lineRule="auto"/>
      <w:outlineLvl w:val="1"/>
    </w:pPr>
    <w:rPr>
      <w:rFonts w:eastAsiaTheme="majorEastAsia" w:cstheme="majorBidi"/>
      <w:b/>
      <w:color w:val="1E9995"/>
      <w:sz w:val="28"/>
      <w:szCs w:val="2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730C"/>
    <w:pPr>
      <w:contextualSpacing/>
    </w:pPr>
    <w:rPr>
      <w:rFonts w:eastAsiaTheme="majorEastAsia" w:cstheme="majorBidi"/>
      <w:b/>
      <w:color w:val="1E9995"/>
      <w:spacing w:val="-10"/>
      <w:kern w:val="28"/>
      <w:sz w:val="56"/>
      <w:szCs w:val="56"/>
    </w:rPr>
  </w:style>
  <w:style w:type="paragraph" w:styleId="NormalWeb">
    <w:name w:val="Normal (Web)"/>
    <w:basedOn w:val="Normal"/>
    <w:uiPriority w:val="99"/>
    <w:unhideWhenUsed/>
    <w:rsid w:val="00BE772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50B02"/>
    <w:pPr>
      <w:tabs>
        <w:tab w:val="center" w:pos="4680"/>
        <w:tab w:val="right" w:pos="9360"/>
      </w:tabs>
    </w:pPr>
  </w:style>
  <w:style w:type="character" w:customStyle="1" w:styleId="HeaderChar">
    <w:name w:val="Header Char"/>
    <w:basedOn w:val="DefaultParagraphFont"/>
    <w:link w:val="Header"/>
    <w:uiPriority w:val="99"/>
    <w:rsid w:val="00650B02"/>
    <w:rPr>
      <w:rFonts w:ascii="Helvetica" w:hAnsi="Helvetica"/>
      <w:color w:val="404040" w:themeColor="text1" w:themeTint="BF"/>
      <w:sz w:val="22"/>
    </w:rPr>
  </w:style>
  <w:style w:type="paragraph" w:styleId="Footer">
    <w:name w:val="footer"/>
    <w:basedOn w:val="Normal"/>
    <w:link w:val="FooterChar"/>
    <w:uiPriority w:val="99"/>
    <w:unhideWhenUsed/>
    <w:rsid w:val="00650B02"/>
    <w:pPr>
      <w:tabs>
        <w:tab w:val="center" w:pos="4680"/>
        <w:tab w:val="right" w:pos="9360"/>
      </w:tabs>
    </w:pPr>
  </w:style>
  <w:style w:type="character" w:customStyle="1" w:styleId="FooterChar">
    <w:name w:val="Footer Char"/>
    <w:basedOn w:val="DefaultParagraphFont"/>
    <w:link w:val="Footer"/>
    <w:uiPriority w:val="99"/>
    <w:rsid w:val="00650B02"/>
    <w:rPr>
      <w:rFonts w:ascii="Helvetica" w:hAnsi="Helvetica"/>
      <w:color w:val="404040" w:themeColor="text1" w:themeTint="BF"/>
      <w:sz w:val="22"/>
    </w:rPr>
  </w:style>
  <w:style w:type="character" w:customStyle="1" w:styleId="Heading1Char">
    <w:name w:val="Heading 1 Char"/>
    <w:basedOn w:val="DefaultParagraphFont"/>
    <w:link w:val="Heading1"/>
    <w:uiPriority w:val="9"/>
    <w:rsid w:val="00947246"/>
    <w:rPr>
      <w:rFonts w:ascii="Helvetica" w:eastAsiaTheme="majorEastAsia" w:hAnsi="Helvetica" w:cstheme="majorBidi"/>
      <w:b/>
      <w:color w:val="1E9995"/>
      <w:sz w:val="32"/>
      <w:szCs w:val="32"/>
    </w:rPr>
  </w:style>
  <w:style w:type="character" w:customStyle="1" w:styleId="Heading2Char">
    <w:name w:val="Heading 2 Char"/>
    <w:basedOn w:val="DefaultParagraphFont"/>
    <w:link w:val="Heading2"/>
    <w:uiPriority w:val="9"/>
    <w:rsid w:val="00947246"/>
    <w:rPr>
      <w:rFonts w:ascii="Helvetica" w:eastAsiaTheme="majorEastAsia" w:hAnsi="Helvetica" w:cstheme="majorBidi"/>
      <w:b/>
      <w:color w:val="1E9995"/>
      <w:sz w:val="28"/>
      <w:szCs w:val="26"/>
    </w:rPr>
  </w:style>
  <w:style w:type="character" w:customStyle="1" w:styleId="TitleChar">
    <w:name w:val="Title Char"/>
    <w:basedOn w:val="DefaultParagraphFont"/>
    <w:link w:val="Title"/>
    <w:uiPriority w:val="10"/>
    <w:rsid w:val="008E730C"/>
    <w:rPr>
      <w:rFonts w:ascii="Helvetica" w:eastAsiaTheme="majorEastAsia" w:hAnsi="Helvetica" w:cstheme="majorBidi"/>
      <w:b/>
      <w:color w:val="1E9995"/>
      <w:spacing w:val="-10"/>
      <w:kern w:val="28"/>
      <w:sz w:val="56"/>
      <w:szCs w:val="56"/>
    </w:rPr>
  </w:style>
  <w:style w:type="paragraph" w:styleId="NoSpacing">
    <w:name w:val="No Spacing"/>
    <w:uiPriority w:val="1"/>
    <w:qFormat/>
    <w:rsid w:val="008E730C"/>
    <w:rPr>
      <w:color w:val="404040" w:themeColor="text1" w:themeTint="BF"/>
    </w:rPr>
  </w:style>
  <w:style w:type="paragraph" w:styleId="ListParagraph">
    <w:name w:val="List Paragraph"/>
    <w:aliases w:val="#List Paragraph,Bullet Point,Bullet point,Bullet points,Bullets,CV text,Content descriptions,Dot pt,F5 List Paragraph,FooterText,L,List Paragraph Number,List Paragraph1,List Paragraph11,List Paragraph111,List Paragraph2,列,Body Bullets 1"/>
    <w:basedOn w:val="Normal"/>
    <w:link w:val="ListParagraphChar"/>
    <w:uiPriority w:val="34"/>
    <w:qFormat/>
    <w:rsid w:val="003C6CEA"/>
    <w:pPr>
      <w:ind w:left="720"/>
      <w:contextualSpacing/>
    </w:pPr>
  </w:style>
  <w:style w:type="paragraph" w:styleId="TOC1">
    <w:name w:val="toc 1"/>
    <w:basedOn w:val="Normal"/>
    <w:next w:val="Normal"/>
    <w:autoRedefine/>
    <w:uiPriority w:val="39"/>
    <w:unhideWhenUsed/>
    <w:qFormat/>
    <w:rsid w:val="007C2C01"/>
    <w:pPr>
      <w:tabs>
        <w:tab w:val="right" w:leader="dot" w:pos="9010"/>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C6CEA"/>
    <w:pPr>
      <w:ind w:left="220"/>
    </w:pPr>
    <w:rPr>
      <w:rFonts w:asciiTheme="minorHAnsi" w:hAnsiTheme="minorHAnsi"/>
      <w:smallCaps/>
      <w:sz w:val="20"/>
      <w:szCs w:val="20"/>
    </w:rPr>
  </w:style>
  <w:style w:type="character" w:styleId="PageNumber">
    <w:name w:val="page number"/>
    <w:basedOn w:val="DefaultParagraphFont"/>
    <w:uiPriority w:val="99"/>
    <w:semiHidden/>
    <w:unhideWhenUsed/>
    <w:rsid w:val="00641E6E"/>
  </w:style>
  <w:style w:type="table" w:styleId="TableGrid">
    <w:name w:val="Table Grid"/>
    <w:basedOn w:val="TableNormal"/>
    <w:uiPriority w:val="59"/>
    <w:rsid w:val="0028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5D42"/>
    <w:rPr>
      <w:sz w:val="20"/>
      <w:szCs w:val="20"/>
    </w:rPr>
  </w:style>
  <w:style w:type="character" w:customStyle="1" w:styleId="FootnoteTextChar">
    <w:name w:val="Footnote Text Char"/>
    <w:basedOn w:val="DefaultParagraphFont"/>
    <w:link w:val="FootnoteText"/>
    <w:uiPriority w:val="99"/>
    <w:semiHidden/>
    <w:rsid w:val="00DC5D42"/>
    <w:rPr>
      <w:color w:val="404040" w:themeColor="text1" w:themeTint="BF"/>
      <w:sz w:val="20"/>
      <w:szCs w:val="20"/>
    </w:rPr>
  </w:style>
  <w:style w:type="character" w:styleId="FootnoteReference">
    <w:name w:val="footnote reference"/>
    <w:basedOn w:val="DefaultParagraphFont"/>
    <w:uiPriority w:val="99"/>
    <w:semiHidden/>
    <w:unhideWhenUsed/>
    <w:rsid w:val="00DC5D42"/>
    <w:rPr>
      <w:vertAlign w:val="superscript"/>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2F51A7"/>
    <w:rPr>
      <w:color w:val="9454C3" w:themeColor="hyperlink"/>
      <w:u w:val="single"/>
    </w:rPr>
  </w:style>
  <w:style w:type="character" w:customStyle="1" w:styleId="UnresolvedMention1">
    <w:name w:val="Unresolved Mention1"/>
    <w:basedOn w:val="DefaultParagraphFont"/>
    <w:uiPriority w:val="99"/>
    <w:semiHidden/>
    <w:unhideWhenUsed/>
    <w:rsid w:val="002F51A7"/>
    <w:rPr>
      <w:color w:val="605E5C"/>
      <w:shd w:val="clear" w:color="auto" w:fill="E1DFDD"/>
    </w:rPr>
  </w:style>
  <w:style w:type="character" w:styleId="FollowedHyperlink">
    <w:name w:val="FollowedHyperlink"/>
    <w:basedOn w:val="DefaultParagraphFont"/>
    <w:uiPriority w:val="99"/>
    <w:semiHidden/>
    <w:unhideWhenUsed/>
    <w:rsid w:val="00975710"/>
    <w:rPr>
      <w:color w:val="3EBBF0" w:themeColor="followedHyperlink"/>
      <w:u w:val="single"/>
    </w:rPr>
  </w:style>
  <w:style w:type="character" w:styleId="CommentReference">
    <w:name w:val="annotation reference"/>
    <w:basedOn w:val="DefaultParagraphFont"/>
    <w:uiPriority w:val="99"/>
    <w:semiHidden/>
    <w:unhideWhenUsed/>
    <w:rsid w:val="00A5563A"/>
    <w:rPr>
      <w:sz w:val="16"/>
      <w:szCs w:val="16"/>
    </w:rPr>
  </w:style>
  <w:style w:type="paragraph" w:styleId="CommentText">
    <w:name w:val="annotation text"/>
    <w:basedOn w:val="Normal"/>
    <w:link w:val="CommentTextChar"/>
    <w:uiPriority w:val="99"/>
    <w:unhideWhenUsed/>
    <w:rsid w:val="00A5563A"/>
    <w:rPr>
      <w:sz w:val="20"/>
      <w:szCs w:val="20"/>
    </w:rPr>
  </w:style>
  <w:style w:type="character" w:customStyle="1" w:styleId="CommentTextChar">
    <w:name w:val="Comment Text Char"/>
    <w:basedOn w:val="DefaultParagraphFont"/>
    <w:link w:val="CommentText"/>
    <w:uiPriority w:val="99"/>
    <w:rsid w:val="00A5563A"/>
    <w:rPr>
      <w:color w:val="404040" w:themeColor="text1" w:themeTint="BF"/>
      <w:sz w:val="20"/>
      <w:szCs w:val="20"/>
    </w:rPr>
  </w:style>
  <w:style w:type="paragraph" w:customStyle="1" w:styleId="CCSNormalText">
    <w:name w:val="CCS Normal Text"/>
    <w:basedOn w:val="Normal"/>
    <w:link w:val="CCSNormalTextChar"/>
    <w:qFormat/>
    <w:rsid w:val="00A02047"/>
    <w:pPr>
      <w:spacing w:before="60" w:after="120"/>
    </w:pPr>
    <w:rPr>
      <w:rFonts w:ascii="Arial" w:eastAsiaTheme="minorHAnsi" w:hAnsi="Arial" w:cs="Arial"/>
      <w:color w:val="auto"/>
      <w:lang w:eastAsia="zh-CN" w:bidi="th-TH"/>
    </w:rPr>
  </w:style>
  <w:style w:type="character" w:customStyle="1" w:styleId="CCSNormalTextChar">
    <w:name w:val="CCS Normal Text Char"/>
    <w:basedOn w:val="DefaultParagraphFont"/>
    <w:link w:val="CCSNormalText"/>
    <w:locked/>
    <w:rsid w:val="00A02047"/>
    <w:rPr>
      <w:rFonts w:ascii="Arial" w:eastAsiaTheme="minorHAnsi" w:hAnsi="Arial" w:cs="Arial"/>
      <w:color w:val="auto"/>
      <w:lang w:eastAsia="zh-CN" w:bidi="th-TH"/>
    </w:rPr>
  </w:style>
  <w:style w:type="paragraph" w:styleId="CommentSubject">
    <w:name w:val="annotation subject"/>
    <w:basedOn w:val="CommentText"/>
    <w:next w:val="CommentText"/>
    <w:link w:val="CommentSubjectChar"/>
    <w:uiPriority w:val="99"/>
    <w:semiHidden/>
    <w:unhideWhenUsed/>
    <w:rsid w:val="004602E7"/>
    <w:rPr>
      <w:b/>
      <w:bCs/>
    </w:rPr>
  </w:style>
  <w:style w:type="character" w:customStyle="1" w:styleId="CommentSubjectChar">
    <w:name w:val="Comment Subject Char"/>
    <w:basedOn w:val="CommentTextChar"/>
    <w:link w:val="CommentSubject"/>
    <w:uiPriority w:val="99"/>
    <w:semiHidden/>
    <w:rsid w:val="004602E7"/>
    <w:rPr>
      <w:b/>
      <w:bCs/>
      <w:color w:val="404040" w:themeColor="text1" w:themeTint="BF"/>
      <w:sz w:val="20"/>
      <w:szCs w:val="20"/>
    </w:rPr>
  </w:style>
  <w:style w:type="paragraph" w:styleId="BodyText">
    <w:name w:val="Body Text"/>
    <w:basedOn w:val="Normal"/>
    <w:link w:val="BodyTextChar"/>
    <w:rsid w:val="00044A26"/>
    <w:pPr>
      <w:widowControl w:val="0"/>
      <w:suppressAutoHyphens/>
      <w:spacing w:after="140" w:line="276" w:lineRule="auto"/>
    </w:pPr>
    <w:rPr>
      <w:rFonts w:ascii="Liberation Serif" w:eastAsia="Songti SC" w:hAnsi="Liberation Serif" w:cs="Arial Unicode MS"/>
      <w:color w:val="auto"/>
      <w:sz w:val="24"/>
      <w:szCs w:val="24"/>
      <w:lang w:eastAsia="zh-CN" w:bidi="hi-IN"/>
    </w:rPr>
  </w:style>
  <w:style w:type="character" w:customStyle="1" w:styleId="BodyTextChar">
    <w:name w:val="Body Text Char"/>
    <w:basedOn w:val="DefaultParagraphFont"/>
    <w:link w:val="BodyText"/>
    <w:rsid w:val="00044A26"/>
    <w:rPr>
      <w:rFonts w:ascii="Liberation Serif" w:eastAsia="Songti SC" w:hAnsi="Liberation Serif" w:cs="Arial Unicode MS"/>
      <w:color w:val="auto"/>
      <w:sz w:val="24"/>
      <w:szCs w:val="24"/>
      <w:lang w:eastAsia="zh-CN" w:bidi="hi-IN"/>
    </w:rPr>
  </w:style>
  <w:style w:type="paragraph" w:customStyle="1" w:styleId="Heading11">
    <w:name w:val="Heading 11"/>
    <w:basedOn w:val="Normal"/>
    <w:next w:val="Normal"/>
    <w:uiPriority w:val="9"/>
    <w:qFormat/>
    <w:rsid w:val="008A2081"/>
    <w:pPr>
      <w:keepNext/>
      <w:keepLines/>
      <w:spacing w:before="240" w:line="360" w:lineRule="auto"/>
      <w:outlineLvl w:val="0"/>
    </w:pPr>
    <w:rPr>
      <w:rFonts w:eastAsia="Times New Roman" w:cs="Times New Roman"/>
      <w:b/>
      <w:color w:val="1E9995"/>
      <w:sz w:val="32"/>
      <w:szCs w:val="32"/>
    </w:rPr>
  </w:style>
  <w:style w:type="paragraph" w:customStyle="1" w:styleId="Heading21">
    <w:name w:val="Heading 21"/>
    <w:basedOn w:val="Normal"/>
    <w:next w:val="Normal"/>
    <w:uiPriority w:val="9"/>
    <w:unhideWhenUsed/>
    <w:qFormat/>
    <w:rsid w:val="008A2081"/>
    <w:pPr>
      <w:keepNext/>
      <w:keepLines/>
      <w:spacing w:before="40" w:line="360" w:lineRule="auto"/>
      <w:outlineLvl w:val="1"/>
    </w:pPr>
    <w:rPr>
      <w:rFonts w:eastAsia="Times New Roman" w:cs="Times New Roman"/>
      <w:b/>
      <w:color w:val="1E9995"/>
      <w:sz w:val="28"/>
      <w:szCs w:val="26"/>
    </w:rPr>
  </w:style>
  <w:style w:type="character" w:customStyle="1" w:styleId="Heading3Char">
    <w:name w:val="Heading 3 Char"/>
    <w:basedOn w:val="DefaultParagraphFont"/>
    <w:link w:val="Heading3"/>
    <w:uiPriority w:val="9"/>
    <w:rsid w:val="008A2081"/>
    <w:rPr>
      <w:b/>
      <w:color w:val="404040" w:themeColor="text1" w:themeTint="BF"/>
      <w:sz w:val="28"/>
      <w:szCs w:val="28"/>
    </w:rPr>
  </w:style>
  <w:style w:type="character" w:customStyle="1" w:styleId="Heading4Char">
    <w:name w:val="Heading 4 Char"/>
    <w:basedOn w:val="DefaultParagraphFont"/>
    <w:link w:val="Heading4"/>
    <w:uiPriority w:val="9"/>
    <w:semiHidden/>
    <w:rsid w:val="008A2081"/>
    <w:rPr>
      <w:b/>
      <w:color w:val="404040" w:themeColor="text1" w:themeTint="BF"/>
      <w:sz w:val="24"/>
      <w:szCs w:val="24"/>
    </w:rPr>
  </w:style>
  <w:style w:type="character" w:customStyle="1" w:styleId="Heading5Char">
    <w:name w:val="Heading 5 Char"/>
    <w:basedOn w:val="DefaultParagraphFont"/>
    <w:link w:val="Heading5"/>
    <w:uiPriority w:val="9"/>
    <w:semiHidden/>
    <w:rsid w:val="008A2081"/>
    <w:rPr>
      <w:b/>
      <w:color w:val="404040" w:themeColor="text1" w:themeTint="BF"/>
    </w:rPr>
  </w:style>
  <w:style w:type="character" w:customStyle="1" w:styleId="Heading6Char">
    <w:name w:val="Heading 6 Char"/>
    <w:basedOn w:val="DefaultParagraphFont"/>
    <w:link w:val="Heading6"/>
    <w:uiPriority w:val="9"/>
    <w:semiHidden/>
    <w:rsid w:val="008A2081"/>
    <w:rPr>
      <w:b/>
      <w:color w:val="404040" w:themeColor="text1" w:themeTint="BF"/>
      <w:sz w:val="20"/>
      <w:szCs w:val="20"/>
    </w:rPr>
  </w:style>
  <w:style w:type="numbering" w:customStyle="1" w:styleId="NoList1">
    <w:name w:val="No List1"/>
    <w:next w:val="NoList"/>
    <w:uiPriority w:val="99"/>
    <w:semiHidden/>
    <w:unhideWhenUsed/>
    <w:rsid w:val="008A2081"/>
  </w:style>
  <w:style w:type="paragraph" w:customStyle="1" w:styleId="Title1">
    <w:name w:val="Title1"/>
    <w:basedOn w:val="Normal"/>
    <w:next w:val="Normal"/>
    <w:uiPriority w:val="10"/>
    <w:qFormat/>
    <w:rsid w:val="008A2081"/>
    <w:pPr>
      <w:contextualSpacing/>
    </w:pPr>
    <w:rPr>
      <w:rFonts w:eastAsia="Times New Roman" w:cs="Times New Roman"/>
      <w:b/>
      <w:color w:val="1E9995"/>
      <w:spacing w:val="-10"/>
      <w:kern w:val="28"/>
      <w:sz w:val="56"/>
      <w:szCs w:val="56"/>
    </w:rPr>
  </w:style>
  <w:style w:type="paragraph" w:customStyle="1" w:styleId="NoSpacing1">
    <w:name w:val="No Spacing1"/>
    <w:next w:val="NoSpacing"/>
    <w:uiPriority w:val="1"/>
    <w:qFormat/>
    <w:rsid w:val="008A2081"/>
  </w:style>
  <w:style w:type="character" w:customStyle="1" w:styleId="SubtitleChar">
    <w:name w:val="Subtitle Char"/>
    <w:basedOn w:val="DefaultParagraphFont"/>
    <w:link w:val="Subtitle"/>
    <w:uiPriority w:val="11"/>
    <w:rsid w:val="008A2081"/>
    <w:rPr>
      <w:rFonts w:ascii="Georgia" w:eastAsia="Georgia" w:hAnsi="Georgia" w:cs="Georgia"/>
      <w:i/>
      <w:color w:val="666666"/>
      <w:sz w:val="48"/>
      <w:szCs w:val="48"/>
    </w:rPr>
  </w:style>
  <w:style w:type="character" w:customStyle="1" w:styleId="Hyperlink1">
    <w:name w:val="Hyperlink1"/>
    <w:basedOn w:val="DefaultParagraphFont"/>
    <w:uiPriority w:val="99"/>
    <w:unhideWhenUsed/>
    <w:rsid w:val="008A2081"/>
    <w:rPr>
      <w:color w:val="9454C3"/>
      <w:u w:val="single"/>
    </w:rPr>
  </w:style>
  <w:style w:type="character" w:customStyle="1" w:styleId="FollowedHyperlink1">
    <w:name w:val="FollowedHyperlink1"/>
    <w:basedOn w:val="DefaultParagraphFont"/>
    <w:uiPriority w:val="99"/>
    <w:semiHidden/>
    <w:unhideWhenUsed/>
    <w:rsid w:val="008A2081"/>
    <w:rPr>
      <w:color w:val="3EBBF0"/>
      <w:u w:val="single"/>
    </w:rPr>
  </w:style>
  <w:style w:type="character" w:customStyle="1" w:styleId="Heading1Char1">
    <w:name w:val="Heading 1 Char1"/>
    <w:basedOn w:val="DefaultParagraphFont"/>
    <w:uiPriority w:val="9"/>
    <w:rsid w:val="008A2081"/>
    <w:rPr>
      <w:rFonts w:asciiTheme="majorHAnsi" w:eastAsiaTheme="majorEastAsia" w:hAnsiTheme="majorHAnsi" w:cstheme="majorBidi"/>
      <w:color w:val="3476B1" w:themeColor="accent1" w:themeShade="BF"/>
      <w:sz w:val="32"/>
      <w:szCs w:val="32"/>
    </w:rPr>
  </w:style>
  <w:style w:type="character" w:customStyle="1" w:styleId="Heading2Char1">
    <w:name w:val="Heading 2 Char1"/>
    <w:basedOn w:val="DefaultParagraphFont"/>
    <w:uiPriority w:val="9"/>
    <w:semiHidden/>
    <w:rsid w:val="008A2081"/>
    <w:rPr>
      <w:rFonts w:asciiTheme="majorHAnsi" w:eastAsiaTheme="majorEastAsia" w:hAnsiTheme="majorHAnsi" w:cstheme="majorBidi"/>
      <w:color w:val="3476B1" w:themeColor="accent1" w:themeShade="BF"/>
      <w:sz w:val="26"/>
      <w:szCs w:val="26"/>
    </w:rPr>
  </w:style>
  <w:style w:type="character" w:customStyle="1" w:styleId="TitleChar1">
    <w:name w:val="Title Char1"/>
    <w:basedOn w:val="DefaultParagraphFont"/>
    <w:uiPriority w:val="10"/>
    <w:rsid w:val="008A2081"/>
    <w:rPr>
      <w:rFonts w:asciiTheme="majorHAnsi" w:eastAsiaTheme="majorEastAsia" w:hAnsiTheme="majorHAnsi" w:cstheme="majorBidi"/>
      <w:spacing w:val="-10"/>
      <w:kern w:val="28"/>
      <w:sz w:val="56"/>
      <w:szCs w:val="56"/>
    </w:rPr>
  </w:style>
  <w:style w:type="paragraph" w:styleId="Revision">
    <w:name w:val="Revision"/>
    <w:hidden/>
    <w:uiPriority w:val="99"/>
    <w:semiHidden/>
    <w:rsid w:val="00553E80"/>
    <w:rPr>
      <w:color w:val="404040" w:themeColor="text1" w:themeTint="BF"/>
    </w:rPr>
  </w:style>
  <w:style w:type="paragraph" w:styleId="TOCHeading">
    <w:name w:val="TOC Heading"/>
    <w:basedOn w:val="Heading1"/>
    <w:next w:val="Normal"/>
    <w:uiPriority w:val="39"/>
    <w:unhideWhenUsed/>
    <w:qFormat/>
    <w:rsid w:val="00FF3CC7"/>
    <w:pPr>
      <w:spacing w:before="480" w:line="276" w:lineRule="auto"/>
      <w:outlineLvl w:val="9"/>
    </w:pPr>
    <w:rPr>
      <w:rFonts w:asciiTheme="majorHAnsi" w:hAnsiTheme="majorHAnsi"/>
      <w:bCs/>
      <w:color w:val="3476B1" w:themeColor="accent1" w:themeShade="BF"/>
      <w:sz w:val="28"/>
      <w:szCs w:val="28"/>
      <w:lang w:val="en-US" w:eastAsia="en-US"/>
    </w:rPr>
  </w:style>
  <w:style w:type="paragraph" w:styleId="TOC3">
    <w:name w:val="toc 3"/>
    <w:basedOn w:val="Normal"/>
    <w:next w:val="Normal"/>
    <w:autoRedefine/>
    <w:uiPriority w:val="39"/>
    <w:unhideWhenUsed/>
    <w:rsid w:val="00FF3CC7"/>
    <w:pPr>
      <w:ind w:left="440"/>
    </w:pPr>
    <w:rPr>
      <w:rFonts w:asciiTheme="minorHAnsi" w:hAnsiTheme="minorHAnsi"/>
      <w:i/>
      <w:iCs/>
      <w:sz w:val="20"/>
      <w:szCs w:val="20"/>
    </w:rPr>
  </w:style>
  <w:style w:type="paragraph" w:styleId="TOC4">
    <w:name w:val="toc 4"/>
    <w:basedOn w:val="Normal"/>
    <w:next w:val="Normal"/>
    <w:autoRedefine/>
    <w:uiPriority w:val="39"/>
    <w:semiHidden/>
    <w:unhideWhenUsed/>
    <w:rsid w:val="00FF3CC7"/>
    <w:pPr>
      <w:ind w:left="660"/>
    </w:pPr>
    <w:rPr>
      <w:rFonts w:asciiTheme="minorHAnsi" w:hAnsiTheme="minorHAnsi"/>
      <w:sz w:val="18"/>
      <w:szCs w:val="18"/>
    </w:rPr>
  </w:style>
  <w:style w:type="paragraph" w:styleId="TOC5">
    <w:name w:val="toc 5"/>
    <w:basedOn w:val="Normal"/>
    <w:next w:val="Normal"/>
    <w:autoRedefine/>
    <w:uiPriority w:val="39"/>
    <w:semiHidden/>
    <w:unhideWhenUsed/>
    <w:rsid w:val="00FF3CC7"/>
    <w:pPr>
      <w:ind w:left="880"/>
    </w:pPr>
    <w:rPr>
      <w:rFonts w:asciiTheme="minorHAnsi" w:hAnsiTheme="minorHAnsi"/>
      <w:sz w:val="18"/>
      <w:szCs w:val="18"/>
    </w:rPr>
  </w:style>
  <w:style w:type="paragraph" w:styleId="TOC6">
    <w:name w:val="toc 6"/>
    <w:basedOn w:val="Normal"/>
    <w:next w:val="Normal"/>
    <w:autoRedefine/>
    <w:uiPriority w:val="39"/>
    <w:semiHidden/>
    <w:unhideWhenUsed/>
    <w:rsid w:val="00FF3CC7"/>
    <w:pPr>
      <w:ind w:left="1100"/>
    </w:pPr>
    <w:rPr>
      <w:rFonts w:asciiTheme="minorHAnsi" w:hAnsiTheme="minorHAnsi"/>
      <w:sz w:val="18"/>
      <w:szCs w:val="18"/>
    </w:rPr>
  </w:style>
  <w:style w:type="paragraph" w:styleId="TOC7">
    <w:name w:val="toc 7"/>
    <w:basedOn w:val="Normal"/>
    <w:next w:val="Normal"/>
    <w:autoRedefine/>
    <w:uiPriority w:val="39"/>
    <w:semiHidden/>
    <w:unhideWhenUsed/>
    <w:rsid w:val="00FF3CC7"/>
    <w:pPr>
      <w:ind w:left="1320"/>
    </w:pPr>
    <w:rPr>
      <w:rFonts w:asciiTheme="minorHAnsi" w:hAnsiTheme="minorHAnsi"/>
      <w:sz w:val="18"/>
      <w:szCs w:val="18"/>
    </w:rPr>
  </w:style>
  <w:style w:type="paragraph" w:styleId="TOC8">
    <w:name w:val="toc 8"/>
    <w:basedOn w:val="Normal"/>
    <w:next w:val="Normal"/>
    <w:autoRedefine/>
    <w:uiPriority w:val="39"/>
    <w:semiHidden/>
    <w:unhideWhenUsed/>
    <w:rsid w:val="00FF3CC7"/>
    <w:pPr>
      <w:ind w:left="1540"/>
    </w:pPr>
    <w:rPr>
      <w:rFonts w:asciiTheme="minorHAnsi" w:hAnsiTheme="minorHAnsi"/>
      <w:sz w:val="18"/>
      <w:szCs w:val="18"/>
    </w:rPr>
  </w:style>
  <w:style w:type="paragraph" w:styleId="TOC9">
    <w:name w:val="toc 9"/>
    <w:basedOn w:val="Normal"/>
    <w:next w:val="Normal"/>
    <w:autoRedefine/>
    <w:uiPriority w:val="39"/>
    <w:semiHidden/>
    <w:unhideWhenUsed/>
    <w:rsid w:val="00FF3CC7"/>
    <w:pPr>
      <w:ind w:left="1760"/>
    </w:pPr>
    <w:rPr>
      <w:rFonts w:asciiTheme="minorHAnsi" w:hAnsiTheme="minorHAnsi"/>
      <w:sz w:val="18"/>
      <w:szCs w:val="18"/>
    </w:rPr>
  </w:style>
  <w:style w:type="paragraph" w:styleId="BalloonText">
    <w:name w:val="Balloon Text"/>
    <w:basedOn w:val="Normal"/>
    <w:link w:val="BalloonTextChar"/>
    <w:uiPriority w:val="99"/>
    <w:semiHidden/>
    <w:unhideWhenUsed/>
    <w:rsid w:val="00434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335"/>
    <w:rPr>
      <w:rFonts w:ascii="Segoe UI" w:hAnsi="Segoe UI" w:cs="Segoe UI"/>
      <w:color w:val="404040" w:themeColor="text1" w:themeTint="BF"/>
      <w:sz w:val="18"/>
      <w:szCs w:val="18"/>
    </w:rPr>
  </w:style>
  <w:style w:type="character" w:customStyle="1" w:styleId="UnresolvedMention2">
    <w:name w:val="Unresolved Mention2"/>
    <w:basedOn w:val="DefaultParagraphFont"/>
    <w:uiPriority w:val="99"/>
    <w:semiHidden/>
    <w:unhideWhenUsed/>
    <w:rsid w:val="002F1A05"/>
    <w:rPr>
      <w:color w:val="605E5C"/>
      <w:shd w:val="clear" w:color="auto" w:fill="E1DFDD"/>
    </w:rPr>
  </w:style>
  <w:style w:type="paragraph" w:customStyle="1" w:styleId="msonormal0">
    <w:name w:val="msonormal"/>
    <w:basedOn w:val="Normal"/>
    <w:rsid w:val="002C2388"/>
    <w:pPr>
      <w:spacing w:before="100" w:beforeAutospacing="1" w:after="100" w:afterAutospacing="1"/>
    </w:pPr>
    <w:rPr>
      <w:rFonts w:ascii="Times New Roman" w:eastAsia="Times New Roman" w:hAnsi="Times New Roman" w:cs="Times New Roman"/>
      <w:color w:val="auto"/>
      <w:sz w:val="24"/>
      <w:szCs w:val="24"/>
    </w:rPr>
  </w:style>
  <w:style w:type="paragraph" w:customStyle="1" w:styleId="xl63">
    <w:name w:val="xl63"/>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65">
    <w:name w:val="xl65"/>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auto"/>
      <w:sz w:val="24"/>
      <w:szCs w:val="24"/>
    </w:rPr>
  </w:style>
  <w:style w:type="paragraph" w:customStyle="1" w:styleId="xl66">
    <w:name w:val="xl66"/>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4"/>
      <w:szCs w:val="24"/>
    </w:rPr>
  </w:style>
  <w:style w:type="paragraph" w:customStyle="1" w:styleId="xl67">
    <w:name w:val="xl67"/>
    <w:basedOn w:val="Normal"/>
    <w:rsid w:val="002C23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color w:val="auto"/>
      <w:sz w:val="24"/>
      <w:szCs w:val="24"/>
    </w:rPr>
  </w:style>
  <w:style w:type="paragraph" w:customStyle="1" w:styleId="xl68">
    <w:name w:val="xl68"/>
    <w:basedOn w:val="Normal"/>
    <w:rsid w:val="002C238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69">
    <w:name w:val="xl69"/>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70">
    <w:name w:val="xl70"/>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71">
    <w:name w:val="xl71"/>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72">
    <w:name w:val="xl72"/>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rPr>
  </w:style>
  <w:style w:type="paragraph" w:customStyle="1" w:styleId="xl73">
    <w:name w:val="xl73"/>
    <w:basedOn w:val="Normal"/>
    <w:rsid w:val="002C238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74">
    <w:name w:val="xl74"/>
    <w:basedOn w:val="Normal"/>
    <w:rsid w:val="002C238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75">
    <w:name w:val="xl75"/>
    <w:basedOn w:val="Normal"/>
    <w:rsid w:val="002C238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76">
    <w:name w:val="xl76"/>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404040"/>
    </w:rPr>
  </w:style>
  <w:style w:type="paragraph" w:customStyle="1" w:styleId="xl77">
    <w:name w:val="xl77"/>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rPr>
  </w:style>
  <w:style w:type="paragraph" w:customStyle="1" w:styleId="xl78">
    <w:name w:val="xl78"/>
    <w:basedOn w:val="Normal"/>
    <w:rsid w:val="002C2388"/>
    <w:pPr>
      <w:spacing w:before="100" w:beforeAutospacing="1" w:after="100" w:afterAutospacing="1"/>
      <w:textAlignment w:val="top"/>
    </w:pPr>
    <w:rPr>
      <w:rFonts w:eastAsia="Times New Roman" w:cs="Times New Roman"/>
      <w:color w:val="auto"/>
    </w:rPr>
  </w:style>
  <w:style w:type="paragraph" w:customStyle="1" w:styleId="xl79">
    <w:name w:val="xl79"/>
    <w:basedOn w:val="Normal"/>
    <w:rsid w:val="002C2388"/>
    <w:pPr>
      <w:spacing w:before="100" w:beforeAutospacing="1" w:after="100" w:afterAutospacing="1"/>
      <w:textAlignment w:val="top"/>
    </w:pPr>
    <w:rPr>
      <w:rFonts w:eastAsia="Times New Roman" w:cs="Times New Roman"/>
      <w:color w:val="auto"/>
    </w:rPr>
  </w:style>
  <w:style w:type="paragraph" w:customStyle="1" w:styleId="xl80">
    <w:name w:val="xl80"/>
    <w:basedOn w:val="Normal"/>
    <w:rsid w:val="002C2388"/>
    <w:pPr>
      <w:spacing w:before="100" w:beforeAutospacing="1" w:after="100" w:afterAutospacing="1"/>
      <w:textAlignment w:val="top"/>
    </w:pPr>
    <w:rPr>
      <w:rFonts w:eastAsia="Times New Roman" w:cs="Times New Roman"/>
      <w:color w:val="auto"/>
    </w:rPr>
  </w:style>
  <w:style w:type="paragraph" w:customStyle="1" w:styleId="xl81">
    <w:name w:val="xl81"/>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404040"/>
    </w:rPr>
  </w:style>
  <w:style w:type="paragraph" w:customStyle="1" w:styleId="xl82">
    <w:name w:val="xl82"/>
    <w:basedOn w:val="Normal"/>
    <w:rsid w:val="002C238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color w:val="000000"/>
    </w:rPr>
  </w:style>
  <w:style w:type="paragraph" w:customStyle="1" w:styleId="xl83">
    <w:name w:val="xl83"/>
    <w:basedOn w:val="Normal"/>
    <w:rsid w:val="002C238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84">
    <w:name w:val="xl84"/>
    <w:basedOn w:val="Normal"/>
    <w:rsid w:val="002C238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85">
    <w:name w:val="xl85"/>
    <w:basedOn w:val="Normal"/>
    <w:rsid w:val="002C238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86">
    <w:name w:val="xl86"/>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3F3F3F"/>
    </w:rPr>
  </w:style>
  <w:style w:type="paragraph" w:customStyle="1" w:styleId="xl87">
    <w:name w:val="xl87"/>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222222"/>
    </w:rPr>
  </w:style>
  <w:style w:type="paragraph" w:customStyle="1" w:styleId="xl88">
    <w:name w:val="xl88"/>
    <w:basedOn w:val="Normal"/>
    <w:rsid w:val="002C238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404040"/>
    </w:rPr>
  </w:style>
  <w:style w:type="paragraph" w:customStyle="1" w:styleId="xl89">
    <w:name w:val="xl89"/>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404040"/>
    </w:rPr>
  </w:style>
  <w:style w:type="paragraph" w:customStyle="1" w:styleId="xl90">
    <w:name w:val="xl90"/>
    <w:basedOn w:val="Normal"/>
    <w:rsid w:val="002C2388"/>
    <w:pPr>
      <w:spacing w:before="100" w:beforeAutospacing="1" w:after="100" w:afterAutospacing="1"/>
      <w:textAlignment w:val="top"/>
    </w:pPr>
    <w:rPr>
      <w:rFonts w:eastAsia="Times New Roman" w:cs="Times New Roman"/>
      <w:color w:val="auto"/>
    </w:rPr>
  </w:style>
  <w:style w:type="paragraph" w:customStyle="1" w:styleId="xl91">
    <w:name w:val="xl91"/>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92">
    <w:name w:val="xl92"/>
    <w:basedOn w:val="Normal"/>
    <w:rsid w:val="002C238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93">
    <w:name w:val="xl93"/>
    <w:basedOn w:val="Normal"/>
    <w:rsid w:val="002C23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rPr>
  </w:style>
  <w:style w:type="paragraph" w:customStyle="1" w:styleId="xl94">
    <w:name w:val="xl94"/>
    <w:basedOn w:val="Normal"/>
    <w:rsid w:val="002C238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auto"/>
    </w:rPr>
  </w:style>
  <w:style w:type="paragraph" w:customStyle="1" w:styleId="xl95">
    <w:name w:val="xl95"/>
    <w:basedOn w:val="Normal"/>
    <w:rsid w:val="002C238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color w:val="404040"/>
    </w:rPr>
  </w:style>
  <w:style w:type="table" w:customStyle="1" w:styleId="GridTable4-Accent52">
    <w:name w:val="Grid Table 4 - Accent 52"/>
    <w:basedOn w:val="TableNormal"/>
    <w:uiPriority w:val="49"/>
    <w:rsid w:val="002433ED"/>
    <w:rPr>
      <w:rFonts w:ascii="Times New Roman" w:eastAsiaTheme="minorEastAsia" w:hAnsi="Times New Roman" w:cs="Times New Roman"/>
      <w:color w:val="auto"/>
      <w:sz w:val="20"/>
      <w:szCs w:val="20"/>
      <w:lang w:val="en-US" w:eastAsia="ja-JP"/>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ListParagraphChar">
    <w:name w:val="List Paragraph Char"/>
    <w:aliases w:val="#List Paragraph Char,Bullet Point Char,Bullet point Char,Bullet points Char,Bullets Char,CV text Char,Content descriptions Char,Dot pt Char,F5 List Paragraph Char,FooterText Char,L Char,List Paragraph Number Char,List Paragraph1 Char"/>
    <w:basedOn w:val="DefaultParagraphFont"/>
    <w:link w:val="ListParagraph"/>
    <w:uiPriority w:val="34"/>
    <w:qFormat/>
    <w:locked/>
    <w:rsid w:val="009D3D63"/>
    <w:rPr>
      <w:color w:val="404040" w:themeColor="text1" w:themeTint="BF"/>
    </w:rPr>
  </w:style>
  <w:style w:type="character" w:customStyle="1" w:styleId="UnresolvedMention">
    <w:name w:val="Unresolved Mention"/>
    <w:basedOn w:val="DefaultParagraphFont"/>
    <w:uiPriority w:val="99"/>
    <w:semiHidden/>
    <w:unhideWhenUsed/>
    <w:rsid w:val="00D9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047">
      <w:bodyDiv w:val="1"/>
      <w:marLeft w:val="0"/>
      <w:marRight w:val="0"/>
      <w:marTop w:val="0"/>
      <w:marBottom w:val="0"/>
      <w:divBdr>
        <w:top w:val="none" w:sz="0" w:space="0" w:color="auto"/>
        <w:left w:val="none" w:sz="0" w:space="0" w:color="auto"/>
        <w:bottom w:val="none" w:sz="0" w:space="0" w:color="auto"/>
        <w:right w:val="none" w:sz="0" w:space="0" w:color="auto"/>
      </w:divBdr>
    </w:div>
    <w:div w:id="27030841">
      <w:bodyDiv w:val="1"/>
      <w:marLeft w:val="0"/>
      <w:marRight w:val="0"/>
      <w:marTop w:val="0"/>
      <w:marBottom w:val="0"/>
      <w:divBdr>
        <w:top w:val="none" w:sz="0" w:space="0" w:color="auto"/>
        <w:left w:val="none" w:sz="0" w:space="0" w:color="auto"/>
        <w:bottom w:val="none" w:sz="0" w:space="0" w:color="auto"/>
        <w:right w:val="none" w:sz="0" w:space="0" w:color="auto"/>
      </w:divBdr>
      <w:divsChild>
        <w:div w:id="1210916420">
          <w:marLeft w:val="274"/>
          <w:marRight w:val="0"/>
          <w:marTop w:val="0"/>
          <w:marBottom w:val="120"/>
          <w:divBdr>
            <w:top w:val="none" w:sz="0" w:space="0" w:color="auto"/>
            <w:left w:val="none" w:sz="0" w:space="0" w:color="auto"/>
            <w:bottom w:val="none" w:sz="0" w:space="0" w:color="auto"/>
            <w:right w:val="none" w:sz="0" w:space="0" w:color="auto"/>
          </w:divBdr>
        </w:div>
        <w:div w:id="283834">
          <w:marLeft w:val="274"/>
          <w:marRight w:val="0"/>
          <w:marTop w:val="0"/>
          <w:marBottom w:val="120"/>
          <w:divBdr>
            <w:top w:val="none" w:sz="0" w:space="0" w:color="auto"/>
            <w:left w:val="none" w:sz="0" w:space="0" w:color="auto"/>
            <w:bottom w:val="none" w:sz="0" w:space="0" w:color="auto"/>
            <w:right w:val="none" w:sz="0" w:space="0" w:color="auto"/>
          </w:divBdr>
        </w:div>
      </w:divsChild>
    </w:div>
    <w:div w:id="36781584">
      <w:bodyDiv w:val="1"/>
      <w:marLeft w:val="0"/>
      <w:marRight w:val="0"/>
      <w:marTop w:val="0"/>
      <w:marBottom w:val="0"/>
      <w:divBdr>
        <w:top w:val="none" w:sz="0" w:space="0" w:color="auto"/>
        <w:left w:val="none" w:sz="0" w:space="0" w:color="auto"/>
        <w:bottom w:val="none" w:sz="0" w:space="0" w:color="auto"/>
        <w:right w:val="none" w:sz="0" w:space="0" w:color="auto"/>
      </w:divBdr>
    </w:div>
    <w:div w:id="49693380">
      <w:bodyDiv w:val="1"/>
      <w:marLeft w:val="0"/>
      <w:marRight w:val="0"/>
      <w:marTop w:val="0"/>
      <w:marBottom w:val="0"/>
      <w:divBdr>
        <w:top w:val="none" w:sz="0" w:space="0" w:color="auto"/>
        <w:left w:val="none" w:sz="0" w:space="0" w:color="auto"/>
        <w:bottom w:val="none" w:sz="0" w:space="0" w:color="auto"/>
        <w:right w:val="none" w:sz="0" w:space="0" w:color="auto"/>
      </w:divBdr>
      <w:divsChild>
        <w:div w:id="1238780876">
          <w:marLeft w:val="446"/>
          <w:marRight w:val="0"/>
          <w:marTop w:val="0"/>
          <w:marBottom w:val="0"/>
          <w:divBdr>
            <w:top w:val="none" w:sz="0" w:space="0" w:color="auto"/>
            <w:left w:val="none" w:sz="0" w:space="0" w:color="auto"/>
            <w:bottom w:val="none" w:sz="0" w:space="0" w:color="auto"/>
            <w:right w:val="none" w:sz="0" w:space="0" w:color="auto"/>
          </w:divBdr>
        </w:div>
        <w:div w:id="1791044528">
          <w:marLeft w:val="446"/>
          <w:marRight w:val="0"/>
          <w:marTop w:val="0"/>
          <w:marBottom w:val="0"/>
          <w:divBdr>
            <w:top w:val="none" w:sz="0" w:space="0" w:color="auto"/>
            <w:left w:val="none" w:sz="0" w:space="0" w:color="auto"/>
            <w:bottom w:val="none" w:sz="0" w:space="0" w:color="auto"/>
            <w:right w:val="none" w:sz="0" w:space="0" w:color="auto"/>
          </w:divBdr>
        </w:div>
        <w:div w:id="842939911">
          <w:marLeft w:val="446"/>
          <w:marRight w:val="0"/>
          <w:marTop w:val="0"/>
          <w:marBottom w:val="0"/>
          <w:divBdr>
            <w:top w:val="none" w:sz="0" w:space="0" w:color="auto"/>
            <w:left w:val="none" w:sz="0" w:space="0" w:color="auto"/>
            <w:bottom w:val="none" w:sz="0" w:space="0" w:color="auto"/>
            <w:right w:val="none" w:sz="0" w:space="0" w:color="auto"/>
          </w:divBdr>
        </w:div>
        <w:div w:id="1595938044">
          <w:marLeft w:val="446"/>
          <w:marRight w:val="0"/>
          <w:marTop w:val="0"/>
          <w:marBottom w:val="0"/>
          <w:divBdr>
            <w:top w:val="none" w:sz="0" w:space="0" w:color="auto"/>
            <w:left w:val="none" w:sz="0" w:space="0" w:color="auto"/>
            <w:bottom w:val="none" w:sz="0" w:space="0" w:color="auto"/>
            <w:right w:val="none" w:sz="0" w:space="0" w:color="auto"/>
          </w:divBdr>
        </w:div>
      </w:divsChild>
    </w:div>
    <w:div w:id="59521386">
      <w:bodyDiv w:val="1"/>
      <w:marLeft w:val="0"/>
      <w:marRight w:val="0"/>
      <w:marTop w:val="0"/>
      <w:marBottom w:val="0"/>
      <w:divBdr>
        <w:top w:val="none" w:sz="0" w:space="0" w:color="auto"/>
        <w:left w:val="none" w:sz="0" w:space="0" w:color="auto"/>
        <w:bottom w:val="none" w:sz="0" w:space="0" w:color="auto"/>
        <w:right w:val="none" w:sz="0" w:space="0" w:color="auto"/>
      </w:divBdr>
    </w:div>
    <w:div w:id="76558648">
      <w:bodyDiv w:val="1"/>
      <w:marLeft w:val="0"/>
      <w:marRight w:val="0"/>
      <w:marTop w:val="0"/>
      <w:marBottom w:val="0"/>
      <w:divBdr>
        <w:top w:val="none" w:sz="0" w:space="0" w:color="auto"/>
        <w:left w:val="none" w:sz="0" w:space="0" w:color="auto"/>
        <w:bottom w:val="none" w:sz="0" w:space="0" w:color="auto"/>
        <w:right w:val="none" w:sz="0" w:space="0" w:color="auto"/>
      </w:divBdr>
    </w:div>
    <w:div w:id="163712220">
      <w:bodyDiv w:val="1"/>
      <w:marLeft w:val="0"/>
      <w:marRight w:val="0"/>
      <w:marTop w:val="0"/>
      <w:marBottom w:val="0"/>
      <w:divBdr>
        <w:top w:val="none" w:sz="0" w:space="0" w:color="auto"/>
        <w:left w:val="none" w:sz="0" w:space="0" w:color="auto"/>
        <w:bottom w:val="none" w:sz="0" w:space="0" w:color="auto"/>
        <w:right w:val="none" w:sz="0" w:space="0" w:color="auto"/>
      </w:divBdr>
    </w:div>
    <w:div w:id="198785375">
      <w:bodyDiv w:val="1"/>
      <w:marLeft w:val="0"/>
      <w:marRight w:val="0"/>
      <w:marTop w:val="0"/>
      <w:marBottom w:val="0"/>
      <w:divBdr>
        <w:top w:val="none" w:sz="0" w:space="0" w:color="auto"/>
        <w:left w:val="none" w:sz="0" w:space="0" w:color="auto"/>
        <w:bottom w:val="none" w:sz="0" w:space="0" w:color="auto"/>
        <w:right w:val="none" w:sz="0" w:space="0" w:color="auto"/>
      </w:divBdr>
      <w:divsChild>
        <w:div w:id="2067336660">
          <w:marLeft w:val="274"/>
          <w:marRight w:val="0"/>
          <w:marTop w:val="0"/>
          <w:marBottom w:val="120"/>
          <w:divBdr>
            <w:top w:val="none" w:sz="0" w:space="0" w:color="auto"/>
            <w:left w:val="none" w:sz="0" w:space="0" w:color="auto"/>
            <w:bottom w:val="none" w:sz="0" w:space="0" w:color="auto"/>
            <w:right w:val="none" w:sz="0" w:space="0" w:color="auto"/>
          </w:divBdr>
        </w:div>
        <w:div w:id="1442722860">
          <w:marLeft w:val="274"/>
          <w:marRight w:val="0"/>
          <w:marTop w:val="0"/>
          <w:marBottom w:val="120"/>
          <w:divBdr>
            <w:top w:val="none" w:sz="0" w:space="0" w:color="auto"/>
            <w:left w:val="none" w:sz="0" w:space="0" w:color="auto"/>
            <w:bottom w:val="none" w:sz="0" w:space="0" w:color="auto"/>
            <w:right w:val="none" w:sz="0" w:space="0" w:color="auto"/>
          </w:divBdr>
        </w:div>
        <w:div w:id="633949202">
          <w:marLeft w:val="274"/>
          <w:marRight w:val="0"/>
          <w:marTop w:val="0"/>
          <w:marBottom w:val="120"/>
          <w:divBdr>
            <w:top w:val="none" w:sz="0" w:space="0" w:color="auto"/>
            <w:left w:val="none" w:sz="0" w:space="0" w:color="auto"/>
            <w:bottom w:val="none" w:sz="0" w:space="0" w:color="auto"/>
            <w:right w:val="none" w:sz="0" w:space="0" w:color="auto"/>
          </w:divBdr>
        </w:div>
        <w:div w:id="514077559">
          <w:marLeft w:val="274"/>
          <w:marRight w:val="0"/>
          <w:marTop w:val="0"/>
          <w:marBottom w:val="120"/>
          <w:divBdr>
            <w:top w:val="none" w:sz="0" w:space="0" w:color="auto"/>
            <w:left w:val="none" w:sz="0" w:space="0" w:color="auto"/>
            <w:bottom w:val="none" w:sz="0" w:space="0" w:color="auto"/>
            <w:right w:val="none" w:sz="0" w:space="0" w:color="auto"/>
          </w:divBdr>
        </w:div>
        <w:div w:id="1557545495">
          <w:marLeft w:val="274"/>
          <w:marRight w:val="0"/>
          <w:marTop w:val="0"/>
          <w:marBottom w:val="120"/>
          <w:divBdr>
            <w:top w:val="none" w:sz="0" w:space="0" w:color="auto"/>
            <w:left w:val="none" w:sz="0" w:space="0" w:color="auto"/>
            <w:bottom w:val="none" w:sz="0" w:space="0" w:color="auto"/>
            <w:right w:val="none" w:sz="0" w:space="0" w:color="auto"/>
          </w:divBdr>
        </w:div>
      </w:divsChild>
    </w:div>
    <w:div w:id="201285335">
      <w:bodyDiv w:val="1"/>
      <w:marLeft w:val="0"/>
      <w:marRight w:val="0"/>
      <w:marTop w:val="0"/>
      <w:marBottom w:val="0"/>
      <w:divBdr>
        <w:top w:val="none" w:sz="0" w:space="0" w:color="auto"/>
        <w:left w:val="none" w:sz="0" w:space="0" w:color="auto"/>
        <w:bottom w:val="none" w:sz="0" w:space="0" w:color="auto"/>
        <w:right w:val="none" w:sz="0" w:space="0" w:color="auto"/>
      </w:divBdr>
    </w:div>
    <w:div w:id="246886375">
      <w:bodyDiv w:val="1"/>
      <w:marLeft w:val="0"/>
      <w:marRight w:val="0"/>
      <w:marTop w:val="0"/>
      <w:marBottom w:val="0"/>
      <w:divBdr>
        <w:top w:val="none" w:sz="0" w:space="0" w:color="auto"/>
        <w:left w:val="none" w:sz="0" w:space="0" w:color="auto"/>
        <w:bottom w:val="none" w:sz="0" w:space="0" w:color="auto"/>
        <w:right w:val="none" w:sz="0" w:space="0" w:color="auto"/>
      </w:divBdr>
    </w:div>
    <w:div w:id="304161634">
      <w:bodyDiv w:val="1"/>
      <w:marLeft w:val="0"/>
      <w:marRight w:val="0"/>
      <w:marTop w:val="0"/>
      <w:marBottom w:val="0"/>
      <w:divBdr>
        <w:top w:val="none" w:sz="0" w:space="0" w:color="auto"/>
        <w:left w:val="none" w:sz="0" w:space="0" w:color="auto"/>
        <w:bottom w:val="none" w:sz="0" w:space="0" w:color="auto"/>
        <w:right w:val="none" w:sz="0" w:space="0" w:color="auto"/>
      </w:divBdr>
    </w:div>
    <w:div w:id="308440294">
      <w:bodyDiv w:val="1"/>
      <w:marLeft w:val="0"/>
      <w:marRight w:val="0"/>
      <w:marTop w:val="0"/>
      <w:marBottom w:val="0"/>
      <w:divBdr>
        <w:top w:val="none" w:sz="0" w:space="0" w:color="auto"/>
        <w:left w:val="none" w:sz="0" w:space="0" w:color="auto"/>
        <w:bottom w:val="none" w:sz="0" w:space="0" w:color="auto"/>
        <w:right w:val="none" w:sz="0" w:space="0" w:color="auto"/>
      </w:divBdr>
    </w:div>
    <w:div w:id="478500178">
      <w:bodyDiv w:val="1"/>
      <w:marLeft w:val="0"/>
      <w:marRight w:val="0"/>
      <w:marTop w:val="0"/>
      <w:marBottom w:val="0"/>
      <w:divBdr>
        <w:top w:val="none" w:sz="0" w:space="0" w:color="auto"/>
        <w:left w:val="none" w:sz="0" w:space="0" w:color="auto"/>
        <w:bottom w:val="none" w:sz="0" w:space="0" w:color="auto"/>
        <w:right w:val="none" w:sz="0" w:space="0" w:color="auto"/>
      </w:divBdr>
    </w:div>
    <w:div w:id="497041718">
      <w:bodyDiv w:val="1"/>
      <w:marLeft w:val="0"/>
      <w:marRight w:val="0"/>
      <w:marTop w:val="0"/>
      <w:marBottom w:val="0"/>
      <w:divBdr>
        <w:top w:val="none" w:sz="0" w:space="0" w:color="auto"/>
        <w:left w:val="none" w:sz="0" w:space="0" w:color="auto"/>
        <w:bottom w:val="none" w:sz="0" w:space="0" w:color="auto"/>
        <w:right w:val="none" w:sz="0" w:space="0" w:color="auto"/>
      </w:divBdr>
    </w:div>
    <w:div w:id="528956650">
      <w:bodyDiv w:val="1"/>
      <w:marLeft w:val="0"/>
      <w:marRight w:val="0"/>
      <w:marTop w:val="0"/>
      <w:marBottom w:val="0"/>
      <w:divBdr>
        <w:top w:val="none" w:sz="0" w:space="0" w:color="auto"/>
        <w:left w:val="none" w:sz="0" w:space="0" w:color="auto"/>
        <w:bottom w:val="none" w:sz="0" w:space="0" w:color="auto"/>
        <w:right w:val="none" w:sz="0" w:space="0" w:color="auto"/>
      </w:divBdr>
    </w:div>
    <w:div w:id="681010519">
      <w:bodyDiv w:val="1"/>
      <w:marLeft w:val="0"/>
      <w:marRight w:val="0"/>
      <w:marTop w:val="0"/>
      <w:marBottom w:val="0"/>
      <w:divBdr>
        <w:top w:val="none" w:sz="0" w:space="0" w:color="auto"/>
        <w:left w:val="none" w:sz="0" w:space="0" w:color="auto"/>
        <w:bottom w:val="none" w:sz="0" w:space="0" w:color="auto"/>
        <w:right w:val="none" w:sz="0" w:space="0" w:color="auto"/>
      </w:divBdr>
    </w:div>
    <w:div w:id="704136123">
      <w:bodyDiv w:val="1"/>
      <w:marLeft w:val="0"/>
      <w:marRight w:val="0"/>
      <w:marTop w:val="0"/>
      <w:marBottom w:val="0"/>
      <w:divBdr>
        <w:top w:val="none" w:sz="0" w:space="0" w:color="auto"/>
        <w:left w:val="none" w:sz="0" w:space="0" w:color="auto"/>
        <w:bottom w:val="none" w:sz="0" w:space="0" w:color="auto"/>
        <w:right w:val="none" w:sz="0" w:space="0" w:color="auto"/>
      </w:divBdr>
    </w:div>
    <w:div w:id="728770823">
      <w:bodyDiv w:val="1"/>
      <w:marLeft w:val="0"/>
      <w:marRight w:val="0"/>
      <w:marTop w:val="0"/>
      <w:marBottom w:val="0"/>
      <w:divBdr>
        <w:top w:val="none" w:sz="0" w:space="0" w:color="auto"/>
        <w:left w:val="none" w:sz="0" w:space="0" w:color="auto"/>
        <w:bottom w:val="none" w:sz="0" w:space="0" w:color="auto"/>
        <w:right w:val="none" w:sz="0" w:space="0" w:color="auto"/>
      </w:divBdr>
      <w:divsChild>
        <w:div w:id="2018575197">
          <w:marLeft w:val="446"/>
          <w:marRight w:val="0"/>
          <w:marTop w:val="0"/>
          <w:marBottom w:val="0"/>
          <w:divBdr>
            <w:top w:val="none" w:sz="0" w:space="0" w:color="auto"/>
            <w:left w:val="none" w:sz="0" w:space="0" w:color="auto"/>
            <w:bottom w:val="none" w:sz="0" w:space="0" w:color="auto"/>
            <w:right w:val="none" w:sz="0" w:space="0" w:color="auto"/>
          </w:divBdr>
        </w:div>
        <w:div w:id="1779981951">
          <w:marLeft w:val="446"/>
          <w:marRight w:val="0"/>
          <w:marTop w:val="0"/>
          <w:marBottom w:val="0"/>
          <w:divBdr>
            <w:top w:val="none" w:sz="0" w:space="0" w:color="auto"/>
            <w:left w:val="none" w:sz="0" w:space="0" w:color="auto"/>
            <w:bottom w:val="none" w:sz="0" w:space="0" w:color="auto"/>
            <w:right w:val="none" w:sz="0" w:space="0" w:color="auto"/>
          </w:divBdr>
        </w:div>
        <w:div w:id="621960180">
          <w:marLeft w:val="446"/>
          <w:marRight w:val="0"/>
          <w:marTop w:val="0"/>
          <w:marBottom w:val="0"/>
          <w:divBdr>
            <w:top w:val="none" w:sz="0" w:space="0" w:color="auto"/>
            <w:left w:val="none" w:sz="0" w:space="0" w:color="auto"/>
            <w:bottom w:val="none" w:sz="0" w:space="0" w:color="auto"/>
            <w:right w:val="none" w:sz="0" w:space="0" w:color="auto"/>
          </w:divBdr>
        </w:div>
        <w:div w:id="1370692038">
          <w:marLeft w:val="446"/>
          <w:marRight w:val="0"/>
          <w:marTop w:val="0"/>
          <w:marBottom w:val="0"/>
          <w:divBdr>
            <w:top w:val="none" w:sz="0" w:space="0" w:color="auto"/>
            <w:left w:val="none" w:sz="0" w:space="0" w:color="auto"/>
            <w:bottom w:val="none" w:sz="0" w:space="0" w:color="auto"/>
            <w:right w:val="none" w:sz="0" w:space="0" w:color="auto"/>
          </w:divBdr>
        </w:div>
        <w:div w:id="810555436">
          <w:marLeft w:val="446"/>
          <w:marRight w:val="0"/>
          <w:marTop w:val="0"/>
          <w:marBottom w:val="0"/>
          <w:divBdr>
            <w:top w:val="none" w:sz="0" w:space="0" w:color="auto"/>
            <w:left w:val="none" w:sz="0" w:space="0" w:color="auto"/>
            <w:bottom w:val="none" w:sz="0" w:space="0" w:color="auto"/>
            <w:right w:val="none" w:sz="0" w:space="0" w:color="auto"/>
          </w:divBdr>
        </w:div>
        <w:div w:id="1219585880">
          <w:marLeft w:val="446"/>
          <w:marRight w:val="0"/>
          <w:marTop w:val="0"/>
          <w:marBottom w:val="0"/>
          <w:divBdr>
            <w:top w:val="none" w:sz="0" w:space="0" w:color="auto"/>
            <w:left w:val="none" w:sz="0" w:space="0" w:color="auto"/>
            <w:bottom w:val="none" w:sz="0" w:space="0" w:color="auto"/>
            <w:right w:val="none" w:sz="0" w:space="0" w:color="auto"/>
          </w:divBdr>
        </w:div>
        <w:div w:id="1376197964">
          <w:marLeft w:val="446"/>
          <w:marRight w:val="0"/>
          <w:marTop w:val="0"/>
          <w:marBottom w:val="0"/>
          <w:divBdr>
            <w:top w:val="none" w:sz="0" w:space="0" w:color="auto"/>
            <w:left w:val="none" w:sz="0" w:space="0" w:color="auto"/>
            <w:bottom w:val="none" w:sz="0" w:space="0" w:color="auto"/>
            <w:right w:val="none" w:sz="0" w:space="0" w:color="auto"/>
          </w:divBdr>
        </w:div>
        <w:div w:id="667706628">
          <w:marLeft w:val="446"/>
          <w:marRight w:val="0"/>
          <w:marTop w:val="0"/>
          <w:marBottom w:val="0"/>
          <w:divBdr>
            <w:top w:val="none" w:sz="0" w:space="0" w:color="auto"/>
            <w:left w:val="none" w:sz="0" w:space="0" w:color="auto"/>
            <w:bottom w:val="none" w:sz="0" w:space="0" w:color="auto"/>
            <w:right w:val="none" w:sz="0" w:space="0" w:color="auto"/>
          </w:divBdr>
        </w:div>
        <w:div w:id="51857727">
          <w:marLeft w:val="446"/>
          <w:marRight w:val="0"/>
          <w:marTop w:val="0"/>
          <w:marBottom w:val="0"/>
          <w:divBdr>
            <w:top w:val="none" w:sz="0" w:space="0" w:color="auto"/>
            <w:left w:val="none" w:sz="0" w:space="0" w:color="auto"/>
            <w:bottom w:val="none" w:sz="0" w:space="0" w:color="auto"/>
            <w:right w:val="none" w:sz="0" w:space="0" w:color="auto"/>
          </w:divBdr>
        </w:div>
        <w:div w:id="546141892">
          <w:marLeft w:val="446"/>
          <w:marRight w:val="0"/>
          <w:marTop w:val="0"/>
          <w:marBottom w:val="0"/>
          <w:divBdr>
            <w:top w:val="none" w:sz="0" w:space="0" w:color="auto"/>
            <w:left w:val="none" w:sz="0" w:space="0" w:color="auto"/>
            <w:bottom w:val="none" w:sz="0" w:space="0" w:color="auto"/>
            <w:right w:val="none" w:sz="0" w:space="0" w:color="auto"/>
          </w:divBdr>
        </w:div>
        <w:div w:id="72629896">
          <w:marLeft w:val="446"/>
          <w:marRight w:val="0"/>
          <w:marTop w:val="0"/>
          <w:marBottom w:val="0"/>
          <w:divBdr>
            <w:top w:val="none" w:sz="0" w:space="0" w:color="auto"/>
            <w:left w:val="none" w:sz="0" w:space="0" w:color="auto"/>
            <w:bottom w:val="none" w:sz="0" w:space="0" w:color="auto"/>
            <w:right w:val="none" w:sz="0" w:space="0" w:color="auto"/>
          </w:divBdr>
        </w:div>
        <w:div w:id="925964678">
          <w:marLeft w:val="446"/>
          <w:marRight w:val="0"/>
          <w:marTop w:val="0"/>
          <w:marBottom w:val="0"/>
          <w:divBdr>
            <w:top w:val="none" w:sz="0" w:space="0" w:color="auto"/>
            <w:left w:val="none" w:sz="0" w:space="0" w:color="auto"/>
            <w:bottom w:val="none" w:sz="0" w:space="0" w:color="auto"/>
            <w:right w:val="none" w:sz="0" w:space="0" w:color="auto"/>
          </w:divBdr>
        </w:div>
      </w:divsChild>
    </w:div>
    <w:div w:id="766536628">
      <w:bodyDiv w:val="1"/>
      <w:marLeft w:val="0"/>
      <w:marRight w:val="0"/>
      <w:marTop w:val="0"/>
      <w:marBottom w:val="0"/>
      <w:divBdr>
        <w:top w:val="none" w:sz="0" w:space="0" w:color="auto"/>
        <w:left w:val="none" w:sz="0" w:space="0" w:color="auto"/>
        <w:bottom w:val="none" w:sz="0" w:space="0" w:color="auto"/>
        <w:right w:val="none" w:sz="0" w:space="0" w:color="auto"/>
      </w:divBdr>
    </w:div>
    <w:div w:id="775444760">
      <w:bodyDiv w:val="1"/>
      <w:marLeft w:val="0"/>
      <w:marRight w:val="0"/>
      <w:marTop w:val="0"/>
      <w:marBottom w:val="0"/>
      <w:divBdr>
        <w:top w:val="none" w:sz="0" w:space="0" w:color="auto"/>
        <w:left w:val="none" w:sz="0" w:space="0" w:color="auto"/>
        <w:bottom w:val="none" w:sz="0" w:space="0" w:color="auto"/>
        <w:right w:val="none" w:sz="0" w:space="0" w:color="auto"/>
      </w:divBdr>
      <w:divsChild>
        <w:div w:id="1890922375">
          <w:marLeft w:val="446"/>
          <w:marRight w:val="0"/>
          <w:marTop w:val="0"/>
          <w:marBottom w:val="0"/>
          <w:divBdr>
            <w:top w:val="none" w:sz="0" w:space="0" w:color="auto"/>
            <w:left w:val="none" w:sz="0" w:space="0" w:color="auto"/>
            <w:bottom w:val="none" w:sz="0" w:space="0" w:color="auto"/>
            <w:right w:val="none" w:sz="0" w:space="0" w:color="auto"/>
          </w:divBdr>
        </w:div>
        <w:div w:id="404451276">
          <w:marLeft w:val="446"/>
          <w:marRight w:val="0"/>
          <w:marTop w:val="0"/>
          <w:marBottom w:val="0"/>
          <w:divBdr>
            <w:top w:val="none" w:sz="0" w:space="0" w:color="auto"/>
            <w:left w:val="none" w:sz="0" w:space="0" w:color="auto"/>
            <w:bottom w:val="none" w:sz="0" w:space="0" w:color="auto"/>
            <w:right w:val="none" w:sz="0" w:space="0" w:color="auto"/>
          </w:divBdr>
        </w:div>
        <w:div w:id="1871264249">
          <w:marLeft w:val="446"/>
          <w:marRight w:val="0"/>
          <w:marTop w:val="0"/>
          <w:marBottom w:val="0"/>
          <w:divBdr>
            <w:top w:val="none" w:sz="0" w:space="0" w:color="auto"/>
            <w:left w:val="none" w:sz="0" w:space="0" w:color="auto"/>
            <w:bottom w:val="none" w:sz="0" w:space="0" w:color="auto"/>
            <w:right w:val="none" w:sz="0" w:space="0" w:color="auto"/>
          </w:divBdr>
        </w:div>
      </w:divsChild>
    </w:div>
    <w:div w:id="777943137">
      <w:bodyDiv w:val="1"/>
      <w:marLeft w:val="0"/>
      <w:marRight w:val="0"/>
      <w:marTop w:val="0"/>
      <w:marBottom w:val="0"/>
      <w:divBdr>
        <w:top w:val="none" w:sz="0" w:space="0" w:color="auto"/>
        <w:left w:val="none" w:sz="0" w:space="0" w:color="auto"/>
        <w:bottom w:val="none" w:sz="0" w:space="0" w:color="auto"/>
        <w:right w:val="none" w:sz="0" w:space="0" w:color="auto"/>
      </w:divBdr>
    </w:div>
    <w:div w:id="851991526">
      <w:bodyDiv w:val="1"/>
      <w:marLeft w:val="0"/>
      <w:marRight w:val="0"/>
      <w:marTop w:val="0"/>
      <w:marBottom w:val="0"/>
      <w:divBdr>
        <w:top w:val="none" w:sz="0" w:space="0" w:color="auto"/>
        <w:left w:val="none" w:sz="0" w:space="0" w:color="auto"/>
        <w:bottom w:val="none" w:sz="0" w:space="0" w:color="auto"/>
        <w:right w:val="none" w:sz="0" w:space="0" w:color="auto"/>
      </w:divBdr>
    </w:div>
    <w:div w:id="872883997">
      <w:bodyDiv w:val="1"/>
      <w:marLeft w:val="0"/>
      <w:marRight w:val="0"/>
      <w:marTop w:val="0"/>
      <w:marBottom w:val="0"/>
      <w:divBdr>
        <w:top w:val="none" w:sz="0" w:space="0" w:color="auto"/>
        <w:left w:val="none" w:sz="0" w:space="0" w:color="auto"/>
        <w:bottom w:val="none" w:sz="0" w:space="0" w:color="auto"/>
        <w:right w:val="none" w:sz="0" w:space="0" w:color="auto"/>
      </w:divBdr>
    </w:div>
    <w:div w:id="965501924">
      <w:bodyDiv w:val="1"/>
      <w:marLeft w:val="0"/>
      <w:marRight w:val="0"/>
      <w:marTop w:val="0"/>
      <w:marBottom w:val="0"/>
      <w:divBdr>
        <w:top w:val="none" w:sz="0" w:space="0" w:color="auto"/>
        <w:left w:val="none" w:sz="0" w:space="0" w:color="auto"/>
        <w:bottom w:val="none" w:sz="0" w:space="0" w:color="auto"/>
        <w:right w:val="none" w:sz="0" w:space="0" w:color="auto"/>
      </w:divBdr>
    </w:div>
    <w:div w:id="979846597">
      <w:bodyDiv w:val="1"/>
      <w:marLeft w:val="0"/>
      <w:marRight w:val="0"/>
      <w:marTop w:val="0"/>
      <w:marBottom w:val="0"/>
      <w:divBdr>
        <w:top w:val="none" w:sz="0" w:space="0" w:color="auto"/>
        <w:left w:val="none" w:sz="0" w:space="0" w:color="auto"/>
        <w:bottom w:val="none" w:sz="0" w:space="0" w:color="auto"/>
        <w:right w:val="none" w:sz="0" w:space="0" w:color="auto"/>
      </w:divBdr>
    </w:div>
    <w:div w:id="1004019511">
      <w:bodyDiv w:val="1"/>
      <w:marLeft w:val="0"/>
      <w:marRight w:val="0"/>
      <w:marTop w:val="0"/>
      <w:marBottom w:val="0"/>
      <w:divBdr>
        <w:top w:val="none" w:sz="0" w:space="0" w:color="auto"/>
        <w:left w:val="none" w:sz="0" w:space="0" w:color="auto"/>
        <w:bottom w:val="none" w:sz="0" w:space="0" w:color="auto"/>
        <w:right w:val="none" w:sz="0" w:space="0" w:color="auto"/>
      </w:divBdr>
    </w:div>
    <w:div w:id="1197890299">
      <w:bodyDiv w:val="1"/>
      <w:marLeft w:val="0"/>
      <w:marRight w:val="0"/>
      <w:marTop w:val="0"/>
      <w:marBottom w:val="0"/>
      <w:divBdr>
        <w:top w:val="none" w:sz="0" w:space="0" w:color="auto"/>
        <w:left w:val="none" w:sz="0" w:space="0" w:color="auto"/>
        <w:bottom w:val="none" w:sz="0" w:space="0" w:color="auto"/>
        <w:right w:val="none" w:sz="0" w:space="0" w:color="auto"/>
      </w:divBdr>
    </w:div>
    <w:div w:id="1389035650">
      <w:bodyDiv w:val="1"/>
      <w:marLeft w:val="0"/>
      <w:marRight w:val="0"/>
      <w:marTop w:val="0"/>
      <w:marBottom w:val="0"/>
      <w:divBdr>
        <w:top w:val="none" w:sz="0" w:space="0" w:color="auto"/>
        <w:left w:val="none" w:sz="0" w:space="0" w:color="auto"/>
        <w:bottom w:val="none" w:sz="0" w:space="0" w:color="auto"/>
        <w:right w:val="none" w:sz="0" w:space="0" w:color="auto"/>
      </w:divBdr>
      <w:divsChild>
        <w:div w:id="429814645">
          <w:marLeft w:val="0"/>
          <w:marRight w:val="0"/>
          <w:marTop w:val="0"/>
          <w:marBottom w:val="0"/>
          <w:divBdr>
            <w:top w:val="none" w:sz="0" w:space="0" w:color="auto"/>
            <w:left w:val="none" w:sz="0" w:space="0" w:color="auto"/>
            <w:bottom w:val="none" w:sz="0" w:space="0" w:color="auto"/>
            <w:right w:val="none" w:sz="0" w:space="0" w:color="auto"/>
          </w:divBdr>
        </w:div>
        <w:div w:id="152646038">
          <w:marLeft w:val="0"/>
          <w:marRight w:val="0"/>
          <w:marTop w:val="0"/>
          <w:marBottom w:val="0"/>
          <w:divBdr>
            <w:top w:val="none" w:sz="0" w:space="0" w:color="auto"/>
            <w:left w:val="none" w:sz="0" w:space="0" w:color="auto"/>
            <w:bottom w:val="none" w:sz="0" w:space="0" w:color="auto"/>
            <w:right w:val="none" w:sz="0" w:space="0" w:color="auto"/>
          </w:divBdr>
        </w:div>
        <w:div w:id="1879005851">
          <w:marLeft w:val="0"/>
          <w:marRight w:val="0"/>
          <w:marTop w:val="0"/>
          <w:marBottom w:val="0"/>
          <w:divBdr>
            <w:top w:val="none" w:sz="0" w:space="0" w:color="auto"/>
            <w:left w:val="none" w:sz="0" w:space="0" w:color="auto"/>
            <w:bottom w:val="none" w:sz="0" w:space="0" w:color="auto"/>
            <w:right w:val="none" w:sz="0" w:space="0" w:color="auto"/>
          </w:divBdr>
        </w:div>
        <w:div w:id="435057171">
          <w:marLeft w:val="0"/>
          <w:marRight w:val="0"/>
          <w:marTop w:val="0"/>
          <w:marBottom w:val="0"/>
          <w:divBdr>
            <w:top w:val="none" w:sz="0" w:space="0" w:color="auto"/>
            <w:left w:val="none" w:sz="0" w:space="0" w:color="auto"/>
            <w:bottom w:val="none" w:sz="0" w:space="0" w:color="auto"/>
            <w:right w:val="none" w:sz="0" w:space="0" w:color="auto"/>
          </w:divBdr>
        </w:div>
        <w:div w:id="1847135203">
          <w:marLeft w:val="0"/>
          <w:marRight w:val="0"/>
          <w:marTop w:val="0"/>
          <w:marBottom w:val="0"/>
          <w:divBdr>
            <w:top w:val="none" w:sz="0" w:space="0" w:color="auto"/>
            <w:left w:val="none" w:sz="0" w:space="0" w:color="auto"/>
            <w:bottom w:val="none" w:sz="0" w:space="0" w:color="auto"/>
            <w:right w:val="none" w:sz="0" w:space="0" w:color="auto"/>
          </w:divBdr>
        </w:div>
        <w:div w:id="1722174905">
          <w:marLeft w:val="0"/>
          <w:marRight w:val="0"/>
          <w:marTop w:val="0"/>
          <w:marBottom w:val="0"/>
          <w:divBdr>
            <w:top w:val="none" w:sz="0" w:space="0" w:color="auto"/>
            <w:left w:val="none" w:sz="0" w:space="0" w:color="auto"/>
            <w:bottom w:val="none" w:sz="0" w:space="0" w:color="auto"/>
            <w:right w:val="none" w:sz="0" w:space="0" w:color="auto"/>
          </w:divBdr>
          <w:divsChild>
            <w:div w:id="1091202168">
              <w:marLeft w:val="0"/>
              <w:marRight w:val="0"/>
              <w:marTop w:val="0"/>
              <w:marBottom w:val="0"/>
              <w:divBdr>
                <w:top w:val="none" w:sz="0" w:space="0" w:color="auto"/>
                <w:left w:val="none" w:sz="0" w:space="0" w:color="auto"/>
                <w:bottom w:val="none" w:sz="0" w:space="0" w:color="auto"/>
                <w:right w:val="none" w:sz="0" w:space="0" w:color="auto"/>
              </w:divBdr>
            </w:div>
            <w:div w:id="1719744073">
              <w:marLeft w:val="0"/>
              <w:marRight w:val="0"/>
              <w:marTop w:val="0"/>
              <w:marBottom w:val="0"/>
              <w:divBdr>
                <w:top w:val="none" w:sz="0" w:space="0" w:color="auto"/>
                <w:left w:val="none" w:sz="0" w:space="0" w:color="auto"/>
                <w:bottom w:val="none" w:sz="0" w:space="0" w:color="auto"/>
                <w:right w:val="none" w:sz="0" w:space="0" w:color="auto"/>
              </w:divBdr>
            </w:div>
            <w:div w:id="9334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79850">
      <w:bodyDiv w:val="1"/>
      <w:marLeft w:val="0"/>
      <w:marRight w:val="0"/>
      <w:marTop w:val="0"/>
      <w:marBottom w:val="0"/>
      <w:divBdr>
        <w:top w:val="none" w:sz="0" w:space="0" w:color="auto"/>
        <w:left w:val="none" w:sz="0" w:space="0" w:color="auto"/>
        <w:bottom w:val="none" w:sz="0" w:space="0" w:color="auto"/>
        <w:right w:val="none" w:sz="0" w:space="0" w:color="auto"/>
      </w:divBdr>
    </w:div>
    <w:div w:id="1405106472">
      <w:bodyDiv w:val="1"/>
      <w:marLeft w:val="0"/>
      <w:marRight w:val="0"/>
      <w:marTop w:val="0"/>
      <w:marBottom w:val="0"/>
      <w:divBdr>
        <w:top w:val="none" w:sz="0" w:space="0" w:color="auto"/>
        <w:left w:val="none" w:sz="0" w:space="0" w:color="auto"/>
        <w:bottom w:val="none" w:sz="0" w:space="0" w:color="auto"/>
        <w:right w:val="none" w:sz="0" w:space="0" w:color="auto"/>
      </w:divBdr>
    </w:div>
    <w:div w:id="1430933646">
      <w:bodyDiv w:val="1"/>
      <w:marLeft w:val="0"/>
      <w:marRight w:val="0"/>
      <w:marTop w:val="0"/>
      <w:marBottom w:val="0"/>
      <w:divBdr>
        <w:top w:val="none" w:sz="0" w:space="0" w:color="auto"/>
        <w:left w:val="none" w:sz="0" w:space="0" w:color="auto"/>
        <w:bottom w:val="none" w:sz="0" w:space="0" w:color="auto"/>
        <w:right w:val="none" w:sz="0" w:space="0" w:color="auto"/>
      </w:divBdr>
    </w:div>
    <w:div w:id="1529485091">
      <w:bodyDiv w:val="1"/>
      <w:marLeft w:val="0"/>
      <w:marRight w:val="0"/>
      <w:marTop w:val="0"/>
      <w:marBottom w:val="0"/>
      <w:divBdr>
        <w:top w:val="none" w:sz="0" w:space="0" w:color="auto"/>
        <w:left w:val="none" w:sz="0" w:space="0" w:color="auto"/>
        <w:bottom w:val="none" w:sz="0" w:space="0" w:color="auto"/>
        <w:right w:val="none" w:sz="0" w:space="0" w:color="auto"/>
      </w:divBdr>
    </w:div>
    <w:div w:id="1542159614">
      <w:bodyDiv w:val="1"/>
      <w:marLeft w:val="0"/>
      <w:marRight w:val="0"/>
      <w:marTop w:val="0"/>
      <w:marBottom w:val="0"/>
      <w:divBdr>
        <w:top w:val="none" w:sz="0" w:space="0" w:color="auto"/>
        <w:left w:val="none" w:sz="0" w:space="0" w:color="auto"/>
        <w:bottom w:val="none" w:sz="0" w:space="0" w:color="auto"/>
        <w:right w:val="none" w:sz="0" w:space="0" w:color="auto"/>
      </w:divBdr>
    </w:div>
    <w:div w:id="1578175922">
      <w:bodyDiv w:val="1"/>
      <w:marLeft w:val="0"/>
      <w:marRight w:val="0"/>
      <w:marTop w:val="0"/>
      <w:marBottom w:val="0"/>
      <w:divBdr>
        <w:top w:val="none" w:sz="0" w:space="0" w:color="auto"/>
        <w:left w:val="none" w:sz="0" w:space="0" w:color="auto"/>
        <w:bottom w:val="none" w:sz="0" w:space="0" w:color="auto"/>
        <w:right w:val="none" w:sz="0" w:space="0" w:color="auto"/>
      </w:divBdr>
    </w:div>
    <w:div w:id="1620456477">
      <w:bodyDiv w:val="1"/>
      <w:marLeft w:val="0"/>
      <w:marRight w:val="0"/>
      <w:marTop w:val="0"/>
      <w:marBottom w:val="0"/>
      <w:divBdr>
        <w:top w:val="none" w:sz="0" w:space="0" w:color="auto"/>
        <w:left w:val="none" w:sz="0" w:space="0" w:color="auto"/>
        <w:bottom w:val="none" w:sz="0" w:space="0" w:color="auto"/>
        <w:right w:val="none" w:sz="0" w:space="0" w:color="auto"/>
      </w:divBdr>
    </w:div>
    <w:div w:id="1673070411">
      <w:bodyDiv w:val="1"/>
      <w:marLeft w:val="0"/>
      <w:marRight w:val="0"/>
      <w:marTop w:val="0"/>
      <w:marBottom w:val="0"/>
      <w:divBdr>
        <w:top w:val="none" w:sz="0" w:space="0" w:color="auto"/>
        <w:left w:val="none" w:sz="0" w:space="0" w:color="auto"/>
        <w:bottom w:val="none" w:sz="0" w:space="0" w:color="auto"/>
        <w:right w:val="none" w:sz="0" w:space="0" w:color="auto"/>
      </w:divBdr>
    </w:div>
    <w:div w:id="1694646905">
      <w:bodyDiv w:val="1"/>
      <w:marLeft w:val="0"/>
      <w:marRight w:val="0"/>
      <w:marTop w:val="0"/>
      <w:marBottom w:val="0"/>
      <w:divBdr>
        <w:top w:val="none" w:sz="0" w:space="0" w:color="auto"/>
        <w:left w:val="none" w:sz="0" w:space="0" w:color="auto"/>
        <w:bottom w:val="none" w:sz="0" w:space="0" w:color="auto"/>
        <w:right w:val="none" w:sz="0" w:space="0" w:color="auto"/>
      </w:divBdr>
    </w:div>
    <w:div w:id="1729261234">
      <w:bodyDiv w:val="1"/>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268002504">
          <w:marLeft w:val="0"/>
          <w:marRight w:val="0"/>
          <w:marTop w:val="0"/>
          <w:marBottom w:val="0"/>
          <w:divBdr>
            <w:top w:val="none" w:sz="0" w:space="0" w:color="auto"/>
            <w:left w:val="none" w:sz="0" w:space="0" w:color="auto"/>
            <w:bottom w:val="none" w:sz="0" w:space="0" w:color="auto"/>
            <w:right w:val="none" w:sz="0" w:space="0" w:color="auto"/>
          </w:divBdr>
        </w:div>
        <w:div w:id="1155219058">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
        <w:div w:id="1635912952">
          <w:marLeft w:val="0"/>
          <w:marRight w:val="0"/>
          <w:marTop w:val="0"/>
          <w:marBottom w:val="0"/>
          <w:divBdr>
            <w:top w:val="none" w:sz="0" w:space="0" w:color="auto"/>
            <w:left w:val="none" w:sz="0" w:space="0" w:color="auto"/>
            <w:bottom w:val="none" w:sz="0" w:space="0" w:color="auto"/>
            <w:right w:val="none" w:sz="0" w:space="0" w:color="auto"/>
          </w:divBdr>
        </w:div>
        <w:div w:id="660930829">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
            <w:div w:id="1160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7474">
      <w:bodyDiv w:val="1"/>
      <w:marLeft w:val="0"/>
      <w:marRight w:val="0"/>
      <w:marTop w:val="0"/>
      <w:marBottom w:val="0"/>
      <w:divBdr>
        <w:top w:val="none" w:sz="0" w:space="0" w:color="auto"/>
        <w:left w:val="none" w:sz="0" w:space="0" w:color="auto"/>
        <w:bottom w:val="none" w:sz="0" w:space="0" w:color="auto"/>
        <w:right w:val="none" w:sz="0" w:space="0" w:color="auto"/>
      </w:divBdr>
    </w:div>
    <w:div w:id="1991860386">
      <w:bodyDiv w:val="1"/>
      <w:marLeft w:val="0"/>
      <w:marRight w:val="0"/>
      <w:marTop w:val="0"/>
      <w:marBottom w:val="0"/>
      <w:divBdr>
        <w:top w:val="none" w:sz="0" w:space="0" w:color="auto"/>
        <w:left w:val="none" w:sz="0" w:space="0" w:color="auto"/>
        <w:bottom w:val="none" w:sz="0" w:space="0" w:color="auto"/>
        <w:right w:val="none" w:sz="0" w:space="0" w:color="auto"/>
      </w:divBdr>
      <w:divsChild>
        <w:div w:id="1820153003">
          <w:marLeft w:val="446"/>
          <w:marRight w:val="0"/>
          <w:marTop w:val="0"/>
          <w:marBottom w:val="0"/>
          <w:divBdr>
            <w:top w:val="none" w:sz="0" w:space="0" w:color="auto"/>
            <w:left w:val="none" w:sz="0" w:space="0" w:color="auto"/>
            <w:bottom w:val="none" w:sz="0" w:space="0" w:color="auto"/>
            <w:right w:val="none" w:sz="0" w:space="0" w:color="auto"/>
          </w:divBdr>
        </w:div>
        <w:div w:id="1764885410">
          <w:marLeft w:val="446"/>
          <w:marRight w:val="0"/>
          <w:marTop w:val="0"/>
          <w:marBottom w:val="0"/>
          <w:divBdr>
            <w:top w:val="none" w:sz="0" w:space="0" w:color="auto"/>
            <w:left w:val="none" w:sz="0" w:space="0" w:color="auto"/>
            <w:bottom w:val="none" w:sz="0" w:space="0" w:color="auto"/>
            <w:right w:val="none" w:sz="0" w:space="0" w:color="auto"/>
          </w:divBdr>
        </w:div>
        <w:div w:id="528178532">
          <w:marLeft w:val="446"/>
          <w:marRight w:val="0"/>
          <w:marTop w:val="0"/>
          <w:marBottom w:val="0"/>
          <w:divBdr>
            <w:top w:val="none" w:sz="0" w:space="0" w:color="auto"/>
            <w:left w:val="none" w:sz="0" w:space="0" w:color="auto"/>
            <w:bottom w:val="none" w:sz="0" w:space="0" w:color="auto"/>
            <w:right w:val="none" w:sz="0" w:space="0" w:color="auto"/>
          </w:divBdr>
        </w:div>
        <w:div w:id="751967967">
          <w:marLeft w:val="446"/>
          <w:marRight w:val="0"/>
          <w:marTop w:val="0"/>
          <w:marBottom w:val="0"/>
          <w:divBdr>
            <w:top w:val="none" w:sz="0" w:space="0" w:color="auto"/>
            <w:left w:val="none" w:sz="0" w:space="0" w:color="auto"/>
            <w:bottom w:val="none" w:sz="0" w:space="0" w:color="auto"/>
            <w:right w:val="none" w:sz="0" w:space="0" w:color="auto"/>
          </w:divBdr>
        </w:div>
        <w:div w:id="1540631431">
          <w:marLeft w:val="446"/>
          <w:marRight w:val="0"/>
          <w:marTop w:val="0"/>
          <w:marBottom w:val="0"/>
          <w:divBdr>
            <w:top w:val="none" w:sz="0" w:space="0" w:color="auto"/>
            <w:left w:val="none" w:sz="0" w:space="0" w:color="auto"/>
            <w:bottom w:val="none" w:sz="0" w:space="0" w:color="auto"/>
            <w:right w:val="none" w:sz="0" w:space="0" w:color="auto"/>
          </w:divBdr>
        </w:div>
      </w:divsChild>
    </w:div>
    <w:div w:id="2023629580">
      <w:bodyDiv w:val="1"/>
      <w:marLeft w:val="0"/>
      <w:marRight w:val="0"/>
      <w:marTop w:val="0"/>
      <w:marBottom w:val="0"/>
      <w:divBdr>
        <w:top w:val="none" w:sz="0" w:space="0" w:color="auto"/>
        <w:left w:val="none" w:sz="0" w:space="0" w:color="auto"/>
        <w:bottom w:val="none" w:sz="0" w:space="0" w:color="auto"/>
        <w:right w:val="none" w:sz="0" w:space="0" w:color="auto"/>
      </w:divBdr>
    </w:div>
    <w:div w:id="2037466218">
      <w:bodyDiv w:val="1"/>
      <w:marLeft w:val="0"/>
      <w:marRight w:val="0"/>
      <w:marTop w:val="0"/>
      <w:marBottom w:val="0"/>
      <w:divBdr>
        <w:top w:val="none" w:sz="0" w:space="0" w:color="auto"/>
        <w:left w:val="none" w:sz="0" w:space="0" w:color="auto"/>
        <w:bottom w:val="none" w:sz="0" w:space="0" w:color="auto"/>
        <w:right w:val="none" w:sz="0" w:space="0" w:color="auto"/>
      </w:divBdr>
      <w:divsChild>
        <w:div w:id="1767457776">
          <w:marLeft w:val="0"/>
          <w:marRight w:val="0"/>
          <w:marTop w:val="0"/>
          <w:marBottom w:val="0"/>
          <w:divBdr>
            <w:top w:val="none" w:sz="0" w:space="0" w:color="auto"/>
            <w:left w:val="none" w:sz="0" w:space="0" w:color="auto"/>
            <w:bottom w:val="none" w:sz="0" w:space="0" w:color="auto"/>
            <w:right w:val="none" w:sz="0" w:space="0" w:color="auto"/>
          </w:divBdr>
        </w:div>
        <w:div w:id="1489633418">
          <w:marLeft w:val="0"/>
          <w:marRight w:val="0"/>
          <w:marTop w:val="0"/>
          <w:marBottom w:val="0"/>
          <w:divBdr>
            <w:top w:val="none" w:sz="0" w:space="0" w:color="auto"/>
            <w:left w:val="none" w:sz="0" w:space="0" w:color="auto"/>
            <w:bottom w:val="none" w:sz="0" w:space="0" w:color="auto"/>
            <w:right w:val="none" w:sz="0" w:space="0" w:color="auto"/>
          </w:divBdr>
        </w:div>
        <w:div w:id="1131095113">
          <w:marLeft w:val="0"/>
          <w:marRight w:val="0"/>
          <w:marTop w:val="0"/>
          <w:marBottom w:val="0"/>
          <w:divBdr>
            <w:top w:val="none" w:sz="0" w:space="0" w:color="auto"/>
            <w:left w:val="none" w:sz="0" w:space="0" w:color="auto"/>
            <w:bottom w:val="none" w:sz="0" w:space="0" w:color="auto"/>
            <w:right w:val="none" w:sz="0" w:space="0" w:color="auto"/>
          </w:divBdr>
        </w:div>
        <w:div w:id="494882845">
          <w:marLeft w:val="0"/>
          <w:marRight w:val="0"/>
          <w:marTop w:val="0"/>
          <w:marBottom w:val="0"/>
          <w:divBdr>
            <w:top w:val="none" w:sz="0" w:space="0" w:color="auto"/>
            <w:left w:val="none" w:sz="0" w:space="0" w:color="auto"/>
            <w:bottom w:val="none" w:sz="0" w:space="0" w:color="auto"/>
            <w:right w:val="none" w:sz="0" w:space="0" w:color="auto"/>
          </w:divBdr>
        </w:div>
        <w:div w:id="2046716610">
          <w:marLeft w:val="0"/>
          <w:marRight w:val="0"/>
          <w:marTop w:val="0"/>
          <w:marBottom w:val="0"/>
          <w:divBdr>
            <w:top w:val="none" w:sz="0" w:space="0" w:color="auto"/>
            <w:left w:val="none" w:sz="0" w:space="0" w:color="auto"/>
            <w:bottom w:val="none" w:sz="0" w:space="0" w:color="auto"/>
            <w:right w:val="none" w:sz="0" w:space="0" w:color="auto"/>
          </w:divBdr>
        </w:div>
        <w:div w:id="1106121676">
          <w:marLeft w:val="0"/>
          <w:marRight w:val="0"/>
          <w:marTop w:val="0"/>
          <w:marBottom w:val="0"/>
          <w:divBdr>
            <w:top w:val="none" w:sz="0" w:space="0" w:color="auto"/>
            <w:left w:val="none" w:sz="0" w:space="0" w:color="auto"/>
            <w:bottom w:val="none" w:sz="0" w:space="0" w:color="auto"/>
            <w:right w:val="none" w:sz="0" w:space="0" w:color="auto"/>
          </w:divBdr>
          <w:divsChild>
            <w:div w:id="1401978642">
              <w:marLeft w:val="0"/>
              <w:marRight w:val="0"/>
              <w:marTop w:val="0"/>
              <w:marBottom w:val="0"/>
              <w:divBdr>
                <w:top w:val="none" w:sz="0" w:space="0" w:color="auto"/>
                <w:left w:val="none" w:sz="0" w:space="0" w:color="auto"/>
                <w:bottom w:val="none" w:sz="0" w:space="0" w:color="auto"/>
                <w:right w:val="none" w:sz="0" w:space="0" w:color="auto"/>
              </w:divBdr>
            </w:div>
            <w:div w:id="1941331179">
              <w:marLeft w:val="0"/>
              <w:marRight w:val="0"/>
              <w:marTop w:val="0"/>
              <w:marBottom w:val="0"/>
              <w:divBdr>
                <w:top w:val="none" w:sz="0" w:space="0" w:color="auto"/>
                <w:left w:val="none" w:sz="0" w:space="0" w:color="auto"/>
                <w:bottom w:val="none" w:sz="0" w:space="0" w:color="auto"/>
                <w:right w:val="none" w:sz="0" w:space="0" w:color="auto"/>
              </w:divBdr>
            </w:div>
            <w:div w:id="12370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aa.gov.au/sites/default/files/publications/isep-discussion-paper.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aa.gov.au/indigenous-affairs/employment/indigenous-skills-and-employment-program-isep" TargetMode="External"/><Relationship Id="rId2" Type="http://schemas.openxmlformats.org/officeDocument/2006/relationships/hyperlink" Target="https://www.niaa.gov.au/contact-us/regional-office-addresses" TargetMode="External"/><Relationship Id="rId1" Type="http://schemas.openxmlformats.org/officeDocument/2006/relationships/hyperlink" Target="https://aiatsis.gov.au/explore/welcome-country" TargetMode="External"/><Relationship Id="rId6" Type="http://schemas.openxmlformats.org/officeDocument/2006/relationships/hyperlink" Target="https://www.aihw.gov.au/reports/australias-health/social-determinants-of-health" TargetMode="External"/><Relationship Id="rId5" Type="http://schemas.openxmlformats.org/officeDocument/2006/relationships/hyperlink" Target="https://www.who.int/social_determinants/thecommission/finalreport/en/" TargetMode="External"/><Relationship Id="rId4" Type="http://schemas.openxmlformats.org/officeDocument/2006/relationships/hyperlink" Target="https://www.who.int/social_determinants/thecommission/finalreport/e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Helvetica">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oD6p5AgISIwIcGt3IkZc/wCug==">AMUW2mVIaC0cSqMbR6zW5moB7OOfP/iZ56Hn7H0JsnfvuOEAscxiguwaVehE6a7z+5R+WnVcPBVjPgFl374QvGq7QgckfZ52dUXRnDmOVYcF/zjsoweeHRc=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BC1049B030FEC49A41B2D1E35DE3A0C" ma:contentTypeVersion="5" ma:contentTypeDescription="ShareHub Document" ma:contentTypeScope="" ma:versionID="af92ec687957d0f0298095ce180c5a22">
  <xsd:schema xmlns:xsd="http://www.w3.org/2001/XMLSchema" xmlns:xs="http://www.w3.org/2001/XMLSchema" xmlns:p="http://schemas.microsoft.com/office/2006/metadata/properties" xmlns:ns1="8de2e7a2-001c-4ba5-9b28-82448465527a" xmlns:ns3="685f9fda-bd71-4433-b331-92feb9553089" targetNamespace="http://schemas.microsoft.com/office/2006/metadata/properties" ma:root="true" ma:fieldsID="fabc211b959bc5bbe0bc08161c0688a7" ns1:_="" ns3:_="">
    <xsd:import namespace="8de2e7a2-001c-4ba5-9b28-82448465527a"/>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p20f4fabf1d2450eb7462c83b0ebbc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e7a2-001c-4ba5-9b28-82448465527a"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83df24f-3983-4d65-9370-074da9c1d9a9}" ma:internalName="TaxCatchAll" ma:showField="CatchAllData" ma:web="8de2e7a2-001c-4ba5-9b28-8244846552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83df24f-3983-4d65-9370-074da9c1d9a9}" ma:internalName="TaxCatchAllLabel" ma:readOnly="true" ma:showField="CatchAllDataLabel" ma:web="8de2e7a2-001c-4ba5-9b28-82448465527a">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0f4fabf1d2450eb7462c83b0ebbcc3" ma:index="18" nillable="true" ma:taxonomy="true" ma:internalName="p20f4fabf1d2450eb7462c83b0ebbcc3" ma:taxonomyFieldName="ESearchTags" ma:displayName="Tags" ma:fieldId="{920f4fab-f1d2-450e-b746-2c83b0ebbcc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d1c641577414dfdab1686c9d5d0dbd0 xmlns="8de2e7a2-001c-4ba5-9b28-82448465527a">
      <Terms xmlns="http://schemas.microsoft.com/office/infopath/2007/PartnerControls"/>
    </jd1c641577414dfdab1686c9d5d0dbd0>
    <ShareHubID xmlns="8de2e7a2-001c-4ba5-9b28-82448465527a">PDOC21-72539</ShareHubID>
    <PMCNotes xmlns="8de2e7a2-001c-4ba5-9b28-82448465527a" xsi:nil="true"/>
    <mc5611b894cf49d8aeeb8ebf39dc09bc xmlns="8de2e7a2-001c-4ba5-9b28-82448465527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8de2e7a2-001c-4ba5-9b28-82448465527a">
      <Value>26</Value>
      <Value>18</Value>
      <Value>9</Value>
      <Value>8</Value>
      <Value>35</Value>
    </TaxCatchAll>
    <p20f4fabf1d2450eb7462c83b0ebbcc3 xmlns="8de2e7a2-001c-4ba5-9b28-82448465527a">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p20f4fabf1d2450eb7462c83b0ebbcc3>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5E4269-45D2-49B0-B2B9-2FD89E27A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2e7a2-001c-4ba5-9b28-82448465527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B73FE-D501-4F31-B875-159FF339B977}">
  <ds:schemaRefs>
    <ds:schemaRef ds:uri="http://schemas.microsoft.com/sharepoint/v3/contenttype/forms"/>
  </ds:schemaRefs>
</ds:datastoreItem>
</file>

<file path=customXml/itemProps4.xml><?xml version="1.0" encoding="utf-8"?>
<ds:datastoreItem xmlns:ds="http://schemas.openxmlformats.org/officeDocument/2006/customXml" ds:itemID="{6051F44C-60BA-41C1-A2F3-50F9A3EFF382}">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685f9fda-bd71-4433-b331-92feb9553089"/>
    <ds:schemaRef ds:uri="8de2e7a2-001c-4ba5-9b28-82448465527a"/>
    <ds:schemaRef ds:uri="http://www.w3.org/XML/1998/namespace"/>
  </ds:schemaRefs>
</ds:datastoreItem>
</file>

<file path=customXml/itemProps5.xml><?xml version="1.0" encoding="utf-8"?>
<ds:datastoreItem xmlns:ds="http://schemas.openxmlformats.org/officeDocument/2006/customXml" ds:itemID="{DDD6A361-C5E3-46B2-9E4D-8638D1DF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25705</Words>
  <Characters>146519</Characters>
  <Application>Microsoft Office Word</Application>
  <DocSecurity>4</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Stokes</dc:creator>
  <cp:lastModifiedBy>Ross, Bonnie</cp:lastModifiedBy>
  <cp:revision>2</cp:revision>
  <dcterms:created xsi:type="dcterms:W3CDTF">2021-12-03T03:11:00Z</dcterms:created>
  <dcterms:modified xsi:type="dcterms:W3CDTF">2021-12-03T03:11:00Z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0x0101002825A64A6E1845A99A9D8EE8A5686ECB007BC1049B030FEC49A41B2D1E35DE3A0C</vt:lpwstr>
  </property>
  <property fmtid="{D5CDD505-2E9C-101B-9397-08002B2CF9AE}" pid="3" name="HPRMSecurityCaveat">
    <vt:lpwstr/>
  </property>
  <property fmtid="{D5CDD505-2E9C-101B-9397-08002B2CF9AE}" pid="4" name="ESearchTags">
    <vt:lpwstr>9;#Training|2f396fb6-baad-479d-8254-1550153bbe31;#18;#Election|4090d51f-fccc-4f41-80dd-86270166a8a3;#35;#COVID-19|c1da604a-829f-435b-844b-fd97e09d1455;#8;#Cabinet|84cba657-17c1-4642-9e59-a0df180c2be5</vt:lpwstr>
  </property>
  <property fmtid="{D5CDD505-2E9C-101B-9397-08002B2CF9AE}" pid="5" name="HPRMSecurityLevel">
    <vt:lpwstr>26;#OFFICIAL|11463c70-78df-4e3b-b0ff-f66cd3cb26ec</vt:lpwstr>
  </property>
  <property fmtid="{D5CDD505-2E9C-101B-9397-08002B2CF9AE}" pid="6" name="PMC.ESearch.TagGeneratedTime">
    <vt:lpwstr>2021-12-03T14:30:13</vt:lpwstr>
  </property>
</Properties>
</file>