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78350B"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4DC5730B" wp14:editId="2ADB4A22">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9B527317A52240E78058F47F1B0B9860"/>
                              </w:placeholder>
                              <w:dataBinding w:xpath="/root[1]/SectionName[1]" w:storeItemID="{F533AE62-A212-4B26-92DA-A3B336E8AE06}"/>
                              <w:text w:multiLine="1"/>
                            </w:sdtPr>
                            <w:sdtEndPr/>
                            <w:sdtContent>
                              <w:p w14:paraId="5D3D28CC" w14:textId="20CEECF5" w:rsidR="0040648D" w:rsidRPr="00493E0A" w:rsidRDefault="00493E0A" w:rsidP="0040648D">
                                <w:pPr>
                                  <w:pStyle w:val="SectionNameRev"/>
                                  <w:rPr>
                                    <w:color w:val="auto"/>
                                  </w:rPr>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C5730B"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9B527317A52240E78058F47F1B0B9860"/>
                        </w:placeholder>
                        <w:dataBinding w:xpath="/root[1]/SectionName[1]" w:storeItemID="{F533AE62-A212-4B26-92DA-A3B336E8AE06}"/>
                        <w:text w:multiLine="1"/>
                      </w:sdtPr>
                      <w:sdtEndPr/>
                      <w:sdtContent>
                        <w:p w14:paraId="5D3D28CC" w14:textId="20CEECF5" w:rsidR="0040648D" w:rsidRPr="00493E0A" w:rsidRDefault="00493E0A" w:rsidP="0040648D">
                          <w:pPr>
                            <w:pStyle w:val="SectionNameRev"/>
                            <w:rPr>
                              <w:color w:val="auto"/>
                            </w:rPr>
                          </w:pPr>
                          <w:r>
                            <w:t>CATSI Act Review</w:t>
                          </w:r>
                        </w:p>
                      </w:sdtContent>
                    </w:sdt>
                  </w:txbxContent>
                </v:textbox>
                <w10:wrap type="topAndBottom" anchorx="page" anchory="page"/>
                <w10:anchorlock/>
              </v:shape>
            </w:pict>
          </mc:Fallback>
        </mc:AlternateContent>
      </w:r>
    </w:p>
    <w:p w14:paraId="4C97A4D0" w14:textId="4877AB24" w:rsidR="00C80495" w:rsidRDefault="00D33707" w:rsidP="00744E28">
      <w:pPr>
        <w:pStyle w:val="Heading1"/>
      </w:pPr>
      <w:r w:rsidRPr="00DD654B">
        <w:t>Objects</w:t>
      </w:r>
      <w:r w:rsidR="00482DFE" w:rsidRPr="00DD654B">
        <w:t xml:space="preserve"> of the CATSI Act</w:t>
      </w:r>
    </w:p>
    <w:p w14:paraId="221874A2" w14:textId="77777777" w:rsidR="00686A53" w:rsidRPr="00D829EC" w:rsidRDefault="00686A53" w:rsidP="00686A53">
      <w:pPr>
        <w:spacing w:after="240"/>
        <w:jc w:val="both"/>
        <w:rPr>
          <w:sz w:val="24"/>
          <w:szCs w:val="24"/>
        </w:rPr>
      </w:pPr>
      <w:r w:rsidRPr="00D829EC">
        <w:rPr>
          <w:sz w:val="24"/>
          <w:szCs w:val="24"/>
        </w:rPr>
        <w:t xml:space="preserve">The </w:t>
      </w:r>
      <w:r w:rsidRPr="00D829EC">
        <w:rPr>
          <w:i/>
          <w:sz w:val="24"/>
          <w:szCs w:val="24"/>
        </w:rPr>
        <w:t>Corporations (Aboriginal and Torres Strait Islander) Act 2006</w:t>
      </w:r>
      <w:r w:rsidRPr="00D829EC">
        <w:rPr>
          <w:sz w:val="24"/>
          <w:szCs w:val="24"/>
        </w:rPr>
        <w:t xml:space="preserve">—the CATSI Act—was set up to provide a </w:t>
      </w:r>
      <w:r>
        <w:rPr>
          <w:sz w:val="24"/>
          <w:szCs w:val="24"/>
        </w:rPr>
        <w:t>framework for</w:t>
      </w:r>
      <w:r w:rsidRPr="00D829EC">
        <w:rPr>
          <w:sz w:val="24"/>
          <w:szCs w:val="24"/>
        </w:rPr>
        <w:t xml:space="preserve"> incorporation that was flexible enough to take account of the tradition and circumstance of Aboriginal and Torres Strait Islander people. </w:t>
      </w:r>
    </w:p>
    <w:p w14:paraId="1F3F3808" w14:textId="77777777" w:rsidR="00686A53" w:rsidRPr="00D829EC" w:rsidRDefault="00686A53" w:rsidP="00686A53">
      <w:pPr>
        <w:spacing w:after="240"/>
        <w:jc w:val="both"/>
        <w:rPr>
          <w:sz w:val="24"/>
          <w:szCs w:val="24"/>
        </w:rPr>
      </w:pPr>
      <w:r w:rsidRPr="00D829EC">
        <w:rPr>
          <w:sz w:val="24"/>
          <w:szCs w:val="24"/>
        </w:rPr>
        <w:t xml:space="preserve">The CATSI Act came into effect in 2007 as a ‘special measure’ under the </w:t>
      </w:r>
      <w:r w:rsidRPr="00D829EC">
        <w:rPr>
          <w:i/>
          <w:sz w:val="24"/>
          <w:szCs w:val="24"/>
        </w:rPr>
        <w:t>Racial Discri</w:t>
      </w:r>
      <w:r>
        <w:rPr>
          <w:i/>
          <w:sz w:val="24"/>
          <w:szCs w:val="24"/>
        </w:rPr>
        <w:t>m</w:t>
      </w:r>
      <w:r w:rsidRPr="00D829EC">
        <w:rPr>
          <w:i/>
          <w:sz w:val="24"/>
          <w:szCs w:val="24"/>
        </w:rPr>
        <w:t>ination Act 1975</w:t>
      </w:r>
      <w:r w:rsidRPr="00D829EC">
        <w:rPr>
          <w:sz w:val="24"/>
          <w:szCs w:val="24"/>
        </w:rPr>
        <w:t xml:space="preserve"> to help Aboriginal and Torres Strait Islander people have access to the same opportunities to form and manage corporations as everyone else.</w:t>
      </w:r>
    </w:p>
    <w:p w14:paraId="575541D4" w14:textId="77777777" w:rsidR="00686A53" w:rsidRPr="00D829EC" w:rsidRDefault="00686A53" w:rsidP="00686A53">
      <w:pPr>
        <w:spacing w:after="240"/>
        <w:jc w:val="both"/>
        <w:rPr>
          <w:sz w:val="24"/>
          <w:szCs w:val="24"/>
        </w:rPr>
      </w:pPr>
      <w:r w:rsidRPr="00D829EC">
        <w:rPr>
          <w:sz w:val="24"/>
          <w:szCs w:val="24"/>
        </w:rPr>
        <w:t>It sets out the requirements for the incorporation and regulation of Aboriginal and Torres Strait Islander corporations. It also outlines a range of support for corporations to be provided by the Registrar of Aboriginal and Torres Strait Islander Corporations</w:t>
      </w:r>
      <w:r>
        <w:rPr>
          <w:sz w:val="24"/>
          <w:szCs w:val="24"/>
        </w:rPr>
        <w:t xml:space="preserve"> (the Registrar)</w:t>
      </w:r>
      <w:r w:rsidRPr="00D829EC">
        <w:rPr>
          <w:sz w:val="24"/>
          <w:szCs w:val="24"/>
        </w:rPr>
        <w:t xml:space="preserve">. </w:t>
      </w:r>
    </w:p>
    <w:p w14:paraId="7917BD5C" w14:textId="28978F39" w:rsidR="00686A53" w:rsidRPr="00686A53" w:rsidRDefault="00686A53" w:rsidP="00686A53">
      <w:pPr>
        <w:spacing w:after="240"/>
        <w:jc w:val="both"/>
        <w:rPr>
          <w:rFonts w:ascii="Calibri" w:eastAsia="Calibri" w:hAnsi="Calibri" w:cs="Times New Roman"/>
          <w:color w:val="262626"/>
          <w:sz w:val="24"/>
          <w:szCs w:val="24"/>
          <w:lang w:val="en-US"/>
        </w:rPr>
      </w:pPr>
      <w:r w:rsidRPr="00D829EC">
        <w:rPr>
          <w:sz w:val="24"/>
          <w:szCs w:val="24"/>
        </w:rPr>
        <w:t>The CATSI Act is designed with the understanding that many CATSI corporations are in remote and very remote locations, and play a critical role in providing essential services to communities.</w:t>
      </w:r>
      <w:r>
        <w:rPr>
          <w:sz w:val="24"/>
          <w:szCs w:val="24"/>
        </w:rPr>
        <w:t xml:space="preserve"> It is also designed to address the special incorporation needs of Aboriginal and Torres Strait Islander people as identified in a review of the </w:t>
      </w:r>
      <w:r w:rsidRPr="00CD47EC">
        <w:rPr>
          <w:rFonts w:ascii="Calibri" w:eastAsia="Calibri" w:hAnsi="Calibri" w:cs="Times New Roman"/>
          <w:i/>
          <w:color w:val="262626"/>
          <w:sz w:val="24"/>
          <w:szCs w:val="24"/>
          <w:lang w:val="en-US"/>
        </w:rPr>
        <w:t>Aboriginal Councils and Associations Act 1976</w:t>
      </w:r>
      <w:r w:rsidRPr="00253EC7">
        <w:rPr>
          <w:rFonts w:ascii="Calibri" w:eastAsia="Calibri" w:hAnsi="Calibri" w:cs="Times New Roman"/>
          <w:color w:val="262626"/>
          <w:lang w:val="en-US"/>
        </w:rPr>
        <w:t xml:space="preserve"> </w:t>
      </w:r>
      <w:r w:rsidRPr="00CD47EC">
        <w:rPr>
          <w:rFonts w:ascii="Calibri" w:eastAsia="Calibri" w:hAnsi="Calibri" w:cs="Times New Roman"/>
          <w:color w:val="262626"/>
          <w:sz w:val="24"/>
          <w:szCs w:val="24"/>
          <w:lang w:val="en-US"/>
        </w:rPr>
        <w:t>(AC</w:t>
      </w:r>
      <w:r>
        <w:rPr>
          <w:rFonts w:ascii="Calibri" w:eastAsia="Calibri" w:hAnsi="Calibri" w:cs="Times New Roman"/>
          <w:color w:val="262626"/>
          <w:sz w:val="24"/>
          <w:szCs w:val="24"/>
          <w:lang w:val="en-US"/>
        </w:rPr>
        <w:t>A</w:t>
      </w:r>
      <w:r w:rsidRPr="00CD47EC">
        <w:rPr>
          <w:rFonts w:ascii="Calibri" w:eastAsia="Calibri" w:hAnsi="Calibri" w:cs="Times New Roman"/>
          <w:color w:val="262626"/>
          <w:sz w:val="24"/>
          <w:szCs w:val="24"/>
          <w:lang w:val="en-US"/>
        </w:rPr>
        <w:t xml:space="preserve"> Act)</w:t>
      </w:r>
      <w:r>
        <w:rPr>
          <w:rFonts w:ascii="Calibri" w:eastAsia="Calibri" w:hAnsi="Calibri" w:cs="Times New Roman"/>
          <w:color w:val="262626"/>
          <w:sz w:val="24"/>
          <w:szCs w:val="24"/>
          <w:lang w:val="en-US"/>
        </w:rPr>
        <w:t xml:space="preserve"> which was the predecessor to the CATSI Act.</w:t>
      </w:r>
    </w:p>
    <w:p w14:paraId="709A93C7" w14:textId="77777777" w:rsidR="003E4DF5" w:rsidRDefault="003E4DF5" w:rsidP="00744E28">
      <w:pPr>
        <w:pStyle w:val="Heading1"/>
        <w:rPr>
          <w:sz w:val="44"/>
          <w:szCs w:val="44"/>
        </w:rPr>
      </w:pPr>
      <w:r>
        <w:rPr>
          <w:sz w:val="44"/>
          <w:szCs w:val="44"/>
        </w:rPr>
        <w:t>Special incorporation needs</w:t>
      </w:r>
    </w:p>
    <w:p w14:paraId="75243FC9" w14:textId="77777777" w:rsidR="001F7D6E" w:rsidRDefault="00CD47EC" w:rsidP="00C80495">
      <w:pPr>
        <w:spacing w:after="240"/>
        <w:jc w:val="both"/>
        <w:rPr>
          <w:sz w:val="24"/>
          <w:szCs w:val="24"/>
        </w:rPr>
      </w:pPr>
      <w:r>
        <w:rPr>
          <w:sz w:val="24"/>
          <w:szCs w:val="24"/>
        </w:rPr>
        <w:t xml:space="preserve">The </w:t>
      </w:r>
      <w:r w:rsidR="004F7121">
        <w:rPr>
          <w:sz w:val="24"/>
          <w:szCs w:val="24"/>
        </w:rPr>
        <w:t xml:space="preserve">2002 review of the </w:t>
      </w:r>
      <w:r w:rsidR="001F7D6E">
        <w:rPr>
          <w:sz w:val="24"/>
          <w:szCs w:val="24"/>
        </w:rPr>
        <w:t>ACA</w:t>
      </w:r>
      <w:r w:rsidR="004F7121">
        <w:rPr>
          <w:sz w:val="24"/>
          <w:szCs w:val="24"/>
        </w:rPr>
        <w:t> </w:t>
      </w:r>
      <w:r w:rsidR="001F7D6E">
        <w:rPr>
          <w:sz w:val="24"/>
          <w:szCs w:val="24"/>
        </w:rPr>
        <w:t>Act identified a number of special incorporation requirements of Aboriginal and Torres Strait Islander people</w:t>
      </w:r>
      <w:r w:rsidR="004F7121">
        <w:rPr>
          <w:sz w:val="24"/>
          <w:szCs w:val="24"/>
        </w:rPr>
        <w:t xml:space="preserve">, which </w:t>
      </w:r>
      <w:r w:rsidR="001F7D6E">
        <w:rPr>
          <w:sz w:val="24"/>
          <w:szCs w:val="24"/>
        </w:rPr>
        <w:t>were:</w:t>
      </w:r>
    </w:p>
    <w:p w14:paraId="0AB00406" w14:textId="77777777" w:rsidR="001F7D6E" w:rsidRDefault="001F7D6E" w:rsidP="00C80495">
      <w:pPr>
        <w:pStyle w:val="ListParagraph"/>
        <w:numPr>
          <w:ilvl w:val="0"/>
          <w:numId w:val="32"/>
        </w:numPr>
        <w:spacing w:before="120" w:after="240" w:line="240" w:lineRule="auto"/>
        <w:rPr>
          <w:sz w:val="24"/>
          <w:szCs w:val="24"/>
        </w:rPr>
      </w:pPr>
      <w:r>
        <w:rPr>
          <w:b/>
          <w:sz w:val="24"/>
          <w:szCs w:val="24"/>
        </w:rPr>
        <w:t xml:space="preserve">Social disadvantage: </w:t>
      </w:r>
      <w:r>
        <w:rPr>
          <w:sz w:val="24"/>
          <w:szCs w:val="24"/>
        </w:rPr>
        <w:t xml:space="preserve">barriers that could prevent some Aboriginal and Torres Strait Islander people from establishing and managing </w:t>
      </w:r>
      <w:r w:rsidR="00D33707">
        <w:rPr>
          <w:sz w:val="24"/>
          <w:szCs w:val="24"/>
        </w:rPr>
        <w:t>corporations</w:t>
      </w:r>
      <w:r w:rsidR="0032215C">
        <w:rPr>
          <w:sz w:val="24"/>
          <w:szCs w:val="24"/>
        </w:rPr>
        <w:t>.</w:t>
      </w:r>
    </w:p>
    <w:p w14:paraId="1D97135A" w14:textId="0E396F02" w:rsidR="001F7D6E" w:rsidRDefault="001F7D6E" w:rsidP="00C80495">
      <w:pPr>
        <w:pStyle w:val="ListParagraph"/>
        <w:numPr>
          <w:ilvl w:val="0"/>
          <w:numId w:val="32"/>
        </w:numPr>
        <w:spacing w:before="120" w:after="240" w:line="240" w:lineRule="auto"/>
        <w:rPr>
          <w:sz w:val="24"/>
          <w:szCs w:val="24"/>
        </w:rPr>
      </w:pPr>
      <w:r w:rsidRPr="001F7D6E">
        <w:rPr>
          <w:b/>
          <w:sz w:val="24"/>
          <w:szCs w:val="24"/>
        </w:rPr>
        <w:t xml:space="preserve">Cultural </w:t>
      </w:r>
      <w:r w:rsidR="00D33707" w:rsidRPr="001F7D6E">
        <w:rPr>
          <w:b/>
          <w:sz w:val="24"/>
          <w:szCs w:val="24"/>
        </w:rPr>
        <w:t>value</w:t>
      </w:r>
      <w:r w:rsidR="0032215C">
        <w:rPr>
          <w:b/>
          <w:sz w:val="24"/>
          <w:szCs w:val="24"/>
        </w:rPr>
        <w:t>s</w:t>
      </w:r>
      <w:r w:rsidRPr="001F7D6E">
        <w:rPr>
          <w:b/>
          <w:sz w:val="24"/>
          <w:szCs w:val="24"/>
        </w:rPr>
        <w:t xml:space="preserve"> and practices</w:t>
      </w:r>
      <w:r>
        <w:rPr>
          <w:sz w:val="24"/>
          <w:szCs w:val="24"/>
        </w:rPr>
        <w:t xml:space="preserve">: </w:t>
      </w:r>
      <w:r w:rsidR="00CA3B51">
        <w:rPr>
          <w:sz w:val="24"/>
          <w:szCs w:val="24"/>
        </w:rPr>
        <w:t xml:space="preserve">The impact of </w:t>
      </w:r>
      <w:r w:rsidRPr="001F7D6E">
        <w:rPr>
          <w:sz w:val="24"/>
          <w:szCs w:val="24"/>
        </w:rPr>
        <w:t>Aboriginal and Torres Strait Islander tradition and circumstances</w:t>
      </w:r>
      <w:r>
        <w:rPr>
          <w:sz w:val="24"/>
          <w:szCs w:val="24"/>
        </w:rPr>
        <w:t xml:space="preserve"> on the g</w:t>
      </w:r>
      <w:r w:rsidR="0032215C">
        <w:rPr>
          <w:sz w:val="24"/>
          <w:szCs w:val="24"/>
        </w:rPr>
        <w:t>overnance of corporations.</w:t>
      </w:r>
    </w:p>
    <w:p w14:paraId="47CE2DE0" w14:textId="77777777" w:rsidR="001F7D6E" w:rsidRDefault="001F7D6E" w:rsidP="00C80495">
      <w:pPr>
        <w:pStyle w:val="ListParagraph"/>
        <w:numPr>
          <w:ilvl w:val="0"/>
          <w:numId w:val="32"/>
        </w:numPr>
        <w:spacing w:before="120" w:after="240" w:line="240" w:lineRule="auto"/>
        <w:rPr>
          <w:sz w:val="24"/>
          <w:szCs w:val="24"/>
        </w:rPr>
      </w:pPr>
      <w:r w:rsidRPr="001F7D6E">
        <w:rPr>
          <w:b/>
          <w:sz w:val="24"/>
          <w:szCs w:val="24"/>
        </w:rPr>
        <w:t>Nature of corporations</w:t>
      </w:r>
      <w:r>
        <w:rPr>
          <w:sz w:val="24"/>
          <w:szCs w:val="24"/>
        </w:rPr>
        <w:t xml:space="preserve">: some corporations must incorporate under the CATSI Act either because of </w:t>
      </w:r>
      <w:proofErr w:type="gramStart"/>
      <w:r>
        <w:rPr>
          <w:sz w:val="24"/>
          <w:szCs w:val="24"/>
        </w:rPr>
        <w:t>government</w:t>
      </w:r>
      <w:proofErr w:type="gramEnd"/>
      <w:r>
        <w:rPr>
          <w:sz w:val="24"/>
          <w:szCs w:val="24"/>
        </w:rPr>
        <w:t xml:space="preserve"> policy or because it is required by law.</w:t>
      </w:r>
    </w:p>
    <w:p w14:paraId="4BC2BD78" w14:textId="77777777" w:rsidR="001F7D6E" w:rsidRPr="001F7D6E" w:rsidRDefault="001F7D6E" w:rsidP="00C80495">
      <w:pPr>
        <w:pStyle w:val="ListParagraph"/>
        <w:numPr>
          <w:ilvl w:val="0"/>
          <w:numId w:val="32"/>
        </w:numPr>
        <w:spacing w:before="120" w:after="240" w:line="240" w:lineRule="auto"/>
        <w:rPr>
          <w:b/>
          <w:sz w:val="24"/>
          <w:szCs w:val="24"/>
        </w:rPr>
      </w:pPr>
      <w:r w:rsidRPr="001F7D6E">
        <w:rPr>
          <w:b/>
          <w:sz w:val="24"/>
          <w:szCs w:val="24"/>
        </w:rPr>
        <w:t>Corporations’ functions</w:t>
      </w:r>
      <w:r>
        <w:rPr>
          <w:b/>
          <w:sz w:val="24"/>
          <w:szCs w:val="24"/>
        </w:rPr>
        <w:t xml:space="preserve">: </w:t>
      </w:r>
      <w:r w:rsidRPr="001F7D6E">
        <w:rPr>
          <w:sz w:val="24"/>
          <w:szCs w:val="24"/>
        </w:rPr>
        <w:t>Indigenous corporations may be expected to facilitat</w:t>
      </w:r>
      <w:r w:rsidR="00672C0E">
        <w:rPr>
          <w:sz w:val="24"/>
          <w:szCs w:val="24"/>
        </w:rPr>
        <w:t>e</w:t>
      </w:r>
      <w:r w:rsidRPr="001F7D6E">
        <w:rPr>
          <w:sz w:val="24"/>
          <w:szCs w:val="24"/>
        </w:rPr>
        <w:t xml:space="preserve"> social, economic and political objectives.</w:t>
      </w:r>
    </w:p>
    <w:p w14:paraId="08EB8F4C" w14:textId="77777777" w:rsidR="001F7D6E" w:rsidRPr="00672C0E" w:rsidRDefault="00672C0E" w:rsidP="00C80495">
      <w:pPr>
        <w:tabs>
          <w:tab w:val="left" w:pos="851"/>
        </w:tabs>
        <w:ind w:right="357"/>
        <w:jc w:val="both"/>
        <w:rPr>
          <w:sz w:val="24"/>
          <w:szCs w:val="24"/>
        </w:rPr>
      </w:pPr>
      <w:r w:rsidRPr="004F7121">
        <w:rPr>
          <w:sz w:val="24"/>
          <w:szCs w:val="24"/>
        </w:rPr>
        <w:t xml:space="preserve">The CATSI Act was designed as a special measure under the </w:t>
      </w:r>
      <w:r w:rsidRPr="004F7121">
        <w:rPr>
          <w:i/>
          <w:sz w:val="24"/>
          <w:szCs w:val="24"/>
        </w:rPr>
        <w:t xml:space="preserve">Racial Discrimination Act 1975 </w:t>
      </w:r>
      <w:r w:rsidRPr="004F7121">
        <w:rPr>
          <w:sz w:val="24"/>
          <w:szCs w:val="24"/>
        </w:rPr>
        <w:t xml:space="preserve">to accommodate these special incorporation requirements. </w:t>
      </w:r>
      <w:r w:rsidR="004F7121" w:rsidRPr="004F7121">
        <w:rPr>
          <w:sz w:val="24"/>
          <w:szCs w:val="24"/>
        </w:rPr>
        <w:t xml:space="preserve">The nature of these needs may have changed since that time, but they nevertheless persist in some form. </w:t>
      </w:r>
    </w:p>
    <w:p w14:paraId="4FE4FCE6" w14:textId="77777777" w:rsidR="00DD654B" w:rsidRPr="00C80495" w:rsidRDefault="00DD654B" w:rsidP="00BD2B9F">
      <w:pPr>
        <w:pStyle w:val="Heading1"/>
        <w:rPr>
          <w:sz w:val="40"/>
          <w:szCs w:val="40"/>
        </w:rPr>
      </w:pPr>
      <w:r w:rsidRPr="00C80495">
        <w:rPr>
          <w:sz w:val="40"/>
          <w:szCs w:val="40"/>
        </w:rPr>
        <w:lastRenderedPageBreak/>
        <w:t>What makes the CATSI Act a special measure</w:t>
      </w:r>
    </w:p>
    <w:p w14:paraId="1EC6D66D" w14:textId="77777777" w:rsidR="000C6ACC" w:rsidRDefault="00DD654B" w:rsidP="00DD654B">
      <w:pPr>
        <w:spacing w:after="240"/>
        <w:rPr>
          <w:sz w:val="24"/>
          <w:szCs w:val="24"/>
        </w:rPr>
      </w:pPr>
      <w:r w:rsidRPr="00D829EC">
        <w:rPr>
          <w:sz w:val="24"/>
          <w:szCs w:val="24"/>
        </w:rPr>
        <w:t xml:space="preserve">The CATSI Act contains many of the same provisions as the </w:t>
      </w:r>
      <w:r w:rsidRPr="00D829EC">
        <w:rPr>
          <w:i/>
          <w:sz w:val="24"/>
          <w:szCs w:val="24"/>
        </w:rPr>
        <w:t>Corporations Act 2001</w:t>
      </w:r>
      <w:r w:rsidRPr="00D829EC">
        <w:rPr>
          <w:sz w:val="24"/>
          <w:szCs w:val="24"/>
        </w:rPr>
        <w:t xml:space="preserve"> (Corporations Act), but it also has unique parts that make it a special measure. The purpose of a special measure is to provide for the advancement of particular racial or ethnic groups so that those groups can enjoy the same human rights and fundamental freedoms as others. As a special measure, the purpose of the CATSI Act is to ensure that Aboriginal and Torres Strait Islander people can form corporations that serve their needs.</w:t>
      </w:r>
    </w:p>
    <w:p w14:paraId="5B3985A5" w14:textId="77777777" w:rsidR="00686A53" w:rsidRDefault="00F345D4" w:rsidP="00686A53">
      <w:pPr>
        <w:rPr>
          <w:b/>
          <w:sz w:val="24"/>
          <w:szCs w:val="24"/>
        </w:rPr>
      </w:pPr>
      <w:r w:rsidRPr="00F345D4">
        <w:rPr>
          <w:sz w:val="24"/>
          <w:szCs w:val="24"/>
        </w:rPr>
        <w:t xml:space="preserve">Areas considered as part of this review </w:t>
      </w:r>
      <w:r>
        <w:rPr>
          <w:sz w:val="24"/>
          <w:szCs w:val="24"/>
        </w:rPr>
        <w:t>indicate</w:t>
      </w:r>
      <w:r w:rsidRPr="00F345D4">
        <w:rPr>
          <w:sz w:val="24"/>
          <w:szCs w:val="24"/>
        </w:rPr>
        <w:t xml:space="preserve"> </w:t>
      </w:r>
      <w:r>
        <w:rPr>
          <w:sz w:val="24"/>
          <w:szCs w:val="24"/>
        </w:rPr>
        <w:t>an</w:t>
      </w:r>
      <w:r w:rsidRPr="00F345D4">
        <w:rPr>
          <w:sz w:val="24"/>
          <w:szCs w:val="24"/>
        </w:rPr>
        <w:t xml:space="preserve"> ongoing need for the CATSI Act as a special measur</w:t>
      </w:r>
      <w:r>
        <w:rPr>
          <w:sz w:val="24"/>
          <w:szCs w:val="24"/>
        </w:rPr>
        <w:t>e</w:t>
      </w:r>
      <w:r w:rsidRPr="00F345D4">
        <w:rPr>
          <w:sz w:val="24"/>
          <w:szCs w:val="24"/>
        </w:rPr>
        <w:t xml:space="preserve">. </w:t>
      </w:r>
      <w:r>
        <w:rPr>
          <w:sz w:val="24"/>
          <w:szCs w:val="24"/>
        </w:rPr>
        <w:t>A</w:t>
      </w:r>
      <w:r w:rsidR="00DD654B" w:rsidRPr="00D829EC">
        <w:rPr>
          <w:sz w:val="24"/>
          <w:szCs w:val="24"/>
        </w:rPr>
        <w:t xml:space="preserve">s a special measure it should be reviewed </w:t>
      </w:r>
      <w:r w:rsidR="000C6ACC">
        <w:rPr>
          <w:sz w:val="24"/>
          <w:szCs w:val="24"/>
        </w:rPr>
        <w:t xml:space="preserve">from time to time </w:t>
      </w:r>
      <w:r w:rsidR="00DD654B" w:rsidRPr="00D829EC">
        <w:rPr>
          <w:sz w:val="24"/>
          <w:szCs w:val="24"/>
        </w:rPr>
        <w:t>to make sure it does what it sets out to do.</w:t>
      </w:r>
      <w:r w:rsidR="00686A53" w:rsidRPr="00686A53">
        <w:rPr>
          <w:b/>
          <w:sz w:val="24"/>
          <w:szCs w:val="24"/>
        </w:rPr>
        <w:t xml:space="preserve"> </w:t>
      </w:r>
    </w:p>
    <w:p w14:paraId="51ADF297" w14:textId="2778AAB4" w:rsidR="00686A53" w:rsidRPr="00C80495" w:rsidRDefault="00686A53" w:rsidP="00686A53">
      <w:pPr>
        <w:rPr>
          <w:b/>
          <w:sz w:val="24"/>
          <w:szCs w:val="24"/>
        </w:rPr>
      </w:pPr>
      <w:r w:rsidRPr="00C80495">
        <w:rPr>
          <w:b/>
          <w:sz w:val="24"/>
          <w:szCs w:val="24"/>
        </w:rPr>
        <w:t>The unique provisions of the CATSI Act include:</w:t>
      </w:r>
    </w:p>
    <w:p w14:paraId="194065BF" w14:textId="77777777" w:rsidR="00686A53" w:rsidRPr="00D829EC" w:rsidRDefault="00686A53" w:rsidP="00686A53">
      <w:pPr>
        <w:pStyle w:val="ListParagraph"/>
        <w:numPr>
          <w:ilvl w:val="0"/>
          <w:numId w:val="39"/>
        </w:numPr>
        <w:spacing w:after="240" w:line="240" w:lineRule="auto"/>
        <w:rPr>
          <w:sz w:val="24"/>
          <w:szCs w:val="24"/>
        </w:rPr>
      </w:pPr>
      <w:r w:rsidRPr="00D829EC">
        <w:rPr>
          <w:sz w:val="24"/>
          <w:szCs w:val="24"/>
        </w:rPr>
        <w:t>special incorporation provisions for Aboriginal and Torres Strait Islander corporations</w:t>
      </w:r>
    </w:p>
    <w:p w14:paraId="568C1086" w14:textId="77777777" w:rsidR="00686A53" w:rsidRPr="00D829EC" w:rsidRDefault="00686A53" w:rsidP="00686A53">
      <w:pPr>
        <w:pStyle w:val="ListParagraph"/>
        <w:numPr>
          <w:ilvl w:val="0"/>
          <w:numId w:val="39"/>
        </w:numPr>
        <w:spacing w:after="240" w:line="240" w:lineRule="auto"/>
        <w:rPr>
          <w:sz w:val="24"/>
          <w:szCs w:val="24"/>
        </w:rPr>
      </w:pPr>
      <w:r w:rsidRPr="00D829EC">
        <w:rPr>
          <w:sz w:val="24"/>
          <w:szCs w:val="24"/>
        </w:rPr>
        <w:t>protection for members</w:t>
      </w:r>
    </w:p>
    <w:p w14:paraId="5662D11A" w14:textId="77777777" w:rsidR="00686A53" w:rsidRPr="00D829EC" w:rsidRDefault="00686A53" w:rsidP="00686A53">
      <w:pPr>
        <w:pStyle w:val="ListParagraph"/>
        <w:numPr>
          <w:ilvl w:val="0"/>
          <w:numId w:val="39"/>
        </w:numPr>
        <w:spacing w:after="240" w:line="240" w:lineRule="auto"/>
        <w:rPr>
          <w:sz w:val="24"/>
          <w:szCs w:val="24"/>
        </w:rPr>
      </w:pPr>
      <w:r w:rsidRPr="00D829EC">
        <w:rPr>
          <w:sz w:val="24"/>
          <w:szCs w:val="24"/>
        </w:rPr>
        <w:t>support for corporations</w:t>
      </w:r>
    </w:p>
    <w:p w14:paraId="3AA4C673" w14:textId="3993EC7D" w:rsidR="00686A53" w:rsidRPr="00686A53" w:rsidRDefault="00686A53" w:rsidP="00A812ED">
      <w:pPr>
        <w:pStyle w:val="ListParagraph"/>
        <w:numPr>
          <w:ilvl w:val="0"/>
          <w:numId w:val="39"/>
        </w:numPr>
        <w:spacing w:after="240" w:line="240" w:lineRule="auto"/>
        <w:rPr>
          <w:sz w:val="24"/>
          <w:szCs w:val="24"/>
        </w:rPr>
      </w:pPr>
      <w:proofErr w:type="gramStart"/>
      <w:r w:rsidRPr="00D829EC">
        <w:rPr>
          <w:sz w:val="24"/>
          <w:szCs w:val="24"/>
        </w:rPr>
        <w:t>capacity</w:t>
      </w:r>
      <w:proofErr w:type="gramEnd"/>
      <w:r w:rsidRPr="00D829EC">
        <w:rPr>
          <w:sz w:val="24"/>
          <w:szCs w:val="24"/>
        </w:rPr>
        <w:t xml:space="preserve"> building.</w:t>
      </w:r>
    </w:p>
    <w:p w14:paraId="69327A57" w14:textId="77777777" w:rsidR="00DD654B" w:rsidRPr="00744E28" w:rsidRDefault="000C6ACC" w:rsidP="00744E28">
      <w:pPr>
        <w:pStyle w:val="Heading3"/>
        <w:rPr>
          <w:rStyle w:val="Heading3Char"/>
        </w:rPr>
      </w:pPr>
      <w:r w:rsidRPr="00744E28">
        <w:rPr>
          <w:rStyle w:val="Heading3Char"/>
        </w:rPr>
        <w:t>S</w:t>
      </w:r>
      <w:r w:rsidR="00DD654B" w:rsidRPr="00744E28">
        <w:rPr>
          <w:rStyle w:val="Heading3Char"/>
        </w:rPr>
        <w:t>pecial rules for Indigenous corporations</w:t>
      </w:r>
    </w:p>
    <w:p w14:paraId="508C53B7" w14:textId="77777777" w:rsidR="00DD654B" w:rsidRPr="00D829EC" w:rsidRDefault="00DD654B" w:rsidP="00DD654B">
      <w:pPr>
        <w:spacing w:after="240"/>
        <w:rPr>
          <w:sz w:val="24"/>
          <w:szCs w:val="24"/>
        </w:rPr>
      </w:pPr>
      <w:r w:rsidRPr="00D829EC">
        <w:rPr>
          <w:sz w:val="24"/>
          <w:szCs w:val="24"/>
        </w:rPr>
        <w:t>A majority of a corporation’s members and directors must be Aboriginal and Torres Strait Islander people. This ensures that Indigenous people control their corporations.</w:t>
      </w:r>
    </w:p>
    <w:p w14:paraId="327473D7" w14:textId="77777777" w:rsidR="00DD654B" w:rsidRPr="00D829EC" w:rsidRDefault="00DD654B" w:rsidP="00DD654B">
      <w:pPr>
        <w:spacing w:after="240"/>
        <w:rPr>
          <w:sz w:val="24"/>
          <w:szCs w:val="24"/>
        </w:rPr>
      </w:pPr>
      <w:r w:rsidRPr="00D829EC">
        <w:rPr>
          <w:sz w:val="24"/>
          <w:szCs w:val="24"/>
        </w:rPr>
        <w:t>The CATSI Act also allows corporations to operate in a culturally appropriate way. For example, corporations can:</w:t>
      </w:r>
    </w:p>
    <w:p w14:paraId="388CC936" w14:textId="0237D3F8" w:rsidR="00632B63" w:rsidRPr="00D829EC" w:rsidRDefault="00DD654B" w:rsidP="000C6ACC">
      <w:pPr>
        <w:pStyle w:val="ListParagraph"/>
        <w:numPr>
          <w:ilvl w:val="0"/>
          <w:numId w:val="32"/>
        </w:numPr>
        <w:spacing w:before="120" w:after="240" w:line="240" w:lineRule="auto"/>
        <w:rPr>
          <w:sz w:val="24"/>
          <w:szCs w:val="24"/>
        </w:rPr>
      </w:pPr>
      <w:r w:rsidRPr="00D829EC">
        <w:rPr>
          <w:sz w:val="24"/>
          <w:szCs w:val="24"/>
        </w:rPr>
        <w:t>hold meetings and keep their book</w:t>
      </w:r>
      <w:r w:rsidR="000C6ACC">
        <w:rPr>
          <w:sz w:val="24"/>
          <w:szCs w:val="24"/>
        </w:rPr>
        <w:t>s</w:t>
      </w:r>
      <w:r w:rsidRPr="00D829EC">
        <w:rPr>
          <w:sz w:val="24"/>
          <w:szCs w:val="24"/>
        </w:rPr>
        <w:t xml:space="preserve"> in languages other than English, as long as there are English versions available</w:t>
      </w:r>
      <w:r w:rsidR="00CA3B51">
        <w:rPr>
          <w:sz w:val="24"/>
          <w:szCs w:val="24"/>
        </w:rPr>
        <w:t>; and</w:t>
      </w:r>
    </w:p>
    <w:p w14:paraId="0C0FE8BF" w14:textId="77777777" w:rsidR="00DD654B" w:rsidRPr="00D829EC" w:rsidRDefault="00DD654B" w:rsidP="000C6ACC">
      <w:pPr>
        <w:pStyle w:val="ListParagraph"/>
        <w:numPr>
          <w:ilvl w:val="0"/>
          <w:numId w:val="32"/>
        </w:numPr>
        <w:spacing w:before="120" w:after="240" w:line="240" w:lineRule="auto"/>
        <w:rPr>
          <w:sz w:val="24"/>
          <w:szCs w:val="24"/>
        </w:rPr>
      </w:pPr>
      <w:proofErr w:type="gramStart"/>
      <w:r w:rsidRPr="00D829EC">
        <w:rPr>
          <w:sz w:val="24"/>
          <w:szCs w:val="24"/>
        </w:rPr>
        <w:t>have</w:t>
      </w:r>
      <w:proofErr w:type="gramEnd"/>
      <w:r w:rsidRPr="00D829EC">
        <w:rPr>
          <w:sz w:val="24"/>
          <w:szCs w:val="24"/>
        </w:rPr>
        <w:t xml:space="preserve"> rules that take account of Aboriginal and Torres Strait Islander tradition and circumstances.</w:t>
      </w:r>
    </w:p>
    <w:p w14:paraId="5960AFD7" w14:textId="18BB54AD" w:rsidR="00C80495" w:rsidRDefault="00DD654B" w:rsidP="00DD654B">
      <w:pPr>
        <w:spacing w:after="240"/>
        <w:rPr>
          <w:sz w:val="24"/>
          <w:szCs w:val="24"/>
        </w:rPr>
      </w:pPr>
      <w:r w:rsidRPr="00D829EC">
        <w:rPr>
          <w:sz w:val="24"/>
          <w:szCs w:val="24"/>
        </w:rPr>
        <w:t>The CATSI Act also specifically states that the Registrar must take into account the tradition and circumstances of Aboriginal an</w:t>
      </w:r>
      <w:r w:rsidR="00D6122B">
        <w:rPr>
          <w:sz w:val="24"/>
          <w:szCs w:val="24"/>
        </w:rPr>
        <w:t>d Torres Strait Islander people in undertaking his or her role.</w:t>
      </w:r>
    </w:p>
    <w:p w14:paraId="5D23B456" w14:textId="77777777" w:rsidR="00686A53" w:rsidRPr="00744E28" w:rsidRDefault="00686A53" w:rsidP="00744E28">
      <w:pPr>
        <w:pStyle w:val="Heading3"/>
        <w:rPr>
          <w:sz w:val="24"/>
          <w:szCs w:val="24"/>
        </w:rPr>
      </w:pPr>
      <w:r w:rsidRPr="00744E28">
        <w:rPr>
          <w:rStyle w:val="Heading3Char"/>
        </w:rPr>
        <w:t>Protection for members</w:t>
      </w:r>
    </w:p>
    <w:p w14:paraId="3DCA1F35" w14:textId="77777777" w:rsidR="00686A53" w:rsidRPr="00D829EC" w:rsidRDefault="00686A53" w:rsidP="00686A53">
      <w:pPr>
        <w:spacing w:after="240" w:line="240" w:lineRule="auto"/>
        <w:rPr>
          <w:sz w:val="24"/>
          <w:szCs w:val="24"/>
        </w:rPr>
      </w:pPr>
      <w:r w:rsidRPr="00D829EC">
        <w:rPr>
          <w:b/>
          <w:sz w:val="24"/>
          <w:szCs w:val="24"/>
        </w:rPr>
        <w:t>Majority of directors must be members—</w:t>
      </w:r>
      <w:r>
        <w:rPr>
          <w:sz w:val="24"/>
          <w:szCs w:val="24"/>
        </w:rPr>
        <w:t>t</w:t>
      </w:r>
      <w:r w:rsidRPr="00D829EC">
        <w:rPr>
          <w:sz w:val="24"/>
          <w:szCs w:val="24"/>
        </w:rPr>
        <w:t>he CATSI Act states that the majority of directors must be members. This is to make sure members’ interests are protected.</w:t>
      </w:r>
    </w:p>
    <w:p w14:paraId="0E1C178A" w14:textId="77777777" w:rsidR="00686A53" w:rsidRDefault="00686A53" w:rsidP="00686A53">
      <w:pPr>
        <w:spacing w:after="240" w:line="240" w:lineRule="auto"/>
        <w:rPr>
          <w:sz w:val="24"/>
          <w:szCs w:val="24"/>
        </w:rPr>
      </w:pPr>
      <w:r w:rsidRPr="00D829EC">
        <w:rPr>
          <w:b/>
          <w:sz w:val="24"/>
          <w:szCs w:val="24"/>
        </w:rPr>
        <w:t>Provide advice—</w:t>
      </w:r>
      <w:r w:rsidRPr="00F345D4">
        <w:rPr>
          <w:sz w:val="24"/>
          <w:szCs w:val="24"/>
        </w:rPr>
        <w:t>t</w:t>
      </w:r>
      <w:r w:rsidRPr="00D829EC">
        <w:rPr>
          <w:sz w:val="24"/>
          <w:szCs w:val="24"/>
        </w:rPr>
        <w:t>he Registrar provides advice about the registration, rules and governance of a corporation</w:t>
      </w:r>
      <w:r>
        <w:rPr>
          <w:sz w:val="24"/>
          <w:szCs w:val="24"/>
        </w:rPr>
        <w:t xml:space="preserve"> as a source of independent information</w:t>
      </w:r>
      <w:r w:rsidRPr="00D829EC">
        <w:rPr>
          <w:sz w:val="24"/>
          <w:szCs w:val="24"/>
        </w:rPr>
        <w:t xml:space="preserve">. </w:t>
      </w:r>
    </w:p>
    <w:p w14:paraId="66BFB018" w14:textId="77777777" w:rsidR="00686A53" w:rsidRDefault="00686A53" w:rsidP="00686A53">
      <w:pPr>
        <w:spacing w:after="240" w:line="240" w:lineRule="auto"/>
        <w:rPr>
          <w:sz w:val="24"/>
          <w:szCs w:val="24"/>
        </w:rPr>
      </w:pPr>
      <w:r>
        <w:rPr>
          <w:b/>
          <w:sz w:val="24"/>
          <w:szCs w:val="24"/>
        </w:rPr>
        <w:t xml:space="preserve">Help resolve </w:t>
      </w:r>
      <w:r w:rsidRPr="00D829EC">
        <w:rPr>
          <w:b/>
          <w:sz w:val="24"/>
          <w:szCs w:val="24"/>
        </w:rPr>
        <w:t>disputes—</w:t>
      </w:r>
      <w:r w:rsidRPr="00F345D4">
        <w:rPr>
          <w:sz w:val="24"/>
          <w:szCs w:val="24"/>
        </w:rPr>
        <w:t>t</w:t>
      </w:r>
      <w:r w:rsidRPr="00D829EC">
        <w:rPr>
          <w:sz w:val="24"/>
          <w:szCs w:val="24"/>
        </w:rPr>
        <w:t>he Registrar can also help to resolve disputes by</w:t>
      </w:r>
      <w:r>
        <w:rPr>
          <w:sz w:val="24"/>
          <w:szCs w:val="24"/>
        </w:rPr>
        <w:t xml:space="preserve">: providing advice; </w:t>
      </w:r>
      <w:r w:rsidRPr="00D6122B">
        <w:rPr>
          <w:sz w:val="24"/>
          <w:szCs w:val="24"/>
        </w:rPr>
        <w:t>referring parties to independent mediation and arbitration services</w:t>
      </w:r>
      <w:r>
        <w:rPr>
          <w:sz w:val="24"/>
          <w:szCs w:val="24"/>
        </w:rPr>
        <w:t>;</w:t>
      </w:r>
      <w:r w:rsidRPr="00D6122B">
        <w:rPr>
          <w:sz w:val="24"/>
          <w:szCs w:val="24"/>
        </w:rPr>
        <w:t xml:space="preserve"> and investigating and responding to complaints made about corporations</w:t>
      </w:r>
      <w:r>
        <w:rPr>
          <w:sz w:val="24"/>
          <w:szCs w:val="24"/>
        </w:rPr>
        <w:t>.</w:t>
      </w:r>
    </w:p>
    <w:p w14:paraId="1335344C" w14:textId="77777777" w:rsidR="00686A53" w:rsidRDefault="00686A53" w:rsidP="00DD654B">
      <w:pPr>
        <w:spacing w:after="240"/>
        <w:rPr>
          <w:sz w:val="24"/>
          <w:szCs w:val="24"/>
        </w:rPr>
      </w:pPr>
    </w:p>
    <w:p w14:paraId="6D46BDBE" w14:textId="77777777" w:rsidR="00DD654B" w:rsidRPr="00744E28" w:rsidRDefault="00D33707" w:rsidP="00744E28">
      <w:pPr>
        <w:pStyle w:val="Heading3"/>
      </w:pPr>
      <w:r w:rsidRPr="00744E28">
        <w:lastRenderedPageBreak/>
        <w:t>S</w:t>
      </w:r>
      <w:r w:rsidR="00DD654B" w:rsidRPr="00744E28">
        <w:t>upport for corporations</w:t>
      </w:r>
    </w:p>
    <w:p w14:paraId="4DEA1EC7" w14:textId="77777777" w:rsidR="00DD654B" w:rsidRPr="00D829EC" w:rsidRDefault="00DD654B" w:rsidP="00DD654B">
      <w:pPr>
        <w:spacing w:after="240"/>
        <w:rPr>
          <w:sz w:val="24"/>
          <w:szCs w:val="24"/>
        </w:rPr>
      </w:pPr>
      <w:r w:rsidRPr="00D829EC">
        <w:rPr>
          <w:b/>
          <w:sz w:val="24"/>
          <w:szCs w:val="24"/>
        </w:rPr>
        <w:t>Appoint a special administrator—</w:t>
      </w:r>
      <w:r w:rsidR="00F345D4">
        <w:rPr>
          <w:sz w:val="24"/>
          <w:szCs w:val="24"/>
        </w:rPr>
        <w:t>t</w:t>
      </w:r>
      <w:r w:rsidRPr="00D829EC">
        <w:rPr>
          <w:sz w:val="24"/>
          <w:szCs w:val="24"/>
        </w:rPr>
        <w:t xml:space="preserve">he Registrar can appoint a special administrator, at Commonwealth expense, when a corporation is having problems with governance or financial management. This is unique to the CATSI Act. The aim is to strengthen governance and financial management, then return control of the corporation back to its members. Without this special support, the corporation might fail. </w:t>
      </w:r>
    </w:p>
    <w:p w14:paraId="29ABA2C5" w14:textId="77777777" w:rsidR="00DD654B" w:rsidRDefault="00DD654B" w:rsidP="00DD654B">
      <w:pPr>
        <w:spacing w:after="240"/>
        <w:rPr>
          <w:sz w:val="24"/>
          <w:szCs w:val="24"/>
        </w:rPr>
      </w:pPr>
      <w:r w:rsidRPr="00D829EC">
        <w:rPr>
          <w:sz w:val="24"/>
          <w:szCs w:val="24"/>
        </w:rPr>
        <w:t>Since 2007, 110 corporations have been put into special administration and of the 102 completed over 90 per cent were returned to the control of their members.</w:t>
      </w:r>
    </w:p>
    <w:p w14:paraId="38901750" w14:textId="77777777" w:rsidR="00D6122B" w:rsidRDefault="00D6122B" w:rsidP="00DD654B">
      <w:pPr>
        <w:spacing w:after="240"/>
        <w:rPr>
          <w:sz w:val="24"/>
          <w:szCs w:val="24"/>
        </w:rPr>
      </w:pPr>
      <w:r w:rsidRPr="00D6122B">
        <w:rPr>
          <w:b/>
          <w:sz w:val="24"/>
          <w:szCs w:val="24"/>
        </w:rPr>
        <w:t>Support for remote corporations</w:t>
      </w:r>
      <w:r>
        <w:rPr>
          <w:b/>
          <w:sz w:val="24"/>
          <w:szCs w:val="24"/>
        </w:rPr>
        <w:t>—</w:t>
      </w:r>
      <w:r w:rsidR="00F345D4">
        <w:rPr>
          <w:sz w:val="24"/>
          <w:szCs w:val="24"/>
        </w:rPr>
        <w:t>t</w:t>
      </w:r>
      <w:r>
        <w:rPr>
          <w:sz w:val="24"/>
          <w:szCs w:val="24"/>
        </w:rPr>
        <w:t xml:space="preserve">he CATSI Act includes provisions for corporations that </w:t>
      </w:r>
      <w:r w:rsidR="00A22358">
        <w:rPr>
          <w:sz w:val="24"/>
          <w:szCs w:val="24"/>
        </w:rPr>
        <w:t xml:space="preserve">operate </w:t>
      </w:r>
      <w:r>
        <w:rPr>
          <w:sz w:val="24"/>
          <w:szCs w:val="24"/>
        </w:rPr>
        <w:t>in remote or very remote locations, including:</w:t>
      </w:r>
    </w:p>
    <w:p w14:paraId="0ADB374D" w14:textId="7B2EFD34" w:rsidR="00D6122B" w:rsidRDefault="001262CA" w:rsidP="00D6122B">
      <w:pPr>
        <w:pStyle w:val="ListParagraph"/>
        <w:numPr>
          <w:ilvl w:val="0"/>
          <w:numId w:val="34"/>
        </w:numPr>
        <w:spacing w:after="240"/>
        <w:rPr>
          <w:sz w:val="24"/>
          <w:szCs w:val="24"/>
        </w:rPr>
      </w:pPr>
      <w:r>
        <w:rPr>
          <w:sz w:val="24"/>
          <w:szCs w:val="24"/>
        </w:rPr>
        <w:t xml:space="preserve">enabling </w:t>
      </w:r>
      <w:r w:rsidR="00A22358">
        <w:rPr>
          <w:sz w:val="24"/>
          <w:szCs w:val="24"/>
        </w:rPr>
        <w:t xml:space="preserve">CATSI corporations and their members </w:t>
      </w:r>
      <w:r>
        <w:rPr>
          <w:sz w:val="24"/>
          <w:szCs w:val="24"/>
        </w:rPr>
        <w:t>access to a broad range of courts to hear CATSI matters; and</w:t>
      </w:r>
    </w:p>
    <w:p w14:paraId="16E53348" w14:textId="77777777" w:rsidR="001262CA" w:rsidRPr="00D6122B" w:rsidRDefault="001262CA" w:rsidP="00D6122B">
      <w:pPr>
        <w:pStyle w:val="ListParagraph"/>
        <w:numPr>
          <w:ilvl w:val="0"/>
          <w:numId w:val="34"/>
        </w:numPr>
        <w:spacing w:after="240"/>
        <w:rPr>
          <w:sz w:val="24"/>
          <w:szCs w:val="24"/>
        </w:rPr>
      </w:pPr>
      <w:proofErr w:type="gramStart"/>
      <w:r>
        <w:rPr>
          <w:sz w:val="24"/>
          <w:szCs w:val="24"/>
        </w:rPr>
        <w:t>allowing</w:t>
      </w:r>
      <w:proofErr w:type="gramEnd"/>
      <w:r>
        <w:rPr>
          <w:sz w:val="24"/>
          <w:szCs w:val="24"/>
        </w:rPr>
        <w:t xml:space="preserve"> the election of directors in some circumstances via postal ballot to make it easier for corporations with geographically dispersed members.</w:t>
      </w:r>
    </w:p>
    <w:p w14:paraId="71ED0E5F" w14:textId="77777777" w:rsidR="001262CA" w:rsidRDefault="00DD654B" w:rsidP="00DD654B">
      <w:pPr>
        <w:spacing w:after="240"/>
        <w:rPr>
          <w:sz w:val="24"/>
          <w:szCs w:val="24"/>
        </w:rPr>
      </w:pPr>
      <w:r w:rsidRPr="00D829EC">
        <w:rPr>
          <w:b/>
          <w:sz w:val="24"/>
          <w:szCs w:val="24"/>
        </w:rPr>
        <w:t>Change a corporation’s rule book—</w:t>
      </w:r>
      <w:r w:rsidR="001262CA">
        <w:rPr>
          <w:sz w:val="24"/>
          <w:szCs w:val="24"/>
        </w:rPr>
        <w:t xml:space="preserve">CATSI corporations must have constitutions which are known as rule books. </w:t>
      </w:r>
      <w:r w:rsidRPr="00D829EC">
        <w:rPr>
          <w:sz w:val="24"/>
          <w:szCs w:val="24"/>
        </w:rPr>
        <w:t xml:space="preserve">Rule books set out the internal governance rules for a corporation. For example, rule books </w:t>
      </w:r>
      <w:r w:rsidR="001262CA">
        <w:rPr>
          <w:sz w:val="24"/>
          <w:szCs w:val="24"/>
        </w:rPr>
        <w:t xml:space="preserve">can </w:t>
      </w:r>
      <w:r w:rsidRPr="00D829EC">
        <w:rPr>
          <w:sz w:val="24"/>
          <w:szCs w:val="24"/>
        </w:rPr>
        <w:t xml:space="preserve">include rules that govern membership, meetings and </w:t>
      </w:r>
      <w:r w:rsidR="001262CA">
        <w:rPr>
          <w:sz w:val="24"/>
          <w:szCs w:val="24"/>
        </w:rPr>
        <w:t xml:space="preserve">the </w:t>
      </w:r>
      <w:r w:rsidRPr="00D829EC">
        <w:rPr>
          <w:sz w:val="24"/>
          <w:szCs w:val="24"/>
        </w:rPr>
        <w:t xml:space="preserve">appointment of directors. </w:t>
      </w:r>
      <w:r w:rsidR="00A22358">
        <w:rPr>
          <w:sz w:val="24"/>
          <w:szCs w:val="24"/>
        </w:rPr>
        <w:t>Rule books are unique to the CATSI Act.</w:t>
      </w:r>
    </w:p>
    <w:p w14:paraId="2E4D3BB6" w14:textId="77777777" w:rsidR="00DD654B" w:rsidRDefault="00DD654B" w:rsidP="00DD654B">
      <w:pPr>
        <w:spacing w:after="240"/>
      </w:pPr>
      <w:r w:rsidRPr="00D829EC">
        <w:rPr>
          <w:sz w:val="24"/>
          <w:szCs w:val="24"/>
        </w:rPr>
        <w:t xml:space="preserve">Recently the Registrar was able to exercise his power to change rule books </w:t>
      </w:r>
      <w:r w:rsidR="001262CA">
        <w:rPr>
          <w:sz w:val="24"/>
          <w:szCs w:val="24"/>
        </w:rPr>
        <w:t>in certain circumstances. The Registrar changed corporation</w:t>
      </w:r>
      <w:r w:rsidR="00A22358">
        <w:rPr>
          <w:sz w:val="24"/>
          <w:szCs w:val="24"/>
        </w:rPr>
        <w:t xml:space="preserve">s’ </w:t>
      </w:r>
      <w:r w:rsidR="001262CA">
        <w:rPr>
          <w:sz w:val="24"/>
          <w:szCs w:val="24"/>
        </w:rPr>
        <w:t xml:space="preserve">rules </w:t>
      </w:r>
      <w:r w:rsidR="000022E5">
        <w:rPr>
          <w:sz w:val="24"/>
          <w:szCs w:val="24"/>
        </w:rPr>
        <w:t>so that they could</w:t>
      </w:r>
      <w:r w:rsidR="001262CA">
        <w:rPr>
          <w:sz w:val="24"/>
          <w:szCs w:val="24"/>
        </w:rPr>
        <w:t xml:space="preserve"> hold meetings virtually and make decisions without meetings, if certain conditions were met. These changes were aimed at making it easier for </w:t>
      </w:r>
      <w:r w:rsidR="00D33707">
        <w:rPr>
          <w:sz w:val="24"/>
          <w:szCs w:val="24"/>
        </w:rPr>
        <w:t>corporations</w:t>
      </w:r>
      <w:r w:rsidR="001262CA">
        <w:rPr>
          <w:sz w:val="24"/>
          <w:szCs w:val="24"/>
        </w:rPr>
        <w:t xml:space="preserve"> to respond to the impacts of COVID-19.  </w:t>
      </w:r>
    </w:p>
    <w:p w14:paraId="63F88FDA" w14:textId="77777777" w:rsidR="001262CA" w:rsidRPr="00744E28" w:rsidRDefault="001262CA" w:rsidP="00744E28">
      <w:pPr>
        <w:pStyle w:val="Heading3"/>
      </w:pPr>
      <w:r w:rsidRPr="00744E28">
        <w:t>Capacity building</w:t>
      </w:r>
    </w:p>
    <w:p w14:paraId="51B39D20" w14:textId="77777777" w:rsidR="001262CA" w:rsidRDefault="001262CA" w:rsidP="001262CA">
      <w:pPr>
        <w:spacing w:after="240"/>
        <w:rPr>
          <w:sz w:val="24"/>
          <w:szCs w:val="24"/>
        </w:rPr>
      </w:pPr>
      <w:r w:rsidRPr="00D829EC">
        <w:rPr>
          <w:sz w:val="24"/>
          <w:szCs w:val="24"/>
        </w:rPr>
        <w:t xml:space="preserve">Under the CATSI Act, the Registrar </w:t>
      </w:r>
      <w:r w:rsidR="00294A57">
        <w:rPr>
          <w:sz w:val="24"/>
          <w:szCs w:val="24"/>
        </w:rPr>
        <w:t xml:space="preserve">is required to </w:t>
      </w:r>
      <w:r w:rsidRPr="00D829EC">
        <w:rPr>
          <w:sz w:val="24"/>
          <w:szCs w:val="24"/>
        </w:rPr>
        <w:t xml:space="preserve">provide </w:t>
      </w:r>
      <w:r w:rsidR="00294A57">
        <w:rPr>
          <w:sz w:val="24"/>
          <w:szCs w:val="24"/>
        </w:rPr>
        <w:t xml:space="preserve">public </w:t>
      </w:r>
      <w:r w:rsidRPr="00D829EC">
        <w:rPr>
          <w:sz w:val="24"/>
          <w:szCs w:val="24"/>
        </w:rPr>
        <w:t xml:space="preserve">education programs </w:t>
      </w:r>
      <w:r w:rsidR="00294A57">
        <w:rPr>
          <w:sz w:val="24"/>
          <w:szCs w:val="24"/>
        </w:rPr>
        <w:t>on the operation of the Act and on the governance of Aboriginal and Torres Strait Islander corporations</w:t>
      </w:r>
      <w:r w:rsidRPr="00D829EC">
        <w:rPr>
          <w:sz w:val="24"/>
          <w:szCs w:val="24"/>
        </w:rPr>
        <w:t>.</w:t>
      </w:r>
      <w:r w:rsidR="00294A57">
        <w:rPr>
          <w:sz w:val="24"/>
          <w:szCs w:val="24"/>
        </w:rPr>
        <w:t xml:space="preserve"> This is another unique requirement under the CATSI Act.</w:t>
      </w:r>
    </w:p>
    <w:p w14:paraId="729FA2EC" w14:textId="77777777" w:rsidR="00294A57" w:rsidRDefault="00294A57" w:rsidP="001262CA">
      <w:pPr>
        <w:spacing w:after="240"/>
        <w:rPr>
          <w:sz w:val="24"/>
          <w:szCs w:val="24"/>
        </w:rPr>
      </w:pPr>
      <w:r>
        <w:rPr>
          <w:sz w:val="24"/>
          <w:szCs w:val="24"/>
        </w:rPr>
        <w:t xml:space="preserve">The Office of the Registrar of Indigenous Corporations </w:t>
      </w:r>
      <w:r w:rsidR="001E6E08">
        <w:rPr>
          <w:sz w:val="24"/>
          <w:szCs w:val="24"/>
        </w:rPr>
        <w:t xml:space="preserve">(ORIC) </w:t>
      </w:r>
      <w:r>
        <w:rPr>
          <w:sz w:val="24"/>
          <w:szCs w:val="24"/>
        </w:rPr>
        <w:t>has been providing training to an increasing number of CATSI corporations each year. Most participants of the training reported that it improved their knowledge of corporate governance</w:t>
      </w:r>
      <w:r w:rsidR="00D33707">
        <w:rPr>
          <w:sz w:val="24"/>
          <w:szCs w:val="24"/>
        </w:rPr>
        <w:t xml:space="preserve"> as illustrated in the table below</w:t>
      </w:r>
      <w:r>
        <w:rPr>
          <w:sz w:val="24"/>
          <w:szCs w:val="24"/>
        </w:rPr>
        <w:t xml:space="preserve">. </w:t>
      </w:r>
    </w:p>
    <w:tbl>
      <w:tblPr>
        <w:tblStyle w:val="ListTable1Light-Accent4"/>
        <w:tblW w:w="0" w:type="auto"/>
        <w:tblLook w:val="04A0" w:firstRow="1" w:lastRow="0" w:firstColumn="1" w:lastColumn="0" w:noHBand="0" w:noVBand="1"/>
      </w:tblPr>
      <w:tblGrid>
        <w:gridCol w:w="2689"/>
        <w:gridCol w:w="1147"/>
        <w:gridCol w:w="1066"/>
        <w:gridCol w:w="1047"/>
        <w:gridCol w:w="1066"/>
        <w:gridCol w:w="1066"/>
        <w:gridCol w:w="1066"/>
        <w:gridCol w:w="1047"/>
      </w:tblGrid>
      <w:tr w:rsidR="00D33707" w:rsidRPr="00D33707" w14:paraId="35E5EBB9" w14:textId="77777777" w:rsidTr="00D33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3A30D1" w14:textId="77777777" w:rsidR="00D33707" w:rsidRPr="00D33707" w:rsidRDefault="00D33707" w:rsidP="00D33707">
            <w:pPr>
              <w:spacing w:before="60" w:after="60"/>
              <w:jc w:val="both"/>
              <w:rPr>
                <w:rFonts w:asciiTheme="majorHAnsi" w:hAnsiTheme="majorHAnsi"/>
                <w:color w:val="FFFFFF" w:themeColor="background1"/>
                <w:sz w:val="18"/>
              </w:rPr>
            </w:pPr>
            <w:r w:rsidRPr="00D33707">
              <w:rPr>
                <w:rFonts w:asciiTheme="majorHAnsi" w:hAnsiTheme="majorHAnsi"/>
                <w:color w:val="FFFFFF" w:themeColor="background1"/>
                <w:sz w:val="18"/>
              </w:rPr>
              <w:t>Data item</w:t>
            </w:r>
          </w:p>
        </w:tc>
        <w:tc>
          <w:tcPr>
            <w:tcW w:w="1147" w:type="dxa"/>
          </w:tcPr>
          <w:p w14:paraId="606FB025"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2012–13</w:t>
            </w:r>
          </w:p>
        </w:tc>
        <w:tc>
          <w:tcPr>
            <w:tcW w:w="1066" w:type="dxa"/>
          </w:tcPr>
          <w:p w14:paraId="37C55CC6"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2013–14</w:t>
            </w:r>
          </w:p>
        </w:tc>
        <w:tc>
          <w:tcPr>
            <w:tcW w:w="1047" w:type="dxa"/>
          </w:tcPr>
          <w:p w14:paraId="2984EFE6"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2014–15</w:t>
            </w:r>
          </w:p>
        </w:tc>
        <w:tc>
          <w:tcPr>
            <w:tcW w:w="1066" w:type="dxa"/>
          </w:tcPr>
          <w:p w14:paraId="6BF40778"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2015–16</w:t>
            </w:r>
          </w:p>
        </w:tc>
        <w:tc>
          <w:tcPr>
            <w:tcW w:w="1066" w:type="dxa"/>
          </w:tcPr>
          <w:p w14:paraId="0BCF7A49"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2016–17</w:t>
            </w:r>
          </w:p>
        </w:tc>
        <w:tc>
          <w:tcPr>
            <w:tcW w:w="1066" w:type="dxa"/>
          </w:tcPr>
          <w:p w14:paraId="31930761"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2017–18</w:t>
            </w:r>
          </w:p>
        </w:tc>
        <w:tc>
          <w:tcPr>
            <w:tcW w:w="1047" w:type="dxa"/>
          </w:tcPr>
          <w:p w14:paraId="708EEB4D" w14:textId="77777777" w:rsidR="00D33707" w:rsidRPr="00D33707" w:rsidRDefault="00D33707" w:rsidP="00D33707">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8"/>
              </w:rPr>
            </w:pPr>
            <w:r w:rsidRPr="00D33707">
              <w:rPr>
                <w:rFonts w:asciiTheme="majorHAnsi" w:hAnsiTheme="majorHAnsi"/>
                <w:color w:val="auto"/>
                <w:sz w:val="18"/>
              </w:rPr>
              <w:t>2018–19</w:t>
            </w:r>
          </w:p>
        </w:tc>
      </w:tr>
      <w:tr w:rsidR="00D33707" w:rsidRPr="00D33707" w14:paraId="4C5D45E3" w14:textId="77777777" w:rsidTr="00D3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90F0B2" w14:textId="77777777" w:rsidR="00D33707" w:rsidRPr="00D33707" w:rsidRDefault="00D33707" w:rsidP="00D33707">
            <w:pPr>
              <w:spacing w:before="60" w:after="60"/>
              <w:jc w:val="both"/>
              <w:rPr>
                <w:sz w:val="18"/>
              </w:rPr>
            </w:pPr>
            <w:r w:rsidRPr="00D33707">
              <w:rPr>
                <w:sz w:val="18"/>
              </w:rPr>
              <w:t>Number of participants</w:t>
            </w:r>
          </w:p>
        </w:tc>
        <w:tc>
          <w:tcPr>
            <w:tcW w:w="1147" w:type="dxa"/>
          </w:tcPr>
          <w:p w14:paraId="636ECA5B"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897</w:t>
            </w:r>
          </w:p>
        </w:tc>
        <w:tc>
          <w:tcPr>
            <w:tcW w:w="1066" w:type="dxa"/>
          </w:tcPr>
          <w:p w14:paraId="2C560244"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1015</w:t>
            </w:r>
          </w:p>
        </w:tc>
        <w:tc>
          <w:tcPr>
            <w:tcW w:w="1047" w:type="dxa"/>
          </w:tcPr>
          <w:p w14:paraId="7AA1B22E"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886</w:t>
            </w:r>
          </w:p>
        </w:tc>
        <w:tc>
          <w:tcPr>
            <w:tcW w:w="1066" w:type="dxa"/>
          </w:tcPr>
          <w:p w14:paraId="283D99DB"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865</w:t>
            </w:r>
          </w:p>
        </w:tc>
        <w:tc>
          <w:tcPr>
            <w:tcW w:w="1066" w:type="dxa"/>
          </w:tcPr>
          <w:p w14:paraId="5E4425DF"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943</w:t>
            </w:r>
          </w:p>
        </w:tc>
        <w:tc>
          <w:tcPr>
            <w:tcW w:w="1066" w:type="dxa"/>
          </w:tcPr>
          <w:p w14:paraId="776DC881"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1058</w:t>
            </w:r>
          </w:p>
        </w:tc>
        <w:tc>
          <w:tcPr>
            <w:tcW w:w="1047" w:type="dxa"/>
          </w:tcPr>
          <w:p w14:paraId="49B1FDAA"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889</w:t>
            </w:r>
          </w:p>
        </w:tc>
      </w:tr>
      <w:tr w:rsidR="00D33707" w:rsidRPr="00D33707" w14:paraId="5069CE55" w14:textId="77777777" w:rsidTr="00D33707">
        <w:tc>
          <w:tcPr>
            <w:cnfStyle w:val="001000000000" w:firstRow="0" w:lastRow="0" w:firstColumn="1" w:lastColumn="0" w:oddVBand="0" w:evenVBand="0" w:oddHBand="0" w:evenHBand="0" w:firstRowFirstColumn="0" w:firstRowLastColumn="0" w:lastRowFirstColumn="0" w:lastRowLastColumn="0"/>
            <w:tcW w:w="2689" w:type="dxa"/>
          </w:tcPr>
          <w:p w14:paraId="314EFB38" w14:textId="77777777" w:rsidR="00D33707" w:rsidRPr="00D33707" w:rsidRDefault="00D33707" w:rsidP="00D33707">
            <w:pPr>
              <w:spacing w:before="60" w:after="60"/>
              <w:jc w:val="both"/>
              <w:rPr>
                <w:sz w:val="18"/>
              </w:rPr>
            </w:pPr>
            <w:r w:rsidRPr="00D33707">
              <w:rPr>
                <w:sz w:val="18"/>
              </w:rPr>
              <w:t>Number of corporations</w:t>
            </w:r>
          </w:p>
        </w:tc>
        <w:tc>
          <w:tcPr>
            <w:tcW w:w="1147" w:type="dxa"/>
          </w:tcPr>
          <w:p w14:paraId="3E086072"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198</w:t>
            </w:r>
          </w:p>
        </w:tc>
        <w:tc>
          <w:tcPr>
            <w:tcW w:w="1066" w:type="dxa"/>
          </w:tcPr>
          <w:p w14:paraId="6268CBBB"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194</w:t>
            </w:r>
          </w:p>
        </w:tc>
        <w:tc>
          <w:tcPr>
            <w:tcW w:w="1047" w:type="dxa"/>
          </w:tcPr>
          <w:p w14:paraId="695CA85C"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169</w:t>
            </w:r>
          </w:p>
        </w:tc>
        <w:tc>
          <w:tcPr>
            <w:tcW w:w="1066" w:type="dxa"/>
          </w:tcPr>
          <w:p w14:paraId="22B3D30D"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208</w:t>
            </w:r>
          </w:p>
        </w:tc>
        <w:tc>
          <w:tcPr>
            <w:tcW w:w="1066" w:type="dxa"/>
          </w:tcPr>
          <w:p w14:paraId="67B45656"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260</w:t>
            </w:r>
          </w:p>
        </w:tc>
        <w:tc>
          <w:tcPr>
            <w:tcW w:w="1066" w:type="dxa"/>
          </w:tcPr>
          <w:p w14:paraId="0C611F6D"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254</w:t>
            </w:r>
          </w:p>
        </w:tc>
        <w:tc>
          <w:tcPr>
            <w:tcW w:w="1047" w:type="dxa"/>
          </w:tcPr>
          <w:p w14:paraId="04FF4795" w14:textId="77777777" w:rsidR="00D33707" w:rsidRPr="00D33707" w:rsidRDefault="00D33707" w:rsidP="00D33707">
            <w:pPr>
              <w:spacing w:before="60" w:after="60"/>
              <w:jc w:val="right"/>
              <w:cnfStyle w:val="000000000000" w:firstRow="0" w:lastRow="0" w:firstColumn="0" w:lastColumn="0" w:oddVBand="0" w:evenVBand="0" w:oddHBand="0" w:evenHBand="0" w:firstRowFirstColumn="0" w:firstRowLastColumn="0" w:lastRowFirstColumn="0" w:lastRowLastColumn="0"/>
              <w:rPr>
                <w:sz w:val="18"/>
              </w:rPr>
            </w:pPr>
            <w:r w:rsidRPr="00D33707">
              <w:rPr>
                <w:sz w:val="18"/>
              </w:rPr>
              <w:t>276</w:t>
            </w:r>
          </w:p>
        </w:tc>
      </w:tr>
      <w:tr w:rsidR="00D33707" w:rsidRPr="00D33707" w14:paraId="4ECEAB43" w14:textId="77777777" w:rsidTr="00D3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1D7D5B" w14:textId="77777777" w:rsidR="00D33707" w:rsidRPr="00D33707" w:rsidRDefault="00D33707" w:rsidP="00D33707">
            <w:pPr>
              <w:spacing w:before="60" w:after="60"/>
              <w:jc w:val="both"/>
              <w:rPr>
                <w:sz w:val="18"/>
              </w:rPr>
            </w:pPr>
            <w:r w:rsidRPr="00D33707">
              <w:rPr>
                <w:sz w:val="18"/>
              </w:rPr>
              <w:t>Participants reporting a ‘significant’ or ‘very significant’ increase in corporate governance knowledge</w:t>
            </w:r>
          </w:p>
        </w:tc>
        <w:tc>
          <w:tcPr>
            <w:tcW w:w="1147" w:type="dxa"/>
          </w:tcPr>
          <w:p w14:paraId="345EC3CE"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92.5%</w:t>
            </w:r>
          </w:p>
        </w:tc>
        <w:tc>
          <w:tcPr>
            <w:tcW w:w="1066" w:type="dxa"/>
          </w:tcPr>
          <w:p w14:paraId="328A9512"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91.1%</w:t>
            </w:r>
          </w:p>
        </w:tc>
        <w:tc>
          <w:tcPr>
            <w:tcW w:w="1047" w:type="dxa"/>
          </w:tcPr>
          <w:p w14:paraId="0985A836"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90.0%</w:t>
            </w:r>
          </w:p>
        </w:tc>
        <w:tc>
          <w:tcPr>
            <w:tcW w:w="1066" w:type="dxa"/>
          </w:tcPr>
          <w:p w14:paraId="6792DCD5"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88.2%</w:t>
            </w:r>
          </w:p>
        </w:tc>
        <w:tc>
          <w:tcPr>
            <w:tcW w:w="1066" w:type="dxa"/>
          </w:tcPr>
          <w:p w14:paraId="082EC095"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92.1%</w:t>
            </w:r>
          </w:p>
        </w:tc>
        <w:tc>
          <w:tcPr>
            <w:tcW w:w="1066" w:type="dxa"/>
          </w:tcPr>
          <w:p w14:paraId="049EC882"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97.4%</w:t>
            </w:r>
          </w:p>
        </w:tc>
        <w:tc>
          <w:tcPr>
            <w:tcW w:w="1047" w:type="dxa"/>
          </w:tcPr>
          <w:p w14:paraId="5A7ED56D" w14:textId="77777777" w:rsidR="00D33707" w:rsidRPr="00D33707" w:rsidRDefault="00D33707" w:rsidP="00D33707">
            <w:pPr>
              <w:spacing w:before="60" w:after="60"/>
              <w:jc w:val="right"/>
              <w:cnfStyle w:val="000000100000" w:firstRow="0" w:lastRow="0" w:firstColumn="0" w:lastColumn="0" w:oddVBand="0" w:evenVBand="0" w:oddHBand="1" w:evenHBand="0" w:firstRowFirstColumn="0" w:firstRowLastColumn="0" w:lastRowFirstColumn="0" w:lastRowLastColumn="0"/>
              <w:rPr>
                <w:sz w:val="18"/>
              </w:rPr>
            </w:pPr>
            <w:r w:rsidRPr="00D33707">
              <w:rPr>
                <w:sz w:val="18"/>
              </w:rPr>
              <w:t>84.0%</w:t>
            </w:r>
          </w:p>
        </w:tc>
      </w:tr>
    </w:tbl>
    <w:p w14:paraId="698CFC0F" w14:textId="77777777" w:rsidR="00D33707" w:rsidRPr="00D33707" w:rsidRDefault="00D33707" w:rsidP="00D33707">
      <w:pPr>
        <w:jc w:val="both"/>
      </w:pPr>
      <w:r w:rsidRPr="00D33707">
        <w:t>Source: ORIC data.</w:t>
      </w:r>
    </w:p>
    <w:p w14:paraId="0C3C420B" w14:textId="180CA778" w:rsidR="00686A53" w:rsidRPr="00686A53" w:rsidRDefault="00DD654B" w:rsidP="00744E28">
      <w:pPr>
        <w:pStyle w:val="Heading2"/>
      </w:pPr>
      <w:r w:rsidRPr="00A812ED">
        <w:lastRenderedPageBreak/>
        <w:t>Should the CATSI Act be strengthened?</w:t>
      </w:r>
    </w:p>
    <w:p w14:paraId="39B56D1B"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Is the CATSI Act meeting the needs and expectations of Aboriginal and Torres Strait Islander people?</w:t>
      </w:r>
    </w:p>
    <w:p w14:paraId="00276ADF"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Does the CATSI Act put CATSI corporations on an even playing field with companies incorporated under the Corporations Act?</w:t>
      </w:r>
    </w:p>
    <w:p w14:paraId="033B9A1F"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Can changes be made to the powers of the Registrar to better take into account the traditions and circumstances of Aboriginal and Torres Strait Islander people?</w:t>
      </w:r>
    </w:p>
    <w:p w14:paraId="20945814"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Is the CATSI Act flexible enough to meet the needs of a whole range of different Aboriginal and Torres Strait Islander corporations?</w:t>
      </w:r>
    </w:p>
    <w:p w14:paraId="7603BDAF"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How can the Registrar and ORIC better support corporations to pursue economic and community development opportunities?</w:t>
      </w:r>
    </w:p>
    <w:p w14:paraId="0890D901"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 xml:space="preserve">Should the Registrar have greater oversight of Prescribed Bodies Corporate (PBCs), including the power to intervene in disputes—especially given PBCs have to incorporate under the CATSI Act? </w:t>
      </w:r>
    </w:p>
    <w:p w14:paraId="37E19EF4" w14:textId="77777777" w:rsidR="00686A53" w:rsidRPr="000C6ACC" w:rsidRDefault="00686A53" w:rsidP="00686A53">
      <w:pPr>
        <w:pStyle w:val="ListParagraph"/>
        <w:numPr>
          <w:ilvl w:val="0"/>
          <w:numId w:val="28"/>
        </w:numPr>
        <w:spacing w:after="240" w:line="240" w:lineRule="auto"/>
        <w:rPr>
          <w:sz w:val="24"/>
          <w:szCs w:val="24"/>
        </w:rPr>
      </w:pPr>
      <w:r w:rsidRPr="000C6ACC">
        <w:rPr>
          <w:sz w:val="24"/>
          <w:szCs w:val="24"/>
        </w:rPr>
        <w:t>Should the CATSI Act be changed to better support corporations in remote and very remote areas, especially seeing they often provide essential services and account for 40 per cent of all CATSI corporations?</w:t>
      </w:r>
    </w:p>
    <w:p w14:paraId="256D1F8F" w14:textId="77777777" w:rsidR="00686A53" w:rsidRPr="00686A53" w:rsidRDefault="00686A53" w:rsidP="00686A53">
      <w:pPr>
        <w:pStyle w:val="BodyText"/>
      </w:pPr>
    </w:p>
    <w:p w14:paraId="2A15B661" w14:textId="77777777" w:rsidR="00DD654B" w:rsidRDefault="00DD654B" w:rsidP="003F5F4B"/>
    <w:p w14:paraId="1E02783D" w14:textId="587AD921" w:rsidR="00A812ED" w:rsidRDefault="00C80495" w:rsidP="00C80495">
      <w:pPr>
        <w:tabs>
          <w:tab w:val="left" w:pos="4441"/>
        </w:tabs>
      </w:pPr>
      <w:r>
        <w:tab/>
      </w:r>
    </w:p>
    <w:p w14:paraId="6DB18197" w14:textId="468B3A7A" w:rsidR="009F3057" w:rsidRDefault="00A812ED" w:rsidP="00A812ED">
      <w:pPr>
        <w:tabs>
          <w:tab w:val="left" w:pos="1072"/>
        </w:tabs>
      </w:pPr>
      <w:r>
        <w:tab/>
      </w:r>
    </w:p>
    <w:p w14:paraId="664F2BEA" w14:textId="06979899" w:rsidR="0004226D" w:rsidRDefault="0004226D" w:rsidP="00A812ED">
      <w:pPr>
        <w:tabs>
          <w:tab w:val="left" w:pos="1072"/>
        </w:tabs>
      </w:pPr>
    </w:p>
    <w:p w14:paraId="00C5C941" w14:textId="4A0B55E6" w:rsidR="0004226D" w:rsidRDefault="0004226D" w:rsidP="00A812ED">
      <w:pPr>
        <w:tabs>
          <w:tab w:val="left" w:pos="1072"/>
        </w:tabs>
      </w:pPr>
    </w:p>
    <w:p w14:paraId="2FEB413B" w14:textId="1165B3B4" w:rsidR="0004226D" w:rsidRDefault="0004226D" w:rsidP="00A812ED">
      <w:pPr>
        <w:tabs>
          <w:tab w:val="left" w:pos="1072"/>
        </w:tabs>
      </w:pPr>
    </w:p>
    <w:p w14:paraId="05ABAFF9" w14:textId="684E16A1" w:rsidR="0004226D" w:rsidRDefault="0004226D" w:rsidP="00A812ED">
      <w:pPr>
        <w:tabs>
          <w:tab w:val="left" w:pos="1072"/>
        </w:tabs>
      </w:pPr>
    </w:p>
    <w:p w14:paraId="16C718A0" w14:textId="37D973BE" w:rsidR="0004226D" w:rsidRDefault="0004226D" w:rsidP="00A812ED">
      <w:pPr>
        <w:tabs>
          <w:tab w:val="left" w:pos="1072"/>
        </w:tabs>
      </w:pPr>
    </w:p>
    <w:p w14:paraId="2C3A0DBA" w14:textId="1734DB4A" w:rsidR="0004226D" w:rsidRDefault="0004226D" w:rsidP="00A812ED">
      <w:pPr>
        <w:tabs>
          <w:tab w:val="left" w:pos="1072"/>
        </w:tabs>
      </w:pPr>
    </w:p>
    <w:p w14:paraId="61CD560F" w14:textId="44CE7DBF" w:rsidR="0004226D" w:rsidRDefault="0004226D" w:rsidP="00A812ED">
      <w:pPr>
        <w:tabs>
          <w:tab w:val="left" w:pos="1072"/>
        </w:tabs>
      </w:pPr>
    </w:p>
    <w:p w14:paraId="40BAF016" w14:textId="5642E82E" w:rsidR="0004226D" w:rsidRDefault="0004226D" w:rsidP="00A812ED">
      <w:pPr>
        <w:tabs>
          <w:tab w:val="left" w:pos="1072"/>
        </w:tabs>
      </w:pPr>
    </w:p>
    <w:p w14:paraId="5FD1FF6E" w14:textId="4DC7C7EC" w:rsidR="0004226D" w:rsidRDefault="0004226D" w:rsidP="00A812ED">
      <w:pPr>
        <w:tabs>
          <w:tab w:val="left" w:pos="1072"/>
        </w:tabs>
      </w:pPr>
    </w:p>
    <w:p w14:paraId="044D74DE" w14:textId="779626AD" w:rsidR="0004226D" w:rsidRDefault="0004226D" w:rsidP="00A812ED">
      <w:pPr>
        <w:tabs>
          <w:tab w:val="left" w:pos="1072"/>
        </w:tabs>
      </w:pPr>
    </w:p>
    <w:p w14:paraId="5656C0D2" w14:textId="6BEF8FDB" w:rsidR="0004226D" w:rsidRDefault="0004226D" w:rsidP="00A812ED">
      <w:pPr>
        <w:tabs>
          <w:tab w:val="left" w:pos="1072"/>
        </w:tabs>
      </w:pPr>
    </w:p>
    <w:p w14:paraId="250A552D" w14:textId="77777777" w:rsidR="0004226D" w:rsidRDefault="0004226D" w:rsidP="0004226D">
      <w:pPr>
        <w:rPr>
          <w:b/>
        </w:rPr>
      </w:pPr>
      <w:r w:rsidRPr="006B27E0">
        <w:rPr>
          <w:b/>
        </w:rPr>
        <w:t xml:space="preserve">Contact the CATSI Act Team </w:t>
      </w:r>
    </w:p>
    <w:p w14:paraId="187273F2" w14:textId="77777777" w:rsidR="0004226D" w:rsidRDefault="0004226D" w:rsidP="0004226D">
      <w:pPr>
        <w:rPr>
          <w:rFonts w:ascii="Calibri" w:eastAsia="Calibri" w:hAnsi="Calibri" w:cs="Calibri"/>
          <w:noProof/>
          <w:lang w:eastAsia="en-AU"/>
        </w:rPr>
      </w:pPr>
      <w:bookmarkStart w:id="1" w:name="_MailAutoSig"/>
      <w:r>
        <w:rPr>
          <w:rFonts w:ascii="Calibri" w:eastAsia="Calibri" w:hAnsi="Calibri" w:cs="Calibri"/>
          <w:noProof/>
          <w:lang w:eastAsia="en-AU"/>
        </w:rPr>
        <w:t xml:space="preserve">e. </w:t>
      </w:r>
      <w:hyperlink r:id="rId12" w:history="1">
        <w:r>
          <w:rPr>
            <w:rStyle w:val="Hyperlink"/>
            <w:rFonts w:ascii="Calibri" w:eastAsia="Calibri" w:hAnsi="Calibri" w:cs="Calibri"/>
            <w:noProof/>
            <w:color w:val="auto"/>
            <w:lang w:eastAsia="en-AU"/>
          </w:rPr>
          <w:t>CATSIActReview@niaa.gov.au</w:t>
        </w:r>
      </w:hyperlink>
      <w:r>
        <w:rPr>
          <w:rFonts w:ascii="Calibri" w:eastAsia="Calibri" w:hAnsi="Calibri" w:cs="Calibri"/>
          <w:noProof/>
          <w:lang w:eastAsia="en-AU"/>
        </w:rPr>
        <w:t>   </w:t>
      </w:r>
    </w:p>
    <w:p w14:paraId="79D6C129" w14:textId="77777777" w:rsidR="0004226D" w:rsidRDefault="0004226D" w:rsidP="0004226D">
      <w:pPr>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3"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4" w:history="1">
        <w:r>
          <w:rPr>
            <w:rStyle w:val="Hyperlink"/>
            <w:rFonts w:ascii="Calibri" w:eastAsia="Calibri" w:hAnsi="Calibri" w:cs="Calibri"/>
            <w:noProof/>
            <w:color w:val="auto"/>
            <w:lang w:eastAsia="en-AU"/>
          </w:rPr>
          <w:t>indigenous.gov.au</w:t>
        </w:r>
      </w:hyperlink>
      <w:bookmarkEnd w:id="1"/>
    </w:p>
    <w:p w14:paraId="606EBBFE" w14:textId="177DF775" w:rsidR="0004226D" w:rsidRDefault="0004226D" w:rsidP="00A812ED">
      <w:pPr>
        <w:tabs>
          <w:tab w:val="left" w:pos="1072"/>
        </w:tabs>
      </w:pPr>
    </w:p>
    <w:p w14:paraId="568B12DA" w14:textId="77777777" w:rsidR="0004226D" w:rsidRPr="00A812ED" w:rsidRDefault="0004226D" w:rsidP="00A812ED">
      <w:pPr>
        <w:tabs>
          <w:tab w:val="left" w:pos="1072"/>
        </w:tabs>
      </w:pPr>
    </w:p>
    <w:sectPr w:rsidR="0004226D" w:rsidRPr="00A812ED" w:rsidSect="00D33707">
      <w:headerReference w:type="default" r:id="rId15"/>
      <w:footerReference w:type="default" r:id="rId16"/>
      <w:headerReference w:type="first" r:id="rId17"/>
      <w:footerReference w:type="first" r:id="rId18"/>
      <w:pgSz w:w="11906" w:h="16838"/>
      <w:pgMar w:top="1559" w:right="851" w:bottom="567"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F29D" w14:textId="77777777" w:rsidR="002115C6" w:rsidRDefault="002115C6" w:rsidP="00B95533">
      <w:pPr>
        <w:spacing w:after="0" w:line="240" w:lineRule="auto"/>
      </w:pPr>
      <w:r>
        <w:separator/>
      </w:r>
    </w:p>
  </w:endnote>
  <w:endnote w:type="continuationSeparator" w:id="0">
    <w:p w14:paraId="6C234C2C" w14:textId="77777777" w:rsidR="002115C6" w:rsidRDefault="002115C6"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6E52"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8E6B7AA" wp14:editId="5620C2E8">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605D9"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1E2296E" wp14:editId="1C5C311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37CE3F" w14:textId="4B58656F"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9C7E63">
                            <w:rPr>
                              <w:noProof/>
                              <w:color w:val="25303B" w:themeColor="accent1"/>
                            </w:rPr>
                            <w:t>4</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E2296E"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937CE3F" w14:textId="4B58656F"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9C7E63">
                      <w:rPr>
                        <w:noProof/>
                        <w:color w:val="25303B" w:themeColor="accent1"/>
                      </w:rPr>
                      <w:t>4</w:t>
                    </w:r>
                    <w:r w:rsidRPr="00F97B14">
                      <w:rPr>
                        <w:color w:val="25303B" w:themeColor="accent1"/>
                      </w:rPr>
                      <w:fldChar w:fldCharType="end"/>
                    </w:r>
                  </w:p>
                </w:txbxContent>
              </v:textbox>
              <w10:wrap anchorx="margin" anchory="page"/>
              <w10:anchorlock/>
            </v:shape>
          </w:pict>
        </mc:Fallback>
      </mc:AlternateContent>
    </w:r>
  </w:p>
  <w:p w14:paraId="734C0D56" w14:textId="22FD299A"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9B527317A52240E78058F47F1B0B9860"/>
        </w:placeholder>
        <w:dataBinding w:xpath="/root[1]/SectionName[1]" w:storeItemID="{F533AE62-A212-4B26-92DA-A3B336E8AE06}"/>
        <w:text/>
      </w:sdtPr>
      <w:sdtEndPr/>
      <w:sdtContent>
        <w:r w:rsidR="00D33707">
          <w:rPr>
            <w:color w:val="25303B" w:themeColor="accent1"/>
          </w:rPr>
          <w:t>CATSI Act Review</w:t>
        </w:r>
      </w:sdtContent>
    </w:sdt>
    <w:r w:rsidRPr="0040648D">
      <w:rPr>
        <w:color w:val="25303B" w:themeColor="accent1"/>
      </w:rPr>
      <w:t xml:space="preserve"> | </w:t>
    </w:r>
    <w:r w:rsidR="007B3B8A">
      <w:rPr>
        <w:color w:val="25303B" w:themeColor="accent1"/>
      </w:rPr>
      <w:t>Objects of the CATSI Act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DD68"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1585EEBD" wp14:editId="4E247F48">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B50B"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F25AECD" w14:textId="5F2C82B1"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6933D6F4" wp14:editId="04CA3AC4">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1EF4B3D" w14:textId="621838A9"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C7E63">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33D6F4"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01EF4B3D" w14:textId="621838A9"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C7E63">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493E0A">
          <w:rPr>
            <w:color w:val="25303B" w:themeColor="accent1"/>
          </w:rPr>
          <w:t>CATSI Act Review</w:t>
        </w:r>
      </w:sdtContent>
    </w:sdt>
    <w:r w:rsidRPr="0040648D">
      <w:rPr>
        <w:color w:val="25303B" w:themeColor="accent1"/>
      </w:rPr>
      <w:t xml:space="preserve"> | </w:t>
    </w:r>
    <w:r w:rsidR="007B3B8A">
      <w:rPr>
        <w:color w:val="25303B" w:themeColor="accent1"/>
      </w:rPr>
      <w:t>Objects of the CATSI 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8C69" w14:textId="77777777" w:rsidR="002115C6" w:rsidRPr="007A6FC6" w:rsidRDefault="002115C6" w:rsidP="00B95533">
      <w:pPr>
        <w:spacing w:after="0" w:line="240" w:lineRule="auto"/>
        <w:rPr>
          <w:color w:val="BEA887" w:themeColor="accent2"/>
        </w:rPr>
      </w:pPr>
      <w:r w:rsidRPr="007A6FC6">
        <w:rPr>
          <w:color w:val="BEA887" w:themeColor="accent2"/>
        </w:rPr>
        <w:separator/>
      </w:r>
    </w:p>
  </w:footnote>
  <w:footnote w:type="continuationSeparator" w:id="0">
    <w:p w14:paraId="1E300CE6" w14:textId="77777777" w:rsidR="002115C6" w:rsidRPr="007A6FC6" w:rsidRDefault="002115C6"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9292" w14:textId="77777777" w:rsidR="009672EB" w:rsidRDefault="009672EB">
    <w:pPr>
      <w:pStyle w:val="Header"/>
    </w:pPr>
    <w:r>
      <w:rPr>
        <w:noProof/>
        <w:lang w:eastAsia="en-AU"/>
      </w:rPr>
      <w:drawing>
        <wp:anchor distT="0" distB="0" distL="114300" distR="114300" simplePos="0" relativeHeight="251714560" behindDoc="0" locked="1" layoutInCell="1" allowOverlap="1" wp14:anchorId="6928E403" wp14:editId="60C0360F">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31ADBA"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B35E"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17D2ECF6" wp14:editId="11D94B0C">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2BA76"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5820CF3E" wp14:editId="7DBB6D17">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6086A65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20CF3E"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6086A65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1A54F6F5" wp14:editId="4892C22F">
          <wp:simplePos x="0" y="0"/>
          <wp:positionH relativeFrom="page">
            <wp:posOffset>3020060</wp:posOffset>
          </wp:positionH>
          <wp:positionV relativeFrom="page">
            <wp:posOffset>292735</wp:posOffset>
          </wp:positionV>
          <wp:extent cx="1580400" cy="51840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41307338" wp14:editId="7AC105A1">
          <wp:simplePos x="0" y="0"/>
          <wp:positionH relativeFrom="page">
            <wp:posOffset>537845</wp:posOffset>
          </wp:positionH>
          <wp:positionV relativeFrom="page">
            <wp:posOffset>258445</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5A01ECF8" wp14:editId="16ECCD1F">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FE2B5D"/>
    <w:multiLevelType w:val="hybridMultilevel"/>
    <w:tmpl w:val="FBBC0D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260207E"/>
    <w:multiLevelType w:val="hybridMultilevel"/>
    <w:tmpl w:val="6040D0A0"/>
    <w:lvl w:ilvl="0" w:tplc="2F3EBEA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B07CF"/>
    <w:multiLevelType w:val="hybridMultilevel"/>
    <w:tmpl w:val="7570B076"/>
    <w:lvl w:ilvl="0" w:tplc="49AE276C">
      <w:start w:val="1"/>
      <w:numFmt w:val="bullet"/>
      <w:lvlText w:val=""/>
      <w:lvlJc w:val="left"/>
      <w:pPr>
        <w:ind w:left="340" w:hanging="34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33DCE"/>
    <w:multiLevelType w:val="hybridMultilevel"/>
    <w:tmpl w:val="6B760338"/>
    <w:lvl w:ilvl="0" w:tplc="1158A9EC">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B2D95"/>
    <w:multiLevelType w:val="hybridMultilevel"/>
    <w:tmpl w:val="F2E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A632D9D"/>
    <w:multiLevelType w:val="hybridMultilevel"/>
    <w:tmpl w:val="58B46DDE"/>
    <w:lvl w:ilvl="0" w:tplc="2F3EBEA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FF57A1"/>
    <w:multiLevelType w:val="multilevel"/>
    <w:tmpl w:val="EFA4095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7E72DC4"/>
    <w:multiLevelType w:val="hybridMultilevel"/>
    <w:tmpl w:val="B6A08950"/>
    <w:lvl w:ilvl="0" w:tplc="498619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3" w15:restartNumberingAfterBreak="0">
    <w:nsid w:val="52972F03"/>
    <w:multiLevelType w:val="hybridMultilevel"/>
    <w:tmpl w:val="A2983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2C4851"/>
    <w:multiLevelType w:val="hybridMultilevel"/>
    <w:tmpl w:val="3DF43CA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6F8870EA"/>
    <w:multiLevelType w:val="hybridMultilevel"/>
    <w:tmpl w:val="1798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1" w15:restartNumberingAfterBreak="0">
    <w:nsid w:val="73FD727F"/>
    <w:multiLevelType w:val="hybridMultilevel"/>
    <w:tmpl w:val="78C2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67B93"/>
    <w:multiLevelType w:val="hybridMultilevel"/>
    <w:tmpl w:val="A358CF14"/>
    <w:lvl w:ilvl="0" w:tplc="E0B4D732">
      <w:start w:val="1"/>
      <w:numFmt w:val="bullet"/>
      <w:lvlText w:val=""/>
      <w:lvlJc w:val="left"/>
      <w:pPr>
        <w:ind w:left="340" w:hanging="34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19"/>
  </w:num>
  <w:num w:numId="5">
    <w:abstractNumId w:val="16"/>
  </w:num>
  <w:num w:numId="6">
    <w:abstractNumId w:val="1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8"/>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2"/>
  </w:num>
  <w:num w:numId="20">
    <w:abstractNumId w:val="20"/>
  </w:num>
  <w:num w:numId="21">
    <w:abstractNumId w:val="0"/>
  </w:num>
  <w:num w:numId="22">
    <w:abstractNumId w:val="18"/>
  </w:num>
  <w:num w:numId="23">
    <w:abstractNumId w:val="1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1"/>
  </w:num>
  <w:num w:numId="28">
    <w:abstractNumId w:val="11"/>
  </w:num>
  <w:num w:numId="29">
    <w:abstractNumId w:val="7"/>
  </w:num>
  <w:num w:numId="30">
    <w:abstractNumId w:val="1"/>
  </w:num>
  <w:num w:numId="31">
    <w:abstractNumId w:val="17"/>
  </w:num>
  <w:num w:numId="32">
    <w:abstractNumId w:val="22"/>
  </w:num>
  <w:num w:numId="33">
    <w:abstractNumId w:val="9"/>
  </w:num>
  <w:num w:numId="34">
    <w:abstractNumId w:val="5"/>
  </w:num>
  <w:num w:numId="35">
    <w:abstractNumId w:val="3"/>
  </w:num>
  <w:num w:numId="36">
    <w:abstractNumId w:val="14"/>
  </w:num>
  <w:num w:numId="37">
    <w:abstractNumId w:val="13"/>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0C"/>
    <w:rsid w:val="000022E5"/>
    <w:rsid w:val="00002F73"/>
    <w:rsid w:val="00007EB1"/>
    <w:rsid w:val="00014206"/>
    <w:rsid w:val="000230F3"/>
    <w:rsid w:val="00023AC4"/>
    <w:rsid w:val="000304B2"/>
    <w:rsid w:val="00031B5C"/>
    <w:rsid w:val="00034193"/>
    <w:rsid w:val="00034FEC"/>
    <w:rsid w:val="000407C0"/>
    <w:rsid w:val="0004082F"/>
    <w:rsid w:val="0004226D"/>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B2433"/>
    <w:rsid w:val="000C6ACC"/>
    <w:rsid w:val="000D106A"/>
    <w:rsid w:val="000D113F"/>
    <w:rsid w:val="000E351D"/>
    <w:rsid w:val="000E60F7"/>
    <w:rsid w:val="000F1B86"/>
    <w:rsid w:val="000F23B0"/>
    <w:rsid w:val="000F5917"/>
    <w:rsid w:val="001007B9"/>
    <w:rsid w:val="00105ECB"/>
    <w:rsid w:val="001205C8"/>
    <w:rsid w:val="001262CA"/>
    <w:rsid w:val="00131315"/>
    <w:rsid w:val="00132268"/>
    <w:rsid w:val="001336CF"/>
    <w:rsid w:val="00143288"/>
    <w:rsid w:val="0015537B"/>
    <w:rsid w:val="0016781C"/>
    <w:rsid w:val="00167EED"/>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E6E08"/>
    <w:rsid w:val="001F0654"/>
    <w:rsid w:val="001F3722"/>
    <w:rsid w:val="001F738E"/>
    <w:rsid w:val="001F7390"/>
    <w:rsid w:val="001F7D6E"/>
    <w:rsid w:val="0020007C"/>
    <w:rsid w:val="002115C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A57"/>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2215C"/>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4DF5"/>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2CDA"/>
    <w:rsid w:val="004759ED"/>
    <w:rsid w:val="00482DFE"/>
    <w:rsid w:val="00493E0A"/>
    <w:rsid w:val="004945F7"/>
    <w:rsid w:val="004957BB"/>
    <w:rsid w:val="00497F14"/>
    <w:rsid w:val="004B2CB0"/>
    <w:rsid w:val="004B7B8B"/>
    <w:rsid w:val="004C18F6"/>
    <w:rsid w:val="004C6518"/>
    <w:rsid w:val="004D0B40"/>
    <w:rsid w:val="004D24EB"/>
    <w:rsid w:val="004D688C"/>
    <w:rsid w:val="004E58AE"/>
    <w:rsid w:val="004F20A9"/>
    <w:rsid w:val="004F7121"/>
    <w:rsid w:val="004F73E8"/>
    <w:rsid w:val="0051316F"/>
    <w:rsid w:val="00523958"/>
    <w:rsid w:val="0053301E"/>
    <w:rsid w:val="005370B2"/>
    <w:rsid w:val="005400C8"/>
    <w:rsid w:val="00543E44"/>
    <w:rsid w:val="00543FDE"/>
    <w:rsid w:val="00552F1C"/>
    <w:rsid w:val="00562166"/>
    <w:rsid w:val="0056670C"/>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32B63"/>
    <w:rsid w:val="006427AA"/>
    <w:rsid w:val="006429D7"/>
    <w:rsid w:val="006454DC"/>
    <w:rsid w:val="00657D2D"/>
    <w:rsid w:val="00661E36"/>
    <w:rsid w:val="00663EAD"/>
    <w:rsid w:val="006674FC"/>
    <w:rsid w:val="006719C9"/>
    <w:rsid w:val="00672C0E"/>
    <w:rsid w:val="00675B34"/>
    <w:rsid w:val="00682080"/>
    <w:rsid w:val="00684ABF"/>
    <w:rsid w:val="00685BF1"/>
    <w:rsid w:val="00686A53"/>
    <w:rsid w:val="00692AE7"/>
    <w:rsid w:val="00697A16"/>
    <w:rsid w:val="00697F67"/>
    <w:rsid w:val="006A131D"/>
    <w:rsid w:val="006A2795"/>
    <w:rsid w:val="006A39D8"/>
    <w:rsid w:val="006A72D0"/>
    <w:rsid w:val="006B0488"/>
    <w:rsid w:val="006B089B"/>
    <w:rsid w:val="006B0A4C"/>
    <w:rsid w:val="006B3301"/>
    <w:rsid w:val="006B56FC"/>
    <w:rsid w:val="006C0869"/>
    <w:rsid w:val="006C7B63"/>
    <w:rsid w:val="006E086B"/>
    <w:rsid w:val="006E2EA3"/>
    <w:rsid w:val="006E350F"/>
    <w:rsid w:val="006E70FF"/>
    <w:rsid w:val="006F173B"/>
    <w:rsid w:val="00711110"/>
    <w:rsid w:val="00714E79"/>
    <w:rsid w:val="007239F8"/>
    <w:rsid w:val="00744E28"/>
    <w:rsid w:val="00753B4D"/>
    <w:rsid w:val="00754949"/>
    <w:rsid w:val="007660B9"/>
    <w:rsid w:val="00780AC4"/>
    <w:rsid w:val="00781797"/>
    <w:rsid w:val="007836C4"/>
    <w:rsid w:val="007956C4"/>
    <w:rsid w:val="007A27C5"/>
    <w:rsid w:val="007A52E1"/>
    <w:rsid w:val="007A6FC6"/>
    <w:rsid w:val="007B3B8A"/>
    <w:rsid w:val="007C3F60"/>
    <w:rsid w:val="007D680C"/>
    <w:rsid w:val="007F7FED"/>
    <w:rsid w:val="008051C4"/>
    <w:rsid w:val="00805B42"/>
    <w:rsid w:val="00806393"/>
    <w:rsid w:val="0081512D"/>
    <w:rsid w:val="00816393"/>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073E"/>
    <w:rsid w:val="00963FB3"/>
    <w:rsid w:val="009672EB"/>
    <w:rsid w:val="00973090"/>
    <w:rsid w:val="0099436F"/>
    <w:rsid w:val="009959E0"/>
    <w:rsid w:val="00996BEA"/>
    <w:rsid w:val="009A33FB"/>
    <w:rsid w:val="009A5056"/>
    <w:rsid w:val="009B1A44"/>
    <w:rsid w:val="009B300F"/>
    <w:rsid w:val="009B4379"/>
    <w:rsid w:val="009C7E63"/>
    <w:rsid w:val="009D161E"/>
    <w:rsid w:val="009F3057"/>
    <w:rsid w:val="009F751D"/>
    <w:rsid w:val="00A00EF2"/>
    <w:rsid w:val="00A069F9"/>
    <w:rsid w:val="00A07F0E"/>
    <w:rsid w:val="00A10AC2"/>
    <w:rsid w:val="00A173EC"/>
    <w:rsid w:val="00A17F9A"/>
    <w:rsid w:val="00A22358"/>
    <w:rsid w:val="00A3076D"/>
    <w:rsid w:val="00A346CA"/>
    <w:rsid w:val="00A477A0"/>
    <w:rsid w:val="00A47C07"/>
    <w:rsid w:val="00A50BDE"/>
    <w:rsid w:val="00A5524F"/>
    <w:rsid w:val="00A61711"/>
    <w:rsid w:val="00A62F19"/>
    <w:rsid w:val="00A63A3E"/>
    <w:rsid w:val="00A66C34"/>
    <w:rsid w:val="00A73CFD"/>
    <w:rsid w:val="00A77E87"/>
    <w:rsid w:val="00A80863"/>
    <w:rsid w:val="00A812ED"/>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51D82"/>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495"/>
    <w:rsid w:val="00C80CAE"/>
    <w:rsid w:val="00C86AD9"/>
    <w:rsid w:val="00C86F22"/>
    <w:rsid w:val="00C91A83"/>
    <w:rsid w:val="00C9650F"/>
    <w:rsid w:val="00C96ECF"/>
    <w:rsid w:val="00C9741E"/>
    <w:rsid w:val="00CA33C7"/>
    <w:rsid w:val="00CA3B51"/>
    <w:rsid w:val="00CB2C58"/>
    <w:rsid w:val="00CB38A3"/>
    <w:rsid w:val="00CB3B70"/>
    <w:rsid w:val="00CC1475"/>
    <w:rsid w:val="00CC6B7E"/>
    <w:rsid w:val="00CD47EC"/>
    <w:rsid w:val="00CD730D"/>
    <w:rsid w:val="00CE1635"/>
    <w:rsid w:val="00CF0D33"/>
    <w:rsid w:val="00CF7819"/>
    <w:rsid w:val="00D171A8"/>
    <w:rsid w:val="00D33707"/>
    <w:rsid w:val="00D41A54"/>
    <w:rsid w:val="00D4602A"/>
    <w:rsid w:val="00D4643A"/>
    <w:rsid w:val="00D46EB7"/>
    <w:rsid w:val="00D52159"/>
    <w:rsid w:val="00D54C52"/>
    <w:rsid w:val="00D54CE5"/>
    <w:rsid w:val="00D55E22"/>
    <w:rsid w:val="00D611A9"/>
    <w:rsid w:val="00D6122B"/>
    <w:rsid w:val="00D620F7"/>
    <w:rsid w:val="00D621F3"/>
    <w:rsid w:val="00D829EC"/>
    <w:rsid w:val="00D9012E"/>
    <w:rsid w:val="00D90897"/>
    <w:rsid w:val="00D93BE5"/>
    <w:rsid w:val="00DA3036"/>
    <w:rsid w:val="00DB015B"/>
    <w:rsid w:val="00DB20CE"/>
    <w:rsid w:val="00DB35E7"/>
    <w:rsid w:val="00DB5E67"/>
    <w:rsid w:val="00DB6F16"/>
    <w:rsid w:val="00DC3380"/>
    <w:rsid w:val="00DD654B"/>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345D4"/>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13B5"/>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122ADE"/>
  <w14:discardImageEditingData/>
  <w15:chartTrackingRefBased/>
  <w15:docId w15:val="{05B0BC67-2F1D-4A5F-A189-1425D51B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DD654B"/>
  </w:style>
  <w:style w:type="character" w:styleId="Hyperlink">
    <w:name w:val="Hyperlink"/>
    <w:basedOn w:val="DefaultParagraphFont"/>
    <w:uiPriority w:val="99"/>
    <w:semiHidden/>
    <w:unhideWhenUsed/>
    <w:rsid w:val="00A812ED"/>
    <w:rPr>
      <w:color w:val="0000FF"/>
      <w:u w:val="single"/>
    </w:rPr>
  </w:style>
  <w:style w:type="table" w:customStyle="1" w:styleId="NIAADefaultTableStyle1">
    <w:name w:val="NIAA Default Table Style1"/>
    <w:basedOn w:val="TableNormal"/>
    <w:uiPriority w:val="99"/>
    <w:rsid w:val="00D3370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styleId="ListTable1Light-Accent4">
    <w:name w:val="List Table 1 Light Accent 4"/>
    <w:basedOn w:val="TableNormal"/>
    <w:uiPriority w:val="46"/>
    <w:rsid w:val="00D33707"/>
    <w:pPr>
      <w:spacing w:after="0" w:line="240" w:lineRule="auto"/>
    </w:pPr>
    <w:tblPr>
      <w:tblStyleRowBandSize w:val="1"/>
      <w:tblStyleColBandSize w:val="1"/>
    </w:tblPr>
    <w:tblStylePr w:type="firstRow">
      <w:rPr>
        <w:b/>
        <w:bCs/>
      </w:rPr>
      <w:tblPr/>
      <w:tcPr>
        <w:tcBorders>
          <w:bottom w:val="single" w:sz="4" w:space="0" w:color="FFAD51" w:themeColor="accent4" w:themeTint="99"/>
        </w:tcBorders>
      </w:tcPr>
    </w:tblStylePr>
    <w:tblStylePr w:type="lastRow">
      <w:rPr>
        <w:b/>
        <w:bCs/>
      </w:rPr>
      <w:tblPr/>
      <w:tcPr>
        <w:tcBorders>
          <w:top w:val="single" w:sz="4" w:space="0" w:color="FFAD51" w:themeColor="accent4" w:themeTint="99"/>
        </w:tcBorders>
      </w:tcPr>
    </w:tblStylePr>
    <w:tblStylePr w:type="firstCol">
      <w:rPr>
        <w:b/>
        <w:bCs/>
      </w:rPr>
    </w:tblStylePr>
    <w:tblStylePr w:type="lastCol">
      <w:rPr>
        <w:b/>
        <w:bCs/>
      </w:rPr>
    </w:tblStylePr>
    <w:tblStylePr w:type="band1Vert">
      <w:tblPr/>
      <w:tcPr>
        <w:shd w:val="clear" w:color="auto" w:fill="FFE3C5" w:themeFill="accent4" w:themeFillTint="33"/>
      </w:tcPr>
    </w:tblStylePr>
    <w:tblStylePr w:type="band1Horz">
      <w:tblPr/>
      <w:tcPr>
        <w:shd w:val="clear" w:color="auto" w:fill="FFE3C5" w:themeFill="accent4" w:themeFillTint="33"/>
      </w:tcPr>
    </w:tblStylePr>
  </w:style>
  <w:style w:type="character" w:styleId="CommentReference">
    <w:name w:val="annotation reference"/>
    <w:basedOn w:val="DefaultParagraphFont"/>
    <w:uiPriority w:val="99"/>
    <w:semiHidden/>
    <w:unhideWhenUsed/>
    <w:rsid w:val="0056670C"/>
    <w:rPr>
      <w:sz w:val="16"/>
      <w:szCs w:val="16"/>
    </w:rPr>
  </w:style>
  <w:style w:type="paragraph" w:styleId="CommentText">
    <w:name w:val="annotation text"/>
    <w:basedOn w:val="Normal"/>
    <w:link w:val="CommentTextChar"/>
    <w:uiPriority w:val="99"/>
    <w:semiHidden/>
    <w:unhideWhenUsed/>
    <w:rsid w:val="0056670C"/>
    <w:pPr>
      <w:spacing w:line="240" w:lineRule="auto"/>
    </w:pPr>
  </w:style>
  <w:style w:type="character" w:customStyle="1" w:styleId="CommentTextChar">
    <w:name w:val="Comment Text Char"/>
    <w:basedOn w:val="DefaultParagraphFont"/>
    <w:link w:val="CommentText"/>
    <w:uiPriority w:val="99"/>
    <w:semiHidden/>
    <w:rsid w:val="0056670C"/>
  </w:style>
  <w:style w:type="paragraph" w:styleId="CommentSubject">
    <w:name w:val="annotation subject"/>
    <w:basedOn w:val="CommentText"/>
    <w:next w:val="CommentText"/>
    <w:link w:val="CommentSubjectChar"/>
    <w:uiPriority w:val="99"/>
    <w:semiHidden/>
    <w:unhideWhenUsed/>
    <w:rsid w:val="0056670C"/>
    <w:rPr>
      <w:b/>
      <w:bCs/>
    </w:rPr>
  </w:style>
  <w:style w:type="character" w:customStyle="1" w:styleId="CommentSubjectChar">
    <w:name w:val="Comment Subject Char"/>
    <w:basedOn w:val="CommentTextChar"/>
    <w:link w:val="CommentSubject"/>
    <w:uiPriority w:val="99"/>
    <w:semiHidden/>
    <w:rsid w:val="00566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a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ATSIActReview@nia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igenou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238\Desktop\CATSI%20Act%20Review\AAA%20Objects%20Fact%20Sheet%20Graphic%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527317A52240E78058F47F1B0B9860"/>
        <w:category>
          <w:name w:val="General"/>
          <w:gallery w:val="placeholder"/>
        </w:category>
        <w:types>
          <w:type w:val="bbPlcHdr"/>
        </w:types>
        <w:behaviors>
          <w:behavior w:val="content"/>
        </w:behaviors>
        <w:guid w:val="{5DF167D0-F8B7-427D-BC10-B18FB5707F8B}"/>
      </w:docPartPr>
      <w:docPartBody>
        <w:p w:rsidR="00FB12AA" w:rsidRDefault="0026730C">
          <w:pPr>
            <w:pStyle w:val="9B527317A52240E78058F47F1B0B9860"/>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0C"/>
    <w:rsid w:val="0026730C"/>
    <w:rsid w:val="005B3D6A"/>
    <w:rsid w:val="00FB1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9B527317A52240E78058F47F1B0B9860">
    <w:name w:val="9B527317A52240E78058F47F1B0B9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8C3708D8508394DB63B643564C73771" ma:contentTypeVersion="12" ma:contentTypeDescription="ShareHub Document" ma:contentTypeScope="" ma:versionID="945d8673053b6489c002848382e52e6b">
  <xsd:schema xmlns:xsd="http://www.w3.org/2001/XMLSchema" xmlns:xs="http://www.w3.org/2001/XMLSchema" xmlns:p="http://schemas.microsoft.com/office/2006/metadata/properties" xmlns:ns1="c60efad3-22ed-4885-82bc-c8aab45f4a41" xmlns:ns3="685f9fda-bd71-4433-b331-92feb9553089" targetNamespace="http://schemas.microsoft.com/office/2006/metadata/properties" ma:root="true" ma:fieldsID="5a8904389505b4fe71c8081f7ee98294" ns1:_="" ns3:_="">
    <xsd:import namespace="c60efad3-22ed-4885-82bc-c8aab45f4a4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dba6242bb87341f08b4ddcd845dd41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fad3-22ed-4885-82bc-c8aab45f4a4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5bdf7e-3142-4b5f-8e7c-e3dcf007868a}" ma:internalName="TaxCatchAll" ma:showField="CatchAllData"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5bdf7e-3142-4b5f-8e7c-e3dcf007868a}" ma:internalName="TaxCatchAllLabel" ma:readOnly="true" ma:showField="CatchAllDataLabel"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ba6242bb87341f08b4ddcd845dd4132" ma:index="18" nillable="true" ma:taxonomy="true" ma:internalName="dba6242bb87341f08b4ddcd845dd4132" ma:taxonomyFieldName="ESearchTags" ma:displayName="Tags" ma:fieldId="{dba6242b-b873-41f0-8b4d-dcd845dd4132}"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OFFICIAL</Classification>
  <DLM/>
  <SectionName>CATSI Act Review</SectionName>
  <DH/>
  <Bylin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ba6242bb87341f08b4ddcd845dd4132 xmlns="c60efad3-22ed-4885-82bc-c8aab45f4a41">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dba6242bb87341f08b4ddcd845dd4132>
    <jd1c641577414dfdab1686c9d5d0dbd0 xmlns="c60efad3-22ed-4885-82bc-c8aab45f4a41">
      <Terms xmlns="http://schemas.microsoft.com/office/infopath/2007/PartnerControls"/>
    </jd1c641577414dfdab1686c9d5d0dbd0>
    <ShareHubID xmlns="c60efad3-22ed-4885-82bc-c8aab45f4a41">PDOC20-36340</ShareHubID>
    <PMCNotes xmlns="c60efad3-22ed-4885-82bc-c8aab45f4a41" xsi:nil="true"/>
    <mc5611b894cf49d8aeeb8ebf39dc09bc xmlns="c60efad3-22ed-4885-82bc-c8aab45f4a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c60efad3-22ed-4885-82bc-c8aab45f4a41">
      <Value>41</Value>
      <Value>37</Value>
      <Value>7</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34C5F8D-A60F-4B6A-AFE7-1999F0796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fad3-22ed-4885-82bc-c8aab45f4a4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53B99B1C-A28E-41DC-BC11-5DF6E31C9BF1}">
  <ds:schemaRefs>
    <ds:schemaRef ds:uri="c60efad3-22ed-4885-82bc-c8aab45f4a41"/>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terms/"/>
  </ds:schemaRefs>
</ds:datastoreItem>
</file>

<file path=customXml/itemProps5.xml><?xml version="1.0" encoding="utf-8"?>
<ds:datastoreItem xmlns:ds="http://schemas.openxmlformats.org/officeDocument/2006/customXml" ds:itemID="{B14286F5-84D4-453C-9210-1B6330FA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Objects Fact Sheet Graphic Design.dotx</Template>
  <TotalTime>21</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Objects of the CATSI Act Fact Sheet</dc:title>
  <dc:subject/>
  <dc:creator>McPherson, James</dc:creator>
  <cp:keywords/>
  <dc:description/>
  <cp:lastModifiedBy>Lipapis, Anastasia</cp:lastModifiedBy>
  <cp:revision>9</cp:revision>
  <dcterms:created xsi:type="dcterms:W3CDTF">2020-07-31T02:27:00Z</dcterms:created>
  <dcterms:modified xsi:type="dcterms:W3CDTF">2020-07-31T06:04:00Z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0x0101002825A64A6E1845A99A9D8EE8A5686ECB00F8C3708D8508394DB63B643564C73771</vt:lpwstr>
  </property>
  <property fmtid="{D5CDD505-2E9C-101B-9397-08002B2CF9AE}" pid="3" name="HPRMSecurityCaveat">
    <vt:lpwstr/>
  </property>
  <property fmtid="{D5CDD505-2E9C-101B-9397-08002B2CF9AE}" pid="4" name="ESearchTags">
    <vt:lpwstr>7;#ORIC|d151c637-14dd-4e1a-a8c5-ebf2e3d90de4;#41;#COVID-19|c1da604a-829f-435b-844b-fd97e09d1455</vt:lpwstr>
  </property>
  <property fmtid="{D5CDD505-2E9C-101B-9397-08002B2CF9AE}" pid="5" name="HPRMSecurityLevel">
    <vt:lpwstr>37;#OFFICIAL|11463c70-78df-4e3b-b0ff-f66cd3cb26ec</vt:lpwstr>
  </property>
  <property fmtid="{D5CDD505-2E9C-101B-9397-08002B2CF9AE}" pid="6" name="PMC.ESearch.TagGeneratedTime">
    <vt:lpwstr>2020-07-31T14:20:32</vt:lpwstr>
  </property>
</Properties>
</file>