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34941" w14:textId="77777777" w:rsidR="004163FA" w:rsidRDefault="00132077" w:rsidP="00206976">
      <w:pPr>
        <w:pStyle w:val="ProtectiveMarking"/>
        <w:spacing w:before="1320" w:after="240"/>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Choose Classification">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684ABF">
            <w:t>Choose Classification</w:t>
          </w:r>
        </w:sdtContent>
      </w:sdt>
    </w:p>
    <w:p w14:paraId="041E35C8" w14:textId="77777777" w:rsidR="00822E67" w:rsidRPr="004D1065" w:rsidRDefault="00822E67" w:rsidP="00822E67">
      <w:pPr>
        <w:pStyle w:val="Title"/>
        <w:rPr>
          <w:sz w:val="56"/>
          <w:szCs w:val="56"/>
        </w:rPr>
      </w:pPr>
      <w:r>
        <w:rPr>
          <w:sz w:val="56"/>
          <w:szCs w:val="56"/>
        </w:rPr>
        <w:t>2023 APS Employee Census Action Plan</w:t>
      </w:r>
    </w:p>
    <w:p w14:paraId="1601F41A" w14:textId="77777777" w:rsidR="00822E67" w:rsidRDefault="00822E67" w:rsidP="00822E67">
      <w:pPr>
        <w:pStyle w:val="Subtitle"/>
      </w:pPr>
      <w:r>
        <w:t>November 2023</w:t>
      </w:r>
    </w:p>
    <w:p w14:paraId="63FE56FF" w14:textId="77777777" w:rsidR="00822E67" w:rsidRDefault="00822E67" w:rsidP="00822E67">
      <w:pPr>
        <w:pStyle w:val="Heading1"/>
      </w:pPr>
      <w:r>
        <w:t>Our Plan</w:t>
      </w:r>
    </w:p>
    <w:p w14:paraId="2F5C4E67" w14:textId="77777777" w:rsidR="00822E67" w:rsidRPr="007F0D92" w:rsidRDefault="00822E67" w:rsidP="00822E67">
      <w:pPr>
        <w:pStyle w:val="BodyText"/>
      </w:pPr>
      <w:r w:rsidRPr="007F0D92">
        <w:t xml:space="preserve">Our Census Plan sets out the actions we’ll take over the next year to improve our working environment and practices. It has been created in response to what our staff told us in the 2023 APS Employee Census. It has been built through broad consultation with staff to reflect our shared ideas and aspirations for the NIAA. </w:t>
      </w:r>
    </w:p>
    <w:p w14:paraId="03389020" w14:textId="77777777" w:rsidR="00822E67" w:rsidRPr="007F0D92" w:rsidRDefault="00822E67" w:rsidP="00822E67">
      <w:pPr>
        <w:pStyle w:val="BodyText"/>
      </w:pPr>
      <w:r w:rsidRPr="007F0D92">
        <w:t>The Plan is also supported by branch action plans. These focus on what NIAA teams will do to contribute to continuous improvement across the agency.</w:t>
      </w:r>
    </w:p>
    <w:p w14:paraId="2BFDD2C6" w14:textId="77777777" w:rsidR="00822E67" w:rsidRPr="007F0D92" w:rsidRDefault="00822E67" w:rsidP="00822E67">
      <w:pPr>
        <w:pStyle w:val="BodyText"/>
      </w:pPr>
      <w:r w:rsidRPr="007F0D92">
        <w:t>The NIAA is committed to being inclusive and implementing this action plan so our staff and organisational culture are diverse, strong and thriving, and every individual in the agency feels safe, valued and empowered. This puts us in the best position to deliver our vision and purpose.</w:t>
      </w:r>
    </w:p>
    <w:p w14:paraId="438BC3C8" w14:textId="77777777" w:rsidR="00822E67" w:rsidRPr="000D2E56" w:rsidRDefault="00822E67" w:rsidP="00822E67">
      <w:pPr>
        <w:pStyle w:val="Heading1"/>
      </w:pPr>
      <w:r>
        <w:lastRenderedPageBreak/>
        <w:t>Our Target Areas</w:t>
      </w:r>
    </w:p>
    <w:p w14:paraId="63E2B5EE" w14:textId="77777777" w:rsidR="00822E67" w:rsidRDefault="00822E67" w:rsidP="00822E67">
      <w:pPr>
        <w:pStyle w:val="BodyText"/>
      </w:pPr>
      <w:r>
        <w:t>Our staff told us they wanted the plan to focus on:</w:t>
      </w:r>
    </w:p>
    <w:p w14:paraId="0B6A6958" w14:textId="77777777" w:rsidR="00822E67" w:rsidRDefault="00822E67" w:rsidP="00822E67">
      <w:pPr>
        <w:pStyle w:val="NumberedListlevel1"/>
      </w:pPr>
      <w:r>
        <w:t>Wellbeing at work</w:t>
      </w:r>
    </w:p>
    <w:p w14:paraId="0C580E71" w14:textId="77777777" w:rsidR="00822E67" w:rsidRDefault="00822E67" w:rsidP="00822E67">
      <w:pPr>
        <w:pStyle w:val="NumberedListlevel1"/>
      </w:pPr>
      <w:r>
        <w:t>Workload management</w:t>
      </w:r>
    </w:p>
    <w:p w14:paraId="292EC4BE" w14:textId="77777777" w:rsidR="00822E67" w:rsidRDefault="00822E67" w:rsidP="00822E67">
      <w:pPr>
        <w:pStyle w:val="NumberedListlevel1"/>
      </w:pPr>
      <w:r>
        <w:t xml:space="preserve">An inclusive workplace culture, where action is taken to eliminate bullying, harassment and discrimination. </w:t>
      </w:r>
    </w:p>
    <w:p w14:paraId="023E6FA4" w14:textId="77777777" w:rsidR="00822E67" w:rsidRDefault="00822E67">
      <w:pPr>
        <w:rPr>
          <w:rFonts w:asciiTheme="majorHAnsi" w:eastAsiaTheme="majorEastAsia" w:hAnsiTheme="majorHAnsi" w:cstheme="majorBidi"/>
          <w:color w:val="2A4055" w:themeColor="accent1"/>
          <w:sz w:val="36"/>
          <w:szCs w:val="36"/>
        </w:rPr>
      </w:pPr>
      <w:r>
        <w:br w:type="page"/>
      </w:r>
    </w:p>
    <w:p w14:paraId="304D860D" w14:textId="77777777" w:rsidR="00822E67" w:rsidRDefault="00822E67" w:rsidP="00822E67">
      <w:pPr>
        <w:pStyle w:val="Heading2"/>
      </w:pPr>
      <w:r>
        <w:lastRenderedPageBreak/>
        <w:t xml:space="preserve">Wellbeing at work </w:t>
      </w:r>
    </w:p>
    <w:p w14:paraId="291C5F4B" w14:textId="77777777" w:rsidR="00822E67" w:rsidRPr="007F0D92" w:rsidRDefault="00822E67" w:rsidP="00822E67">
      <w:pPr>
        <w:pStyle w:val="BodyText"/>
      </w:pPr>
      <w:r w:rsidRPr="007F0D92">
        <w:t>Staff said they wanted to make wellbeing part of everything we do, so we’ll:</w:t>
      </w:r>
    </w:p>
    <w:p w14:paraId="40807E10" w14:textId="77777777" w:rsidR="00822E67" w:rsidRPr="007F0D92" w:rsidRDefault="00822E67" w:rsidP="00822E67">
      <w:pPr>
        <w:pStyle w:val="BulletedListlvl1"/>
      </w:pPr>
      <w:r w:rsidRPr="007F0D92">
        <w:t>Promote wellbeing supports, making sure staff know how to use and access them</w:t>
      </w:r>
    </w:p>
    <w:p w14:paraId="1C710009" w14:textId="77777777" w:rsidR="00822E67" w:rsidRPr="007F0D92" w:rsidRDefault="00822E67" w:rsidP="00822E67">
      <w:pPr>
        <w:pStyle w:val="BulletedListlvl1"/>
      </w:pPr>
      <w:r w:rsidRPr="007F0D92">
        <w:t>Talk more about wellbeing through agency-wide communications</w:t>
      </w:r>
    </w:p>
    <w:p w14:paraId="361B130A" w14:textId="77777777" w:rsidR="00822E67" w:rsidRPr="007F0D92" w:rsidRDefault="00822E67" w:rsidP="00822E67">
      <w:pPr>
        <w:pStyle w:val="BulletedListlvl1"/>
      </w:pPr>
      <w:r w:rsidRPr="007F0D92">
        <w:t>Create a plan for new and updated ways to support wellbeing</w:t>
      </w:r>
    </w:p>
    <w:p w14:paraId="47B64232" w14:textId="77777777" w:rsidR="00822E67" w:rsidRDefault="00822E67" w:rsidP="00822E67">
      <w:pPr>
        <w:pStyle w:val="BulletedListlvl1"/>
      </w:pPr>
      <w:r w:rsidRPr="007F0D92">
        <w:t>Revitalise the Wellbeing Network</w:t>
      </w:r>
    </w:p>
    <w:p w14:paraId="361650A8" w14:textId="77777777" w:rsidR="00822E67" w:rsidRDefault="00822E67" w:rsidP="00822E67">
      <w:pPr>
        <w:pStyle w:val="Heading2"/>
      </w:pPr>
      <w:r>
        <w:t xml:space="preserve">Workload management </w:t>
      </w:r>
    </w:p>
    <w:p w14:paraId="1121045E" w14:textId="77777777" w:rsidR="00822E67" w:rsidRDefault="00822E67" w:rsidP="00822E67">
      <w:pPr>
        <w:pStyle w:val="BodyText"/>
      </w:pPr>
      <w:r>
        <w:t>Staff said they wanted more support to manage individual and team workloads, so we’ll:</w:t>
      </w:r>
    </w:p>
    <w:p w14:paraId="3AB13AA1" w14:textId="77777777" w:rsidR="00822E67" w:rsidRDefault="00822E67" w:rsidP="00822E67">
      <w:pPr>
        <w:pStyle w:val="BulletedListlvl1"/>
      </w:pPr>
      <w:r>
        <w:t>Improve workforce planning (recruitment, retention, capability) and develop ways to support work/life balance</w:t>
      </w:r>
    </w:p>
    <w:p w14:paraId="3C22F9F8" w14:textId="77777777" w:rsidR="00822E67" w:rsidRDefault="00822E67" w:rsidP="00822E67">
      <w:pPr>
        <w:pStyle w:val="BulletedListlvl1"/>
      </w:pPr>
      <w:r>
        <w:t>Explore more ways to support innovation and reduce administrative burden</w:t>
      </w:r>
    </w:p>
    <w:p w14:paraId="24DC83E0" w14:textId="77777777" w:rsidR="00822E67" w:rsidRDefault="00822E67" w:rsidP="00822E67">
      <w:pPr>
        <w:pStyle w:val="BulletedListlvl1"/>
      </w:pPr>
      <w:r>
        <w:t xml:space="preserve">Provide support to focus on continuous improvement </w:t>
      </w:r>
    </w:p>
    <w:p w14:paraId="3ABBE79D" w14:textId="77777777" w:rsidR="00822E67" w:rsidRDefault="00822E67" w:rsidP="00822E67">
      <w:pPr>
        <w:pStyle w:val="BulletedListlvl1"/>
      </w:pPr>
      <w:r>
        <w:t xml:space="preserve">Connect staff to internal resources that help with change and project management </w:t>
      </w:r>
    </w:p>
    <w:p w14:paraId="55B15790" w14:textId="77777777" w:rsidR="00822E67" w:rsidRDefault="00822E67" w:rsidP="00822E67">
      <w:pPr>
        <w:pStyle w:val="BulletedListlvl1"/>
      </w:pPr>
      <w:r>
        <w:t>Create new tools to help staff prioritise work</w:t>
      </w:r>
    </w:p>
    <w:p w14:paraId="0F790DE0" w14:textId="77777777" w:rsidR="00822E67" w:rsidRDefault="00822E67" w:rsidP="00822E67">
      <w:pPr>
        <w:pStyle w:val="Heading2"/>
      </w:pPr>
      <w:r>
        <w:t xml:space="preserve">An inclusive workplace culture </w:t>
      </w:r>
    </w:p>
    <w:p w14:paraId="321606B2" w14:textId="77777777" w:rsidR="00822E67" w:rsidRPr="007F0D92" w:rsidRDefault="00822E67" w:rsidP="00822E67">
      <w:pPr>
        <w:pStyle w:val="BodyText"/>
      </w:pPr>
      <w:r w:rsidRPr="007F0D92">
        <w:t>Staff said they wanted to address bullying, harassment and discrimination, so we’ll:</w:t>
      </w:r>
    </w:p>
    <w:p w14:paraId="120B969C" w14:textId="77777777" w:rsidR="00822E67" w:rsidRPr="007F0D92" w:rsidRDefault="00822E67" w:rsidP="00822E67">
      <w:pPr>
        <w:pStyle w:val="BulletedListlvl1"/>
      </w:pPr>
      <w:r>
        <w:t xml:space="preserve">Deliver </w:t>
      </w:r>
      <w:r w:rsidRPr="007F0D92">
        <w:t>more education and training on bullying, harassment and discrimination</w:t>
      </w:r>
    </w:p>
    <w:p w14:paraId="619D9E22" w14:textId="77777777" w:rsidR="00822E67" w:rsidRPr="007F0D92" w:rsidRDefault="00822E67" w:rsidP="00822E67">
      <w:pPr>
        <w:pStyle w:val="BulletedListlvl1"/>
      </w:pPr>
      <w:r w:rsidRPr="007F0D92">
        <w:t>Deliver more education and training on working well in teams and how to deal with team tension</w:t>
      </w:r>
    </w:p>
    <w:p w14:paraId="76C878C8" w14:textId="77777777" w:rsidR="00822E67" w:rsidRPr="007F0D92" w:rsidRDefault="00822E67" w:rsidP="00822E67">
      <w:pPr>
        <w:pStyle w:val="BulletedListlvl1"/>
      </w:pPr>
      <w:r w:rsidRPr="007F0D92">
        <w:t xml:space="preserve">Promote the role of our Harassment Contact officers and how they can support staff </w:t>
      </w:r>
    </w:p>
    <w:p w14:paraId="03CE8938" w14:textId="77777777" w:rsidR="00822E67" w:rsidRPr="007F0D92" w:rsidRDefault="00822E67" w:rsidP="00822E67">
      <w:pPr>
        <w:pStyle w:val="BulletedListlvl1"/>
      </w:pPr>
      <w:r w:rsidRPr="007F0D92">
        <w:t>Promote our values and behaviours</w:t>
      </w:r>
    </w:p>
    <w:p w14:paraId="2572E6DD" w14:textId="77777777" w:rsidR="00822E67" w:rsidRPr="007F0D92" w:rsidRDefault="00822E67" w:rsidP="00822E67">
      <w:pPr>
        <w:pStyle w:val="BulletedListlvl1"/>
      </w:pPr>
      <w:r w:rsidRPr="007F0D92">
        <w:t>Launch a Diversity and Inclusion Framework</w:t>
      </w:r>
    </w:p>
    <w:p w14:paraId="440F64A2" w14:textId="77777777" w:rsidR="00822E67" w:rsidRPr="007F0D92" w:rsidRDefault="00822E67" w:rsidP="00822E67">
      <w:pPr>
        <w:pStyle w:val="BulletedListlvl1"/>
      </w:pPr>
      <w:r w:rsidRPr="007F0D92">
        <w:lastRenderedPageBreak/>
        <w:t xml:space="preserve">Adopt the APSC Cultural Capability Framework </w:t>
      </w:r>
    </w:p>
    <w:p w14:paraId="1D94651C" w14:textId="77777777" w:rsidR="00A346CA" w:rsidRPr="000D2E56" w:rsidRDefault="00822E67" w:rsidP="00822E67">
      <w:pPr>
        <w:pStyle w:val="Heading1"/>
      </w:pPr>
      <w:r>
        <w:t>Target areas</w:t>
      </w:r>
    </w:p>
    <w:p w14:paraId="60F796DF" w14:textId="77777777" w:rsidR="00822E67" w:rsidRDefault="00822E67" w:rsidP="00822E67">
      <w:pPr>
        <w:pStyle w:val="NumberedListlevel1"/>
        <w:numPr>
          <w:ilvl w:val="0"/>
          <w:numId w:val="27"/>
        </w:numPr>
      </w:pPr>
      <w:r>
        <w:t xml:space="preserve">Wellbeing at work </w:t>
      </w:r>
    </w:p>
    <w:p w14:paraId="1563CF97" w14:textId="77777777" w:rsidR="00822E67" w:rsidRPr="00822E67" w:rsidRDefault="00822E67" w:rsidP="00822E67">
      <w:pPr>
        <w:pStyle w:val="NumberedListlevel1"/>
        <w:numPr>
          <w:ilvl w:val="0"/>
          <w:numId w:val="0"/>
        </w:numPr>
        <w:ind w:left="568" w:hanging="284"/>
      </w:pPr>
    </w:p>
    <w:tbl>
      <w:tblPr>
        <w:tblStyle w:val="NIAATable-simple"/>
        <w:tblW w:w="5000" w:type="pct"/>
        <w:tblLook w:val="0620" w:firstRow="1" w:lastRow="0" w:firstColumn="0" w:lastColumn="0" w:noHBand="1" w:noVBand="1"/>
      </w:tblPr>
      <w:tblGrid>
        <w:gridCol w:w="7799"/>
        <w:gridCol w:w="2833"/>
        <w:gridCol w:w="4504"/>
      </w:tblGrid>
      <w:tr w:rsidR="00822E67" w:rsidRPr="00AA4D84" w14:paraId="593B1D67" w14:textId="77777777" w:rsidTr="00822E67">
        <w:trPr>
          <w:cnfStyle w:val="100000000000" w:firstRow="1" w:lastRow="0" w:firstColumn="0" w:lastColumn="0" w:oddVBand="0" w:evenVBand="0" w:oddHBand="0" w:evenHBand="0" w:firstRowFirstColumn="0" w:firstRowLastColumn="0" w:lastRowFirstColumn="0" w:lastRowLastColumn="0"/>
          <w:cantSplit/>
          <w:trHeight w:val="350"/>
          <w:tblHeader/>
        </w:trPr>
        <w:tc>
          <w:tcPr>
            <w:tcW w:w="2576" w:type="pct"/>
            <w:shd w:val="clear" w:color="auto" w:fill="36526D" w:themeFill="accent1" w:themeFillTint="E6"/>
          </w:tcPr>
          <w:p w14:paraId="311FA0E2" w14:textId="77777777" w:rsidR="00822E67" w:rsidRPr="001912A0" w:rsidRDefault="00822E67" w:rsidP="00DB24D3">
            <w:pPr>
              <w:pStyle w:val="Tableheading"/>
              <w:rPr>
                <w:b/>
              </w:rPr>
            </w:pPr>
            <w:r>
              <w:rPr>
                <w:b/>
              </w:rPr>
              <w:t>Action steps</w:t>
            </w:r>
          </w:p>
        </w:tc>
        <w:tc>
          <w:tcPr>
            <w:tcW w:w="936" w:type="pct"/>
            <w:shd w:val="clear" w:color="auto" w:fill="36526D" w:themeFill="accent1" w:themeFillTint="E6"/>
          </w:tcPr>
          <w:p w14:paraId="256BCD74" w14:textId="77777777" w:rsidR="00822E67" w:rsidRPr="001912A0" w:rsidRDefault="00822E67" w:rsidP="00DB24D3">
            <w:pPr>
              <w:pStyle w:val="Tableheading"/>
              <w:rPr>
                <w:b/>
              </w:rPr>
            </w:pPr>
            <w:r>
              <w:rPr>
                <w:b/>
              </w:rPr>
              <w:t>Status and timing</w:t>
            </w:r>
          </w:p>
        </w:tc>
        <w:tc>
          <w:tcPr>
            <w:tcW w:w="1488" w:type="pct"/>
            <w:shd w:val="clear" w:color="auto" w:fill="36526D" w:themeFill="accent1" w:themeFillTint="E6"/>
          </w:tcPr>
          <w:p w14:paraId="33B59C54" w14:textId="77777777" w:rsidR="00822E67" w:rsidRPr="001912A0" w:rsidRDefault="00822E67" w:rsidP="00DB24D3">
            <w:pPr>
              <w:pStyle w:val="Tableheading"/>
              <w:rPr>
                <w:b/>
              </w:rPr>
            </w:pPr>
            <w:r>
              <w:rPr>
                <w:b/>
              </w:rPr>
              <w:t>Responsibility</w:t>
            </w:r>
          </w:p>
        </w:tc>
      </w:tr>
      <w:tr w:rsidR="00822E67" w:rsidRPr="00FF5459" w14:paraId="5FAAD94E" w14:textId="77777777" w:rsidTr="00822E67">
        <w:trPr>
          <w:trHeight w:val="350"/>
        </w:trPr>
        <w:tc>
          <w:tcPr>
            <w:tcW w:w="2576" w:type="pct"/>
            <w:tcBorders>
              <w:bottom w:val="single" w:sz="12" w:space="0" w:color="D1D1D1" w:themeColor="accent6"/>
            </w:tcBorders>
          </w:tcPr>
          <w:p w14:paraId="4BE3DEEB" w14:textId="77777777" w:rsidR="00822E67" w:rsidRPr="00FF5459" w:rsidRDefault="00822E67" w:rsidP="00822E67">
            <w:pPr>
              <w:pStyle w:val="Tablenumbering"/>
              <w:numPr>
                <w:ilvl w:val="1"/>
                <w:numId w:val="28"/>
              </w:numPr>
            </w:pPr>
            <w:r w:rsidRPr="00822E67">
              <w:t xml:space="preserve">Actively promote and consistently </w:t>
            </w:r>
            <w:proofErr w:type="gramStart"/>
            <w:r w:rsidRPr="00822E67">
              <w:t>apply  wellbeing</w:t>
            </w:r>
            <w:proofErr w:type="gramEnd"/>
            <w:r w:rsidRPr="00822E67">
              <w:t xml:space="preserve"> supports and policies, including how to access them.</w:t>
            </w:r>
          </w:p>
        </w:tc>
        <w:tc>
          <w:tcPr>
            <w:tcW w:w="936" w:type="pct"/>
            <w:tcBorders>
              <w:bottom w:val="single" w:sz="12" w:space="0" w:color="D1D1D1" w:themeColor="accent6"/>
            </w:tcBorders>
          </w:tcPr>
          <w:p w14:paraId="7FEBC9CA" w14:textId="77777777" w:rsidR="00822E67" w:rsidRDefault="00822E67" w:rsidP="00822E67">
            <w:r>
              <w:t>Ongoing</w:t>
            </w:r>
          </w:p>
        </w:tc>
        <w:tc>
          <w:tcPr>
            <w:tcW w:w="1488" w:type="pct"/>
            <w:tcBorders>
              <w:bottom w:val="single" w:sz="12" w:space="0" w:color="D1D1D1" w:themeColor="accent6"/>
            </w:tcBorders>
          </w:tcPr>
          <w:p w14:paraId="13A94438" w14:textId="77777777" w:rsidR="00822E67" w:rsidRPr="00E57F00" w:rsidRDefault="00822E67" w:rsidP="00822E67">
            <w:r w:rsidRPr="00E57F00">
              <w:t xml:space="preserve">Regional Managers, Branch Managers and Group Managers, coordinated by Corporate Group </w:t>
            </w:r>
          </w:p>
        </w:tc>
      </w:tr>
      <w:tr w:rsidR="00822E67" w:rsidRPr="00FF5459" w14:paraId="2F1DA190" w14:textId="77777777" w:rsidTr="00822E67">
        <w:trPr>
          <w:trHeight w:val="350"/>
        </w:trPr>
        <w:tc>
          <w:tcPr>
            <w:tcW w:w="2576" w:type="pct"/>
            <w:tcBorders>
              <w:top w:val="single" w:sz="12" w:space="0" w:color="D1D1D1" w:themeColor="accent6"/>
              <w:bottom w:val="single" w:sz="12" w:space="0" w:color="D1D1D1" w:themeColor="accent6"/>
            </w:tcBorders>
          </w:tcPr>
          <w:p w14:paraId="385F71AF" w14:textId="77777777" w:rsidR="00822E67" w:rsidRPr="00FF5459" w:rsidRDefault="00822E67" w:rsidP="00822E67">
            <w:pPr>
              <w:pStyle w:val="Tablenumbering"/>
              <w:numPr>
                <w:ilvl w:val="1"/>
                <w:numId w:val="28"/>
              </w:numPr>
            </w:pPr>
            <w:r w:rsidRPr="00822E67">
              <w:t>Regularly provide wellbeing information in Agency wide communication and promote regular manager to staff wellbeing conversations.</w:t>
            </w:r>
          </w:p>
        </w:tc>
        <w:tc>
          <w:tcPr>
            <w:tcW w:w="936" w:type="pct"/>
            <w:tcBorders>
              <w:top w:val="single" w:sz="12" w:space="0" w:color="D1D1D1" w:themeColor="accent6"/>
              <w:bottom w:val="single" w:sz="12" w:space="0" w:color="D1D1D1" w:themeColor="accent6"/>
            </w:tcBorders>
          </w:tcPr>
          <w:p w14:paraId="40991314" w14:textId="77777777" w:rsidR="00822E67" w:rsidRDefault="00822E67" w:rsidP="00822E67">
            <w:r>
              <w:t>Ongoing</w:t>
            </w:r>
          </w:p>
        </w:tc>
        <w:tc>
          <w:tcPr>
            <w:tcW w:w="1488" w:type="pct"/>
            <w:tcBorders>
              <w:top w:val="single" w:sz="12" w:space="0" w:color="D1D1D1" w:themeColor="accent6"/>
              <w:bottom w:val="single" w:sz="12" w:space="0" w:color="D1D1D1" w:themeColor="accent6"/>
            </w:tcBorders>
          </w:tcPr>
          <w:p w14:paraId="4B7DAB33" w14:textId="77777777" w:rsidR="00822E67" w:rsidRPr="00E57F00" w:rsidRDefault="00822E67" w:rsidP="00822E67">
            <w:r w:rsidRPr="00E57F00">
              <w:t>Corporate Group, supported by Wellbeing Network SES co-chair and driven by all Managers</w:t>
            </w:r>
          </w:p>
        </w:tc>
      </w:tr>
      <w:tr w:rsidR="00822E67" w:rsidRPr="00FF5459" w14:paraId="1FC1B71B" w14:textId="77777777" w:rsidTr="00822E67">
        <w:trPr>
          <w:trHeight w:val="350"/>
        </w:trPr>
        <w:tc>
          <w:tcPr>
            <w:tcW w:w="2576" w:type="pct"/>
            <w:tcBorders>
              <w:top w:val="single" w:sz="12" w:space="0" w:color="D1D1D1" w:themeColor="accent6"/>
              <w:bottom w:val="single" w:sz="12" w:space="0" w:color="D1D1D1" w:themeColor="accent6"/>
            </w:tcBorders>
          </w:tcPr>
          <w:p w14:paraId="1ECBE995" w14:textId="77777777" w:rsidR="00822E67" w:rsidRPr="00FF5459" w:rsidRDefault="00822E67" w:rsidP="00822E67">
            <w:pPr>
              <w:pStyle w:val="Tablenumbering"/>
              <w:numPr>
                <w:ilvl w:val="1"/>
                <w:numId w:val="28"/>
              </w:numPr>
            </w:pPr>
            <w:r w:rsidRPr="00822E67">
              <w:t>Deliver new and refreshed controls to manage psychosocial hazards and increase psychological safety.</w:t>
            </w:r>
          </w:p>
        </w:tc>
        <w:tc>
          <w:tcPr>
            <w:tcW w:w="936" w:type="pct"/>
            <w:tcBorders>
              <w:top w:val="single" w:sz="12" w:space="0" w:color="D1D1D1" w:themeColor="accent6"/>
              <w:bottom w:val="single" w:sz="12" w:space="0" w:color="D1D1D1" w:themeColor="accent6"/>
            </w:tcBorders>
          </w:tcPr>
          <w:p w14:paraId="0FCCAB8F" w14:textId="77777777" w:rsidR="00822E67" w:rsidRDefault="00822E67" w:rsidP="00822E67">
            <w:r>
              <w:t>Commenced for implementation by March 2024</w:t>
            </w:r>
          </w:p>
        </w:tc>
        <w:tc>
          <w:tcPr>
            <w:tcW w:w="1488" w:type="pct"/>
            <w:tcBorders>
              <w:top w:val="single" w:sz="12" w:space="0" w:color="D1D1D1" w:themeColor="accent6"/>
              <w:bottom w:val="single" w:sz="12" w:space="0" w:color="D1D1D1" w:themeColor="accent6"/>
            </w:tcBorders>
          </w:tcPr>
          <w:p w14:paraId="39DE49CB" w14:textId="77777777" w:rsidR="00822E67" w:rsidRPr="00E57F00" w:rsidRDefault="00822E67" w:rsidP="00822E67">
            <w:r w:rsidRPr="00E57F00">
              <w:t>Business Operations Support Branch, supported by Group Manager Corporate</w:t>
            </w:r>
          </w:p>
        </w:tc>
      </w:tr>
      <w:tr w:rsidR="00822E67" w:rsidRPr="00FF5459" w14:paraId="78725137" w14:textId="77777777" w:rsidTr="00822E67">
        <w:trPr>
          <w:trHeight w:val="350"/>
        </w:trPr>
        <w:tc>
          <w:tcPr>
            <w:tcW w:w="2576" w:type="pct"/>
            <w:tcBorders>
              <w:top w:val="single" w:sz="12" w:space="0" w:color="D1D1D1" w:themeColor="accent6"/>
              <w:bottom w:val="single" w:sz="12" w:space="0" w:color="D1D1D1" w:themeColor="accent6"/>
            </w:tcBorders>
          </w:tcPr>
          <w:p w14:paraId="659A4FC9" w14:textId="77777777" w:rsidR="00822E67" w:rsidRPr="00FF5459" w:rsidRDefault="00822E67" w:rsidP="00822E67">
            <w:pPr>
              <w:pStyle w:val="Tablenumbering"/>
              <w:numPr>
                <w:ilvl w:val="1"/>
                <w:numId w:val="28"/>
              </w:numPr>
            </w:pPr>
            <w:r w:rsidRPr="00822E67">
              <w:t>Revitalise the Wellbeing Network.</w:t>
            </w:r>
          </w:p>
        </w:tc>
        <w:tc>
          <w:tcPr>
            <w:tcW w:w="936" w:type="pct"/>
            <w:tcBorders>
              <w:top w:val="single" w:sz="12" w:space="0" w:color="D1D1D1" w:themeColor="accent6"/>
              <w:bottom w:val="single" w:sz="12" w:space="0" w:color="D1D1D1" w:themeColor="accent6"/>
            </w:tcBorders>
          </w:tcPr>
          <w:p w14:paraId="6BF3CF13" w14:textId="77777777" w:rsidR="00822E67" w:rsidRDefault="00822E67" w:rsidP="00822E67">
            <w:r>
              <w:t>Delivered by February 2024</w:t>
            </w:r>
          </w:p>
        </w:tc>
        <w:tc>
          <w:tcPr>
            <w:tcW w:w="1488" w:type="pct"/>
            <w:tcBorders>
              <w:top w:val="single" w:sz="12" w:space="0" w:color="D1D1D1" w:themeColor="accent6"/>
              <w:bottom w:val="single" w:sz="12" w:space="0" w:color="D1D1D1" w:themeColor="accent6"/>
            </w:tcBorders>
          </w:tcPr>
          <w:p w14:paraId="035BEBD1" w14:textId="77777777" w:rsidR="00822E67" w:rsidRPr="00E57F00" w:rsidRDefault="00822E67" w:rsidP="00822E67">
            <w:r w:rsidRPr="00E57F00">
              <w:t>Wellbeing Network SES co-chair</w:t>
            </w:r>
          </w:p>
        </w:tc>
      </w:tr>
    </w:tbl>
    <w:p w14:paraId="54A2B632" w14:textId="77777777" w:rsidR="00822E67" w:rsidRDefault="00822E67">
      <w:pPr>
        <w:rPr>
          <w:sz w:val="22"/>
        </w:rPr>
      </w:pPr>
      <w:r>
        <w:br w:type="page"/>
      </w:r>
    </w:p>
    <w:p w14:paraId="013488E4" w14:textId="77777777" w:rsidR="00822E67" w:rsidRDefault="00822E67" w:rsidP="00822E67">
      <w:pPr>
        <w:pStyle w:val="NumberedListlevel1"/>
        <w:numPr>
          <w:ilvl w:val="0"/>
          <w:numId w:val="27"/>
        </w:numPr>
      </w:pPr>
      <w:r>
        <w:lastRenderedPageBreak/>
        <w:t xml:space="preserve">Workload management </w:t>
      </w:r>
    </w:p>
    <w:p w14:paraId="57743572" w14:textId="77777777" w:rsidR="00822E67" w:rsidRPr="00822E67" w:rsidRDefault="00822E67" w:rsidP="00822E67">
      <w:pPr>
        <w:pStyle w:val="NumberedListlevel1"/>
        <w:numPr>
          <w:ilvl w:val="0"/>
          <w:numId w:val="0"/>
        </w:numPr>
        <w:ind w:left="568" w:hanging="284"/>
      </w:pPr>
    </w:p>
    <w:tbl>
      <w:tblPr>
        <w:tblStyle w:val="NIAATable-simple"/>
        <w:tblW w:w="5000" w:type="pct"/>
        <w:tblLook w:val="0620" w:firstRow="1" w:lastRow="0" w:firstColumn="0" w:lastColumn="0" w:noHBand="1" w:noVBand="1"/>
      </w:tblPr>
      <w:tblGrid>
        <w:gridCol w:w="7799"/>
        <w:gridCol w:w="2833"/>
        <w:gridCol w:w="4504"/>
      </w:tblGrid>
      <w:tr w:rsidR="00822E67" w:rsidRPr="00AA4D84" w14:paraId="240315A1" w14:textId="77777777" w:rsidTr="00E027BE">
        <w:trPr>
          <w:cnfStyle w:val="100000000000" w:firstRow="1" w:lastRow="0" w:firstColumn="0" w:lastColumn="0" w:oddVBand="0" w:evenVBand="0" w:oddHBand="0" w:evenHBand="0" w:firstRowFirstColumn="0" w:firstRowLastColumn="0" w:lastRowFirstColumn="0" w:lastRowLastColumn="0"/>
          <w:cantSplit/>
          <w:trHeight w:val="350"/>
          <w:tblHeader/>
        </w:trPr>
        <w:tc>
          <w:tcPr>
            <w:tcW w:w="2576" w:type="pct"/>
            <w:shd w:val="clear" w:color="auto" w:fill="36526D" w:themeFill="accent1" w:themeFillTint="E6"/>
          </w:tcPr>
          <w:p w14:paraId="20332D1C" w14:textId="77777777" w:rsidR="00822E67" w:rsidRPr="001912A0" w:rsidRDefault="00822E67" w:rsidP="00E027BE">
            <w:pPr>
              <w:pStyle w:val="Tableheading"/>
              <w:rPr>
                <w:b/>
              </w:rPr>
            </w:pPr>
            <w:r>
              <w:rPr>
                <w:b/>
              </w:rPr>
              <w:t>Action steps</w:t>
            </w:r>
          </w:p>
        </w:tc>
        <w:tc>
          <w:tcPr>
            <w:tcW w:w="936" w:type="pct"/>
            <w:shd w:val="clear" w:color="auto" w:fill="36526D" w:themeFill="accent1" w:themeFillTint="E6"/>
          </w:tcPr>
          <w:p w14:paraId="6656502E" w14:textId="77777777" w:rsidR="00822E67" w:rsidRPr="001912A0" w:rsidRDefault="00822E67" w:rsidP="00E027BE">
            <w:pPr>
              <w:pStyle w:val="Tableheading"/>
              <w:rPr>
                <w:b/>
              </w:rPr>
            </w:pPr>
            <w:r>
              <w:rPr>
                <w:b/>
              </w:rPr>
              <w:t>Status and timing</w:t>
            </w:r>
          </w:p>
        </w:tc>
        <w:tc>
          <w:tcPr>
            <w:tcW w:w="1488" w:type="pct"/>
            <w:shd w:val="clear" w:color="auto" w:fill="36526D" w:themeFill="accent1" w:themeFillTint="E6"/>
          </w:tcPr>
          <w:p w14:paraId="184ED9B8" w14:textId="77777777" w:rsidR="00822E67" w:rsidRPr="001912A0" w:rsidRDefault="00822E67" w:rsidP="00E027BE">
            <w:pPr>
              <w:pStyle w:val="Tableheading"/>
              <w:rPr>
                <w:b/>
              </w:rPr>
            </w:pPr>
            <w:r>
              <w:rPr>
                <w:b/>
              </w:rPr>
              <w:t>Responsibility</w:t>
            </w:r>
          </w:p>
        </w:tc>
      </w:tr>
      <w:tr w:rsidR="00822E67" w:rsidRPr="00FF5459" w14:paraId="35C44784" w14:textId="77777777" w:rsidTr="00822E67">
        <w:trPr>
          <w:trHeight w:val="350"/>
          <w:hidden/>
        </w:trPr>
        <w:tc>
          <w:tcPr>
            <w:tcW w:w="2576" w:type="pct"/>
            <w:tcBorders>
              <w:bottom w:val="single" w:sz="12" w:space="0" w:color="D1D1D1" w:themeColor="accent6"/>
            </w:tcBorders>
          </w:tcPr>
          <w:p w14:paraId="2561744B" w14:textId="77777777" w:rsidR="00822E67" w:rsidRPr="00822E67" w:rsidRDefault="00822E67" w:rsidP="00822E67">
            <w:pPr>
              <w:pStyle w:val="ListParagraph"/>
              <w:numPr>
                <w:ilvl w:val="0"/>
                <w:numId w:val="30"/>
              </w:numPr>
              <w:contextualSpacing w:val="0"/>
              <w:rPr>
                <w:rFonts w:ascii="Calibri" w:hAnsi="Calibri"/>
                <w:vanish/>
              </w:rPr>
            </w:pPr>
          </w:p>
          <w:p w14:paraId="26B71A91" w14:textId="77777777" w:rsidR="00822E67" w:rsidRPr="00822E67" w:rsidRDefault="00822E67" w:rsidP="00822E67">
            <w:pPr>
              <w:pStyle w:val="ListParagraph"/>
              <w:numPr>
                <w:ilvl w:val="0"/>
                <w:numId w:val="30"/>
              </w:numPr>
              <w:contextualSpacing w:val="0"/>
              <w:rPr>
                <w:rFonts w:ascii="Calibri" w:hAnsi="Calibri"/>
                <w:vanish/>
              </w:rPr>
            </w:pPr>
          </w:p>
          <w:p w14:paraId="598304CA" w14:textId="77777777" w:rsidR="00822E67" w:rsidRPr="00FF5459" w:rsidRDefault="00822E67" w:rsidP="00822E67">
            <w:pPr>
              <w:pStyle w:val="Tablenumbering"/>
              <w:numPr>
                <w:ilvl w:val="1"/>
                <w:numId w:val="30"/>
              </w:numPr>
            </w:pPr>
            <w:r w:rsidRPr="00822E67">
              <w:t>By using the Integrated Business Planning process, supported by the People Strategy, more clearly define priorities to improve workforce planning to ensure the right people are in the right places at the right times and enable employees to balance work commitments.</w:t>
            </w:r>
          </w:p>
        </w:tc>
        <w:tc>
          <w:tcPr>
            <w:tcW w:w="936" w:type="pct"/>
            <w:tcBorders>
              <w:bottom w:val="single" w:sz="12" w:space="0" w:color="D1D1D1" w:themeColor="accent6"/>
            </w:tcBorders>
          </w:tcPr>
          <w:p w14:paraId="125BAA9A" w14:textId="77777777" w:rsidR="00822E67" w:rsidRDefault="00822E67" w:rsidP="00822E67">
            <w:r>
              <w:t>From January 2024</w:t>
            </w:r>
          </w:p>
        </w:tc>
        <w:tc>
          <w:tcPr>
            <w:tcW w:w="1488" w:type="pct"/>
            <w:tcBorders>
              <w:bottom w:val="single" w:sz="12" w:space="0" w:color="D1D1D1" w:themeColor="accent6"/>
            </w:tcBorders>
          </w:tcPr>
          <w:p w14:paraId="61AC9B07" w14:textId="77777777" w:rsidR="00822E67" w:rsidRPr="00E57F00" w:rsidRDefault="00822E67" w:rsidP="00822E67">
            <w:r w:rsidRPr="00822E67">
              <w:t>Regional Managers, Branch Managers and Group Managers, supported by HR Business Partners.</w:t>
            </w:r>
          </w:p>
        </w:tc>
      </w:tr>
      <w:tr w:rsidR="00822E67" w:rsidRPr="00FF5459" w14:paraId="4849E901" w14:textId="77777777" w:rsidTr="00822E67">
        <w:trPr>
          <w:trHeight w:val="350"/>
        </w:trPr>
        <w:tc>
          <w:tcPr>
            <w:tcW w:w="2576" w:type="pct"/>
            <w:tcBorders>
              <w:top w:val="single" w:sz="12" w:space="0" w:color="D1D1D1" w:themeColor="accent6"/>
              <w:bottom w:val="single" w:sz="12" w:space="0" w:color="D1D1D1" w:themeColor="accent6"/>
            </w:tcBorders>
          </w:tcPr>
          <w:p w14:paraId="45F862FA" w14:textId="77777777" w:rsidR="00822E67" w:rsidRPr="00FF5459" w:rsidRDefault="00822E67" w:rsidP="00822E67">
            <w:pPr>
              <w:pStyle w:val="Tablenumbering"/>
              <w:numPr>
                <w:ilvl w:val="1"/>
                <w:numId w:val="30"/>
              </w:numPr>
            </w:pPr>
            <w:r w:rsidRPr="00822E67">
              <w:t>Support innovation and coming up with new or better ways of doing things, including implementing actions from the Ideas Challenge.</w:t>
            </w:r>
          </w:p>
        </w:tc>
        <w:tc>
          <w:tcPr>
            <w:tcW w:w="936" w:type="pct"/>
            <w:tcBorders>
              <w:top w:val="single" w:sz="12" w:space="0" w:color="D1D1D1" w:themeColor="accent6"/>
              <w:bottom w:val="single" w:sz="12" w:space="0" w:color="D1D1D1" w:themeColor="accent6"/>
            </w:tcBorders>
          </w:tcPr>
          <w:p w14:paraId="64F9EA5C" w14:textId="77777777" w:rsidR="00822E67" w:rsidRDefault="00822E67" w:rsidP="00822E67">
            <w:r>
              <w:t>Ongoing</w:t>
            </w:r>
          </w:p>
        </w:tc>
        <w:tc>
          <w:tcPr>
            <w:tcW w:w="1488" w:type="pct"/>
            <w:tcBorders>
              <w:top w:val="single" w:sz="12" w:space="0" w:color="D1D1D1" w:themeColor="accent6"/>
              <w:bottom w:val="single" w:sz="12" w:space="0" w:color="D1D1D1" w:themeColor="accent6"/>
            </w:tcBorders>
          </w:tcPr>
          <w:p w14:paraId="62A0A795" w14:textId="77777777" w:rsidR="00822E67" w:rsidRDefault="00822E67" w:rsidP="00822E67">
            <w:r>
              <w:t>Chief Operating Officer, supported by all staff</w:t>
            </w:r>
          </w:p>
        </w:tc>
      </w:tr>
      <w:tr w:rsidR="00822E67" w:rsidRPr="00FF5459" w14:paraId="405E4222" w14:textId="77777777" w:rsidTr="00822E67">
        <w:trPr>
          <w:trHeight w:val="350"/>
        </w:trPr>
        <w:tc>
          <w:tcPr>
            <w:tcW w:w="2576" w:type="pct"/>
            <w:tcBorders>
              <w:top w:val="single" w:sz="12" w:space="0" w:color="D1D1D1" w:themeColor="accent6"/>
              <w:bottom w:val="single" w:sz="12" w:space="0" w:color="D1D1D1" w:themeColor="accent6"/>
            </w:tcBorders>
          </w:tcPr>
          <w:p w14:paraId="567C9817" w14:textId="77777777" w:rsidR="00822E67" w:rsidRPr="00FF5459" w:rsidRDefault="00822E67" w:rsidP="00822E67">
            <w:pPr>
              <w:pStyle w:val="Tablenumbering"/>
              <w:numPr>
                <w:ilvl w:val="1"/>
                <w:numId w:val="30"/>
              </w:numPr>
            </w:pPr>
            <w:r w:rsidRPr="00822E67">
              <w:t>Encourage and support staff to in their suggestions for continuous improvement, including through business process mapping and standard operating procedures.</w:t>
            </w:r>
          </w:p>
        </w:tc>
        <w:tc>
          <w:tcPr>
            <w:tcW w:w="936" w:type="pct"/>
            <w:tcBorders>
              <w:top w:val="single" w:sz="12" w:space="0" w:color="D1D1D1" w:themeColor="accent6"/>
              <w:bottom w:val="single" w:sz="12" w:space="0" w:color="D1D1D1" w:themeColor="accent6"/>
            </w:tcBorders>
          </w:tcPr>
          <w:p w14:paraId="04E38433" w14:textId="77777777" w:rsidR="00822E67" w:rsidRDefault="00822E67" w:rsidP="00822E67">
            <w:r>
              <w:t>From January 2024</w:t>
            </w:r>
          </w:p>
        </w:tc>
        <w:tc>
          <w:tcPr>
            <w:tcW w:w="1488" w:type="pct"/>
            <w:tcBorders>
              <w:top w:val="single" w:sz="12" w:space="0" w:color="D1D1D1" w:themeColor="accent6"/>
              <w:bottom w:val="single" w:sz="12" w:space="0" w:color="D1D1D1" w:themeColor="accent6"/>
            </w:tcBorders>
          </w:tcPr>
          <w:p w14:paraId="275343D6" w14:textId="77777777" w:rsidR="00822E67" w:rsidRDefault="00822E67" w:rsidP="00822E67">
            <w:r>
              <w:t xml:space="preserve">Grants and Finance Group, supported by Regional Managers and Branch Managers </w:t>
            </w:r>
          </w:p>
        </w:tc>
      </w:tr>
      <w:tr w:rsidR="00822E67" w:rsidRPr="00FF5459" w14:paraId="7FAEBD44" w14:textId="77777777" w:rsidTr="00822E67">
        <w:trPr>
          <w:trHeight w:val="350"/>
        </w:trPr>
        <w:tc>
          <w:tcPr>
            <w:tcW w:w="2576" w:type="pct"/>
            <w:tcBorders>
              <w:top w:val="single" w:sz="12" w:space="0" w:color="D1D1D1" w:themeColor="accent6"/>
              <w:bottom w:val="single" w:sz="12" w:space="0" w:color="D1D1D1" w:themeColor="accent6"/>
            </w:tcBorders>
          </w:tcPr>
          <w:p w14:paraId="7B1BE093" w14:textId="77777777" w:rsidR="00822E67" w:rsidRPr="00FF5459" w:rsidRDefault="00822E67" w:rsidP="00822E67">
            <w:pPr>
              <w:pStyle w:val="Tablenumbering"/>
              <w:numPr>
                <w:ilvl w:val="1"/>
                <w:numId w:val="30"/>
              </w:numPr>
            </w:pPr>
            <w:r w:rsidRPr="00822E67">
              <w:t>Support better engagement with available internal change and project management resources.</w:t>
            </w:r>
          </w:p>
        </w:tc>
        <w:tc>
          <w:tcPr>
            <w:tcW w:w="936" w:type="pct"/>
            <w:tcBorders>
              <w:top w:val="single" w:sz="12" w:space="0" w:color="D1D1D1" w:themeColor="accent6"/>
              <w:bottom w:val="single" w:sz="12" w:space="0" w:color="D1D1D1" w:themeColor="accent6"/>
            </w:tcBorders>
          </w:tcPr>
          <w:p w14:paraId="77835984" w14:textId="77777777" w:rsidR="00822E67" w:rsidRDefault="00822E67" w:rsidP="00822E67">
            <w:r>
              <w:t>From December 2023</w:t>
            </w:r>
          </w:p>
        </w:tc>
        <w:tc>
          <w:tcPr>
            <w:tcW w:w="1488" w:type="pct"/>
            <w:tcBorders>
              <w:top w:val="single" w:sz="12" w:space="0" w:color="D1D1D1" w:themeColor="accent6"/>
              <w:bottom w:val="single" w:sz="12" w:space="0" w:color="D1D1D1" w:themeColor="accent6"/>
            </w:tcBorders>
          </w:tcPr>
          <w:p w14:paraId="050E0F5F" w14:textId="77777777" w:rsidR="00822E67" w:rsidRDefault="00822E67" w:rsidP="00822E67">
            <w:r>
              <w:t>Chief Operating Officer, with support from Enabling Services Portfolio</w:t>
            </w:r>
          </w:p>
          <w:p w14:paraId="07707114" w14:textId="77777777" w:rsidR="00822E67" w:rsidRDefault="00822E67" w:rsidP="00822E67"/>
        </w:tc>
      </w:tr>
      <w:tr w:rsidR="00822E67" w:rsidRPr="00FF5459" w14:paraId="6771D166" w14:textId="77777777" w:rsidTr="00822E67">
        <w:trPr>
          <w:trHeight w:val="350"/>
        </w:trPr>
        <w:tc>
          <w:tcPr>
            <w:tcW w:w="2576" w:type="pct"/>
            <w:tcBorders>
              <w:top w:val="single" w:sz="12" w:space="0" w:color="D1D1D1" w:themeColor="accent6"/>
              <w:bottom w:val="single" w:sz="12" w:space="0" w:color="D1D1D1" w:themeColor="accent6"/>
            </w:tcBorders>
          </w:tcPr>
          <w:p w14:paraId="6D9FD1F6" w14:textId="77777777" w:rsidR="00822E67" w:rsidRPr="00822E67" w:rsidRDefault="00822E67" w:rsidP="004F2339">
            <w:pPr>
              <w:pStyle w:val="Tablenumbering"/>
              <w:numPr>
                <w:ilvl w:val="1"/>
                <w:numId w:val="30"/>
              </w:numPr>
            </w:pPr>
            <w:r w:rsidRPr="00822E67">
              <w:t xml:space="preserve">Deliver additional supports and tools to assist staff and managers to discuss work prioritisation. </w:t>
            </w:r>
          </w:p>
        </w:tc>
        <w:tc>
          <w:tcPr>
            <w:tcW w:w="936" w:type="pct"/>
            <w:tcBorders>
              <w:top w:val="single" w:sz="12" w:space="0" w:color="D1D1D1" w:themeColor="accent6"/>
              <w:bottom w:val="single" w:sz="12" w:space="0" w:color="D1D1D1" w:themeColor="accent6"/>
            </w:tcBorders>
          </w:tcPr>
          <w:p w14:paraId="2746B8BD" w14:textId="77777777" w:rsidR="00822E67" w:rsidRDefault="00822E67" w:rsidP="00822E67">
            <w:r>
              <w:t>Commencing February 2024</w:t>
            </w:r>
          </w:p>
        </w:tc>
        <w:tc>
          <w:tcPr>
            <w:tcW w:w="1488" w:type="pct"/>
            <w:tcBorders>
              <w:top w:val="single" w:sz="12" w:space="0" w:color="D1D1D1" w:themeColor="accent6"/>
              <w:bottom w:val="single" w:sz="12" w:space="0" w:color="D1D1D1" w:themeColor="accent6"/>
            </w:tcBorders>
          </w:tcPr>
          <w:p w14:paraId="5F29F390" w14:textId="77777777" w:rsidR="00822E67" w:rsidDel="00EC6EE4" w:rsidRDefault="00822E67" w:rsidP="00822E67">
            <w:r>
              <w:t>Corporate Group, supported by Regional Managers, Branch Managers and Group Managers</w:t>
            </w:r>
          </w:p>
        </w:tc>
      </w:tr>
    </w:tbl>
    <w:p w14:paraId="147B1A16" w14:textId="77777777" w:rsidR="00822E67" w:rsidRDefault="00822E67">
      <w:pPr>
        <w:rPr>
          <w:sz w:val="22"/>
        </w:rPr>
      </w:pPr>
    </w:p>
    <w:p w14:paraId="51A48446" w14:textId="77777777" w:rsidR="00822E67" w:rsidRDefault="00822E67">
      <w:pPr>
        <w:rPr>
          <w:sz w:val="22"/>
        </w:rPr>
      </w:pPr>
      <w:r>
        <w:rPr>
          <w:sz w:val="22"/>
        </w:rPr>
        <w:br w:type="page"/>
      </w:r>
    </w:p>
    <w:p w14:paraId="2F7359CE" w14:textId="77777777" w:rsidR="00822E67" w:rsidRDefault="00822E67" w:rsidP="00822E67">
      <w:pPr>
        <w:pStyle w:val="NumberedListlevel1"/>
        <w:numPr>
          <w:ilvl w:val="0"/>
          <w:numId w:val="27"/>
        </w:numPr>
      </w:pPr>
      <w:r>
        <w:lastRenderedPageBreak/>
        <w:t>An inclusive workplace culture</w:t>
      </w:r>
    </w:p>
    <w:p w14:paraId="77490EA5" w14:textId="77777777" w:rsidR="00822E67" w:rsidRPr="00822E67" w:rsidRDefault="00822E67" w:rsidP="00822E67">
      <w:pPr>
        <w:pStyle w:val="NumberedListlevel1"/>
        <w:numPr>
          <w:ilvl w:val="0"/>
          <w:numId w:val="0"/>
        </w:numPr>
        <w:ind w:left="568" w:hanging="284"/>
      </w:pPr>
    </w:p>
    <w:tbl>
      <w:tblPr>
        <w:tblStyle w:val="NIAATable-simple"/>
        <w:tblW w:w="5000" w:type="pct"/>
        <w:tblLook w:val="0620" w:firstRow="1" w:lastRow="0" w:firstColumn="0" w:lastColumn="0" w:noHBand="1" w:noVBand="1"/>
      </w:tblPr>
      <w:tblGrid>
        <w:gridCol w:w="7799"/>
        <w:gridCol w:w="2833"/>
        <w:gridCol w:w="4504"/>
      </w:tblGrid>
      <w:tr w:rsidR="00822E67" w:rsidRPr="00AA4D84" w14:paraId="700A6D9F" w14:textId="77777777" w:rsidTr="00E027BE">
        <w:trPr>
          <w:cnfStyle w:val="100000000000" w:firstRow="1" w:lastRow="0" w:firstColumn="0" w:lastColumn="0" w:oddVBand="0" w:evenVBand="0" w:oddHBand="0" w:evenHBand="0" w:firstRowFirstColumn="0" w:firstRowLastColumn="0" w:lastRowFirstColumn="0" w:lastRowLastColumn="0"/>
          <w:cantSplit/>
          <w:trHeight w:val="350"/>
          <w:tblHeader/>
        </w:trPr>
        <w:tc>
          <w:tcPr>
            <w:tcW w:w="2576" w:type="pct"/>
            <w:shd w:val="clear" w:color="auto" w:fill="36526D" w:themeFill="accent1" w:themeFillTint="E6"/>
          </w:tcPr>
          <w:p w14:paraId="48C3D5D7" w14:textId="77777777" w:rsidR="00822E67" w:rsidRPr="001912A0" w:rsidRDefault="00822E67" w:rsidP="00E027BE">
            <w:pPr>
              <w:pStyle w:val="Tableheading"/>
              <w:rPr>
                <w:b/>
              </w:rPr>
            </w:pPr>
            <w:r>
              <w:rPr>
                <w:b/>
              </w:rPr>
              <w:t>Action steps</w:t>
            </w:r>
          </w:p>
        </w:tc>
        <w:tc>
          <w:tcPr>
            <w:tcW w:w="936" w:type="pct"/>
            <w:shd w:val="clear" w:color="auto" w:fill="36526D" w:themeFill="accent1" w:themeFillTint="E6"/>
          </w:tcPr>
          <w:p w14:paraId="1BEF635D" w14:textId="77777777" w:rsidR="00822E67" w:rsidRPr="001912A0" w:rsidRDefault="00822E67" w:rsidP="00E027BE">
            <w:pPr>
              <w:pStyle w:val="Tableheading"/>
              <w:rPr>
                <w:b/>
              </w:rPr>
            </w:pPr>
            <w:r>
              <w:rPr>
                <w:b/>
              </w:rPr>
              <w:t>Status and timing</w:t>
            </w:r>
          </w:p>
        </w:tc>
        <w:tc>
          <w:tcPr>
            <w:tcW w:w="1488" w:type="pct"/>
            <w:shd w:val="clear" w:color="auto" w:fill="36526D" w:themeFill="accent1" w:themeFillTint="E6"/>
          </w:tcPr>
          <w:p w14:paraId="49C39A7C" w14:textId="77777777" w:rsidR="00822E67" w:rsidRPr="001912A0" w:rsidRDefault="00822E67" w:rsidP="00E027BE">
            <w:pPr>
              <w:pStyle w:val="Tableheading"/>
              <w:rPr>
                <w:b/>
              </w:rPr>
            </w:pPr>
            <w:r>
              <w:rPr>
                <w:b/>
              </w:rPr>
              <w:t>Responsibility</w:t>
            </w:r>
          </w:p>
        </w:tc>
      </w:tr>
      <w:tr w:rsidR="000A378E" w:rsidRPr="00FF5459" w14:paraId="4750C940" w14:textId="77777777" w:rsidTr="00D76D77">
        <w:trPr>
          <w:trHeight w:val="350"/>
          <w:hidden/>
        </w:trPr>
        <w:tc>
          <w:tcPr>
            <w:tcW w:w="2576" w:type="pct"/>
            <w:tcBorders>
              <w:bottom w:val="single" w:sz="12" w:space="0" w:color="D1D1D1" w:themeColor="accent6"/>
            </w:tcBorders>
          </w:tcPr>
          <w:p w14:paraId="5B1C6026" w14:textId="77777777" w:rsidR="000A378E" w:rsidRPr="00822E67" w:rsidRDefault="000A378E" w:rsidP="000A378E">
            <w:pPr>
              <w:pStyle w:val="ListParagraph"/>
              <w:numPr>
                <w:ilvl w:val="0"/>
                <w:numId w:val="30"/>
              </w:numPr>
              <w:contextualSpacing w:val="0"/>
              <w:rPr>
                <w:rFonts w:ascii="Calibri" w:hAnsi="Calibri"/>
                <w:vanish/>
              </w:rPr>
            </w:pPr>
          </w:p>
          <w:p w14:paraId="6AA18784" w14:textId="77777777" w:rsidR="000A378E" w:rsidRPr="00FF5459" w:rsidRDefault="000A378E" w:rsidP="000A378E">
            <w:pPr>
              <w:pStyle w:val="Tablenumbering"/>
              <w:numPr>
                <w:ilvl w:val="1"/>
                <w:numId w:val="30"/>
              </w:numPr>
            </w:pPr>
            <w:r w:rsidRPr="000A378E">
              <w:t>Reduce bullying, harassment and discrimination in the workplace through increasing understanding of what it is, its impact, how to notify and report it, and support available to address it.</w:t>
            </w:r>
          </w:p>
        </w:tc>
        <w:tc>
          <w:tcPr>
            <w:tcW w:w="936" w:type="pct"/>
            <w:tcBorders>
              <w:bottom w:val="single" w:sz="12" w:space="0" w:color="D1D1D1" w:themeColor="accent6"/>
            </w:tcBorders>
            <w:vAlign w:val="center"/>
          </w:tcPr>
          <w:p w14:paraId="51D8BA81" w14:textId="77777777" w:rsidR="000A378E" w:rsidRDefault="000A378E" w:rsidP="000A378E">
            <w:r>
              <w:t>From December 2023</w:t>
            </w:r>
          </w:p>
        </w:tc>
        <w:tc>
          <w:tcPr>
            <w:tcW w:w="1488" w:type="pct"/>
            <w:tcBorders>
              <w:bottom w:val="single" w:sz="12" w:space="0" w:color="D1D1D1" w:themeColor="accent6"/>
            </w:tcBorders>
            <w:vAlign w:val="center"/>
          </w:tcPr>
          <w:p w14:paraId="0277C1C1" w14:textId="77777777" w:rsidR="000A378E" w:rsidRDefault="000A378E" w:rsidP="000A378E">
            <w:r>
              <w:t>Corporate Group, supported by all managers</w:t>
            </w:r>
          </w:p>
        </w:tc>
      </w:tr>
      <w:tr w:rsidR="000A378E" w:rsidRPr="00FF5459" w14:paraId="7A1E3C3B" w14:textId="77777777" w:rsidTr="00D76D77">
        <w:trPr>
          <w:trHeight w:val="350"/>
        </w:trPr>
        <w:tc>
          <w:tcPr>
            <w:tcW w:w="2576" w:type="pct"/>
            <w:tcBorders>
              <w:top w:val="single" w:sz="12" w:space="0" w:color="D1D1D1" w:themeColor="accent6"/>
              <w:bottom w:val="single" w:sz="12" w:space="0" w:color="D1D1D1" w:themeColor="accent6"/>
            </w:tcBorders>
          </w:tcPr>
          <w:p w14:paraId="014588AD" w14:textId="77777777" w:rsidR="000A378E" w:rsidRPr="00FF5459" w:rsidRDefault="000A378E" w:rsidP="000A378E">
            <w:pPr>
              <w:pStyle w:val="Tablenumbering"/>
              <w:numPr>
                <w:ilvl w:val="1"/>
                <w:numId w:val="30"/>
              </w:numPr>
            </w:pPr>
            <w:r w:rsidRPr="000A378E">
              <w:t>Improve awareness and importance of work/team cohesion and strategies to de-escalate tension</w:t>
            </w:r>
          </w:p>
        </w:tc>
        <w:tc>
          <w:tcPr>
            <w:tcW w:w="936" w:type="pct"/>
            <w:tcBorders>
              <w:top w:val="single" w:sz="12" w:space="0" w:color="D1D1D1" w:themeColor="accent6"/>
              <w:bottom w:val="single" w:sz="12" w:space="0" w:color="D1D1D1" w:themeColor="accent6"/>
            </w:tcBorders>
            <w:vAlign w:val="center"/>
          </w:tcPr>
          <w:p w14:paraId="639918F5" w14:textId="77777777" w:rsidR="000A378E" w:rsidRDefault="000A378E" w:rsidP="000A378E">
            <w:r>
              <w:t>From February 2024</w:t>
            </w:r>
          </w:p>
        </w:tc>
        <w:tc>
          <w:tcPr>
            <w:tcW w:w="1488" w:type="pct"/>
            <w:tcBorders>
              <w:top w:val="single" w:sz="12" w:space="0" w:color="D1D1D1" w:themeColor="accent6"/>
              <w:bottom w:val="single" w:sz="12" w:space="0" w:color="D1D1D1" w:themeColor="accent6"/>
            </w:tcBorders>
            <w:vAlign w:val="center"/>
          </w:tcPr>
          <w:p w14:paraId="035F4D1E" w14:textId="77777777" w:rsidR="000A378E" w:rsidRDefault="000A378E" w:rsidP="000A378E">
            <w:r>
              <w:t>Corporate Group, supported by Regional Managers, Branch Managers and Group Managers</w:t>
            </w:r>
          </w:p>
        </w:tc>
      </w:tr>
      <w:tr w:rsidR="000A378E" w:rsidRPr="00FF5459" w14:paraId="540FEBDB" w14:textId="77777777" w:rsidTr="00D76D77">
        <w:trPr>
          <w:trHeight w:val="350"/>
        </w:trPr>
        <w:tc>
          <w:tcPr>
            <w:tcW w:w="2576" w:type="pct"/>
            <w:tcBorders>
              <w:top w:val="single" w:sz="12" w:space="0" w:color="D1D1D1" w:themeColor="accent6"/>
              <w:bottom w:val="single" w:sz="12" w:space="0" w:color="D1D1D1" w:themeColor="accent6"/>
            </w:tcBorders>
          </w:tcPr>
          <w:p w14:paraId="74F99672" w14:textId="77777777" w:rsidR="000A378E" w:rsidRPr="00FF5459" w:rsidRDefault="000A378E" w:rsidP="000A378E">
            <w:pPr>
              <w:pStyle w:val="Tablenumbering"/>
              <w:numPr>
                <w:ilvl w:val="1"/>
                <w:numId w:val="30"/>
              </w:numPr>
            </w:pPr>
            <w:r w:rsidRPr="000A378E">
              <w:t>Promote and support Harassment Contact Officers in providing advice on workplace behaviours</w:t>
            </w:r>
          </w:p>
        </w:tc>
        <w:tc>
          <w:tcPr>
            <w:tcW w:w="936" w:type="pct"/>
            <w:tcBorders>
              <w:top w:val="single" w:sz="12" w:space="0" w:color="D1D1D1" w:themeColor="accent6"/>
              <w:bottom w:val="single" w:sz="12" w:space="0" w:color="D1D1D1" w:themeColor="accent6"/>
            </w:tcBorders>
            <w:vAlign w:val="center"/>
          </w:tcPr>
          <w:p w14:paraId="260D8CBA" w14:textId="77777777" w:rsidR="000A378E" w:rsidRDefault="000A378E" w:rsidP="000A378E">
            <w:r>
              <w:t>From January 2024</w:t>
            </w:r>
          </w:p>
        </w:tc>
        <w:tc>
          <w:tcPr>
            <w:tcW w:w="1488" w:type="pct"/>
            <w:tcBorders>
              <w:top w:val="single" w:sz="12" w:space="0" w:color="D1D1D1" w:themeColor="accent6"/>
              <w:bottom w:val="single" w:sz="12" w:space="0" w:color="D1D1D1" w:themeColor="accent6"/>
            </w:tcBorders>
            <w:vAlign w:val="center"/>
          </w:tcPr>
          <w:p w14:paraId="70DC720A" w14:textId="77777777" w:rsidR="000A378E" w:rsidRDefault="000A378E" w:rsidP="000A378E">
            <w:r>
              <w:t>Corporate Group</w:t>
            </w:r>
          </w:p>
        </w:tc>
      </w:tr>
      <w:tr w:rsidR="000A378E" w:rsidRPr="00FF5459" w14:paraId="17B6BEC8" w14:textId="77777777" w:rsidTr="00D76D77">
        <w:trPr>
          <w:trHeight w:val="350"/>
        </w:trPr>
        <w:tc>
          <w:tcPr>
            <w:tcW w:w="2576" w:type="pct"/>
            <w:tcBorders>
              <w:top w:val="single" w:sz="12" w:space="0" w:color="D1D1D1" w:themeColor="accent6"/>
              <w:bottom w:val="single" w:sz="12" w:space="0" w:color="D1D1D1" w:themeColor="accent6"/>
            </w:tcBorders>
          </w:tcPr>
          <w:p w14:paraId="01D82514" w14:textId="77777777" w:rsidR="000A378E" w:rsidRPr="00FF5459" w:rsidRDefault="000A378E" w:rsidP="000A378E">
            <w:pPr>
              <w:pStyle w:val="Tablenumbering"/>
              <w:numPr>
                <w:ilvl w:val="1"/>
                <w:numId w:val="30"/>
              </w:numPr>
            </w:pPr>
            <w:r w:rsidRPr="000A378E">
              <w:t>Actively promote and embed our Values and Behaviours and connect these and all Agency work more directly with the Agency’s vision and purpose through workshops, training and engagement with staff</w:t>
            </w:r>
          </w:p>
        </w:tc>
        <w:tc>
          <w:tcPr>
            <w:tcW w:w="936" w:type="pct"/>
            <w:tcBorders>
              <w:top w:val="single" w:sz="12" w:space="0" w:color="D1D1D1" w:themeColor="accent6"/>
              <w:bottom w:val="single" w:sz="12" w:space="0" w:color="D1D1D1" w:themeColor="accent6"/>
            </w:tcBorders>
            <w:vAlign w:val="center"/>
          </w:tcPr>
          <w:p w14:paraId="5C130EAF" w14:textId="77777777" w:rsidR="000A378E" w:rsidRDefault="000A378E" w:rsidP="000A378E">
            <w:r>
              <w:t>From December 2023</w:t>
            </w:r>
          </w:p>
        </w:tc>
        <w:tc>
          <w:tcPr>
            <w:tcW w:w="1488" w:type="pct"/>
            <w:tcBorders>
              <w:top w:val="single" w:sz="12" w:space="0" w:color="D1D1D1" w:themeColor="accent6"/>
              <w:bottom w:val="single" w:sz="12" w:space="0" w:color="D1D1D1" w:themeColor="accent6"/>
            </w:tcBorders>
            <w:vAlign w:val="center"/>
          </w:tcPr>
          <w:p w14:paraId="62274609" w14:textId="77777777" w:rsidR="000A378E" w:rsidRDefault="000A378E" w:rsidP="000A378E">
            <w:r>
              <w:t>Regional Managers, Branch Managers and Group Managers supported by Corporate Group</w:t>
            </w:r>
          </w:p>
        </w:tc>
      </w:tr>
      <w:tr w:rsidR="000A378E" w:rsidRPr="00FF5459" w14:paraId="098D40AF" w14:textId="77777777" w:rsidTr="00D76D77">
        <w:trPr>
          <w:trHeight w:val="350"/>
        </w:trPr>
        <w:tc>
          <w:tcPr>
            <w:tcW w:w="2576" w:type="pct"/>
            <w:tcBorders>
              <w:top w:val="single" w:sz="12" w:space="0" w:color="D1D1D1" w:themeColor="accent6"/>
              <w:bottom w:val="single" w:sz="12" w:space="0" w:color="D1D1D1" w:themeColor="accent6"/>
            </w:tcBorders>
          </w:tcPr>
          <w:p w14:paraId="58C1CDA1" w14:textId="77777777" w:rsidR="000A378E" w:rsidRPr="00822E67" w:rsidRDefault="000A378E" w:rsidP="000A378E">
            <w:pPr>
              <w:pStyle w:val="Tablenumbering"/>
              <w:numPr>
                <w:ilvl w:val="1"/>
                <w:numId w:val="30"/>
              </w:numPr>
            </w:pPr>
            <w:r w:rsidRPr="000A378E">
              <w:t>Launch and adopt the Diversity and Inclusion Framework.</w:t>
            </w:r>
          </w:p>
        </w:tc>
        <w:tc>
          <w:tcPr>
            <w:tcW w:w="936" w:type="pct"/>
            <w:tcBorders>
              <w:top w:val="single" w:sz="12" w:space="0" w:color="D1D1D1" w:themeColor="accent6"/>
              <w:bottom w:val="single" w:sz="12" w:space="0" w:color="D1D1D1" w:themeColor="accent6"/>
            </w:tcBorders>
            <w:vAlign w:val="center"/>
          </w:tcPr>
          <w:p w14:paraId="1DFA8490" w14:textId="77777777" w:rsidR="000A378E" w:rsidRDefault="000A378E" w:rsidP="000A378E">
            <w:r>
              <w:t>January 2024</w:t>
            </w:r>
          </w:p>
        </w:tc>
        <w:tc>
          <w:tcPr>
            <w:tcW w:w="1488" w:type="pct"/>
            <w:tcBorders>
              <w:top w:val="single" w:sz="12" w:space="0" w:color="D1D1D1" w:themeColor="accent6"/>
              <w:bottom w:val="single" w:sz="12" w:space="0" w:color="D1D1D1" w:themeColor="accent6"/>
            </w:tcBorders>
            <w:vAlign w:val="center"/>
          </w:tcPr>
          <w:p w14:paraId="2EBC5172" w14:textId="77777777" w:rsidR="000A378E" w:rsidRDefault="000A378E" w:rsidP="000A378E">
            <w:r>
              <w:t>All staff, coordinated by Corporate Group</w:t>
            </w:r>
          </w:p>
        </w:tc>
      </w:tr>
      <w:tr w:rsidR="000A378E" w:rsidRPr="00FF5459" w14:paraId="06452EFA" w14:textId="77777777" w:rsidTr="00D76D77">
        <w:trPr>
          <w:trHeight w:val="350"/>
        </w:trPr>
        <w:tc>
          <w:tcPr>
            <w:tcW w:w="2576" w:type="pct"/>
            <w:tcBorders>
              <w:top w:val="single" w:sz="12" w:space="0" w:color="D1D1D1" w:themeColor="accent6"/>
              <w:bottom w:val="single" w:sz="12" w:space="0" w:color="D1D1D1" w:themeColor="accent6"/>
            </w:tcBorders>
          </w:tcPr>
          <w:p w14:paraId="0AF72AE1" w14:textId="77777777" w:rsidR="000A378E" w:rsidRPr="00822E67" w:rsidRDefault="000A378E" w:rsidP="000A378E">
            <w:pPr>
              <w:pStyle w:val="Tablenumbering"/>
              <w:numPr>
                <w:ilvl w:val="1"/>
                <w:numId w:val="30"/>
              </w:numPr>
            </w:pPr>
            <w:r w:rsidRPr="000A378E">
              <w:t>Adopt the APSC Cultural Capability Framework pending its release.</w:t>
            </w:r>
          </w:p>
        </w:tc>
        <w:tc>
          <w:tcPr>
            <w:tcW w:w="936" w:type="pct"/>
            <w:tcBorders>
              <w:top w:val="single" w:sz="12" w:space="0" w:color="D1D1D1" w:themeColor="accent6"/>
              <w:bottom w:val="single" w:sz="12" w:space="0" w:color="D1D1D1" w:themeColor="accent6"/>
            </w:tcBorders>
            <w:vAlign w:val="center"/>
          </w:tcPr>
          <w:p w14:paraId="4734C125" w14:textId="77777777" w:rsidR="000A378E" w:rsidRDefault="000A378E" w:rsidP="000A378E">
            <w:r>
              <w:t>TBC</w:t>
            </w:r>
          </w:p>
        </w:tc>
        <w:tc>
          <w:tcPr>
            <w:tcW w:w="1488" w:type="pct"/>
            <w:tcBorders>
              <w:top w:val="single" w:sz="12" w:space="0" w:color="D1D1D1" w:themeColor="accent6"/>
              <w:bottom w:val="single" w:sz="12" w:space="0" w:color="D1D1D1" w:themeColor="accent6"/>
            </w:tcBorders>
            <w:vAlign w:val="center"/>
          </w:tcPr>
          <w:p w14:paraId="4DE28640" w14:textId="77777777" w:rsidR="000A378E" w:rsidRDefault="000A378E" w:rsidP="000A378E">
            <w:r>
              <w:t>All staff, supported by Corporate Group</w:t>
            </w:r>
          </w:p>
        </w:tc>
      </w:tr>
    </w:tbl>
    <w:p w14:paraId="2727EB9D" w14:textId="77777777" w:rsidR="00206976" w:rsidRDefault="004F2339" w:rsidP="004F2339">
      <w:pPr>
        <w:pStyle w:val="Heading1"/>
      </w:pPr>
      <w:r>
        <w:t xml:space="preserve">Target measures </w:t>
      </w:r>
    </w:p>
    <w:p w14:paraId="4186A1C1" w14:textId="77777777" w:rsidR="004F2339" w:rsidRPr="004F2339" w:rsidRDefault="004F2339" w:rsidP="004F2339">
      <w:pPr>
        <w:pStyle w:val="BulletedListlvl1"/>
      </w:pPr>
      <w:r w:rsidRPr="004F2339">
        <w:t>Improvement in Employee Engagement Index score by 1-3 percentage points (2023 result 74)</w:t>
      </w:r>
    </w:p>
    <w:p w14:paraId="64F83A09" w14:textId="77777777" w:rsidR="004F2339" w:rsidRPr="004F2339" w:rsidRDefault="004F2339" w:rsidP="004F2339">
      <w:pPr>
        <w:pStyle w:val="BulletedListlvl1"/>
      </w:pPr>
      <w:r w:rsidRPr="004F2339">
        <w:t>Improvement in Wellbeing Index score to be on par or better than APS result (2023 result 67 vs 2023 APS result 68)</w:t>
      </w:r>
    </w:p>
    <w:p w14:paraId="21D74BB4" w14:textId="77777777" w:rsidR="004F2339" w:rsidRPr="004F2339" w:rsidRDefault="004F2339" w:rsidP="004F2339">
      <w:pPr>
        <w:pStyle w:val="BulletedListlvl1"/>
      </w:pPr>
      <w:r w:rsidRPr="004F2339">
        <w:t>Improvement in Innovation Index score by 1- 3 percentage points (2023 result 62)</w:t>
      </w:r>
    </w:p>
    <w:sectPr w:rsidR="004F2339" w:rsidRPr="004F2339" w:rsidSect="00822E67">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85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D95B8" w14:textId="77777777" w:rsidR="002D3D93" w:rsidRDefault="002D3D93" w:rsidP="00B95533">
      <w:pPr>
        <w:spacing w:after="0" w:line="240" w:lineRule="auto"/>
      </w:pPr>
      <w:r>
        <w:separator/>
      </w:r>
    </w:p>
  </w:endnote>
  <w:endnote w:type="continuationSeparator" w:id="0">
    <w:p w14:paraId="7FF4AD05" w14:textId="77777777" w:rsidR="002D3D93" w:rsidRDefault="002D3D93"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FA3D" w14:textId="77777777" w:rsidR="00132077" w:rsidRDefault="00132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0244" w14:textId="77777777" w:rsidR="009672EB" w:rsidRPr="00B663B0" w:rsidRDefault="004710AB" w:rsidP="00B663B0">
    <w:pPr>
      <w:pStyle w:val="ProtectiveMarking"/>
      <w:spacing w:after="240"/>
    </w:pPr>
    <w:r>
      <w:rPr>
        <w:color w:val="2A4055" w:themeColor="accent1"/>
        <w:lang w:eastAsia="en-AU"/>
      </w:rPr>
      <w:drawing>
        <wp:anchor distT="0" distB="0" distL="114300" distR="114300" simplePos="0" relativeHeight="251746304" behindDoc="1" locked="1" layoutInCell="1" allowOverlap="1" wp14:anchorId="76804957" wp14:editId="328A89F0">
          <wp:simplePos x="0" y="0"/>
          <wp:positionH relativeFrom="margin">
            <wp:align>center</wp:align>
          </wp:positionH>
          <wp:positionV relativeFrom="page">
            <wp:posOffset>6826250</wp:posOffset>
          </wp:positionV>
          <wp:extent cx="10684800" cy="720000"/>
          <wp:effectExtent l="0" t="0" r="0" b="4445"/>
          <wp:wrapNone/>
          <wp:docPr id="269" name="Picture 26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4800" cy="720000"/>
                  </a:xfrm>
                  <a:prstGeom prst="rect">
                    <a:avLst/>
                  </a:prstGeom>
                </pic:spPr>
              </pic:pic>
            </a:graphicData>
          </a:graphic>
          <wp14:sizeRelH relativeFrom="page">
            <wp14:pctWidth>0</wp14:pctWidth>
          </wp14:sizeRelH>
          <wp14:sizeRelV relativeFrom="page">
            <wp14:pctHeight>0</wp14:pctHeight>
          </wp14:sizeRelV>
        </wp:anchor>
      </w:drawing>
    </w:r>
    <w:sdt>
      <w:sdtPr>
        <w:alias w:val="Classification"/>
        <w:tag w:val="Classification"/>
        <w:id w:val="861863608"/>
        <w:dataBinding w:xpath="/root[1]/Classification[1]" w:storeItemID="{F533AE62-A212-4B26-92DA-A3B336E8AE06}"/>
        <w:text/>
      </w:sdtPr>
      <w:sdtEndPr/>
      <w:sdtContent>
        <w:r w:rsidR="009672EB">
          <w:t>Choose Classification</w:t>
        </w:r>
      </w:sdtContent>
    </w:sdt>
    <w:bookmarkStart w:id="0" w:name="_GoBack"/>
    <w:bookmarkEnd w:id="0"/>
    <w:r w:rsidR="00B663B0">
      <w:rPr>
        <w:color w:val="2A4055" w:themeColor="accent1"/>
        <w:lang w:eastAsia="en-AU"/>
      </w:rPr>
      <w:drawing>
        <wp:anchor distT="0" distB="0" distL="114300" distR="114300" simplePos="0" relativeHeight="251740160" behindDoc="1" locked="1" layoutInCell="1" allowOverlap="1" wp14:anchorId="07DA956E" wp14:editId="67A35D3F">
          <wp:simplePos x="0" y="0"/>
          <wp:positionH relativeFrom="page">
            <wp:posOffset>0</wp:posOffset>
          </wp:positionH>
          <wp:positionV relativeFrom="page">
            <wp:posOffset>9973310</wp:posOffset>
          </wp:positionV>
          <wp:extent cx="7560000" cy="720000"/>
          <wp:effectExtent l="0" t="0" r="3175" b="4445"/>
          <wp:wrapNone/>
          <wp:docPr id="270" name="Picture 270" descr="NIAA | 2023 APS Employee Census Action Plan. NIAA logo artow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22-023_Word_Template_Foote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p>
  <w:p w14:paraId="7E77A093" w14:textId="77777777" w:rsidR="009672EB" w:rsidRPr="0040648D" w:rsidRDefault="004F085F" w:rsidP="004710AB">
    <w:pPr>
      <w:pStyle w:val="Footer"/>
      <w:pBdr>
        <w:top w:val="single" w:sz="24" w:space="7" w:color="auto"/>
      </w:pBdr>
      <w:tabs>
        <w:tab w:val="clear" w:pos="4513"/>
        <w:tab w:val="clear" w:pos="9026"/>
        <w:tab w:val="right" w:pos="13435"/>
      </w:tabs>
      <w:rPr>
        <w:color w:val="2A4055" w:themeColor="accent1"/>
      </w:rPr>
    </w:pPr>
    <w:r>
      <w:rPr>
        <w:color w:val="2A4055" w:themeColor="accent1"/>
      </w:rPr>
      <w:t xml:space="preserve">NIAA | </w:t>
    </w:r>
    <w:r w:rsidR="009672EB" w:rsidRPr="0040648D">
      <w:rPr>
        <w:color w:val="2A4055" w:themeColor="accent1"/>
      </w:rPr>
      <w:fldChar w:fldCharType="begin"/>
    </w:r>
    <w:r w:rsidR="009672EB" w:rsidRPr="0040648D">
      <w:rPr>
        <w:color w:val="2A4055" w:themeColor="accent1"/>
      </w:rPr>
      <w:instrText xml:space="preserve"> STYLEREF  "Title"  \* MERGEFORMAT </w:instrText>
    </w:r>
    <w:r w:rsidR="009672EB" w:rsidRPr="0040648D">
      <w:rPr>
        <w:color w:val="2A4055" w:themeColor="accent1"/>
      </w:rPr>
      <w:fldChar w:fldCharType="separate"/>
    </w:r>
    <w:r w:rsidR="00132077">
      <w:rPr>
        <w:noProof/>
        <w:color w:val="2A4055" w:themeColor="accent1"/>
      </w:rPr>
      <w:t>2023 APS Employee Census Action Plan</w:t>
    </w:r>
    <w:r w:rsidR="009672EB" w:rsidRPr="0040648D">
      <w:rPr>
        <w:color w:val="2A4055" w:themeColor="accent1"/>
      </w:rPr>
      <w:fldChar w:fldCharType="end"/>
    </w:r>
    <w:r w:rsidR="00E92954">
      <w:rPr>
        <w:color w:val="2A4055" w:themeColor="accent1"/>
      </w:rPr>
      <w:tab/>
    </w:r>
    <w:r w:rsidR="00E92954" w:rsidRPr="00E92954">
      <w:rPr>
        <w:color w:val="2A4055" w:themeColor="accent1"/>
      </w:rPr>
      <w:fldChar w:fldCharType="begin"/>
    </w:r>
    <w:r w:rsidR="00E92954" w:rsidRPr="00E92954">
      <w:rPr>
        <w:color w:val="2A4055" w:themeColor="accent1"/>
      </w:rPr>
      <w:instrText xml:space="preserve"> PAGE   \* MERGEFORMAT </w:instrText>
    </w:r>
    <w:r w:rsidR="00E92954" w:rsidRPr="00E92954">
      <w:rPr>
        <w:color w:val="2A4055" w:themeColor="accent1"/>
      </w:rPr>
      <w:fldChar w:fldCharType="separate"/>
    </w:r>
    <w:r w:rsidR="00132077">
      <w:rPr>
        <w:noProof/>
        <w:color w:val="2A4055" w:themeColor="accent1"/>
      </w:rPr>
      <w:t>5</w:t>
    </w:r>
    <w:r w:rsidR="00E92954" w:rsidRPr="00E92954">
      <w:rPr>
        <w:noProof/>
        <w:color w:val="2A405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5E08B3D7" w14:textId="77777777" w:rsidR="009672EB" w:rsidRPr="00B87E45" w:rsidRDefault="009672EB" w:rsidP="00730910">
        <w:pPr>
          <w:pStyle w:val="ProtectiveMarking"/>
          <w:spacing w:after="240"/>
        </w:pPr>
        <w:r>
          <w:t>Choose Classification</w:t>
        </w:r>
      </w:p>
    </w:sdtContent>
  </w:sdt>
  <w:p w14:paraId="0EE82B01" w14:textId="77777777" w:rsidR="009672EB" w:rsidRPr="0040648D" w:rsidRDefault="004710AB" w:rsidP="00E87451">
    <w:pPr>
      <w:pStyle w:val="Footer"/>
      <w:pBdr>
        <w:top w:val="single" w:sz="24" w:space="7" w:color="2A4055" w:themeColor="accent1"/>
      </w:pBdr>
      <w:tabs>
        <w:tab w:val="clear" w:pos="4513"/>
        <w:tab w:val="clear" w:pos="9026"/>
        <w:tab w:val="center" w:pos="5102"/>
      </w:tabs>
      <w:rPr>
        <w:color w:val="2A4055" w:themeColor="accent1"/>
      </w:rPr>
    </w:pPr>
    <w:r>
      <w:rPr>
        <w:noProof/>
        <w:color w:val="2A4055" w:themeColor="accent1"/>
        <w:lang w:eastAsia="en-AU"/>
      </w:rPr>
      <w:drawing>
        <wp:anchor distT="0" distB="0" distL="114300" distR="114300" simplePos="0" relativeHeight="251744256" behindDoc="1" locked="0" layoutInCell="1" allowOverlap="1" wp14:anchorId="337EE077" wp14:editId="2575F1BD">
          <wp:simplePos x="0" y="0"/>
          <wp:positionH relativeFrom="margin">
            <wp:align>center</wp:align>
          </wp:positionH>
          <wp:positionV relativeFrom="paragraph">
            <wp:posOffset>-121808</wp:posOffset>
          </wp:positionV>
          <wp:extent cx="10686623" cy="718275"/>
          <wp:effectExtent l="0" t="0" r="635" b="5715"/>
          <wp:wrapNone/>
          <wp:docPr id="272" name="Picture 27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6623" cy="718275"/>
                  </a:xfrm>
                  <a:prstGeom prst="rect">
                    <a:avLst/>
                  </a:prstGeom>
                </pic:spPr>
              </pic:pic>
            </a:graphicData>
          </a:graphic>
          <wp14:sizeRelH relativeFrom="page">
            <wp14:pctWidth>0</wp14:pctWidth>
          </wp14:sizeRelH>
          <wp14:sizeRelV relativeFrom="page">
            <wp14:pctHeight>0</wp14:pctHeight>
          </wp14:sizeRelV>
        </wp:anchor>
      </w:drawing>
    </w:r>
    <w:r w:rsidR="00D748EA" w:rsidRPr="00D748EA">
      <w:rPr>
        <w:color w:val="2A4055" w:themeColor="accent1"/>
      </w:rPr>
      <w:t xml:space="preserve"> </w:t>
    </w:r>
    <w:r w:rsidR="00D748EA">
      <w:rPr>
        <w:color w:val="2A4055" w:themeColor="accent1"/>
      </w:rPr>
      <w:t xml:space="preserve">NIAA | </w:t>
    </w:r>
    <w:r w:rsidR="00D748EA" w:rsidRPr="0040648D">
      <w:rPr>
        <w:color w:val="2A4055" w:themeColor="accent1"/>
      </w:rPr>
      <w:fldChar w:fldCharType="begin"/>
    </w:r>
    <w:r w:rsidR="00D748EA" w:rsidRPr="0040648D">
      <w:rPr>
        <w:color w:val="2A4055" w:themeColor="accent1"/>
      </w:rPr>
      <w:instrText xml:space="preserve"> STYLEREF  "Title"  \* MERGEFORMAT </w:instrText>
    </w:r>
    <w:r w:rsidR="00D748EA" w:rsidRPr="0040648D">
      <w:rPr>
        <w:color w:val="2A4055" w:themeColor="accent1"/>
      </w:rPr>
      <w:fldChar w:fldCharType="separate"/>
    </w:r>
    <w:r w:rsidR="00132077">
      <w:rPr>
        <w:noProof/>
        <w:color w:val="2A4055" w:themeColor="accent1"/>
      </w:rPr>
      <w:t>2023 APS Employee Census Action Plan</w:t>
    </w:r>
    <w:r w:rsidR="00D748EA" w:rsidRPr="0040648D">
      <w:rPr>
        <w:color w:val="2A405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7E23C" w14:textId="77777777" w:rsidR="002D3D93" w:rsidRPr="007A6FC6" w:rsidRDefault="002D3D93" w:rsidP="00B95533">
      <w:pPr>
        <w:spacing w:after="0" w:line="240" w:lineRule="auto"/>
        <w:rPr>
          <w:color w:val="00948D" w:themeColor="accent2"/>
        </w:rPr>
      </w:pPr>
      <w:r w:rsidRPr="007A6FC6">
        <w:rPr>
          <w:color w:val="00948D" w:themeColor="accent2"/>
        </w:rPr>
        <w:separator/>
      </w:r>
    </w:p>
  </w:footnote>
  <w:footnote w:type="continuationSeparator" w:id="0">
    <w:p w14:paraId="76AC0707" w14:textId="77777777" w:rsidR="002D3D93" w:rsidRPr="007A6FC6" w:rsidRDefault="002D3D93"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7E9A" w14:textId="77777777" w:rsidR="00132077" w:rsidRDefault="00132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3D10" w14:textId="77777777" w:rsidR="006564EA" w:rsidRDefault="00132077" w:rsidP="00510499">
    <w:pPr>
      <w:pStyle w:val="ProtectiveMarking"/>
    </w:pPr>
    <w:sdt>
      <w:sdtPr>
        <w:alias w:val="Classification"/>
        <w:tag w:val="Classification"/>
        <w:id w:val="405574941"/>
        <w:dataBinding w:xpath="/root[1]/Classification[1]" w:storeItemID="{F533AE62-A212-4B26-92DA-A3B336E8AE06}"/>
        <w:text/>
      </w:sdtPr>
      <w:sdtEndPr/>
      <w:sdtContent>
        <w:r w:rsidR="006564EA">
          <w:t>Choose Classification</w:t>
        </w:r>
      </w:sdtContent>
    </w:sdt>
  </w:p>
  <w:p w14:paraId="08D3904B" w14:textId="77777777" w:rsidR="006564EA" w:rsidRDefault="006564EA">
    <w:pPr>
      <w:pStyle w:val="Header"/>
    </w:pPr>
  </w:p>
  <w:p w14:paraId="37533BED" w14:textId="77777777" w:rsidR="006564EA" w:rsidRDefault="006564EA">
    <w:pPr>
      <w:pStyle w:val="Header"/>
    </w:pPr>
  </w:p>
  <w:p w14:paraId="0F2ED329"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F1A5" w14:textId="77777777" w:rsidR="009672EB" w:rsidRDefault="004710AB" w:rsidP="002B5D09">
    <w:pPr>
      <w:pStyle w:val="Header"/>
      <w:tabs>
        <w:tab w:val="clear" w:pos="4513"/>
        <w:tab w:val="clear" w:pos="9026"/>
        <w:tab w:val="left" w:pos="4100"/>
      </w:tabs>
    </w:pPr>
    <w:r>
      <w:rPr>
        <w:noProof/>
        <w:lang w:eastAsia="en-AU"/>
      </w:rPr>
      <w:drawing>
        <wp:anchor distT="0" distB="0" distL="114300" distR="114300" simplePos="0" relativeHeight="251743232" behindDoc="1" locked="0" layoutInCell="1" allowOverlap="1" wp14:anchorId="013D3440" wp14:editId="240A201E">
          <wp:simplePos x="0" y="0"/>
          <wp:positionH relativeFrom="margin">
            <wp:align>center</wp:align>
          </wp:positionH>
          <wp:positionV relativeFrom="paragraph">
            <wp:posOffset>-363855</wp:posOffset>
          </wp:positionV>
          <wp:extent cx="10687793" cy="1330903"/>
          <wp:effectExtent l="0" t="0" r="0" b="3175"/>
          <wp:wrapNone/>
          <wp:docPr id="271" name="Picture 271"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23_ORIGINAL_Word_Template_Head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793" cy="133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88B35C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669109D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6"/>
  </w:num>
  <w:num w:numId="3">
    <w:abstractNumId w:val="4"/>
  </w:num>
  <w:num w:numId="4">
    <w:abstractNumId w:val="10"/>
  </w:num>
  <w:num w:numId="5">
    <w:abstractNumId w:val="7"/>
  </w:num>
  <w:num w:numId="6">
    <w:abstractNumId w:val="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1"/>
  </w:num>
  <w:num w:numId="21">
    <w:abstractNumId w:val="0"/>
  </w:num>
  <w:num w:numId="22">
    <w:abstractNumId w:val="9"/>
  </w:num>
  <w:num w:numId="23">
    <w:abstractNumId w:val="9"/>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67"/>
    <w:rsid w:val="00002F73"/>
    <w:rsid w:val="00007EB1"/>
    <w:rsid w:val="00010FC5"/>
    <w:rsid w:val="00014206"/>
    <w:rsid w:val="000230F3"/>
    <w:rsid w:val="00023AC4"/>
    <w:rsid w:val="000304B2"/>
    <w:rsid w:val="00031B5C"/>
    <w:rsid w:val="00034193"/>
    <w:rsid w:val="00034FEC"/>
    <w:rsid w:val="0004082F"/>
    <w:rsid w:val="00042E89"/>
    <w:rsid w:val="00044BF9"/>
    <w:rsid w:val="000503A6"/>
    <w:rsid w:val="00053CD9"/>
    <w:rsid w:val="00057B46"/>
    <w:rsid w:val="00063034"/>
    <w:rsid w:val="00063F97"/>
    <w:rsid w:val="00073D52"/>
    <w:rsid w:val="00076AD1"/>
    <w:rsid w:val="000803CA"/>
    <w:rsid w:val="000835A1"/>
    <w:rsid w:val="00091BCD"/>
    <w:rsid w:val="0009265A"/>
    <w:rsid w:val="00093EEF"/>
    <w:rsid w:val="00094B02"/>
    <w:rsid w:val="0009590F"/>
    <w:rsid w:val="00095BF3"/>
    <w:rsid w:val="000A041E"/>
    <w:rsid w:val="000A08CA"/>
    <w:rsid w:val="000A0E4C"/>
    <w:rsid w:val="000A378E"/>
    <w:rsid w:val="000C29C5"/>
    <w:rsid w:val="000D106A"/>
    <w:rsid w:val="000D113F"/>
    <w:rsid w:val="000D2E56"/>
    <w:rsid w:val="000E351D"/>
    <w:rsid w:val="000E60F7"/>
    <w:rsid w:val="000F1B86"/>
    <w:rsid w:val="000F23B0"/>
    <w:rsid w:val="000F4D62"/>
    <w:rsid w:val="000F5917"/>
    <w:rsid w:val="001007B9"/>
    <w:rsid w:val="0010143D"/>
    <w:rsid w:val="00105ECB"/>
    <w:rsid w:val="001249EF"/>
    <w:rsid w:val="00131315"/>
    <w:rsid w:val="00132077"/>
    <w:rsid w:val="00132268"/>
    <w:rsid w:val="001336CF"/>
    <w:rsid w:val="00137246"/>
    <w:rsid w:val="00143288"/>
    <w:rsid w:val="0015537B"/>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A80"/>
    <w:rsid w:val="001A2F86"/>
    <w:rsid w:val="001A69A8"/>
    <w:rsid w:val="001B0144"/>
    <w:rsid w:val="001B10ED"/>
    <w:rsid w:val="001C2FC8"/>
    <w:rsid w:val="001C63DF"/>
    <w:rsid w:val="001D283B"/>
    <w:rsid w:val="001E4245"/>
    <w:rsid w:val="001F0654"/>
    <w:rsid w:val="001F3722"/>
    <w:rsid w:val="001F738E"/>
    <w:rsid w:val="001F7942"/>
    <w:rsid w:val="0020007C"/>
    <w:rsid w:val="00206976"/>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B5D09"/>
    <w:rsid w:val="002C0866"/>
    <w:rsid w:val="002C0B0E"/>
    <w:rsid w:val="002C5F5B"/>
    <w:rsid w:val="002C777D"/>
    <w:rsid w:val="002D3D93"/>
    <w:rsid w:val="002D40B1"/>
    <w:rsid w:val="002D45CD"/>
    <w:rsid w:val="002D75F9"/>
    <w:rsid w:val="002E07AC"/>
    <w:rsid w:val="002E6AA1"/>
    <w:rsid w:val="002F57C6"/>
    <w:rsid w:val="00307A69"/>
    <w:rsid w:val="00312E4A"/>
    <w:rsid w:val="0031546F"/>
    <w:rsid w:val="00316B0D"/>
    <w:rsid w:val="00317427"/>
    <w:rsid w:val="003300DB"/>
    <w:rsid w:val="0033088D"/>
    <w:rsid w:val="00335425"/>
    <w:rsid w:val="003371F0"/>
    <w:rsid w:val="00345B55"/>
    <w:rsid w:val="003500C6"/>
    <w:rsid w:val="00357154"/>
    <w:rsid w:val="00363AE5"/>
    <w:rsid w:val="003848EF"/>
    <w:rsid w:val="00385B65"/>
    <w:rsid w:val="00391929"/>
    <w:rsid w:val="00391CEF"/>
    <w:rsid w:val="003A3E57"/>
    <w:rsid w:val="003C6961"/>
    <w:rsid w:val="003D21A3"/>
    <w:rsid w:val="003D33F7"/>
    <w:rsid w:val="003E6B8B"/>
    <w:rsid w:val="003F017E"/>
    <w:rsid w:val="003F17BC"/>
    <w:rsid w:val="003F1A1E"/>
    <w:rsid w:val="003F5F4B"/>
    <w:rsid w:val="003F7E70"/>
    <w:rsid w:val="0040648D"/>
    <w:rsid w:val="00406711"/>
    <w:rsid w:val="00414CEB"/>
    <w:rsid w:val="004163FA"/>
    <w:rsid w:val="00423E92"/>
    <w:rsid w:val="004257F1"/>
    <w:rsid w:val="00431B00"/>
    <w:rsid w:val="004366AE"/>
    <w:rsid w:val="00437572"/>
    <w:rsid w:val="0044371A"/>
    <w:rsid w:val="00451804"/>
    <w:rsid w:val="00452FE9"/>
    <w:rsid w:val="00454696"/>
    <w:rsid w:val="004616FF"/>
    <w:rsid w:val="004710AB"/>
    <w:rsid w:val="004759ED"/>
    <w:rsid w:val="00486059"/>
    <w:rsid w:val="004945F7"/>
    <w:rsid w:val="004957BB"/>
    <w:rsid w:val="00497F14"/>
    <w:rsid w:val="004B199A"/>
    <w:rsid w:val="004B2CB0"/>
    <w:rsid w:val="004B7B8B"/>
    <w:rsid w:val="004C18F6"/>
    <w:rsid w:val="004C6518"/>
    <w:rsid w:val="004D0B40"/>
    <w:rsid w:val="004D1065"/>
    <w:rsid w:val="004D24EB"/>
    <w:rsid w:val="004D688C"/>
    <w:rsid w:val="004E192B"/>
    <w:rsid w:val="004E58AE"/>
    <w:rsid w:val="004F085F"/>
    <w:rsid w:val="004F0BD7"/>
    <w:rsid w:val="004F20A9"/>
    <w:rsid w:val="004F2339"/>
    <w:rsid w:val="004F73E8"/>
    <w:rsid w:val="00503B0C"/>
    <w:rsid w:val="0051316F"/>
    <w:rsid w:val="00523958"/>
    <w:rsid w:val="0053301E"/>
    <w:rsid w:val="005350C9"/>
    <w:rsid w:val="005370B2"/>
    <w:rsid w:val="005400C8"/>
    <w:rsid w:val="00543E44"/>
    <w:rsid w:val="00543FDE"/>
    <w:rsid w:val="00552F1C"/>
    <w:rsid w:val="00562166"/>
    <w:rsid w:val="0057315D"/>
    <w:rsid w:val="00574F28"/>
    <w:rsid w:val="00576C8D"/>
    <w:rsid w:val="005827C4"/>
    <w:rsid w:val="0058793B"/>
    <w:rsid w:val="005917FA"/>
    <w:rsid w:val="00596D03"/>
    <w:rsid w:val="005A0614"/>
    <w:rsid w:val="005A0DE7"/>
    <w:rsid w:val="005A355D"/>
    <w:rsid w:val="005B210C"/>
    <w:rsid w:val="005B241C"/>
    <w:rsid w:val="005B27D0"/>
    <w:rsid w:val="005B4715"/>
    <w:rsid w:val="005B4FED"/>
    <w:rsid w:val="005B5B80"/>
    <w:rsid w:val="005C7655"/>
    <w:rsid w:val="005C7C79"/>
    <w:rsid w:val="005D1BC5"/>
    <w:rsid w:val="005D2D7A"/>
    <w:rsid w:val="005D7026"/>
    <w:rsid w:val="005E679E"/>
    <w:rsid w:val="005F3D48"/>
    <w:rsid w:val="005F79CC"/>
    <w:rsid w:val="00602577"/>
    <w:rsid w:val="00603EA6"/>
    <w:rsid w:val="00603FC1"/>
    <w:rsid w:val="00607805"/>
    <w:rsid w:val="0061381E"/>
    <w:rsid w:val="006159CC"/>
    <w:rsid w:val="006173D0"/>
    <w:rsid w:val="006201D7"/>
    <w:rsid w:val="006208C6"/>
    <w:rsid w:val="006267BF"/>
    <w:rsid w:val="00626CA4"/>
    <w:rsid w:val="0062796C"/>
    <w:rsid w:val="0063451F"/>
    <w:rsid w:val="006427AA"/>
    <w:rsid w:val="006429D7"/>
    <w:rsid w:val="006454DC"/>
    <w:rsid w:val="006564EA"/>
    <w:rsid w:val="00657D2D"/>
    <w:rsid w:val="00661E36"/>
    <w:rsid w:val="00663EAD"/>
    <w:rsid w:val="00666B12"/>
    <w:rsid w:val="006674FC"/>
    <w:rsid w:val="006719C9"/>
    <w:rsid w:val="006757AA"/>
    <w:rsid w:val="00675B34"/>
    <w:rsid w:val="00675EDF"/>
    <w:rsid w:val="00682080"/>
    <w:rsid w:val="00684ABF"/>
    <w:rsid w:val="0068575D"/>
    <w:rsid w:val="00685BF1"/>
    <w:rsid w:val="00691CF6"/>
    <w:rsid w:val="00692AE7"/>
    <w:rsid w:val="00696E9D"/>
    <w:rsid w:val="00697A16"/>
    <w:rsid w:val="00697F67"/>
    <w:rsid w:val="006A131D"/>
    <w:rsid w:val="006A2795"/>
    <w:rsid w:val="006A39D8"/>
    <w:rsid w:val="006A72D0"/>
    <w:rsid w:val="006B0488"/>
    <w:rsid w:val="006B089B"/>
    <w:rsid w:val="006B3301"/>
    <w:rsid w:val="006B56FC"/>
    <w:rsid w:val="006C0869"/>
    <w:rsid w:val="006C7B63"/>
    <w:rsid w:val="006E086B"/>
    <w:rsid w:val="006E0D17"/>
    <w:rsid w:val="006E2EA3"/>
    <w:rsid w:val="006E350F"/>
    <w:rsid w:val="006E55ED"/>
    <w:rsid w:val="006E70FF"/>
    <w:rsid w:val="006F173B"/>
    <w:rsid w:val="00711110"/>
    <w:rsid w:val="00714E79"/>
    <w:rsid w:val="007239F8"/>
    <w:rsid w:val="00727A8E"/>
    <w:rsid w:val="00730910"/>
    <w:rsid w:val="00733BDA"/>
    <w:rsid w:val="00753B4D"/>
    <w:rsid w:val="00754949"/>
    <w:rsid w:val="007550E9"/>
    <w:rsid w:val="007660B9"/>
    <w:rsid w:val="00780AC4"/>
    <w:rsid w:val="00781479"/>
    <w:rsid w:val="00781797"/>
    <w:rsid w:val="007836C4"/>
    <w:rsid w:val="0078689C"/>
    <w:rsid w:val="007956C4"/>
    <w:rsid w:val="007A27C5"/>
    <w:rsid w:val="007A52E1"/>
    <w:rsid w:val="007A6297"/>
    <w:rsid w:val="007A6FC6"/>
    <w:rsid w:val="007C3F60"/>
    <w:rsid w:val="007C544A"/>
    <w:rsid w:val="007D680C"/>
    <w:rsid w:val="007E24B7"/>
    <w:rsid w:val="007F7FED"/>
    <w:rsid w:val="0080402F"/>
    <w:rsid w:val="008051C4"/>
    <w:rsid w:val="00805B42"/>
    <w:rsid w:val="00806393"/>
    <w:rsid w:val="0080697E"/>
    <w:rsid w:val="0081512D"/>
    <w:rsid w:val="00817B50"/>
    <w:rsid w:val="00820E0F"/>
    <w:rsid w:val="00822E67"/>
    <w:rsid w:val="00824755"/>
    <w:rsid w:val="00825410"/>
    <w:rsid w:val="00825715"/>
    <w:rsid w:val="008275B9"/>
    <w:rsid w:val="0083261D"/>
    <w:rsid w:val="00832D89"/>
    <w:rsid w:val="0083503B"/>
    <w:rsid w:val="00840865"/>
    <w:rsid w:val="00841D41"/>
    <w:rsid w:val="008436AB"/>
    <w:rsid w:val="00844739"/>
    <w:rsid w:val="0084486B"/>
    <w:rsid w:val="00853CDF"/>
    <w:rsid w:val="0086151D"/>
    <w:rsid w:val="0086672B"/>
    <w:rsid w:val="008668C0"/>
    <w:rsid w:val="008678C1"/>
    <w:rsid w:val="00873DED"/>
    <w:rsid w:val="00874FF1"/>
    <w:rsid w:val="00877425"/>
    <w:rsid w:val="008777F4"/>
    <w:rsid w:val="00880786"/>
    <w:rsid w:val="008A2626"/>
    <w:rsid w:val="008A6759"/>
    <w:rsid w:val="008B13B1"/>
    <w:rsid w:val="008B493F"/>
    <w:rsid w:val="008C115E"/>
    <w:rsid w:val="008C5D4E"/>
    <w:rsid w:val="008D0504"/>
    <w:rsid w:val="008D1256"/>
    <w:rsid w:val="008D275A"/>
    <w:rsid w:val="008E109E"/>
    <w:rsid w:val="008E66E6"/>
    <w:rsid w:val="008F112A"/>
    <w:rsid w:val="00900D4B"/>
    <w:rsid w:val="009014BC"/>
    <w:rsid w:val="00902CAC"/>
    <w:rsid w:val="009036CA"/>
    <w:rsid w:val="0091734B"/>
    <w:rsid w:val="00917F95"/>
    <w:rsid w:val="00923EDF"/>
    <w:rsid w:val="00935AD4"/>
    <w:rsid w:val="00937CE1"/>
    <w:rsid w:val="0094513B"/>
    <w:rsid w:val="0094688C"/>
    <w:rsid w:val="00963FB3"/>
    <w:rsid w:val="009672EB"/>
    <w:rsid w:val="00973090"/>
    <w:rsid w:val="0099436F"/>
    <w:rsid w:val="009956DE"/>
    <w:rsid w:val="009959E0"/>
    <w:rsid w:val="00996BEA"/>
    <w:rsid w:val="009A33FB"/>
    <w:rsid w:val="009A5056"/>
    <w:rsid w:val="009B1A44"/>
    <w:rsid w:val="009B300F"/>
    <w:rsid w:val="009B4379"/>
    <w:rsid w:val="009C40A7"/>
    <w:rsid w:val="009C4D8A"/>
    <w:rsid w:val="009C580F"/>
    <w:rsid w:val="009D161E"/>
    <w:rsid w:val="009E1B26"/>
    <w:rsid w:val="009F751D"/>
    <w:rsid w:val="00A00EF2"/>
    <w:rsid w:val="00A018DD"/>
    <w:rsid w:val="00A069F9"/>
    <w:rsid w:val="00A07F0E"/>
    <w:rsid w:val="00A10AC2"/>
    <w:rsid w:val="00A173EC"/>
    <w:rsid w:val="00A17F9A"/>
    <w:rsid w:val="00A270BD"/>
    <w:rsid w:val="00A3076D"/>
    <w:rsid w:val="00A316E1"/>
    <w:rsid w:val="00A346CA"/>
    <w:rsid w:val="00A477A0"/>
    <w:rsid w:val="00A47C07"/>
    <w:rsid w:val="00A50BDE"/>
    <w:rsid w:val="00A5524F"/>
    <w:rsid w:val="00A61711"/>
    <w:rsid w:val="00A62C59"/>
    <w:rsid w:val="00A62F19"/>
    <w:rsid w:val="00A63A3E"/>
    <w:rsid w:val="00A66C34"/>
    <w:rsid w:val="00A72CC9"/>
    <w:rsid w:val="00A73CFD"/>
    <w:rsid w:val="00A77E87"/>
    <w:rsid w:val="00A80863"/>
    <w:rsid w:val="00A81616"/>
    <w:rsid w:val="00A8365E"/>
    <w:rsid w:val="00A9488D"/>
    <w:rsid w:val="00A94E35"/>
    <w:rsid w:val="00A95355"/>
    <w:rsid w:val="00AA4D84"/>
    <w:rsid w:val="00AB350C"/>
    <w:rsid w:val="00AB379A"/>
    <w:rsid w:val="00AB3C78"/>
    <w:rsid w:val="00AC1AA3"/>
    <w:rsid w:val="00AC4EB2"/>
    <w:rsid w:val="00AC7F21"/>
    <w:rsid w:val="00AD0F94"/>
    <w:rsid w:val="00AD7918"/>
    <w:rsid w:val="00AE0E38"/>
    <w:rsid w:val="00AE11C4"/>
    <w:rsid w:val="00AE1640"/>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56DD9"/>
    <w:rsid w:val="00B663B0"/>
    <w:rsid w:val="00B83B2F"/>
    <w:rsid w:val="00B87E45"/>
    <w:rsid w:val="00B95533"/>
    <w:rsid w:val="00BB0F68"/>
    <w:rsid w:val="00BB1FFF"/>
    <w:rsid w:val="00BB2567"/>
    <w:rsid w:val="00BB662C"/>
    <w:rsid w:val="00BC24CA"/>
    <w:rsid w:val="00BD113A"/>
    <w:rsid w:val="00BD2B9F"/>
    <w:rsid w:val="00BD35B3"/>
    <w:rsid w:val="00BD3DA8"/>
    <w:rsid w:val="00BD45D5"/>
    <w:rsid w:val="00BE446D"/>
    <w:rsid w:val="00BE4DEF"/>
    <w:rsid w:val="00BE64F3"/>
    <w:rsid w:val="00BF5183"/>
    <w:rsid w:val="00C00697"/>
    <w:rsid w:val="00C0095A"/>
    <w:rsid w:val="00C00B54"/>
    <w:rsid w:val="00C10C00"/>
    <w:rsid w:val="00C17CE9"/>
    <w:rsid w:val="00C26325"/>
    <w:rsid w:val="00C464A7"/>
    <w:rsid w:val="00C511C3"/>
    <w:rsid w:val="00C51C42"/>
    <w:rsid w:val="00C52329"/>
    <w:rsid w:val="00C57F4E"/>
    <w:rsid w:val="00C66A73"/>
    <w:rsid w:val="00C67AA6"/>
    <w:rsid w:val="00C76497"/>
    <w:rsid w:val="00C80CAE"/>
    <w:rsid w:val="00C856C9"/>
    <w:rsid w:val="00C86AD9"/>
    <w:rsid w:val="00C86F22"/>
    <w:rsid w:val="00C91A83"/>
    <w:rsid w:val="00C9650F"/>
    <w:rsid w:val="00C9741E"/>
    <w:rsid w:val="00CA33C7"/>
    <w:rsid w:val="00CB2C58"/>
    <w:rsid w:val="00CB38A3"/>
    <w:rsid w:val="00CB3B70"/>
    <w:rsid w:val="00CC1475"/>
    <w:rsid w:val="00CC1CCB"/>
    <w:rsid w:val="00CC6B7E"/>
    <w:rsid w:val="00CD730D"/>
    <w:rsid w:val="00CE1635"/>
    <w:rsid w:val="00CF0D33"/>
    <w:rsid w:val="00CF68E9"/>
    <w:rsid w:val="00CF7819"/>
    <w:rsid w:val="00D171A8"/>
    <w:rsid w:val="00D2011B"/>
    <w:rsid w:val="00D303B7"/>
    <w:rsid w:val="00D4602A"/>
    <w:rsid w:val="00D4643A"/>
    <w:rsid w:val="00D46EB7"/>
    <w:rsid w:val="00D475BD"/>
    <w:rsid w:val="00D52159"/>
    <w:rsid w:val="00D54C52"/>
    <w:rsid w:val="00D54CE5"/>
    <w:rsid w:val="00D55E22"/>
    <w:rsid w:val="00D611A9"/>
    <w:rsid w:val="00D620F7"/>
    <w:rsid w:val="00D621F3"/>
    <w:rsid w:val="00D748EA"/>
    <w:rsid w:val="00D9012E"/>
    <w:rsid w:val="00D90897"/>
    <w:rsid w:val="00D93BE5"/>
    <w:rsid w:val="00DA3036"/>
    <w:rsid w:val="00DB015B"/>
    <w:rsid w:val="00DB20CE"/>
    <w:rsid w:val="00DB24D3"/>
    <w:rsid w:val="00DB35E7"/>
    <w:rsid w:val="00DB5E67"/>
    <w:rsid w:val="00DB6F16"/>
    <w:rsid w:val="00DB7D77"/>
    <w:rsid w:val="00DC3380"/>
    <w:rsid w:val="00DD6C35"/>
    <w:rsid w:val="00DE193D"/>
    <w:rsid w:val="00DE710F"/>
    <w:rsid w:val="00DE7EED"/>
    <w:rsid w:val="00E02E5D"/>
    <w:rsid w:val="00E05E36"/>
    <w:rsid w:val="00E14B90"/>
    <w:rsid w:val="00E23B18"/>
    <w:rsid w:val="00E401B3"/>
    <w:rsid w:val="00E46F31"/>
    <w:rsid w:val="00E50185"/>
    <w:rsid w:val="00E578B7"/>
    <w:rsid w:val="00E63231"/>
    <w:rsid w:val="00E7329A"/>
    <w:rsid w:val="00E73F85"/>
    <w:rsid w:val="00E76451"/>
    <w:rsid w:val="00E8016F"/>
    <w:rsid w:val="00E80E52"/>
    <w:rsid w:val="00E816CE"/>
    <w:rsid w:val="00E87451"/>
    <w:rsid w:val="00E90908"/>
    <w:rsid w:val="00E90FB5"/>
    <w:rsid w:val="00E92954"/>
    <w:rsid w:val="00EA0688"/>
    <w:rsid w:val="00EA19B4"/>
    <w:rsid w:val="00EA675F"/>
    <w:rsid w:val="00EB25EA"/>
    <w:rsid w:val="00EC0059"/>
    <w:rsid w:val="00EC68DB"/>
    <w:rsid w:val="00ED0CB2"/>
    <w:rsid w:val="00ED334F"/>
    <w:rsid w:val="00ED3DA5"/>
    <w:rsid w:val="00EE08F2"/>
    <w:rsid w:val="00EE1DD7"/>
    <w:rsid w:val="00EE76B9"/>
    <w:rsid w:val="00EF125F"/>
    <w:rsid w:val="00EF2497"/>
    <w:rsid w:val="00EF38A6"/>
    <w:rsid w:val="00EF53E7"/>
    <w:rsid w:val="00F017E0"/>
    <w:rsid w:val="00F01B39"/>
    <w:rsid w:val="00F03B20"/>
    <w:rsid w:val="00F065A0"/>
    <w:rsid w:val="00F21C70"/>
    <w:rsid w:val="00F26D11"/>
    <w:rsid w:val="00F27CBE"/>
    <w:rsid w:val="00F4121E"/>
    <w:rsid w:val="00F4212B"/>
    <w:rsid w:val="00F4644C"/>
    <w:rsid w:val="00F468E5"/>
    <w:rsid w:val="00F46D66"/>
    <w:rsid w:val="00F4704F"/>
    <w:rsid w:val="00F50EE3"/>
    <w:rsid w:val="00F651C4"/>
    <w:rsid w:val="00F7682E"/>
    <w:rsid w:val="00F92C57"/>
    <w:rsid w:val="00F9344F"/>
    <w:rsid w:val="00F97B14"/>
    <w:rsid w:val="00FA6B33"/>
    <w:rsid w:val="00FB1D0E"/>
    <w:rsid w:val="00FB20C4"/>
    <w:rsid w:val="00FB3C96"/>
    <w:rsid w:val="00FB4BCE"/>
    <w:rsid w:val="00FB55EF"/>
    <w:rsid w:val="00FB60EF"/>
    <w:rsid w:val="00FC3D4F"/>
    <w:rsid w:val="00FC49FB"/>
    <w:rsid w:val="00FC5756"/>
    <w:rsid w:val="00FC7F51"/>
    <w:rsid w:val="00FD0935"/>
    <w:rsid w:val="00FD2274"/>
    <w:rsid w:val="00FD228D"/>
    <w:rsid w:val="00FD659E"/>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5BBD0"/>
  <w14:discardImageEditingData/>
  <w15:chartTrackingRefBased/>
  <w15:docId w15:val="{79F0E3D0-B4A4-4E05-AA67-C6D15B6A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BE4DEF"/>
    <w:pPr>
      <w:numPr>
        <w:numId w:val="22"/>
      </w:numPr>
      <w:spacing w:before="120" w:after="0"/>
      <w:ind w:left="568" w:hanging="284"/>
    </w:pPr>
    <w:rPr>
      <w:sz w:val="22"/>
    </w:rPr>
  </w:style>
  <w:style w:type="paragraph" w:customStyle="1" w:styleId="BulletedListlvl1">
    <w:name w:val="Bulleted List lvl1"/>
    <w:uiPriority w:val="10"/>
    <w:qFormat/>
    <w:rsid w:val="00BE4DEF"/>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BE4DEF"/>
    <w:pPr>
      <w:spacing w:before="120" w:line="288" w:lineRule="auto"/>
    </w:pPr>
    <w:rPr>
      <w:sz w:val="22"/>
    </w:rPr>
  </w:style>
  <w:style w:type="character" w:customStyle="1" w:styleId="BodyTextChar">
    <w:name w:val="Body Text Char"/>
    <w:basedOn w:val="DefaultParagraphFont"/>
    <w:link w:val="BodyText"/>
    <w:rsid w:val="00BE4DEF"/>
    <w:rPr>
      <w:sz w:val="22"/>
    </w:rPr>
  </w:style>
  <w:style w:type="paragraph" w:customStyle="1" w:styleId="BulletedListlvl2">
    <w:name w:val="Bulleted List lvl2"/>
    <w:basedOn w:val="BulletedListlvl1"/>
    <w:uiPriority w:val="10"/>
    <w:qFormat/>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BE4DEF"/>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BE4DEF"/>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BE4DEF"/>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Hyperlink">
    <w:name w:val="Hyperlink"/>
    <w:basedOn w:val="DefaultParagraphFont"/>
    <w:uiPriority w:val="99"/>
    <w:unhideWhenUsed/>
    <w:rsid w:val="00A270BD"/>
    <w:rPr>
      <w:color w:val="0289C8" w:themeColor="hyperlink"/>
      <w:u w:val="single"/>
    </w:rPr>
  </w:style>
  <w:style w:type="character" w:styleId="CommentReference">
    <w:name w:val="annotation reference"/>
    <w:basedOn w:val="DefaultParagraphFont"/>
    <w:uiPriority w:val="99"/>
    <w:semiHidden/>
    <w:unhideWhenUsed/>
    <w:rsid w:val="00822E67"/>
    <w:rPr>
      <w:sz w:val="16"/>
      <w:szCs w:val="16"/>
    </w:rPr>
  </w:style>
  <w:style w:type="paragraph" w:styleId="CommentText">
    <w:name w:val="annotation text"/>
    <w:basedOn w:val="Normal"/>
    <w:link w:val="CommentTextChar"/>
    <w:uiPriority w:val="99"/>
    <w:unhideWhenUsed/>
    <w:rsid w:val="00822E67"/>
    <w:pPr>
      <w:spacing w:after="160" w:line="240" w:lineRule="auto"/>
    </w:pPr>
    <w:rPr>
      <w:color w:val="auto"/>
    </w:rPr>
  </w:style>
  <w:style w:type="character" w:customStyle="1" w:styleId="CommentTextChar">
    <w:name w:val="Comment Text Char"/>
    <w:basedOn w:val="DefaultParagraphFont"/>
    <w:link w:val="CommentText"/>
    <w:uiPriority w:val="99"/>
    <w:rsid w:val="00822E67"/>
    <w:rPr>
      <w:color w:val="auto"/>
    </w:rPr>
  </w:style>
  <w:style w:type="paragraph" w:styleId="NormalWeb">
    <w:name w:val="Normal (Web)"/>
    <w:basedOn w:val="Normal"/>
    <w:uiPriority w:val="99"/>
    <w:unhideWhenUsed/>
    <w:rsid w:val="00822E6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7272\Downloads\niaa-short-document-landscape.dotx" TargetMode="External"/></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HubEmailFrom xmlns="710a584d-b494-4e90-bb0e-8d2ba517c0e5" xsi:nil="true"/>
    <ShareHubEmailToDisplay xmlns="3d2ca149-6300-466a-a47d-49720a311bba" xsi:nil="true"/>
    <ShareHubEmailDate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EmailCc xmlns="710a584d-b494-4e90-bb0e-8d2ba517c0e5" xsi:nil="true"/>
    <PMCNotes xmlns="710a584d-b494-4e90-bb0e-8d2ba517c0e5" xsi:nil="true"/>
    <NonRecordJustification xmlns="685f9fda-bd71-4433-b331-92feb9553089">None</NonRecordJustification>
    <ShareHubID xmlns="710a584d-b494-4e90-bb0e-8d2ba517c0e5">PDOC23-132093</ShareHubID>
    <TaxCatchAll xmlns="710a584d-b494-4e90-bb0e-8d2ba517c0e5">
      <Value>1</Value>
    </TaxCatchAll>
    <ShareHubEmailTo xmlns="334960d0-34b3-4a2f-99c1-c7c418806403" xsi:nil="true"/>
    <jd1c641577414dfdab1686c9d5d0dbd0 xmlns="710a584d-b494-4e90-bb0e-8d2ba517c0e5">
      <Terms xmlns="http://schemas.microsoft.com/office/infopath/2007/PartnerControls"/>
    </jd1c641577414dfdab1686c9d5d0dbd0>
  </documentManagement>
</p:properties>
</file>

<file path=customXml/item2.xml><?xml version="1.0" encoding="utf-8"?>
<root>
  <Name/>
  <Classification>Choose Classification</Classification>
  <DLM/>
  <SectionName/>
  <DH/>
  <Bylin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9F435AFA2C88664181D4B60F46CD72F5" ma:contentTypeVersion="3" ma:contentTypeDescription="ShareHub Email" ma:contentTypeScope="" ma:versionID="53694296af1f35be15a20ef4da698502">
  <xsd:schema xmlns:xsd="http://www.w3.org/2001/XMLSchema" xmlns:xs="http://www.w3.org/2001/XMLSchema" xmlns:p="http://schemas.microsoft.com/office/2006/metadata/properties" xmlns:ns1="710a584d-b494-4e90-bb0e-8d2ba517c0e5" xmlns:ns3="334960d0-34b3-4a2f-99c1-c7c418806403" xmlns:ns4="3d2ca149-6300-466a-a47d-49720a311bba" xmlns:ns5="685f9fda-bd71-4433-b331-92feb9553089" targetNamespace="http://schemas.microsoft.com/office/2006/metadata/properties" ma:root="true" ma:fieldsID="f415bb08eade9a176c5ff6407a4b72f8" ns1:_="" ns3:_="" ns4:_="" ns5:_="">
    <xsd:import namespace="710a584d-b494-4e90-bb0e-8d2ba517c0e5"/>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minOccurs="0"/>
                <xsd:element ref="ns1:PMCNotes" minOccurs="0"/>
                <xsd:element ref="ns1:jd1c641577414dfdab1686c9d5d0dbd0" minOccurs="0"/>
                <xsd:element ref="ns1:TaxCatchAllLabel" minOccurs="0"/>
                <xsd:element ref="ns1:mc5611b894cf49d8aeeb8ebf39dc09b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2512A9F-56A8-492A-BCC8-D064696F9514}">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334960d0-34b3-4a2f-99c1-c7c418806403"/>
    <ds:schemaRef ds:uri="685f9fda-bd71-4433-b331-92feb9553089"/>
    <ds:schemaRef ds:uri="http://schemas.microsoft.com/office/2006/documentManagement/types"/>
    <ds:schemaRef ds:uri="3d2ca149-6300-466a-a47d-49720a311bba"/>
    <ds:schemaRef ds:uri="710a584d-b494-4e90-bb0e-8d2ba517c0e5"/>
    <ds:schemaRef ds:uri="http://www.w3.org/XML/1998/namespace"/>
    <ds:schemaRef ds:uri="http://purl.org/dc/dcmitype/"/>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4.xml><?xml version="1.0" encoding="utf-8"?>
<ds:datastoreItem xmlns:ds="http://schemas.openxmlformats.org/officeDocument/2006/customXml" ds:itemID="{988EBD04-8D2A-4FBC-AE01-FA0B91288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334960d0-34b3-4a2f-99c1-c7c418806403"/>
    <ds:schemaRef ds:uri="3d2ca149-6300-466a-a47d-49720a311bb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3A8571-F6C3-4BFD-B95B-6F056722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niaa-short-document-landscape</Template>
  <TotalTime>2</TotalTime>
  <Pages>5</Pages>
  <Words>887</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Cathy</dc:creator>
  <cp:keywords/>
  <dc:description/>
  <cp:lastModifiedBy>Milanja, Jelena</cp:lastModifiedBy>
  <cp:revision>2</cp:revision>
  <dcterms:created xsi:type="dcterms:W3CDTF">2023-12-14T01:31:00Z</dcterms:created>
  <dcterms:modified xsi:type="dcterms:W3CDTF">2023-12-14T01:31:00Z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0x010100C6FDFA855DF44DDFAFEDE39A05AE3EFB009F435AFA2C88664181D4B60F46CD72F5</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