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94" w:rsidRDefault="00F77094" w:rsidP="00F77094">
      <w:pPr>
        <w:keepLines/>
        <w:suppressLineNumbers/>
        <w:spacing w:after="120" w:line="276" w:lineRule="auto"/>
        <w:jc w:val="right"/>
        <w:rPr>
          <w:rFonts w:asciiTheme="minorHAnsi" w:eastAsiaTheme="minorEastAsia" w:hAnsiTheme="minorHAnsi" w:cstheme="minorHAnsi"/>
          <w:b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HAnsi"/>
          <w:b/>
          <w:sz w:val="22"/>
          <w:szCs w:val="22"/>
          <w:lang w:eastAsia="en-AU"/>
        </w:rPr>
        <w:t xml:space="preserve">Attachment </w:t>
      </w:r>
      <w:r w:rsidR="0041576D">
        <w:rPr>
          <w:rFonts w:asciiTheme="minorHAnsi" w:eastAsiaTheme="minorEastAsia" w:hAnsiTheme="minorHAnsi" w:cstheme="minorHAnsi"/>
          <w:b/>
          <w:sz w:val="22"/>
          <w:szCs w:val="22"/>
          <w:lang w:eastAsia="en-AU"/>
        </w:rPr>
        <w:t>C</w:t>
      </w:r>
    </w:p>
    <w:p w:rsidR="00CA4F2F" w:rsidRPr="000077BE" w:rsidRDefault="00CA4F2F" w:rsidP="00CA4F2F">
      <w:pPr>
        <w:jc w:val="center"/>
        <w:rPr>
          <w:rFonts w:asciiTheme="minorHAnsi" w:hAnsiTheme="minorHAnsi" w:cstheme="minorHAnsi"/>
          <w:b/>
          <w:color w:val="1F497D" w:themeColor="text2"/>
          <w:sz w:val="52"/>
          <w:szCs w:val="52"/>
        </w:rPr>
      </w:pPr>
      <w:r w:rsidRPr="000077BE">
        <w:rPr>
          <w:rFonts w:asciiTheme="minorHAnsi" w:hAnsiTheme="minorHAnsi" w:cstheme="minorHAnsi"/>
          <w:b/>
          <w:color w:val="1F497D" w:themeColor="text2"/>
          <w:sz w:val="52"/>
          <w:szCs w:val="52"/>
        </w:rPr>
        <w:t>Indigenous Student Success Program</w:t>
      </w:r>
    </w:p>
    <w:p w:rsidR="00CA4F2F" w:rsidRDefault="00CA4F2F" w:rsidP="00CA4F2F">
      <w:pPr>
        <w:jc w:val="center"/>
        <w:rPr>
          <w:rFonts w:asciiTheme="minorHAnsi" w:hAnsiTheme="minorHAnsi" w:cstheme="minorHAnsi"/>
          <w:b/>
          <w:color w:val="1F497D" w:themeColor="text2"/>
          <w:sz w:val="44"/>
          <w:szCs w:val="44"/>
        </w:rPr>
      </w:pPr>
      <w:bookmarkStart w:id="0" w:name="_GoBack"/>
      <w:r>
        <w:rPr>
          <w:rFonts w:asciiTheme="minorHAnsi" w:hAnsiTheme="minorHAnsi" w:cstheme="minorHAnsi"/>
          <w:b/>
          <w:color w:val="1F497D" w:themeColor="text2"/>
          <w:sz w:val="44"/>
          <w:szCs w:val="44"/>
        </w:rPr>
        <w:t>2019 Reporting and Acquittal requirements</w:t>
      </w:r>
      <w:bookmarkEnd w:id="0"/>
    </w:p>
    <w:p w:rsidR="00CA4F2F" w:rsidRDefault="00CA4F2F" w:rsidP="00055DF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CA4F2F" w:rsidRDefault="00FE62E2" w:rsidP="00055DF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5DFA">
        <w:rPr>
          <w:rFonts w:asciiTheme="minorHAnsi" w:hAnsiTheme="minorHAnsi" w:cstheme="minorHAnsi"/>
          <w:sz w:val="22"/>
          <w:szCs w:val="22"/>
        </w:rPr>
        <w:t xml:space="preserve">The </w:t>
      </w:r>
      <w:r w:rsidRPr="00055DFA">
        <w:rPr>
          <w:rFonts w:asciiTheme="minorHAnsi" w:hAnsiTheme="minorHAnsi" w:cstheme="minorHAnsi"/>
          <w:i/>
          <w:sz w:val="22"/>
          <w:szCs w:val="22"/>
        </w:rPr>
        <w:t xml:space="preserve">Indigenous Student </w:t>
      </w:r>
      <w:r w:rsidR="005A4850">
        <w:rPr>
          <w:rFonts w:asciiTheme="minorHAnsi" w:hAnsiTheme="minorHAnsi" w:cstheme="minorHAnsi"/>
          <w:i/>
          <w:sz w:val="22"/>
          <w:szCs w:val="22"/>
        </w:rPr>
        <w:t>Assistance Grants Guidelines 2017</w:t>
      </w:r>
      <w:r w:rsidR="00385244">
        <w:rPr>
          <w:rFonts w:asciiTheme="minorHAnsi" w:hAnsiTheme="minorHAnsi" w:cstheme="minorHAnsi"/>
          <w:sz w:val="22"/>
          <w:szCs w:val="22"/>
        </w:rPr>
        <w:t xml:space="preserve"> </w:t>
      </w:r>
      <w:r w:rsidR="007A2E3B">
        <w:rPr>
          <w:rFonts w:asciiTheme="minorHAnsi" w:hAnsiTheme="minorHAnsi" w:cstheme="minorHAnsi"/>
          <w:sz w:val="22"/>
          <w:szCs w:val="22"/>
        </w:rPr>
        <w:t>(the Guidelines)</w:t>
      </w:r>
      <w:r w:rsidR="004651E3">
        <w:rPr>
          <w:rFonts w:asciiTheme="minorHAnsi" w:hAnsiTheme="minorHAnsi" w:cstheme="minorHAnsi"/>
          <w:sz w:val="22"/>
          <w:szCs w:val="22"/>
        </w:rPr>
        <w:t>,</w:t>
      </w:r>
      <w:r w:rsidR="007A2E3B">
        <w:rPr>
          <w:rFonts w:asciiTheme="minorHAnsi" w:hAnsiTheme="minorHAnsi" w:cstheme="minorHAnsi"/>
          <w:sz w:val="22"/>
          <w:szCs w:val="22"/>
        </w:rPr>
        <w:t xml:space="preserve"> </w:t>
      </w:r>
      <w:r w:rsidR="004651E3">
        <w:rPr>
          <w:rFonts w:asciiTheme="minorHAnsi" w:hAnsiTheme="minorHAnsi" w:cstheme="minorHAnsi"/>
          <w:sz w:val="22"/>
          <w:szCs w:val="22"/>
        </w:rPr>
        <w:t xml:space="preserve">as amended in 2018, </w:t>
      </w:r>
      <w:r w:rsidR="00385244">
        <w:rPr>
          <w:rFonts w:asciiTheme="minorHAnsi" w:hAnsiTheme="minorHAnsi" w:cstheme="minorHAnsi"/>
          <w:sz w:val="22"/>
          <w:szCs w:val="22"/>
        </w:rPr>
        <w:t>require</w:t>
      </w:r>
      <w:r w:rsidR="00CA4F2F">
        <w:rPr>
          <w:rFonts w:asciiTheme="minorHAnsi" w:hAnsiTheme="minorHAnsi" w:cstheme="minorHAnsi"/>
          <w:sz w:val="22"/>
          <w:szCs w:val="22"/>
        </w:rPr>
        <w:t>s</w:t>
      </w:r>
      <w:r w:rsidR="00754438">
        <w:rPr>
          <w:rFonts w:asciiTheme="minorHAnsi" w:hAnsiTheme="minorHAnsi" w:cstheme="minorHAnsi"/>
          <w:sz w:val="22"/>
          <w:szCs w:val="22"/>
        </w:rPr>
        <w:t xml:space="preserve"> institutions</w:t>
      </w:r>
      <w:r w:rsidR="00CA4F2F">
        <w:rPr>
          <w:rFonts w:asciiTheme="minorHAnsi" w:hAnsiTheme="minorHAnsi" w:cstheme="minorHAnsi"/>
          <w:sz w:val="22"/>
          <w:szCs w:val="22"/>
        </w:rPr>
        <w:t xml:space="preserve"> to provide the following reporting documentation for the ISSP:</w:t>
      </w:r>
    </w:p>
    <w:p w:rsidR="00CA4F2F" w:rsidRPr="00CA4F2F" w:rsidRDefault="00CA4F2F" w:rsidP="00CA4F2F">
      <w:pPr>
        <w:pStyle w:val="ListParagraph"/>
        <w:numPr>
          <w:ilvl w:val="0"/>
          <w:numId w:val="39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CA4F2F">
        <w:rPr>
          <w:rFonts w:asciiTheme="minorHAnsi" w:hAnsiTheme="minorHAnsi" w:cstheme="minorHAnsi"/>
          <w:szCs w:val="22"/>
        </w:rPr>
        <w:t xml:space="preserve">A Performance Report. This should reflect on the performance data supplied at </w:t>
      </w:r>
      <w:r w:rsidRPr="00CA4F2F">
        <w:rPr>
          <w:rFonts w:asciiTheme="minorHAnsi" w:hAnsiTheme="minorHAnsi" w:cstheme="minorHAnsi"/>
          <w:szCs w:val="22"/>
          <w:u w:val="single"/>
        </w:rPr>
        <w:t>Attachment B</w:t>
      </w:r>
      <w:r w:rsidRPr="00CA4F2F">
        <w:rPr>
          <w:rFonts w:asciiTheme="minorHAnsi" w:hAnsiTheme="minorHAnsi" w:cstheme="minorHAnsi"/>
          <w:szCs w:val="22"/>
        </w:rPr>
        <w:t xml:space="preserve"> and outline key strategies used to lift outcomes during the year. Performance reporting </w:t>
      </w:r>
      <w:r w:rsidR="00FD406D">
        <w:rPr>
          <w:rFonts w:asciiTheme="minorHAnsi" w:hAnsiTheme="minorHAnsi" w:cstheme="minorHAnsi"/>
          <w:szCs w:val="22"/>
        </w:rPr>
        <w:t>should</w:t>
      </w:r>
      <w:r w:rsidRPr="00CA4F2F">
        <w:rPr>
          <w:rFonts w:asciiTheme="minorHAnsi" w:hAnsiTheme="minorHAnsi" w:cstheme="minorHAnsi"/>
          <w:szCs w:val="22"/>
        </w:rPr>
        <w:t xml:space="preserve"> demonstrate that the institution has met the conditions of eligibility for ISSP funding. The Performance Report template for 2019 is provided at Attachment</w:t>
      </w:r>
      <w:r w:rsidR="00873ABB">
        <w:rPr>
          <w:rFonts w:asciiTheme="minorHAnsi" w:hAnsiTheme="minorHAnsi" w:cstheme="minorHAnsi"/>
          <w:szCs w:val="22"/>
        </w:rPr>
        <w:t xml:space="preserve"> C1</w:t>
      </w:r>
      <w:r w:rsidRPr="00CA4F2F">
        <w:rPr>
          <w:rFonts w:asciiTheme="minorHAnsi" w:hAnsiTheme="minorHAnsi" w:cstheme="minorHAnsi"/>
          <w:szCs w:val="22"/>
        </w:rPr>
        <w:t xml:space="preserve">. </w:t>
      </w:r>
    </w:p>
    <w:p w:rsidR="00CA4F2F" w:rsidRPr="00CA4F2F" w:rsidRDefault="00CA4F2F" w:rsidP="00E90B25">
      <w:pPr>
        <w:numPr>
          <w:ilvl w:val="0"/>
          <w:numId w:val="39"/>
        </w:num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A4F2F">
        <w:rPr>
          <w:rFonts w:asciiTheme="minorHAnsi" w:hAnsiTheme="minorHAnsi" w:cstheme="minorHAnsi"/>
          <w:sz w:val="22"/>
          <w:szCs w:val="22"/>
        </w:rPr>
        <w:t xml:space="preserve">A Financial Acquittal which demonstrates that ISSP funding has been used according to the Guidelines and the </w:t>
      </w:r>
      <w:r w:rsidRPr="00CA4F2F">
        <w:rPr>
          <w:rFonts w:asciiTheme="minorHAnsi" w:hAnsiTheme="minorHAnsi" w:cstheme="minorHAnsi"/>
          <w:i/>
          <w:sz w:val="22"/>
          <w:szCs w:val="22"/>
        </w:rPr>
        <w:t>Higher Education Support Act 2003</w:t>
      </w:r>
      <w:r w:rsidRPr="00CA4F2F">
        <w:rPr>
          <w:rFonts w:asciiTheme="minorHAnsi" w:hAnsiTheme="minorHAnsi" w:cstheme="minorHAnsi"/>
          <w:sz w:val="22"/>
          <w:szCs w:val="22"/>
        </w:rPr>
        <w:t xml:space="preserve"> and that estimates the other </w:t>
      </w:r>
      <w:r>
        <w:rPr>
          <w:rFonts w:asciiTheme="minorHAnsi" w:hAnsiTheme="minorHAnsi" w:cstheme="minorHAnsi"/>
          <w:sz w:val="22"/>
          <w:szCs w:val="22"/>
        </w:rPr>
        <w:t>funds</w:t>
      </w:r>
      <w:r w:rsidRPr="00CA4F2F">
        <w:rPr>
          <w:rFonts w:asciiTheme="minorHAnsi" w:hAnsiTheme="minorHAnsi" w:cstheme="minorHAnsi"/>
          <w:sz w:val="22"/>
          <w:szCs w:val="22"/>
        </w:rPr>
        <w:t xml:space="preserve"> the university </w:t>
      </w:r>
      <w:r>
        <w:rPr>
          <w:rFonts w:asciiTheme="minorHAnsi" w:hAnsiTheme="minorHAnsi" w:cstheme="minorHAnsi"/>
          <w:sz w:val="22"/>
          <w:szCs w:val="22"/>
        </w:rPr>
        <w:t>has contributed towards</w:t>
      </w:r>
      <w:r w:rsidRPr="00CA4F2F">
        <w:rPr>
          <w:rFonts w:asciiTheme="minorHAnsi" w:hAnsiTheme="minorHAnsi" w:cstheme="minorHAnsi"/>
          <w:sz w:val="22"/>
          <w:szCs w:val="22"/>
        </w:rPr>
        <w:t xml:space="preserve"> lifting Aboriginal and Torres Strait Islander student and staff outcomes.</w:t>
      </w:r>
      <w:r>
        <w:rPr>
          <w:rFonts w:asciiTheme="minorHAnsi" w:hAnsiTheme="minorHAnsi" w:cstheme="minorHAnsi"/>
          <w:sz w:val="22"/>
          <w:szCs w:val="22"/>
        </w:rPr>
        <w:t xml:space="preserve"> The Financial Acquittal template for 2019 is provided at Attachment</w:t>
      </w:r>
      <w:r w:rsidR="00873ABB">
        <w:rPr>
          <w:rFonts w:asciiTheme="minorHAnsi" w:hAnsiTheme="minorHAnsi" w:cstheme="minorHAnsi"/>
          <w:sz w:val="22"/>
          <w:szCs w:val="22"/>
        </w:rPr>
        <w:t xml:space="preserve"> C2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E62E2" w:rsidRPr="00CA4F2F" w:rsidRDefault="00FE62E2" w:rsidP="00CA4F2F">
      <w:pPr>
        <w:pStyle w:val="ListParagraph"/>
        <w:numPr>
          <w:ilvl w:val="0"/>
          <w:numId w:val="39"/>
        </w:numPr>
        <w:spacing w:after="120" w:line="276" w:lineRule="auto"/>
        <w:rPr>
          <w:rFonts w:asciiTheme="minorHAnsi" w:hAnsiTheme="minorHAnsi" w:cstheme="minorHAnsi"/>
          <w:i/>
          <w:szCs w:val="22"/>
        </w:rPr>
      </w:pPr>
      <w:r w:rsidRPr="00CA4F2F">
        <w:rPr>
          <w:rFonts w:asciiTheme="minorHAnsi" w:hAnsiTheme="minorHAnsi" w:cstheme="minorHAnsi"/>
          <w:szCs w:val="22"/>
        </w:rPr>
        <w:t xml:space="preserve">a copy of the Audited Financial Statements that you provide to the Department of Education and Training at the time and in the form required by the </w:t>
      </w:r>
      <w:r w:rsidRPr="00CA4F2F">
        <w:rPr>
          <w:rFonts w:asciiTheme="minorHAnsi" w:hAnsiTheme="minorHAnsi" w:cstheme="minorHAnsi"/>
          <w:i/>
          <w:szCs w:val="22"/>
        </w:rPr>
        <w:t>[Australian Higher Education] Financial Statement Guidelines 2014.</w:t>
      </w:r>
    </w:p>
    <w:p w:rsidR="008276AB" w:rsidRDefault="00FE62E2" w:rsidP="00055DFA">
      <w:pPr>
        <w:tabs>
          <w:tab w:val="left" w:pos="90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5DFA">
        <w:rPr>
          <w:rFonts w:asciiTheme="minorHAnsi" w:hAnsiTheme="minorHAnsi" w:cstheme="minorHAnsi"/>
          <w:sz w:val="22"/>
          <w:szCs w:val="22"/>
        </w:rPr>
        <w:t xml:space="preserve">The Financial Acquittal must be signed by </w:t>
      </w:r>
      <w:r w:rsidR="007762B9">
        <w:rPr>
          <w:rFonts w:asciiTheme="minorHAnsi" w:hAnsiTheme="minorHAnsi" w:cstheme="minorHAnsi"/>
          <w:sz w:val="22"/>
          <w:szCs w:val="22"/>
        </w:rPr>
        <w:t xml:space="preserve">the Chief Financial Officer or </w:t>
      </w:r>
      <w:r w:rsidRPr="00055DFA">
        <w:rPr>
          <w:rFonts w:asciiTheme="minorHAnsi" w:hAnsiTheme="minorHAnsi" w:cstheme="minorHAnsi"/>
          <w:sz w:val="22"/>
          <w:szCs w:val="22"/>
        </w:rPr>
        <w:t xml:space="preserve">an internal auditor (for most universities) or an external auditor (for universities not reviewed by a government auditor-general). Following the recommendation of the </w:t>
      </w:r>
      <w:r w:rsidR="008276AB">
        <w:rPr>
          <w:rFonts w:asciiTheme="minorHAnsi" w:hAnsiTheme="minorHAnsi" w:cstheme="minorHAnsi"/>
          <w:sz w:val="22"/>
          <w:szCs w:val="22"/>
        </w:rPr>
        <w:t>institution</w:t>
      </w:r>
      <w:r w:rsidRPr="00055DFA">
        <w:rPr>
          <w:rFonts w:asciiTheme="minorHAnsi" w:hAnsiTheme="minorHAnsi" w:cstheme="minorHAnsi"/>
          <w:sz w:val="22"/>
          <w:szCs w:val="22"/>
        </w:rPr>
        <w:t>’s Indigenous Governance Mechanism, the Vice</w:t>
      </w:r>
      <w:r w:rsidR="00C55332">
        <w:rPr>
          <w:rFonts w:asciiTheme="minorHAnsi" w:hAnsiTheme="minorHAnsi" w:cstheme="minorHAnsi"/>
          <w:sz w:val="22"/>
          <w:szCs w:val="22"/>
        </w:rPr>
        <w:noBreakHyphen/>
      </w:r>
      <w:r w:rsidRPr="00055DFA">
        <w:rPr>
          <w:rFonts w:asciiTheme="minorHAnsi" w:hAnsiTheme="minorHAnsi" w:cstheme="minorHAnsi"/>
          <w:sz w:val="22"/>
          <w:szCs w:val="22"/>
        </w:rPr>
        <w:t>Chancellor or t</w:t>
      </w:r>
      <w:r w:rsidR="00E534E6">
        <w:rPr>
          <w:rFonts w:asciiTheme="minorHAnsi" w:hAnsiTheme="minorHAnsi" w:cstheme="minorHAnsi"/>
          <w:sz w:val="22"/>
          <w:szCs w:val="22"/>
        </w:rPr>
        <w:t>heir delegate must sign the 2019</w:t>
      </w:r>
      <w:r w:rsidRPr="00055DFA">
        <w:rPr>
          <w:rFonts w:asciiTheme="minorHAnsi" w:hAnsiTheme="minorHAnsi" w:cstheme="minorHAnsi"/>
          <w:sz w:val="22"/>
          <w:szCs w:val="22"/>
        </w:rPr>
        <w:t xml:space="preserve"> Certification. </w:t>
      </w:r>
    </w:p>
    <w:p w:rsidR="0045595A" w:rsidRPr="00CA4F2F" w:rsidRDefault="0045595A" w:rsidP="00CA4F2F">
      <w:pPr>
        <w:pStyle w:val="ListParagraph"/>
        <w:ind w:left="360" w:hanging="360"/>
        <w:rPr>
          <w:rStyle w:val="Heading1Char"/>
        </w:rPr>
      </w:pPr>
      <w:r w:rsidRPr="00CA4F2F">
        <w:rPr>
          <w:rStyle w:val="Heading1Char"/>
        </w:rPr>
        <w:t>Changes to the 2019 reporting template</w:t>
      </w:r>
      <w:r w:rsidR="008A5D5D">
        <w:rPr>
          <w:rStyle w:val="Heading1Char"/>
        </w:rPr>
        <w:t>s</w:t>
      </w:r>
    </w:p>
    <w:p w:rsidR="006279B0" w:rsidRPr="006279B0" w:rsidRDefault="0045595A" w:rsidP="006279B0">
      <w:pPr>
        <w:tabs>
          <w:tab w:val="left" w:pos="90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E347C">
        <w:rPr>
          <w:rFonts w:asciiTheme="minorHAnsi" w:hAnsiTheme="minorHAnsi" w:cstheme="minorHAnsi"/>
          <w:sz w:val="22"/>
          <w:szCs w:val="22"/>
        </w:rPr>
        <w:t xml:space="preserve">The Department </w:t>
      </w:r>
      <w:r w:rsidR="008A5D5D" w:rsidRPr="008E347C">
        <w:rPr>
          <w:rFonts w:asciiTheme="minorHAnsi" w:hAnsiTheme="minorHAnsi" w:cstheme="minorHAnsi"/>
          <w:sz w:val="22"/>
          <w:szCs w:val="22"/>
        </w:rPr>
        <w:t xml:space="preserve">has revised the reporting templates in line with feedback received </w:t>
      </w:r>
      <w:r w:rsidR="00E23220" w:rsidRPr="008E347C">
        <w:rPr>
          <w:rFonts w:asciiTheme="minorHAnsi" w:hAnsiTheme="minorHAnsi" w:cstheme="minorHAnsi"/>
          <w:sz w:val="22"/>
          <w:szCs w:val="22"/>
        </w:rPr>
        <w:t xml:space="preserve">as part of the 2018 Post-Implementation Review of the ISSP. </w:t>
      </w:r>
      <w:r w:rsidR="008A5D5D" w:rsidRPr="008E347C">
        <w:rPr>
          <w:rFonts w:asciiTheme="minorHAnsi" w:hAnsiTheme="minorHAnsi" w:cstheme="minorHAnsi"/>
          <w:sz w:val="22"/>
          <w:szCs w:val="22"/>
        </w:rPr>
        <w:t xml:space="preserve">The changes reflect requests from the sector to </w:t>
      </w:r>
      <w:r w:rsidR="00E23220" w:rsidRPr="008E347C">
        <w:rPr>
          <w:rFonts w:asciiTheme="minorHAnsi" w:hAnsiTheme="minorHAnsi" w:cstheme="minorHAnsi"/>
          <w:sz w:val="22"/>
          <w:szCs w:val="22"/>
        </w:rPr>
        <w:t xml:space="preserve">simplify the reporting </w:t>
      </w:r>
      <w:r w:rsidR="008A5D5D" w:rsidRPr="008E347C">
        <w:rPr>
          <w:rFonts w:asciiTheme="minorHAnsi" w:hAnsiTheme="minorHAnsi" w:cstheme="minorHAnsi"/>
          <w:sz w:val="22"/>
          <w:szCs w:val="22"/>
        </w:rPr>
        <w:t>tables</w:t>
      </w:r>
      <w:r w:rsidR="00E23220" w:rsidRPr="008E347C">
        <w:rPr>
          <w:rFonts w:asciiTheme="minorHAnsi" w:hAnsiTheme="minorHAnsi" w:cstheme="minorHAnsi"/>
          <w:sz w:val="22"/>
          <w:szCs w:val="22"/>
        </w:rPr>
        <w:t xml:space="preserve"> and provid</w:t>
      </w:r>
      <w:r w:rsidR="008A5D5D" w:rsidRPr="008E347C">
        <w:rPr>
          <w:rFonts w:asciiTheme="minorHAnsi" w:hAnsiTheme="minorHAnsi" w:cstheme="minorHAnsi"/>
          <w:sz w:val="22"/>
          <w:szCs w:val="22"/>
        </w:rPr>
        <w:t>e</w:t>
      </w:r>
      <w:r w:rsidR="00E23220" w:rsidRPr="008E347C">
        <w:rPr>
          <w:rFonts w:asciiTheme="minorHAnsi" w:hAnsiTheme="minorHAnsi" w:cstheme="minorHAnsi"/>
          <w:sz w:val="22"/>
          <w:szCs w:val="22"/>
        </w:rPr>
        <w:t xml:space="preserve"> </w:t>
      </w:r>
      <w:r w:rsidR="008E347C" w:rsidRPr="008E347C">
        <w:rPr>
          <w:rFonts w:asciiTheme="minorHAnsi" w:hAnsiTheme="minorHAnsi" w:cstheme="minorHAnsi"/>
          <w:sz w:val="22"/>
          <w:szCs w:val="22"/>
        </w:rPr>
        <w:t>additional</w:t>
      </w:r>
      <w:r w:rsidR="00E23220" w:rsidRPr="008E347C">
        <w:rPr>
          <w:rFonts w:asciiTheme="minorHAnsi" w:hAnsiTheme="minorHAnsi" w:cstheme="minorHAnsi"/>
          <w:sz w:val="22"/>
          <w:szCs w:val="22"/>
        </w:rPr>
        <w:t xml:space="preserve"> guidance </w:t>
      </w:r>
      <w:r w:rsidR="006279B0" w:rsidRPr="008E347C">
        <w:rPr>
          <w:rFonts w:asciiTheme="minorHAnsi" w:hAnsiTheme="minorHAnsi" w:cstheme="minorHAnsi"/>
          <w:sz w:val="22"/>
          <w:szCs w:val="22"/>
        </w:rPr>
        <w:t>on how to complete the template.</w:t>
      </w:r>
    </w:p>
    <w:p w:rsidR="00FE62E2" w:rsidRPr="00CA4F2F" w:rsidRDefault="00FE62E2" w:rsidP="00CA4F2F">
      <w:pPr>
        <w:pStyle w:val="ListParagraph"/>
        <w:ind w:left="360" w:hanging="360"/>
        <w:rPr>
          <w:rStyle w:val="Heading1Char"/>
        </w:rPr>
      </w:pPr>
      <w:r w:rsidRPr="00CA4F2F">
        <w:rPr>
          <w:rStyle w:val="Heading1Char"/>
        </w:rPr>
        <w:t>Submitting the Performance Report and Financial Acquittal</w:t>
      </w:r>
    </w:p>
    <w:p w:rsidR="00FE62E2" w:rsidRPr="00055DFA" w:rsidRDefault="00FE62E2" w:rsidP="00055DF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5DFA">
        <w:rPr>
          <w:rFonts w:asciiTheme="minorHAnsi" w:hAnsiTheme="minorHAnsi" w:cstheme="minorHAnsi"/>
          <w:sz w:val="22"/>
          <w:szCs w:val="22"/>
        </w:rPr>
        <w:t xml:space="preserve">There </w:t>
      </w:r>
      <w:r w:rsidR="000E06E3">
        <w:rPr>
          <w:rFonts w:asciiTheme="minorHAnsi" w:hAnsiTheme="minorHAnsi" w:cstheme="minorHAnsi"/>
          <w:sz w:val="22"/>
          <w:szCs w:val="22"/>
        </w:rPr>
        <w:t>is no page limit to the package. It</w:t>
      </w:r>
      <w:r w:rsidRPr="00055DFA">
        <w:rPr>
          <w:rFonts w:asciiTheme="minorHAnsi" w:hAnsiTheme="minorHAnsi" w:cstheme="minorHAnsi"/>
          <w:sz w:val="22"/>
          <w:szCs w:val="22"/>
        </w:rPr>
        <w:t xml:space="preserve"> is intended to be a </w:t>
      </w:r>
      <w:r w:rsidRPr="00E534E6">
        <w:rPr>
          <w:rFonts w:asciiTheme="minorHAnsi" w:hAnsiTheme="minorHAnsi" w:cstheme="minorHAnsi"/>
          <w:sz w:val="22"/>
          <w:szCs w:val="22"/>
          <w:u w:val="single"/>
        </w:rPr>
        <w:t>summary of activity</w:t>
      </w:r>
      <w:r w:rsidRPr="00055DFA">
        <w:rPr>
          <w:rFonts w:asciiTheme="minorHAnsi" w:hAnsiTheme="minorHAnsi" w:cstheme="minorHAnsi"/>
          <w:sz w:val="22"/>
          <w:szCs w:val="22"/>
        </w:rPr>
        <w:t xml:space="preserve"> rather than an exhaustive account of all activities undertaken over 201</w:t>
      </w:r>
      <w:r w:rsidR="00E534E6">
        <w:rPr>
          <w:rFonts w:asciiTheme="minorHAnsi" w:hAnsiTheme="minorHAnsi" w:cstheme="minorHAnsi"/>
          <w:sz w:val="22"/>
          <w:szCs w:val="22"/>
        </w:rPr>
        <w:t>9</w:t>
      </w:r>
      <w:r w:rsidRPr="00055DFA">
        <w:rPr>
          <w:rFonts w:asciiTheme="minorHAnsi" w:hAnsiTheme="minorHAnsi" w:cstheme="minorHAnsi"/>
          <w:sz w:val="22"/>
          <w:szCs w:val="22"/>
        </w:rPr>
        <w:t>.</w:t>
      </w:r>
    </w:p>
    <w:p w:rsidR="00FE62E2" w:rsidRPr="00055DFA" w:rsidRDefault="00FE62E2" w:rsidP="00055DFA">
      <w:pPr>
        <w:pStyle w:val="Heading2"/>
        <w:keepNext w:val="0"/>
        <w:spacing w:after="120" w:line="276" w:lineRule="auto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55DFA">
        <w:rPr>
          <w:rFonts w:asciiTheme="minorHAnsi" w:hAnsiTheme="minorHAnsi" w:cstheme="minorHAnsi"/>
          <w:b w:val="0"/>
          <w:bCs w:val="0"/>
          <w:sz w:val="22"/>
          <w:szCs w:val="22"/>
        </w:rPr>
        <w:t>The ISSP Guidelines require the Performance Report and Financial Acquittal for 201</w:t>
      </w:r>
      <w:r w:rsidR="00E534E6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Pr="00055DF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be provided to the Department of the Prime Minister and Cabinet by</w:t>
      </w:r>
      <w:r w:rsidRPr="00055DF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13055">
        <w:rPr>
          <w:rFonts w:asciiTheme="minorHAnsi" w:hAnsiTheme="minorHAnsi" w:cstheme="minorHAnsi"/>
          <w:bCs w:val="0"/>
          <w:sz w:val="22"/>
          <w:szCs w:val="22"/>
        </w:rPr>
        <w:t>Thursday</w:t>
      </w:r>
      <w:r w:rsidR="00E534E6">
        <w:rPr>
          <w:rFonts w:asciiTheme="minorHAnsi" w:hAnsiTheme="minorHAnsi" w:cstheme="minorHAnsi"/>
          <w:bCs w:val="0"/>
          <w:sz w:val="22"/>
          <w:szCs w:val="22"/>
        </w:rPr>
        <w:t xml:space="preserve">, </w:t>
      </w:r>
      <w:r w:rsidR="00013055">
        <w:rPr>
          <w:rFonts w:asciiTheme="minorHAnsi" w:hAnsiTheme="minorHAnsi" w:cstheme="minorHAnsi"/>
          <w:bCs w:val="0"/>
          <w:sz w:val="22"/>
          <w:szCs w:val="22"/>
        </w:rPr>
        <w:t>30 April</w:t>
      </w:r>
      <w:r w:rsidR="00E534E6">
        <w:rPr>
          <w:rFonts w:asciiTheme="minorHAnsi" w:hAnsiTheme="minorHAnsi" w:cstheme="minorHAnsi"/>
          <w:bCs w:val="0"/>
          <w:sz w:val="22"/>
          <w:szCs w:val="22"/>
        </w:rPr>
        <w:t xml:space="preserve"> 2020</w:t>
      </w:r>
      <w:r w:rsidRPr="00055DFA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r w:rsidRPr="00055DF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This can be scanned and sent electronically to </w:t>
      </w:r>
      <w:hyperlink r:id="rId8" w:history="1">
        <w:r w:rsidR="00F309A7" w:rsidRPr="00557845">
          <w:rPr>
            <w:rStyle w:val="Hyperlink"/>
            <w:rFonts w:asciiTheme="minorHAnsi" w:hAnsiTheme="minorHAnsi" w:cstheme="minorHAnsi"/>
            <w:bCs w:val="0"/>
            <w:sz w:val="22"/>
            <w:szCs w:val="22"/>
          </w:rPr>
          <w:t>ISSP@pmc.gov.au</w:t>
        </w:r>
      </w:hyperlink>
      <w:r w:rsidRPr="00055DF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E534E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Department is very happy to receive draft reports</w:t>
      </w:r>
      <w:r w:rsidR="00FD40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for review</w:t>
      </w:r>
      <w:r w:rsidR="00E534E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to ensure consistency in approach amongst the sector.</w:t>
      </w:r>
    </w:p>
    <w:p w:rsidR="00055DFA" w:rsidRPr="00055DFA" w:rsidRDefault="00FE62E2" w:rsidP="00CA4F2F">
      <w:pPr>
        <w:pStyle w:val="Heading2"/>
        <w:keepNext w:val="0"/>
        <w:spacing w:after="12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55DFA">
        <w:rPr>
          <w:rFonts w:asciiTheme="minorHAnsi" w:hAnsiTheme="minorHAnsi" w:cstheme="minorHAnsi"/>
          <w:b w:val="0"/>
          <w:bCs w:val="0"/>
          <w:sz w:val="22"/>
          <w:szCs w:val="22"/>
        </w:rPr>
        <w:t>Once the Department is satisfied that the reporting requirements have been completed and that 201</w:t>
      </w:r>
      <w:r w:rsidR="00E534E6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Pr="00055DF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ISSP funds have been spent in accordance with the </w:t>
      </w:r>
      <w:r w:rsidR="004651E3">
        <w:rPr>
          <w:rFonts w:asciiTheme="minorHAnsi" w:hAnsiTheme="minorHAnsi" w:cstheme="minorHAnsi"/>
          <w:b w:val="0"/>
          <w:bCs w:val="0"/>
          <w:sz w:val="22"/>
          <w:szCs w:val="22"/>
        </w:rPr>
        <w:t>G</w:t>
      </w:r>
      <w:r w:rsidRPr="00055DF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uidelines and the Act, the documents should be published on the </w:t>
      </w:r>
      <w:r w:rsidR="008276AB">
        <w:rPr>
          <w:rFonts w:asciiTheme="minorHAnsi" w:hAnsiTheme="minorHAnsi" w:cstheme="minorHAnsi"/>
          <w:b w:val="0"/>
          <w:bCs w:val="0"/>
          <w:sz w:val="22"/>
          <w:szCs w:val="22"/>
        </w:rPr>
        <w:t>Institution</w:t>
      </w:r>
      <w:r w:rsidRPr="00055DFA">
        <w:rPr>
          <w:rFonts w:asciiTheme="minorHAnsi" w:hAnsiTheme="minorHAnsi" w:cstheme="minorHAnsi"/>
          <w:b w:val="0"/>
          <w:bCs w:val="0"/>
          <w:sz w:val="22"/>
          <w:szCs w:val="22"/>
        </w:rPr>
        <w:t>’s website</w:t>
      </w:r>
      <w:r w:rsidR="008276A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along with the information supplied at </w:t>
      </w:r>
      <w:r w:rsidR="008276AB" w:rsidRPr="008276AB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Attachment B</w:t>
      </w:r>
      <w:r w:rsidR="008276A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to this letter</w:t>
      </w:r>
      <w:r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FD406D">
        <w:rPr>
          <w:rFonts w:asciiTheme="minorHAnsi" w:hAnsiTheme="minorHAnsi" w:cstheme="minorHAnsi"/>
          <w:b w:val="0"/>
          <w:bCs w:val="0"/>
          <w:sz w:val="22"/>
          <w:szCs w:val="22"/>
        </w:rPr>
        <w:t>Website l</w:t>
      </w:r>
      <w:r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inks to </w:t>
      </w:r>
      <w:r w:rsidR="00E534E6"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>the</w:t>
      </w:r>
      <w:r w:rsidR="00696A9D"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Performance Report and Financial Acquittal </w:t>
      </w:r>
      <w:r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>should be e</w:t>
      </w:r>
      <w:r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noBreakHyphen/>
        <w:t xml:space="preserve">mailed to </w:t>
      </w:r>
      <w:hyperlink r:id="rId9" w:history="1">
        <w:r w:rsidR="00F309A7" w:rsidRPr="00FD406D">
          <w:rPr>
            <w:rStyle w:val="Hyperlink"/>
            <w:rFonts w:asciiTheme="minorHAnsi" w:hAnsiTheme="minorHAnsi" w:cstheme="minorHAnsi"/>
            <w:bCs w:val="0"/>
            <w:sz w:val="22"/>
            <w:szCs w:val="22"/>
          </w:rPr>
          <w:t>ISSP@pmc.gov.au</w:t>
        </w:r>
      </w:hyperlink>
      <w:r w:rsidR="006B3A6D"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before</w:t>
      </w:r>
      <w:r w:rsidR="00E534E6"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July </w:t>
      </w:r>
      <w:r w:rsidR="00271AC5"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2020 </w:t>
      </w:r>
      <w:r w:rsidR="006B3A6D"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when the </w:t>
      </w:r>
      <w:r w:rsidR="00140AB9"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>second</w:t>
      </w:r>
      <w:r w:rsidR="008A5D5D"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ISSP</w:t>
      </w:r>
      <w:r w:rsidR="00F309A7"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>payment</w:t>
      </w:r>
      <w:r w:rsidR="00AA0F3E"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A5D5D"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for the 2020 grant year </w:t>
      </w:r>
      <w:r w:rsidRPr="00FD406D">
        <w:rPr>
          <w:rFonts w:asciiTheme="minorHAnsi" w:hAnsiTheme="minorHAnsi" w:cstheme="minorHAnsi"/>
          <w:b w:val="0"/>
          <w:bCs w:val="0"/>
          <w:sz w:val="22"/>
          <w:szCs w:val="22"/>
        </w:rPr>
        <w:t>is due.</w:t>
      </w:r>
    </w:p>
    <w:sectPr w:rsidR="00055DFA" w:rsidRPr="00055DFA" w:rsidSect="00584908">
      <w:footerReference w:type="first" r:id="rId10"/>
      <w:pgSz w:w="11907" w:h="16840"/>
      <w:pgMar w:top="1440" w:right="1440" w:bottom="1440" w:left="1440" w:header="56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E3" w:rsidRDefault="001855E3">
      <w:r>
        <w:separator/>
      </w:r>
    </w:p>
  </w:endnote>
  <w:endnote w:type="continuationSeparator" w:id="0">
    <w:p w:rsidR="001855E3" w:rsidRDefault="001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E3" w:rsidRPr="007270AD" w:rsidRDefault="001855E3" w:rsidP="008A5D5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E3" w:rsidRDefault="001855E3">
      <w:r>
        <w:separator/>
      </w:r>
    </w:p>
  </w:footnote>
  <w:footnote w:type="continuationSeparator" w:id="0">
    <w:p w:rsidR="001855E3" w:rsidRDefault="0018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40A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2277F"/>
    <w:multiLevelType w:val="hybridMultilevel"/>
    <w:tmpl w:val="47E20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79AC"/>
    <w:multiLevelType w:val="hybridMultilevel"/>
    <w:tmpl w:val="FE14EC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45E3B"/>
    <w:multiLevelType w:val="hybridMultilevel"/>
    <w:tmpl w:val="A6D0F8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162F1"/>
    <w:multiLevelType w:val="hybridMultilevel"/>
    <w:tmpl w:val="89C60362"/>
    <w:lvl w:ilvl="0" w:tplc="291210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5461"/>
    <w:multiLevelType w:val="hybridMultilevel"/>
    <w:tmpl w:val="C20AAA50"/>
    <w:lvl w:ilvl="0" w:tplc="0C090017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6" w15:restartNumberingAfterBreak="0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C0437"/>
    <w:multiLevelType w:val="hybridMultilevel"/>
    <w:tmpl w:val="BB008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E56F7"/>
    <w:multiLevelType w:val="hybridMultilevel"/>
    <w:tmpl w:val="DAC8E5EC"/>
    <w:lvl w:ilvl="0" w:tplc="BE4E7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350A4CF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5BDD"/>
    <w:multiLevelType w:val="hybridMultilevel"/>
    <w:tmpl w:val="CCDA4824"/>
    <w:lvl w:ilvl="0" w:tplc="75E2B91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4815"/>
    <w:multiLevelType w:val="hybridMultilevel"/>
    <w:tmpl w:val="C34E17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97789"/>
    <w:multiLevelType w:val="hybridMultilevel"/>
    <w:tmpl w:val="6A163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296F"/>
    <w:multiLevelType w:val="hybridMultilevel"/>
    <w:tmpl w:val="90F0BA0C"/>
    <w:lvl w:ilvl="0" w:tplc="B1627C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A718F"/>
    <w:multiLevelType w:val="hybridMultilevel"/>
    <w:tmpl w:val="9A729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B4E53"/>
    <w:multiLevelType w:val="hybridMultilevel"/>
    <w:tmpl w:val="3C9A5E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54950"/>
    <w:multiLevelType w:val="hybridMultilevel"/>
    <w:tmpl w:val="977E6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21357"/>
    <w:multiLevelType w:val="hybridMultilevel"/>
    <w:tmpl w:val="67EA0D5E"/>
    <w:lvl w:ilvl="0" w:tplc="9B06DB94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1221A"/>
    <w:multiLevelType w:val="hybridMultilevel"/>
    <w:tmpl w:val="00586FFE"/>
    <w:lvl w:ilvl="0" w:tplc="D9564D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2066"/>
    <w:multiLevelType w:val="multilevel"/>
    <w:tmpl w:val="0C09001F"/>
    <w:numStyleLink w:val="Style1"/>
  </w:abstractNum>
  <w:abstractNum w:abstractNumId="19" w15:restartNumberingAfterBreak="0">
    <w:nsid w:val="3D0A736B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911362"/>
    <w:multiLevelType w:val="hybridMultilevel"/>
    <w:tmpl w:val="89BED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B7C89"/>
    <w:multiLevelType w:val="hybridMultilevel"/>
    <w:tmpl w:val="B5029EC6"/>
    <w:lvl w:ilvl="0" w:tplc="4A78638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521F3"/>
    <w:multiLevelType w:val="hybridMultilevel"/>
    <w:tmpl w:val="301899A4"/>
    <w:lvl w:ilvl="0" w:tplc="E28813A2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86C51"/>
    <w:multiLevelType w:val="hybridMultilevel"/>
    <w:tmpl w:val="C20AAA50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811201"/>
    <w:multiLevelType w:val="hybridMultilevel"/>
    <w:tmpl w:val="A88A2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8A6BD6"/>
    <w:multiLevelType w:val="hybridMultilevel"/>
    <w:tmpl w:val="06C86C12"/>
    <w:lvl w:ilvl="0" w:tplc="45C296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F7375"/>
    <w:multiLevelType w:val="hybridMultilevel"/>
    <w:tmpl w:val="5EB4BC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6173BC"/>
    <w:multiLevelType w:val="hybridMultilevel"/>
    <w:tmpl w:val="8D80F7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25737"/>
    <w:multiLevelType w:val="hybridMultilevel"/>
    <w:tmpl w:val="BB38CDDE"/>
    <w:lvl w:ilvl="0" w:tplc="5A806F8C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C4E8E"/>
    <w:multiLevelType w:val="hybridMultilevel"/>
    <w:tmpl w:val="D0A878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0E61"/>
    <w:multiLevelType w:val="hybridMultilevel"/>
    <w:tmpl w:val="B3C88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F23C0E"/>
    <w:multiLevelType w:val="hybridMultilevel"/>
    <w:tmpl w:val="4B2AF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97969"/>
    <w:multiLevelType w:val="hybridMultilevel"/>
    <w:tmpl w:val="1C5C65CC"/>
    <w:lvl w:ilvl="0" w:tplc="C446627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C41E6C"/>
    <w:multiLevelType w:val="hybridMultilevel"/>
    <w:tmpl w:val="8EA6F26A"/>
    <w:lvl w:ilvl="0" w:tplc="C15EB492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87EC1"/>
    <w:multiLevelType w:val="hybridMultilevel"/>
    <w:tmpl w:val="F7586F3A"/>
    <w:lvl w:ilvl="0" w:tplc="3F145DE0">
      <w:start w:val="1"/>
      <w:numFmt w:val="bullet"/>
      <w:pStyle w:val="dotpoint"/>
      <w:lvlText w:val=""/>
      <w:lvlJc w:val="left"/>
      <w:pPr>
        <w:tabs>
          <w:tab w:val="num" w:pos="644"/>
        </w:tabs>
        <w:ind w:left="587" w:hanging="22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B8A25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BB03C8"/>
    <w:multiLevelType w:val="hybridMultilevel"/>
    <w:tmpl w:val="8C92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37FBB"/>
    <w:multiLevelType w:val="hybridMultilevel"/>
    <w:tmpl w:val="11C2A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B60C8"/>
    <w:multiLevelType w:val="hybridMultilevel"/>
    <w:tmpl w:val="68980C98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8" w15:restartNumberingAfterBreak="0">
    <w:nsid w:val="7BAC35D7"/>
    <w:multiLevelType w:val="hybridMultilevel"/>
    <w:tmpl w:val="6C2E8CF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8"/>
  </w:num>
  <w:num w:numId="7">
    <w:abstractNumId w:val="27"/>
  </w:num>
  <w:num w:numId="8">
    <w:abstractNumId w:val="12"/>
  </w:num>
  <w:num w:numId="9">
    <w:abstractNumId w:val="21"/>
  </w:num>
  <w:num w:numId="10">
    <w:abstractNumId w:val="17"/>
  </w:num>
  <w:num w:numId="11">
    <w:abstractNumId w:val="25"/>
  </w:num>
  <w:num w:numId="12">
    <w:abstractNumId w:val="33"/>
  </w:num>
  <w:num w:numId="13">
    <w:abstractNumId w:val="22"/>
  </w:num>
  <w:num w:numId="14">
    <w:abstractNumId w:val="9"/>
  </w:num>
  <w:num w:numId="15">
    <w:abstractNumId w:val="16"/>
  </w:num>
  <w:num w:numId="16">
    <w:abstractNumId w:val="29"/>
  </w:num>
  <w:num w:numId="17">
    <w:abstractNumId w:val="34"/>
  </w:num>
  <w:num w:numId="18">
    <w:abstractNumId w:val="18"/>
  </w:num>
  <w:num w:numId="19">
    <w:abstractNumId w:val="19"/>
  </w:num>
  <w:num w:numId="20">
    <w:abstractNumId w:val="23"/>
  </w:num>
  <w:num w:numId="21">
    <w:abstractNumId w:val="10"/>
  </w:num>
  <w:num w:numId="22">
    <w:abstractNumId w:val="2"/>
  </w:num>
  <w:num w:numId="23">
    <w:abstractNumId w:val="11"/>
  </w:num>
  <w:num w:numId="24">
    <w:abstractNumId w:val="32"/>
  </w:num>
  <w:num w:numId="25">
    <w:abstractNumId w:val="5"/>
  </w:num>
  <w:num w:numId="26">
    <w:abstractNumId w:val="30"/>
  </w:num>
  <w:num w:numId="27">
    <w:abstractNumId w:val="37"/>
  </w:num>
  <w:num w:numId="28">
    <w:abstractNumId w:val="15"/>
  </w:num>
  <w:num w:numId="29">
    <w:abstractNumId w:val="26"/>
  </w:num>
  <w:num w:numId="30">
    <w:abstractNumId w:val="14"/>
  </w:num>
  <w:num w:numId="31">
    <w:abstractNumId w:val="3"/>
  </w:num>
  <w:num w:numId="32">
    <w:abstractNumId w:val="24"/>
  </w:num>
  <w:num w:numId="33">
    <w:abstractNumId w:val="13"/>
  </w:num>
  <w:num w:numId="34">
    <w:abstractNumId w:val="31"/>
  </w:num>
  <w:num w:numId="35">
    <w:abstractNumId w:val="35"/>
  </w:num>
  <w:num w:numId="36">
    <w:abstractNumId w:val="38"/>
  </w:num>
  <w:num w:numId="37">
    <w:abstractNumId w:val="7"/>
  </w:num>
  <w:num w:numId="38">
    <w:abstractNumId w:val="20"/>
  </w:num>
  <w:num w:numId="3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7A"/>
    <w:rsid w:val="00000901"/>
    <w:rsid w:val="0000125E"/>
    <w:rsid w:val="0000355A"/>
    <w:rsid w:val="00005913"/>
    <w:rsid w:val="00007897"/>
    <w:rsid w:val="00013055"/>
    <w:rsid w:val="000145F9"/>
    <w:rsid w:val="00015F70"/>
    <w:rsid w:val="00035048"/>
    <w:rsid w:val="00040F69"/>
    <w:rsid w:val="00042DFF"/>
    <w:rsid w:val="00050AC1"/>
    <w:rsid w:val="00052FFE"/>
    <w:rsid w:val="000552CA"/>
    <w:rsid w:val="00055DFA"/>
    <w:rsid w:val="00064511"/>
    <w:rsid w:val="00071851"/>
    <w:rsid w:val="00076C33"/>
    <w:rsid w:val="00086661"/>
    <w:rsid w:val="000A383B"/>
    <w:rsid w:val="000B455B"/>
    <w:rsid w:val="000C35E1"/>
    <w:rsid w:val="000C46F2"/>
    <w:rsid w:val="000D0AAB"/>
    <w:rsid w:val="000D1C1F"/>
    <w:rsid w:val="000E06E3"/>
    <w:rsid w:val="000F7345"/>
    <w:rsid w:val="000F78E5"/>
    <w:rsid w:val="00100112"/>
    <w:rsid w:val="00103243"/>
    <w:rsid w:val="00103B7A"/>
    <w:rsid w:val="00112C1F"/>
    <w:rsid w:val="001216D2"/>
    <w:rsid w:val="00125632"/>
    <w:rsid w:val="0013453E"/>
    <w:rsid w:val="00135343"/>
    <w:rsid w:val="00140AB9"/>
    <w:rsid w:val="001600B2"/>
    <w:rsid w:val="001605CF"/>
    <w:rsid w:val="00164FB9"/>
    <w:rsid w:val="001728AF"/>
    <w:rsid w:val="00173521"/>
    <w:rsid w:val="00176AB6"/>
    <w:rsid w:val="0017722F"/>
    <w:rsid w:val="001774CD"/>
    <w:rsid w:val="001855E3"/>
    <w:rsid w:val="001A28F0"/>
    <w:rsid w:val="001A67B7"/>
    <w:rsid w:val="001B471E"/>
    <w:rsid w:val="001C107D"/>
    <w:rsid w:val="001C66CD"/>
    <w:rsid w:val="001E5D2C"/>
    <w:rsid w:val="001E6C33"/>
    <w:rsid w:val="001F2D13"/>
    <w:rsid w:val="00202C5F"/>
    <w:rsid w:val="00207DAC"/>
    <w:rsid w:val="00217A50"/>
    <w:rsid w:val="002222A9"/>
    <w:rsid w:val="002345DC"/>
    <w:rsid w:val="00244445"/>
    <w:rsid w:val="00250B27"/>
    <w:rsid w:val="0025283F"/>
    <w:rsid w:val="002605C6"/>
    <w:rsid w:val="002609F6"/>
    <w:rsid w:val="00263C0B"/>
    <w:rsid w:val="00271AC5"/>
    <w:rsid w:val="002723E6"/>
    <w:rsid w:val="002773D1"/>
    <w:rsid w:val="002826D8"/>
    <w:rsid w:val="0028378E"/>
    <w:rsid w:val="002859AB"/>
    <w:rsid w:val="00287985"/>
    <w:rsid w:val="002A50F4"/>
    <w:rsid w:val="002B3775"/>
    <w:rsid w:val="002B7FB8"/>
    <w:rsid w:val="002C2475"/>
    <w:rsid w:val="002C33A6"/>
    <w:rsid w:val="002C7E94"/>
    <w:rsid w:val="002D3BA9"/>
    <w:rsid w:val="002D42BC"/>
    <w:rsid w:val="002E3BD8"/>
    <w:rsid w:val="002E73F2"/>
    <w:rsid w:val="002F0C92"/>
    <w:rsid w:val="002F4929"/>
    <w:rsid w:val="00307CCA"/>
    <w:rsid w:val="003150A5"/>
    <w:rsid w:val="0032160E"/>
    <w:rsid w:val="003360D9"/>
    <w:rsid w:val="00340B1C"/>
    <w:rsid w:val="00350E2C"/>
    <w:rsid w:val="00365083"/>
    <w:rsid w:val="00365C1D"/>
    <w:rsid w:val="0037283C"/>
    <w:rsid w:val="00385244"/>
    <w:rsid w:val="00391154"/>
    <w:rsid w:val="00393358"/>
    <w:rsid w:val="00397921"/>
    <w:rsid w:val="003A6863"/>
    <w:rsid w:val="003A7240"/>
    <w:rsid w:val="003B55A9"/>
    <w:rsid w:val="003B65E2"/>
    <w:rsid w:val="003C06D8"/>
    <w:rsid w:val="003C49B6"/>
    <w:rsid w:val="003C5A53"/>
    <w:rsid w:val="003C6745"/>
    <w:rsid w:val="003D0E44"/>
    <w:rsid w:val="003D77C7"/>
    <w:rsid w:val="003E0AB6"/>
    <w:rsid w:val="003E3253"/>
    <w:rsid w:val="003E49FB"/>
    <w:rsid w:val="003E60D2"/>
    <w:rsid w:val="003F22C0"/>
    <w:rsid w:val="003F3B40"/>
    <w:rsid w:val="003F7DA6"/>
    <w:rsid w:val="0040202A"/>
    <w:rsid w:val="0040297C"/>
    <w:rsid w:val="00412936"/>
    <w:rsid w:val="00414181"/>
    <w:rsid w:val="0041576D"/>
    <w:rsid w:val="004239B3"/>
    <w:rsid w:val="00430B2B"/>
    <w:rsid w:val="00442119"/>
    <w:rsid w:val="00442CE5"/>
    <w:rsid w:val="0045575A"/>
    <w:rsid w:val="0045595A"/>
    <w:rsid w:val="00456458"/>
    <w:rsid w:val="004637FC"/>
    <w:rsid w:val="00464D85"/>
    <w:rsid w:val="004651E3"/>
    <w:rsid w:val="00465214"/>
    <w:rsid w:val="00466051"/>
    <w:rsid w:val="00484DED"/>
    <w:rsid w:val="00486BB6"/>
    <w:rsid w:val="00495E9C"/>
    <w:rsid w:val="004A1FDF"/>
    <w:rsid w:val="004A3128"/>
    <w:rsid w:val="004A566F"/>
    <w:rsid w:val="004C24C5"/>
    <w:rsid w:val="004C6F19"/>
    <w:rsid w:val="004D6C5F"/>
    <w:rsid w:val="004E2C8F"/>
    <w:rsid w:val="004E4099"/>
    <w:rsid w:val="004F50D8"/>
    <w:rsid w:val="004F671E"/>
    <w:rsid w:val="0050764F"/>
    <w:rsid w:val="00511409"/>
    <w:rsid w:val="00522DC2"/>
    <w:rsid w:val="00524922"/>
    <w:rsid w:val="0053727D"/>
    <w:rsid w:val="00540F62"/>
    <w:rsid w:val="005475C2"/>
    <w:rsid w:val="005505D1"/>
    <w:rsid w:val="005558BF"/>
    <w:rsid w:val="00555B0B"/>
    <w:rsid w:val="00557E95"/>
    <w:rsid w:val="00562347"/>
    <w:rsid w:val="005652F4"/>
    <w:rsid w:val="005660BC"/>
    <w:rsid w:val="005722D4"/>
    <w:rsid w:val="00573D77"/>
    <w:rsid w:val="00574919"/>
    <w:rsid w:val="00583FF7"/>
    <w:rsid w:val="00584908"/>
    <w:rsid w:val="00587EF1"/>
    <w:rsid w:val="005A2378"/>
    <w:rsid w:val="005A4850"/>
    <w:rsid w:val="005D6BEC"/>
    <w:rsid w:val="005E1CF3"/>
    <w:rsid w:val="005E4C86"/>
    <w:rsid w:val="005E70C4"/>
    <w:rsid w:val="005E72C1"/>
    <w:rsid w:val="005F2479"/>
    <w:rsid w:val="005F7634"/>
    <w:rsid w:val="0060734D"/>
    <w:rsid w:val="006104A5"/>
    <w:rsid w:val="0061089F"/>
    <w:rsid w:val="00616895"/>
    <w:rsid w:val="00620957"/>
    <w:rsid w:val="006242BD"/>
    <w:rsid w:val="00626D58"/>
    <w:rsid w:val="006279B0"/>
    <w:rsid w:val="006317A5"/>
    <w:rsid w:val="00634E3D"/>
    <w:rsid w:val="00640C11"/>
    <w:rsid w:val="0064467A"/>
    <w:rsid w:val="00652A6A"/>
    <w:rsid w:val="006572BB"/>
    <w:rsid w:val="006619B7"/>
    <w:rsid w:val="0066777D"/>
    <w:rsid w:val="0067701D"/>
    <w:rsid w:val="006845B7"/>
    <w:rsid w:val="00685BED"/>
    <w:rsid w:val="0069428E"/>
    <w:rsid w:val="0069595D"/>
    <w:rsid w:val="00696A9D"/>
    <w:rsid w:val="006A13F8"/>
    <w:rsid w:val="006A1650"/>
    <w:rsid w:val="006A5370"/>
    <w:rsid w:val="006A7040"/>
    <w:rsid w:val="006B3A6D"/>
    <w:rsid w:val="006E08F8"/>
    <w:rsid w:val="006E197B"/>
    <w:rsid w:val="006F49A2"/>
    <w:rsid w:val="006F6ACF"/>
    <w:rsid w:val="00703A79"/>
    <w:rsid w:val="0070696F"/>
    <w:rsid w:val="007119A2"/>
    <w:rsid w:val="0071249E"/>
    <w:rsid w:val="007136A3"/>
    <w:rsid w:val="00723CDA"/>
    <w:rsid w:val="00725C13"/>
    <w:rsid w:val="00732158"/>
    <w:rsid w:val="00735AE2"/>
    <w:rsid w:val="0074144D"/>
    <w:rsid w:val="00742916"/>
    <w:rsid w:val="00742CA8"/>
    <w:rsid w:val="00754438"/>
    <w:rsid w:val="00754B3A"/>
    <w:rsid w:val="00754C72"/>
    <w:rsid w:val="00760003"/>
    <w:rsid w:val="0077568E"/>
    <w:rsid w:val="007762B9"/>
    <w:rsid w:val="00780617"/>
    <w:rsid w:val="00782200"/>
    <w:rsid w:val="00783ED5"/>
    <w:rsid w:val="00791BC8"/>
    <w:rsid w:val="007A2E3B"/>
    <w:rsid w:val="007A6C7D"/>
    <w:rsid w:val="007A7B7D"/>
    <w:rsid w:val="007B0CB1"/>
    <w:rsid w:val="007B52B0"/>
    <w:rsid w:val="007C2AC0"/>
    <w:rsid w:val="007C61AF"/>
    <w:rsid w:val="007D1BC6"/>
    <w:rsid w:val="007D6B19"/>
    <w:rsid w:val="007E18F8"/>
    <w:rsid w:val="007E6EB9"/>
    <w:rsid w:val="007F18D4"/>
    <w:rsid w:val="008024C1"/>
    <w:rsid w:val="008039AC"/>
    <w:rsid w:val="00805309"/>
    <w:rsid w:val="00815750"/>
    <w:rsid w:val="00821BA7"/>
    <w:rsid w:val="008224F4"/>
    <w:rsid w:val="008276AB"/>
    <w:rsid w:val="00831D3E"/>
    <w:rsid w:val="00841C28"/>
    <w:rsid w:val="00853F34"/>
    <w:rsid w:val="008579EC"/>
    <w:rsid w:val="00860A2C"/>
    <w:rsid w:val="008647C7"/>
    <w:rsid w:val="008650B8"/>
    <w:rsid w:val="00872617"/>
    <w:rsid w:val="00873ABB"/>
    <w:rsid w:val="00875FA0"/>
    <w:rsid w:val="00884C89"/>
    <w:rsid w:val="00885D57"/>
    <w:rsid w:val="00892FC0"/>
    <w:rsid w:val="008977E6"/>
    <w:rsid w:val="008A31D0"/>
    <w:rsid w:val="008A5D5D"/>
    <w:rsid w:val="008A7756"/>
    <w:rsid w:val="008B1BFE"/>
    <w:rsid w:val="008C35C9"/>
    <w:rsid w:val="008C733F"/>
    <w:rsid w:val="008C7BEB"/>
    <w:rsid w:val="008E2424"/>
    <w:rsid w:val="008E33A9"/>
    <w:rsid w:val="008E347C"/>
    <w:rsid w:val="008E3DB6"/>
    <w:rsid w:val="008E6AAE"/>
    <w:rsid w:val="008F1A87"/>
    <w:rsid w:val="008F63B4"/>
    <w:rsid w:val="0091410F"/>
    <w:rsid w:val="0092262C"/>
    <w:rsid w:val="00923E30"/>
    <w:rsid w:val="0092462C"/>
    <w:rsid w:val="00926152"/>
    <w:rsid w:val="009261A0"/>
    <w:rsid w:val="00933A49"/>
    <w:rsid w:val="00935BD4"/>
    <w:rsid w:val="00944AE0"/>
    <w:rsid w:val="0094509E"/>
    <w:rsid w:val="00951482"/>
    <w:rsid w:val="00977D00"/>
    <w:rsid w:val="009802CC"/>
    <w:rsid w:val="00984415"/>
    <w:rsid w:val="009866FA"/>
    <w:rsid w:val="0098696A"/>
    <w:rsid w:val="00990F85"/>
    <w:rsid w:val="00993352"/>
    <w:rsid w:val="009A5616"/>
    <w:rsid w:val="009B24E8"/>
    <w:rsid w:val="009B38AE"/>
    <w:rsid w:val="009C0939"/>
    <w:rsid w:val="009C45E1"/>
    <w:rsid w:val="009D26E3"/>
    <w:rsid w:val="009D4929"/>
    <w:rsid w:val="009E178C"/>
    <w:rsid w:val="009E60A3"/>
    <w:rsid w:val="009E7BE0"/>
    <w:rsid w:val="009F10ED"/>
    <w:rsid w:val="00A13FF6"/>
    <w:rsid w:val="00A15168"/>
    <w:rsid w:val="00A2110D"/>
    <w:rsid w:val="00A23C45"/>
    <w:rsid w:val="00A25F49"/>
    <w:rsid w:val="00A32932"/>
    <w:rsid w:val="00A335B8"/>
    <w:rsid w:val="00A374AD"/>
    <w:rsid w:val="00A376D8"/>
    <w:rsid w:val="00A45769"/>
    <w:rsid w:val="00A47FDB"/>
    <w:rsid w:val="00A51732"/>
    <w:rsid w:val="00A51CEE"/>
    <w:rsid w:val="00A543E3"/>
    <w:rsid w:val="00A74F36"/>
    <w:rsid w:val="00A76BAF"/>
    <w:rsid w:val="00A83C2A"/>
    <w:rsid w:val="00A929B8"/>
    <w:rsid w:val="00AA0699"/>
    <w:rsid w:val="00AA0E2F"/>
    <w:rsid w:val="00AA0F3E"/>
    <w:rsid w:val="00AA44CB"/>
    <w:rsid w:val="00AB5170"/>
    <w:rsid w:val="00AB75AA"/>
    <w:rsid w:val="00AC4349"/>
    <w:rsid w:val="00AC4AC1"/>
    <w:rsid w:val="00AD2808"/>
    <w:rsid w:val="00AD2FE7"/>
    <w:rsid w:val="00AE09CD"/>
    <w:rsid w:val="00AF6FB9"/>
    <w:rsid w:val="00B019FA"/>
    <w:rsid w:val="00B03FEF"/>
    <w:rsid w:val="00B0451A"/>
    <w:rsid w:val="00B04C83"/>
    <w:rsid w:val="00B078FC"/>
    <w:rsid w:val="00B1574E"/>
    <w:rsid w:val="00B20DDA"/>
    <w:rsid w:val="00B22D9B"/>
    <w:rsid w:val="00B263A2"/>
    <w:rsid w:val="00B26484"/>
    <w:rsid w:val="00B32455"/>
    <w:rsid w:val="00B351D7"/>
    <w:rsid w:val="00B46AC4"/>
    <w:rsid w:val="00B50676"/>
    <w:rsid w:val="00B51182"/>
    <w:rsid w:val="00B51DE0"/>
    <w:rsid w:val="00B54FC7"/>
    <w:rsid w:val="00B713F6"/>
    <w:rsid w:val="00B9589A"/>
    <w:rsid w:val="00B9660B"/>
    <w:rsid w:val="00BA0F51"/>
    <w:rsid w:val="00BB1DD2"/>
    <w:rsid w:val="00BC2DF1"/>
    <w:rsid w:val="00BC3A2F"/>
    <w:rsid w:val="00BD12E5"/>
    <w:rsid w:val="00BD71EC"/>
    <w:rsid w:val="00BD7331"/>
    <w:rsid w:val="00BE1458"/>
    <w:rsid w:val="00BE299C"/>
    <w:rsid w:val="00BF284F"/>
    <w:rsid w:val="00BF5181"/>
    <w:rsid w:val="00BF6B7F"/>
    <w:rsid w:val="00C02252"/>
    <w:rsid w:val="00C10095"/>
    <w:rsid w:val="00C155CA"/>
    <w:rsid w:val="00C20873"/>
    <w:rsid w:val="00C2097F"/>
    <w:rsid w:val="00C23AEC"/>
    <w:rsid w:val="00C251A2"/>
    <w:rsid w:val="00C26BB9"/>
    <w:rsid w:val="00C36A4A"/>
    <w:rsid w:val="00C54701"/>
    <w:rsid w:val="00C55332"/>
    <w:rsid w:val="00C55641"/>
    <w:rsid w:val="00C72B45"/>
    <w:rsid w:val="00C72D78"/>
    <w:rsid w:val="00C8420D"/>
    <w:rsid w:val="00C90D72"/>
    <w:rsid w:val="00C93F6A"/>
    <w:rsid w:val="00C9492B"/>
    <w:rsid w:val="00CA18D9"/>
    <w:rsid w:val="00CA4F2F"/>
    <w:rsid w:val="00CB5690"/>
    <w:rsid w:val="00CC1064"/>
    <w:rsid w:val="00CC6CFA"/>
    <w:rsid w:val="00CD1CCE"/>
    <w:rsid w:val="00CD51B0"/>
    <w:rsid w:val="00CD5ABE"/>
    <w:rsid w:val="00CD7464"/>
    <w:rsid w:val="00CE2C64"/>
    <w:rsid w:val="00CE3102"/>
    <w:rsid w:val="00CE3FC6"/>
    <w:rsid w:val="00CE63C8"/>
    <w:rsid w:val="00CF00F3"/>
    <w:rsid w:val="00CF6275"/>
    <w:rsid w:val="00D32B4F"/>
    <w:rsid w:val="00D42295"/>
    <w:rsid w:val="00D42394"/>
    <w:rsid w:val="00D449A4"/>
    <w:rsid w:val="00D477AF"/>
    <w:rsid w:val="00D52859"/>
    <w:rsid w:val="00D6218B"/>
    <w:rsid w:val="00D66AE9"/>
    <w:rsid w:val="00D70454"/>
    <w:rsid w:val="00D8094D"/>
    <w:rsid w:val="00D91F88"/>
    <w:rsid w:val="00D95C45"/>
    <w:rsid w:val="00DA1BB1"/>
    <w:rsid w:val="00DA2BFA"/>
    <w:rsid w:val="00DA5397"/>
    <w:rsid w:val="00DB1244"/>
    <w:rsid w:val="00DC2153"/>
    <w:rsid w:val="00DC4F1F"/>
    <w:rsid w:val="00DE58A4"/>
    <w:rsid w:val="00DE5DC0"/>
    <w:rsid w:val="00DF0D7B"/>
    <w:rsid w:val="00DF10CF"/>
    <w:rsid w:val="00DF1D31"/>
    <w:rsid w:val="00DF3D55"/>
    <w:rsid w:val="00DF5227"/>
    <w:rsid w:val="00DF7B09"/>
    <w:rsid w:val="00E00205"/>
    <w:rsid w:val="00E02808"/>
    <w:rsid w:val="00E170B1"/>
    <w:rsid w:val="00E20A6B"/>
    <w:rsid w:val="00E23220"/>
    <w:rsid w:val="00E26495"/>
    <w:rsid w:val="00E31563"/>
    <w:rsid w:val="00E36248"/>
    <w:rsid w:val="00E36A5D"/>
    <w:rsid w:val="00E4063E"/>
    <w:rsid w:val="00E423F6"/>
    <w:rsid w:val="00E42A24"/>
    <w:rsid w:val="00E44043"/>
    <w:rsid w:val="00E534E6"/>
    <w:rsid w:val="00E56938"/>
    <w:rsid w:val="00E81EA2"/>
    <w:rsid w:val="00E870A5"/>
    <w:rsid w:val="00E96C89"/>
    <w:rsid w:val="00EA2500"/>
    <w:rsid w:val="00EB0E3C"/>
    <w:rsid w:val="00EB58C7"/>
    <w:rsid w:val="00EC0E8B"/>
    <w:rsid w:val="00EC0EBD"/>
    <w:rsid w:val="00EC1E86"/>
    <w:rsid w:val="00EC4C7F"/>
    <w:rsid w:val="00EC652A"/>
    <w:rsid w:val="00ED1F12"/>
    <w:rsid w:val="00ED49AB"/>
    <w:rsid w:val="00EF3411"/>
    <w:rsid w:val="00EF5B26"/>
    <w:rsid w:val="00EF5D87"/>
    <w:rsid w:val="00F01AF8"/>
    <w:rsid w:val="00F0737D"/>
    <w:rsid w:val="00F07ED4"/>
    <w:rsid w:val="00F12764"/>
    <w:rsid w:val="00F169F4"/>
    <w:rsid w:val="00F16AF8"/>
    <w:rsid w:val="00F178D1"/>
    <w:rsid w:val="00F17DF4"/>
    <w:rsid w:val="00F21DAC"/>
    <w:rsid w:val="00F21E1B"/>
    <w:rsid w:val="00F2220F"/>
    <w:rsid w:val="00F309A7"/>
    <w:rsid w:val="00F55EBE"/>
    <w:rsid w:val="00F5755F"/>
    <w:rsid w:val="00F77094"/>
    <w:rsid w:val="00F77C73"/>
    <w:rsid w:val="00F80A31"/>
    <w:rsid w:val="00F91AE7"/>
    <w:rsid w:val="00FA2126"/>
    <w:rsid w:val="00FA6A2F"/>
    <w:rsid w:val="00FD02BE"/>
    <w:rsid w:val="00FD406D"/>
    <w:rsid w:val="00FD4436"/>
    <w:rsid w:val="00FE0FB3"/>
    <w:rsid w:val="00FE550E"/>
    <w:rsid w:val="00FE5BB3"/>
    <w:rsid w:val="00FE62E2"/>
    <w:rsid w:val="00FF3100"/>
    <w:rsid w:val="00FF654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D006CFBF-F510-4167-870D-73A74E7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9F"/>
    <w:rPr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CA4F2F"/>
    <w:pPr>
      <w:numPr>
        <w:numId w:val="24"/>
      </w:numPr>
      <w:outlineLvl w:val="0"/>
    </w:pPr>
    <w:rPr>
      <w:rFonts w:asciiTheme="minorHAnsi" w:eastAsiaTheme="majorEastAsia" w:hAnsiTheme="minorHAnsi" w:cstheme="majorBidi"/>
      <w:b/>
      <w:color w:val="17365D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467A"/>
    <w:pPr>
      <w:keepNext/>
      <w:overflowPunct w:val="0"/>
      <w:autoSpaceDE w:val="0"/>
      <w:autoSpaceDN w:val="0"/>
      <w:adjustRightInd w:val="0"/>
      <w:ind w:left="851" w:hanging="851"/>
      <w:textAlignment w:val="baseline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64467A"/>
    <w:rPr>
      <w:b/>
      <w:bCs/>
      <w:sz w:val="24"/>
      <w:szCs w:val="24"/>
      <w:lang w:val="en-AU" w:eastAsia="en-US" w:bidi="ar-SA"/>
    </w:rPr>
  </w:style>
  <w:style w:type="character" w:styleId="Hyperlink">
    <w:name w:val="Hyperlink"/>
    <w:basedOn w:val="DefaultParagraphFont"/>
    <w:rsid w:val="006446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4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4467A"/>
  </w:style>
  <w:style w:type="character" w:customStyle="1" w:styleId="FootnoteTextChar">
    <w:name w:val="Footnote Text Char"/>
    <w:basedOn w:val="DefaultParagraphFont"/>
    <w:link w:val="FootnoteText"/>
    <w:semiHidden/>
    <w:locked/>
    <w:rsid w:val="0064467A"/>
    <w:rPr>
      <w:lang w:val="en-AU" w:eastAsia="en-US" w:bidi="ar-SA"/>
    </w:rPr>
  </w:style>
  <w:style w:type="character" w:styleId="FootnoteReference">
    <w:name w:val="footnote reference"/>
    <w:basedOn w:val="DefaultParagraphFont"/>
    <w:semiHidden/>
    <w:rsid w:val="0064467A"/>
    <w:rPr>
      <w:rFonts w:cs="Times New Roman"/>
      <w:vertAlign w:val="superscript"/>
    </w:rPr>
  </w:style>
  <w:style w:type="paragraph" w:customStyle="1" w:styleId="CharChar1CharCharCharChar1">
    <w:name w:val="Char Char1 Char Char Char Char1"/>
    <w:basedOn w:val="Normal"/>
    <w:rsid w:val="0064467A"/>
    <w:rPr>
      <w:rFonts w:ascii="Arial" w:hAnsi="Arial"/>
      <w:sz w:val="22"/>
    </w:rPr>
  </w:style>
  <w:style w:type="paragraph" w:styleId="Header">
    <w:name w:val="header"/>
    <w:basedOn w:val="Normal"/>
    <w:rsid w:val="00A74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F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1458"/>
  </w:style>
  <w:style w:type="paragraph" w:styleId="BalloonText">
    <w:name w:val="Balloon Text"/>
    <w:basedOn w:val="Normal"/>
    <w:semiHidden/>
    <w:rsid w:val="00583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E6AAE"/>
    <w:rPr>
      <w:sz w:val="16"/>
      <w:szCs w:val="16"/>
    </w:rPr>
  </w:style>
  <w:style w:type="paragraph" w:styleId="CommentText">
    <w:name w:val="annotation text"/>
    <w:basedOn w:val="Normal"/>
    <w:semiHidden/>
    <w:rsid w:val="008E6AAE"/>
  </w:style>
  <w:style w:type="paragraph" w:styleId="CommentSubject">
    <w:name w:val="annotation subject"/>
    <w:basedOn w:val="CommentText"/>
    <w:next w:val="CommentText"/>
    <w:semiHidden/>
    <w:rsid w:val="008E6AAE"/>
    <w:rPr>
      <w:b/>
      <w:bCs/>
    </w:rPr>
  </w:style>
  <w:style w:type="paragraph" w:customStyle="1" w:styleId="numberedpara">
    <w:name w:val="numbered para"/>
    <w:basedOn w:val="Normal"/>
    <w:rsid w:val="00A335B8"/>
    <w:pPr>
      <w:keepLines/>
      <w:numPr>
        <w:numId w:val="2"/>
      </w:numPr>
      <w:tabs>
        <w:tab w:val="clear" w:pos="567"/>
        <w:tab w:val="num" w:pos="0"/>
      </w:tabs>
      <w:ind w:hanging="220"/>
    </w:pPr>
    <w:rPr>
      <w:rFonts w:ascii="Calibri" w:hAnsi="Calibri"/>
      <w:sz w:val="22"/>
      <w:szCs w:val="16"/>
    </w:rPr>
  </w:style>
  <w:style w:type="paragraph" w:styleId="ListParagraph">
    <w:name w:val="List Paragraph"/>
    <w:basedOn w:val="Normal"/>
    <w:uiPriority w:val="34"/>
    <w:qFormat/>
    <w:rsid w:val="00A23C45"/>
    <w:pPr>
      <w:keepLines/>
      <w:ind w:left="720"/>
      <w:contextualSpacing/>
    </w:pPr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99"/>
    <w:qFormat/>
    <w:rsid w:val="00A23C45"/>
    <w:pPr>
      <w:spacing w:after="200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rsid w:val="00C93F6A"/>
    <w:rPr>
      <w:color w:val="800080" w:themeColor="followedHyperlink"/>
      <w:u w:val="single"/>
    </w:rPr>
  </w:style>
  <w:style w:type="paragraph" w:customStyle="1" w:styleId="body">
    <w:name w:val="body"/>
    <w:basedOn w:val="Normal"/>
    <w:link w:val="bodyCharChar"/>
    <w:rsid w:val="000C46F2"/>
    <w:pPr>
      <w:keepLines/>
      <w:outlineLvl w:val="0"/>
    </w:pPr>
    <w:rPr>
      <w:rFonts w:ascii="Calibri" w:hAnsi="Calibri" w:cs="Gautami"/>
      <w:sz w:val="22"/>
    </w:rPr>
  </w:style>
  <w:style w:type="character" w:customStyle="1" w:styleId="bodyCharChar">
    <w:name w:val="body Char Char"/>
    <w:basedOn w:val="DefaultParagraphFont"/>
    <w:link w:val="body"/>
    <w:rsid w:val="000C46F2"/>
    <w:rPr>
      <w:rFonts w:ascii="Calibri" w:hAnsi="Calibri" w:cs="Gautami"/>
      <w:sz w:val="22"/>
      <w:lang w:eastAsia="en-US"/>
    </w:rPr>
  </w:style>
  <w:style w:type="paragraph" w:styleId="BodyText">
    <w:name w:val="Body Text"/>
    <w:basedOn w:val="Normal"/>
    <w:link w:val="BodyTextChar"/>
    <w:rsid w:val="00E02808"/>
    <w:pPr>
      <w:ind w:right="-56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E02808"/>
    <w:rPr>
      <w:rFonts w:ascii="Arial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808"/>
    <w:rPr>
      <w:lang w:eastAsia="en-US"/>
    </w:rPr>
  </w:style>
  <w:style w:type="paragraph" w:customStyle="1" w:styleId="dotpoint">
    <w:name w:val="dot point"/>
    <w:basedOn w:val="Normal"/>
    <w:rsid w:val="008E3DB6"/>
    <w:pPr>
      <w:numPr>
        <w:numId w:val="17"/>
      </w:numPr>
      <w:tabs>
        <w:tab w:val="left" w:pos="227"/>
      </w:tabs>
      <w:suppressAutoHyphens/>
      <w:autoSpaceDE w:val="0"/>
      <w:autoSpaceDN w:val="0"/>
      <w:adjustRightInd w:val="0"/>
      <w:spacing w:before="150" w:after="28" w:line="300" w:lineRule="atLeast"/>
      <w:textAlignment w:val="center"/>
    </w:pPr>
    <w:rPr>
      <w:rFonts w:ascii="Calibri" w:hAnsi="Calibri" w:cs="Garamond"/>
      <w:color w:val="000000"/>
      <w:sz w:val="24"/>
      <w:szCs w:val="24"/>
      <w:lang w:val="en-GB" w:eastAsia="en-AU"/>
    </w:rPr>
  </w:style>
  <w:style w:type="numbering" w:customStyle="1" w:styleId="Style1">
    <w:name w:val="Style1"/>
    <w:uiPriority w:val="99"/>
    <w:rsid w:val="008E3DB6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CA4F2F"/>
    <w:rPr>
      <w:rFonts w:asciiTheme="minorHAnsi" w:eastAsiaTheme="majorEastAsia" w:hAnsiTheme="minorHAnsi" w:cstheme="majorBidi"/>
      <w:b/>
      <w:color w:val="17365D" w:themeColor="text2" w:themeShade="BF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rsid w:val="00CA4F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P@pm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SP@pm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9F6B-06DD-42F0-B591-07B8BE6F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ISSP 2019 Reporting and Acquittal requirements</vt:lpstr>
    </vt:vector>
  </TitlesOfParts>
  <Company>Australian Government</Company>
  <LinksUpToDate>false</LinksUpToDate>
  <CharactersWithSpaces>3012</CharactersWithSpaces>
  <SharedDoc>false</SharedDoc>
  <HLinks>
    <vt:vector size="30" baseType="variant">
      <vt:variant>
        <vt:i4>5374048</vt:i4>
      </vt:variant>
      <vt:variant>
        <vt:i4>8</vt:i4>
      </vt:variant>
      <vt:variant>
        <vt:i4>0</vt:i4>
      </vt:variant>
      <vt:variant>
        <vt:i4>5</vt:i4>
      </vt:variant>
      <vt:variant>
        <vt:lpwstr>mailto:bruce.jennings@deewr.gov.au</vt:lpwstr>
      </vt:variant>
      <vt:variant>
        <vt:lpwstr/>
      </vt:variant>
      <vt:variant>
        <vt:i4>1900667</vt:i4>
      </vt:variant>
      <vt:variant>
        <vt:i4>5</vt:i4>
      </vt:variant>
      <vt:variant>
        <vt:i4>0</vt:i4>
      </vt:variant>
      <vt:variant>
        <vt:i4>5</vt:i4>
      </vt:variant>
      <vt:variant>
        <vt:lpwstr>mailto:hedip@deewr.gov.au</vt:lpwstr>
      </vt:variant>
      <vt:variant>
        <vt:lpwstr/>
      </vt:variant>
      <vt:variant>
        <vt:i4>3145805</vt:i4>
      </vt:variant>
      <vt:variant>
        <vt:i4>3</vt:i4>
      </vt:variant>
      <vt:variant>
        <vt:i4>0</vt:i4>
      </vt:variant>
      <vt:variant>
        <vt:i4>5</vt:i4>
      </vt:variant>
      <vt:variant>
        <vt:lpwstr>mailto:hera@deewr.gov.au</vt:lpwstr>
      </vt:variant>
      <vt:variant>
        <vt:lpwstr/>
      </vt:variant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http://www.dest.gov.au/sectors/indigenous_education/policy_issues_reviews/national_goals_for_indigenous_education.htm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http://www.comlaw.gov.au/comlaw/Legislation/LegislativeInstrument1.nsf/0/1E7313158DC26C30CA257506000E180E?OpenDocument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ISSP 2019 Reporting and Acquittal requirements</dc:title>
  <dc:creator>National Indigenous Australians Agency</dc:creator>
  <cp:lastModifiedBy>King, David</cp:lastModifiedBy>
  <cp:revision>22</cp:revision>
  <cp:lastPrinted>2014-03-21T00:59:00Z</cp:lastPrinted>
  <dcterms:created xsi:type="dcterms:W3CDTF">2017-12-03T23:30:00Z</dcterms:created>
  <dcterms:modified xsi:type="dcterms:W3CDTF">2019-10-20T23:50:00Z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