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97" w:rsidRDefault="00C76297" w:rsidP="00CC0DAC">
      <w:pPr>
        <w:tabs>
          <w:tab w:val="left" w:pos="6663"/>
        </w:tabs>
        <w:spacing w:after="0" w:line="240" w:lineRule="auto"/>
        <w:rPr>
          <w:rFonts w:asciiTheme="majorHAnsi" w:hAnsiTheme="majorHAnsi"/>
          <w:b/>
          <w:color w:val="E36C0A"/>
          <w:sz w:val="32"/>
          <w:szCs w:val="32"/>
        </w:rPr>
      </w:pPr>
      <w:r w:rsidRPr="00E274C1">
        <w:rPr>
          <w:rFonts w:asciiTheme="majorHAnsi" w:hAnsiTheme="majorHAnsi"/>
          <w:b/>
          <w:color w:val="E36C0A"/>
          <w:sz w:val="36"/>
          <w:szCs w:val="32"/>
        </w:rPr>
        <w:t>Frequently Asked Questions</w:t>
      </w:r>
      <w:r w:rsidR="00CC0DAC">
        <w:rPr>
          <w:rFonts w:asciiTheme="majorHAnsi" w:hAnsiTheme="majorHAnsi"/>
          <w:b/>
          <w:color w:val="E36C0A"/>
          <w:sz w:val="36"/>
          <w:szCs w:val="32"/>
        </w:rPr>
        <w:tab/>
      </w:r>
      <w:r w:rsidR="00E274C1">
        <w:rPr>
          <w:noProof/>
          <w:lang w:eastAsia="en-AU"/>
        </w:rPr>
        <w:drawing>
          <wp:inline distT="0" distB="0" distL="0" distR="0" wp14:anchorId="0A516DA7" wp14:editId="70E8638D">
            <wp:extent cx="1429473" cy="706056"/>
            <wp:effectExtent l="0" t="0" r="0" b="0"/>
            <wp:docPr id="1" name="Picture 10" descr="Australian Government crest image" title="Australian Government crest"/>
            <wp:cNvGraphicFramePr/>
            <a:graphic xmlns:a="http://schemas.openxmlformats.org/drawingml/2006/main">
              <a:graphicData uri="http://schemas.openxmlformats.org/drawingml/2006/picture">
                <pic:pic xmlns:pic="http://schemas.openxmlformats.org/drawingml/2006/picture">
                  <pic:nvPicPr>
                    <pic:cNvPr id="47" name="Picture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473" cy="706056"/>
                    </a:xfrm>
                    <a:prstGeom prst="rect">
                      <a:avLst/>
                    </a:prstGeom>
                    <a:noFill/>
                    <a:ln>
                      <a:noFill/>
                    </a:ln>
                  </pic:spPr>
                </pic:pic>
              </a:graphicData>
            </a:graphic>
          </wp:inline>
        </w:drawing>
      </w:r>
    </w:p>
    <w:p w:rsidR="00E274C1" w:rsidRPr="0086635B" w:rsidRDefault="00EF0618" w:rsidP="00E274C1">
      <w:pPr>
        <w:spacing w:before="120"/>
        <w:rPr>
          <w:rFonts w:asciiTheme="majorHAnsi" w:hAnsiTheme="majorHAnsi" w:cstheme="majorHAnsi"/>
          <w:b/>
          <w:sz w:val="24"/>
        </w:rPr>
      </w:pPr>
      <w:r>
        <w:rPr>
          <w:rFonts w:asciiTheme="majorHAnsi" w:hAnsiTheme="majorHAnsi" w:cstheme="majorHAnsi"/>
          <w:b/>
          <w:sz w:val="24"/>
        </w:rPr>
        <w:t xml:space="preserve">May </w:t>
      </w:r>
      <w:r w:rsidR="006D0A14">
        <w:rPr>
          <w:rFonts w:asciiTheme="majorHAnsi" w:hAnsiTheme="majorHAnsi" w:cstheme="majorHAnsi"/>
          <w:b/>
          <w:sz w:val="24"/>
        </w:rPr>
        <w:t>2015</w:t>
      </w:r>
    </w:p>
    <w:p w:rsidR="00E274C1" w:rsidRPr="00540316" w:rsidRDefault="00A13D01" w:rsidP="00C8776A">
      <w:pPr>
        <w:pStyle w:val="Heading2"/>
      </w:pPr>
      <w:r w:rsidRPr="003D6045">
        <w:rPr>
          <w:rStyle w:val="Emphasis"/>
          <w:color w:val="4F6228"/>
          <w:sz w:val="42"/>
          <w:szCs w:val="50"/>
        </w:rPr>
        <w:t>Strengthening Organisational Governance</w:t>
      </w:r>
      <w:r w:rsidR="00DE44E0" w:rsidRPr="003D6045">
        <w:rPr>
          <w:rStyle w:val="Emphasis"/>
          <w:color w:val="4F6228"/>
          <w:sz w:val="42"/>
          <w:szCs w:val="50"/>
        </w:rPr>
        <w:t>: new i</w:t>
      </w:r>
      <w:r w:rsidR="00C76297" w:rsidRPr="003D6045">
        <w:rPr>
          <w:rStyle w:val="Emphasis"/>
          <w:color w:val="4F6228"/>
          <w:sz w:val="42"/>
          <w:szCs w:val="50"/>
        </w:rPr>
        <w:t xml:space="preserve">ncorporation </w:t>
      </w:r>
      <w:r w:rsidR="00DE44E0" w:rsidRPr="003D6045">
        <w:rPr>
          <w:rStyle w:val="Emphasis"/>
          <w:color w:val="4F6228"/>
          <w:sz w:val="42"/>
          <w:szCs w:val="50"/>
        </w:rPr>
        <w:t>r</w:t>
      </w:r>
      <w:r w:rsidR="00C76297" w:rsidRPr="003D6045">
        <w:rPr>
          <w:rStyle w:val="Emphasis"/>
          <w:color w:val="4F6228"/>
          <w:sz w:val="42"/>
          <w:szCs w:val="50"/>
        </w:rPr>
        <w:t>equirements</w:t>
      </w:r>
    </w:p>
    <w:p w:rsidR="00C76297" w:rsidRPr="006D0A14" w:rsidRDefault="00C76297" w:rsidP="00C8776A">
      <w:pPr>
        <w:pStyle w:val="Heading3"/>
        <w:rPr>
          <w:sz w:val="24"/>
          <w:lang w:val="en-US"/>
        </w:rPr>
      </w:pPr>
      <w:r w:rsidRPr="006D0A14">
        <w:rPr>
          <w:sz w:val="24"/>
          <w:lang w:val="en-US"/>
        </w:rPr>
        <w:t>Why is the Government introducing these changes?</w:t>
      </w:r>
    </w:p>
    <w:p w:rsidR="001B6C36" w:rsidRDefault="001B6C36" w:rsidP="007269E5">
      <w:pPr>
        <w:spacing w:after="200" w:line="240" w:lineRule="auto"/>
        <w:rPr>
          <w:rFonts w:asciiTheme="majorHAnsi" w:hAnsiTheme="majorHAnsi" w:cstheme="majorHAnsi"/>
          <w:iCs/>
          <w:sz w:val="24"/>
        </w:rPr>
      </w:pPr>
      <w:r w:rsidRPr="003D6045">
        <w:rPr>
          <w:rFonts w:asciiTheme="majorHAnsi" w:hAnsiTheme="majorHAnsi" w:cstheme="majorHAnsi"/>
          <w:iCs/>
          <w:sz w:val="24"/>
        </w:rPr>
        <w:t>The Australian Government is committed to ensuring the highest quality of services for Aboriginal and Torres Strait Islander Australians. An important step in achieving this is to ensure organisations receiving Australian Government funding to deliver Indigenous programmes have high standards of governance and accountability.</w:t>
      </w:r>
    </w:p>
    <w:p w:rsidR="001B6C36" w:rsidRPr="006D0A14" w:rsidRDefault="001B6C36" w:rsidP="00C8776A">
      <w:pPr>
        <w:pStyle w:val="Heading3"/>
        <w:rPr>
          <w:sz w:val="24"/>
        </w:rPr>
      </w:pPr>
      <w:r w:rsidRPr="006D0A14">
        <w:rPr>
          <w:sz w:val="24"/>
        </w:rPr>
        <w:t>What does organisational governance mean?</w:t>
      </w:r>
    </w:p>
    <w:p w:rsidR="00E355BE" w:rsidRPr="003D6045" w:rsidRDefault="00E355BE" w:rsidP="00500544">
      <w:pPr>
        <w:spacing w:line="240" w:lineRule="auto"/>
        <w:rPr>
          <w:rFonts w:asciiTheme="majorHAnsi" w:hAnsiTheme="majorHAnsi" w:cstheme="majorHAnsi"/>
          <w:iCs/>
          <w:sz w:val="24"/>
        </w:rPr>
      </w:pPr>
      <w:r w:rsidRPr="003D6045">
        <w:rPr>
          <w:rFonts w:asciiTheme="majorHAnsi" w:hAnsiTheme="majorHAnsi" w:cstheme="majorHAnsi"/>
          <w:iCs/>
          <w:sz w:val="24"/>
        </w:rPr>
        <w:t xml:space="preserve">Governance refers to the processes by which organisations are directed, controlled and held to account, encompassing authority, accountability, stewardship, leadership, direction and control exercised in the organisation. </w:t>
      </w:r>
    </w:p>
    <w:p w:rsidR="00E355BE" w:rsidRPr="003D6045" w:rsidRDefault="00E355BE" w:rsidP="00500544">
      <w:pPr>
        <w:spacing w:line="240" w:lineRule="auto"/>
        <w:rPr>
          <w:rFonts w:asciiTheme="majorHAnsi" w:hAnsiTheme="majorHAnsi" w:cstheme="majorHAnsi"/>
          <w:iCs/>
          <w:sz w:val="24"/>
        </w:rPr>
      </w:pPr>
      <w:r w:rsidRPr="003D6045">
        <w:rPr>
          <w:rFonts w:asciiTheme="majorHAnsi" w:hAnsiTheme="majorHAnsi" w:cstheme="majorHAnsi"/>
          <w:iCs/>
          <w:sz w:val="24"/>
        </w:rPr>
        <w:t>Effective governance ensures that the organisation’s committee, its staff and its members are collectively accountable for the organisation’s plans, decisions, actions and results. Conversely, ineffective governance impacts on the capacity of organisations to meet the needs of Aboriginal and Torres Strait Islander people, the quality of service, and the achievement of agreed deliverables.</w:t>
      </w:r>
    </w:p>
    <w:p w:rsidR="003506E1" w:rsidRDefault="003506E1" w:rsidP="007269E5">
      <w:pPr>
        <w:spacing w:after="200" w:line="240" w:lineRule="auto"/>
        <w:rPr>
          <w:rFonts w:asciiTheme="majorHAnsi" w:hAnsiTheme="majorHAnsi" w:cstheme="majorHAnsi"/>
          <w:sz w:val="24"/>
        </w:rPr>
      </w:pPr>
      <w:r w:rsidRPr="003D6045">
        <w:rPr>
          <w:rFonts w:asciiTheme="majorHAnsi" w:hAnsiTheme="majorHAnsi" w:cstheme="majorHAnsi"/>
          <w:sz w:val="24"/>
        </w:rPr>
        <w:t xml:space="preserve">State and territory incorporation legislation is intended for small organisations and often does not provide the regulatory structure or resources to respond to governance issues in organisations. </w:t>
      </w:r>
      <w:r w:rsidR="003D1928" w:rsidRPr="003D6045">
        <w:rPr>
          <w:rFonts w:asciiTheme="majorHAnsi" w:hAnsiTheme="majorHAnsi" w:cstheme="majorHAnsi"/>
          <w:sz w:val="24"/>
        </w:rPr>
        <w:t>Incorporation under C</w:t>
      </w:r>
      <w:r w:rsidRPr="003D6045">
        <w:rPr>
          <w:rFonts w:asciiTheme="majorHAnsi" w:hAnsiTheme="majorHAnsi" w:cstheme="majorHAnsi"/>
          <w:sz w:val="24"/>
        </w:rPr>
        <w:t>ommonwealth legislation provides a more robust regulatory framework</w:t>
      </w:r>
      <w:r w:rsidR="003D1928" w:rsidRPr="003D6045">
        <w:rPr>
          <w:rFonts w:asciiTheme="majorHAnsi" w:hAnsiTheme="majorHAnsi" w:cstheme="majorHAnsi"/>
          <w:sz w:val="24"/>
        </w:rPr>
        <w:t xml:space="preserve"> and access to specialist assistance</w:t>
      </w:r>
      <w:r w:rsidRPr="003D6045">
        <w:rPr>
          <w:rFonts w:asciiTheme="majorHAnsi" w:hAnsiTheme="majorHAnsi" w:cstheme="majorHAnsi"/>
          <w:sz w:val="24"/>
        </w:rPr>
        <w:t xml:space="preserve"> that helps to improve public confidence in the security and delivery of </w:t>
      </w:r>
      <w:r w:rsidR="00D7544A">
        <w:rPr>
          <w:rFonts w:asciiTheme="majorHAnsi" w:hAnsiTheme="majorHAnsi" w:cstheme="majorHAnsi"/>
          <w:sz w:val="24"/>
        </w:rPr>
        <w:t>services</w:t>
      </w:r>
      <w:r w:rsidRPr="003D6045">
        <w:rPr>
          <w:rFonts w:asciiTheme="majorHAnsi" w:hAnsiTheme="majorHAnsi" w:cstheme="majorHAnsi"/>
          <w:sz w:val="24"/>
        </w:rPr>
        <w:t>.</w:t>
      </w:r>
    </w:p>
    <w:p w:rsidR="001B6C36" w:rsidRPr="006D0A14" w:rsidRDefault="001B6C36" w:rsidP="00C8776A">
      <w:pPr>
        <w:pStyle w:val="Heading3"/>
        <w:rPr>
          <w:sz w:val="24"/>
        </w:rPr>
      </w:pPr>
      <w:r w:rsidRPr="006D0A14">
        <w:rPr>
          <w:sz w:val="24"/>
        </w:rPr>
        <w:t>What are the new requirements?</w:t>
      </w:r>
    </w:p>
    <w:p w:rsidR="001B6C36" w:rsidRPr="003D6045" w:rsidRDefault="001B6C36" w:rsidP="00500544">
      <w:pPr>
        <w:spacing w:line="240" w:lineRule="auto"/>
        <w:rPr>
          <w:rFonts w:asciiTheme="majorHAnsi" w:hAnsiTheme="majorHAnsi" w:cstheme="majorHAnsi"/>
          <w:iCs/>
          <w:sz w:val="24"/>
        </w:rPr>
      </w:pPr>
      <w:r w:rsidRPr="003D6045">
        <w:rPr>
          <w:rFonts w:asciiTheme="majorHAnsi" w:hAnsiTheme="majorHAnsi" w:cstheme="majorHAnsi"/>
          <w:iCs/>
          <w:sz w:val="24"/>
        </w:rPr>
        <w:t xml:space="preserve">From 1 July 2014, </w:t>
      </w:r>
      <w:r w:rsidR="00FD5E3C">
        <w:rPr>
          <w:rFonts w:asciiTheme="majorHAnsi" w:hAnsiTheme="majorHAnsi" w:cstheme="majorHAnsi"/>
          <w:iCs/>
          <w:sz w:val="24"/>
        </w:rPr>
        <w:t xml:space="preserve">all </w:t>
      </w:r>
      <w:r w:rsidRPr="003D6045">
        <w:rPr>
          <w:rFonts w:asciiTheme="majorHAnsi" w:hAnsiTheme="majorHAnsi" w:cstheme="majorHAnsi"/>
          <w:iCs/>
          <w:sz w:val="24"/>
        </w:rPr>
        <w:t xml:space="preserve">organisations receiving </w:t>
      </w:r>
      <w:r w:rsidR="003506E1" w:rsidRPr="003D6045">
        <w:rPr>
          <w:rFonts w:asciiTheme="majorHAnsi" w:hAnsiTheme="majorHAnsi" w:cstheme="majorHAnsi"/>
          <w:iCs/>
          <w:sz w:val="24"/>
        </w:rPr>
        <w:t xml:space="preserve">grants of </w:t>
      </w:r>
      <w:r w:rsidRPr="003D6045">
        <w:rPr>
          <w:rFonts w:asciiTheme="majorHAnsi" w:hAnsiTheme="majorHAnsi" w:cstheme="majorHAnsi"/>
          <w:iCs/>
          <w:sz w:val="24"/>
        </w:rPr>
        <w:t xml:space="preserve">$500,000 </w:t>
      </w:r>
      <w:r w:rsidR="00C41F4B" w:rsidRPr="003D6045">
        <w:rPr>
          <w:rFonts w:asciiTheme="majorHAnsi" w:hAnsiTheme="majorHAnsi" w:cstheme="majorHAnsi"/>
          <w:iCs/>
          <w:sz w:val="24"/>
        </w:rPr>
        <w:t xml:space="preserve">(GST </w:t>
      </w:r>
      <w:r w:rsidR="00855072" w:rsidRPr="003D6045">
        <w:rPr>
          <w:rFonts w:asciiTheme="majorHAnsi" w:hAnsiTheme="majorHAnsi" w:cstheme="majorHAnsi"/>
          <w:iCs/>
          <w:sz w:val="24"/>
        </w:rPr>
        <w:t>exclusive)</w:t>
      </w:r>
      <w:r w:rsidR="003234DF" w:rsidRPr="003D6045">
        <w:rPr>
          <w:rFonts w:asciiTheme="majorHAnsi" w:hAnsiTheme="majorHAnsi" w:cstheme="majorHAnsi"/>
          <w:iCs/>
          <w:sz w:val="24"/>
        </w:rPr>
        <w:t xml:space="preserve"> </w:t>
      </w:r>
      <w:r w:rsidRPr="003D6045">
        <w:rPr>
          <w:rFonts w:asciiTheme="majorHAnsi" w:hAnsiTheme="majorHAnsi" w:cstheme="majorHAnsi"/>
          <w:iCs/>
          <w:sz w:val="24"/>
        </w:rPr>
        <w:t>or more in a</w:t>
      </w:r>
      <w:r w:rsidR="00FD5E3C">
        <w:rPr>
          <w:rFonts w:asciiTheme="majorHAnsi" w:hAnsiTheme="majorHAnsi" w:cstheme="majorHAnsi"/>
          <w:iCs/>
          <w:sz w:val="24"/>
        </w:rPr>
        <w:t>ny</w:t>
      </w:r>
      <w:r w:rsidRPr="003D6045">
        <w:rPr>
          <w:rFonts w:asciiTheme="majorHAnsi" w:hAnsiTheme="majorHAnsi" w:cstheme="majorHAnsi"/>
          <w:iCs/>
          <w:sz w:val="24"/>
        </w:rPr>
        <w:t xml:space="preserve"> single financial year from </w:t>
      </w:r>
      <w:r w:rsidR="003506E1" w:rsidRPr="003D6045">
        <w:rPr>
          <w:rFonts w:asciiTheme="majorHAnsi" w:hAnsiTheme="majorHAnsi" w:cstheme="majorHAnsi"/>
          <w:iCs/>
          <w:sz w:val="24"/>
        </w:rPr>
        <w:t xml:space="preserve">funding administered by the Indigenous Affairs </w:t>
      </w:r>
      <w:r w:rsidR="00721927">
        <w:rPr>
          <w:rFonts w:asciiTheme="majorHAnsi" w:hAnsiTheme="majorHAnsi" w:cstheme="majorHAnsi"/>
          <w:iCs/>
          <w:sz w:val="24"/>
        </w:rPr>
        <w:t>Group</w:t>
      </w:r>
      <w:r w:rsidR="00721927" w:rsidRPr="003D6045">
        <w:rPr>
          <w:rFonts w:asciiTheme="majorHAnsi" w:hAnsiTheme="majorHAnsi" w:cstheme="majorHAnsi"/>
          <w:iCs/>
          <w:sz w:val="24"/>
        </w:rPr>
        <w:t xml:space="preserve"> </w:t>
      </w:r>
      <w:r w:rsidR="003506E1" w:rsidRPr="003D6045">
        <w:rPr>
          <w:rFonts w:asciiTheme="majorHAnsi" w:hAnsiTheme="majorHAnsi" w:cstheme="majorHAnsi"/>
          <w:iCs/>
          <w:sz w:val="24"/>
        </w:rPr>
        <w:t>within the Department of the Prime Minister and Cabinet are required to</w:t>
      </w:r>
      <w:r w:rsidRPr="003D6045">
        <w:rPr>
          <w:rFonts w:asciiTheme="majorHAnsi" w:hAnsiTheme="majorHAnsi" w:cstheme="majorHAnsi"/>
          <w:iCs/>
          <w:sz w:val="24"/>
        </w:rPr>
        <w:t>:</w:t>
      </w:r>
    </w:p>
    <w:p w:rsidR="001B6C36" w:rsidRPr="00CB64E4" w:rsidRDefault="001B6C36" w:rsidP="003D0139">
      <w:pPr>
        <w:pStyle w:val="ListParagraph"/>
        <w:numPr>
          <w:ilvl w:val="0"/>
          <w:numId w:val="18"/>
        </w:numPr>
        <w:rPr>
          <w:rFonts w:asciiTheme="majorHAnsi" w:hAnsiTheme="majorHAnsi" w:cstheme="majorHAnsi"/>
          <w:sz w:val="24"/>
        </w:rPr>
      </w:pPr>
      <w:r w:rsidRPr="00CB64E4">
        <w:rPr>
          <w:rFonts w:asciiTheme="majorHAnsi" w:hAnsiTheme="majorHAnsi" w:cstheme="majorHAnsi"/>
          <w:sz w:val="24"/>
        </w:rPr>
        <w:t xml:space="preserve">incorporate under Commonwealth legislation – Indigenous organisations will be required to incorporate under the </w:t>
      </w:r>
      <w:r w:rsidRPr="00CB64E4">
        <w:rPr>
          <w:rFonts w:asciiTheme="majorHAnsi" w:hAnsiTheme="majorHAnsi" w:cstheme="majorHAnsi"/>
          <w:i/>
          <w:sz w:val="24"/>
        </w:rPr>
        <w:t>Corporations (Aboriginal and Torres Strait Islander) Act 2006</w:t>
      </w:r>
      <w:r w:rsidR="005D6022" w:rsidRPr="00CB64E4">
        <w:rPr>
          <w:rFonts w:asciiTheme="majorHAnsi" w:hAnsiTheme="majorHAnsi" w:cstheme="majorHAnsi"/>
          <w:sz w:val="24"/>
        </w:rPr>
        <w:t>;</w:t>
      </w:r>
      <w:r w:rsidRPr="00CB64E4">
        <w:rPr>
          <w:rFonts w:asciiTheme="majorHAnsi" w:hAnsiTheme="majorHAnsi" w:cstheme="majorHAnsi"/>
          <w:sz w:val="24"/>
        </w:rPr>
        <w:t xml:space="preserve"> with other organisations incorporating under the </w:t>
      </w:r>
      <w:r w:rsidRPr="00CB64E4">
        <w:rPr>
          <w:rFonts w:asciiTheme="majorHAnsi" w:hAnsiTheme="majorHAnsi" w:cstheme="majorHAnsi"/>
          <w:i/>
          <w:sz w:val="24"/>
        </w:rPr>
        <w:t>Corporations Act 2001</w:t>
      </w:r>
      <w:r w:rsidR="00FD5E3C" w:rsidRPr="00CB64E4">
        <w:rPr>
          <w:rFonts w:asciiTheme="majorHAnsi" w:hAnsiTheme="majorHAnsi" w:cstheme="majorHAnsi"/>
          <w:sz w:val="24"/>
        </w:rPr>
        <w:t>; and</w:t>
      </w:r>
    </w:p>
    <w:p w:rsidR="001B6C36" w:rsidRPr="00CB64E4" w:rsidRDefault="001B6C36" w:rsidP="003D0139">
      <w:pPr>
        <w:pStyle w:val="ListParagraph"/>
        <w:numPr>
          <w:ilvl w:val="0"/>
          <w:numId w:val="18"/>
        </w:numPr>
        <w:rPr>
          <w:rFonts w:asciiTheme="majorHAnsi" w:hAnsiTheme="majorHAnsi" w:cstheme="majorHAnsi"/>
          <w:sz w:val="24"/>
        </w:rPr>
      </w:pPr>
      <w:r w:rsidRPr="00CB64E4">
        <w:rPr>
          <w:rFonts w:asciiTheme="majorHAnsi" w:hAnsiTheme="majorHAnsi" w:cstheme="majorHAnsi"/>
          <w:sz w:val="24"/>
        </w:rPr>
        <w:t>maintain these arrangements while they continue to receive any level of such funding.</w:t>
      </w:r>
    </w:p>
    <w:p w:rsidR="00E274C1" w:rsidRDefault="009F116E" w:rsidP="00E274C1">
      <w:pPr>
        <w:spacing w:line="240" w:lineRule="auto"/>
        <w:rPr>
          <w:rFonts w:asciiTheme="majorHAnsi" w:hAnsiTheme="majorHAnsi" w:cstheme="majorHAnsi"/>
          <w:iCs/>
          <w:sz w:val="24"/>
        </w:rPr>
      </w:pPr>
      <w:r w:rsidRPr="003D6045">
        <w:rPr>
          <w:rFonts w:asciiTheme="majorHAnsi" w:hAnsiTheme="majorHAnsi" w:cstheme="majorHAnsi"/>
          <w:iCs/>
          <w:sz w:val="24"/>
        </w:rPr>
        <w:t xml:space="preserve">Grants for capital works and funding sourced through procurement activities are not included. </w:t>
      </w:r>
    </w:p>
    <w:p w:rsidR="00004D8A" w:rsidRDefault="00F72440" w:rsidP="00E274C1">
      <w:pPr>
        <w:spacing w:line="240" w:lineRule="auto"/>
        <w:rPr>
          <w:rFonts w:asciiTheme="majorHAnsi" w:hAnsiTheme="majorHAnsi" w:cstheme="majorHAnsi"/>
          <w:iCs/>
          <w:sz w:val="24"/>
        </w:rPr>
      </w:pPr>
      <w:r w:rsidRPr="00AC48FF">
        <w:rPr>
          <w:rFonts w:asciiTheme="majorHAnsi" w:hAnsiTheme="majorHAnsi" w:cstheme="majorHAnsi"/>
          <w:iCs/>
          <w:sz w:val="24"/>
        </w:rPr>
        <w:t xml:space="preserve">Statutory </w:t>
      </w:r>
      <w:r w:rsidR="00532F79">
        <w:rPr>
          <w:rFonts w:asciiTheme="majorHAnsi" w:hAnsiTheme="majorHAnsi" w:cstheme="majorHAnsi"/>
          <w:iCs/>
          <w:sz w:val="24"/>
        </w:rPr>
        <w:t xml:space="preserve">bodies, </w:t>
      </w:r>
      <w:r w:rsidRPr="00AC48FF">
        <w:rPr>
          <w:rFonts w:asciiTheme="majorHAnsi" w:hAnsiTheme="majorHAnsi" w:cstheme="majorHAnsi"/>
          <w:iCs/>
          <w:sz w:val="24"/>
        </w:rPr>
        <w:t xml:space="preserve">government bodies, and organisations operating under a specific piece of legislation </w:t>
      </w:r>
      <w:r w:rsidR="005B550F">
        <w:rPr>
          <w:rFonts w:asciiTheme="majorHAnsi" w:hAnsiTheme="majorHAnsi" w:cstheme="majorHAnsi"/>
          <w:iCs/>
          <w:sz w:val="24"/>
        </w:rPr>
        <w:t xml:space="preserve">are excluded </w:t>
      </w:r>
      <w:r w:rsidRPr="00AC48FF">
        <w:rPr>
          <w:rFonts w:asciiTheme="majorHAnsi" w:hAnsiTheme="majorHAnsi" w:cstheme="majorHAnsi"/>
          <w:iCs/>
          <w:sz w:val="24"/>
        </w:rPr>
        <w:t>from the requirements and do not have to apply for an exemption.</w:t>
      </w:r>
    </w:p>
    <w:p w:rsidR="00E33157" w:rsidRDefault="003005EF" w:rsidP="003005EF">
      <w:pPr>
        <w:spacing w:line="240" w:lineRule="auto"/>
        <w:rPr>
          <w:rFonts w:asciiTheme="majorHAnsi" w:hAnsiTheme="majorHAnsi" w:cstheme="majorHAnsi"/>
          <w:iCs/>
          <w:sz w:val="24"/>
          <w:lang w:val="en-US"/>
        </w:rPr>
      </w:pPr>
      <w:r w:rsidRPr="003005EF">
        <w:rPr>
          <w:rFonts w:asciiTheme="majorHAnsi" w:hAnsiTheme="majorHAnsi" w:cstheme="majorHAnsi"/>
          <w:iCs/>
          <w:sz w:val="24"/>
          <w:lang w:val="en-US"/>
        </w:rPr>
        <w:t xml:space="preserve">Indigenous organisations already incorporated under the </w:t>
      </w:r>
      <w:r w:rsidRPr="003005EF">
        <w:rPr>
          <w:rFonts w:asciiTheme="majorHAnsi" w:hAnsiTheme="majorHAnsi" w:cstheme="majorHAnsi"/>
          <w:i/>
          <w:iCs/>
          <w:sz w:val="24"/>
          <w:lang w:val="en-US"/>
        </w:rPr>
        <w:t>Corporations Act 2001</w:t>
      </w:r>
      <w:r w:rsidRPr="003005EF">
        <w:rPr>
          <w:rFonts w:asciiTheme="majorHAnsi" w:hAnsiTheme="majorHAnsi" w:cstheme="majorHAnsi"/>
          <w:iCs/>
          <w:sz w:val="24"/>
          <w:lang w:val="en-US"/>
        </w:rPr>
        <w:t xml:space="preserve"> do not have to change their incorporation status. </w:t>
      </w:r>
    </w:p>
    <w:p w:rsidR="003005EF" w:rsidRPr="003005EF" w:rsidRDefault="003005EF" w:rsidP="003005EF">
      <w:pPr>
        <w:spacing w:line="240" w:lineRule="auto"/>
        <w:rPr>
          <w:rFonts w:asciiTheme="majorHAnsi" w:hAnsiTheme="majorHAnsi" w:cstheme="majorHAnsi"/>
          <w:iCs/>
          <w:sz w:val="24"/>
          <w:lang w:val="en-US"/>
        </w:rPr>
      </w:pPr>
      <w:r w:rsidRPr="003005EF">
        <w:rPr>
          <w:rFonts w:asciiTheme="majorHAnsi" w:hAnsiTheme="majorHAnsi" w:cstheme="majorHAnsi"/>
          <w:iCs/>
          <w:sz w:val="24"/>
          <w:lang w:val="en-US"/>
        </w:rPr>
        <w:lastRenderedPageBreak/>
        <w:t>All new Indigenous organisations (those not previously incorporated) must</w:t>
      </w:r>
      <w:r w:rsidR="00957962">
        <w:rPr>
          <w:rFonts w:asciiTheme="majorHAnsi" w:hAnsiTheme="majorHAnsi" w:cstheme="majorHAnsi"/>
          <w:iCs/>
          <w:sz w:val="24"/>
          <w:lang w:val="en-US"/>
        </w:rPr>
        <w:t xml:space="preserve"> be</w:t>
      </w:r>
      <w:r w:rsidRPr="003005EF">
        <w:rPr>
          <w:rFonts w:asciiTheme="majorHAnsi" w:hAnsiTheme="majorHAnsi" w:cstheme="majorHAnsi"/>
          <w:iCs/>
          <w:sz w:val="24"/>
          <w:lang w:val="en-US"/>
        </w:rPr>
        <w:t xml:space="preserve"> incorporate</w:t>
      </w:r>
      <w:r w:rsidR="00957962">
        <w:rPr>
          <w:rFonts w:asciiTheme="majorHAnsi" w:hAnsiTheme="majorHAnsi" w:cstheme="majorHAnsi"/>
          <w:iCs/>
          <w:sz w:val="24"/>
          <w:lang w:val="en-US"/>
        </w:rPr>
        <w:t>d</w:t>
      </w:r>
      <w:r w:rsidRPr="003005EF">
        <w:rPr>
          <w:rFonts w:asciiTheme="majorHAnsi" w:hAnsiTheme="majorHAnsi" w:cstheme="majorHAnsi"/>
          <w:iCs/>
          <w:sz w:val="24"/>
          <w:lang w:val="en-US"/>
        </w:rPr>
        <w:t xml:space="preserve"> under the </w:t>
      </w:r>
      <w:r w:rsidRPr="003005EF">
        <w:rPr>
          <w:rFonts w:asciiTheme="majorHAnsi" w:hAnsiTheme="majorHAnsi" w:cstheme="majorHAnsi"/>
          <w:i/>
          <w:iCs/>
          <w:sz w:val="24"/>
          <w:lang w:val="en-US"/>
        </w:rPr>
        <w:t>Corporations (Aboriginal and Torres Strait Islander) Act 2006</w:t>
      </w:r>
      <w:r w:rsidR="00E33157">
        <w:rPr>
          <w:rFonts w:asciiTheme="majorHAnsi" w:hAnsiTheme="majorHAnsi" w:cstheme="majorHAnsi"/>
          <w:i/>
          <w:iCs/>
          <w:sz w:val="24"/>
          <w:lang w:val="en-US"/>
        </w:rPr>
        <w:t xml:space="preserve"> </w:t>
      </w:r>
      <w:r w:rsidR="00E33157" w:rsidRPr="00E33157">
        <w:rPr>
          <w:rFonts w:asciiTheme="majorHAnsi" w:hAnsiTheme="majorHAnsi" w:cstheme="majorHAnsi"/>
          <w:iCs/>
          <w:color w:val="000000" w:themeColor="text1"/>
          <w:sz w:val="24"/>
          <w:lang w:val="en-US"/>
        </w:rPr>
        <w:t>so they can access the a</w:t>
      </w:r>
      <w:r w:rsidR="00E33157">
        <w:rPr>
          <w:rFonts w:asciiTheme="majorHAnsi" w:hAnsiTheme="majorHAnsi" w:cstheme="majorHAnsi"/>
          <w:iCs/>
          <w:color w:val="000000" w:themeColor="text1"/>
          <w:sz w:val="24"/>
          <w:lang w:val="en-US"/>
        </w:rPr>
        <w:t xml:space="preserve">ssistance and </w:t>
      </w:r>
      <w:r w:rsidR="00E33157" w:rsidRPr="00E33157">
        <w:rPr>
          <w:rFonts w:asciiTheme="majorHAnsi" w:hAnsiTheme="majorHAnsi" w:cstheme="majorHAnsi"/>
          <w:iCs/>
          <w:color w:val="000000" w:themeColor="text1"/>
          <w:sz w:val="24"/>
          <w:lang w:val="en-US"/>
        </w:rPr>
        <w:t xml:space="preserve">support available </w:t>
      </w:r>
      <w:r w:rsidR="00E33157">
        <w:rPr>
          <w:rFonts w:asciiTheme="majorHAnsi" w:hAnsiTheme="majorHAnsi" w:cstheme="majorHAnsi"/>
          <w:iCs/>
          <w:color w:val="000000" w:themeColor="text1"/>
          <w:sz w:val="24"/>
          <w:lang w:val="en-US"/>
        </w:rPr>
        <w:t>to meet the needs of Indigenous Australians</w:t>
      </w:r>
      <w:r w:rsidR="002122AB">
        <w:rPr>
          <w:rFonts w:asciiTheme="majorHAnsi" w:hAnsiTheme="majorHAnsi" w:cstheme="majorHAnsi"/>
          <w:iCs/>
          <w:color w:val="000000" w:themeColor="text1"/>
          <w:sz w:val="24"/>
          <w:lang w:val="en-US"/>
        </w:rPr>
        <w:t xml:space="preserve"> under the Act</w:t>
      </w:r>
      <w:r w:rsidR="00E33157" w:rsidRPr="00E33157">
        <w:rPr>
          <w:rFonts w:asciiTheme="majorHAnsi" w:hAnsiTheme="majorHAnsi" w:cstheme="majorHAnsi"/>
          <w:iCs/>
          <w:color w:val="000000" w:themeColor="text1"/>
          <w:sz w:val="24"/>
          <w:lang w:val="en-US"/>
        </w:rPr>
        <w:t>.</w:t>
      </w:r>
    </w:p>
    <w:p w:rsidR="00004D8A" w:rsidRPr="00004D8A" w:rsidRDefault="00004D8A" w:rsidP="00004D8A">
      <w:pPr>
        <w:spacing w:line="240" w:lineRule="auto"/>
        <w:rPr>
          <w:rFonts w:asciiTheme="majorHAnsi" w:hAnsiTheme="majorHAnsi" w:cstheme="majorHAnsi"/>
          <w:iCs/>
          <w:sz w:val="24"/>
        </w:rPr>
      </w:pPr>
      <w:r w:rsidRPr="00004D8A">
        <w:rPr>
          <w:rFonts w:asciiTheme="majorHAnsi" w:hAnsiTheme="majorHAnsi" w:cstheme="majorHAnsi"/>
          <w:iCs/>
          <w:sz w:val="24"/>
        </w:rPr>
        <w:t>The Minister may review these exclusions at any time</w:t>
      </w:r>
      <w:r w:rsidR="00D76324">
        <w:rPr>
          <w:rFonts w:asciiTheme="majorHAnsi" w:hAnsiTheme="majorHAnsi" w:cstheme="majorHAnsi"/>
          <w:iCs/>
          <w:sz w:val="24"/>
        </w:rPr>
        <w:t xml:space="preserve">, including </w:t>
      </w:r>
      <w:r w:rsidR="00C90B42">
        <w:rPr>
          <w:rFonts w:asciiTheme="majorHAnsi" w:hAnsiTheme="majorHAnsi" w:cstheme="majorHAnsi"/>
          <w:iCs/>
          <w:sz w:val="24"/>
        </w:rPr>
        <w:t>considering</w:t>
      </w:r>
      <w:r w:rsidR="00D76324">
        <w:rPr>
          <w:rFonts w:asciiTheme="majorHAnsi" w:hAnsiTheme="majorHAnsi" w:cstheme="majorHAnsi"/>
          <w:iCs/>
          <w:sz w:val="24"/>
        </w:rPr>
        <w:t xml:space="preserve"> </w:t>
      </w:r>
      <w:r w:rsidR="00C90B42">
        <w:rPr>
          <w:rFonts w:asciiTheme="majorHAnsi" w:hAnsiTheme="majorHAnsi" w:cstheme="majorHAnsi"/>
          <w:iCs/>
          <w:sz w:val="24"/>
        </w:rPr>
        <w:t xml:space="preserve">requirements for </w:t>
      </w:r>
      <w:r w:rsidR="00D76324">
        <w:rPr>
          <w:rFonts w:asciiTheme="majorHAnsi" w:hAnsiTheme="majorHAnsi" w:cstheme="majorHAnsi"/>
          <w:iCs/>
          <w:sz w:val="24"/>
        </w:rPr>
        <w:t>individual organisations</w:t>
      </w:r>
      <w:r w:rsidR="00CF71A5">
        <w:rPr>
          <w:rFonts w:asciiTheme="majorHAnsi" w:hAnsiTheme="majorHAnsi" w:cstheme="majorHAnsi"/>
          <w:iCs/>
          <w:sz w:val="24"/>
        </w:rPr>
        <w:t>. A</w:t>
      </w:r>
      <w:r w:rsidRPr="00004D8A">
        <w:rPr>
          <w:rFonts w:asciiTheme="majorHAnsi" w:hAnsiTheme="majorHAnsi" w:cstheme="majorHAnsi"/>
          <w:iCs/>
          <w:sz w:val="24"/>
        </w:rPr>
        <w:t xml:space="preserve">ffected organisations will be notified of any changes. </w:t>
      </w:r>
    </w:p>
    <w:p w:rsidR="001B6C36" w:rsidRPr="006D0A14" w:rsidRDefault="001B6C36" w:rsidP="00C8776A">
      <w:pPr>
        <w:pStyle w:val="Heading3"/>
        <w:rPr>
          <w:sz w:val="24"/>
        </w:rPr>
      </w:pPr>
      <w:r w:rsidRPr="006D0A14">
        <w:rPr>
          <w:sz w:val="24"/>
        </w:rPr>
        <w:t>How does this benefit organisations?</w:t>
      </w:r>
    </w:p>
    <w:p w:rsidR="00AA1B0E" w:rsidRDefault="00AA1B0E" w:rsidP="00500544">
      <w:pPr>
        <w:spacing w:line="240" w:lineRule="auto"/>
        <w:rPr>
          <w:rFonts w:asciiTheme="majorHAnsi" w:hAnsiTheme="majorHAnsi" w:cstheme="majorHAnsi"/>
          <w:iCs/>
          <w:sz w:val="24"/>
        </w:rPr>
      </w:pPr>
      <w:r w:rsidRPr="003D6045">
        <w:rPr>
          <w:rFonts w:asciiTheme="majorHAnsi" w:hAnsiTheme="majorHAnsi" w:cstheme="majorHAnsi"/>
          <w:iCs/>
          <w:sz w:val="24"/>
        </w:rPr>
        <w:t xml:space="preserve">The advantages of incorporation under the </w:t>
      </w:r>
      <w:r w:rsidRPr="003D6045">
        <w:rPr>
          <w:rFonts w:asciiTheme="majorHAnsi" w:hAnsiTheme="majorHAnsi" w:cstheme="majorHAnsi"/>
          <w:i/>
          <w:iCs/>
          <w:sz w:val="24"/>
        </w:rPr>
        <w:t>Corporations Act 2001</w:t>
      </w:r>
      <w:r w:rsidRPr="003D6045">
        <w:rPr>
          <w:rFonts w:asciiTheme="majorHAnsi" w:hAnsiTheme="majorHAnsi" w:cstheme="majorHAnsi"/>
          <w:iCs/>
          <w:sz w:val="24"/>
        </w:rPr>
        <w:t xml:space="preserve"> or the</w:t>
      </w:r>
      <w:r w:rsidRPr="003D6045">
        <w:rPr>
          <w:rFonts w:asciiTheme="majorHAnsi" w:hAnsiTheme="majorHAnsi" w:cstheme="majorHAnsi"/>
          <w:i/>
          <w:iCs/>
          <w:sz w:val="24"/>
        </w:rPr>
        <w:t xml:space="preserve"> Corporations (Aboriginal and Torres Strait Islander) Act 2006 </w:t>
      </w:r>
      <w:r w:rsidRPr="003D6045">
        <w:rPr>
          <w:rFonts w:asciiTheme="majorHAnsi" w:hAnsiTheme="majorHAnsi" w:cstheme="majorHAnsi"/>
          <w:iCs/>
          <w:sz w:val="24"/>
        </w:rPr>
        <w:t>include:</w:t>
      </w:r>
    </w:p>
    <w:p w:rsidR="00AA1B0E" w:rsidRPr="003D6045" w:rsidRDefault="00AA1B0E" w:rsidP="00500544">
      <w:pPr>
        <w:numPr>
          <w:ilvl w:val="0"/>
          <w:numId w:val="33"/>
        </w:numPr>
        <w:spacing w:after="0" w:line="240" w:lineRule="auto"/>
        <w:rPr>
          <w:rFonts w:asciiTheme="majorHAnsi" w:hAnsiTheme="majorHAnsi" w:cstheme="majorHAnsi"/>
          <w:iCs/>
          <w:sz w:val="24"/>
        </w:rPr>
      </w:pPr>
      <w:r w:rsidRPr="003D6045">
        <w:rPr>
          <w:rFonts w:asciiTheme="majorHAnsi" w:hAnsiTheme="majorHAnsi" w:cstheme="majorHAnsi"/>
          <w:iCs/>
          <w:sz w:val="24"/>
        </w:rPr>
        <w:t>the members can choose not to be liable for the debts of the organisation</w:t>
      </w:r>
      <w:r w:rsidR="00C518CC">
        <w:rPr>
          <w:rFonts w:asciiTheme="majorHAnsi" w:hAnsiTheme="majorHAnsi" w:cstheme="majorHAnsi"/>
          <w:iCs/>
          <w:sz w:val="24"/>
        </w:rPr>
        <w:t>;</w:t>
      </w:r>
    </w:p>
    <w:p w:rsidR="00AA1B0E" w:rsidRPr="003D6045" w:rsidRDefault="00AA1B0E" w:rsidP="00500544">
      <w:pPr>
        <w:numPr>
          <w:ilvl w:val="0"/>
          <w:numId w:val="33"/>
        </w:numPr>
        <w:spacing w:after="0" w:line="240" w:lineRule="auto"/>
        <w:rPr>
          <w:rFonts w:asciiTheme="majorHAnsi" w:hAnsiTheme="majorHAnsi" w:cstheme="majorHAnsi"/>
          <w:iCs/>
          <w:sz w:val="24"/>
        </w:rPr>
      </w:pPr>
      <w:r w:rsidRPr="003D6045">
        <w:rPr>
          <w:rFonts w:asciiTheme="majorHAnsi" w:hAnsiTheme="majorHAnsi" w:cstheme="majorHAnsi"/>
          <w:iCs/>
          <w:sz w:val="24"/>
        </w:rPr>
        <w:t>companies and corporations can operate nationally without further registration - they are not limited to the state or territory in which they are registered</w:t>
      </w:r>
      <w:r w:rsidR="00C518CC">
        <w:rPr>
          <w:rFonts w:asciiTheme="majorHAnsi" w:hAnsiTheme="majorHAnsi" w:cstheme="majorHAnsi"/>
          <w:iCs/>
          <w:sz w:val="24"/>
        </w:rPr>
        <w:t>;</w:t>
      </w:r>
    </w:p>
    <w:p w:rsidR="00AA1B0E" w:rsidRPr="003D6045" w:rsidRDefault="00AA1B0E" w:rsidP="00500544">
      <w:pPr>
        <w:numPr>
          <w:ilvl w:val="0"/>
          <w:numId w:val="33"/>
        </w:numPr>
        <w:spacing w:after="0" w:line="240" w:lineRule="auto"/>
        <w:rPr>
          <w:rFonts w:asciiTheme="majorHAnsi" w:hAnsiTheme="majorHAnsi" w:cstheme="majorHAnsi"/>
          <w:iCs/>
          <w:sz w:val="24"/>
        </w:rPr>
      </w:pPr>
      <w:r w:rsidRPr="003D6045">
        <w:rPr>
          <w:rFonts w:asciiTheme="majorHAnsi" w:hAnsiTheme="majorHAnsi" w:cstheme="majorHAnsi"/>
          <w:iCs/>
          <w:sz w:val="24"/>
        </w:rPr>
        <w:t>modern legislation incorporating world best practice in terms of corporate governance and corporate regulation</w:t>
      </w:r>
      <w:r w:rsidR="00C518CC">
        <w:rPr>
          <w:rFonts w:asciiTheme="majorHAnsi" w:hAnsiTheme="majorHAnsi" w:cstheme="majorHAnsi"/>
          <w:iCs/>
          <w:sz w:val="24"/>
        </w:rPr>
        <w:t>; and</w:t>
      </w:r>
    </w:p>
    <w:p w:rsidR="00AA1B0E" w:rsidRDefault="00AA1B0E" w:rsidP="00500544">
      <w:pPr>
        <w:numPr>
          <w:ilvl w:val="0"/>
          <w:numId w:val="33"/>
        </w:numPr>
        <w:spacing w:line="240" w:lineRule="auto"/>
        <w:rPr>
          <w:rFonts w:asciiTheme="majorHAnsi" w:hAnsiTheme="majorHAnsi" w:cstheme="majorHAnsi"/>
          <w:iCs/>
          <w:sz w:val="24"/>
        </w:rPr>
      </w:pPr>
      <w:proofErr w:type="gramStart"/>
      <w:r w:rsidRPr="003D6045">
        <w:rPr>
          <w:rFonts w:asciiTheme="majorHAnsi" w:hAnsiTheme="majorHAnsi" w:cstheme="majorHAnsi"/>
          <w:iCs/>
          <w:sz w:val="24"/>
        </w:rPr>
        <w:t>greater</w:t>
      </w:r>
      <w:proofErr w:type="gramEnd"/>
      <w:r w:rsidRPr="003D6045">
        <w:rPr>
          <w:rFonts w:asciiTheme="majorHAnsi" w:hAnsiTheme="majorHAnsi" w:cstheme="majorHAnsi"/>
          <w:iCs/>
          <w:sz w:val="24"/>
        </w:rPr>
        <w:t xml:space="preserve"> protections and rights for members and creditors.</w:t>
      </w:r>
    </w:p>
    <w:p w:rsidR="00AA1B0E" w:rsidRDefault="00AA1B0E" w:rsidP="00500544">
      <w:pPr>
        <w:spacing w:line="240" w:lineRule="auto"/>
        <w:rPr>
          <w:rFonts w:asciiTheme="majorHAnsi" w:hAnsiTheme="majorHAnsi" w:cstheme="majorHAnsi"/>
          <w:iCs/>
          <w:sz w:val="24"/>
        </w:rPr>
      </w:pPr>
      <w:r w:rsidRPr="003D6045">
        <w:rPr>
          <w:rFonts w:asciiTheme="majorHAnsi" w:hAnsiTheme="majorHAnsi" w:cstheme="majorHAnsi"/>
          <w:bCs/>
          <w:iCs/>
          <w:sz w:val="24"/>
        </w:rPr>
        <w:t xml:space="preserve">In addition to these, in administering the </w:t>
      </w:r>
      <w:r w:rsidRPr="003D6045">
        <w:rPr>
          <w:rFonts w:asciiTheme="majorHAnsi" w:hAnsiTheme="majorHAnsi" w:cstheme="majorHAnsi"/>
          <w:i/>
          <w:iCs/>
          <w:sz w:val="24"/>
        </w:rPr>
        <w:t>Corporations (Aboriginal and Torres Strait Islander) Act 2006</w:t>
      </w:r>
      <w:r w:rsidRPr="003D6045">
        <w:rPr>
          <w:rFonts w:asciiTheme="majorHAnsi" w:hAnsiTheme="majorHAnsi" w:cstheme="majorHAnsi"/>
          <w:iCs/>
          <w:sz w:val="24"/>
        </w:rPr>
        <w:t xml:space="preserve">, the </w:t>
      </w:r>
      <w:r w:rsidR="00C41F4B" w:rsidRPr="003D6045">
        <w:rPr>
          <w:rFonts w:asciiTheme="majorHAnsi" w:hAnsiTheme="majorHAnsi" w:cstheme="majorHAnsi"/>
          <w:iCs/>
          <w:sz w:val="24"/>
        </w:rPr>
        <w:t xml:space="preserve">Office of the </w:t>
      </w:r>
      <w:r w:rsidRPr="003D6045">
        <w:rPr>
          <w:rFonts w:asciiTheme="majorHAnsi" w:hAnsiTheme="majorHAnsi" w:cstheme="majorHAnsi"/>
          <w:iCs/>
          <w:sz w:val="24"/>
        </w:rPr>
        <w:t>Registrar of Indigenous Corporations provides:</w:t>
      </w:r>
    </w:p>
    <w:p w:rsidR="00AA1B0E" w:rsidRPr="003D6045" w:rsidRDefault="00AA1B0E" w:rsidP="00500544">
      <w:pPr>
        <w:numPr>
          <w:ilvl w:val="0"/>
          <w:numId w:val="34"/>
        </w:numPr>
        <w:spacing w:after="0" w:line="240" w:lineRule="auto"/>
        <w:rPr>
          <w:rFonts w:asciiTheme="majorHAnsi" w:hAnsiTheme="majorHAnsi" w:cstheme="majorHAnsi"/>
          <w:iCs/>
          <w:sz w:val="24"/>
        </w:rPr>
      </w:pPr>
      <w:r w:rsidRPr="003D6045">
        <w:rPr>
          <w:rFonts w:asciiTheme="majorHAnsi" w:hAnsiTheme="majorHAnsi" w:cstheme="majorHAnsi"/>
          <w:iCs/>
          <w:sz w:val="24"/>
        </w:rPr>
        <w:t>advice for Indigenous groups on how to become corporations</w:t>
      </w:r>
      <w:r w:rsidR="00C518CC">
        <w:rPr>
          <w:rFonts w:asciiTheme="majorHAnsi" w:hAnsiTheme="majorHAnsi" w:cstheme="majorHAnsi"/>
          <w:iCs/>
          <w:sz w:val="24"/>
        </w:rPr>
        <w:t>;</w:t>
      </w:r>
      <w:r w:rsidRPr="003D6045">
        <w:rPr>
          <w:rFonts w:asciiTheme="majorHAnsi" w:hAnsiTheme="majorHAnsi" w:cstheme="majorHAnsi"/>
          <w:iCs/>
          <w:sz w:val="24"/>
        </w:rPr>
        <w:t xml:space="preserve"> </w:t>
      </w:r>
    </w:p>
    <w:p w:rsidR="00AA1B0E" w:rsidRPr="003D6045" w:rsidRDefault="00AA1B0E" w:rsidP="00500544">
      <w:pPr>
        <w:numPr>
          <w:ilvl w:val="0"/>
          <w:numId w:val="34"/>
        </w:numPr>
        <w:spacing w:after="0" w:line="240" w:lineRule="auto"/>
        <w:rPr>
          <w:rFonts w:asciiTheme="majorHAnsi" w:hAnsiTheme="majorHAnsi" w:cstheme="majorHAnsi"/>
          <w:iCs/>
          <w:sz w:val="24"/>
        </w:rPr>
      </w:pPr>
      <w:r w:rsidRPr="003D6045">
        <w:rPr>
          <w:rFonts w:asciiTheme="majorHAnsi" w:hAnsiTheme="majorHAnsi" w:cstheme="majorHAnsi"/>
          <w:iCs/>
          <w:sz w:val="24"/>
        </w:rPr>
        <w:t>assistance so that Indigenous corporations can understand, create and adopt their own rule book according to their needs and values</w:t>
      </w:r>
      <w:r w:rsidR="00C518CC">
        <w:rPr>
          <w:rFonts w:asciiTheme="majorHAnsi" w:hAnsiTheme="majorHAnsi" w:cstheme="majorHAnsi"/>
          <w:iCs/>
          <w:sz w:val="24"/>
        </w:rPr>
        <w:t>;</w:t>
      </w:r>
    </w:p>
    <w:p w:rsidR="00AA1B0E" w:rsidRPr="003D6045" w:rsidRDefault="00AA1B0E" w:rsidP="00500544">
      <w:pPr>
        <w:numPr>
          <w:ilvl w:val="0"/>
          <w:numId w:val="34"/>
        </w:numPr>
        <w:spacing w:after="0" w:line="240" w:lineRule="auto"/>
        <w:rPr>
          <w:rFonts w:asciiTheme="majorHAnsi" w:hAnsiTheme="majorHAnsi" w:cstheme="majorHAnsi"/>
          <w:iCs/>
          <w:sz w:val="24"/>
        </w:rPr>
      </w:pPr>
      <w:r w:rsidRPr="003D6045">
        <w:rPr>
          <w:rFonts w:asciiTheme="majorHAnsi" w:hAnsiTheme="majorHAnsi" w:cstheme="majorHAnsi"/>
          <w:iCs/>
          <w:sz w:val="24"/>
        </w:rPr>
        <w:t>support services, advice and corporate governance training</w:t>
      </w:r>
      <w:r w:rsidR="00C518CC">
        <w:rPr>
          <w:rFonts w:asciiTheme="majorHAnsi" w:hAnsiTheme="majorHAnsi" w:cstheme="majorHAnsi"/>
          <w:iCs/>
          <w:sz w:val="24"/>
        </w:rPr>
        <w:t>;</w:t>
      </w:r>
    </w:p>
    <w:p w:rsidR="00AA1B0E" w:rsidRPr="003D6045" w:rsidRDefault="00AA1B0E" w:rsidP="00500544">
      <w:pPr>
        <w:numPr>
          <w:ilvl w:val="0"/>
          <w:numId w:val="34"/>
        </w:numPr>
        <w:spacing w:after="0" w:line="240" w:lineRule="auto"/>
        <w:rPr>
          <w:rFonts w:asciiTheme="majorHAnsi" w:hAnsiTheme="majorHAnsi" w:cstheme="majorHAnsi"/>
          <w:iCs/>
          <w:sz w:val="24"/>
        </w:rPr>
      </w:pPr>
      <w:r w:rsidRPr="003D6045">
        <w:rPr>
          <w:rFonts w:asciiTheme="majorHAnsi" w:hAnsiTheme="majorHAnsi" w:cstheme="majorHAnsi"/>
          <w:iCs/>
          <w:sz w:val="24"/>
        </w:rPr>
        <w:t>public information about corporations</w:t>
      </w:r>
      <w:r w:rsidR="00C518CC">
        <w:rPr>
          <w:rFonts w:asciiTheme="majorHAnsi" w:hAnsiTheme="majorHAnsi" w:cstheme="majorHAnsi"/>
          <w:iCs/>
          <w:sz w:val="24"/>
        </w:rPr>
        <w:t>;</w:t>
      </w:r>
      <w:r w:rsidRPr="003D6045">
        <w:rPr>
          <w:rFonts w:asciiTheme="majorHAnsi" w:hAnsiTheme="majorHAnsi" w:cstheme="majorHAnsi"/>
          <w:iCs/>
          <w:sz w:val="24"/>
        </w:rPr>
        <w:t xml:space="preserve"> </w:t>
      </w:r>
    </w:p>
    <w:p w:rsidR="00AA1B0E" w:rsidRPr="003D6045" w:rsidRDefault="00AA1B0E" w:rsidP="00500544">
      <w:pPr>
        <w:numPr>
          <w:ilvl w:val="0"/>
          <w:numId w:val="34"/>
        </w:numPr>
        <w:spacing w:after="0" w:line="240" w:lineRule="auto"/>
        <w:rPr>
          <w:rFonts w:asciiTheme="majorHAnsi" w:hAnsiTheme="majorHAnsi" w:cstheme="majorHAnsi"/>
          <w:iCs/>
          <w:sz w:val="24"/>
        </w:rPr>
      </w:pPr>
      <w:r w:rsidRPr="003D6045">
        <w:rPr>
          <w:rFonts w:asciiTheme="majorHAnsi" w:hAnsiTheme="majorHAnsi" w:cstheme="majorHAnsi"/>
          <w:iCs/>
          <w:sz w:val="24"/>
        </w:rPr>
        <w:t>assistance to corporations with complaints</w:t>
      </w:r>
      <w:r w:rsidR="00C518CC">
        <w:rPr>
          <w:rFonts w:asciiTheme="majorHAnsi" w:hAnsiTheme="majorHAnsi" w:cstheme="majorHAnsi"/>
          <w:iCs/>
          <w:sz w:val="24"/>
        </w:rPr>
        <w:t>; and</w:t>
      </w:r>
    </w:p>
    <w:p w:rsidR="00AA1B0E" w:rsidRDefault="00AA1B0E" w:rsidP="00500544">
      <w:pPr>
        <w:numPr>
          <w:ilvl w:val="0"/>
          <w:numId w:val="34"/>
        </w:numPr>
        <w:spacing w:line="240" w:lineRule="auto"/>
        <w:rPr>
          <w:rFonts w:asciiTheme="majorHAnsi" w:hAnsiTheme="majorHAnsi" w:cstheme="majorHAnsi"/>
          <w:iCs/>
          <w:sz w:val="24"/>
        </w:rPr>
      </w:pPr>
      <w:r w:rsidRPr="003D6045">
        <w:rPr>
          <w:rFonts w:asciiTheme="majorHAnsi" w:hAnsiTheme="majorHAnsi" w:cstheme="majorHAnsi"/>
          <w:iCs/>
          <w:sz w:val="24"/>
        </w:rPr>
        <w:t>mediation and dispute resolution services.</w:t>
      </w:r>
    </w:p>
    <w:p w:rsidR="00F755EA" w:rsidRDefault="00F755EA" w:rsidP="007D3673">
      <w:pPr>
        <w:spacing w:line="240" w:lineRule="auto"/>
        <w:rPr>
          <w:rFonts w:asciiTheme="majorHAnsi" w:hAnsiTheme="majorHAnsi" w:cstheme="majorHAnsi"/>
          <w:iCs/>
          <w:sz w:val="24"/>
        </w:rPr>
      </w:pPr>
      <w:r>
        <w:rPr>
          <w:rFonts w:asciiTheme="majorHAnsi" w:hAnsiTheme="majorHAnsi" w:cstheme="majorHAnsi"/>
          <w:iCs/>
          <w:sz w:val="24"/>
        </w:rPr>
        <w:t xml:space="preserve">These additional supports are provided exclusively under the </w:t>
      </w:r>
      <w:r w:rsidRPr="003D6045">
        <w:rPr>
          <w:rFonts w:asciiTheme="majorHAnsi" w:hAnsiTheme="majorHAnsi" w:cstheme="majorHAnsi"/>
          <w:i/>
          <w:iCs/>
          <w:sz w:val="24"/>
        </w:rPr>
        <w:t>Corporations (Aboriginal and Torres Strait Islander) Act 2006</w:t>
      </w:r>
      <w:r>
        <w:rPr>
          <w:rFonts w:asciiTheme="majorHAnsi" w:hAnsiTheme="majorHAnsi" w:cstheme="majorHAnsi"/>
          <w:iCs/>
          <w:sz w:val="24"/>
        </w:rPr>
        <w:t xml:space="preserve"> meet the specific needs of Indigenous people. </w:t>
      </w:r>
    </w:p>
    <w:p w:rsidR="001B6C36" w:rsidRPr="003D6045" w:rsidRDefault="001B6C36" w:rsidP="007D3673">
      <w:pPr>
        <w:spacing w:line="240" w:lineRule="auto"/>
        <w:rPr>
          <w:rFonts w:asciiTheme="majorHAnsi" w:hAnsiTheme="majorHAnsi" w:cstheme="majorHAnsi"/>
          <w:iCs/>
          <w:sz w:val="24"/>
        </w:rPr>
      </w:pPr>
      <w:r w:rsidRPr="003D6045">
        <w:rPr>
          <w:rFonts w:asciiTheme="majorHAnsi" w:hAnsiTheme="majorHAnsi" w:cstheme="majorHAnsi"/>
          <w:iCs/>
          <w:sz w:val="24"/>
        </w:rPr>
        <w:t xml:space="preserve">The Australian Government encourages all organisations providing services for </w:t>
      </w:r>
      <w:r w:rsidR="00AA1B0E" w:rsidRPr="003D6045">
        <w:rPr>
          <w:rFonts w:asciiTheme="majorHAnsi" w:hAnsiTheme="majorHAnsi" w:cstheme="majorHAnsi"/>
          <w:iCs/>
          <w:sz w:val="24"/>
        </w:rPr>
        <w:t>Indigenous</w:t>
      </w:r>
      <w:r w:rsidRPr="003D6045">
        <w:rPr>
          <w:rFonts w:asciiTheme="majorHAnsi" w:hAnsiTheme="majorHAnsi" w:cstheme="majorHAnsi"/>
          <w:iCs/>
          <w:sz w:val="24"/>
        </w:rPr>
        <w:t xml:space="preserve"> Australians, irrespective of their level of fu</w:t>
      </w:r>
      <w:r w:rsidR="00F755EA">
        <w:rPr>
          <w:rFonts w:asciiTheme="majorHAnsi" w:hAnsiTheme="majorHAnsi" w:cstheme="majorHAnsi"/>
          <w:iCs/>
          <w:sz w:val="24"/>
        </w:rPr>
        <w:t xml:space="preserve">nding, to incorporate under appropriate </w:t>
      </w:r>
      <w:r w:rsidRPr="003D6045">
        <w:rPr>
          <w:rFonts w:asciiTheme="majorHAnsi" w:hAnsiTheme="majorHAnsi" w:cstheme="majorHAnsi"/>
          <w:iCs/>
          <w:sz w:val="24"/>
        </w:rPr>
        <w:t xml:space="preserve">Commonwealth </w:t>
      </w:r>
      <w:r w:rsidR="00F755EA">
        <w:rPr>
          <w:rFonts w:asciiTheme="majorHAnsi" w:hAnsiTheme="majorHAnsi" w:cstheme="majorHAnsi"/>
          <w:iCs/>
          <w:sz w:val="24"/>
        </w:rPr>
        <w:t>legislation</w:t>
      </w:r>
      <w:r w:rsidRPr="003D6045">
        <w:rPr>
          <w:rFonts w:asciiTheme="majorHAnsi" w:hAnsiTheme="majorHAnsi" w:cstheme="majorHAnsi"/>
          <w:iCs/>
          <w:sz w:val="24"/>
        </w:rPr>
        <w:t xml:space="preserve">. </w:t>
      </w:r>
    </w:p>
    <w:p w:rsidR="00C76297" w:rsidRPr="006D0A14" w:rsidRDefault="00C76297" w:rsidP="00C8776A">
      <w:pPr>
        <w:pStyle w:val="Heading3"/>
        <w:rPr>
          <w:sz w:val="24"/>
        </w:rPr>
      </w:pPr>
      <w:r w:rsidRPr="006D0A14">
        <w:rPr>
          <w:sz w:val="24"/>
        </w:rPr>
        <w:t xml:space="preserve">How do organisations comply? </w:t>
      </w:r>
    </w:p>
    <w:p w:rsidR="00C37D85" w:rsidRDefault="00C37D85" w:rsidP="00500544">
      <w:pPr>
        <w:spacing w:line="240" w:lineRule="auto"/>
        <w:rPr>
          <w:rFonts w:asciiTheme="majorHAnsi" w:hAnsiTheme="majorHAnsi" w:cstheme="majorHAnsi"/>
          <w:color w:val="000000" w:themeColor="text1"/>
          <w:sz w:val="24"/>
        </w:rPr>
      </w:pPr>
      <w:r w:rsidRPr="003D6045">
        <w:rPr>
          <w:rFonts w:asciiTheme="majorHAnsi" w:hAnsiTheme="majorHAnsi" w:cstheme="majorHAnsi"/>
          <w:sz w:val="24"/>
        </w:rPr>
        <w:t xml:space="preserve">Organisations </w:t>
      </w:r>
      <w:r w:rsidR="006A0714">
        <w:rPr>
          <w:rFonts w:asciiTheme="majorHAnsi" w:hAnsiTheme="majorHAnsi" w:cstheme="majorHAnsi"/>
          <w:sz w:val="24"/>
        </w:rPr>
        <w:t xml:space="preserve">receiving grant funding above the threshold </w:t>
      </w:r>
      <w:r w:rsidRPr="003D6045">
        <w:rPr>
          <w:rFonts w:asciiTheme="majorHAnsi" w:hAnsiTheme="majorHAnsi" w:cstheme="majorHAnsi"/>
          <w:sz w:val="24"/>
        </w:rPr>
        <w:t>will need to incorporate</w:t>
      </w:r>
      <w:r w:rsidR="00EC307C">
        <w:rPr>
          <w:rFonts w:asciiTheme="majorHAnsi" w:hAnsiTheme="majorHAnsi" w:cstheme="majorHAnsi"/>
          <w:sz w:val="24"/>
        </w:rPr>
        <w:t xml:space="preserve">, or remain incorporated, </w:t>
      </w:r>
      <w:r w:rsidR="001B6C36" w:rsidRPr="003D6045">
        <w:rPr>
          <w:rFonts w:asciiTheme="majorHAnsi" w:hAnsiTheme="majorHAnsi" w:cstheme="majorHAnsi"/>
          <w:sz w:val="24"/>
        </w:rPr>
        <w:t>under Commonwealth</w:t>
      </w:r>
      <w:r w:rsidRPr="003D6045">
        <w:rPr>
          <w:rFonts w:asciiTheme="majorHAnsi" w:hAnsiTheme="majorHAnsi" w:cstheme="majorHAnsi"/>
          <w:sz w:val="24"/>
        </w:rPr>
        <w:t xml:space="preserve"> legislation. </w:t>
      </w:r>
      <w:r w:rsidRPr="001E10A2">
        <w:rPr>
          <w:rFonts w:asciiTheme="majorHAnsi" w:hAnsiTheme="majorHAnsi" w:cstheme="majorHAnsi"/>
          <w:color w:val="000000" w:themeColor="text1"/>
          <w:sz w:val="24"/>
        </w:rPr>
        <w:t xml:space="preserve">Indigenous organisations must be incorporated under the </w:t>
      </w:r>
      <w:r w:rsidRPr="001E10A2">
        <w:rPr>
          <w:rFonts w:asciiTheme="majorHAnsi" w:hAnsiTheme="majorHAnsi" w:cstheme="majorHAnsi"/>
          <w:i/>
          <w:color w:val="000000" w:themeColor="text1"/>
          <w:sz w:val="24"/>
        </w:rPr>
        <w:t xml:space="preserve">Corporations (Aboriginal and Torres Strait Islander) Act </w:t>
      </w:r>
      <w:r w:rsidR="001B6C36" w:rsidRPr="001E10A2">
        <w:rPr>
          <w:rFonts w:asciiTheme="majorHAnsi" w:hAnsiTheme="majorHAnsi" w:cstheme="majorHAnsi"/>
          <w:i/>
          <w:color w:val="000000" w:themeColor="text1"/>
          <w:sz w:val="24"/>
        </w:rPr>
        <w:t>2006</w:t>
      </w:r>
      <w:r w:rsidR="009B5C40" w:rsidRPr="001E10A2">
        <w:rPr>
          <w:rFonts w:asciiTheme="majorHAnsi" w:hAnsiTheme="majorHAnsi" w:cstheme="majorHAnsi"/>
          <w:i/>
          <w:color w:val="000000" w:themeColor="text1"/>
          <w:sz w:val="24"/>
        </w:rPr>
        <w:t xml:space="preserve">, </w:t>
      </w:r>
      <w:r w:rsidR="009B5C40" w:rsidRPr="001E10A2">
        <w:rPr>
          <w:rFonts w:asciiTheme="majorHAnsi" w:hAnsiTheme="majorHAnsi" w:cstheme="majorHAnsi"/>
          <w:color w:val="000000" w:themeColor="text1"/>
          <w:sz w:val="24"/>
        </w:rPr>
        <w:t xml:space="preserve">unless they are </w:t>
      </w:r>
      <w:r w:rsidR="001E10A2" w:rsidRPr="001E10A2">
        <w:rPr>
          <w:rFonts w:asciiTheme="majorHAnsi" w:hAnsiTheme="majorHAnsi" w:cstheme="majorHAnsi"/>
          <w:color w:val="000000" w:themeColor="text1"/>
          <w:sz w:val="24"/>
        </w:rPr>
        <w:t xml:space="preserve">excluded from the requirements, </w:t>
      </w:r>
      <w:r w:rsidR="001B6C36" w:rsidRPr="001E10A2">
        <w:rPr>
          <w:rFonts w:asciiTheme="majorHAnsi" w:hAnsiTheme="majorHAnsi" w:cstheme="majorHAnsi"/>
          <w:color w:val="000000" w:themeColor="text1"/>
          <w:sz w:val="24"/>
        </w:rPr>
        <w:t>with</w:t>
      </w:r>
      <w:r w:rsidRPr="001E10A2">
        <w:rPr>
          <w:rFonts w:asciiTheme="majorHAnsi" w:hAnsiTheme="majorHAnsi" w:cstheme="majorHAnsi"/>
          <w:color w:val="000000" w:themeColor="text1"/>
          <w:sz w:val="24"/>
        </w:rPr>
        <w:t xml:space="preserve"> all other organisations incorporated under the </w:t>
      </w:r>
      <w:r w:rsidRPr="001E10A2">
        <w:rPr>
          <w:rFonts w:asciiTheme="majorHAnsi" w:hAnsiTheme="majorHAnsi" w:cstheme="majorHAnsi"/>
          <w:i/>
          <w:color w:val="000000" w:themeColor="text1"/>
          <w:sz w:val="24"/>
        </w:rPr>
        <w:t>Corporations Act 2001</w:t>
      </w:r>
      <w:r w:rsidRPr="001E10A2">
        <w:rPr>
          <w:rFonts w:asciiTheme="majorHAnsi" w:hAnsiTheme="majorHAnsi" w:cstheme="majorHAnsi"/>
          <w:color w:val="000000" w:themeColor="text1"/>
          <w:sz w:val="24"/>
        </w:rPr>
        <w:t xml:space="preserve">. </w:t>
      </w:r>
    </w:p>
    <w:p w:rsidR="00C76297"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Typically, organisations may have to change their constitution or rule book to incorporate under the Commonwealth legislation. This usually requires the organisation’s membership to approve the transfer</w:t>
      </w:r>
      <w:r w:rsidR="00184A6C" w:rsidRPr="003D6045">
        <w:rPr>
          <w:rFonts w:asciiTheme="majorHAnsi" w:hAnsiTheme="majorHAnsi" w:cstheme="majorHAnsi"/>
          <w:sz w:val="24"/>
        </w:rPr>
        <w:t xml:space="preserve"> of</w:t>
      </w:r>
      <w:r w:rsidRPr="003D6045">
        <w:rPr>
          <w:rFonts w:asciiTheme="majorHAnsi" w:hAnsiTheme="majorHAnsi" w:cstheme="majorHAnsi"/>
          <w:sz w:val="24"/>
        </w:rPr>
        <w:t xml:space="preserve"> incorporation at an Annual or Special General Meeting.</w:t>
      </w:r>
    </w:p>
    <w:p w:rsidR="00C76297" w:rsidRPr="006D0A14" w:rsidRDefault="00C76297" w:rsidP="00C8776A">
      <w:pPr>
        <w:pStyle w:val="Heading3"/>
        <w:rPr>
          <w:sz w:val="24"/>
        </w:rPr>
      </w:pPr>
      <w:r w:rsidRPr="006D0A14">
        <w:rPr>
          <w:sz w:val="24"/>
        </w:rPr>
        <w:t>How will these requirements be phased in?</w:t>
      </w:r>
    </w:p>
    <w:p w:rsidR="00D03D5B" w:rsidRDefault="00532F79" w:rsidP="00D03D5B">
      <w:pPr>
        <w:spacing w:line="240" w:lineRule="auto"/>
        <w:rPr>
          <w:rFonts w:asciiTheme="majorHAnsi" w:hAnsiTheme="majorHAnsi" w:cstheme="majorHAnsi"/>
          <w:sz w:val="24"/>
        </w:rPr>
      </w:pPr>
      <w:r w:rsidRPr="003D6045">
        <w:rPr>
          <w:rFonts w:asciiTheme="majorHAnsi" w:hAnsiTheme="majorHAnsi" w:cstheme="majorHAnsi"/>
          <w:sz w:val="24"/>
        </w:rPr>
        <w:t xml:space="preserve">The requirements will apply to organisations with new funding agreements with a start date of 1 July 2014 or later. Clauses covering the requirements will form part of the funding agreements and organisations </w:t>
      </w:r>
      <w:r w:rsidR="00D03D5B" w:rsidRPr="006F268C">
        <w:rPr>
          <w:rFonts w:asciiTheme="majorHAnsi" w:hAnsiTheme="majorHAnsi" w:cstheme="majorHAnsi"/>
          <w:sz w:val="24"/>
        </w:rPr>
        <w:t xml:space="preserve">will have six (6) months to comply with the requirements from the execution of the funding agreement. </w:t>
      </w:r>
    </w:p>
    <w:p w:rsidR="00355A29" w:rsidRPr="003D6045" w:rsidRDefault="00532F79" w:rsidP="00D03D5B">
      <w:pPr>
        <w:spacing w:line="240" w:lineRule="auto"/>
        <w:rPr>
          <w:rFonts w:asciiTheme="majorHAnsi" w:hAnsiTheme="majorHAnsi" w:cstheme="majorHAnsi"/>
          <w:sz w:val="24"/>
        </w:rPr>
      </w:pPr>
      <w:r>
        <w:rPr>
          <w:rFonts w:asciiTheme="majorHAnsi" w:hAnsiTheme="majorHAnsi" w:cstheme="majorHAnsi"/>
          <w:sz w:val="24"/>
        </w:rPr>
        <w:lastRenderedPageBreak/>
        <w:t xml:space="preserve">No organisation </w:t>
      </w:r>
      <w:r w:rsidR="00C76297" w:rsidRPr="003D6045">
        <w:rPr>
          <w:rFonts w:asciiTheme="majorHAnsi" w:hAnsiTheme="majorHAnsi" w:cstheme="majorHAnsi"/>
          <w:sz w:val="24"/>
        </w:rPr>
        <w:t xml:space="preserve">receiving funding </w:t>
      </w:r>
      <w:r>
        <w:rPr>
          <w:rFonts w:asciiTheme="majorHAnsi" w:hAnsiTheme="majorHAnsi" w:cstheme="majorHAnsi"/>
          <w:sz w:val="24"/>
        </w:rPr>
        <w:t xml:space="preserve">granted prior to 1 July 2014 </w:t>
      </w:r>
      <w:r w:rsidR="00C76297" w:rsidRPr="003D6045">
        <w:rPr>
          <w:rFonts w:asciiTheme="majorHAnsi" w:hAnsiTheme="majorHAnsi" w:cstheme="majorHAnsi"/>
          <w:sz w:val="24"/>
        </w:rPr>
        <w:t>will be affected until</w:t>
      </w:r>
      <w:r w:rsidR="0010015D">
        <w:rPr>
          <w:rFonts w:asciiTheme="majorHAnsi" w:hAnsiTheme="majorHAnsi" w:cstheme="majorHAnsi"/>
          <w:sz w:val="24"/>
        </w:rPr>
        <w:t xml:space="preserve"> any</w:t>
      </w:r>
      <w:r w:rsidR="00C76297" w:rsidRPr="003D6045">
        <w:rPr>
          <w:rFonts w:asciiTheme="majorHAnsi" w:hAnsiTheme="majorHAnsi" w:cstheme="majorHAnsi"/>
          <w:sz w:val="24"/>
        </w:rPr>
        <w:t xml:space="preserve">  funding agreement</w:t>
      </w:r>
      <w:r w:rsidR="0010015D">
        <w:rPr>
          <w:rFonts w:asciiTheme="majorHAnsi" w:hAnsiTheme="majorHAnsi" w:cstheme="majorHAnsi"/>
          <w:sz w:val="24"/>
        </w:rPr>
        <w:t>s established before that date</w:t>
      </w:r>
      <w:r w:rsidR="00C76297" w:rsidRPr="003D6045">
        <w:rPr>
          <w:rFonts w:asciiTheme="majorHAnsi" w:hAnsiTheme="majorHAnsi" w:cstheme="majorHAnsi"/>
          <w:sz w:val="24"/>
        </w:rPr>
        <w:t xml:space="preserve"> expire</w:t>
      </w:r>
      <w:r w:rsidR="00355A29">
        <w:rPr>
          <w:rFonts w:asciiTheme="majorHAnsi" w:hAnsiTheme="majorHAnsi" w:cstheme="majorHAnsi"/>
          <w:sz w:val="24"/>
        </w:rPr>
        <w:t xml:space="preserve"> </w:t>
      </w:r>
      <w:r w:rsidR="00355A29" w:rsidRPr="003D6045">
        <w:rPr>
          <w:rFonts w:asciiTheme="majorHAnsi" w:hAnsiTheme="majorHAnsi" w:cstheme="majorHAnsi"/>
          <w:sz w:val="24"/>
        </w:rPr>
        <w:t xml:space="preserve">or </w:t>
      </w:r>
      <w:r w:rsidR="0010015D">
        <w:rPr>
          <w:rFonts w:asciiTheme="majorHAnsi" w:hAnsiTheme="majorHAnsi" w:cstheme="majorHAnsi"/>
          <w:sz w:val="24"/>
        </w:rPr>
        <w:t>are</w:t>
      </w:r>
      <w:r w:rsidR="00355A29" w:rsidRPr="003D6045">
        <w:rPr>
          <w:rFonts w:asciiTheme="majorHAnsi" w:hAnsiTheme="majorHAnsi" w:cstheme="majorHAnsi"/>
          <w:sz w:val="24"/>
        </w:rPr>
        <w:t xml:space="preserve"> renegotiate</w:t>
      </w:r>
      <w:r w:rsidR="0010015D">
        <w:rPr>
          <w:rFonts w:asciiTheme="majorHAnsi" w:hAnsiTheme="majorHAnsi" w:cstheme="majorHAnsi"/>
          <w:sz w:val="24"/>
        </w:rPr>
        <w:t>d</w:t>
      </w:r>
      <w:r w:rsidR="00B67D14">
        <w:rPr>
          <w:rFonts w:asciiTheme="majorHAnsi" w:hAnsiTheme="majorHAnsi" w:cstheme="majorHAnsi"/>
          <w:sz w:val="24"/>
        </w:rPr>
        <w:t xml:space="preserve"> (</w:t>
      </w:r>
      <w:r w:rsidR="0010015D">
        <w:rPr>
          <w:rFonts w:asciiTheme="majorHAnsi" w:hAnsiTheme="majorHAnsi" w:cstheme="majorHAnsi"/>
          <w:sz w:val="24"/>
        </w:rPr>
        <w:t xml:space="preserve">and </w:t>
      </w:r>
      <w:r w:rsidR="00355A29" w:rsidRPr="003D6045">
        <w:rPr>
          <w:rFonts w:asciiTheme="majorHAnsi" w:hAnsiTheme="majorHAnsi" w:cstheme="majorHAnsi"/>
          <w:sz w:val="24"/>
        </w:rPr>
        <w:t>obtain new funding above the threshold</w:t>
      </w:r>
      <w:r w:rsidR="00355A29">
        <w:rPr>
          <w:rFonts w:asciiTheme="majorHAnsi" w:hAnsiTheme="majorHAnsi" w:cstheme="majorHAnsi"/>
          <w:sz w:val="24"/>
        </w:rPr>
        <w:t xml:space="preserve"> in a</w:t>
      </w:r>
      <w:r w:rsidR="000836D1">
        <w:rPr>
          <w:rFonts w:asciiTheme="majorHAnsi" w:hAnsiTheme="majorHAnsi" w:cstheme="majorHAnsi"/>
          <w:sz w:val="24"/>
        </w:rPr>
        <w:t>ny</w:t>
      </w:r>
      <w:r w:rsidR="00355A29">
        <w:rPr>
          <w:rFonts w:asciiTheme="majorHAnsi" w:hAnsiTheme="majorHAnsi" w:cstheme="majorHAnsi"/>
          <w:sz w:val="24"/>
        </w:rPr>
        <w:t xml:space="preserve"> single financial year</w:t>
      </w:r>
      <w:r w:rsidR="00B67D14">
        <w:rPr>
          <w:rFonts w:asciiTheme="majorHAnsi" w:hAnsiTheme="majorHAnsi" w:cstheme="majorHAnsi"/>
          <w:sz w:val="24"/>
        </w:rPr>
        <w:t>)</w:t>
      </w:r>
      <w:r w:rsidR="00355A29">
        <w:rPr>
          <w:rFonts w:asciiTheme="majorHAnsi" w:hAnsiTheme="majorHAnsi" w:cstheme="majorHAnsi"/>
          <w:sz w:val="24"/>
        </w:rPr>
        <w:t>.</w:t>
      </w:r>
      <w:r w:rsidR="00355A29" w:rsidRPr="003D6045">
        <w:rPr>
          <w:rFonts w:asciiTheme="majorHAnsi" w:hAnsiTheme="majorHAnsi" w:cstheme="majorHAnsi"/>
          <w:sz w:val="24"/>
        </w:rPr>
        <w:t xml:space="preserve"> The requirements would then be in their new funding agreement.</w:t>
      </w:r>
    </w:p>
    <w:p w:rsidR="00C76297" w:rsidRPr="006D0A14" w:rsidRDefault="00C76297" w:rsidP="00C8776A">
      <w:pPr>
        <w:pStyle w:val="Heading3"/>
        <w:rPr>
          <w:sz w:val="24"/>
        </w:rPr>
      </w:pPr>
      <w:r w:rsidRPr="006D0A14">
        <w:rPr>
          <w:sz w:val="24"/>
        </w:rPr>
        <w:t>What happens if an organisation doesn’t comply with these requirements?</w:t>
      </w:r>
    </w:p>
    <w:p w:rsidR="00C76297"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The Government will be encouraging all organisations providing services for Indigenous Australians, irrespective of their level of funding, to adopt these measures.</w:t>
      </w:r>
    </w:p>
    <w:p w:rsidR="00AE52BC" w:rsidRPr="00AE52BC" w:rsidRDefault="00C76297" w:rsidP="00AE52BC">
      <w:pPr>
        <w:spacing w:line="240" w:lineRule="auto"/>
        <w:rPr>
          <w:rFonts w:asciiTheme="majorHAnsi" w:hAnsiTheme="majorHAnsi" w:cstheme="majorHAnsi"/>
          <w:sz w:val="24"/>
        </w:rPr>
      </w:pPr>
      <w:r w:rsidRPr="003D6045">
        <w:rPr>
          <w:rFonts w:asciiTheme="majorHAnsi" w:hAnsiTheme="majorHAnsi" w:cstheme="majorHAnsi"/>
          <w:sz w:val="24"/>
        </w:rPr>
        <w:t xml:space="preserve">For organisations receiving </w:t>
      </w:r>
      <w:r w:rsidR="0049556A" w:rsidRPr="003D6045">
        <w:rPr>
          <w:rFonts w:asciiTheme="majorHAnsi" w:hAnsiTheme="majorHAnsi" w:cstheme="majorHAnsi"/>
          <w:sz w:val="24"/>
        </w:rPr>
        <w:t>grant</w:t>
      </w:r>
      <w:r w:rsidR="00FD5E3C">
        <w:rPr>
          <w:rFonts w:asciiTheme="majorHAnsi" w:hAnsiTheme="majorHAnsi" w:cstheme="majorHAnsi"/>
          <w:sz w:val="24"/>
        </w:rPr>
        <w:t xml:space="preserve">s </w:t>
      </w:r>
      <w:r w:rsidR="0049556A" w:rsidRPr="003D6045">
        <w:rPr>
          <w:rFonts w:asciiTheme="majorHAnsi" w:hAnsiTheme="majorHAnsi" w:cstheme="majorHAnsi"/>
          <w:sz w:val="24"/>
        </w:rPr>
        <w:t xml:space="preserve">of </w:t>
      </w:r>
      <w:r w:rsidRPr="003D6045">
        <w:rPr>
          <w:rFonts w:asciiTheme="majorHAnsi" w:hAnsiTheme="majorHAnsi" w:cstheme="majorHAnsi"/>
          <w:sz w:val="24"/>
        </w:rPr>
        <w:t>$500,000</w:t>
      </w:r>
      <w:r w:rsidR="000F173C" w:rsidRPr="003D6045">
        <w:rPr>
          <w:rFonts w:asciiTheme="majorHAnsi" w:hAnsiTheme="majorHAnsi" w:cstheme="majorHAnsi"/>
          <w:sz w:val="24"/>
        </w:rPr>
        <w:t xml:space="preserve"> (GST </w:t>
      </w:r>
      <w:r w:rsidR="00855072" w:rsidRPr="003D6045">
        <w:rPr>
          <w:rFonts w:asciiTheme="majorHAnsi" w:hAnsiTheme="majorHAnsi" w:cstheme="majorHAnsi"/>
          <w:sz w:val="24"/>
        </w:rPr>
        <w:t>exclusive</w:t>
      </w:r>
      <w:r w:rsidR="000F173C" w:rsidRPr="003D6045">
        <w:rPr>
          <w:rFonts w:asciiTheme="majorHAnsi" w:hAnsiTheme="majorHAnsi" w:cstheme="majorHAnsi"/>
          <w:sz w:val="24"/>
        </w:rPr>
        <w:t>)</w:t>
      </w:r>
      <w:r w:rsidRPr="003D6045">
        <w:rPr>
          <w:rFonts w:asciiTheme="majorHAnsi" w:hAnsiTheme="majorHAnsi" w:cstheme="majorHAnsi"/>
          <w:sz w:val="24"/>
        </w:rPr>
        <w:t xml:space="preserve"> or more in a</w:t>
      </w:r>
      <w:r w:rsidR="00FD5E3C">
        <w:rPr>
          <w:rFonts w:asciiTheme="majorHAnsi" w:hAnsiTheme="majorHAnsi" w:cstheme="majorHAnsi"/>
          <w:sz w:val="24"/>
        </w:rPr>
        <w:t>ny</w:t>
      </w:r>
      <w:r w:rsidRPr="003D6045">
        <w:rPr>
          <w:rFonts w:asciiTheme="majorHAnsi" w:hAnsiTheme="majorHAnsi" w:cstheme="majorHAnsi"/>
          <w:sz w:val="24"/>
        </w:rPr>
        <w:t xml:space="preserve"> single </w:t>
      </w:r>
      <w:r w:rsidR="00C37D85" w:rsidRPr="003D6045">
        <w:rPr>
          <w:rFonts w:asciiTheme="majorHAnsi" w:hAnsiTheme="majorHAnsi" w:cstheme="majorHAnsi"/>
          <w:sz w:val="24"/>
        </w:rPr>
        <w:t xml:space="preserve">financial </w:t>
      </w:r>
      <w:r w:rsidR="00C96C44" w:rsidRPr="003D6045">
        <w:rPr>
          <w:rFonts w:asciiTheme="majorHAnsi" w:hAnsiTheme="majorHAnsi" w:cstheme="majorHAnsi"/>
          <w:sz w:val="24"/>
        </w:rPr>
        <w:t xml:space="preserve">year </w:t>
      </w:r>
      <w:r w:rsidR="00FD5E3C">
        <w:rPr>
          <w:rFonts w:asciiTheme="majorHAnsi" w:hAnsiTheme="majorHAnsi" w:cstheme="majorHAnsi"/>
          <w:sz w:val="24"/>
        </w:rPr>
        <w:t xml:space="preserve">from funding </w:t>
      </w:r>
      <w:r w:rsidRPr="003D6045">
        <w:rPr>
          <w:rFonts w:asciiTheme="majorHAnsi" w:hAnsiTheme="majorHAnsi" w:cstheme="majorHAnsi"/>
          <w:sz w:val="24"/>
        </w:rPr>
        <w:t>administered by the</w:t>
      </w:r>
      <w:r w:rsidR="0049556A" w:rsidRPr="003D6045">
        <w:rPr>
          <w:rFonts w:asciiTheme="majorHAnsi" w:hAnsiTheme="majorHAnsi" w:cstheme="majorHAnsi"/>
          <w:sz w:val="24"/>
        </w:rPr>
        <w:t xml:space="preserve"> Indigenous Affairs </w:t>
      </w:r>
      <w:r w:rsidR="00721927">
        <w:rPr>
          <w:rFonts w:asciiTheme="majorHAnsi" w:hAnsiTheme="majorHAnsi" w:cstheme="majorHAnsi"/>
          <w:sz w:val="24"/>
        </w:rPr>
        <w:t>Group</w:t>
      </w:r>
      <w:r w:rsidR="0049556A" w:rsidRPr="003D6045">
        <w:rPr>
          <w:rFonts w:asciiTheme="majorHAnsi" w:hAnsiTheme="majorHAnsi" w:cstheme="majorHAnsi"/>
          <w:sz w:val="24"/>
        </w:rPr>
        <w:t xml:space="preserve"> within the</w:t>
      </w:r>
      <w:r w:rsidRPr="003D6045">
        <w:rPr>
          <w:rFonts w:asciiTheme="majorHAnsi" w:hAnsiTheme="majorHAnsi" w:cstheme="majorHAnsi"/>
          <w:sz w:val="24"/>
        </w:rPr>
        <w:t xml:space="preserve"> Department of the Prime Minister and Cabinet</w:t>
      </w:r>
      <w:r w:rsidR="0049118A" w:rsidRPr="003D6045">
        <w:rPr>
          <w:rFonts w:asciiTheme="majorHAnsi" w:hAnsiTheme="majorHAnsi" w:cstheme="majorHAnsi"/>
          <w:sz w:val="24"/>
        </w:rPr>
        <w:t>,</w:t>
      </w:r>
      <w:r w:rsidRPr="003D6045">
        <w:rPr>
          <w:rFonts w:asciiTheme="majorHAnsi" w:hAnsiTheme="majorHAnsi" w:cstheme="majorHAnsi"/>
          <w:sz w:val="24"/>
        </w:rPr>
        <w:t xml:space="preserve"> the requirements will be built into programme guidelines and organisations’ funding agreements. </w:t>
      </w:r>
      <w:r w:rsidR="00AE52BC" w:rsidRPr="00AE52BC">
        <w:rPr>
          <w:rFonts w:asciiTheme="majorHAnsi" w:hAnsiTheme="majorHAnsi" w:cstheme="majorHAnsi"/>
          <w:sz w:val="24"/>
        </w:rPr>
        <w:t xml:space="preserve">Organisations will be expected to comply with the requirements within the transition period should an exemption not be granted. </w:t>
      </w:r>
    </w:p>
    <w:p w:rsidR="00C76297" w:rsidRPr="003D6045" w:rsidRDefault="00C76297" w:rsidP="007269E5">
      <w:pPr>
        <w:spacing w:after="200" w:line="240" w:lineRule="auto"/>
        <w:rPr>
          <w:rFonts w:asciiTheme="majorHAnsi" w:hAnsiTheme="majorHAnsi" w:cstheme="majorHAnsi"/>
          <w:sz w:val="24"/>
        </w:rPr>
      </w:pPr>
      <w:r w:rsidRPr="003D6045">
        <w:rPr>
          <w:rFonts w:asciiTheme="majorHAnsi" w:hAnsiTheme="majorHAnsi" w:cstheme="majorHAnsi"/>
          <w:sz w:val="24"/>
        </w:rPr>
        <w:t>Non-compliance with the requirements will constitute a breach of the funding agreement</w:t>
      </w:r>
      <w:r w:rsidR="0049118A" w:rsidRPr="003D6045">
        <w:rPr>
          <w:rFonts w:asciiTheme="majorHAnsi" w:hAnsiTheme="majorHAnsi" w:cstheme="majorHAnsi"/>
          <w:sz w:val="24"/>
        </w:rPr>
        <w:t xml:space="preserve"> and may result in the termination of the funding agreement. </w:t>
      </w:r>
      <w:r w:rsidR="00F755EA">
        <w:rPr>
          <w:rFonts w:asciiTheme="majorHAnsi" w:hAnsiTheme="majorHAnsi" w:cstheme="majorHAnsi"/>
          <w:sz w:val="24"/>
        </w:rPr>
        <w:t xml:space="preserve">Breaches </w:t>
      </w:r>
      <w:r w:rsidR="00027E2E">
        <w:rPr>
          <w:rFonts w:asciiTheme="majorHAnsi" w:hAnsiTheme="majorHAnsi" w:cstheme="majorHAnsi"/>
          <w:sz w:val="24"/>
        </w:rPr>
        <w:t xml:space="preserve">against </w:t>
      </w:r>
      <w:r w:rsidR="00F755EA">
        <w:rPr>
          <w:rFonts w:asciiTheme="majorHAnsi" w:hAnsiTheme="majorHAnsi" w:cstheme="majorHAnsi"/>
          <w:sz w:val="24"/>
        </w:rPr>
        <w:t>funding agreements may</w:t>
      </w:r>
      <w:r w:rsidRPr="003D6045">
        <w:rPr>
          <w:rFonts w:asciiTheme="majorHAnsi" w:hAnsiTheme="majorHAnsi" w:cstheme="majorHAnsi"/>
          <w:sz w:val="24"/>
        </w:rPr>
        <w:t xml:space="preserve"> be taken into </w:t>
      </w:r>
      <w:r w:rsidR="00F755EA">
        <w:rPr>
          <w:rFonts w:asciiTheme="majorHAnsi" w:hAnsiTheme="majorHAnsi" w:cstheme="majorHAnsi"/>
          <w:sz w:val="24"/>
        </w:rPr>
        <w:t>consideration</w:t>
      </w:r>
      <w:r w:rsidRPr="003D6045">
        <w:rPr>
          <w:rFonts w:asciiTheme="majorHAnsi" w:hAnsiTheme="majorHAnsi" w:cstheme="majorHAnsi"/>
          <w:sz w:val="24"/>
        </w:rPr>
        <w:t xml:space="preserve"> as part of a risk assessment </w:t>
      </w:r>
      <w:r w:rsidR="00F755EA">
        <w:rPr>
          <w:rFonts w:asciiTheme="majorHAnsi" w:hAnsiTheme="majorHAnsi" w:cstheme="majorHAnsi"/>
          <w:sz w:val="24"/>
        </w:rPr>
        <w:t>for</w:t>
      </w:r>
      <w:r w:rsidRPr="003D6045">
        <w:rPr>
          <w:rFonts w:asciiTheme="majorHAnsi" w:hAnsiTheme="majorHAnsi" w:cstheme="majorHAnsi"/>
          <w:sz w:val="24"/>
        </w:rPr>
        <w:t xml:space="preserve"> future funding</w:t>
      </w:r>
      <w:r w:rsidR="0049118A" w:rsidRPr="003D6045">
        <w:rPr>
          <w:rFonts w:asciiTheme="majorHAnsi" w:hAnsiTheme="majorHAnsi" w:cstheme="majorHAnsi"/>
          <w:sz w:val="24"/>
        </w:rPr>
        <w:t>.</w:t>
      </w:r>
    </w:p>
    <w:p w:rsidR="00C76297" w:rsidRPr="006D0A14" w:rsidRDefault="00C76297" w:rsidP="00C8776A">
      <w:pPr>
        <w:pStyle w:val="Heading3"/>
        <w:rPr>
          <w:sz w:val="24"/>
        </w:rPr>
      </w:pPr>
      <w:r w:rsidRPr="006D0A14">
        <w:rPr>
          <w:sz w:val="24"/>
        </w:rPr>
        <w:t>What if an organisation wants to comply, but is unable to quickly re-incorporate?</w:t>
      </w:r>
    </w:p>
    <w:p w:rsidR="00C76297" w:rsidRPr="003D6045" w:rsidRDefault="006A0714" w:rsidP="00500544">
      <w:pPr>
        <w:spacing w:line="240" w:lineRule="auto"/>
        <w:rPr>
          <w:rFonts w:asciiTheme="majorHAnsi" w:hAnsiTheme="majorHAnsi" w:cstheme="majorHAnsi"/>
          <w:sz w:val="24"/>
        </w:rPr>
      </w:pPr>
      <w:r>
        <w:rPr>
          <w:rFonts w:asciiTheme="majorHAnsi" w:hAnsiTheme="majorHAnsi" w:cstheme="majorHAnsi"/>
          <w:sz w:val="24"/>
        </w:rPr>
        <w:t>Extended t</w:t>
      </w:r>
      <w:r w:rsidR="00C76297" w:rsidRPr="003D6045">
        <w:rPr>
          <w:rFonts w:asciiTheme="majorHAnsi" w:hAnsiTheme="majorHAnsi" w:cstheme="majorHAnsi"/>
          <w:sz w:val="24"/>
        </w:rPr>
        <w:t xml:space="preserve">ransition periods can be granted to organisations who can demonstrate that they have made reasonable attempts to, but are unable to meet this requirement at that time. The organisation will need to demonstrate that they are willing to make the changes but that they have not been able to comply. </w:t>
      </w:r>
    </w:p>
    <w:p w:rsidR="00A13D01" w:rsidRPr="006D0A14" w:rsidRDefault="00A13D01" w:rsidP="00D03D5B">
      <w:pPr>
        <w:pStyle w:val="Heading3"/>
        <w:spacing w:after="200" w:line="240" w:lineRule="auto"/>
        <w:rPr>
          <w:sz w:val="24"/>
        </w:rPr>
      </w:pPr>
      <w:r w:rsidRPr="006D0A14">
        <w:rPr>
          <w:sz w:val="24"/>
        </w:rPr>
        <w:t>What if complying with the requirements will impact my organisations’ ability to deliver our services?</w:t>
      </w:r>
    </w:p>
    <w:p w:rsidR="009F3FF6" w:rsidRDefault="00A13D01" w:rsidP="00500544">
      <w:pPr>
        <w:spacing w:line="240" w:lineRule="auto"/>
        <w:rPr>
          <w:rFonts w:asciiTheme="majorHAnsi" w:hAnsiTheme="majorHAnsi" w:cstheme="majorHAnsi"/>
          <w:sz w:val="24"/>
        </w:rPr>
      </w:pPr>
      <w:r w:rsidRPr="003D6045">
        <w:rPr>
          <w:rFonts w:asciiTheme="majorHAnsi" w:hAnsiTheme="majorHAnsi" w:cstheme="majorHAnsi"/>
          <w:sz w:val="24"/>
        </w:rPr>
        <w:t>The Minister for Indigenous Affairs, or an approved delegate, may provide an exemption from the requirement</w:t>
      </w:r>
      <w:r w:rsidR="00306E0A">
        <w:rPr>
          <w:rFonts w:asciiTheme="majorHAnsi" w:hAnsiTheme="majorHAnsi" w:cstheme="majorHAnsi"/>
          <w:sz w:val="24"/>
        </w:rPr>
        <w:t>s</w:t>
      </w:r>
      <w:r w:rsidR="005E577A">
        <w:rPr>
          <w:rFonts w:asciiTheme="majorHAnsi" w:hAnsiTheme="majorHAnsi" w:cstheme="majorHAnsi"/>
          <w:sz w:val="24"/>
        </w:rPr>
        <w:t xml:space="preserve"> where an organisation can demonstrate at least one of the following:</w:t>
      </w:r>
    </w:p>
    <w:p w:rsidR="0046332E" w:rsidRPr="00734621" w:rsidRDefault="0046332E" w:rsidP="003D0139">
      <w:pPr>
        <w:pStyle w:val="ListParagraph"/>
        <w:rPr>
          <w:rFonts w:asciiTheme="majorHAnsi" w:hAnsiTheme="majorHAnsi" w:cstheme="majorHAnsi"/>
          <w:sz w:val="24"/>
        </w:rPr>
      </w:pPr>
      <w:r w:rsidRPr="00734621">
        <w:rPr>
          <w:rFonts w:asciiTheme="majorHAnsi" w:hAnsiTheme="majorHAnsi" w:cstheme="majorHAnsi"/>
          <w:sz w:val="24"/>
        </w:rPr>
        <w:t xml:space="preserve">That grant funding received from the Indigenous Affairs Group within the Department of the Prime Minister and Cabinet is a small portion of </w:t>
      </w:r>
      <w:r w:rsidR="00C518CC">
        <w:rPr>
          <w:rFonts w:asciiTheme="majorHAnsi" w:hAnsiTheme="majorHAnsi" w:cstheme="majorHAnsi"/>
          <w:sz w:val="24"/>
        </w:rPr>
        <w:t>its</w:t>
      </w:r>
      <w:r w:rsidR="00C518CC" w:rsidRPr="00734621">
        <w:rPr>
          <w:rFonts w:asciiTheme="majorHAnsi" w:hAnsiTheme="majorHAnsi" w:cstheme="majorHAnsi"/>
          <w:sz w:val="24"/>
        </w:rPr>
        <w:t xml:space="preserve"> </w:t>
      </w:r>
      <w:r w:rsidRPr="00734621">
        <w:rPr>
          <w:rFonts w:asciiTheme="majorHAnsi" w:hAnsiTheme="majorHAnsi" w:cstheme="majorHAnsi"/>
          <w:sz w:val="24"/>
        </w:rPr>
        <w:t xml:space="preserve">total revenue, and as such changing incorporation status may unfairly impose additional requirements on </w:t>
      </w:r>
      <w:r w:rsidR="00C518CC">
        <w:rPr>
          <w:rFonts w:asciiTheme="majorHAnsi" w:hAnsiTheme="majorHAnsi" w:cstheme="majorHAnsi"/>
          <w:sz w:val="24"/>
        </w:rPr>
        <w:t>its</w:t>
      </w:r>
      <w:r w:rsidR="00C518CC" w:rsidRPr="00734621">
        <w:rPr>
          <w:rFonts w:asciiTheme="majorHAnsi" w:hAnsiTheme="majorHAnsi" w:cstheme="majorHAnsi"/>
          <w:sz w:val="24"/>
        </w:rPr>
        <w:t xml:space="preserve"> </w:t>
      </w:r>
      <w:r w:rsidRPr="00734621">
        <w:rPr>
          <w:rFonts w:asciiTheme="majorHAnsi" w:hAnsiTheme="majorHAnsi" w:cstheme="majorHAnsi"/>
          <w:sz w:val="24"/>
        </w:rPr>
        <w:t>operations and business model.</w:t>
      </w:r>
    </w:p>
    <w:p w:rsidR="00532F79" w:rsidRPr="0046332E" w:rsidRDefault="00BD66D7" w:rsidP="003D0139">
      <w:pPr>
        <w:pStyle w:val="ListParagraph"/>
      </w:pPr>
      <w:r>
        <w:rPr>
          <w:rFonts w:asciiTheme="majorHAnsi" w:hAnsiTheme="majorHAnsi" w:cstheme="majorHAnsi"/>
          <w:sz w:val="24"/>
        </w:rPr>
        <w:t>It is</w:t>
      </w:r>
      <w:r w:rsidR="0046332E" w:rsidRPr="00734621">
        <w:rPr>
          <w:rFonts w:asciiTheme="majorHAnsi" w:hAnsiTheme="majorHAnsi" w:cstheme="majorHAnsi"/>
          <w:sz w:val="24"/>
        </w:rPr>
        <w:t xml:space="preserve"> required to incorporate under specific non-Commonwealth legislation as part of </w:t>
      </w:r>
      <w:r w:rsidR="00C518CC">
        <w:rPr>
          <w:rFonts w:asciiTheme="majorHAnsi" w:hAnsiTheme="majorHAnsi" w:cstheme="majorHAnsi"/>
          <w:sz w:val="24"/>
        </w:rPr>
        <w:t>its</w:t>
      </w:r>
      <w:r w:rsidR="00C518CC" w:rsidRPr="00734621">
        <w:rPr>
          <w:rFonts w:asciiTheme="majorHAnsi" w:hAnsiTheme="majorHAnsi" w:cstheme="majorHAnsi"/>
          <w:sz w:val="24"/>
        </w:rPr>
        <w:t xml:space="preserve"> </w:t>
      </w:r>
      <w:r w:rsidR="0046332E" w:rsidRPr="00734621">
        <w:rPr>
          <w:rFonts w:asciiTheme="majorHAnsi" w:hAnsiTheme="majorHAnsi" w:cstheme="majorHAnsi"/>
          <w:sz w:val="24"/>
        </w:rPr>
        <w:t>licensing arrangements or funding received through other sources</w:t>
      </w:r>
      <w:r w:rsidR="0046332E" w:rsidRPr="0046332E">
        <w:t>.</w:t>
      </w:r>
    </w:p>
    <w:p w:rsidR="00AE52BC" w:rsidRDefault="00CC783E" w:rsidP="00AE52BC">
      <w:pPr>
        <w:spacing w:line="240" w:lineRule="auto"/>
        <w:rPr>
          <w:rFonts w:asciiTheme="majorHAnsi" w:hAnsiTheme="majorHAnsi" w:cstheme="majorHAnsi"/>
          <w:sz w:val="24"/>
        </w:rPr>
      </w:pPr>
      <w:r w:rsidRPr="006F268C">
        <w:rPr>
          <w:rFonts w:asciiTheme="majorHAnsi" w:hAnsiTheme="majorHAnsi" w:cstheme="majorHAnsi"/>
          <w:sz w:val="24"/>
        </w:rPr>
        <w:t xml:space="preserve">Applications will be considered on a case-by-case basis, and will take into consideration information demonstrating that the organisation is well-governed, high-performing and low risk; and may draw on performance </w:t>
      </w:r>
      <w:r w:rsidR="00532F79">
        <w:rPr>
          <w:rFonts w:asciiTheme="majorHAnsi" w:hAnsiTheme="majorHAnsi" w:cstheme="majorHAnsi"/>
          <w:sz w:val="24"/>
        </w:rPr>
        <w:t xml:space="preserve">and risk </w:t>
      </w:r>
      <w:r w:rsidRPr="006F268C">
        <w:rPr>
          <w:rFonts w:asciiTheme="majorHAnsi" w:hAnsiTheme="majorHAnsi" w:cstheme="majorHAnsi"/>
          <w:sz w:val="24"/>
        </w:rPr>
        <w:t xml:space="preserve">information held by the Department in relation to past funding agreements. </w:t>
      </w:r>
    </w:p>
    <w:p w:rsidR="00306E0A" w:rsidRDefault="006F268C" w:rsidP="00A63C7F">
      <w:pPr>
        <w:spacing w:line="240" w:lineRule="auto"/>
        <w:rPr>
          <w:rFonts w:asciiTheme="majorHAnsi" w:hAnsiTheme="majorHAnsi" w:cstheme="majorHAnsi"/>
          <w:sz w:val="24"/>
        </w:rPr>
      </w:pPr>
      <w:r w:rsidRPr="006F268C">
        <w:rPr>
          <w:rFonts w:asciiTheme="majorHAnsi" w:hAnsiTheme="majorHAnsi" w:cstheme="majorHAnsi"/>
          <w:sz w:val="24"/>
        </w:rPr>
        <w:t>Applications should be lodged through your funding agreement manager in your Regional Department of the Prime Minister and Cabinet Office within the transition period, as soon as practical once an offer of funding has been made</w:t>
      </w:r>
      <w:r w:rsidR="00532F79">
        <w:rPr>
          <w:rFonts w:asciiTheme="majorHAnsi" w:hAnsiTheme="majorHAnsi" w:cstheme="majorHAnsi"/>
          <w:sz w:val="24"/>
        </w:rPr>
        <w:t>.</w:t>
      </w:r>
      <w:r w:rsidR="00306E0A">
        <w:rPr>
          <w:rFonts w:asciiTheme="majorHAnsi" w:hAnsiTheme="majorHAnsi" w:cstheme="majorHAnsi"/>
          <w:sz w:val="24"/>
        </w:rPr>
        <w:t xml:space="preserve"> </w:t>
      </w:r>
      <w:r w:rsidR="00306E0A" w:rsidRPr="003D6045">
        <w:rPr>
          <w:rFonts w:asciiTheme="majorHAnsi" w:hAnsiTheme="majorHAnsi" w:cstheme="majorHAnsi"/>
          <w:sz w:val="24"/>
        </w:rPr>
        <w:t xml:space="preserve">Organisations are responsible for providing sufficient information to support their application. </w:t>
      </w:r>
    </w:p>
    <w:p w:rsidR="00A13D01" w:rsidRPr="006D0A14" w:rsidRDefault="002566DF" w:rsidP="00C8776A">
      <w:pPr>
        <w:pStyle w:val="Heading3"/>
        <w:rPr>
          <w:sz w:val="24"/>
        </w:rPr>
      </w:pPr>
      <w:r w:rsidRPr="006D0A14">
        <w:rPr>
          <w:sz w:val="24"/>
        </w:rPr>
        <w:t>Are there any costs associated with the requirements?</w:t>
      </w:r>
    </w:p>
    <w:p w:rsidR="008E14F9" w:rsidRDefault="006D0A14" w:rsidP="006D0A14">
      <w:pPr>
        <w:spacing w:after="200" w:line="240" w:lineRule="auto"/>
        <w:rPr>
          <w:rFonts w:asciiTheme="majorHAnsi" w:hAnsiTheme="majorHAnsi" w:cstheme="majorHAnsi"/>
          <w:sz w:val="24"/>
        </w:rPr>
      </w:pPr>
      <w:r w:rsidRPr="006D0A14">
        <w:rPr>
          <w:rFonts w:asciiTheme="majorHAnsi" w:hAnsiTheme="majorHAnsi" w:cstheme="majorHAnsi"/>
          <w:sz w:val="24"/>
        </w:rPr>
        <w:t xml:space="preserve">The Office of the Registrar of Indigenous Corporations does not charge fees for incorporation under the </w:t>
      </w:r>
      <w:r w:rsidRPr="006D0A14">
        <w:rPr>
          <w:rFonts w:asciiTheme="majorHAnsi" w:hAnsiTheme="majorHAnsi" w:cstheme="majorHAnsi"/>
          <w:i/>
          <w:sz w:val="24"/>
        </w:rPr>
        <w:t>Corporations (Aboriginal and Torres Strait Islander) Act 2006</w:t>
      </w:r>
      <w:r w:rsidRPr="006D0A14">
        <w:rPr>
          <w:rFonts w:asciiTheme="majorHAnsi" w:hAnsiTheme="majorHAnsi" w:cstheme="majorHAnsi"/>
          <w:sz w:val="24"/>
        </w:rPr>
        <w:t xml:space="preserve"> and can provide additional support for Indigenous organisations transitioning their incorporation status. </w:t>
      </w:r>
    </w:p>
    <w:p w:rsidR="006D0A14" w:rsidRPr="006D0A14" w:rsidRDefault="006D0A14" w:rsidP="006D0A14">
      <w:pPr>
        <w:spacing w:after="200" w:line="240" w:lineRule="auto"/>
        <w:rPr>
          <w:rFonts w:asciiTheme="majorHAnsi" w:hAnsiTheme="majorHAnsi" w:cstheme="majorHAnsi"/>
          <w:sz w:val="24"/>
        </w:rPr>
      </w:pPr>
      <w:r w:rsidRPr="006D0A14">
        <w:rPr>
          <w:rFonts w:asciiTheme="majorHAnsi" w:hAnsiTheme="majorHAnsi" w:cstheme="majorHAnsi"/>
          <w:sz w:val="24"/>
        </w:rPr>
        <w:lastRenderedPageBreak/>
        <w:t xml:space="preserve">Free legal advice about transferring incorporation under the </w:t>
      </w:r>
      <w:r w:rsidRPr="006D0A14">
        <w:rPr>
          <w:rFonts w:asciiTheme="majorHAnsi" w:hAnsiTheme="majorHAnsi" w:cstheme="majorHAnsi"/>
          <w:i/>
          <w:sz w:val="24"/>
        </w:rPr>
        <w:t>Corporations (Aboriginal and Torres Strait Islander) Act 2006</w:t>
      </w:r>
      <w:r w:rsidRPr="006D0A14">
        <w:rPr>
          <w:rFonts w:asciiTheme="majorHAnsi" w:hAnsiTheme="majorHAnsi" w:cstheme="majorHAnsi"/>
          <w:sz w:val="24"/>
        </w:rPr>
        <w:t xml:space="preserve"> is available for Aboriginal and Torres Strait Islander organisations through the LawHelp pro bono legal assistance scheme provided by the Office of the Registrar of Indigenous Corporations.</w:t>
      </w:r>
      <w:r w:rsidR="00265588">
        <w:rPr>
          <w:rFonts w:asciiTheme="majorHAnsi" w:hAnsiTheme="majorHAnsi" w:cstheme="majorHAnsi"/>
          <w:sz w:val="24"/>
        </w:rPr>
        <w:t xml:space="preserve"> More information is available at </w:t>
      </w:r>
      <w:hyperlink r:id="rId10" w:history="1">
        <w:r w:rsidR="005B728E">
          <w:rPr>
            <w:rStyle w:val="Hyperlink"/>
            <w:rFonts w:asciiTheme="majorHAnsi" w:hAnsiTheme="majorHAnsi" w:cstheme="majorHAnsi"/>
            <w:sz w:val="24"/>
          </w:rPr>
          <w:t>'O</w:t>
        </w:r>
        <w:bookmarkStart w:id="0" w:name="_GoBack"/>
        <w:bookmarkEnd w:id="0"/>
        <w:r w:rsidR="005B728E">
          <w:rPr>
            <w:rStyle w:val="Hyperlink"/>
            <w:rFonts w:asciiTheme="majorHAnsi" w:hAnsiTheme="majorHAnsi" w:cstheme="majorHAnsi"/>
            <w:sz w:val="24"/>
          </w:rPr>
          <w:t>R</w:t>
        </w:r>
        <w:r w:rsidR="005B728E">
          <w:rPr>
            <w:rStyle w:val="Hyperlink"/>
            <w:rFonts w:asciiTheme="majorHAnsi" w:hAnsiTheme="majorHAnsi" w:cstheme="majorHAnsi"/>
            <w:sz w:val="24"/>
          </w:rPr>
          <w:t xml:space="preserve">IC </w:t>
        </w:r>
        <w:proofErr w:type="spellStart"/>
        <w:r w:rsidR="005B728E">
          <w:rPr>
            <w:rStyle w:val="Hyperlink"/>
            <w:rFonts w:asciiTheme="majorHAnsi" w:hAnsiTheme="majorHAnsi" w:cstheme="majorHAnsi"/>
            <w:sz w:val="24"/>
          </w:rPr>
          <w:t>LawHelp</w:t>
        </w:r>
        <w:proofErr w:type="spellEnd"/>
        <w:r w:rsidR="005B728E">
          <w:rPr>
            <w:rStyle w:val="Hyperlink"/>
            <w:rFonts w:asciiTheme="majorHAnsi" w:hAnsiTheme="majorHAnsi" w:cstheme="majorHAnsi"/>
            <w:sz w:val="24"/>
          </w:rPr>
          <w:t>'</w:t>
        </w:r>
      </w:hyperlink>
      <w:r w:rsidR="00265588">
        <w:rPr>
          <w:rFonts w:asciiTheme="majorHAnsi" w:hAnsiTheme="majorHAnsi" w:cstheme="majorHAnsi"/>
          <w:sz w:val="24"/>
        </w:rPr>
        <w:t xml:space="preserve">. </w:t>
      </w:r>
      <w:r w:rsidRPr="006D0A14">
        <w:rPr>
          <w:rFonts w:asciiTheme="majorHAnsi" w:hAnsiTheme="majorHAnsi" w:cstheme="majorHAnsi"/>
          <w:sz w:val="24"/>
        </w:rPr>
        <w:t xml:space="preserve"> </w:t>
      </w:r>
    </w:p>
    <w:p w:rsidR="002566DF" w:rsidRPr="003D6045" w:rsidRDefault="002566DF"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Incorporation under the </w:t>
      </w:r>
      <w:r w:rsidRPr="003D6045">
        <w:rPr>
          <w:rFonts w:asciiTheme="majorHAnsi" w:hAnsiTheme="majorHAnsi" w:cstheme="majorHAnsi"/>
          <w:i/>
          <w:sz w:val="24"/>
        </w:rPr>
        <w:t>Corporations Act 2001</w:t>
      </w:r>
      <w:r w:rsidRPr="003D6045">
        <w:rPr>
          <w:rFonts w:asciiTheme="majorHAnsi" w:hAnsiTheme="majorHAnsi" w:cstheme="majorHAnsi"/>
          <w:sz w:val="24"/>
        </w:rPr>
        <w:t xml:space="preserve"> carries </w:t>
      </w:r>
      <w:r w:rsidR="00D5412E">
        <w:rPr>
          <w:rFonts w:asciiTheme="majorHAnsi" w:hAnsiTheme="majorHAnsi" w:cstheme="majorHAnsi"/>
          <w:sz w:val="24"/>
        </w:rPr>
        <w:t xml:space="preserve">a </w:t>
      </w:r>
      <w:r w:rsidRPr="003D6045">
        <w:rPr>
          <w:rFonts w:asciiTheme="majorHAnsi" w:hAnsiTheme="majorHAnsi" w:cstheme="majorHAnsi"/>
          <w:sz w:val="24"/>
        </w:rPr>
        <w:t>registration fee</w:t>
      </w:r>
      <w:r w:rsidR="007141FE">
        <w:rPr>
          <w:rFonts w:asciiTheme="majorHAnsi" w:hAnsiTheme="majorHAnsi" w:cstheme="majorHAnsi"/>
          <w:sz w:val="24"/>
        </w:rPr>
        <w:t xml:space="preserve"> of up to $457</w:t>
      </w:r>
      <w:r w:rsidRPr="003D6045">
        <w:rPr>
          <w:rFonts w:asciiTheme="majorHAnsi" w:hAnsiTheme="majorHAnsi" w:cstheme="majorHAnsi"/>
          <w:sz w:val="24"/>
        </w:rPr>
        <w:t xml:space="preserve">. </w:t>
      </w:r>
    </w:p>
    <w:p w:rsidR="002566DF" w:rsidRPr="003D6045" w:rsidRDefault="002566DF" w:rsidP="000309B0">
      <w:pPr>
        <w:spacing w:after="200" w:line="240" w:lineRule="auto"/>
        <w:rPr>
          <w:rFonts w:asciiTheme="majorHAnsi" w:hAnsiTheme="majorHAnsi" w:cstheme="majorHAnsi"/>
          <w:sz w:val="24"/>
        </w:rPr>
      </w:pPr>
      <w:r w:rsidRPr="003D6045">
        <w:rPr>
          <w:rFonts w:asciiTheme="majorHAnsi" w:hAnsiTheme="majorHAnsi" w:cstheme="majorHAnsi"/>
          <w:sz w:val="24"/>
        </w:rPr>
        <w:t xml:space="preserve">Organisations may incur some additional one-off costs for independent legal advice and accountancy services to support the transfer of incorporation. To assist organisations required to transfer their incorporation status, the Department will provide a one-off $10,000 payment from the granting activity upon receipt of evidence that the transfer has occurred. </w:t>
      </w:r>
    </w:p>
    <w:p w:rsidR="009B3AA8" w:rsidRPr="006D0A14" w:rsidRDefault="009B3AA8" w:rsidP="00C8776A">
      <w:pPr>
        <w:pStyle w:val="Heading3"/>
        <w:rPr>
          <w:sz w:val="24"/>
        </w:rPr>
      </w:pPr>
      <w:r w:rsidRPr="006D0A14">
        <w:rPr>
          <w:sz w:val="24"/>
        </w:rPr>
        <w:t>What is the difference between a grant and procurement?</w:t>
      </w:r>
    </w:p>
    <w:p w:rsidR="009B3AA8" w:rsidRPr="003D6045" w:rsidRDefault="009B3AA8" w:rsidP="00500544">
      <w:pPr>
        <w:spacing w:line="240" w:lineRule="auto"/>
        <w:rPr>
          <w:rFonts w:asciiTheme="majorHAnsi" w:hAnsiTheme="majorHAnsi" w:cstheme="majorHAnsi"/>
          <w:sz w:val="24"/>
        </w:rPr>
      </w:pPr>
      <w:r w:rsidRPr="003D6045">
        <w:rPr>
          <w:rFonts w:asciiTheme="majorHAnsi" w:hAnsiTheme="majorHAnsi" w:cstheme="majorHAnsi"/>
          <w:sz w:val="24"/>
        </w:rPr>
        <w:t>A grant is an arrangement for the provision of financial assistance by the Commonwealth:</w:t>
      </w:r>
    </w:p>
    <w:p w:rsidR="009B3AA8" w:rsidRPr="00734621" w:rsidRDefault="009B3AA8" w:rsidP="003D0139">
      <w:pPr>
        <w:pStyle w:val="ListParagraph"/>
        <w:numPr>
          <w:ilvl w:val="0"/>
          <w:numId w:val="28"/>
        </w:numPr>
        <w:rPr>
          <w:rFonts w:asciiTheme="majorHAnsi" w:hAnsiTheme="majorHAnsi" w:cstheme="majorHAnsi"/>
          <w:sz w:val="24"/>
        </w:rPr>
      </w:pPr>
      <w:r w:rsidRPr="00734621">
        <w:rPr>
          <w:rFonts w:asciiTheme="majorHAnsi" w:hAnsiTheme="majorHAnsi" w:cstheme="majorHAnsi"/>
          <w:sz w:val="24"/>
        </w:rPr>
        <w:t>under which public money is to be paid to a recipient other than the Commonwealth</w:t>
      </w:r>
    </w:p>
    <w:p w:rsidR="009B3AA8" w:rsidRPr="00734621" w:rsidRDefault="009B3AA8" w:rsidP="003D0139">
      <w:pPr>
        <w:pStyle w:val="ListParagraph"/>
        <w:numPr>
          <w:ilvl w:val="0"/>
          <w:numId w:val="28"/>
        </w:numPr>
        <w:rPr>
          <w:rFonts w:asciiTheme="majorHAnsi" w:hAnsiTheme="majorHAnsi" w:cstheme="majorHAnsi"/>
          <w:sz w:val="24"/>
        </w:rPr>
      </w:pPr>
      <w:r w:rsidRPr="00734621">
        <w:rPr>
          <w:rFonts w:asciiTheme="majorHAnsi" w:hAnsiTheme="majorHAnsi" w:cstheme="majorHAnsi"/>
          <w:sz w:val="24"/>
        </w:rPr>
        <w:t>which is intended to assist the recipient achieve its goals</w:t>
      </w:r>
    </w:p>
    <w:p w:rsidR="009B3AA8" w:rsidRPr="00734621" w:rsidRDefault="009B3AA8" w:rsidP="003D0139">
      <w:pPr>
        <w:pStyle w:val="ListParagraph"/>
        <w:numPr>
          <w:ilvl w:val="0"/>
          <w:numId w:val="28"/>
        </w:numPr>
        <w:rPr>
          <w:rFonts w:asciiTheme="majorHAnsi" w:hAnsiTheme="majorHAnsi" w:cstheme="majorHAnsi"/>
          <w:sz w:val="24"/>
        </w:rPr>
      </w:pPr>
      <w:r w:rsidRPr="00734621">
        <w:rPr>
          <w:rFonts w:asciiTheme="majorHAnsi" w:hAnsiTheme="majorHAnsi" w:cstheme="majorHAnsi"/>
          <w:sz w:val="24"/>
        </w:rPr>
        <w:t>which is intended to help address one or more of the Australian Government’s policy objectives</w:t>
      </w:r>
    </w:p>
    <w:p w:rsidR="009B3AA8" w:rsidRPr="00734621" w:rsidRDefault="009B3AA8" w:rsidP="003D0139">
      <w:pPr>
        <w:pStyle w:val="ListParagraph"/>
        <w:numPr>
          <w:ilvl w:val="0"/>
          <w:numId w:val="28"/>
        </w:numPr>
        <w:rPr>
          <w:rFonts w:asciiTheme="majorHAnsi" w:hAnsiTheme="majorHAnsi" w:cstheme="majorHAnsi"/>
          <w:sz w:val="24"/>
        </w:rPr>
      </w:pPr>
      <w:r w:rsidRPr="00734621">
        <w:rPr>
          <w:rFonts w:asciiTheme="majorHAnsi" w:hAnsiTheme="majorHAnsi" w:cstheme="majorHAnsi"/>
          <w:sz w:val="24"/>
        </w:rPr>
        <w:t>under which the recipient may be required to act in accordance with specified terms or conditions</w:t>
      </w:r>
      <w:r w:rsidR="00855072" w:rsidRPr="00734621">
        <w:rPr>
          <w:rFonts w:asciiTheme="majorHAnsi" w:hAnsiTheme="majorHAnsi" w:cstheme="majorHAnsi"/>
          <w:sz w:val="24"/>
        </w:rPr>
        <w:t>.</w:t>
      </w:r>
    </w:p>
    <w:p w:rsidR="000309B0" w:rsidRDefault="009B3AA8" w:rsidP="006D0A14">
      <w:pPr>
        <w:spacing w:after="200" w:line="240" w:lineRule="auto"/>
        <w:rPr>
          <w:rFonts w:ascii="Calibri" w:eastAsia="MS Gothic" w:hAnsi="Calibri"/>
          <w:iCs/>
          <w:color w:val="800000"/>
          <w:spacing w:val="15"/>
          <w:sz w:val="32"/>
        </w:rPr>
      </w:pPr>
      <w:r w:rsidRPr="003D6045">
        <w:rPr>
          <w:rFonts w:asciiTheme="majorHAnsi" w:hAnsiTheme="majorHAnsi" w:cstheme="majorHAnsi"/>
          <w:sz w:val="24"/>
        </w:rPr>
        <w:t xml:space="preserve">Procurement encompasses the whole process of procuring goods and services. In addition to the acquisition of goods and services by an agency for its own use, procurement includes the acquisition of goods and services on behalf of another agency or a third party. </w:t>
      </w:r>
    </w:p>
    <w:p w:rsidR="00C76297" w:rsidRPr="006D0A14" w:rsidRDefault="00C76297" w:rsidP="00C8776A">
      <w:pPr>
        <w:pStyle w:val="Heading3"/>
        <w:rPr>
          <w:sz w:val="24"/>
        </w:rPr>
      </w:pPr>
      <w:r w:rsidRPr="006D0A14">
        <w:rPr>
          <w:sz w:val="24"/>
        </w:rPr>
        <w:t xml:space="preserve">Our organisation </w:t>
      </w:r>
      <w:r w:rsidR="00855072" w:rsidRPr="006D0A14">
        <w:rPr>
          <w:sz w:val="24"/>
        </w:rPr>
        <w:t xml:space="preserve">receives </w:t>
      </w:r>
      <w:r w:rsidRPr="006D0A14">
        <w:rPr>
          <w:sz w:val="24"/>
        </w:rPr>
        <w:t>grants from several Departments. Do we have to comply?</w:t>
      </w:r>
    </w:p>
    <w:p w:rsidR="00C76297" w:rsidRPr="003D6045"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The Australian Government will be encouraging all organisations that provide services for Indigenous Australians, irrespective of their level </w:t>
      </w:r>
      <w:r w:rsidR="0049118A" w:rsidRPr="003D6045">
        <w:rPr>
          <w:rFonts w:asciiTheme="majorHAnsi" w:hAnsiTheme="majorHAnsi" w:cstheme="majorHAnsi"/>
          <w:sz w:val="24"/>
        </w:rPr>
        <w:t xml:space="preserve">or source </w:t>
      </w:r>
      <w:r w:rsidRPr="003D6045">
        <w:rPr>
          <w:rFonts w:asciiTheme="majorHAnsi" w:hAnsiTheme="majorHAnsi" w:cstheme="majorHAnsi"/>
          <w:sz w:val="24"/>
        </w:rPr>
        <w:t>of funding to adopt these measures.</w:t>
      </w:r>
    </w:p>
    <w:p w:rsidR="00C76297" w:rsidRPr="006D0A14" w:rsidRDefault="00C76297" w:rsidP="00C8776A">
      <w:pPr>
        <w:pStyle w:val="Heading3"/>
        <w:rPr>
          <w:sz w:val="24"/>
        </w:rPr>
      </w:pPr>
      <w:r w:rsidRPr="006D0A14">
        <w:rPr>
          <w:sz w:val="24"/>
        </w:rPr>
        <w:t xml:space="preserve">How do you classify Indigenous organisations? </w:t>
      </w:r>
    </w:p>
    <w:p w:rsidR="00C76297" w:rsidRPr="003D6045"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Organisations would be deemed to be Indigenous organisations if they are able to meet the Indigeneity requirement under </w:t>
      </w:r>
      <w:r w:rsidRPr="003D6045">
        <w:rPr>
          <w:rFonts w:asciiTheme="majorHAnsi" w:hAnsiTheme="majorHAnsi" w:cstheme="majorHAnsi"/>
          <w:i/>
          <w:sz w:val="24"/>
        </w:rPr>
        <w:t>Section 29-5</w:t>
      </w:r>
      <w:r w:rsidRPr="003D6045">
        <w:rPr>
          <w:rFonts w:asciiTheme="majorHAnsi" w:hAnsiTheme="majorHAnsi" w:cstheme="majorHAnsi"/>
          <w:sz w:val="24"/>
        </w:rPr>
        <w:t xml:space="preserve"> of the </w:t>
      </w:r>
      <w:r w:rsidR="0049556A" w:rsidRPr="003D6045">
        <w:rPr>
          <w:rFonts w:asciiTheme="majorHAnsi" w:hAnsiTheme="majorHAnsi" w:cstheme="majorHAnsi"/>
          <w:i/>
          <w:sz w:val="24"/>
        </w:rPr>
        <w:t>Corporations (Aboriginal and Torres Strait Islander) Act 2006</w:t>
      </w:r>
      <w:r w:rsidRPr="003D6045">
        <w:rPr>
          <w:rFonts w:asciiTheme="majorHAnsi" w:hAnsiTheme="majorHAnsi" w:cstheme="majorHAnsi"/>
          <w:sz w:val="24"/>
        </w:rPr>
        <w:t>.</w:t>
      </w:r>
    </w:p>
    <w:p w:rsidR="00C76297" w:rsidRPr="003D6045"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This means that a corporation must have the required number or percentage of members who are Aboriginal and/or Torres Strait Islander people. The requirements for different size corporations are: </w:t>
      </w:r>
    </w:p>
    <w:p w:rsidR="00C76297" w:rsidRPr="00734621" w:rsidRDefault="00C76297" w:rsidP="003D0139">
      <w:pPr>
        <w:pStyle w:val="ListParagraph"/>
        <w:numPr>
          <w:ilvl w:val="0"/>
          <w:numId w:val="18"/>
        </w:numPr>
        <w:rPr>
          <w:rFonts w:asciiTheme="majorHAnsi" w:hAnsiTheme="majorHAnsi" w:cstheme="majorHAnsi"/>
          <w:sz w:val="24"/>
        </w:rPr>
      </w:pPr>
      <w:r w:rsidRPr="00734621">
        <w:rPr>
          <w:rFonts w:asciiTheme="majorHAnsi" w:hAnsiTheme="majorHAnsi" w:cstheme="majorHAnsi"/>
          <w:sz w:val="24"/>
        </w:rPr>
        <w:t>in a corporation with five or more members, 51 per cent of the members have to be Aboriginal or Torres Strait Islander people</w:t>
      </w:r>
    </w:p>
    <w:p w:rsidR="00C76297" w:rsidRPr="00734621" w:rsidRDefault="00C76297" w:rsidP="003D0139">
      <w:pPr>
        <w:pStyle w:val="ListParagraph"/>
        <w:numPr>
          <w:ilvl w:val="0"/>
          <w:numId w:val="18"/>
        </w:numPr>
        <w:rPr>
          <w:rFonts w:asciiTheme="majorHAnsi" w:hAnsiTheme="majorHAnsi" w:cstheme="majorHAnsi"/>
          <w:sz w:val="24"/>
        </w:rPr>
      </w:pPr>
      <w:r w:rsidRPr="00734621">
        <w:rPr>
          <w:rFonts w:asciiTheme="majorHAnsi" w:hAnsiTheme="majorHAnsi" w:cstheme="majorHAnsi"/>
          <w:sz w:val="24"/>
        </w:rPr>
        <w:t xml:space="preserve">in a corporation with fewer than five members but more than one member, all of the members, or all but one of the members, have to be Aboriginal or Torres Strait Islander people </w:t>
      </w:r>
    </w:p>
    <w:p w:rsidR="00C76297" w:rsidRPr="00734621" w:rsidRDefault="00C76297" w:rsidP="003D0139">
      <w:pPr>
        <w:pStyle w:val="ListParagraph"/>
        <w:numPr>
          <w:ilvl w:val="0"/>
          <w:numId w:val="18"/>
        </w:numPr>
        <w:rPr>
          <w:rFonts w:asciiTheme="majorHAnsi" w:hAnsiTheme="majorHAnsi" w:cstheme="majorHAnsi"/>
          <w:sz w:val="24"/>
        </w:rPr>
      </w:pPr>
      <w:r w:rsidRPr="00734621">
        <w:rPr>
          <w:rFonts w:asciiTheme="majorHAnsi" w:hAnsiTheme="majorHAnsi" w:cstheme="majorHAnsi"/>
          <w:sz w:val="24"/>
        </w:rPr>
        <w:t>in a corporation with only one member, that member has to be an Aboriginal or Torres Strait Islander person.</w:t>
      </w:r>
    </w:p>
    <w:p w:rsidR="00C76297" w:rsidRPr="003D6045"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Corporations will also need to meet the majority of directors requirement at </w:t>
      </w:r>
      <w:r w:rsidR="003F599E" w:rsidRPr="003D6045">
        <w:rPr>
          <w:rFonts w:asciiTheme="majorHAnsi" w:hAnsiTheme="majorHAnsi" w:cstheme="majorHAnsi"/>
          <w:i/>
          <w:sz w:val="24"/>
        </w:rPr>
        <w:t>S</w:t>
      </w:r>
      <w:r w:rsidRPr="003D6045">
        <w:rPr>
          <w:rFonts w:asciiTheme="majorHAnsi" w:hAnsiTheme="majorHAnsi" w:cstheme="majorHAnsi"/>
          <w:i/>
          <w:sz w:val="24"/>
        </w:rPr>
        <w:t>ubsection 246-5(1)</w:t>
      </w:r>
      <w:r w:rsidRPr="003D6045">
        <w:rPr>
          <w:rFonts w:asciiTheme="majorHAnsi" w:hAnsiTheme="majorHAnsi" w:cstheme="majorHAnsi"/>
          <w:sz w:val="24"/>
        </w:rPr>
        <w:t xml:space="preserve"> of the </w:t>
      </w:r>
      <w:r w:rsidR="0049556A" w:rsidRPr="003D6045">
        <w:rPr>
          <w:rFonts w:asciiTheme="majorHAnsi" w:hAnsiTheme="majorHAnsi" w:cstheme="majorHAnsi"/>
          <w:i/>
          <w:sz w:val="24"/>
        </w:rPr>
        <w:t>Corporations (Aboriginal and Torres Strait Islander) Act 2006</w:t>
      </w:r>
      <w:r w:rsidRPr="003D6045">
        <w:rPr>
          <w:rFonts w:asciiTheme="majorHAnsi" w:hAnsiTheme="majorHAnsi" w:cstheme="majorHAnsi"/>
          <w:sz w:val="24"/>
        </w:rPr>
        <w:t xml:space="preserve">. That </w:t>
      </w:r>
      <w:r w:rsidRPr="003D6045">
        <w:rPr>
          <w:rFonts w:asciiTheme="majorHAnsi" w:hAnsiTheme="majorHAnsi" w:cstheme="majorHAnsi"/>
          <w:sz w:val="24"/>
        </w:rPr>
        <w:lastRenderedPageBreak/>
        <w:t>subsection provides that a majority of the directors of an Aboriginal and Torres Strait Islander corporation must be individuals who are Aboriginal and Torres Strait Islander persons</w:t>
      </w:r>
      <w:r w:rsidR="002A3C5A" w:rsidRPr="003D6045">
        <w:rPr>
          <w:rFonts w:asciiTheme="majorHAnsi" w:hAnsiTheme="majorHAnsi" w:cstheme="majorHAnsi"/>
          <w:sz w:val="24"/>
        </w:rPr>
        <w:t>.</w:t>
      </w:r>
    </w:p>
    <w:p w:rsidR="00C76297" w:rsidRPr="006D0A14" w:rsidRDefault="00C76297" w:rsidP="00D03D5B">
      <w:pPr>
        <w:pStyle w:val="Heading3"/>
        <w:spacing w:after="200" w:line="240" w:lineRule="auto"/>
        <w:rPr>
          <w:sz w:val="24"/>
        </w:rPr>
      </w:pPr>
      <w:r w:rsidRPr="006D0A14">
        <w:rPr>
          <w:sz w:val="24"/>
        </w:rPr>
        <w:t>Our organisation provides services to both Indigenous and non-Indigenous Australians. Are we affected by these requirements?</w:t>
      </w:r>
    </w:p>
    <w:p w:rsidR="00C76297" w:rsidRPr="003D6045" w:rsidRDefault="00C76297" w:rsidP="007269E5">
      <w:pPr>
        <w:spacing w:after="200" w:line="240" w:lineRule="auto"/>
        <w:rPr>
          <w:rFonts w:asciiTheme="majorHAnsi" w:hAnsiTheme="majorHAnsi" w:cstheme="majorHAnsi"/>
          <w:sz w:val="24"/>
        </w:rPr>
      </w:pPr>
      <w:r w:rsidRPr="003D6045">
        <w:rPr>
          <w:rFonts w:asciiTheme="majorHAnsi" w:hAnsiTheme="majorHAnsi" w:cstheme="majorHAnsi"/>
          <w:sz w:val="24"/>
        </w:rPr>
        <w:t xml:space="preserve">The new requirements apply to all </w:t>
      </w:r>
      <w:r w:rsidR="00FD5E3C">
        <w:rPr>
          <w:rFonts w:asciiTheme="majorHAnsi" w:hAnsiTheme="majorHAnsi" w:cstheme="majorHAnsi"/>
          <w:sz w:val="24"/>
        </w:rPr>
        <w:t xml:space="preserve">funding </w:t>
      </w:r>
      <w:r w:rsidRPr="003D6045">
        <w:rPr>
          <w:rFonts w:asciiTheme="majorHAnsi" w:hAnsiTheme="majorHAnsi" w:cstheme="majorHAnsi"/>
          <w:sz w:val="24"/>
        </w:rPr>
        <w:t xml:space="preserve">administered by the Indigenous Affairs </w:t>
      </w:r>
      <w:r w:rsidR="00721927">
        <w:rPr>
          <w:rFonts w:asciiTheme="majorHAnsi" w:hAnsiTheme="majorHAnsi" w:cstheme="majorHAnsi"/>
          <w:sz w:val="24"/>
        </w:rPr>
        <w:t>Group</w:t>
      </w:r>
      <w:r w:rsidR="0050763A">
        <w:rPr>
          <w:rFonts w:asciiTheme="majorHAnsi" w:hAnsiTheme="majorHAnsi" w:cstheme="majorHAnsi"/>
          <w:sz w:val="24"/>
        </w:rPr>
        <w:t xml:space="preserve"> within the </w:t>
      </w:r>
      <w:r w:rsidR="0050763A" w:rsidRPr="003D6045">
        <w:rPr>
          <w:rFonts w:asciiTheme="majorHAnsi" w:hAnsiTheme="majorHAnsi" w:cstheme="majorHAnsi"/>
          <w:sz w:val="24"/>
        </w:rPr>
        <w:t>Department of the Prime Minister and Cabinet</w:t>
      </w:r>
      <w:r w:rsidRPr="003D6045">
        <w:rPr>
          <w:rFonts w:asciiTheme="majorHAnsi" w:hAnsiTheme="majorHAnsi" w:cstheme="majorHAnsi"/>
          <w:sz w:val="24"/>
        </w:rPr>
        <w:t xml:space="preserve">. Individual programme guidelines will provide further information on the requirements. </w:t>
      </w:r>
    </w:p>
    <w:p w:rsidR="00C76297" w:rsidRPr="006D0A14" w:rsidRDefault="00C76297" w:rsidP="00C8776A">
      <w:pPr>
        <w:pStyle w:val="Heading3"/>
        <w:rPr>
          <w:sz w:val="24"/>
        </w:rPr>
      </w:pPr>
      <w:r w:rsidRPr="006D0A14">
        <w:rPr>
          <w:sz w:val="24"/>
        </w:rPr>
        <w:t>What help can the Registrar of Indigenous Corporations provide?</w:t>
      </w:r>
    </w:p>
    <w:p w:rsidR="00C76297" w:rsidRPr="003D6045" w:rsidRDefault="00CA254F"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Indigenous organisations </w:t>
      </w:r>
      <w:r w:rsidR="00C76297" w:rsidRPr="003D6045">
        <w:rPr>
          <w:rFonts w:asciiTheme="majorHAnsi" w:hAnsiTheme="majorHAnsi" w:cstheme="majorHAnsi"/>
          <w:sz w:val="24"/>
        </w:rPr>
        <w:t>can access client assistance, support, and information and training programmes offered by the Office of the Registrar of Indigenous Corporations (ORIC).</w:t>
      </w:r>
    </w:p>
    <w:p w:rsidR="00C76297" w:rsidRPr="003D6045" w:rsidRDefault="00C76297"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ORIC assists organisations with their registration under the </w:t>
      </w:r>
      <w:r w:rsidRPr="003D6045">
        <w:rPr>
          <w:rFonts w:asciiTheme="majorHAnsi" w:hAnsiTheme="majorHAnsi" w:cstheme="majorHAnsi"/>
          <w:i/>
          <w:sz w:val="24"/>
        </w:rPr>
        <w:t>Corporations (Aboriginal and Torres Strait Islander) Act 2006</w:t>
      </w:r>
      <w:r w:rsidRPr="003D6045">
        <w:rPr>
          <w:rFonts w:asciiTheme="majorHAnsi" w:hAnsiTheme="majorHAnsi" w:cstheme="majorHAnsi"/>
          <w:sz w:val="24"/>
        </w:rPr>
        <w:t xml:space="preserve">. This can extend to assistance with required paperwork; the drafting and development of corporation rule books and best-practice governance structures; and attendance at meetings of members. </w:t>
      </w:r>
    </w:p>
    <w:p w:rsidR="00C76297" w:rsidRDefault="00C76297" w:rsidP="007269E5">
      <w:pPr>
        <w:spacing w:after="200" w:line="240" w:lineRule="auto"/>
        <w:rPr>
          <w:rStyle w:val="Hyperlink"/>
        </w:rPr>
      </w:pPr>
      <w:r w:rsidRPr="003D6045">
        <w:rPr>
          <w:rFonts w:asciiTheme="majorHAnsi" w:hAnsiTheme="majorHAnsi" w:cstheme="majorHAnsi"/>
          <w:sz w:val="24"/>
        </w:rPr>
        <w:t xml:space="preserve">ORIC provides support through corporate governance training programmes that are available to directors, members and staff of all </w:t>
      </w:r>
      <w:r w:rsidR="00855072" w:rsidRPr="003D6045">
        <w:rPr>
          <w:rFonts w:asciiTheme="majorHAnsi" w:hAnsiTheme="majorHAnsi" w:cstheme="majorHAnsi"/>
          <w:sz w:val="24"/>
        </w:rPr>
        <w:t xml:space="preserve">Indigenous </w:t>
      </w:r>
      <w:r w:rsidR="00CA254F" w:rsidRPr="003D6045">
        <w:rPr>
          <w:rFonts w:asciiTheme="majorHAnsi" w:hAnsiTheme="majorHAnsi" w:cstheme="majorHAnsi"/>
          <w:sz w:val="24"/>
        </w:rPr>
        <w:t xml:space="preserve">organisations. </w:t>
      </w:r>
      <w:r w:rsidRPr="003D6045">
        <w:rPr>
          <w:rFonts w:asciiTheme="majorHAnsi" w:hAnsiTheme="majorHAnsi" w:cstheme="majorHAnsi"/>
          <w:sz w:val="24"/>
        </w:rPr>
        <w:t xml:space="preserve">Corporate governance training sessions are held in locations throughout Australia and are run on a regular basis. Corporation-specific training is tailored to suit the needs of the individual </w:t>
      </w:r>
      <w:r w:rsidR="00CA254F" w:rsidRPr="003D6045">
        <w:rPr>
          <w:rFonts w:asciiTheme="majorHAnsi" w:hAnsiTheme="majorHAnsi" w:cstheme="majorHAnsi"/>
          <w:sz w:val="24"/>
        </w:rPr>
        <w:t xml:space="preserve">organisation </w:t>
      </w:r>
      <w:r w:rsidRPr="003D6045">
        <w:rPr>
          <w:rFonts w:asciiTheme="majorHAnsi" w:hAnsiTheme="majorHAnsi" w:cstheme="majorHAnsi"/>
          <w:sz w:val="24"/>
        </w:rPr>
        <w:t xml:space="preserve">and can be held at the corporation’s premises. ORIC also maintains a number of information resources for corporations such as factsheets and resource guides. These resources are available on ORIC’s website </w:t>
      </w:r>
      <w:r w:rsidRPr="0025766A">
        <w:rPr>
          <w:rFonts w:asciiTheme="majorHAnsi" w:hAnsiTheme="majorHAnsi" w:cstheme="majorHAnsi"/>
          <w:sz w:val="24"/>
        </w:rPr>
        <w:t xml:space="preserve">at </w:t>
      </w:r>
      <w:hyperlink r:id="rId11" w:tooltip="ORIC website" w:history="1">
        <w:r w:rsidR="00CC0DAC">
          <w:rPr>
            <w:rStyle w:val="Hyperlink"/>
            <w:rFonts w:asciiTheme="majorHAnsi" w:hAnsiTheme="majorHAnsi" w:cstheme="majorHAnsi"/>
            <w:sz w:val="24"/>
          </w:rPr>
          <w:t>'Office of the Registrar of Indigenous Corporations'</w:t>
        </w:r>
      </w:hyperlink>
      <w:r w:rsidR="0025766A" w:rsidRPr="0025766A">
        <w:rPr>
          <w:rFonts w:asciiTheme="majorHAnsi" w:hAnsiTheme="majorHAnsi" w:cstheme="majorHAnsi"/>
          <w:sz w:val="24"/>
        </w:rPr>
        <w:t>.</w:t>
      </w:r>
    </w:p>
    <w:p w:rsidR="00713D1C" w:rsidRPr="006D0A14" w:rsidRDefault="004E698A" w:rsidP="00D03D5B">
      <w:pPr>
        <w:pStyle w:val="Heading3"/>
        <w:spacing w:after="200" w:line="240" w:lineRule="auto"/>
        <w:rPr>
          <w:sz w:val="24"/>
        </w:rPr>
      </w:pPr>
      <w:r w:rsidRPr="006D0A14">
        <w:rPr>
          <w:sz w:val="24"/>
        </w:rPr>
        <w:t>W</w:t>
      </w:r>
      <w:r w:rsidR="00713D1C" w:rsidRPr="006D0A14">
        <w:rPr>
          <w:sz w:val="24"/>
        </w:rPr>
        <w:t>ill the transfer to incorporation under Commonwealth legislation affect our organisations status as a registered charity?</w:t>
      </w:r>
    </w:p>
    <w:p w:rsidR="00A83A4E" w:rsidRPr="00DC2FB5" w:rsidRDefault="0071533B" w:rsidP="00500544">
      <w:pPr>
        <w:spacing w:line="240" w:lineRule="auto"/>
        <w:rPr>
          <w:rFonts w:asciiTheme="majorHAnsi" w:hAnsiTheme="majorHAnsi" w:cstheme="majorHAnsi"/>
          <w:sz w:val="24"/>
        </w:rPr>
      </w:pPr>
      <w:r w:rsidRPr="003D6045">
        <w:rPr>
          <w:rFonts w:asciiTheme="majorHAnsi" w:hAnsiTheme="majorHAnsi" w:cstheme="majorHAnsi"/>
          <w:sz w:val="24"/>
        </w:rPr>
        <w:t xml:space="preserve">The charitable status of an organisation should not be affected by a transfer of its </w:t>
      </w:r>
      <w:r w:rsidR="0012518A" w:rsidRPr="003D6045">
        <w:rPr>
          <w:rFonts w:asciiTheme="majorHAnsi" w:hAnsiTheme="majorHAnsi" w:cstheme="majorHAnsi"/>
          <w:sz w:val="24"/>
        </w:rPr>
        <w:t>incorporation</w:t>
      </w:r>
      <w:r w:rsidRPr="003D6045">
        <w:rPr>
          <w:rFonts w:asciiTheme="majorHAnsi" w:hAnsiTheme="majorHAnsi" w:cstheme="majorHAnsi"/>
          <w:sz w:val="24"/>
        </w:rPr>
        <w:t xml:space="preserve"> to the </w:t>
      </w:r>
      <w:r w:rsidRPr="003D6045">
        <w:rPr>
          <w:rFonts w:asciiTheme="majorHAnsi" w:hAnsiTheme="majorHAnsi" w:cstheme="majorHAnsi"/>
          <w:i/>
          <w:sz w:val="24"/>
        </w:rPr>
        <w:t>Corporations Act 2001</w:t>
      </w:r>
      <w:r w:rsidRPr="003D6045">
        <w:rPr>
          <w:rFonts w:asciiTheme="majorHAnsi" w:hAnsiTheme="majorHAnsi" w:cstheme="majorHAnsi"/>
          <w:sz w:val="24"/>
        </w:rPr>
        <w:t xml:space="preserve"> or the </w:t>
      </w:r>
      <w:r w:rsidRPr="003D6045">
        <w:rPr>
          <w:rFonts w:asciiTheme="majorHAnsi" w:hAnsiTheme="majorHAnsi" w:cstheme="majorHAnsi"/>
          <w:i/>
          <w:sz w:val="24"/>
        </w:rPr>
        <w:t>Corporations (Aboriginal and Torres Strait Islander) Act 2006</w:t>
      </w:r>
      <w:r w:rsidRPr="003D6045">
        <w:rPr>
          <w:rFonts w:asciiTheme="majorHAnsi" w:hAnsiTheme="majorHAnsi" w:cstheme="majorHAnsi"/>
          <w:sz w:val="24"/>
        </w:rPr>
        <w:t>.</w:t>
      </w:r>
      <w:r w:rsidR="004652D8" w:rsidRPr="003D6045">
        <w:rPr>
          <w:rFonts w:asciiTheme="majorHAnsi" w:hAnsiTheme="majorHAnsi" w:cstheme="majorHAnsi"/>
          <w:sz w:val="24"/>
        </w:rPr>
        <w:t xml:space="preserve"> </w:t>
      </w:r>
      <w:r w:rsidR="00A83A4E">
        <w:rPr>
          <w:rFonts w:asciiTheme="majorHAnsi" w:hAnsiTheme="majorHAnsi" w:cstheme="majorHAnsi"/>
          <w:sz w:val="24"/>
        </w:rPr>
        <w:t xml:space="preserve">For example, </w:t>
      </w:r>
      <w:r w:rsidR="00A83A4E" w:rsidRPr="00DC2FB5">
        <w:rPr>
          <w:rFonts w:asciiTheme="majorHAnsi" w:hAnsiTheme="majorHAnsi" w:cstheme="majorHAnsi"/>
          <w:sz w:val="24"/>
        </w:rPr>
        <w:t xml:space="preserve">Section 42-3 of the </w:t>
      </w:r>
      <w:r w:rsidR="00A83A4E" w:rsidRPr="00DC2FB5">
        <w:rPr>
          <w:rFonts w:asciiTheme="majorHAnsi" w:hAnsiTheme="majorHAnsi" w:cstheme="majorHAnsi"/>
          <w:i/>
          <w:sz w:val="24"/>
        </w:rPr>
        <w:t>Corporations (Aboriginal and Torres Strait Islander) Act 2006</w:t>
      </w:r>
      <w:r w:rsidR="00A83A4E" w:rsidRPr="00DC2FB5">
        <w:rPr>
          <w:rFonts w:asciiTheme="majorHAnsi" w:hAnsiTheme="majorHAnsi" w:cstheme="majorHAnsi"/>
          <w:sz w:val="24"/>
        </w:rPr>
        <w:t xml:space="preserve"> states that </w:t>
      </w:r>
      <w:r w:rsidR="00A83A4E">
        <w:rPr>
          <w:rFonts w:asciiTheme="majorHAnsi" w:hAnsiTheme="majorHAnsi" w:cstheme="majorHAnsi"/>
          <w:sz w:val="24"/>
        </w:rPr>
        <w:t>a</w:t>
      </w:r>
      <w:r w:rsidR="00A83A4E" w:rsidRPr="00DC2FB5">
        <w:rPr>
          <w:rFonts w:asciiTheme="majorHAnsi" w:hAnsiTheme="majorHAnsi" w:cstheme="majorHAnsi"/>
          <w:sz w:val="24"/>
        </w:rPr>
        <w:t xml:space="preserve"> transfer of registration </w:t>
      </w:r>
      <w:r w:rsidR="00A83A4E">
        <w:rPr>
          <w:rFonts w:asciiTheme="majorHAnsi" w:hAnsiTheme="majorHAnsi" w:cstheme="majorHAnsi"/>
          <w:sz w:val="24"/>
        </w:rPr>
        <w:t xml:space="preserve">to the Act </w:t>
      </w:r>
      <w:r w:rsidR="00A83A4E" w:rsidRPr="00DC2FB5">
        <w:rPr>
          <w:rFonts w:asciiTheme="majorHAnsi" w:hAnsiTheme="majorHAnsi" w:cstheme="majorHAnsi"/>
          <w:sz w:val="24"/>
        </w:rPr>
        <w:t>does not create a new legal entity or affect the body’s existing property, rights or obligations.</w:t>
      </w:r>
    </w:p>
    <w:p w:rsidR="000309B0" w:rsidRDefault="004652D8" w:rsidP="00500544">
      <w:pPr>
        <w:spacing w:line="240" w:lineRule="auto"/>
        <w:contextualSpacing/>
        <w:rPr>
          <w:rFonts w:asciiTheme="majorHAnsi" w:hAnsiTheme="majorHAnsi" w:cstheme="majorHAnsi"/>
          <w:b/>
          <w:sz w:val="24"/>
        </w:rPr>
      </w:pPr>
      <w:r w:rsidRPr="003D6045">
        <w:rPr>
          <w:rFonts w:asciiTheme="majorHAnsi" w:hAnsiTheme="majorHAnsi" w:cstheme="majorHAnsi"/>
          <w:sz w:val="24"/>
        </w:rPr>
        <w:t xml:space="preserve">However, the circumstances of every organisation will be different and </w:t>
      </w:r>
      <w:r w:rsidR="0012518A" w:rsidRPr="003D6045">
        <w:rPr>
          <w:rFonts w:asciiTheme="majorHAnsi" w:hAnsiTheme="majorHAnsi" w:cstheme="majorHAnsi"/>
          <w:sz w:val="24"/>
        </w:rPr>
        <w:t xml:space="preserve">each </w:t>
      </w:r>
      <w:r w:rsidRPr="003D6045">
        <w:rPr>
          <w:rFonts w:asciiTheme="majorHAnsi" w:hAnsiTheme="majorHAnsi" w:cstheme="majorHAnsi"/>
          <w:sz w:val="24"/>
        </w:rPr>
        <w:t xml:space="preserve">organisation </w:t>
      </w:r>
      <w:r w:rsidR="0012518A" w:rsidRPr="003D6045">
        <w:rPr>
          <w:rFonts w:asciiTheme="majorHAnsi" w:hAnsiTheme="majorHAnsi" w:cstheme="majorHAnsi"/>
          <w:sz w:val="24"/>
        </w:rPr>
        <w:t xml:space="preserve">should seek their own legal advice.  Further information can also be obtained </w:t>
      </w:r>
      <w:r w:rsidR="00AA5464" w:rsidRPr="003D6045">
        <w:rPr>
          <w:rFonts w:asciiTheme="majorHAnsi" w:hAnsiTheme="majorHAnsi" w:cstheme="majorHAnsi"/>
          <w:sz w:val="24"/>
        </w:rPr>
        <w:t>from</w:t>
      </w:r>
      <w:r w:rsidR="0012518A" w:rsidRPr="003D6045">
        <w:rPr>
          <w:rFonts w:asciiTheme="majorHAnsi" w:hAnsiTheme="majorHAnsi" w:cstheme="majorHAnsi"/>
          <w:sz w:val="24"/>
        </w:rPr>
        <w:t xml:space="preserve"> the</w:t>
      </w:r>
      <w:r w:rsidR="00C02423" w:rsidRPr="003D6045">
        <w:rPr>
          <w:rFonts w:asciiTheme="majorHAnsi" w:hAnsiTheme="majorHAnsi" w:cstheme="majorHAnsi"/>
          <w:sz w:val="24"/>
        </w:rPr>
        <w:t xml:space="preserve"> </w:t>
      </w:r>
      <w:r w:rsidR="00673ED9" w:rsidRPr="003D6045">
        <w:rPr>
          <w:rFonts w:asciiTheme="majorHAnsi" w:hAnsiTheme="majorHAnsi" w:cstheme="majorHAnsi"/>
          <w:sz w:val="24"/>
        </w:rPr>
        <w:t xml:space="preserve">independent national regulator of charities, the </w:t>
      </w:r>
      <w:r w:rsidR="00C02423" w:rsidRPr="003D6045">
        <w:rPr>
          <w:rFonts w:asciiTheme="majorHAnsi" w:hAnsiTheme="majorHAnsi" w:cstheme="majorHAnsi"/>
          <w:sz w:val="24"/>
        </w:rPr>
        <w:t>Australian Charities and Not-for-profits Commission (ACNC)</w:t>
      </w:r>
      <w:r w:rsidR="00540316">
        <w:rPr>
          <w:rFonts w:asciiTheme="majorHAnsi" w:hAnsiTheme="majorHAnsi" w:cstheme="majorHAnsi"/>
          <w:sz w:val="24"/>
        </w:rPr>
        <w:t>.</w:t>
      </w:r>
      <w:r w:rsidR="00C970B9">
        <w:rPr>
          <w:rFonts w:asciiTheme="majorHAnsi" w:hAnsiTheme="majorHAnsi" w:cstheme="majorHAnsi"/>
          <w:sz w:val="24"/>
        </w:rPr>
        <w:t xml:space="preserve"> Further information is available at the ACNC website </w:t>
      </w:r>
      <w:r w:rsidR="00354CA3" w:rsidRPr="00354CA3">
        <w:rPr>
          <w:rStyle w:val="Hyperlink"/>
        </w:rPr>
        <w:t>‘</w:t>
      </w:r>
      <w:hyperlink r:id="rId12" w:history="1">
        <w:r w:rsidR="00354CA3" w:rsidRPr="00354CA3">
          <w:rPr>
            <w:rStyle w:val="Hyperlink"/>
          </w:rPr>
          <w:t>ACNC’</w:t>
        </w:r>
      </w:hyperlink>
      <w:r w:rsidR="00354CA3">
        <w:rPr>
          <w:rFonts w:asciiTheme="majorHAnsi" w:hAnsiTheme="majorHAnsi" w:cstheme="majorHAnsi"/>
          <w:sz w:val="24"/>
        </w:rPr>
        <w:t xml:space="preserve">. </w:t>
      </w:r>
      <w:r w:rsidR="00C970B9">
        <w:rPr>
          <w:rFonts w:asciiTheme="majorHAnsi" w:hAnsiTheme="majorHAnsi" w:cstheme="majorHAnsi"/>
          <w:sz w:val="24"/>
        </w:rPr>
        <w:t>Alternatively organisations can contact the ACNC</w:t>
      </w:r>
      <w:r w:rsidR="00673ED9" w:rsidRPr="003D6045">
        <w:rPr>
          <w:rFonts w:asciiTheme="majorHAnsi" w:hAnsiTheme="majorHAnsi" w:cstheme="majorHAnsi"/>
          <w:sz w:val="24"/>
        </w:rPr>
        <w:t xml:space="preserve"> </w:t>
      </w:r>
      <w:r w:rsidR="00673ED9" w:rsidRPr="0025766A">
        <w:rPr>
          <w:rFonts w:asciiTheme="majorHAnsi" w:hAnsiTheme="majorHAnsi" w:cstheme="majorHAnsi"/>
          <w:sz w:val="24"/>
        </w:rPr>
        <w:t>on</w:t>
      </w:r>
      <w:r w:rsidR="00673ED9" w:rsidRPr="000309B0">
        <w:rPr>
          <w:rFonts w:asciiTheme="majorHAnsi" w:hAnsiTheme="majorHAnsi" w:cstheme="majorHAnsi"/>
          <w:b/>
          <w:sz w:val="24"/>
        </w:rPr>
        <w:t xml:space="preserve"> </w:t>
      </w:r>
      <w:r w:rsidR="00673ED9" w:rsidRPr="0025766A">
        <w:rPr>
          <w:rFonts w:asciiTheme="majorHAnsi" w:hAnsiTheme="majorHAnsi" w:cstheme="majorHAnsi"/>
          <w:sz w:val="24"/>
        </w:rPr>
        <w:t>13 22 62</w:t>
      </w:r>
      <w:r w:rsidR="00673ED9" w:rsidRPr="000309B0">
        <w:rPr>
          <w:rFonts w:asciiTheme="majorHAnsi" w:hAnsiTheme="majorHAnsi" w:cstheme="majorHAnsi"/>
          <w:b/>
          <w:sz w:val="24"/>
        </w:rPr>
        <w:t xml:space="preserve"> </w:t>
      </w:r>
      <w:r w:rsidR="00673ED9" w:rsidRPr="0025766A">
        <w:rPr>
          <w:rFonts w:asciiTheme="majorHAnsi" w:hAnsiTheme="majorHAnsi" w:cstheme="majorHAnsi"/>
          <w:sz w:val="24"/>
        </w:rPr>
        <w:t xml:space="preserve">or via email at </w:t>
      </w:r>
      <w:hyperlink r:id="rId13" w:history="1">
        <w:r w:rsidR="00673ED9" w:rsidRPr="0025766A">
          <w:rPr>
            <w:rStyle w:val="Hyperlink"/>
            <w:rFonts w:asciiTheme="majorHAnsi" w:hAnsiTheme="majorHAnsi" w:cstheme="majorHAnsi"/>
            <w:sz w:val="24"/>
          </w:rPr>
          <w:t>advice@acnc.gov.au</w:t>
        </w:r>
      </w:hyperlink>
      <w:r w:rsidR="0071533B" w:rsidRPr="0025766A">
        <w:rPr>
          <w:rFonts w:asciiTheme="majorHAnsi" w:hAnsiTheme="majorHAnsi" w:cstheme="majorHAnsi"/>
          <w:sz w:val="24"/>
        </w:rPr>
        <w:t>.</w:t>
      </w:r>
    </w:p>
    <w:p w:rsidR="000309B0" w:rsidRPr="000309B0" w:rsidRDefault="000309B0" w:rsidP="00500544">
      <w:pPr>
        <w:spacing w:line="240" w:lineRule="auto"/>
        <w:contextualSpacing/>
        <w:rPr>
          <w:rFonts w:asciiTheme="majorHAnsi" w:hAnsiTheme="majorHAnsi" w:cstheme="majorHAnsi"/>
          <w:b/>
          <w:sz w:val="12"/>
          <w:szCs w:val="12"/>
        </w:rPr>
      </w:pPr>
    </w:p>
    <w:p w:rsidR="00713D1C" w:rsidRPr="003D6045" w:rsidRDefault="00673ED9" w:rsidP="00E274C1">
      <w:pPr>
        <w:spacing w:after="0" w:line="240" w:lineRule="auto"/>
        <w:contextualSpacing/>
        <w:rPr>
          <w:rFonts w:asciiTheme="majorHAnsi" w:hAnsiTheme="majorHAnsi" w:cstheme="majorHAnsi"/>
          <w:sz w:val="24"/>
        </w:rPr>
      </w:pPr>
      <w:r w:rsidRPr="003D6045">
        <w:rPr>
          <w:rFonts w:asciiTheme="majorHAnsi" w:hAnsiTheme="majorHAnsi" w:cstheme="majorHAnsi"/>
          <w:sz w:val="24"/>
        </w:rPr>
        <w:t xml:space="preserve">The ACNC has entered into </w:t>
      </w:r>
      <w:r w:rsidR="003D6045">
        <w:rPr>
          <w:rFonts w:asciiTheme="majorHAnsi" w:hAnsiTheme="majorHAnsi" w:cstheme="majorHAnsi"/>
          <w:sz w:val="24"/>
        </w:rPr>
        <w:t>memoranda of understanding</w:t>
      </w:r>
      <w:r w:rsidR="003D6045" w:rsidRPr="003D6045">
        <w:rPr>
          <w:rFonts w:asciiTheme="majorHAnsi" w:hAnsiTheme="majorHAnsi" w:cstheme="majorHAnsi"/>
          <w:sz w:val="24"/>
        </w:rPr>
        <w:t xml:space="preserve"> </w:t>
      </w:r>
      <w:r w:rsidR="003D6045">
        <w:rPr>
          <w:rFonts w:asciiTheme="majorHAnsi" w:hAnsiTheme="majorHAnsi" w:cstheme="majorHAnsi"/>
          <w:sz w:val="24"/>
        </w:rPr>
        <w:t xml:space="preserve">(MOUs) </w:t>
      </w:r>
      <w:r w:rsidR="003D6045" w:rsidRPr="003D6045">
        <w:rPr>
          <w:rFonts w:asciiTheme="majorHAnsi" w:hAnsiTheme="majorHAnsi" w:cstheme="majorHAnsi"/>
          <w:sz w:val="24"/>
        </w:rPr>
        <w:t xml:space="preserve">with the Australian Securities and Investments Commission (ASIC) and the Registrar of Indigenous </w:t>
      </w:r>
      <w:r w:rsidR="003D6045">
        <w:rPr>
          <w:rFonts w:asciiTheme="majorHAnsi" w:hAnsiTheme="majorHAnsi" w:cstheme="majorHAnsi"/>
          <w:sz w:val="24"/>
        </w:rPr>
        <w:t xml:space="preserve">Corporations regarding the reporting and regulation of charities under the </w:t>
      </w:r>
      <w:r w:rsidR="003D6045" w:rsidRPr="003D6045">
        <w:rPr>
          <w:rFonts w:asciiTheme="majorHAnsi" w:hAnsiTheme="majorHAnsi" w:cstheme="majorHAnsi"/>
          <w:i/>
          <w:sz w:val="24"/>
        </w:rPr>
        <w:t>Corporations Act 2001</w:t>
      </w:r>
      <w:r w:rsidR="003D6045" w:rsidRPr="003D6045">
        <w:rPr>
          <w:rFonts w:asciiTheme="majorHAnsi" w:hAnsiTheme="majorHAnsi" w:cstheme="majorHAnsi"/>
          <w:sz w:val="24"/>
        </w:rPr>
        <w:t xml:space="preserve"> </w:t>
      </w:r>
      <w:r w:rsidR="003D6045">
        <w:rPr>
          <w:rFonts w:asciiTheme="majorHAnsi" w:hAnsiTheme="majorHAnsi" w:cstheme="majorHAnsi"/>
          <w:sz w:val="24"/>
        </w:rPr>
        <w:t>and</w:t>
      </w:r>
      <w:r w:rsidR="003D6045" w:rsidRPr="003D6045">
        <w:rPr>
          <w:rFonts w:asciiTheme="majorHAnsi" w:hAnsiTheme="majorHAnsi" w:cstheme="majorHAnsi"/>
          <w:sz w:val="24"/>
        </w:rPr>
        <w:t xml:space="preserve"> the </w:t>
      </w:r>
      <w:r w:rsidR="003D6045" w:rsidRPr="003D6045">
        <w:rPr>
          <w:rFonts w:asciiTheme="majorHAnsi" w:hAnsiTheme="majorHAnsi" w:cstheme="majorHAnsi"/>
          <w:i/>
          <w:sz w:val="24"/>
        </w:rPr>
        <w:t>Corporations (Aboriginal and Torres Strait Islander) Act 2006</w:t>
      </w:r>
      <w:r w:rsidR="003D6045">
        <w:rPr>
          <w:rFonts w:asciiTheme="majorHAnsi" w:hAnsiTheme="majorHAnsi" w:cstheme="majorHAnsi"/>
          <w:sz w:val="24"/>
        </w:rPr>
        <w:t xml:space="preserve">. Details of the MOUs </w:t>
      </w:r>
      <w:r w:rsidR="00A83A4E">
        <w:rPr>
          <w:rFonts w:asciiTheme="majorHAnsi" w:hAnsiTheme="majorHAnsi" w:cstheme="majorHAnsi"/>
          <w:sz w:val="24"/>
        </w:rPr>
        <w:t xml:space="preserve">are </w:t>
      </w:r>
      <w:r w:rsidR="00713D1C" w:rsidRPr="003D6045">
        <w:rPr>
          <w:rFonts w:asciiTheme="majorHAnsi" w:hAnsiTheme="majorHAnsi" w:cstheme="majorHAnsi"/>
          <w:sz w:val="24"/>
        </w:rPr>
        <w:t xml:space="preserve">available </w:t>
      </w:r>
      <w:r w:rsidR="00A83A4E">
        <w:rPr>
          <w:rFonts w:asciiTheme="majorHAnsi" w:hAnsiTheme="majorHAnsi" w:cstheme="majorHAnsi"/>
          <w:sz w:val="24"/>
        </w:rPr>
        <w:t>at</w:t>
      </w:r>
      <w:r w:rsidR="00713D1C" w:rsidRPr="003D6045">
        <w:rPr>
          <w:rFonts w:asciiTheme="majorHAnsi" w:hAnsiTheme="majorHAnsi" w:cstheme="majorHAnsi"/>
          <w:sz w:val="24"/>
        </w:rPr>
        <w:t>:</w:t>
      </w:r>
    </w:p>
    <w:p w:rsidR="00713D1C" w:rsidRPr="003D6045" w:rsidRDefault="00B74008" w:rsidP="003D0139">
      <w:pPr>
        <w:pStyle w:val="ListParagraph"/>
        <w:numPr>
          <w:ilvl w:val="0"/>
          <w:numId w:val="36"/>
        </w:numPr>
      </w:pPr>
      <w:hyperlink r:id="rId14" w:tooltip="Australian Securities and Investments Commission website" w:history="1">
        <w:r w:rsidR="00540316">
          <w:rPr>
            <w:rStyle w:val="Hyperlink"/>
            <w:rFonts w:asciiTheme="majorHAnsi" w:hAnsiTheme="majorHAnsi" w:cstheme="majorHAnsi"/>
            <w:sz w:val="24"/>
          </w:rPr>
          <w:t>'ASIC</w:t>
        </w:r>
        <w:r w:rsidR="006D0A14">
          <w:rPr>
            <w:rStyle w:val="Hyperlink"/>
            <w:rFonts w:asciiTheme="majorHAnsi" w:hAnsiTheme="majorHAnsi" w:cstheme="majorHAnsi"/>
            <w:sz w:val="24"/>
          </w:rPr>
          <w:t>/ACNC MOU</w:t>
        </w:r>
        <w:r w:rsidR="00540316">
          <w:rPr>
            <w:rStyle w:val="Hyperlink"/>
            <w:rFonts w:asciiTheme="majorHAnsi" w:hAnsiTheme="majorHAnsi" w:cstheme="majorHAnsi"/>
            <w:sz w:val="24"/>
          </w:rPr>
          <w:t>'</w:t>
        </w:r>
      </w:hyperlink>
    </w:p>
    <w:p w:rsidR="002243D4" w:rsidRPr="003D6045" w:rsidRDefault="00B74008" w:rsidP="003D0139">
      <w:pPr>
        <w:pStyle w:val="ListParagraph"/>
        <w:numPr>
          <w:ilvl w:val="0"/>
          <w:numId w:val="36"/>
        </w:numPr>
      </w:pPr>
      <w:hyperlink r:id="rId15" w:tooltip="ORIC website" w:history="1">
        <w:r w:rsidR="00CC0DAC">
          <w:rPr>
            <w:rStyle w:val="Hyperlink"/>
            <w:rFonts w:asciiTheme="majorHAnsi" w:hAnsiTheme="majorHAnsi" w:cstheme="majorHAnsi"/>
            <w:sz w:val="24"/>
          </w:rPr>
          <w:t>'Registrar of Indigenous Corporations</w:t>
        </w:r>
        <w:r w:rsidR="006D0A14">
          <w:rPr>
            <w:rStyle w:val="Hyperlink"/>
            <w:rFonts w:asciiTheme="majorHAnsi" w:hAnsiTheme="majorHAnsi" w:cstheme="majorHAnsi"/>
            <w:sz w:val="24"/>
          </w:rPr>
          <w:t>/ACNC MOU</w:t>
        </w:r>
        <w:r w:rsidR="00CC0DAC">
          <w:rPr>
            <w:rStyle w:val="Hyperlink"/>
            <w:rFonts w:asciiTheme="majorHAnsi" w:hAnsiTheme="majorHAnsi" w:cstheme="majorHAnsi"/>
            <w:sz w:val="24"/>
          </w:rPr>
          <w:t>'</w:t>
        </w:r>
      </w:hyperlink>
    </w:p>
    <w:sectPr w:rsidR="002243D4" w:rsidRPr="003D6045" w:rsidSect="0081528E">
      <w:headerReference w:type="default" r:id="rId16"/>
      <w:footerReference w:type="default" r:id="rId17"/>
      <w:headerReference w:type="first" r:id="rId18"/>
      <w:footerReference w:type="first" r:id="rId19"/>
      <w:pgSz w:w="11900" w:h="16840"/>
      <w:pgMar w:top="-640" w:right="851" w:bottom="851" w:left="2041"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08" w:rsidRDefault="00B74008" w:rsidP="00CF065A">
      <w:r>
        <w:separator/>
      </w:r>
    </w:p>
  </w:endnote>
  <w:endnote w:type="continuationSeparator" w:id="0">
    <w:p w:rsidR="00B74008" w:rsidRDefault="00B74008" w:rsidP="00CF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16073"/>
      <w:docPartObj>
        <w:docPartGallery w:val="Page Numbers (Bottom of Page)"/>
        <w:docPartUnique/>
      </w:docPartObj>
    </w:sdtPr>
    <w:sdtEndPr>
      <w:rPr>
        <w:noProof/>
      </w:rPr>
    </w:sdtEndPr>
    <w:sdtContent>
      <w:p w:rsidR="007141FE" w:rsidRDefault="007141FE">
        <w:pPr>
          <w:pStyle w:val="Footer"/>
          <w:jc w:val="center"/>
        </w:pPr>
        <w:r>
          <w:fldChar w:fldCharType="begin"/>
        </w:r>
        <w:r>
          <w:instrText xml:space="preserve"> PAGE   \* MERGEFORMAT </w:instrText>
        </w:r>
        <w:r>
          <w:fldChar w:fldCharType="separate"/>
        </w:r>
        <w:r w:rsidR="005B728E">
          <w:rPr>
            <w:noProof/>
          </w:rPr>
          <w:t>2</w:t>
        </w:r>
        <w:r>
          <w:rPr>
            <w:noProof/>
          </w:rPr>
          <w:fldChar w:fldCharType="end"/>
        </w:r>
      </w:p>
    </w:sdtContent>
  </w:sdt>
  <w:p w:rsidR="007141FE" w:rsidRDefault="007141FE" w:rsidP="004128BF">
    <w:pPr>
      <w:pStyle w:val="Footer"/>
      <w:tabs>
        <w:tab w:val="clear" w:pos="4320"/>
        <w:tab w:val="clear" w:pos="8640"/>
        <w:tab w:val="left" w:pos="2820"/>
      </w:tabs>
      <w:ind w:right="-45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E" w:rsidRDefault="007141FE" w:rsidP="004128BF">
    <w:pPr>
      <w:pStyle w:val="Footer"/>
      <w:ind w:right="-45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08" w:rsidRDefault="00B74008" w:rsidP="00CF065A">
      <w:r>
        <w:separator/>
      </w:r>
    </w:p>
  </w:footnote>
  <w:footnote w:type="continuationSeparator" w:id="0">
    <w:p w:rsidR="00B74008" w:rsidRDefault="00B74008" w:rsidP="00CF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E" w:rsidRDefault="007141FE" w:rsidP="0081528E">
    <w:pPr>
      <w:pStyle w:val="Header"/>
      <w:ind w:left="-1988"/>
    </w:pPr>
    <w:r>
      <w:rPr>
        <w:noProof/>
        <w:lang w:eastAsia="en-AU"/>
      </w:rPr>
      <w:drawing>
        <wp:inline distT="0" distB="0" distL="0" distR="0" wp14:anchorId="4344C5DF" wp14:editId="4067CC7C">
          <wp:extent cx="1150346" cy="3031067"/>
          <wp:effectExtent l="0" t="0" r="0" b="0"/>
          <wp:docPr id="37" name="Picture 37" descr="Decorative image only" title="Decorative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image3.jpg"/>
                  <pic:cNvPicPr/>
                </pic:nvPicPr>
                <pic:blipFill>
                  <a:blip r:embed="rId1">
                    <a:extLst>
                      <a:ext uri="{28A0092B-C50C-407E-A947-70E740481C1C}">
                        <a14:useLocalDpi xmlns:a14="http://schemas.microsoft.com/office/drawing/2010/main" val="0"/>
                      </a:ext>
                    </a:extLst>
                  </a:blip>
                  <a:stretch>
                    <a:fillRect/>
                  </a:stretch>
                </pic:blipFill>
                <pic:spPr>
                  <a:xfrm>
                    <a:off x="0" y="0"/>
                    <a:ext cx="1151500" cy="3034108"/>
                  </a:xfrm>
                  <a:prstGeom prst="rect">
                    <a:avLst/>
                  </a:prstGeom>
                </pic:spPr>
              </pic:pic>
            </a:graphicData>
          </a:graphic>
        </wp:inline>
      </w:drawing>
    </w:r>
  </w:p>
  <w:p w:rsidR="007141FE" w:rsidRPr="00CF065A" w:rsidRDefault="007141FE" w:rsidP="0081528E">
    <w:pPr>
      <w:pStyle w:val="Header"/>
      <w:ind w:left="-19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E" w:rsidRDefault="007141FE" w:rsidP="000C6BA7">
    <w:pPr>
      <w:pStyle w:val="Header"/>
      <w:ind w:hanging="851"/>
    </w:pPr>
    <w:r>
      <w:rPr>
        <w:noProof/>
        <w:lang w:eastAsia="en-AU"/>
      </w:rPr>
      <mc:AlternateContent>
        <mc:Choice Requires="wps">
          <w:drawing>
            <wp:anchor distT="0" distB="0" distL="114300" distR="114300" simplePos="0" relativeHeight="251656190" behindDoc="0" locked="0" layoutInCell="1" allowOverlap="1" wp14:anchorId="691C8E08" wp14:editId="0781B2B5">
              <wp:simplePos x="0" y="0"/>
              <wp:positionH relativeFrom="column">
                <wp:posOffset>-1499235</wp:posOffset>
              </wp:positionH>
              <wp:positionV relativeFrom="paragraph">
                <wp:posOffset>-152400</wp:posOffset>
              </wp:positionV>
              <wp:extent cx="8674735" cy="1100687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735" cy="1100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141FE" w:rsidRDefault="007141FE">
                          <w:r>
                            <w:rPr>
                              <w:noProof/>
                              <w:lang w:eastAsia="en-AU"/>
                            </w:rPr>
                            <w:drawing>
                              <wp:inline distT="0" distB="0" distL="0" distR="0" wp14:anchorId="492D76AC" wp14:editId="702E885C">
                                <wp:extent cx="1066800" cy="10792899"/>
                                <wp:effectExtent l="0" t="0" r="0" b="8890"/>
                                <wp:docPr id="48" name="Picture 48" descr="Decorative image only" title="Decorative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image1.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79289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05pt;margin-top:-12pt;width:683.05pt;height:866.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" filled="f" stroked="f">
              <v:textbox inset=",7.2pt,,7.2pt">
                <w:txbxContent>
                  <w:p w:rsidR="007141FE" w:rsidRDefault="007141FE">
                    <w:r>
                      <w:rPr>
                        <w:noProof/>
                        <w:lang w:eastAsia="en-AU"/>
                      </w:rPr>
                      <w:drawing>
                        <wp:inline distT="0" distB="0" distL="0" distR="0" wp14:anchorId="492D76AC" wp14:editId="702E885C">
                          <wp:extent cx="1066800" cy="10792899"/>
                          <wp:effectExtent l="0" t="0" r="0" b="8890"/>
                          <wp:docPr id="48" name="Picture 48" descr="Decorative image only" title="Decorative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image1.jpg"/>
                                  <pic:cNvPicPr/>
                                </pic:nvPicPr>
                                <pic:blipFill>
                                  <a:blip r:embed="rId2">
                                    <a:extLst>
                                      <a:ext uri="{28A0092B-C50C-407E-A947-70E740481C1C}">
                                        <a14:useLocalDpi xmlns:a14="http://schemas.microsoft.com/office/drawing/2010/main" val="0"/>
                                      </a:ext>
                                    </a:extLst>
                                  </a:blip>
                                  <a:stretch>
                                    <a:fillRect/>
                                  </a:stretch>
                                </pic:blipFill>
                                <pic:spPr>
                                  <a:xfrm>
                                    <a:off x="0" y="0"/>
                                    <a:ext cx="1066800" cy="1079289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61F"/>
    <w:multiLevelType w:val="hybridMultilevel"/>
    <w:tmpl w:val="FD52B8EC"/>
    <w:lvl w:ilvl="0" w:tplc="794481CC">
      <w:start w:val="1"/>
      <w:numFmt w:val="bullet"/>
      <w:lvlText w:val=""/>
      <w:lvlJc w:val="left"/>
      <w:pPr>
        <w:ind w:left="720" w:hanging="360"/>
      </w:pPr>
      <w:rPr>
        <w:rFonts w:ascii="Symbol" w:hAnsi="Symbol" w:hint="default"/>
        <w:color w:val="E36C0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C1C09"/>
    <w:multiLevelType w:val="hybridMultilevel"/>
    <w:tmpl w:val="7C30DE26"/>
    <w:lvl w:ilvl="0" w:tplc="785CC6C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F0EED"/>
    <w:multiLevelType w:val="hybridMultilevel"/>
    <w:tmpl w:val="A430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B45D6"/>
    <w:multiLevelType w:val="hybridMultilevel"/>
    <w:tmpl w:val="CEE0FB8C"/>
    <w:lvl w:ilvl="0" w:tplc="785CC6C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C29AB"/>
    <w:multiLevelType w:val="multilevel"/>
    <w:tmpl w:val="2940F5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957F6A"/>
    <w:multiLevelType w:val="hybridMultilevel"/>
    <w:tmpl w:val="1632C20E"/>
    <w:lvl w:ilvl="0" w:tplc="29E47900">
      <w:start w:val="1"/>
      <w:numFmt w:val="bullet"/>
      <w:pStyle w:val="ListParagraph"/>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F03F4"/>
    <w:multiLevelType w:val="hybridMultilevel"/>
    <w:tmpl w:val="AAE8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30DF1"/>
    <w:multiLevelType w:val="hybridMultilevel"/>
    <w:tmpl w:val="DFAA368C"/>
    <w:lvl w:ilvl="0" w:tplc="0704756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DD2AB4"/>
    <w:multiLevelType w:val="hybridMultilevel"/>
    <w:tmpl w:val="F170E4B2"/>
    <w:lvl w:ilvl="0" w:tplc="31DA07FA">
      <w:start w:val="1"/>
      <w:numFmt w:val="bullet"/>
      <w:lvlText w:val=""/>
      <w:lvlJc w:val="left"/>
      <w:pPr>
        <w:tabs>
          <w:tab w:val="num" w:pos="1004"/>
        </w:tabs>
        <w:ind w:left="1004" w:hanging="284"/>
      </w:pPr>
      <w:rPr>
        <w:rFonts w:ascii="Symbol" w:hAnsi="Symbol" w:hint="default"/>
        <w:color w:val="E36C0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47F3E"/>
    <w:multiLevelType w:val="multilevel"/>
    <w:tmpl w:val="402E992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03765CC"/>
    <w:multiLevelType w:val="hybridMultilevel"/>
    <w:tmpl w:val="2F7AD3CE"/>
    <w:lvl w:ilvl="0" w:tplc="75B62420">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256A4"/>
    <w:multiLevelType w:val="hybridMultilevel"/>
    <w:tmpl w:val="294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164A9"/>
    <w:multiLevelType w:val="hybridMultilevel"/>
    <w:tmpl w:val="DE82D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8C07E5"/>
    <w:multiLevelType w:val="hybridMultilevel"/>
    <w:tmpl w:val="F91EB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0297F"/>
    <w:multiLevelType w:val="hybridMultilevel"/>
    <w:tmpl w:val="6D3AB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59097D"/>
    <w:multiLevelType w:val="hybridMultilevel"/>
    <w:tmpl w:val="839C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623EBC"/>
    <w:multiLevelType w:val="hybridMultilevel"/>
    <w:tmpl w:val="E7DECF40"/>
    <w:lvl w:ilvl="0" w:tplc="68F04F0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FB7403"/>
    <w:multiLevelType w:val="hybridMultilevel"/>
    <w:tmpl w:val="9C144A86"/>
    <w:lvl w:ilvl="0" w:tplc="794481CC">
      <w:start w:val="1"/>
      <w:numFmt w:val="bullet"/>
      <w:lvlText w:val=""/>
      <w:lvlJc w:val="left"/>
      <w:pPr>
        <w:tabs>
          <w:tab w:val="num" w:pos="284"/>
        </w:tabs>
        <w:ind w:left="284" w:hanging="284"/>
      </w:pPr>
      <w:rPr>
        <w:rFonts w:ascii="Symbol" w:hAnsi="Symbol"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63CBF"/>
    <w:multiLevelType w:val="hybridMultilevel"/>
    <w:tmpl w:val="46E8921A"/>
    <w:lvl w:ilvl="0" w:tplc="9D4CF7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D4B23"/>
    <w:multiLevelType w:val="hybridMultilevel"/>
    <w:tmpl w:val="876A7BD8"/>
    <w:lvl w:ilvl="0" w:tplc="ADBA25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E0487"/>
    <w:multiLevelType w:val="hybridMultilevel"/>
    <w:tmpl w:val="B61E0F4C"/>
    <w:lvl w:ilvl="0" w:tplc="0C090017">
      <w:start w:val="1"/>
      <w:numFmt w:val="lowerLetter"/>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21">
    <w:nsid w:val="4D4F08CB"/>
    <w:multiLevelType w:val="hybridMultilevel"/>
    <w:tmpl w:val="1F8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53F60"/>
    <w:multiLevelType w:val="hybridMultilevel"/>
    <w:tmpl w:val="D096BBAE"/>
    <w:lvl w:ilvl="0" w:tplc="785CC6C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531790"/>
    <w:multiLevelType w:val="hybridMultilevel"/>
    <w:tmpl w:val="6048063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26F6450"/>
    <w:multiLevelType w:val="hybridMultilevel"/>
    <w:tmpl w:val="52CCC82E"/>
    <w:lvl w:ilvl="0" w:tplc="785CC6C4">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B07A4"/>
    <w:multiLevelType w:val="hybridMultilevel"/>
    <w:tmpl w:val="9122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18"/>
  </w:num>
  <w:num w:numId="5">
    <w:abstractNumId w:val="9"/>
  </w:num>
  <w:num w:numId="6">
    <w:abstractNumId w:val="17"/>
  </w:num>
  <w:num w:numId="7">
    <w:abstractNumId w:val="8"/>
  </w:num>
  <w:num w:numId="8">
    <w:abstractNumId w:val="14"/>
  </w:num>
  <w:num w:numId="9">
    <w:abstractNumId w:val="17"/>
  </w:num>
  <w:num w:numId="10">
    <w:abstractNumId w:val="17"/>
  </w:num>
  <w:num w:numId="11">
    <w:abstractNumId w:val="17"/>
  </w:num>
  <w:num w:numId="12">
    <w:abstractNumId w:val="17"/>
  </w:num>
  <w:num w:numId="13">
    <w:abstractNumId w:val="17"/>
  </w:num>
  <w:num w:numId="14">
    <w:abstractNumId w:val="13"/>
  </w:num>
  <w:num w:numId="15">
    <w:abstractNumId w:val="17"/>
  </w:num>
  <w:num w:numId="16">
    <w:abstractNumId w:val="22"/>
  </w:num>
  <w:num w:numId="17">
    <w:abstractNumId w:val="16"/>
  </w:num>
  <w:num w:numId="18">
    <w:abstractNumId w:val="10"/>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17"/>
  </w:num>
  <w:num w:numId="22">
    <w:abstractNumId w:val="17"/>
  </w:num>
  <w:num w:numId="23">
    <w:abstractNumId w:val="17"/>
  </w:num>
  <w:num w:numId="24">
    <w:abstractNumId w:val="6"/>
  </w:num>
  <w:num w:numId="25">
    <w:abstractNumId w:val="17"/>
  </w:num>
  <w:num w:numId="26">
    <w:abstractNumId w:val="17"/>
  </w:num>
  <w:num w:numId="27">
    <w:abstractNumId w:val="17"/>
  </w:num>
  <w:num w:numId="28">
    <w:abstractNumId w:val="20"/>
  </w:num>
  <w:num w:numId="29">
    <w:abstractNumId w:val="25"/>
  </w:num>
  <w:num w:numId="30">
    <w:abstractNumId w:val="2"/>
  </w:num>
  <w:num w:numId="31">
    <w:abstractNumId w:val="19"/>
  </w:num>
  <w:num w:numId="32">
    <w:abstractNumId w:val="0"/>
  </w:num>
  <w:num w:numId="33">
    <w:abstractNumId w:val="24"/>
  </w:num>
  <w:num w:numId="34">
    <w:abstractNumId w:val="1"/>
  </w:num>
  <w:num w:numId="35">
    <w:abstractNumId w:val="7"/>
  </w:num>
  <w:num w:numId="36">
    <w:abstractNumId w:val="3"/>
  </w:num>
  <w:num w:numId="37">
    <w:abstractNumId w:val="12"/>
  </w:num>
  <w:num w:numId="38">
    <w:abstractNumId w:val="19"/>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6C"/>
    <w:rsid w:val="00004D8A"/>
    <w:rsid w:val="00027E2E"/>
    <w:rsid w:val="000309B0"/>
    <w:rsid w:val="00035A74"/>
    <w:rsid w:val="00037A5E"/>
    <w:rsid w:val="00065000"/>
    <w:rsid w:val="000836D1"/>
    <w:rsid w:val="000874F7"/>
    <w:rsid w:val="000B235B"/>
    <w:rsid w:val="000C59E0"/>
    <w:rsid w:val="000C6BA7"/>
    <w:rsid w:val="000E0EA0"/>
    <w:rsid w:val="000E6FF6"/>
    <w:rsid w:val="000F173C"/>
    <w:rsid w:val="0010015D"/>
    <w:rsid w:val="00102916"/>
    <w:rsid w:val="0011558C"/>
    <w:rsid w:val="0012518A"/>
    <w:rsid w:val="00161F67"/>
    <w:rsid w:val="00184A6C"/>
    <w:rsid w:val="001853AE"/>
    <w:rsid w:val="00193E1E"/>
    <w:rsid w:val="0019446C"/>
    <w:rsid w:val="001B3F16"/>
    <w:rsid w:val="001B482B"/>
    <w:rsid w:val="001B6C36"/>
    <w:rsid w:val="001C1B60"/>
    <w:rsid w:val="001C4077"/>
    <w:rsid w:val="001C420E"/>
    <w:rsid w:val="001C5CCB"/>
    <w:rsid w:val="001D622A"/>
    <w:rsid w:val="001E10A2"/>
    <w:rsid w:val="0020508A"/>
    <w:rsid w:val="0021103A"/>
    <w:rsid w:val="002122AB"/>
    <w:rsid w:val="002136D2"/>
    <w:rsid w:val="002243D4"/>
    <w:rsid w:val="00251609"/>
    <w:rsid w:val="002566DF"/>
    <w:rsid w:val="0025766A"/>
    <w:rsid w:val="00265588"/>
    <w:rsid w:val="0027795A"/>
    <w:rsid w:val="00286819"/>
    <w:rsid w:val="002876D9"/>
    <w:rsid w:val="00291D80"/>
    <w:rsid w:val="002A3C5A"/>
    <w:rsid w:val="002B1AC6"/>
    <w:rsid w:val="002C725D"/>
    <w:rsid w:val="002F3A40"/>
    <w:rsid w:val="003005EF"/>
    <w:rsid w:val="00306E0A"/>
    <w:rsid w:val="003234DF"/>
    <w:rsid w:val="003276EC"/>
    <w:rsid w:val="00330E76"/>
    <w:rsid w:val="003506E1"/>
    <w:rsid w:val="00354CA3"/>
    <w:rsid w:val="00355A29"/>
    <w:rsid w:val="003654A8"/>
    <w:rsid w:val="00391547"/>
    <w:rsid w:val="003931EE"/>
    <w:rsid w:val="003951D4"/>
    <w:rsid w:val="003978D0"/>
    <w:rsid w:val="003B4267"/>
    <w:rsid w:val="003D0139"/>
    <w:rsid w:val="003D1928"/>
    <w:rsid w:val="003D6045"/>
    <w:rsid w:val="003F1304"/>
    <w:rsid w:val="003F599E"/>
    <w:rsid w:val="004128BF"/>
    <w:rsid w:val="00415AFC"/>
    <w:rsid w:val="004331DD"/>
    <w:rsid w:val="004421DA"/>
    <w:rsid w:val="0046332E"/>
    <w:rsid w:val="004652D8"/>
    <w:rsid w:val="0049118A"/>
    <w:rsid w:val="0049556A"/>
    <w:rsid w:val="004B42B4"/>
    <w:rsid w:val="004E698A"/>
    <w:rsid w:val="004F6984"/>
    <w:rsid w:val="00500544"/>
    <w:rsid w:val="0050584B"/>
    <w:rsid w:val="0050763A"/>
    <w:rsid w:val="00532F79"/>
    <w:rsid w:val="00540316"/>
    <w:rsid w:val="00551D31"/>
    <w:rsid w:val="00590B58"/>
    <w:rsid w:val="005A1590"/>
    <w:rsid w:val="005A1728"/>
    <w:rsid w:val="005B550F"/>
    <w:rsid w:val="005B728E"/>
    <w:rsid w:val="005B7574"/>
    <w:rsid w:val="005D1C45"/>
    <w:rsid w:val="005D6022"/>
    <w:rsid w:val="005E577A"/>
    <w:rsid w:val="00650463"/>
    <w:rsid w:val="00673ED9"/>
    <w:rsid w:val="00674D49"/>
    <w:rsid w:val="006757E7"/>
    <w:rsid w:val="00687A86"/>
    <w:rsid w:val="00693A1E"/>
    <w:rsid w:val="006A0714"/>
    <w:rsid w:val="006D0A14"/>
    <w:rsid w:val="006F268C"/>
    <w:rsid w:val="00702539"/>
    <w:rsid w:val="00713D1C"/>
    <w:rsid w:val="007141FE"/>
    <w:rsid w:val="0071533B"/>
    <w:rsid w:val="00721927"/>
    <w:rsid w:val="007269E5"/>
    <w:rsid w:val="00734621"/>
    <w:rsid w:val="00744D8F"/>
    <w:rsid w:val="0075593C"/>
    <w:rsid w:val="00762A50"/>
    <w:rsid w:val="00774DA2"/>
    <w:rsid w:val="00785BB1"/>
    <w:rsid w:val="007A0B05"/>
    <w:rsid w:val="007C48F2"/>
    <w:rsid w:val="007C633F"/>
    <w:rsid w:val="007D3673"/>
    <w:rsid w:val="007D4030"/>
    <w:rsid w:val="007D59D9"/>
    <w:rsid w:val="007E105B"/>
    <w:rsid w:val="007F1780"/>
    <w:rsid w:val="00800EB3"/>
    <w:rsid w:val="0080390C"/>
    <w:rsid w:val="0081528E"/>
    <w:rsid w:val="00824B30"/>
    <w:rsid w:val="0082522B"/>
    <w:rsid w:val="00844652"/>
    <w:rsid w:val="00855072"/>
    <w:rsid w:val="0086635B"/>
    <w:rsid w:val="0087615E"/>
    <w:rsid w:val="00876D5B"/>
    <w:rsid w:val="008A604D"/>
    <w:rsid w:val="008A7A4A"/>
    <w:rsid w:val="008B53EB"/>
    <w:rsid w:val="008D0460"/>
    <w:rsid w:val="008D0EA4"/>
    <w:rsid w:val="008D2AB3"/>
    <w:rsid w:val="008D7397"/>
    <w:rsid w:val="008E14F9"/>
    <w:rsid w:val="008E4BC6"/>
    <w:rsid w:val="00901295"/>
    <w:rsid w:val="00911373"/>
    <w:rsid w:val="00914EA6"/>
    <w:rsid w:val="00915363"/>
    <w:rsid w:val="00927F64"/>
    <w:rsid w:val="009302C3"/>
    <w:rsid w:val="00957962"/>
    <w:rsid w:val="0096076F"/>
    <w:rsid w:val="00977E49"/>
    <w:rsid w:val="009863BF"/>
    <w:rsid w:val="009B3AA8"/>
    <w:rsid w:val="009B5C40"/>
    <w:rsid w:val="009B6400"/>
    <w:rsid w:val="009D6CB3"/>
    <w:rsid w:val="009F116E"/>
    <w:rsid w:val="009F3FF6"/>
    <w:rsid w:val="00A05E5C"/>
    <w:rsid w:val="00A1300E"/>
    <w:rsid w:val="00A13D01"/>
    <w:rsid w:val="00A222B6"/>
    <w:rsid w:val="00A63C7F"/>
    <w:rsid w:val="00A654F1"/>
    <w:rsid w:val="00A777B9"/>
    <w:rsid w:val="00A82AA3"/>
    <w:rsid w:val="00A83A4E"/>
    <w:rsid w:val="00A92D97"/>
    <w:rsid w:val="00AA1B0E"/>
    <w:rsid w:val="00AA2320"/>
    <w:rsid w:val="00AA5464"/>
    <w:rsid w:val="00AC48FF"/>
    <w:rsid w:val="00AD288E"/>
    <w:rsid w:val="00AD6165"/>
    <w:rsid w:val="00AE378F"/>
    <w:rsid w:val="00AE52BC"/>
    <w:rsid w:val="00AF7726"/>
    <w:rsid w:val="00B3230E"/>
    <w:rsid w:val="00B56DA2"/>
    <w:rsid w:val="00B67D14"/>
    <w:rsid w:val="00B74008"/>
    <w:rsid w:val="00B9350C"/>
    <w:rsid w:val="00BA64BC"/>
    <w:rsid w:val="00BC0C07"/>
    <w:rsid w:val="00BC16CE"/>
    <w:rsid w:val="00BD66D7"/>
    <w:rsid w:val="00C02423"/>
    <w:rsid w:val="00C33076"/>
    <w:rsid w:val="00C37D85"/>
    <w:rsid w:val="00C41F4B"/>
    <w:rsid w:val="00C44F96"/>
    <w:rsid w:val="00C471DE"/>
    <w:rsid w:val="00C518CC"/>
    <w:rsid w:val="00C60CC4"/>
    <w:rsid w:val="00C63BA4"/>
    <w:rsid w:val="00C76297"/>
    <w:rsid w:val="00C8776A"/>
    <w:rsid w:val="00C87AFB"/>
    <w:rsid w:val="00C90B42"/>
    <w:rsid w:val="00C92BBC"/>
    <w:rsid w:val="00C96C44"/>
    <w:rsid w:val="00C970B9"/>
    <w:rsid w:val="00CA254F"/>
    <w:rsid w:val="00CB64E4"/>
    <w:rsid w:val="00CC0DAC"/>
    <w:rsid w:val="00CC2A1D"/>
    <w:rsid w:val="00CC783E"/>
    <w:rsid w:val="00CE4835"/>
    <w:rsid w:val="00CE4E49"/>
    <w:rsid w:val="00CF065A"/>
    <w:rsid w:val="00CF5253"/>
    <w:rsid w:val="00CF71A5"/>
    <w:rsid w:val="00CF7FCB"/>
    <w:rsid w:val="00D001C2"/>
    <w:rsid w:val="00D00F4F"/>
    <w:rsid w:val="00D03D5B"/>
    <w:rsid w:val="00D0453F"/>
    <w:rsid w:val="00D14A62"/>
    <w:rsid w:val="00D40D2B"/>
    <w:rsid w:val="00D46F6F"/>
    <w:rsid w:val="00D5278B"/>
    <w:rsid w:val="00D5412E"/>
    <w:rsid w:val="00D576B5"/>
    <w:rsid w:val="00D67DF6"/>
    <w:rsid w:val="00D73475"/>
    <w:rsid w:val="00D744E5"/>
    <w:rsid w:val="00D7544A"/>
    <w:rsid w:val="00D76324"/>
    <w:rsid w:val="00DE44E0"/>
    <w:rsid w:val="00E015BC"/>
    <w:rsid w:val="00E06626"/>
    <w:rsid w:val="00E12D6C"/>
    <w:rsid w:val="00E274C1"/>
    <w:rsid w:val="00E33157"/>
    <w:rsid w:val="00E355BE"/>
    <w:rsid w:val="00E61C37"/>
    <w:rsid w:val="00E67DFF"/>
    <w:rsid w:val="00E701D4"/>
    <w:rsid w:val="00E86548"/>
    <w:rsid w:val="00EA4E4D"/>
    <w:rsid w:val="00EC246F"/>
    <w:rsid w:val="00EC307C"/>
    <w:rsid w:val="00ED3928"/>
    <w:rsid w:val="00EE7B70"/>
    <w:rsid w:val="00EF0618"/>
    <w:rsid w:val="00F156E8"/>
    <w:rsid w:val="00F24830"/>
    <w:rsid w:val="00F35BDC"/>
    <w:rsid w:val="00F72440"/>
    <w:rsid w:val="00F72D7E"/>
    <w:rsid w:val="00F74020"/>
    <w:rsid w:val="00F755EA"/>
    <w:rsid w:val="00F8003B"/>
    <w:rsid w:val="00F91AAE"/>
    <w:rsid w:val="00FC25B5"/>
    <w:rsid w:val="00FD28BF"/>
    <w:rsid w:val="00FD5E3C"/>
    <w:rsid w:val="00FE44C6"/>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0B05"/>
    <w:pPr>
      <w:spacing w:after="120" w:line="360" w:lineRule="auto"/>
    </w:pPr>
    <w:rPr>
      <w:rFonts w:ascii="Arial" w:hAnsi="Arial"/>
      <w:szCs w:val="24"/>
      <w:lang w:val="en-AU"/>
    </w:rPr>
  </w:style>
  <w:style w:type="paragraph" w:styleId="Heading1">
    <w:name w:val="heading 1"/>
    <w:basedOn w:val="Normal"/>
    <w:next w:val="Normal"/>
    <w:link w:val="Heading1Char"/>
    <w:uiPriority w:val="9"/>
    <w:rsid w:val="00C7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A50"/>
    <w:pPr>
      <w:spacing w:before="200" w:after="0" w:line="276" w:lineRule="auto"/>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C87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5A"/>
    <w:pPr>
      <w:tabs>
        <w:tab w:val="center" w:pos="4320"/>
        <w:tab w:val="right" w:pos="8640"/>
      </w:tabs>
    </w:pPr>
  </w:style>
  <w:style w:type="character" w:customStyle="1" w:styleId="HeaderChar">
    <w:name w:val="Header Char"/>
    <w:basedOn w:val="DefaultParagraphFont"/>
    <w:link w:val="Header"/>
    <w:uiPriority w:val="99"/>
    <w:rsid w:val="00CF065A"/>
  </w:style>
  <w:style w:type="paragraph" w:styleId="Footer">
    <w:name w:val="footer"/>
    <w:basedOn w:val="Normal"/>
    <w:link w:val="FooterChar"/>
    <w:uiPriority w:val="99"/>
    <w:unhideWhenUsed/>
    <w:rsid w:val="00CF065A"/>
    <w:pPr>
      <w:tabs>
        <w:tab w:val="center" w:pos="4320"/>
        <w:tab w:val="right" w:pos="8640"/>
      </w:tabs>
    </w:pPr>
  </w:style>
  <w:style w:type="character" w:customStyle="1" w:styleId="FooterChar">
    <w:name w:val="Footer Char"/>
    <w:basedOn w:val="DefaultParagraphFont"/>
    <w:link w:val="Footer"/>
    <w:uiPriority w:val="99"/>
    <w:rsid w:val="00CF065A"/>
  </w:style>
  <w:style w:type="paragraph" w:styleId="BalloonText">
    <w:name w:val="Balloon Text"/>
    <w:basedOn w:val="Normal"/>
    <w:link w:val="BalloonTextChar"/>
    <w:uiPriority w:val="99"/>
    <w:semiHidden/>
    <w:unhideWhenUsed/>
    <w:rsid w:val="00CF065A"/>
    <w:rPr>
      <w:rFonts w:ascii="Lucida Grande" w:hAnsi="Lucida Grande" w:cs="Lucida Grande"/>
      <w:sz w:val="18"/>
      <w:szCs w:val="18"/>
    </w:rPr>
  </w:style>
  <w:style w:type="character" w:customStyle="1" w:styleId="BalloonTextChar">
    <w:name w:val="Balloon Text Char"/>
    <w:link w:val="BalloonText"/>
    <w:uiPriority w:val="99"/>
    <w:semiHidden/>
    <w:rsid w:val="00CF065A"/>
    <w:rPr>
      <w:rFonts w:ascii="Lucida Grande" w:hAnsi="Lucida Grande" w:cs="Lucida Grande"/>
      <w:sz w:val="18"/>
      <w:szCs w:val="18"/>
    </w:rPr>
  </w:style>
  <w:style w:type="paragraph" w:styleId="Title">
    <w:name w:val="Title"/>
    <w:next w:val="Normal"/>
    <w:link w:val="TitleChar"/>
    <w:autoRedefine/>
    <w:uiPriority w:val="10"/>
    <w:qFormat/>
    <w:rsid w:val="00E12D6C"/>
    <w:pPr>
      <w:spacing w:after="180"/>
      <w:ind w:right="-24"/>
      <w:contextualSpacing/>
    </w:pPr>
    <w:rPr>
      <w:rFonts w:ascii="Calibri" w:eastAsia="MS Gothic" w:hAnsi="Calibri"/>
      <w:b/>
      <w:spacing w:val="5"/>
      <w:kern w:val="28"/>
      <w:sz w:val="100"/>
      <w:szCs w:val="72"/>
    </w:rPr>
  </w:style>
  <w:style w:type="character" w:customStyle="1" w:styleId="TitleChar">
    <w:name w:val="Title Char"/>
    <w:link w:val="Title"/>
    <w:uiPriority w:val="10"/>
    <w:rsid w:val="00E12D6C"/>
    <w:rPr>
      <w:rFonts w:ascii="Calibri" w:eastAsia="MS Gothic" w:hAnsi="Calibri"/>
      <w:b/>
      <w:spacing w:val="5"/>
      <w:kern w:val="28"/>
      <w:sz w:val="100"/>
      <w:szCs w:val="72"/>
    </w:rPr>
  </w:style>
  <w:style w:type="character" w:styleId="Emphasis">
    <w:name w:val="Emphasis"/>
    <w:uiPriority w:val="20"/>
    <w:rsid w:val="00AD288E"/>
    <w:rPr>
      <w:i w:val="0"/>
      <w:iCs/>
    </w:rPr>
  </w:style>
  <w:style w:type="paragraph" w:styleId="IntenseQuote">
    <w:name w:val="Intense Quote"/>
    <w:basedOn w:val="Normal"/>
    <w:next w:val="Normal"/>
    <w:link w:val="IntenseQuoteChar"/>
    <w:uiPriority w:val="30"/>
    <w:rsid w:val="000874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874F7"/>
    <w:rPr>
      <w:b/>
      <w:bCs/>
      <w:i/>
      <w:iCs/>
      <w:color w:val="4F81BD"/>
    </w:rPr>
  </w:style>
  <w:style w:type="paragraph" w:styleId="Subtitle">
    <w:name w:val="Subtitle"/>
    <w:basedOn w:val="Normal"/>
    <w:next w:val="Normal"/>
    <w:link w:val="SubtitleChar"/>
    <w:autoRedefine/>
    <w:uiPriority w:val="11"/>
    <w:qFormat/>
    <w:rsid w:val="00AC48FF"/>
    <w:pPr>
      <w:numPr>
        <w:ilvl w:val="1"/>
      </w:numPr>
    </w:pPr>
    <w:rPr>
      <w:rFonts w:ascii="Calibri" w:eastAsia="MS Gothic" w:hAnsi="Calibri"/>
      <w:iCs/>
      <w:color w:val="800000"/>
      <w:spacing w:val="15"/>
      <w:sz w:val="32"/>
    </w:rPr>
  </w:style>
  <w:style w:type="character" w:customStyle="1" w:styleId="SubtitleChar">
    <w:name w:val="Subtitle Char"/>
    <w:link w:val="Subtitle"/>
    <w:uiPriority w:val="11"/>
    <w:rsid w:val="00AC48FF"/>
    <w:rPr>
      <w:rFonts w:ascii="Calibri" w:eastAsia="MS Gothic" w:hAnsi="Calibri"/>
      <w:iCs/>
      <w:color w:val="800000"/>
      <w:spacing w:val="15"/>
      <w:sz w:val="32"/>
      <w:szCs w:val="24"/>
      <w:lang w:val="en-AU"/>
    </w:rPr>
  </w:style>
  <w:style w:type="paragraph" w:styleId="Quote">
    <w:name w:val="Quote"/>
    <w:aliases w:val="Highlight Text"/>
    <w:next w:val="Normal"/>
    <w:link w:val="QuoteChar"/>
    <w:autoRedefine/>
    <w:uiPriority w:val="29"/>
    <w:qFormat/>
    <w:rsid w:val="00590B58"/>
    <w:pPr>
      <w:spacing w:after="200"/>
    </w:pPr>
    <w:rPr>
      <w:rFonts w:ascii="Calibri" w:hAnsi="Calibri"/>
      <w:color w:val="4F6228"/>
      <w:sz w:val="42"/>
      <w:szCs w:val="50"/>
    </w:rPr>
  </w:style>
  <w:style w:type="character" w:customStyle="1" w:styleId="QuoteChar">
    <w:name w:val="Quote Char"/>
    <w:aliases w:val="Highlight Text Char"/>
    <w:link w:val="Quote"/>
    <w:uiPriority w:val="29"/>
    <w:rsid w:val="00590B58"/>
    <w:rPr>
      <w:rFonts w:ascii="Calibri" w:hAnsi="Calibri"/>
      <w:color w:val="4F6228"/>
      <w:sz w:val="42"/>
      <w:szCs w:val="50"/>
    </w:rPr>
  </w:style>
  <w:style w:type="paragraph" w:styleId="ListParagraph">
    <w:name w:val="List Paragraph"/>
    <w:aliases w:val="First level bullet point,List Paragraph1,List Paragraph11,Bullet point,List Paragraph Number"/>
    <w:basedOn w:val="Normal"/>
    <w:link w:val="ListParagraphChar"/>
    <w:autoRedefine/>
    <w:uiPriority w:val="34"/>
    <w:qFormat/>
    <w:rsid w:val="003D0139"/>
    <w:pPr>
      <w:numPr>
        <w:numId w:val="39"/>
      </w:numPr>
      <w:spacing w:line="240" w:lineRule="auto"/>
    </w:pPr>
  </w:style>
  <w:style w:type="character" w:styleId="Strong">
    <w:name w:val="Strong"/>
    <w:uiPriority w:val="22"/>
    <w:qFormat/>
    <w:rsid w:val="00927F64"/>
    <w:rPr>
      <w:b/>
      <w:bCs/>
    </w:rPr>
  </w:style>
  <w:style w:type="character" w:customStyle="1" w:styleId="Heading2Char">
    <w:name w:val="Heading 2 Char"/>
    <w:basedOn w:val="DefaultParagraphFont"/>
    <w:link w:val="Heading2"/>
    <w:uiPriority w:val="9"/>
    <w:rsid w:val="00762A50"/>
    <w:rPr>
      <w:rFonts w:ascii="Calibri" w:eastAsiaTheme="majorEastAsia" w:hAnsi="Calibri" w:cstheme="majorBidi"/>
      <w:b/>
      <w:bCs/>
      <w:sz w:val="26"/>
      <w:szCs w:val="26"/>
      <w:lang w:val="en-AU"/>
    </w:rPr>
  </w:style>
  <w:style w:type="character" w:styleId="Hyperlink">
    <w:name w:val="Hyperlink"/>
    <w:uiPriority w:val="99"/>
    <w:unhideWhenUsed/>
    <w:rsid w:val="00762A50"/>
    <w:rPr>
      <w:color w:val="0000FF"/>
      <w:u w:val="single"/>
    </w:rPr>
  </w:style>
  <w:style w:type="character" w:customStyle="1" w:styleId="ListParagraphChar">
    <w:name w:val="List Paragraph Char"/>
    <w:aliases w:val="First level bullet point Char,List Paragraph1 Char,List Paragraph11 Char,Bullet point Char,List Paragraph Number Char"/>
    <w:basedOn w:val="DefaultParagraphFont"/>
    <w:link w:val="ListParagraph"/>
    <w:uiPriority w:val="34"/>
    <w:rsid w:val="003D0139"/>
    <w:rPr>
      <w:rFonts w:ascii="Arial" w:hAnsi="Arial"/>
      <w:szCs w:val="24"/>
      <w:lang w:val="en-AU"/>
    </w:rPr>
  </w:style>
  <w:style w:type="character" w:customStyle="1" w:styleId="Heading1Char">
    <w:name w:val="Heading 1 Char"/>
    <w:basedOn w:val="DefaultParagraphFont"/>
    <w:link w:val="Heading1"/>
    <w:uiPriority w:val="9"/>
    <w:rsid w:val="00C76297"/>
    <w:rPr>
      <w:rFonts w:asciiTheme="majorHAnsi" w:eastAsiaTheme="majorEastAsia" w:hAnsiTheme="majorHAnsi" w:cstheme="majorBidi"/>
      <w:b/>
      <w:bCs/>
      <w:color w:val="365F91" w:themeColor="accent1" w:themeShade="BF"/>
      <w:sz w:val="28"/>
      <w:szCs w:val="28"/>
      <w:lang w:val="en-AU"/>
    </w:rPr>
  </w:style>
  <w:style w:type="character" w:styleId="CommentReference">
    <w:name w:val="annotation reference"/>
    <w:basedOn w:val="DefaultParagraphFont"/>
    <w:uiPriority w:val="99"/>
    <w:semiHidden/>
    <w:unhideWhenUsed/>
    <w:rsid w:val="00C37D85"/>
    <w:rPr>
      <w:sz w:val="16"/>
      <w:szCs w:val="16"/>
    </w:rPr>
  </w:style>
  <w:style w:type="paragraph" w:styleId="CommentText">
    <w:name w:val="annotation text"/>
    <w:basedOn w:val="Normal"/>
    <w:link w:val="CommentTextChar"/>
    <w:uiPriority w:val="99"/>
    <w:semiHidden/>
    <w:unhideWhenUsed/>
    <w:rsid w:val="00C37D85"/>
    <w:pPr>
      <w:spacing w:line="240" w:lineRule="auto"/>
    </w:pPr>
    <w:rPr>
      <w:szCs w:val="20"/>
    </w:rPr>
  </w:style>
  <w:style w:type="character" w:customStyle="1" w:styleId="CommentTextChar">
    <w:name w:val="Comment Text Char"/>
    <w:basedOn w:val="DefaultParagraphFont"/>
    <w:link w:val="CommentText"/>
    <w:uiPriority w:val="99"/>
    <w:semiHidden/>
    <w:rsid w:val="00C37D85"/>
    <w:rPr>
      <w:rFonts w:ascii="Arial" w:hAnsi="Arial"/>
    </w:rPr>
  </w:style>
  <w:style w:type="paragraph" w:styleId="CommentSubject">
    <w:name w:val="annotation subject"/>
    <w:basedOn w:val="CommentText"/>
    <w:next w:val="CommentText"/>
    <w:link w:val="CommentSubjectChar"/>
    <w:uiPriority w:val="99"/>
    <w:semiHidden/>
    <w:unhideWhenUsed/>
    <w:rsid w:val="00C37D85"/>
    <w:rPr>
      <w:b/>
      <w:bCs/>
    </w:rPr>
  </w:style>
  <w:style w:type="character" w:customStyle="1" w:styleId="CommentSubjectChar">
    <w:name w:val="Comment Subject Char"/>
    <w:basedOn w:val="CommentTextChar"/>
    <w:link w:val="CommentSubject"/>
    <w:uiPriority w:val="99"/>
    <w:semiHidden/>
    <w:rsid w:val="00C37D85"/>
    <w:rPr>
      <w:rFonts w:ascii="Arial" w:hAnsi="Arial"/>
      <w:b/>
      <w:bCs/>
    </w:rPr>
  </w:style>
  <w:style w:type="character" w:styleId="FollowedHyperlink">
    <w:name w:val="FollowedHyperlink"/>
    <w:basedOn w:val="DefaultParagraphFont"/>
    <w:uiPriority w:val="99"/>
    <w:semiHidden/>
    <w:unhideWhenUsed/>
    <w:rsid w:val="00673ED9"/>
    <w:rPr>
      <w:color w:val="800080" w:themeColor="followedHyperlink"/>
      <w:u w:val="single"/>
    </w:rPr>
  </w:style>
  <w:style w:type="character" w:customStyle="1" w:styleId="Heading3Char">
    <w:name w:val="Heading 3 Char"/>
    <w:basedOn w:val="DefaultParagraphFont"/>
    <w:link w:val="Heading3"/>
    <w:uiPriority w:val="9"/>
    <w:rsid w:val="00C8776A"/>
    <w:rPr>
      <w:rFonts w:asciiTheme="majorHAnsi" w:eastAsiaTheme="majorEastAsia" w:hAnsiTheme="majorHAnsi" w:cstheme="majorBidi"/>
      <w:b/>
      <w:bCs/>
      <w:color w:val="4F81BD" w:themeColor="accent1"/>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0B05"/>
    <w:pPr>
      <w:spacing w:after="120" w:line="360" w:lineRule="auto"/>
    </w:pPr>
    <w:rPr>
      <w:rFonts w:ascii="Arial" w:hAnsi="Arial"/>
      <w:szCs w:val="24"/>
      <w:lang w:val="en-AU"/>
    </w:rPr>
  </w:style>
  <w:style w:type="paragraph" w:styleId="Heading1">
    <w:name w:val="heading 1"/>
    <w:basedOn w:val="Normal"/>
    <w:next w:val="Normal"/>
    <w:link w:val="Heading1Char"/>
    <w:uiPriority w:val="9"/>
    <w:rsid w:val="00C76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A50"/>
    <w:pPr>
      <w:spacing w:before="200" w:after="0" w:line="276" w:lineRule="auto"/>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C87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5A"/>
    <w:pPr>
      <w:tabs>
        <w:tab w:val="center" w:pos="4320"/>
        <w:tab w:val="right" w:pos="8640"/>
      </w:tabs>
    </w:pPr>
  </w:style>
  <w:style w:type="character" w:customStyle="1" w:styleId="HeaderChar">
    <w:name w:val="Header Char"/>
    <w:basedOn w:val="DefaultParagraphFont"/>
    <w:link w:val="Header"/>
    <w:uiPriority w:val="99"/>
    <w:rsid w:val="00CF065A"/>
  </w:style>
  <w:style w:type="paragraph" w:styleId="Footer">
    <w:name w:val="footer"/>
    <w:basedOn w:val="Normal"/>
    <w:link w:val="FooterChar"/>
    <w:uiPriority w:val="99"/>
    <w:unhideWhenUsed/>
    <w:rsid w:val="00CF065A"/>
    <w:pPr>
      <w:tabs>
        <w:tab w:val="center" w:pos="4320"/>
        <w:tab w:val="right" w:pos="8640"/>
      </w:tabs>
    </w:pPr>
  </w:style>
  <w:style w:type="character" w:customStyle="1" w:styleId="FooterChar">
    <w:name w:val="Footer Char"/>
    <w:basedOn w:val="DefaultParagraphFont"/>
    <w:link w:val="Footer"/>
    <w:uiPriority w:val="99"/>
    <w:rsid w:val="00CF065A"/>
  </w:style>
  <w:style w:type="paragraph" w:styleId="BalloonText">
    <w:name w:val="Balloon Text"/>
    <w:basedOn w:val="Normal"/>
    <w:link w:val="BalloonTextChar"/>
    <w:uiPriority w:val="99"/>
    <w:semiHidden/>
    <w:unhideWhenUsed/>
    <w:rsid w:val="00CF065A"/>
    <w:rPr>
      <w:rFonts w:ascii="Lucida Grande" w:hAnsi="Lucida Grande" w:cs="Lucida Grande"/>
      <w:sz w:val="18"/>
      <w:szCs w:val="18"/>
    </w:rPr>
  </w:style>
  <w:style w:type="character" w:customStyle="1" w:styleId="BalloonTextChar">
    <w:name w:val="Balloon Text Char"/>
    <w:link w:val="BalloonText"/>
    <w:uiPriority w:val="99"/>
    <w:semiHidden/>
    <w:rsid w:val="00CF065A"/>
    <w:rPr>
      <w:rFonts w:ascii="Lucida Grande" w:hAnsi="Lucida Grande" w:cs="Lucida Grande"/>
      <w:sz w:val="18"/>
      <w:szCs w:val="18"/>
    </w:rPr>
  </w:style>
  <w:style w:type="paragraph" w:styleId="Title">
    <w:name w:val="Title"/>
    <w:next w:val="Normal"/>
    <w:link w:val="TitleChar"/>
    <w:autoRedefine/>
    <w:uiPriority w:val="10"/>
    <w:qFormat/>
    <w:rsid w:val="00E12D6C"/>
    <w:pPr>
      <w:spacing w:after="180"/>
      <w:ind w:right="-24"/>
      <w:contextualSpacing/>
    </w:pPr>
    <w:rPr>
      <w:rFonts w:ascii="Calibri" w:eastAsia="MS Gothic" w:hAnsi="Calibri"/>
      <w:b/>
      <w:spacing w:val="5"/>
      <w:kern w:val="28"/>
      <w:sz w:val="100"/>
      <w:szCs w:val="72"/>
    </w:rPr>
  </w:style>
  <w:style w:type="character" w:customStyle="1" w:styleId="TitleChar">
    <w:name w:val="Title Char"/>
    <w:link w:val="Title"/>
    <w:uiPriority w:val="10"/>
    <w:rsid w:val="00E12D6C"/>
    <w:rPr>
      <w:rFonts w:ascii="Calibri" w:eastAsia="MS Gothic" w:hAnsi="Calibri"/>
      <w:b/>
      <w:spacing w:val="5"/>
      <w:kern w:val="28"/>
      <w:sz w:val="100"/>
      <w:szCs w:val="72"/>
    </w:rPr>
  </w:style>
  <w:style w:type="character" w:styleId="Emphasis">
    <w:name w:val="Emphasis"/>
    <w:uiPriority w:val="20"/>
    <w:rsid w:val="00AD288E"/>
    <w:rPr>
      <w:i w:val="0"/>
      <w:iCs/>
    </w:rPr>
  </w:style>
  <w:style w:type="paragraph" w:styleId="IntenseQuote">
    <w:name w:val="Intense Quote"/>
    <w:basedOn w:val="Normal"/>
    <w:next w:val="Normal"/>
    <w:link w:val="IntenseQuoteChar"/>
    <w:uiPriority w:val="30"/>
    <w:rsid w:val="000874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874F7"/>
    <w:rPr>
      <w:b/>
      <w:bCs/>
      <w:i/>
      <w:iCs/>
      <w:color w:val="4F81BD"/>
    </w:rPr>
  </w:style>
  <w:style w:type="paragraph" w:styleId="Subtitle">
    <w:name w:val="Subtitle"/>
    <w:basedOn w:val="Normal"/>
    <w:next w:val="Normal"/>
    <w:link w:val="SubtitleChar"/>
    <w:autoRedefine/>
    <w:uiPriority w:val="11"/>
    <w:qFormat/>
    <w:rsid w:val="00AC48FF"/>
    <w:pPr>
      <w:numPr>
        <w:ilvl w:val="1"/>
      </w:numPr>
    </w:pPr>
    <w:rPr>
      <w:rFonts w:ascii="Calibri" w:eastAsia="MS Gothic" w:hAnsi="Calibri"/>
      <w:iCs/>
      <w:color w:val="800000"/>
      <w:spacing w:val="15"/>
      <w:sz w:val="32"/>
    </w:rPr>
  </w:style>
  <w:style w:type="character" w:customStyle="1" w:styleId="SubtitleChar">
    <w:name w:val="Subtitle Char"/>
    <w:link w:val="Subtitle"/>
    <w:uiPriority w:val="11"/>
    <w:rsid w:val="00AC48FF"/>
    <w:rPr>
      <w:rFonts w:ascii="Calibri" w:eastAsia="MS Gothic" w:hAnsi="Calibri"/>
      <w:iCs/>
      <w:color w:val="800000"/>
      <w:spacing w:val="15"/>
      <w:sz w:val="32"/>
      <w:szCs w:val="24"/>
      <w:lang w:val="en-AU"/>
    </w:rPr>
  </w:style>
  <w:style w:type="paragraph" w:styleId="Quote">
    <w:name w:val="Quote"/>
    <w:aliases w:val="Highlight Text"/>
    <w:next w:val="Normal"/>
    <w:link w:val="QuoteChar"/>
    <w:autoRedefine/>
    <w:uiPriority w:val="29"/>
    <w:qFormat/>
    <w:rsid w:val="00590B58"/>
    <w:pPr>
      <w:spacing w:after="200"/>
    </w:pPr>
    <w:rPr>
      <w:rFonts w:ascii="Calibri" w:hAnsi="Calibri"/>
      <w:color w:val="4F6228"/>
      <w:sz w:val="42"/>
      <w:szCs w:val="50"/>
    </w:rPr>
  </w:style>
  <w:style w:type="character" w:customStyle="1" w:styleId="QuoteChar">
    <w:name w:val="Quote Char"/>
    <w:aliases w:val="Highlight Text Char"/>
    <w:link w:val="Quote"/>
    <w:uiPriority w:val="29"/>
    <w:rsid w:val="00590B58"/>
    <w:rPr>
      <w:rFonts w:ascii="Calibri" w:hAnsi="Calibri"/>
      <w:color w:val="4F6228"/>
      <w:sz w:val="42"/>
      <w:szCs w:val="50"/>
    </w:rPr>
  </w:style>
  <w:style w:type="paragraph" w:styleId="ListParagraph">
    <w:name w:val="List Paragraph"/>
    <w:aliases w:val="First level bullet point,List Paragraph1,List Paragraph11,Bullet point,List Paragraph Number"/>
    <w:basedOn w:val="Normal"/>
    <w:link w:val="ListParagraphChar"/>
    <w:autoRedefine/>
    <w:uiPriority w:val="34"/>
    <w:qFormat/>
    <w:rsid w:val="003D0139"/>
    <w:pPr>
      <w:numPr>
        <w:numId w:val="39"/>
      </w:numPr>
      <w:spacing w:line="240" w:lineRule="auto"/>
    </w:pPr>
  </w:style>
  <w:style w:type="character" w:styleId="Strong">
    <w:name w:val="Strong"/>
    <w:uiPriority w:val="22"/>
    <w:qFormat/>
    <w:rsid w:val="00927F64"/>
    <w:rPr>
      <w:b/>
      <w:bCs/>
    </w:rPr>
  </w:style>
  <w:style w:type="character" w:customStyle="1" w:styleId="Heading2Char">
    <w:name w:val="Heading 2 Char"/>
    <w:basedOn w:val="DefaultParagraphFont"/>
    <w:link w:val="Heading2"/>
    <w:uiPriority w:val="9"/>
    <w:rsid w:val="00762A50"/>
    <w:rPr>
      <w:rFonts w:ascii="Calibri" w:eastAsiaTheme="majorEastAsia" w:hAnsi="Calibri" w:cstheme="majorBidi"/>
      <w:b/>
      <w:bCs/>
      <w:sz w:val="26"/>
      <w:szCs w:val="26"/>
      <w:lang w:val="en-AU"/>
    </w:rPr>
  </w:style>
  <w:style w:type="character" w:styleId="Hyperlink">
    <w:name w:val="Hyperlink"/>
    <w:uiPriority w:val="99"/>
    <w:unhideWhenUsed/>
    <w:rsid w:val="00762A50"/>
    <w:rPr>
      <w:color w:val="0000FF"/>
      <w:u w:val="single"/>
    </w:rPr>
  </w:style>
  <w:style w:type="character" w:customStyle="1" w:styleId="ListParagraphChar">
    <w:name w:val="List Paragraph Char"/>
    <w:aliases w:val="First level bullet point Char,List Paragraph1 Char,List Paragraph11 Char,Bullet point Char,List Paragraph Number Char"/>
    <w:basedOn w:val="DefaultParagraphFont"/>
    <w:link w:val="ListParagraph"/>
    <w:uiPriority w:val="34"/>
    <w:rsid w:val="003D0139"/>
    <w:rPr>
      <w:rFonts w:ascii="Arial" w:hAnsi="Arial"/>
      <w:szCs w:val="24"/>
      <w:lang w:val="en-AU"/>
    </w:rPr>
  </w:style>
  <w:style w:type="character" w:customStyle="1" w:styleId="Heading1Char">
    <w:name w:val="Heading 1 Char"/>
    <w:basedOn w:val="DefaultParagraphFont"/>
    <w:link w:val="Heading1"/>
    <w:uiPriority w:val="9"/>
    <w:rsid w:val="00C76297"/>
    <w:rPr>
      <w:rFonts w:asciiTheme="majorHAnsi" w:eastAsiaTheme="majorEastAsia" w:hAnsiTheme="majorHAnsi" w:cstheme="majorBidi"/>
      <w:b/>
      <w:bCs/>
      <w:color w:val="365F91" w:themeColor="accent1" w:themeShade="BF"/>
      <w:sz w:val="28"/>
      <w:szCs w:val="28"/>
      <w:lang w:val="en-AU"/>
    </w:rPr>
  </w:style>
  <w:style w:type="character" w:styleId="CommentReference">
    <w:name w:val="annotation reference"/>
    <w:basedOn w:val="DefaultParagraphFont"/>
    <w:uiPriority w:val="99"/>
    <w:semiHidden/>
    <w:unhideWhenUsed/>
    <w:rsid w:val="00C37D85"/>
    <w:rPr>
      <w:sz w:val="16"/>
      <w:szCs w:val="16"/>
    </w:rPr>
  </w:style>
  <w:style w:type="paragraph" w:styleId="CommentText">
    <w:name w:val="annotation text"/>
    <w:basedOn w:val="Normal"/>
    <w:link w:val="CommentTextChar"/>
    <w:uiPriority w:val="99"/>
    <w:semiHidden/>
    <w:unhideWhenUsed/>
    <w:rsid w:val="00C37D85"/>
    <w:pPr>
      <w:spacing w:line="240" w:lineRule="auto"/>
    </w:pPr>
    <w:rPr>
      <w:szCs w:val="20"/>
    </w:rPr>
  </w:style>
  <w:style w:type="character" w:customStyle="1" w:styleId="CommentTextChar">
    <w:name w:val="Comment Text Char"/>
    <w:basedOn w:val="DefaultParagraphFont"/>
    <w:link w:val="CommentText"/>
    <w:uiPriority w:val="99"/>
    <w:semiHidden/>
    <w:rsid w:val="00C37D85"/>
    <w:rPr>
      <w:rFonts w:ascii="Arial" w:hAnsi="Arial"/>
    </w:rPr>
  </w:style>
  <w:style w:type="paragraph" w:styleId="CommentSubject">
    <w:name w:val="annotation subject"/>
    <w:basedOn w:val="CommentText"/>
    <w:next w:val="CommentText"/>
    <w:link w:val="CommentSubjectChar"/>
    <w:uiPriority w:val="99"/>
    <w:semiHidden/>
    <w:unhideWhenUsed/>
    <w:rsid w:val="00C37D85"/>
    <w:rPr>
      <w:b/>
      <w:bCs/>
    </w:rPr>
  </w:style>
  <w:style w:type="character" w:customStyle="1" w:styleId="CommentSubjectChar">
    <w:name w:val="Comment Subject Char"/>
    <w:basedOn w:val="CommentTextChar"/>
    <w:link w:val="CommentSubject"/>
    <w:uiPriority w:val="99"/>
    <w:semiHidden/>
    <w:rsid w:val="00C37D85"/>
    <w:rPr>
      <w:rFonts w:ascii="Arial" w:hAnsi="Arial"/>
      <w:b/>
      <w:bCs/>
    </w:rPr>
  </w:style>
  <w:style w:type="character" w:styleId="FollowedHyperlink">
    <w:name w:val="FollowedHyperlink"/>
    <w:basedOn w:val="DefaultParagraphFont"/>
    <w:uiPriority w:val="99"/>
    <w:semiHidden/>
    <w:unhideWhenUsed/>
    <w:rsid w:val="00673ED9"/>
    <w:rPr>
      <w:color w:val="800080" w:themeColor="followedHyperlink"/>
      <w:u w:val="single"/>
    </w:rPr>
  </w:style>
  <w:style w:type="character" w:customStyle="1" w:styleId="Heading3Char">
    <w:name w:val="Heading 3 Char"/>
    <w:basedOn w:val="DefaultParagraphFont"/>
    <w:link w:val="Heading3"/>
    <w:uiPriority w:val="9"/>
    <w:rsid w:val="00C8776A"/>
    <w:rPr>
      <w:rFonts w:asciiTheme="majorHAnsi" w:eastAsiaTheme="majorEastAsia" w:hAnsiTheme="majorHAnsi" w:cstheme="majorBidi"/>
      <w:b/>
      <w:bCs/>
      <w:color w:val="4F81BD" w:themeColor="accent1"/>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020">
      <w:bodyDiv w:val="1"/>
      <w:marLeft w:val="0"/>
      <w:marRight w:val="0"/>
      <w:marTop w:val="0"/>
      <w:marBottom w:val="0"/>
      <w:divBdr>
        <w:top w:val="none" w:sz="0" w:space="0" w:color="auto"/>
        <w:left w:val="none" w:sz="0" w:space="0" w:color="auto"/>
        <w:bottom w:val="none" w:sz="0" w:space="0" w:color="auto"/>
        <w:right w:val="none" w:sz="0" w:space="0" w:color="auto"/>
      </w:divBdr>
    </w:div>
    <w:div w:id="415902300">
      <w:bodyDiv w:val="1"/>
      <w:marLeft w:val="0"/>
      <w:marRight w:val="0"/>
      <w:marTop w:val="0"/>
      <w:marBottom w:val="0"/>
      <w:divBdr>
        <w:top w:val="none" w:sz="0" w:space="0" w:color="auto"/>
        <w:left w:val="none" w:sz="0" w:space="0" w:color="auto"/>
        <w:bottom w:val="none" w:sz="0" w:space="0" w:color="auto"/>
        <w:right w:val="none" w:sz="0" w:space="0" w:color="auto"/>
      </w:divBdr>
    </w:div>
    <w:div w:id="981543802">
      <w:bodyDiv w:val="1"/>
      <w:marLeft w:val="0"/>
      <w:marRight w:val="0"/>
      <w:marTop w:val="0"/>
      <w:marBottom w:val="0"/>
      <w:divBdr>
        <w:top w:val="none" w:sz="0" w:space="0" w:color="auto"/>
        <w:left w:val="none" w:sz="0" w:space="0" w:color="auto"/>
        <w:bottom w:val="none" w:sz="0" w:space="0" w:color="auto"/>
        <w:right w:val="none" w:sz="0" w:space="0" w:color="auto"/>
      </w:divBdr>
    </w:div>
    <w:div w:id="1112166443">
      <w:bodyDiv w:val="1"/>
      <w:marLeft w:val="0"/>
      <w:marRight w:val="0"/>
      <w:marTop w:val="0"/>
      <w:marBottom w:val="0"/>
      <w:divBdr>
        <w:top w:val="none" w:sz="0" w:space="0" w:color="auto"/>
        <w:left w:val="none" w:sz="0" w:space="0" w:color="auto"/>
        <w:bottom w:val="none" w:sz="0" w:space="0" w:color="auto"/>
        <w:right w:val="none" w:sz="0" w:space="0" w:color="auto"/>
      </w:divBdr>
    </w:div>
    <w:div w:id="1378167648">
      <w:bodyDiv w:val="1"/>
      <w:marLeft w:val="0"/>
      <w:marRight w:val="0"/>
      <w:marTop w:val="0"/>
      <w:marBottom w:val="0"/>
      <w:divBdr>
        <w:top w:val="none" w:sz="0" w:space="0" w:color="auto"/>
        <w:left w:val="none" w:sz="0" w:space="0" w:color="auto"/>
        <w:bottom w:val="none" w:sz="0" w:space="0" w:color="auto"/>
        <w:right w:val="none" w:sz="0" w:space="0" w:color="auto"/>
      </w:divBdr>
    </w:div>
    <w:div w:id="1461725134">
      <w:bodyDiv w:val="1"/>
      <w:marLeft w:val="0"/>
      <w:marRight w:val="0"/>
      <w:marTop w:val="0"/>
      <w:marBottom w:val="0"/>
      <w:divBdr>
        <w:top w:val="none" w:sz="0" w:space="0" w:color="auto"/>
        <w:left w:val="none" w:sz="0" w:space="0" w:color="auto"/>
        <w:bottom w:val="none" w:sz="0" w:space="0" w:color="auto"/>
        <w:right w:val="none" w:sz="0" w:space="0" w:color="auto"/>
      </w:divBdr>
    </w:div>
    <w:div w:id="1595624234">
      <w:bodyDiv w:val="1"/>
      <w:marLeft w:val="0"/>
      <w:marRight w:val="0"/>
      <w:marTop w:val="0"/>
      <w:marBottom w:val="0"/>
      <w:divBdr>
        <w:top w:val="none" w:sz="0" w:space="0" w:color="auto"/>
        <w:left w:val="none" w:sz="0" w:space="0" w:color="auto"/>
        <w:bottom w:val="none" w:sz="0" w:space="0" w:color="auto"/>
        <w:right w:val="none" w:sz="0" w:space="0" w:color="auto"/>
      </w:divBdr>
    </w:div>
    <w:div w:id="1786346725">
      <w:bodyDiv w:val="1"/>
      <w:marLeft w:val="0"/>
      <w:marRight w:val="0"/>
      <w:marTop w:val="0"/>
      <w:marBottom w:val="0"/>
      <w:divBdr>
        <w:top w:val="none" w:sz="0" w:space="0" w:color="auto"/>
        <w:left w:val="none" w:sz="0" w:space="0" w:color="auto"/>
        <w:bottom w:val="none" w:sz="0" w:space="0" w:color="auto"/>
        <w:right w:val="none" w:sz="0" w:space="0" w:color="auto"/>
      </w:divBdr>
    </w:div>
    <w:div w:id="1843003830">
      <w:bodyDiv w:val="1"/>
      <w:marLeft w:val="0"/>
      <w:marRight w:val="0"/>
      <w:marTop w:val="0"/>
      <w:marBottom w:val="0"/>
      <w:divBdr>
        <w:top w:val="none" w:sz="0" w:space="0" w:color="auto"/>
        <w:left w:val="none" w:sz="0" w:space="0" w:color="auto"/>
        <w:bottom w:val="none" w:sz="0" w:space="0" w:color="auto"/>
        <w:right w:val="none" w:sz="0" w:space="0" w:color="auto"/>
      </w:divBdr>
    </w:div>
    <w:div w:id="1843206347">
      <w:bodyDiv w:val="1"/>
      <w:marLeft w:val="0"/>
      <w:marRight w:val="0"/>
      <w:marTop w:val="0"/>
      <w:marBottom w:val="0"/>
      <w:divBdr>
        <w:top w:val="none" w:sz="0" w:space="0" w:color="auto"/>
        <w:left w:val="none" w:sz="0" w:space="0" w:color="auto"/>
        <w:bottom w:val="none" w:sz="0" w:space="0" w:color="auto"/>
        <w:right w:val="none" w:sz="0" w:space="0" w:color="auto"/>
      </w:divBdr>
    </w:div>
    <w:div w:id="199703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ice@acn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n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c.gov.au/" TargetMode="External"/><Relationship Id="rId5" Type="http://schemas.openxmlformats.org/officeDocument/2006/relationships/settings" Target="settings.xml"/><Relationship Id="rId15" Type="http://schemas.openxmlformats.org/officeDocument/2006/relationships/hyperlink" Target="http://www.oric.gov.au/sites/default/files/documents/11_2013/ORICMR1213-35--Reg_ACNC.pdf" TargetMode="External"/><Relationship Id="rId10" Type="http://schemas.openxmlformats.org/officeDocument/2006/relationships/hyperlink" Target="http://www.oric.gov.au/free-services-through-oric/lawhel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ic.gov.au/asic/asic.nsf/byheadline/Charities+registered+with+the+ACNC?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1485-1081-4083-BBBD-3AE957D6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MLD3</dc:creator>
  <cp:lastModifiedBy>Maher, John</cp:lastModifiedBy>
  <cp:revision>19</cp:revision>
  <cp:lastPrinted>2014-11-13T22:57:00Z</cp:lastPrinted>
  <dcterms:created xsi:type="dcterms:W3CDTF">2015-05-18T06:50:00Z</dcterms:created>
  <dcterms:modified xsi:type="dcterms:W3CDTF">2015-05-19T02:49:00Z</dcterms:modified>
</cp:coreProperties>
</file>