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7A" w:rsidRPr="009866FA" w:rsidRDefault="00E36A5D" w:rsidP="00466051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INDIGENOUS STUDENT SUCCESS </w:t>
      </w:r>
      <w:r w:rsidR="002C2475">
        <w:rPr>
          <w:rFonts w:asciiTheme="minorHAnsi" w:hAnsiTheme="minorHAnsi" w:cs="Arial"/>
          <w:b/>
          <w:bCs/>
          <w:sz w:val="24"/>
          <w:szCs w:val="24"/>
        </w:rPr>
        <w:t>PROGRAMME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– 201</w:t>
      </w:r>
      <w:r w:rsidR="00922378">
        <w:rPr>
          <w:rFonts w:asciiTheme="minorHAnsi" w:hAnsiTheme="minorHAnsi" w:cs="Arial"/>
          <w:b/>
          <w:bCs/>
          <w:sz w:val="24"/>
          <w:szCs w:val="24"/>
        </w:rPr>
        <w:t>8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Performance Report</w:t>
      </w:r>
    </w:p>
    <w:p w:rsidR="0064467A" w:rsidRDefault="0064467A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02"/>
        <w:gridCol w:w="2090"/>
        <w:gridCol w:w="1006"/>
        <w:gridCol w:w="2090"/>
        <w:gridCol w:w="2268"/>
        <w:gridCol w:w="1171"/>
      </w:tblGrid>
      <w:tr w:rsidR="00CF6275" w:rsidRPr="00CF6275" w:rsidTr="00A374AD">
        <w:trPr>
          <w:gridAfter w:val="1"/>
          <w:wAfter w:w="1171" w:type="dxa"/>
          <w:cantSplit/>
          <w:trHeight w:val="253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275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75" w:rsidRPr="00CF6275" w:rsidRDefault="00CF6275" w:rsidP="003E49FB">
            <w:pPr>
              <w:spacing w:before="60" w:after="60"/>
              <w:ind w:right="-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6275" w:rsidRPr="00CF6275" w:rsidTr="00A374AD">
        <w:trPr>
          <w:gridAfter w:val="1"/>
          <w:wAfter w:w="1171" w:type="dxa"/>
          <w:cantSplit/>
          <w:trHeight w:val="65"/>
        </w:trPr>
        <w:tc>
          <w:tcPr>
            <w:tcW w:w="1902" w:type="dxa"/>
            <w:vAlign w:val="center"/>
          </w:tcPr>
          <w:p w:rsidR="00CF6275" w:rsidRPr="00CF6275" w:rsidRDefault="00CF6275" w:rsidP="00A374AD">
            <w:pPr>
              <w:ind w:right="-567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454" w:type="dxa"/>
            <w:gridSpan w:val="4"/>
            <w:tcBorders>
              <w:top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7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275" w:rsidRPr="00CF6275" w:rsidTr="00A374AD">
        <w:trPr>
          <w:gridAfter w:val="1"/>
          <w:wAfter w:w="1171" w:type="dxa"/>
          <w:cantSplit/>
          <w:trHeight w:val="65"/>
        </w:trPr>
        <w:tc>
          <w:tcPr>
            <w:tcW w:w="1902" w:type="dxa"/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454" w:type="dxa"/>
            <w:gridSpan w:val="4"/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275" w:rsidRPr="00CF6275" w:rsidTr="002C2475">
        <w:trPr>
          <w:gridAfter w:val="1"/>
          <w:wAfter w:w="1171" w:type="dxa"/>
          <w:cantSplit/>
          <w:trHeight w:val="242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275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75" w:rsidRPr="00CF6275" w:rsidRDefault="00CF6275" w:rsidP="003E49FB">
            <w:pPr>
              <w:spacing w:before="60" w:after="60"/>
              <w:ind w:right="-2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6275" w:rsidRPr="00CF6275" w:rsidTr="002C2475">
        <w:trPr>
          <w:cantSplit/>
          <w:trHeight w:val="65"/>
        </w:trPr>
        <w:tc>
          <w:tcPr>
            <w:tcW w:w="1902" w:type="dxa"/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5186" w:type="dxa"/>
            <w:gridSpan w:val="3"/>
            <w:tcBorders>
              <w:top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171" w:type="dxa"/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F6275" w:rsidRPr="00CF6275" w:rsidTr="002C2475">
        <w:trPr>
          <w:gridAfter w:val="1"/>
          <w:wAfter w:w="1171" w:type="dxa"/>
          <w:cantSplit/>
          <w:trHeight w:val="77"/>
        </w:trPr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275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75" w:rsidRPr="00CF6275" w:rsidRDefault="00CF6275" w:rsidP="003E49FB">
            <w:pPr>
              <w:spacing w:before="60" w:after="60"/>
              <w:ind w:right="-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275" w:rsidRPr="00CF6275" w:rsidRDefault="00CF6275" w:rsidP="00A374AD">
            <w:pPr>
              <w:ind w:left="-108" w:right="2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6275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75" w:rsidRPr="00CF6275" w:rsidRDefault="00CF6275" w:rsidP="003E49FB">
            <w:pPr>
              <w:spacing w:before="60" w:after="60"/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6275" w:rsidRDefault="00CF6275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F5227" w:rsidRPr="00DF5227" w:rsidRDefault="00466051" w:rsidP="00DF5227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szCs w:val="22"/>
        </w:rPr>
      </w:pPr>
      <w:r w:rsidRPr="00466051">
        <w:rPr>
          <w:rFonts w:asciiTheme="minorHAnsi" w:hAnsiTheme="minorHAnsi" w:cs="Arial"/>
          <w:b/>
          <w:bCs/>
          <w:szCs w:val="22"/>
        </w:rPr>
        <w:t>Enrolments (Access)</w:t>
      </w:r>
    </w:p>
    <w:p w:rsidR="00875FA0" w:rsidRDefault="00875FA0" w:rsidP="00875FA0">
      <w:pPr>
        <w:rPr>
          <w:rFonts w:asciiTheme="minorHAnsi" w:hAnsiTheme="minorHAnsi" w:cs="Arial"/>
          <w:b/>
          <w:bCs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26135F88" wp14:editId="5044A512">
                <wp:extent cx="5837382" cy="2844000"/>
                <wp:effectExtent l="0" t="0" r="11430" b="139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382" cy="28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Pr="00634E3D" w:rsidRDefault="001855E3" w:rsidP="00875FA0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In reference to data provide</w:t>
                            </w:r>
                            <w:r w:rsidR="003B772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 to the Vice Chancellor in </w:t>
                            </w:r>
                            <w:r w:rsidR="00576742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December 2017</w:t>
                            </w: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comment on: </w:t>
                            </w:r>
                          </w:p>
                          <w:p w:rsidR="001855E3" w:rsidRPr="00634E3D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strategies to improve access to university for Aboriginal and Torres Strait Islander students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634E3D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scholarships, bridging/enabling support and outreach activities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634E3D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the rise or fall of 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Indigenous </w:t>
                            </w: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Equivalent Full-Tim</w:t>
                            </w:r>
                            <w:r w:rsidR="003B772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e Student Loads (EFTSL)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634E3D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the rise and fall of EFTSL of Aboriginal and Torres Strait Islander students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from remote and regional areas; and</w:t>
                            </w:r>
                          </w:p>
                          <w:p w:rsidR="001855E3" w:rsidRPr="00634E3D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proofErr w:type="gramStart"/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which</w:t>
                            </w:r>
                            <w:proofErr w:type="gramEnd"/>
                            <w:r w:rsidRPr="00634E3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strategies are directly funded by ISSP, partly funded by ISSP or funded by other university resources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.</w:t>
                            </w:r>
                          </w:p>
                          <w:p w:rsidR="001855E3" w:rsidRPr="0053727D" w:rsidRDefault="001855E3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53727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[Remove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53727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guidance once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this section </w:t>
                            </w:r>
                            <w:r w:rsidRPr="0053727D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has been completed]</w:t>
                            </w:r>
                          </w:p>
                          <w:p w:rsidR="001855E3" w:rsidRDefault="001855E3"/>
                          <w:p w:rsidR="001855E3" w:rsidRDefault="001855E3"/>
                          <w:p w:rsidR="001855E3" w:rsidRDefault="001855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65pt;height:2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">
                <v:textbox>
                  <w:txbxContent>
                    <w:p w:rsidR="001855E3" w:rsidRPr="00634E3D" w:rsidRDefault="001855E3" w:rsidP="00875FA0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In reference to data provide</w:t>
                      </w:r>
                      <w:r w:rsidR="003B772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d to the Vice Chancellor in </w:t>
                      </w:r>
                      <w:r w:rsidR="00576742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December 2017</w:t>
                      </w: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, comment on: </w:t>
                      </w:r>
                    </w:p>
                    <w:p w:rsidR="001855E3" w:rsidRPr="00634E3D" w:rsidRDefault="001855E3" w:rsidP="00875FA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strategies to improve access to university for Aboriginal and Torres Strait Islander students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634E3D" w:rsidRDefault="001855E3" w:rsidP="00875FA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scholarships, bridging/enabling support and outreach activities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634E3D" w:rsidRDefault="001855E3" w:rsidP="00875FA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the rise or fall of 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Indigenous </w:t>
                      </w: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Equivalent Full-Tim</w:t>
                      </w:r>
                      <w:r w:rsidR="003B772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e Student Loads (EFTSL)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634E3D" w:rsidRDefault="001855E3" w:rsidP="00875FA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the rise and fall of EFTSL of Aboriginal and Torres Strait Islander students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from remote and regional areas; and</w:t>
                      </w:r>
                    </w:p>
                    <w:p w:rsidR="001855E3" w:rsidRPr="00634E3D" w:rsidRDefault="001855E3" w:rsidP="00875FA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proofErr w:type="gramStart"/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which</w:t>
                      </w:r>
                      <w:proofErr w:type="gramEnd"/>
                      <w:r w:rsidRPr="00634E3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strategies are directly funded by ISSP, partly funded by ISSP or funded by other university resources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.</w:t>
                      </w:r>
                    </w:p>
                    <w:p w:rsidR="001855E3" w:rsidRPr="0053727D" w:rsidRDefault="001855E3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53727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[Remove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this </w:t>
                      </w:r>
                      <w:r w:rsidRPr="0053727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guidance once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this section </w:t>
                      </w:r>
                      <w:r w:rsidRPr="0053727D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has been completed]</w:t>
                      </w:r>
                    </w:p>
                    <w:p w:rsidR="001855E3" w:rsidRDefault="001855E3"/>
                    <w:p w:rsidR="001855E3" w:rsidRDefault="001855E3"/>
                    <w:p w:rsidR="001855E3" w:rsidRDefault="001855E3"/>
                  </w:txbxContent>
                </v:textbox>
                <w10:anchorlock/>
              </v:shape>
            </w:pict>
          </mc:Fallback>
        </mc:AlternateContent>
      </w:r>
    </w:p>
    <w:p w:rsidR="00875FA0" w:rsidRDefault="00875FA0" w:rsidP="00875FA0">
      <w:pPr>
        <w:rPr>
          <w:rFonts w:asciiTheme="minorHAnsi" w:hAnsiTheme="minorHAnsi" w:cs="Arial"/>
          <w:b/>
          <w:bCs/>
          <w:szCs w:val="22"/>
        </w:rPr>
      </w:pPr>
    </w:p>
    <w:p w:rsidR="00522DC2" w:rsidRDefault="00522DC2" w:rsidP="00522DC2">
      <w:p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1a</w:t>
      </w:r>
      <w:r>
        <w:rPr>
          <w:rFonts w:asciiTheme="minorHAnsi" w:hAnsiTheme="minorHAnsi" w:cs="Arial"/>
          <w:b/>
          <w:bCs/>
          <w:sz w:val="22"/>
          <w:szCs w:val="22"/>
        </w:rPr>
        <w:tab/>
        <w:t>Scholarships (</w:t>
      </w:r>
      <w:r w:rsidR="00AF6FB9">
        <w:rPr>
          <w:rFonts w:asciiTheme="minorHAnsi" w:hAnsiTheme="minorHAnsi" w:cs="Arial"/>
          <w:b/>
          <w:bCs/>
          <w:sz w:val="22"/>
          <w:szCs w:val="22"/>
        </w:rPr>
        <w:t>201</w:t>
      </w:r>
      <w:r w:rsidR="00922378">
        <w:rPr>
          <w:rFonts w:asciiTheme="minorHAnsi" w:hAnsiTheme="minorHAnsi" w:cs="Arial"/>
          <w:b/>
          <w:bCs/>
          <w:sz w:val="22"/>
          <w:szCs w:val="22"/>
        </w:rPr>
        <w:t>8</w:t>
      </w:r>
      <w:r w:rsidR="00AF6FB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breakdown)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993"/>
        <w:gridCol w:w="790"/>
        <w:gridCol w:w="769"/>
        <w:gridCol w:w="1104"/>
        <w:gridCol w:w="1022"/>
      </w:tblGrid>
      <w:tr w:rsidR="007B4BCF" w:rsidTr="007B4BCF">
        <w:tc>
          <w:tcPr>
            <w:tcW w:w="1985" w:type="dxa"/>
            <w:vAlign w:val="center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Student category</w:t>
            </w:r>
          </w:p>
        </w:tc>
        <w:tc>
          <w:tcPr>
            <w:tcW w:w="1701" w:type="dxa"/>
            <w:gridSpan w:val="2"/>
            <w:vAlign w:val="center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Education Costs</w:t>
            </w:r>
          </w:p>
        </w:tc>
        <w:tc>
          <w:tcPr>
            <w:tcW w:w="1843" w:type="dxa"/>
            <w:gridSpan w:val="2"/>
            <w:vAlign w:val="center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Accommodation</w:t>
            </w:r>
            <w:r>
              <w:rPr>
                <w:b/>
                <w:bCs/>
              </w:rPr>
              <w:t xml:space="preserve"> Costs</w:t>
            </w:r>
          </w:p>
        </w:tc>
        <w:tc>
          <w:tcPr>
            <w:tcW w:w="1559" w:type="dxa"/>
            <w:gridSpan w:val="2"/>
            <w:vAlign w:val="center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Reward</w:t>
            </w:r>
          </w:p>
        </w:tc>
        <w:tc>
          <w:tcPr>
            <w:tcW w:w="2126" w:type="dxa"/>
            <w:gridSpan w:val="2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 xml:space="preserve">Total/ </w:t>
            </w:r>
            <w:r w:rsidRPr="00AB5767">
              <w:rPr>
                <w:b/>
                <w:bCs/>
              </w:rPr>
              <w:br/>
              <w:t>Students Assisted</w:t>
            </w:r>
            <w:r>
              <w:rPr>
                <w:b/>
                <w:bCs/>
              </w:rPr>
              <w:t xml:space="preserve"> (headcount)</w:t>
            </w: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$</w:t>
            </w: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No.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$</w:t>
            </w: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No.</w:t>
            </w: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 w:rsidRPr="00AB5767">
              <w:rPr>
                <w:b/>
                <w:bCs/>
              </w:rPr>
              <w:t>$</w:t>
            </w: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No.</w:t>
            </w: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jc w:val="center"/>
              <w:rPr>
                <w:b/>
                <w:bCs/>
              </w:rPr>
            </w:pPr>
            <w:r w:rsidRPr="00AB5767">
              <w:rPr>
                <w:b/>
                <w:bCs/>
              </w:rPr>
              <w:t>$</w:t>
            </w: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From Regional/ Remote</w:t>
            </w:r>
            <w:r w:rsidRPr="00AB5767">
              <w:rPr>
                <w:b/>
                <w:bCs/>
              </w:rPr>
              <w:t>-</w:t>
            </w:r>
            <w:r w:rsidRPr="007B4BCF">
              <w:rPr>
                <w:b/>
                <w:bCs/>
                <w:color w:val="FF0000"/>
                <w:sz w:val="16"/>
                <w:szCs w:val="16"/>
              </w:rPr>
              <w:t>undergraduate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From Regional/ Remote</w:t>
            </w:r>
            <w:r w:rsidRPr="00AB5767">
              <w:rPr>
                <w:b/>
                <w:bCs/>
              </w:rPr>
              <w:t>-</w:t>
            </w:r>
            <w:r w:rsidRPr="007B4BCF">
              <w:rPr>
                <w:b/>
                <w:bCs/>
                <w:color w:val="FF0000"/>
                <w:sz w:val="16"/>
                <w:szCs w:val="16"/>
              </w:rPr>
              <w:t>postgraduate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 w:rsidRPr="00AB5767">
              <w:rPr>
                <w:b/>
                <w:bCs/>
              </w:rPr>
              <w:t xml:space="preserve">Undergraduate </w:t>
            </w:r>
            <w:r w:rsidRPr="00AB5767">
              <w:rPr>
                <w:b/>
                <w:bCs/>
                <w:color w:val="FF0000"/>
                <w:sz w:val="16"/>
                <w:szCs w:val="16"/>
              </w:rPr>
              <w:t>(non-regional/remote students)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 w:rsidRPr="00AB5767">
              <w:rPr>
                <w:b/>
                <w:bCs/>
              </w:rPr>
              <w:t xml:space="preserve">Post-graduate </w:t>
            </w:r>
            <w:r w:rsidRPr="007B4BCF">
              <w:rPr>
                <w:b/>
                <w:bCs/>
                <w:color w:val="FF0000"/>
                <w:sz w:val="16"/>
                <w:szCs w:val="16"/>
              </w:rPr>
              <w:t>(non-regional/remote students)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 w:rsidRPr="00AB5767">
              <w:rPr>
                <w:b/>
                <w:bCs/>
              </w:rPr>
              <w:t>Other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  <w:tr w:rsidR="007B4BCF" w:rsidTr="007B4BCF">
        <w:tc>
          <w:tcPr>
            <w:tcW w:w="1985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850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993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790" w:type="dxa"/>
          </w:tcPr>
          <w:p w:rsidR="007B4BCF" w:rsidRPr="00AB5767" w:rsidRDefault="007B4BCF" w:rsidP="003435D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769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104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  <w:tc>
          <w:tcPr>
            <w:tcW w:w="1022" w:type="dxa"/>
          </w:tcPr>
          <w:p w:rsidR="007B4BCF" w:rsidRPr="00AB5767" w:rsidRDefault="007B4BCF" w:rsidP="003435D3">
            <w:pPr>
              <w:spacing w:before="60" w:after="60"/>
              <w:rPr>
                <w:bCs/>
              </w:rPr>
            </w:pPr>
          </w:p>
        </w:tc>
      </w:tr>
    </w:tbl>
    <w:p w:rsidR="00522DC2" w:rsidRDefault="00522DC2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7338"/>
        <w:gridCol w:w="1905"/>
      </w:tblGrid>
      <w:tr w:rsidR="00984415" w:rsidTr="007B4BCF">
        <w:tc>
          <w:tcPr>
            <w:tcW w:w="7338" w:type="dxa"/>
          </w:tcPr>
          <w:p w:rsidR="00984415" w:rsidRDefault="00C14C03" w:rsidP="0092237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D69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Value of </w:t>
            </w:r>
            <w:r w:rsidR="00984415" w:rsidRPr="00CD693F">
              <w:rPr>
                <w:rFonts w:asciiTheme="minorHAnsi" w:hAnsiTheme="minorHAnsi" w:cs="Arial"/>
                <w:bCs/>
                <w:sz w:val="22"/>
                <w:szCs w:val="22"/>
              </w:rPr>
              <w:t>Scholarship</w:t>
            </w:r>
            <w:r w:rsidRPr="00CD693F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984415" w:rsidRPr="00CD69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3B772B" w:rsidRPr="007B4BCF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awarded</w:t>
            </w:r>
            <w:r w:rsidR="00984415" w:rsidRPr="00CD69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by the university </w:t>
            </w:r>
            <w:r w:rsidRPr="00CD693F">
              <w:rPr>
                <w:rFonts w:asciiTheme="minorHAnsi" w:hAnsiTheme="minorHAnsi" w:cs="Arial"/>
                <w:bCs/>
                <w:sz w:val="22"/>
                <w:szCs w:val="22"/>
              </w:rPr>
              <w:t>to</w:t>
            </w:r>
            <w:r w:rsidR="009844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remote or regional students </w:t>
            </w:r>
            <w:r w:rsidR="00984415" w:rsidRPr="00CD693F">
              <w:rPr>
                <w:rFonts w:asciiTheme="minorHAnsi" w:hAnsiTheme="minorHAnsi" w:cs="Arial"/>
                <w:bCs/>
                <w:sz w:val="22"/>
                <w:szCs w:val="22"/>
              </w:rPr>
              <w:t>in the</w:t>
            </w:r>
            <w:r w:rsidR="009844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201</w:t>
            </w:r>
            <w:r w:rsidR="0092237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="0098441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984415" w:rsidRPr="00CD693F">
              <w:rPr>
                <w:rFonts w:asciiTheme="minorHAnsi" w:hAnsiTheme="minorHAnsi" w:cs="Arial"/>
                <w:bCs/>
                <w:sz w:val="22"/>
                <w:szCs w:val="22"/>
              </w:rPr>
              <w:t>academic year</w:t>
            </w:r>
            <w:r w:rsidR="00984415" w:rsidRPr="00C14C0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(S</w:t>
            </w:r>
            <w:r w:rsidR="00984415" w:rsidRPr="009844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ection </w:t>
            </w:r>
            <w:r w:rsidR="00160D6B">
              <w:rPr>
                <w:rFonts w:asciiTheme="minorHAnsi" w:hAnsiTheme="minorHAnsi" w:cs="Arial"/>
                <w:bCs/>
                <w:sz w:val="22"/>
                <w:szCs w:val="22"/>
              </w:rPr>
              <w:t>21(3)</w:t>
            </w:r>
            <w:r w:rsidR="00984415" w:rsidRPr="009844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the Guidelines refers)</w:t>
            </w:r>
          </w:p>
        </w:tc>
        <w:tc>
          <w:tcPr>
            <w:tcW w:w="1905" w:type="dxa"/>
          </w:tcPr>
          <w:p w:rsidR="00984415" w:rsidRDefault="00984415" w:rsidP="0046605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</w:t>
            </w:r>
          </w:p>
        </w:tc>
      </w:tr>
      <w:tr w:rsidR="00C14C03" w:rsidTr="007B4BCF">
        <w:tc>
          <w:tcPr>
            <w:tcW w:w="7338" w:type="dxa"/>
          </w:tcPr>
          <w:p w:rsidR="00C14C03" w:rsidRDefault="00537184" w:rsidP="0092237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Value of Scholarships </w:t>
            </w:r>
            <w:r w:rsidRPr="00576742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offe</w:t>
            </w:r>
            <w:r w:rsidR="00C14C03" w:rsidRPr="00576742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red</w:t>
            </w:r>
            <w:r w:rsidR="00C14C03" w:rsidRPr="00CD69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by the university to </w:t>
            </w:r>
            <w:r w:rsidR="00C14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remote or regional students </w:t>
            </w:r>
            <w:r w:rsidR="00C14C03" w:rsidRPr="00CD693F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 the </w:t>
            </w:r>
            <w:r w:rsidR="00C14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92237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 w:rsidR="00C14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14C03" w:rsidRPr="00CD693F">
              <w:rPr>
                <w:rFonts w:asciiTheme="minorHAnsi" w:hAnsiTheme="minorHAnsi" w:cs="Arial"/>
                <w:bCs/>
                <w:sz w:val="22"/>
                <w:szCs w:val="22"/>
              </w:rPr>
              <w:t>academic year</w:t>
            </w:r>
            <w:r w:rsidR="00C14C03" w:rsidRPr="009844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(Section </w:t>
            </w:r>
            <w:r w:rsidR="00C14C03">
              <w:rPr>
                <w:rFonts w:asciiTheme="minorHAnsi" w:hAnsiTheme="minorHAnsi" w:cs="Arial"/>
                <w:bCs/>
                <w:sz w:val="22"/>
                <w:szCs w:val="22"/>
              </w:rPr>
              <w:t>21(3)</w:t>
            </w:r>
            <w:r w:rsidR="00C14C03" w:rsidRPr="0098441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 the Guidelines refers)</w:t>
            </w:r>
          </w:p>
        </w:tc>
        <w:tc>
          <w:tcPr>
            <w:tcW w:w="1905" w:type="dxa"/>
          </w:tcPr>
          <w:p w:rsidR="00C14C03" w:rsidRDefault="00C14C03" w:rsidP="0046605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984415" w:rsidRDefault="00984415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3E49FB" w:rsidRDefault="00466051" w:rsidP="0046605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szCs w:val="22"/>
        </w:rPr>
      </w:pPr>
      <w:r w:rsidRPr="00466051">
        <w:rPr>
          <w:rFonts w:asciiTheme="minorHAnsi" w:hAnsiTheme="minorHAnsi" w:cs="Arial"/>
          <w:b/>
          <w:bCs/>
          <w:szCs w:val="22"/>
        </w:rPr>
        <w:lastRenderedPageBreak/>
        <w:t>Pr</w:t>
      </w:r>
      <w:r w:rsidR="003E49FB" w:rsidRPr="00466051">
        <w:rPr>
          <w:rFonts w:asciiTheme="minorHAnsi" w:hAnsiTheme="minorHAnsi" w:cs="Arial"/>
          <w:b/>
          <w:bCs/>
          <w:szCs w:val="22"/>
        </w:rPr>
        <w:t>ogression</w:t>
      </w:r>
      <w:r w:rsidR="003E49FB">
        <w:rPr>
          <w:rFonts w:asciiTheme="minorHAnsi" w:hAnsiTheme="minorHAnsi" w:cs="Arial"/>
          <w:b/>
          <w:bCs/>
          <w:szCs w:val="22"/>
        </w:rPr>
        <w:t xml:space="preserve"> (access and outcomes)</w:t>
      </w:r>
    </w:p>
    <w:p w:rsidR="003E49FB" w:rsidRPr="003E49FB" w:rsidRDefault="00BD12E5" w:rsidP="003E49FB">
      <w:pPr>
        <w:rPr>
          <w:rFonts w:asciiTheme="minorHAnsi" w:hAnsiTheme="minorHAnsi" w:cs="Arial"/>
          <w:b/>
          <w:bCs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5E238AB8" wp14:editId="148DA7C9">
                <wp:extent cx="5781964" cy="2844800"/>
                <wp:effectExtent l="0" t="0" r="2857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964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Pr="00555B0B" w:rsidRDefault="001855E3" w:rsidP="00BD12E5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In reference to data provide</w:t>
                            </w:r>
                            <w:r w:rsidR="003B772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 to the Vice Chancellor in </w:t>
                            </w:r>
                            <w:r w:rsidR="00576742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December 2017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comment on: </w:t>
                            </w:r>
                          </w:p>
                          <w:p w:rsidR="001855E3" w:rsidRPr="00555B0B" w:rsidRDefault="001855E3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strategies to improve </w:t>
                            </w:r>
                            <w:r w:rsid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unit success rates and retention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of Aboriginal and Torres Strait Islander students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555B0B" w:rsidRDefault="001855E3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the rise or fall of </w:t>
                            </w:r>
                            <w:r w:rsid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success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/progression</w:t>
                            </w:r>
                            <w:r w:rsidR="00C14C03"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</w:t>
                            </w:r>
                            <w:r w:rsidR="003B772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rates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555B0B" w:rsidRDefault="001855E3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the number and level 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(UG/PG) 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of study for Aboriginal and Torres Strait Islander students that received tutorial assistance in 201</w:t>
                            </w:r>
                            <w:r w:rsidR="00922378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8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555B0B" w:rsidRDefault="00537184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the size</w:t>
                            </w:r>
                            <w:r w:rsidR="001855E3"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of the Indigenous Support Unit or other Indigenous student support activities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555B0B" w:rsidRDefault="001855E3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strategies to imp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rove the cultural competency of 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staff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and/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or to ensure the university offers a culturally safe and enriching environment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 and</w:t>
                            </w:r>
                          </w:p>
                          <w:p w:rsidR="00C14C03" w:rsidRPr="00555B0B" w:rsidRDefault="001855E3" w:rsidP="00BD12E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proofErr w:type="gramStart"/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which</w:t>
                            </w:r>
                            <w:proofErr w:type="gramEnd"/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strategies are directly funded by ISSP, partly funded by ISSP or funded by other university resources</w:t>
                            </w:r>
                            <w:r w:rsid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.</w:t>
                            </w:r>
                          </w:p>
                          <w:p w:rsidR="00C14C03" w:rsidRPr="00C14C03" w:rsidRDefault="00C14C03" w:rsidP="00CD693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[Remove this guidance once this section has been completed]</w:t>
                            </w:r>
                          </w:p>
                          <w:p w:rsidR="001855E3" w:rsidRPr="00555B0B" w:rsidRDefault="001855E3" w:rsidP="00555B0B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1855E3" w:rsidRPr="00555B0B" w:rsidRDefault="001855E3" w:rsidP="00555B0B">
                            <w:p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5.25pt;height:2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">
                <v:textbox>
                  <w:txbxContent>
                    <w:p w:rsidR="001855E3" w:rsidRPr="00555B0B" w:rsidRDefault="001855E3" w:rsidP="00BD12E5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In reference to data provide</w:t>
                      </w:r>
                      <w:r w:rsidR="003B772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d to the Vice Chancellor in </w:t>
                      </w:r>
                      <w:r w:rsidR="00576742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December 2017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, comment on: </w:t>
                      </w:r>
                    </w:p>
                    <w:p w:rsidR="001855E3" w:rsidRPr="00555B0B" w:rsidRDefault="001855E3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strategies to improve </w:t>
                      </w:r>
                      <w:r w:rsid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unit success rates and retention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of Aboriginal and Torres Strait Islander students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555B0B" w:rsidRDefault="001855E3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the rise or fall of </w:t>
                      </w:r>
                      <w:r w:rsid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success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/progression</w:t>
                      </w:r>
                      <w:r w:rsidR="00C14C03"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</w:t>
                      </w:r>
                      <w:r w:rsidR="003B772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rates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555B0B" w:rsidRDefault="001855E3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the number and level 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(UG/PG) 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of study for Aboriginal and Torres Strait Islander students that received tutorial assistance in 201</w:t>
                      </w:r>
                      <w:r w:rsidR="00922378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8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555B0B" w:rsidRDefault="00537184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the size</w:t>
                      </w:r>
                      <w:r w:rsidR="001855E3"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of the Indigenous Support Unit or other Indigenous student support activities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555B0B" w:rsidRDefault="001855E3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strategies to imp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rove the cultural competency of 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staff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and/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or to ensure the university offers a culturally safe and enriching environment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 and</w:t>
                      </w:r>
                    </w:p>
                    <w:p w:rsidR="00C14C03" w:rsidRPr="00555B0B" w:rsidRDefault="001855E3" w:rsidP="00BD12E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proofErr w:type="gramStart"/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which</w:t>
                      </w:r>
                      <w:proofErr w:type="gramEnd"/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strategies are directly funded by ISSP, partly funded by ISSP or funded by other university resources</w:t>
                      </w:r>
                      <w:r w:rsid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.</w:t>
                      </w:r>
                    </w:p>
                    <w:p w:rsidR="00C14C03" w:rsidRPr="00C14C03" w:rsidRDefault="00C14C03" w:rsidP="00CD693F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[Remove this guidance once this section has been completed]</w:t>
                      </w:r>
                    </w:p>
                    <w:p w:rsidR="001855E3" w:rsidRPr="00555B0B" w:rsidRDefault="001855E3" w:rsidP="00555B0B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1855E3" w:rsidRPr="00555B0B" w:rsidRDefault="001855E3" w:rsidP="00555B0B">
                      <w:pPr>
                        <w:rPr>
                          <w:i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E49FB" w:rsidRPr="003E49FB" w:rsidRDefault="003E49FB" w:rsidP="003E49FB">
      <w:pPr>
        <w:rPr>
          <w:rFonts w:asciiTheme="minorHAnsi" w:hAnsiTheme="minorHAnsi" w:cs="Arial"/>
          <w:b/>
          <w:bCs/>
          <w:szCs w:val="22"/>
        </w:rPr>
      </w:pPr>
    </w:p>
    <w:p w:rsidR="003E49FB" w:rsidRDefault="003E49FB" w:rsidP="003F22C0">
      <w:p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</w:p>
    <w:p w:rsidR="00466051" w:rsidRDefault="003F22C0" w:rsidP="003F22C0">
      <w:p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2a </w:t>
      </w:r>
      <w:r>
        <w:rPr>
          <w:rFonts w:asciiTheme="minorHAnsi" w:hAnsiTheme="minorHAnsi" w:cs="Arial"/>
          <w:b/>
          <w:bCs/>
          <w:sz w:val="22"/>
          <w:szCs w:val="22"/>
        </w:rPr>
        <w:tab/>
        <w:t>Tutorial and other assistance provided (</w:t>
      </w:r>
      <w:r w:rsidR="00AF6FB9">
        <w:rPr>
          <w:rFonts w:asciiTheme="minorHAnsi" w:hAnsiTheme="minorHAnsi" w:cs="Arial"/>
          <w:b/>
          <w:bCs/>
          <w:sz w:val="22"/>
          <w:szCs w:val="22"/>
        </w:rPr>
        <w:t>201</w:t>
      </w:r>
      <w:r w:rsidR="00922378">
        <w:rPr>
          <w:rFonts w:asciiTheme="minorHAnsi" w:hAnsiTheme="minorHAnsi" w:cs="Arial"/>
          <w:b/>
          <w:bCs/>
          <w:sz w:val="22"/>
          <w:szCs w:val="22"/>
        </w:rPr>
        <w:t>8</w:t>
      </w:r>
      <w:r w:rsidR="00AF6FB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breakdown)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559"/>
        <w:gridCol w:w="1764"/>
      </w:tblGrid>
      <w:tr w:rsidR="00FD4436" w:rsidTr="00173521">
        <w:tc>
          <w:tcPr>
            <w:tcW w:w="2127" w:type="dxa"/>
            <w:vAlign w:val="center"/>
          </w:tcPr>
          <w:p w:rsidR="00FD4436" w:rsidRDefault="00FD4436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Assistance type</w:t>
            </w:r>
          </w:p>
        </w:tc>
        <w:tc>
          <w:tcPr>
            <w:tcW w:w="2126" w:type="dxa"/>
            <w:vAlign w:val="center"/>
          </w:tcPr>
          <w:p w:rsidR="00FD4436" w:rsidRDefault="00FD4436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Level of study</w:t>
            </w:r>
          </w:p>
        </w:tc>
        <w:tc>
          <w:tcPr>
            <w:tcW w:w="1559" w:type="dxa"/>
            <w:vAlign w:val="center"/>
          </w:tcPr>
          <w:p w:rsidR="00FD4436" w:rsidRDefault="002C2475" w:rsidP="002C247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Number of student</w:t>
            </w:r>
            <w:r w:rsidR="00FD44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 assisted</w:t>
            </w:r>
          </w:p>
        </w:tc>
        <w:tc>
          <w:tcPr>
            <w:tcW w:w="1559" w:type="dxa"/>
            <w:vAlign w:val="center"/>
          </w:tcPr>
          <w:p w:rsidR="00FD4436" w:rsidRDefault="00FD4436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Hours of assistance</w:t>
            </w:r>
          </w:p>
        </w:tc>
        <w:tc>
          <w:tcPr>
            <w:tcW w:w="1764" w:type="dxa"/>
            <w:vAlign w:val="center"/>
          </w:tcPr>
          <w:p w:rsidR="00FD4436" w:rsidRDefault="00FD4436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$</w:t>
            </w: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F22C0">
              <w:rPr>
                <w:rFonts w:asciiTheme="minorHAnsi" w:hAnsiTheme="minorHAnsi" w:cs="Arial"/>
                <w:bCs/>
                <w:sz w:val="22"/>
                <w:szCs w:val="22"/>
              </w:rPr>
              <w:t>Tutorial assistance</w:t>
            </w:r>
          </w:p>
        </w:tc>
        <w:tc>
          <w:tcPr>
            <w:tcW w:w="2126" w:type="dxa"/>
          </w:tcPr>
          <w:p w:rsidR="00FD4436" w:rsidRPr="003F22C0" w:rsidRDefault="00BD12E5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</w:t>
            </w:r>
            <w:r w:rsidR="00FD4436" w:rsidRPr="003F22C0">
              <w:rPr>
                <w:rFonts w:asciiTheme="minorHAnsi" w:hAnsiTheme="minorHAnsi" w:cs="Arial"/>
                <w:bCs/>
                <w:sz w:val="22"/>
                <w:szCs w:val="22"/>
              </w:rPr>
              <w:t>ndergraduate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7F7F7F" w:themeFill="text1" w:themeFillTint="80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F22C0">
              <w:rPr>
                <w:rFonts w:asciiTheme="minorHAnsi" w:hAnsiTheme="minorHAnsi" w:cs="Arial"/>
                <w:bCs/>
                <w:sz w:val="22"/>
                <w:szCs w:val="22"/>
              </w:rPr>
              <w:t>Post graduate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7F7F7F" w:themeFill="text1" w:themeFillTint="80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F22C0">
              <w:rPr>
                <w:rFonts w:asciiTheme="minorHAnsi" w:hAnsiTheme="minorHAnsi" w:cs="Arial"/>
                <w:bCs/>
                <w:sz w:val="22"/>
                <w:szCs w:val="22"/>
              </w:rPr>
              <w:t>Other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7F7F7F" w:themeFill="text1" w:themeFillTint="80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D4436" w:rsidRPr="003F22C0" w:rsidRDefault="00FD4436" w:rsidP="00BD12E5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3F22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2A50F4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Indigenous Support Unit or other Indigenous student support activities</w:t>
            </w:r>
          </w:p>
        </w:tc>
        <w:tc>
          <w:tcPr>
            <w:tcW w:w="2126" w:type="dxa"/>
          </w:tcPr>
          <w:p w:rsidR="00FD4436" w:rsidRPr="003F22C0" w:rsidRDefault="002A50F4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(optional breakdown of major activities or just total)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D4436" w:rsidRPr="003F22C0" w:rsidRDefault="00FD4436" w:rsidP="00BD12E5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3F22C0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D4436" w:rsidTr="00173521">
        <w:tc>
          <w:tcPr>
            <w:tcW w:w="2127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Add other categories as relevant</w:t>
            </w:r>
          </w:p>
        </w:tc>
        <w:tc>
          <w:tcPr>
            <w:tcW w:w="2126" w:type="dxa"/>
          </w:tcPr>
          <w:p w:rsidR="00FD4436" w:rsidRPr="003F22C0" w:rsidRDefault="00FD4436" w:rsidP="00BD12E5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FD4436" w:rsidRDefault="00FD4436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605CF" w:rsidRDefault="001605CF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F22C0" w:rsidRDefault="003F22C0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75FA0" w:rsidRDefault="00875FA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:rsidR="001605CF" w:rsidRPr="001605CF" w:rsidRDefault="001605CF" w:rsidP="001605CF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Completions (outcomes)</w:t>
      </w:r>
    </w:p>
    <w:p w:rsidR="001605CF" w:rsidRPr="001605CF" w:rsidRDefault="00875FA0" w:rsidP="00875FA0">
      <w:pPr>
        <w:rPr>
          <w:rFonts w:asciiTheme="minorHAnsi" w:hAnsiTheme="minorHAnsi" w:cs="Arial"/>
          <w:bCs/>
          <w:i/>
          <w:sz w:val="22"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196A95ED" wp14:editId="290658A6">
                <wp:extent cx="5828145" cy="2225675"/>
                <wp:effectExtent l="0" t="0" r="2032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145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Pr="00555B0B" w:rsidRDefault="001855E3" w:rsidP="00875FA0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In reference to data provide</w:t>
                            </w:r>
                            <w:r w:rsidR="003B772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 to the Vice Chancellor in </w:t>
                            </w:r>
                            <w:r w:rsidR="00576742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December 2017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, comment on: </w:t>
                            </w:r>
                          </w:p>
                          <w:p w:rsidR="001855E3" w:rsidRPr="00555B0B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strategies to improve </w:t>
                            </w:r>
                            <w:r w:rsid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award course </w:t>
                            </w: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completion of Aboriginal and Torres Strait Islander students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CD693F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the rise or fall of completio</w:t>
                            </w:r>
                            <w:r w:rsidR="000C5649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n</w:t>
                            </w:r>
                            <w:r w:rsid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0C5649" w:rsidRPr="005D3495" w:rsidRDefault="000C5649" w:rsidP="000C564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strategies connecting graduates with employment (both within and outside of the institution)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537184" w:rsidRDefault="000C5649" w:rsidP="000C5649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5D3495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strategies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to assist graduates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; </w:t>
                            </w:r>
                          </w:p>
                          <w:p w:rsidR="000C5649" w:rsidRPr="00537184" w:rsidRDefault="00537184" w:rsidP="0053718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strategies to monitor student</w:t>
                            </w:r>
                            <w:r w:rsidR="000C5649" w:rsidRP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outcomes after graduation</w:t>
                            </w:r>
                            <w:r w:rsidRP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 and</w:t>
                            </w:r>
                          </w:p>
                          <w:p w:rsidR="001855E3" w:rsidRPr="00CD693F" w:rsidRDefault="001855E3" w:rsidP="00875FA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proofErr w:type="gramStart"/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which</w:t>
                            </w:r>
                            <w:proofErr w:type="gramEnd"/>
                            <w:r w:rsidRPr="00555B0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strategies are directly funded by ISSP, partly funded by ISSP or funded by other university resources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.</w:t>
                            </w:r>
                          </w:p>
                          <w:p w:rsidR="001855E3" w:rsidRPr="0037283C" w:rsidRDefault="001855E3" w:rsidP="00555B0B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[Remove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guidance once this section has been completed]</w:t>
                            </w:r>
                          </w:p>
                          <w:p w:rsidR="001855E3" w:rsidRPr="00555B0B" w:rsidRDefault="001855E3" w:rsidP="00555B0B">
                            <w:p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58.9pt;height:17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">
                <v:textbox>
                  <w:txbxContent>
                    <w:p w:rsidR="001855E3" w:rsidRPr="00555B0B" w:rsidRDefault="001855E3" w:rsidP="00875FA0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In reference to data provide</w:t>
                      </w:r>
                      <w:r w:rsidR="003B772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d to the Vice Chancellor in </w:t>
                      </w:r>
                      <w:r w:rsidR="00576742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December 2017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, comment on: </w:t>
                      </w:r>
                    </w:p>
                    <w:p w:rsidR="001855E3" w:rsidRPr="00555B0B" w:rsidRDefault="001855E3" w:rsidP="00875FA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strategies to improve </w:t>
                      </w:r>
                      <w:r w:rsid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award course </w:t>
                      </w: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completion of Aboriginal and Torres Strait Islander students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CD693F" w:rsidRDefault="001855E3" w:rsidP="00875FA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the rise or fall of completio</w:t>
                      </w:r>
                      <w:r w:rsidR="000C5649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n</w:t>
                      </w:r>
                      <w:r w:rsid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0C5649" w:rsidRPr="005D3495" w:rsidRDefault="000C5649" w:rsidP="000C564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strategies connecting graduates with employment (both within and outside of the institution)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537184" w:rsidRDefault="000C5649" w:rsidP="000C5649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5D3495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strategies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to assist graduates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; </w:t>
                      </w:r>
                    </w:p>
                    <w:p w:rsidR="000C5649" w:rsidRPr="00537184" w:rsidRDefault="00537184" w:rsidP="0053718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strategies to monitor student</w:t>
                      </w:r>
                      <w:r w:rsidR="000C5649" w:rsidRP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outcomes after graduation</w:t>
                      </w:r>
                      <w:r w:rsidRP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 and</w:t>
                      </w:r>
                    </w:p>
                    <w:p w:rsidR="001855E3" w:rsidRPr="00CD693F" w:rsidRDefault="001855E3" w:rsidP="00875FA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i/>
                          <w:color w:val="1F497D" w:themeColor="text2"/>
                          <w:szCs w:val="22"/>
                        </w:rPr>
                      </w:pPr>
                      <w:proofErr w:type="gramStart"/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which</w:t>
                      </w:r>
                      <w:proofErr w:type="gramEnd"/>
                      <w:r w:rsidRPr="00555B0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strategies are directly funded by ISSP, partly funded by ISSP or funded by other university resources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.</w:t>
                      </w:r>
                    </w:p>
                    <w:p w:rsidR="001855E3" w:rsidRPr="0037283C" w:rsidRDefault="001855E3" w:rsidP="00555B0B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[Remove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this </w:t>
                      </w: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guidance once this section has been completed]</w:t>
                      </w:r>
                    </w:p>
                    <w:p w:rsidR="001855E3" w:rsidRPr="00555B0B" w:rsidRDefault="001855E3" w:rsidP="00555B0B">
                      <w:pPr>
                        <w:rPr>
                          <w:i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05CF" w:rsidRDefault="001605CF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66051" w:rsidRDefault="00466051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605CF" w:rsidRDefault="00BD12E5" w:rsidP="002C2475">
      <w:pPr>
        <w:pStyle w:val="ListParagraph"/>
        <w:numPr>
          <w:ilvl w:val="0"/>
          <w:numId w:val="21"/>
        </w:numPr>
        <w:ind w:left="357" w:hanging="357"/>
        <w:rPr>
          <w:rFonts w:asciiTheme="minorHAnsi" w:hAnsiTheme="minorHAnsi" w:cs="Arial"/>
          <w:b/>
          <w:bCs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B0F1" wp14:editId="1E28092F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5827395" cy="2687320"/>
                <wp:effectExtent l="0" t="0" r="20955" b="1778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Default="001855E3" w:rsidP="002609F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2609F6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Explain how the university has met its requirements under section </w:t>
                            </w:r>
                            <w:r w:rsidR="00160D6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13</w:t>
                            </w:r>
                            <w:r w:rsidR="00537184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of the ISSP Guidelines;</w:t>
                            </w:r>
                          </w:p>
                          <w:p w:rsidR="001855E3" w:rsidRPr="00780617" w:rsidRDefault="001855E3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2609F6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Include current link to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the university’s </w:t>
                            </w:r>
                            <w:r w:rsidRPr="002609F6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website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outlining its</w:t>
                            </w:r>
                            <w:r w:rsidRPr="002609F6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</w:t>
                            </w:r>
                            <w:r w:rsidRPr="002609F6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strategies for improving access, participation, retention and success of Aboriginal and Torres Strait Islander students, including monitoring and evaluation procedures. This can be a special Indigenous Education Strategy </w:t>
                            </w:r>
                            <w:r w:rsidR="00022929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document or a section targeting developments</w:t>
                            </w:r>
                            <w:r w:rsidRPr="002609F6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for Aboriginal and Torres Strait Islander people in a broader university strategic or </w:t>
                            </w:r>
                            <w:r w:rsidR="00537184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operational plan;</w:t>
                            </w:r>
                          </w:p>
                          <w:p w:rsidR="00A81642" w:rsidRPr="00A81642" w:rsidRDefault="001855E3" w:rsidP="002609F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Comment on the university’s Reconcilia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tion Action Plan if appropriate;</w:t>
                            </w:r>
                          </w:p>
                          <w:p w:rsidR="001855E3" w:rsidRPr="002609F6" w:rsidRDefault="001855E3" w:rsidP="002609F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D</w:t>
                            </w:r>
                            <w:r w:rsidRPr="002609F6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iscuss the practical 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implementation and evaluation of your </w:t>
                            </w:r>
                            <w:r w:rsidR="00537184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Indigenous Education Strategy; and</w:t>
                            </w:r>
                          </w:p>
                          <w:p w:rsidR="00CD693F" w:rsidRDefault="001855E3" w:rsidP="00CD69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2609F6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Report progress against targets and milestones outlined in the strategy</w:t>
                            </w:r>
                            <w:r w:rsidR="00537184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.</w:t>
                            </w:r>
                          </w:p>
                          <w:p w:rsidR="001855E3" w:rsidRPr="002609F6" w:rsidRDefault="001855E3" w:rsidP="002609F6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2609F6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[Remove this guidance once this section has been completed]</w:t>
                            </w:r>
                          </w:p>
                          <w:p w:rsidR="001855E3" w:rsidRPr="00DF5227" w:rsidRDefault="001855E3" w:rsidP="00DF5227">
                            <w:pP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19.05pt;width:458.85pt;height:2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AIKAIAAEw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">
                <v:textbox>
                  <w:txbxContent>
                    <w:p w:rsidR="001855E3" w:rsidRDefault="001855E3" w:rsidP="002609F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2609F6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Explain how the university has met its requirements under section </w:t>
                      </w:r>
                      <w:r w:rsidR="00160D6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13</w:t>
                      </w:r>
                      <w:r w:rsidR="00537184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of the ISSP Guidelines;</w:t>
                      </w:r>
                    </w:p>
                    <w:p w:rsidR="001855E3" w:rsidRPr="00780617" w:rsidRDefault="001855E3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2609F6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Include current link to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the university’s </w:t>
                      </w:r>
                      <w:r w:rsidRPr="002609F6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website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outlining its</w:t>
                      </w:r>
                      <w:r w:rsidRPr="002609F6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</w:t>
                      </w:r>
                      <w:r w:rsidRPr="002609F6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strategies for improving access, participation, retention and success of Aboriginal and Torres Strait Islander students, including monitoring and evaluation procedures. This can be a special Indigenous Education Strategy </w:t>
                      </w:r>
                      <w:r w:rsidR="00022929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document or a section targeting developments</w:t>
                      </w:r>
                      <w:r w:rsidRPr="002609F6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for Aboriginal and Torres Strait Islander people in a broader university strategic or </w:t>
                      </w:r>
                      <w:r w:rsidR="00537184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operational plan;</w:t>
                      </w:r>
                    </w:p>
                    <w:p w:rsidR="00A81642" w:rsidRPr="00A81642" w:rsidRDefault="001855E3" w:rsidP="002609F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Comment on the university’s Reconcilia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tion Action Plan if appropriate;</w:t>
                      </w:r>
                    </w:p>
                    <w:p w:rsidR="001855E3" w:rsidRPr="002609F6" w:rsidRDefault="001855E3" w:rsidP="002609F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D</w:t>
                      </w:r>
                      <w:r w:rsidRPr="002609F6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iscuss the practical 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implementation and evaluation of your </w:t>
                      </w:r>
                      <w:r w:rsidR="00537184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Indigenous Education Strategy; and</w:t>
                      </w:r>
                    </w:p>
                    <w:p w:rsidR="00CD693F" w:rsidRDefault="001855E3" w:rsidP="00CD69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</w:pPr>
                      <w:r w:rsidRPr="002609F6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Report progress against targets and milestones outlined in the strategy</w:t>
                      </w:r>
                      <w:r w:rsidR="00537184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.</w:t>
                      </w:r>
                    </w:p>
                    <w:p w:rsidR="001855E3" w:rsidRPr="002609F6" w:rsidRDefault="001855E3" w:rsidP="002609F6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2609F6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[Remove this guidance once this section has been completed]</w:t>
                      </w:r>
                    </w:p>
                    <w:p w:rsidR="001855E3" w:rsidRPr="00DF5227" w:rsidRDefault="001855E3" w:rsidP="00DF5227">
                      <w:pP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605CF">
        <w:rPr>
          <w:rFonts w:asciiTheme="minorHAnsi" w:hAnsiTheme="minorHAnsi" w:cs="Arial"/>
          <w:b/>
          <w:bCs/>
          <w:szCs w:val="22"/>
        </w:rPr>
        <w:t>Indigenous Education Strategy accessible by public</w:t>
      </w:r>
    </w:p>
    <w:p w:rsidR="00DF5227" w:rsidRDefault="00DF5227" w:rsidP="00DF5227">
      <w:pPr>
        <w:rPr>
          <w:rFonts w:asciiTheme="minorHAnsi" w:hAnsiTheme="minorHAnsi" w:cs="Arial"/>
          <w:b/>
          <w:bCs/>
          <w:szCs w:val="22"/>
        </w:rPr>
      </w:pPr>
    </w:p>
    <w:p w:rsidR="00BE299C" w:rsidRPr="001605CF" w:rsidRDefault="00BE299C" w:rsidP="00BE299C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Indigenous Workforce Strategy accessible by public</w:t>
      </w:r>
    </w:p>
    <w:p w:rsidR="00DF5227" w:rsidRDefault="00DF5227" w:rsidP="00DF5227">
      <w:pPr>
        <w:rPr>
          <w:rFonts w:asciiTheme="minorHAnsi" w:hAnsiTheme="minorHAnsi" w:cs="Arial"/>
          <w:bCs/>
          <w:i/>
          <w:sz w:val="22"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00F51EAE" wp14:editId="56A69B14">
                <wp:extent cx="5828030" cy="2495550"/>
                <wp:effectExtent l="0" t="0" r="2032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Default="001855E3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Explain how the university has met its requirements under section </w:t>
                            </w:r>
                            <w:r w:rsidR="00160D6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12</w:t>
                            </w:r>
                            <w:r w:rsidR="00A81642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of the ISSP Guidelines;</w:t>
                            </w:r>
                          </w:p>
                          <w:p w:rsidR="001855E3" w:rsidRPr="00780617" w:rsidRDefault="001855E3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780617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Include current link to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the university’s </w:t>
                            </w:r>
                            <w:r w:rsidRPr="00780617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website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outlining</w:t>
                            </w:r>
                            <w:r w:rsidRPr="00780617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the </w:t>
                            </w: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strategies to increase 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the number of </w:t>
                            </w: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Aboriginal and Torres Strait Islander people working at the university and to support the development of current Aboriginal and Torres Strait Islander employees. This can be a special Indigenous Workforce Strategy </w:t>
                            </w:r>
                            <w:r w:rsidR="00022929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document or a section targeting development</w:t>
                            </w: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for Aboriginal and Torres Strait Islander people in a broader university w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orkforce strategy;</w:t>
                            </w:r>
                          </w:p>
                          <w:p w:rsidR="001855E3" w:rsidRPr="00780617" w:rsidRDefault="001855E3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D</w:t>
                            </w: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iscuss the practical 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implementation and</w:t>
                            </w: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evaluation 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of your Indigenous Workforce Strategy;</w:t>
                            </w:r>
                          </w:p>
                          <w:p w:rsidR="00576742" w:rsidRPr="00576742" w:rsidRDefault="001855E3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780617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Report progress against targets and milestones outlined in the strategy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; </w:t>
                            </w:r>
                          </w:p>
                          <w:p w:rsidR="000C5649" w:rsidRPr="00CD693F" w:rsidRDefault="00576742" w:rsidP="0078061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Discuss plans to support the current or future employment of an Aboriginal and/or Torres Strait Islander person in a senior position at the Pro-Vice Chancellor, Deputy Vice Chancellor or an equivalent level; </w:t>
                            </w:r>
                            <w:r w:rsidR="00A816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and</w:t>
                            </w:r>
                          </w:p>
                          <w:p w:rsidR="00CD693F" w:rsidRDefault="00576742" w:rsidP="00CD69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Discuss plans to progress towards an</w:t>
                            </w:r>
                            <w:r w:rsidR="000C5649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Indigenous workforce target of 3%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or discuss how you have achieved this target in 2018</w:t>
                            </w:r>
                            <w:r w:rsidR="000C5649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.</w:t>
                            </w:r>
                          </w:p>
                          <w:p w:rsidR="001855E3" w:rsidRPr="00576742" w:rsidRDefault="001855E3" w:rsidP="00CD693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76742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[Remove this guidance once this section has been completed]</w:t>
                            </w:r>
                          </w:p>
                          <w:p w:rsidR="001855E3" w:rsidRPr="00CD693F" w:rsidRDefault="001855E3" w:rsidP="00CD693F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58.9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">
                <v:textbox>
                  <w:txbxContent>
                    <w:p w:rsidR="001855E3" w:rsidRDefault="001855E3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Explain how the university has met its requirements under section </w:t>
                      </w:r>
                      <w:r w:rsidR="00160D6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12</w:t>
                      </w:r>
                      <w:r w:rsidR="00A81642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of the ISSP Guidelines;</w:t>
                      </w:r>
                    </w:p>
                    <w:p w:rsidR="001855E3" w:rsidRPr="00780617" w:rsidRDefault="001855E3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780617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Include current link to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the university’s </w:t>
                      </w:r>
                      <w:r w:rsidRPr="00780617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website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outlining</w:t>
                      </w:r>
                      <w:r w:rsidRPr="00780617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the </w:t>
                      </w: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strategies to increase 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the number of </w:t>
                      </w: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Aboriginal and Torres Strait Islander people working at the university and to support the development of current Aboriginal and Torres Strait Islander employees. This can be a special Indigenous Workforce Strategy </w:t>
                      </w:r>
                      <w:r w:rsidR="00022929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document or a section targeting development</w:t>
                      </w: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for Aboriginal and Torres Strait Islander people in a broader university w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orkforce strategy;</w:t>
                      </w:r>
                    </w:p>
                    <w:p w:rsidR="001855E3" w:rsidRPr="00780617" w:rsidRDefault="001855E3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D</w:t>
                      </w: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iscuss the practical 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implementation and</w:t>
                      </w: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evaluation 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of your Indigenous Workforce Strategy;</w:t>
                      </w:r>
                    </w:p>
                    <w:p w:rsidR="00576742" w:rsidRPr="00576742" w:rsidRDefault="001855E3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780617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Report progress against targets and milestones outlined in the strategy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; </w:t>
                      </w:r>
                    </w:p>
                    <w:p w:rsidR="000C5649" w:rsidRPr="00CD693F" w:rsidRDefault="00576742" w:rsidP="0078061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Discuss plans to support the current or future employment of an Aboriginal and/or Torres Strait Islander person in a senior position at the Pro-Vice Chancellor, Deputy Vice Chancellor or an equivalent level; </w:t>
                      </w:r>
                      <w:r w:rsidR="00A81642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and</w:t>
                      </w:r>
                    </w:p>
                    <w:p w:rsidR="00CD693F" w:rsidRDefault="00576742" w:rsidP="00CD69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Discuss plans to progress towards an</w:t>
                      </w:r>
                      <w:r w:rsidR="000C5649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Indigenous workforce target of 3% </w:t>
                      </w:r>
                      <w:r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or discuss how you have achieved this target in 2018</w:t>
                      </w:r>
                      <w:r w:rsidR="000C5649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.</w:t>
                      </w:r>
                    </w:p>
                    <w:p w:rsidR="001855E3" w:rsidRPr="00576742" w:rsidRDefault="001855E3" w:rsidP="00CD693F">
                      <w:pPr>
                        <w:pStyle w:val="ListParagraph"/>
                        <w:ind w:left="0"/>
                        <w:rPr>
                          <w:rFonts w:asciiTheme="minorHAnsi" w:hAnsiTheme="minorHAnsi" w:cs="Arial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576742">
                        <w:rPr>
                          <w:rFonts w:asciiTheme="minorHAnsi" w:hAnsiTheme="minorHAnsi" w:cs="Arial"/>
                          <w:i/>
                          <w:color w:val="1F497D" w:themeColor="text2"/>
                          <w:sz w:val="18"/>
                          <w:szCs w:val="18"/>
                        </w:rPr>
                        <w:t>[Remove this guidance once this section has been completed]</w:t>
                      </w:r>
                    </w:p>
                    <w:p w:rsidR="001855E3" w:rsidRPr="00CD693F" w:rsidRDefault="001855E3" w:rsidP="00CD693F">
                      <w:pPr>
                        <w:pStyle w:val="ListParagraph"/>
                        <w:ind w:left="360"/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299C" w:rsidRDefault="00BE299C" w:rsidP="00DF5227">
      <w:pPr>
        <w:rPr>
          <w:rFonts w:asciiTheme="minorHAnsi" w:hAnsiTheme="minorHAnsi" w:cs="Arial"/>
          <w:bCs/>
          <w:sz w:val="22"/>
          <w:szCs w:val="22"/>
        </w:rPr>
      </w:pPr>
    </w:p>
    <w:p w:rsidR="00BE299C" w:rsidRDefault="00BE299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605CF" w:rsidRDefault="001E6C33" w:rsidP="00F91AE7">
      <w:p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5a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2B7FB8">
        <w:rPr>
          <w:rFonts w:asciiTheme="minorHAnsi" w:hAnsiTheme="minorHAnsi" w:cs="Arial"/>
          <w:b/>
          <w:bCs/>
          <w:sz w:val="22"/>
          <w:szCs w:val="22"/>
        </w:rPr>
        <w:t xml:space="preserve">Indigenous </w:t>
      </w:r>
      <w:r w:rsidR="00F91AE7">
        <w:rPr>
          <w:rFonts w:asciiTheme="minorHAnsi" w:hAnsiTheme="minorHAnsi" w:cs="Arial"/>
          <w:b/>
          <w:bCs/>
          <w:sz w:val="22"/>
          <w:szCs w:val="22"/>
        </w:rPr>
        <w:t>workforce data</w:t>
      </w:r>
      <w:r w:rsidR="00AF6FB9">
        <w:rPr>
          <w:rFonts w:asciiTheme="minorHAnsi" w:hAnsiTheme="minorHAnsi" w:cs="Arial"/>
          <w:b/>
          <w:bCs/>
          <w:sz w:val="22"/>
          <w:szCs w:val="22"/>
        </w:rPr>
        <w:t xml:space="preserve"> (201</w:t>
      </w:r>
      <w:r w:rsidR="00922378">
        <w:rPr>
          <w:rFonts w:asciiTheme="minorHAnsi" w:hAnsiTheme="minorHAnsi" w:cs="Arial"/>
          <w:b/>
          <w:bCs/>
          <w:sz w:val="22"/>
          <w:szCs w:val="22"/>
        </w:rPr>
        <w:t>8</w:t>
      </w:r>
      <w:r w:rsidR="00AF6FB9">
        <w:rPr>
          <w:rFonts w:asciiTheme="minorHAnsi" w:hAnsiTheme="minorHAnsi" w:cs="Arial"/>
          <w:b/>
          <w:bCs/>
          <w:sz w:val="22"/>
          <w:szCs w:val="22"/>
        </w:rPr>
        <w:t xml:space="preserve"> breakdown)</w:t>
      </w:r>
    </w:p>
    <w:p w:rsidR="00F91AE7" w:rsidRPr="002B7FB8" w:rsidRDefault="002B7FB8" w:rsidP="00466051">
      <w:pPr>
        <w:rPr>
          <w:rFonts w:asciiTheme="minorHAnsi" w:hAnsiTheme="minorHAnsi" w:cs="Arial"/>
          <w:bCs/>
          <w:i/>
          <w:sz w:val="22"/>
          <w:szCs w:val="22"/>
        </w:rPr>
      </w:pPr>
      <w:r w:rsidRPr="002B7FB8">
        <w:rPr>
          <w:rFonts w:asciiTheme="minorHAnsi" w:hAnsiTheme="minorHAnsi" w:cs="Arial"/>
          <w:bCs/>
          <w:i/>
          <w:sz w:val="22"/>
          <w:szCs w:val="22"/>
        </w:rPr>
        <w:t>While universities report on the number of Indigenous staff members</w:t>
      </w:r>
      <w:r w:rsidR="001E6C33">
        <w:rPr>
          <w:rFonts w:asciiTheme="minorHAnsi" w:hAnsiTheme="minorHAnsi" w:cs="Arial"/>
          <w:bCs/>
          <w:i/>
          <w:sz w:val="22"/>
          <w:szCs w:val="22"/>
        </w:rPr>
        <w:t xml:space="preserve"> through mainstream reporting requirements</w:t>
      </w:r>
      <w:r w:rsidRPr="002B7FB8">
        <w:rPr>
          <w:rFonts w:asciiTheme="minorHAnsi" w:hAnsiTheme="minorHAnsi" w:cs="Arial"/>
          <w:bCs/>
          <w:i/>
          <w:sz w:val="22"/>
          <w:szCs w:val="22"/>
        </w:rPr>
        <w:t>, th</w:t>
      </w:r>
      <w:r w:rsidR="001E6C33">
        <w:rPr>
          <w:rFonts w:asciiTheme="minorHAnsi" w:hAnsiTheme="minorHAnsi" w:cs="Arial"/>
          <w:bCs/>
          <w:i/>
          <w:sz w:val="22"/>
          <w:szCs w:val="22"/>
        </w:rPr>
        <w:t>e additional</w:t>
      </w:r>
      <w:r w:rsidRPr="002B7FB8">
        <w:rPr>
          <w:rFonts w:asciiTheme="minorHAnsi" w:hAnsiTheme="minorHAnsi" w:cs="Arial"/>
          <w:bCs/>
          <w:i/>
          <w:sz w:val="22"/>
          <w:szCs w:val="22"/>
        </w:rPr>
        <w:t xml:space="preserve"> information </w:t>
      </w:r>
      <w:r w:rsidR="00A81642">
        <w:rPr>
          <w:rFonts w:asciiTheme="minorHAnsi" w:hAnsiTheme="minorHAnsi" w:cs="Arial"/>
          <w:bCs/>
          <w:i/>
          <w:sz w:val="22"/>
          <w:szCs w:val="22"/>
        </w:rPr>
        <w:t>below provides enhanced</w:t>
      </w:r>
      <w:r w:rsidRPr="002B7FB8">
        <w:rPr>
          <w:rFonts w:asciiTheme="minorHAnsi" w:hAnsiTheme="minorHAnsi" w:cs="Arial"/>
          <w:bCs/>
          <w:i/>
          <w:sz w:val="22"/>
          <w:szCs w:val="22"/>
        </w:rPr>
        <w:t xml:space="preserve"> monitoring of the university’s efforts in building its Indigenous workforce.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590"/>
        <w:gridCol w:w="1245"/>
        <w:gridCol w:w="1622"/>
      </w:tblGrid>
      <w:tr w:rsidR="002B7FB8" w:rsidTr="00173521">
        <w:tc>
          <w:tcPr>
            <w:tcW w:w="1843" w:type="dxa"/>
            <w:vAlign w:val="center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Perm</w:t>
            </w:r>
            <w:r w:rsidR="007B4B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anent</w:t>
            </w:r>
          </w:p>
        </w:tc>
        <w:tc>
          <w:tcPr>
            <w:tcW w:w="2867" w:type="dxa"/>
            <w:gridSpan w:val="2"/>
            <w:vAlign w:val="center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Casual</w:t>
            </w:r>
            <w:r w:rsidR="007B4B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/contract</w:t>
            </w:r>
            <w:bookmarkStart w:id="0" w:name="_GoBack"/>
            <w:bookmarkEnd w:id="0"/>
          </w:p>
        </w:tc>
      </w:tr>
      <w:tr w:rsidR="002B7FB8" w:rsidTr="00173521">
        <w:tc>
          <w:tcPr>
            <w:tcW w:w="1843" w:type="dxa"/>
          </w:tcPr>
          <w:p w:rsidR="002B7FB8" w:rsidRDefault="007B4BCF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1559" w:type="dxa"/>
          </w:tcPr>
          <w:p w:rsidR="002B7FB8" w:rsidRDefault="007B4BCF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Level/position</w:t>
            </w: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Academic</w:t>
            </w: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Non-academic</w:t>
            </w: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Academic</w:t>
            </w: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Non-academic</w:t>
            </w: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B7FB8" w:rsidTr="00173521">
        <w:tc>
          <w:tcPr>
            <w:tcW w:w="1843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2B7FB8" w:rsidRDefault="002B7FB8" w:rsidP="00BD12E5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B7FB8" w:rsidRDefault="002B7FB8" w:rsidP="0046605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F5B26" w:rsidRDefault="00EF5B26" w:rsidP="00EF5B2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Indigenous involvement in decision-making</w:t>
      </w:r>
    </w:p>
    <w:p w:rsidR="00DF5227" w:rsidRDefault="00DF5227" w:rsidP="00DF5227">
      <w:pPr>
        <w:rPr>
          <w:rFonts w:asciiTheme="minorHAnsi" w:hAnsiTheme="minorHAnsi" w:cs="Arial"/>
          <w:b/>
          <w:bCs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50982C00" wp14:editId="78DCEA37">
                <wp:extent cx="5791200" cy="2299854"/>
                <wp:effectExtent l="0" t="0" r="19050" b="247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29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E3" w:rsidRPr="0037283C" w:rsidRDefault="001855E3" w:rsidP="00DF5227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Provide details of: </w:t>
                            </w:r>
                          </w:p>
                          <w:p w:rsidR="001855E3" w:rsidRPr="0037283C" w:rsidRDefault="001855E3" w:rsidP="00DF52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the university’s current Indigenous Governance Mechanism (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including how the university </w:t>
                            </w:r>
                            <w:r w:rsidR="00022929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has met the</w:t>
                            </w: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requirements of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section </w:t>
                            </w:r>
                            <w:r w:rsidR="00160D6B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 xml:space="preserve"> of </w:t>
                            </w: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the ISSP guidelines)</w:t>
                            </w:r>
                            <w:r w:rsidR="00461CE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37283C" w:rsidRDefault="001855E3" w:rsidP="00DF52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the name, positions a</w:t>
                            </w:r>
                            <w:r w:rsidR="00022929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nd duration of service of staff</w:t>
                            </w:r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that are part of the Indigenous Governance Mechanism</w:t>
                            </w:r>
                            <w:r w:rsidR="00461CE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;</w:t>
                            </w:r>
                          </w:p>
                          <w:p w:rsidR="001855E3" w:rsidRPr="0037283C" w:rsidRDefault="001855E3" w:rsidP="00DF52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the number of meetings and main agenda items discussed over the year, </w:t>
                            </w:r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  <w:u w:val="single"/>
                              </w:rPr>
                              <w:t>confirming the Indigenous Governance Mechanism had a role in advising on the use of ISSP resources</w:t>
                            </w:r>
                            <w:r w:rsidR="00461CE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; and</w:t>
                            </w:r>
                          </w:p>
                          <w:p w:rsidR="001855E3" w:rsidRPr="0037283C" w:rsidRDefault="001855E3" w:rsidP="00DF522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  <w:proofErr w:type="gramStart"/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other</w:t>
                            </w:r>
                            <w:proofErr w:type="gramEnd"/>
                            <w:r w:rsidRPr="0037283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 xml:space="preserve"> activities to involve Aboriginal and Torres Strait Islander people in the decisions of the university, curriculum development </w:t>
                            </w:r>
                            <w:r w:rsidR="00461CEC">
                              <w:rPr>
                                <w:rFonts w:asciiTheme="minorHAnsi" w:hAnsiTheme="minorHAnsi" w:cs="Arial"/>
                                <w:i/>
                                <w:color w:val="1F497D" w:themeColor="text2"/>
                                <w:szCs w:val="22"/>
                              </w:rPr>
                              <w:t>and/or evaluation/review.</w:t>
                            </w:r>
                          </w:p>
                          <w:p w:rsidR="001855E3" w:rsidRPr="0037283C" w:rsidRDefault="001855E3" w:rsidP="0037283C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37283C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[Remove this guidance once this section has been completed]</w:t>
                            </w:r>
                          </w:p>
                          <w:p w:rsidR="001855E3" w:rsidRPr="0037283C" w:rsidRDefault="001855E3" w:rsidP="0037283C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</w:pPr>
                          </w:p>
                          <w:p w:rsidR="001855E3" w:rsidRPr="00DF5227" w:rsidRDefault="001855E3" w:rsidP="00DF52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56pt;height:1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yWJw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">
                <v:textbox>
                  <w:txbxContent>
                    <w:p w:rsidR="001855E3" w:rsidRPr="0037283C" w:rsidRDefault="001855E3" w:rsidP="00DF5227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Provide details of: </w:t>
                      </w:r>
                    </w:p>
                    <w:p w:rsidR="001855E3" w:rsidRPr="0037283C" w:rsidRDefault="001855E3" w:rsidP="00DF52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the university’s current Indigenous Governance Mechanism (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including how the university </w:t>
                      </w:r>
                      <w:r w:rsidR="00022929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has met the</w:t>
                      </w: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requirements of 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section </w:t>
                      </w:r>
                      <w:r w:rsidR="00160D6B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11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 xml:space="preserve"> of </w:t>
                      </w: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the ISSP guidelines)</w:t>
                      </w:r>
                      <w:r w:rsidR="00461CE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37283C" w:rsidRDefault="001855E3" w:rsidP="00DF52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the name, positions a</w:t>
                      </w:r>
                      <w:r w:rsidR="00022929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nd duration of service of staff</w:t>
                      </w:r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that are part of the Indigenous Governance Mechanism</w:t>
                      </w:r>
                      <w:r w:rsidR="00461CE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;</w:t>
                      </w:r>
                    </w:p>
                    <w:p w:rsidR="001855E3" w:rsidRPr="0037283C" w:rsidRDefault="001855E3" w:rsidP="00DF52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the number of meetings and main agenda items discussed over the year, </w:t>
                      </w:r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  <w:u w:val="single"/>
                        </w:rPr>
                        <w:t>confirming the Indigenous Governance Mechanism had a role in advising on the use of ISSP resources</w:t>
                      </w:r>
                      <w:r w:rsidR="00461CE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; and</w:t>
                      </w:r>
                    </w:p>
                    <w:p w:rsidR="001855E3" w:rsidRPr="0037283C" w:rsidRDefault="001855E3" w:rsidP="00DF522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  <w:proofErr w:type="gramStart"/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other</w:t>
                      </w:r>
                      <w:proofErr w:type="gramEnd"/>
                      <w:r w:rsidRPr="0037283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 xml:space="preserve"> activities to involve Aboriginal and Torres Strait Islander people in the decisions of the university, curriculum development </w:t>
                      </w:r>
                      <w:r w:rsidR="00461CEC">
                        <w:rPr>
                          <w:rFonts w:asciiTheme="minorHAnsi" w:hAnsiTheme="minorHAnsi" w:cs="Arial"/>
                          <w:i/>
                          <w:color w:val="1F497D" w:themeColor="text2"/>
                          <w:szCs w:val="22"/>
                        </w:rPr>
                        <w:t>and/or evaluation/review.</w:t>
                      </w:r>
                    </w:p>
                    <w:p w:rsidR="001855E3" w:rsidRPr="0037283C" w:rsidRDefault="001855E3" w:rsidP="0037283C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37283C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[Remove this guidance once this section has been completed]</w:t>
                      </w:r>
                    </w:p>
                    <w:p w:rsidR="001855E3" w:rsidRPr="0037283C" w:rsidRDefault="001855E3" w:rsidP="0037283C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</w:pPr>
                    </w:p>
                    <w:p w:rsidR="001855E3" w:rsidRPr="00DF5227" w:rsidRDefault="001855E3" w:rsidP="00DF52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5227" w:rsidRDefault="00DF5227" w:rsidP="00DF5227">
      <w:pPr>
        <w:rPr>
          <w:rFonts w:asciiTheme="minorHAnsi" w:hAnsiTheme="minorHAnsi" w:cs="Arial"/>
          <w:b/>
          <w:bCs/>
          <w:szCs w:val="22"/>
        </w:rPr>
      </w:pPr>
    </w:p>
    <w:p w:rsidR="00B04DAF" w:rsidRPr="00B04DAF" w:rsidRDefault="00B04DAF" w:rsidP="00B04DAF">
      <w:pPr>
        <w:ind w:left="284" w:hanging="284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6a. Statement by the Indigenous Governance Mechanism</w:t>
      </w:r>
    </w:p>
    <w:p w:rsidR="00B04DAF" w:rsidRPr="003E49FB" w:rsidRDefault="00B04DAF" w:rsidP="00B04DAF">
      <w:pPr>
        <w:rPr>
          <w:rFonts w:asciiTheme="minorHAnsi" w:hAnsiTheme="minorHAnsi" w:cs="Arial"/>
          <w:b/>
          <w:bCs/>
          <w:szCs w:val="22"/>
        </w:rPr>
      </w:pPr>
      <w:r w:rsidRPr="00875FA0">
        <w:rPr>
          <w:rFonts w:asciiTheme="minorHAnsi" w:hAnsiTheme="minorHAnsi" w:cs="Arial"/>
          <w:b/>
          <w:bCs/>
          <w:noProof/>
          <w:szCs w:val="22"/>
          <w:lang w:eastAsia="en-AU"/>
        </w:rPr>
        <mc:AlternateContent>
          <mc:Choice Requires="wps">
            <w:drawing>
              <wp:inline distT="0" distB="0" distL="0" distR="0" wp14:anchorId="1167F244" wp14:editId="5BC5CE2D">
                <wp:extent cx="5781964" cy="1911927"/>
                <wp:effectExtent l="0" t="0" r="2857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964" cy="191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AF" w:rsidRDefault="00B04DAF" w:rsidP="00B04DAF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Consistent with subsection 17(2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b) of the guidelines, the </w:t>
                            </w:r>
                            <w:r w:rsidRPr="00B04DAF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  <w:u w:val="single"/>
                              </w:rPr>
                              <w:t>Indigenous Governance Mechanism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should make a statement with reference to the performance report and the acquittal report in this section.</w:t>
                            </w:r>
                          </w:p>
                          <w:p w:rsidR="00B04DAF" w:rsidRPr="00B04DAF" w:rsidRDefault="00B04DAF" w:rsidP="00B04DAF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C14C03"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Cs w:val="22"/>
                              </w:rPr>
                              <w:t>[Remove this guidance once this section has been completed]</w:t>
                            </w:r>
                          </w:p>
                          <w:p w:rsidR="00B04DAF" w:rsidRPr="00555B0B" w:rsidRDefault="00B04DAF" w:rsidP="00B04DAF">
                            <w:pPr>
                              <w:rPr>
                                <w:rFonts w:asciiTheme="minorHAnsi" w:hAnsiTheme="minorHAnsi" w:cs="Arial"/>
                                <w:bCs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B04DAF" w:rsidRPr="00555B0B" w:rsidRDefault="00B04DAF" w:rsidP="00B04DAF">
                            <w:pPr>
                              <w:rPr>
                                <w:i/>
                                <w:color w:val="1F497D" w:themeColor="text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5.25pt;height:1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">
                <v:textbox>
                  <w:txbxContent>
                    <w:p w:rsidR="00B04DAF" w:rsidRDefault="00B04DAF" w:rsidP="00B04DAF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Consistent with subsection 17(2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b) of the guidelines, the </w:t>
                      </w:r>
                      <w:r w:rsidRPr="00B04DAF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  <w:u w:val="single"/>
                        </w:rPr>
                        <w:t>Indigenous Governance Mechanism</w:t>
                      </w:r>
                      <w: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should make a statement with reference to the performance report and the acquittal report in this section.</w:t>
                      </w:r>
                    </w:p>
                    <w:p w:rsidR="00B04DAF" w:rsidRPr="00B04DAF" w:rsidRDefault="00B04DAF" w:rsidP="00B04DAF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  <w:r w:rsidRPr="00C14C03"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Cs w:val="22"/>
                        </w:rPr>
                        <w:t>[Remove this guidance once this section has been completed]</w:t>
                      </w:r>
                    </w:p>
                    <w:p w:rsidR="00B04DAF" w:rsidRPr="00555B0B" w:rsidRDefault="00B04DAF" w:rsidP="00B04DAF">
                      <w:pPr>
                        <w:rPr>
                          <w:rFonts w:asciiTheme="minorHAnsi" w:hAnsiTheme="minorHAnsi" w:cs="Arial"/>
                          <w:bCs/>
                          <w:i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B04DAF" w:rsidRPr="00555B0B" w:rsidRDefault="00B04DAF" w:rsidP="00B04DAF">
                      <w:pPr>
                        <w:rPr>
                          <w:i/>
                          <w:color w:val="1F497D" w:themeColor="text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0617" w:rsidRPr="00780617" w:rsidRDefault="00780617" w:rsidP="00780617">
      <w:pPr>
        <w:pStyle w:val="ListParagraph"/>
        <w:ind w:left="360"/>
        <w:rPr>
          <w:rFonts w:asciiTheme="minorHAnsi" w:hAnsiTheme="minorHAnsi" w:cs="Arial"/>
          <w:bCs/>
          <w:szCs w:val="22"/>
        </w:rPr>
      </w:pPr>
    </w:p>
    <w:sectPr w:rsidR="00780617" w:rsidRPr="00780617" w:rsidSect="002C2475">
      <w:footerReference w:type="default" r:id="rId9"/>
      <w:footerReference w:type="first" r:id="rId10"/>
      <w:pgSz w:w="11907" w:h="16840"/>
      <w:pgMar w:top="1440" w:right="1440" w:bottom="1440" w:left="1440" w:header="227" w:footer="51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E3" w:rsidRDefault="001855E3">
      <w:r>
        <w:separator/>
      </w:r>
    </w:p>
  </w:endnote>
  <w:endnote w:type="continuationSeparator" w:id="0">
    <w:p w:rsidR="001855E3" w:rsidRDefault="001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93F" w:rsidRDefault="00CD6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93F" w:rsidRDefault="00CD6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3" w:rsidRDefault="001855E3" w:rsidP="00EB0E3C">
    <w:pPr>
      <w:pStyle w:val="Footer"/>
    </w:pPr>
    <w:r>
      <w:rPr>
        <w:i/>
      </w:rPr>
      <w:t>Certification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B4BCF">
      <w:rPr>
        <w:noProof/>
      </w:rPr>
      <w:t>1</w:t>
    </w:r>
    <w:r>
      <w:rPr>
        <w:noProof/>
      </w:rPr>
      <w:fldChar w:fldCharType="end"/>
    </w:r>
  </w:p>
  <w:p w:rsidR="001855E3" w:rsidRPr="007270AD" w:rsidRDefault="001855E3" w:rsidP="00E02808">
    <w:pPr>
      <w:pStyle w:val="Footer"/>
      <w:tabs>
        <w:tab w:val="right" w:pos="96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E3" w:rsidRDefault="001855E3">
      <w:r>
        <w:separator/>
      </w:r>
    </w:p>
  </w:footnote>
  <w:footnote w:type="continuationSeparator" w:id="0">
    <w:p w:rsidR="001855E3" w:rsidRDefault="0018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40A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277F"/>
    <w:multiLevelType w:val="hybridMultilevel"/>
    <w:tmpl w:val="47E2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9AC"/>
    <w:multiLevelType w:val="hybridMultilevel"/>
    <w:tmpl w:val="FE14E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45E3B"/>
    <w:multiLevelType w:val="hybridMultilevel"/>
    <w:tmpl w:val="A6D0F8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162F1"/>
    <w:multiLevelType w:val="hybridMultilevel"/>
    <w:tmpl w:val="89C60362"/>
    <w:lvl w:ilvl="0" w:tplc="291210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46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C0437"/>
    <w:multiLevelType w:val="hybridMultilevel"/>
    <w:tmpl w:val="BB00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E56F7"/>
    <w:multiLevelType w:val="hybridMultilevel"/>
    <w:tmpl w:val="DAC8E5EC"/>
    <w:lvl w:ilvl="0" w:tplc="BE4E7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350A4C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85BDD"/>
    <w:multiLevelType w:val="hybridMultilevel"/>
    <w:tmpl w:val="CCDA4824"/>
    <w:lvl w:ilvl="0" w:tplc="75E2B91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4815"/>
    <w:multiLevelType w:val="hybridMultilevel"/>
    <w:tmpl w:val="C34E17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97789"/>
    <w:multiLevelType w:val="hybridMultilevel"/>
    <w:tmpl w:val="6A163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A296F"/>
    <w:multiLevelType w:val="hybridMultilevel"/>
    <w:tmpl w:val="90F0BA0C"/>
    <w:lvl w:ilvl="0" w:tplc="B1627C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18F"/>
    <w:multiLevelType w:val="hybridMultilevel"/>
    <w:tmpl w:val="9A729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8B4E53"/>
    <w:multiLevelType w:val="hybridMultilevel"/>
    <w:tmpl w:val="3C9A5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154950"/>
    <w:multiLevelType w:val="hybridMultilevel"/>
    <w:tmpl w:val="977E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1357"/>
    <w:multiLevelType w:val="hybridMultilevel"/>
    <w:tmpl w:val="67EA0D5E"/>
    <w:lvl w:ilvl="0" w:tplc="9B06DB94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221A"/>
    <w:multiLevelType w:val="hybridMultilevel"/>
    <w:tmpl w:val="00586FFE"/>
    <w:lvl w:ilvl="0" w:tplc="D9564D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82066"/>
    <w:multiLevelType w:val="multilevel"/>
    <w:tmpl w:val="0C09001F"/>
    <w:numStyleLink w:val="Style1"/>
  </w:abstractNum>
  <w:abstractNum w:abstractNumId="19">
    <w:nsid w:val="3D0A736B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CB7C89"/>
    <w:multiLevelType w:val="hybridMultilevel"/>
    <w:tmpl w:val="B5029EC6"/>
    <w:lvl w:ilvl="0" w:tplc="4A78638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21F3"/>
    <w:multiLevelType w:val="hybridMultilevel"/>
    <w:tmpl w:val="301899A4"/>
    <w:lvl w:ilvl="0" w:tplc="E28813A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86C51"/>
    <w:multiLevelType w:val="hybridMultilevel"/>
    <w:tmpl w:val="C20AAA50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8811201"/>
    <w:multiLevelType w:val="hybridMultilevel"/>
    <w:tmpl w:val="A88A2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8A6BD6"/>
    <w:multiLevelType w:val="hybridMultilevel"/>
    <w:tmpl w:val="06C86C12"/>
    <w:lvl w:ilvl="0" w:tplc="45C296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7375"/>
    <w:multiLevelType w:val="hybridMultilevel"/>
    <w:tmpl w:val="5EB4B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6173BC"/>
    <w:multiLevelType w:val="hybridMultilevel"/>
    <w:tmpl w:val="8D80F7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A25737"/>
    <w:multiLevelType w:val="hybridMultilevel"/>
    <w:tmpl w:val="BB38CDDE"/>
    <w:lvl w:ilvl="0" w:tplc="5A806F8C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C4E8E"/>
    <w:multiLevelType w:val="hybridMultilevel"/>
    <w:tmpl w:val="D0A87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40E61"/>
    <w:multiLevelType w:val="hybridMultilevel"/>
    <w:tmpl w:val="B3C88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F23C0E"/>
    <w:multiLevelType w:val="hybridMultilevel"/>
    <w:tmpl w:val="4B2AF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97969"/>
    <w:multiLevelType w:val="hybridMultilevel"/>
    <w:tmpl w:val="1C5C65CC"/>
    <w:lvl w:ilvl="0" w:tplc="C44662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C41E6C"/>
    <w:multiLevelType w:val="hybridMultilevel"/>
    <w:tmpl w:val="8EA6F26A"/>
    <w:lvl w:ilvl="0" w:tplc="C15EB49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87EC1"/>
    <w:multiLevelType w:val="hybridMultilevel"/>
    <w:tmpl w:val="F7586F3A"/>
    <w:lvl w:ilvl="0" w:tplc="3F145DE0">
      <w:start w:val="1"/>
      <w:numFmt w:val="bullet"/>
      <w:pStyle w:val="dotpoint"/>
      <w:lvlText w:val=""/>
      <w:lvlJc w:val="left"/>
      <w:pPr>
        <w:tabs>
          <w:tab w:val="num" w:pos="644"/>
        </w:tabs>
        <w:ind w:left="587" w:hanging="22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5B8A25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BB03C8"/>
    <w:multiLevelType w:val="hybridMultilevel"/>
    <w:tmpl w:val="8C92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B60C8"/>
    <w:multiLevelType w:val="hybridMultilevel"/>
    <w:tmpl w:val="68980C98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>
    <w:nsid w:val="7BAC35D7"/>
    <w:multiLevelType w:val="hybridMultilevel"/>
    <w:tmpl w:val="6C2E8CF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7"/>
  </w:num>
  <w:num w:numId="7">
    <w:abstractNumId w:val="26"/>
  </w:num>
  <w:num w:numId="8">
    <w:abstractNumId w:val="12"/>
  </w:num>
  <w:num w:numId="9">
    <w:abstractNumId w:val="20"/>
  </w:num>
  <w:num w:numId="10">
    <w:abstractNumId w:val="17"/>
  </w:num>
  <w:num w:numId="11">
    <w:abstractNumId w:val="24"/>
  </w:num>
  <w:num w:numId="12">
    <w:abstractNumId w:val="32"/>
  </w:num>
  <w:num w:numId="13">
    <w:abstractNumId w:val="21"/>
  </w:num>
  <w:num w:numId="14">
    <w:abstractNumId w:val="9"/>
  </w:num>
  <w:num w:numId="15">
    <w:abstractNumId w:val="16"/>
  </w:num>
  <w:num w:numId="16">
    <w:abstractNumId w:val="28"/>
  </w:num>
  <w:num w:numId="17">
    <w:abstractNumId w:val="33"/>
  </w:num>
  <w:num w:numId="18">
    <w:abstractNumId w:val="18"/>
  </w:num>
  <w:num w:numId="19">
    <w:abstractNumId w:val="19"/>
  </w:num>
  <w:num w:numId="20">
    <w:abstractNumId w:val="22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5"/>
  </w:num>
  <w:num w:numId="26">
    <w:abstractNumId w:val="29"/>
  </w:num>
  <w:num w:numId="27">
    <w:abstractNumId w:val="35"/>
  </w:num>
  <w:num w:numId="28">
    <w:abstractNumId w:val="15"/>
  </w:num>
  <w:num w:numId="29">
    <w:abstractNumId w:val="25"/>
  </w:num>
  <w:num w:numId="30">
    <w:abstractNumId w:val="14"/>
  </w:num>
  <w:num w:numId="31">
    <w:abstractNumId w:val="3"/>
  </w:num>
  <w:num w:numId="32">
    <w:abstractNumId w:val="23"/>
  </w:num>
  <w:num w:numId="33">
    <w:abstractNumId w:val="13"/>
  </w:num>
  <w:num w:numId="34">
    <w:abstractNumId w:val="30"/>
  </w:num>
  <w:num w:numId="35">
    <w:abstractNumId w:val="34"/>
  </w:num>
  <w:num w:numId="36">
    <w:abstractNumId w:val="36"/>
  </w:num>
  <w:num w:numId="3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7A"/>
    <w:rsid w:val="00000901"/>
    <w:rsid w:val="0000125E"/>
    <w:rsid w:val="0000355A"/>
    <w:rsid w:val="00005913"/>
    <w:rsid w:val="000145F9"/>
    <w:rsid w:val="00015F70"/>
    <w:rsid w:val="00022929"/>
    <w:rsid w:val="00035048"/>
    <w:rsid w:val="00040F69"/>
    <w:rsid w:val="00042DFF"/>
    <w:rsid w:val="00052FFE"/>
    <w:rsid w:val="000552CA"/>
    <w:rsid w:val="00064511"/>
    <w:rsid w:val="00076C33"/>
    <w:rsid w:val="00086661"/>
    <w:rsid w:val="000A383B"/>
    <w:rsid w:val="000B455B"/>
    <w:rsid w:val="000C35E1"/>
    <w:rsid w:val="000C46F2"/>
    <w:rsid w:val="000C5649"/>
    <w:rsid w:val="000D0AAB"/>
    <w:rsid w:val="000D1C1F"/>
    <w:rsid w:val="000F7345"/>
    <w:rsid w:val="000F78E5"/>
    <w:rsid w:val="00100112"/>
    <w:rsid w:val="00103243"/>
    <w:rsid w:val="00103B7A"/>
    <w:rsid w:val="00112C1F"/>
    <w:rsid w:val="001216D2"/>
    <w:rsid w:val="00125632"/>
    <w:rsid w:val="0013453E"/>
    <w:rsid w:val="00135343"/>
    <w:rsid w:val="001600B2"/>
    <w:rsid w:val="001605CF"/>
    <w:rsid w:val="00160D6B"/>
    <w:rsid w:val="00164FB9"/>
    <w:rsid w:val="001728AF"/>
    <w:rsid w:val="00173521"/>
    <w:rsid w:val="00176AB6"/>
    <w:rsid w:val="0017722F"/>
    <w:rsid w:val="001774CD"/>
    <w:rsid w:val="001855E3"/>
    <w:rsid w:val="001A28F0"/>
    <w:rsid w:val="001A67B7"/>
    <w:rsid w:val="001B471E"/>
    <w:rsid w:val="001C107D"/>
    <w:rsid w:val="001E5D2C"/>
    <w:rsid w:val="001E6C33"/>
    <w:rsid w:val="001F2D13"/>
    <w:rsid w:val="00202C5F"/>
    <w:rsid w:val="00207DAC"/>
    <w:rsid w:val="00217A50"/>
    <w:rsid w:val="002222A9"/>
    <w:rsid w:val="002345DC"/>
    <w:rsid w:val="00244445"/>
    <w:rsid w:val="00250B27"/>
    <w:rsid w:val="0025283F"/>
    <w:rsid w:val="002605C6"/>
    <w:rsid w:val="002609F6"/>
    <w:rsid w:val="00263C0B"/>
    <w:rsid w:val="002723E6"/>
    <w:rsid w:val="002773D1"/>
    <w:rsid w:val="002826D8"/>
    <w:rsid w:val="002859AB"/>
    <w:rsid w:val="00287985"/>
    <w:rsid w:val="002A50F4"/>
    <w:rsid w:val="002B3775"/>
    <w:rsid w:val="002B7FB8"/>
    <w:rsid w:val="002C2475"/>
    <w:rsid w:val="002C33A6"/>
    <w:rsid w:val="002C7E94"/>
    <w:rsid w:val="002D3BA9"/>
    <w:rsid w:val="002D42BC"/>
    <w:rsid w:val="002E3BD8"/>
    <w:rsid w:val="002E73F2"/>
    <w:rsid w:val="002F4929"/>
    <w:rsid w:val="00314DE0"/>
    <w:rsid w:val="003150A5"/>
    <w:rsid w:val="0032160E"/>
    <w:rsid w:val="003360D9"/>
    <w:rsid w:val="00340B1C"/>
    <w:rsid w:val="00350E2C"/>
    <w:rsid w:val="00365083"/>
    <w:rsid w:val="00365C1D"/>
    <w:rsid w:val="0037283C"/>
    <w:rsid w:val="00391154"/>
    <w:rsid w:val="00393358"/>
    <w:rsid w:val="00397921"/>
    <w:rsid w:val="003A6863"/>
    <w:rsid w:val="003A7240"/>
    <w:rsid w:val="003B55A9"/>
    <w:rsid w:val="003B65E2"/>
    <w:rsid w:val="003B772B"/>
    <w:rsid w:val="003C06D8"/>
    <w:rsid w:val="003C5A53"/>
    <w:rsid w:val="003C6745"/>
    <w:rsid w:val="003D0E44"/>
    <w:rsid w:val="003D77C7"/>
    <w:rsid w:val="003E0AB6"/>
    <w:rsid w:val="003E3253"/>
    <w:rsid w:val="003E49FB"/>
    <w:rsid w:val="003E60D2"/>
    <w:rsid w:val="003F22C0"/>
    <w:rsid w:val="003F3B40"/>
    <w:rsid w:val="003F7DA6"/>
    <w:rsid w:val="0040202A"/>
    <w:rsid w:val="0040297C"/>
    <w:rsid w:val="00412936"/>
    <w:rsid w:val="00414181"/>
    <w:rsid w:val="004239B3"/>
    <w:rsid w:val="00430B2B"/>
    <w:rsid w:val="00442119"/>
    <w:rsid w:val="00442CE5"/>
    <w:rsid w:val="0045575A"/>
    <w:rsid w:val="00456458"/>
    <w:rsid w:val="00461CEC"/>
    <w:rsid w:val="004637FC"/>
    <w:rsid w:val="00464D85"/>
    <w:rsid w:val="00465214"/>
    <w:rsid w:val="00466051"/>
    <w:rsid w:val="00484DED"/>
    <w:rsid w:val="00486BB6"/>
    <w:rsid w:val="00495E9C"/>
    <w:rsid w:val="004A1FDF"/>
    <w:rsid w:val="004A3128"/>
    <w:rsid w:val="004A566F"/>
    <w:rsid w:val="004C24C5"/>
    <w:rsid w:val="004C6F19"/>
    <w:rsid w:val="004E2C8F"/>
    <w:rsid w:val="004E4099"/>
    <w:rsid w:val="004F50D8"/>
    <w:rsid w:val="004F671E"/>
    <w:rsid w:val="0050764F"/>
    <w:rsid w:val="00511409"/>
    <w:rsid w:val="00522DC2"/>
    <w:rsid w:val="00524922"/>
    <w:rsid w:val="00537184"/>
    <w:rsid w:val="0053727D"/>
    <w:rsid w:val="00540F62"/>
    <w:rsid w:val="005475C2"/>
    <w:rsid w:val="005505D1"/>
    <w:rsid w:val="005558BF"/>
    <w:rsid w:val="00555B0B"/>
    <w:rsid w:val="00557E95"/>
    <w:rsid w:val="00562347"/>
    <w:rsid w:val="005652F4"/>
    <w:rsid w:val="005660BC"/>
    <w:rsid w:val="005722D4"/>
    <w:rsid w:val="00573D77"/>
    <w:rsid w:val="00574919"/>
    <w:rsid w:val="00576742"/>
    <w:rsid w:val="00583FF7"/>
    <w:rsid w:val="005A2378"/>
    <w:rsid w:val="005D6BEC"/>
    <w:rsid w:val="005E1CF3"/>
    <w:rsid w:val="005E4C86"/>
    <w:rsid w:val="005E70C4"/>
    <w:rsid w:val="005E72C1"/>
    <w:rsid w:val="005F2479"/>
    <w:rsid w:val="005F7634"/>
    <w:rsid w:val="00606A21"/>
    <w:rsid w:val="0060734D"/>
    <w:rsid w:val="006104A5"/>
    <w:rsid w:val="0061089F"/>
    <w:rsid w:val="00616895"/>
    <w:rsid w:val="00620957"/>
    <w:rsid w:val="006242BD"/>
    <w:rsid w:val="00626D58"/>
    <w:rsid w:val="006317A5"/>
    <w:rsid w:val="00634E3D"/>
    <w:rsid w:val="00640C11"/>
    <w:rsid w:val="0064467A"/>
    <w:rsid w:val="006572BB"/>
    <w:rsid w:val="006619B7"/>
    <w:rsid w:val="0066777D"/>
    <w:rsid w:val="0067701D"/>
    <w:rsid w:val="00685BED"/>
    <w:rsid w:val="0069428E"/>
    <w:rsid w:val="0069595D"/>
    <w:rsid w:val="006A13F8"/>
    <w:rsid w:val="006A1650"/>
    <w:rsid w:val="006A5370"/>
    <w:rsid w:val="006A7040"/>
    <w:rsid w:val="006E08F8"/>
    <w:rsid w:val="006E197B"/>
    <w:rsid w:val="006F49A2"/>
    <w:rsid w:val="006F6ACF"/>
    <w:rsid w:val="00703A79"/>
    <w:rsid w:val="007119A2"/>
    <w:rsid w:val="0071249E"/>
    <w:rsid w:val="007136A3"/>
    <w:rsid w:val="00723CDA"/>
    <w:rsid w:val="00732158"/>
    <w:rsid w:val="00735AE2"/>
    <w:rsid w:val="0074144D"/>
    <w:rsid w:val="00742916"/>
    <w:rsid w:val="00742CA8"/>
    <w:rsid w:val="00754B3A"/>
    <w:rsid w:val="00754C72"/>
    <w:rsid w:val="0077568E"/>
    <w:rsid w:val="00780617"/>
    <w:rsid w:val="00782200"/>
    <w:rsid w:val="00783ED5"/>
    <w:rsid w:val="00791BC8"/>
    <w:rsid w:val="007A6C7D"/>
    <w:rsid w:val="007A7B7D"/>
    <w:rsid w:val="007B0CB1"/>
    <w:rsid w:val="007B4BCF"/>
    <w:rsid w:val="007B52B0"/>
    <w:rsid w:val="007C2AC0"/>
    <w:rsid w:val="007C61AF"/>
    <w:rsid w:val="007D1BC6"/>
    <w:rsid w:val="007D6B19"/>
    <w:rsid w:val="007E18F8"/>
    <w:rsid w:val="007E6EB9"/>
    <w:rsid w:val="007F18D4"/>
    <w:rsid w:val="008024C1"/>
    <w:rsid w:val="00805309"/>
    <w:rsid w:val="00815750"/>
    <w:rsid w:val="00821BA7"/>
    <w:rsid w:val="008224F4"/>
    <w:rsid w:val="00831D3E"/>
    <w:rsid w:val="00841C28"/>
    <w:rsid w:val="00853F34"/>
    <w:rsid w:val="008579EC"/>
    <w:rsid w:val="00860A2C"/>
    <w:rsid w:val="008647C7"/>
    <w:rsid w:val="008650B8"/>
    <w:rsid w:val="00872617"/>
    <w:rsid w:val="00875FA0"/>
    <w:rsid w:val="00884C89"/>
    <w:rsid w:val="00885D57"/>
    <w:rsid w:val="00892FC0"/>
    <w:rsid w:val="008977E6"/>
    <w:rsid w:val="008A31D0"/>
    <w:rsid w:val="008A7756"/>
    <w:rsid w:val="008B1BFE"/>
    <w:rsid w:val="008C35C9"/>
    <w:rsid w:val="008C733F"/>
    <w:rsid w:val="008C7BEB"/>
    <w:rsid w:val="008D7019"/>
    <w:rsid w:val="008E2424"/>
    <w:rsid w:val="008E33A9"/>
    <w:rsid w:val="008E3DB6"/>
    <w:rsid w:val="008E6AAE"/>
    <w:rsid w:val="008F1A87"/>
    <w:rsid w:val="008F63B4"/>
    <w:rsid w:val="0091410F"/>
    <w:rsid w:val="00922378"/>
    <w:rsid w:val="00923E30"/>
    <w:rsid w:val="0092462C"/>
    <w:rsid w:val="00926152"/>
    <w:rsid w:val="009261A0"/>
    <w:rsid w:val="00933A49"/>
    <w:rsid w:val="00935BD4"/>
    <w:rsid w:val="00951482"/>
    <w:rsid w:val="00977D00"/>
    <w:rsid w:val="009802CC"/>
    <w:rsid w:val="00984415"/>
    <w:rsid w:val="009866FA"/>
    <w:rsid w:val="00990F85"/>
    <w:rsid w:val="00993352"/>
    <w:rsid w:val="009A5616"/>
    <w:rsid w:val="009B24E8"/>
    <w:rsid w:val="009B38AE"/>
    <w:rsid w:val="009C0939"/>
    <w:rsid w:val="009C45E1"/>
    <w:rsid w:val="009D26E3"/>
    <w:rsid w:val="009E178C"/>
    <w:rsid w:val="009E60A3"/>
    <w:rsid w:val="009E7BE0"/>
    <w:rsid w:val="009F10ED"/>
    <w:rsid w:val="009F46F7"/>
    <w:rsid w:val="00A15168"/>
    <w:rsid w:val="00A2110D"/>
    <w:rsid w:val="00A23C45"/>
    <w:rsid w:val="00A32932"/>
    <w:rsid w:val="00A335B8"/>
    <w:rsid w:val="00A374AD"/>
    <w:rsid w:val="00A376D8"/>
    <w:rsid w:val="00A45769"/>
    <w:rsid w:val="00A47FDB"/>
    <w:rsid w:val="00A51732"/>
    <w:rsid w:val="00A51CEE"/>
    <w:rsid w:val="00A543E3"/>
    <w:rsid w:val="00A74F36"/>
    <w:rsid w:val="00A76BAF"/>
    <w:rsid w:val="00A81642"/>
    <w:rsid w:val="00A83C2A"/>
    <w:rsid w:val="00A929B8"/>
    <w:rsid w:val="00AA0699"/>
    <w:rsid w:val="00AA44CB"/>
    <w:rsid w:val="00AB5170"/>
    <w:rsid w:val="00AB75AA"/>
    <w:rsid w:val="00AC4349"/>
    <w:rsid w:val="00AC4AC1"/>
    <w:rsid w:val="00AD2FE7"/>
    <w:rsid w:val="00AE09CD"/>
    <w:rsid w:val="00AF6FB9"/>
    <w:rsid w:val="00B019FA"/>
    <w:rsid w:val="00B03FEF"/>
    <w:rsid w:val="00B0451A"/>
    <w:rsid w:val="00B04C83"/>
    <w:rsid w:val="00B04DAF"/>
    <w:rsid w:val="00B078FC"/>
    <w:rsid w:val="00B1574E"/>
    <w:rsid w:val="00B20DDA"/>
    <w:rsid w:val="00B263A2"/>
    <w:rsid w:val="00B26484"/>
    <w:rsid w:val="00B32455"/>
    <w:rsid w:val="00B351D7"/>
    <w:rsid w:val="00B46AC4"/>
    <w:rsid w:val="00B50676"/>
    <w:rsid w:val="00B51182"/>
    <w:rsid w:val="00B51DE0"/>
    <w:rsid w:val="00B713F6"/>
    <w:rsid w:val="00B9589A"/>
    <w:rsid w:val="00B9660B"/>
    <w:rsid w:val="00BA0F51"/>
    <w:rsid w:val="00BB1DD2"/>
    <w:rsid w:val="00BC2DF1"/>
    <w:rsid w:val="00BC3A2F"/>
    <w:rsid w:val="00BD12E5"/>
    <w:rsid w:val="00BD71EC"/>
    <w:rsid w:val="00BD7331"/>
    <w:rsid w:val="00BE1458"/>
    <w:rsid w:val="00BE299C"/>
    <w:rsid w:val="00BF284F"/>
    <w:rsid w:val="00BF5181"/>
    <w:rsid w:val="00C02252"/>
    <w:rsid w:val="00C10095"/>
    <w:rsid w:val="00C14C03"/>
    <w:rsid w:val="00C155CA"/>
    <w:rsid w:val="00C20873"/>
    <w:rsid w:val="00C2097F"/>
    <w:rsid w:val="00C23AEC"/>
    <w:rsid w:val="00C251A2"/>
    <w:rsid w:val="00C26BB9"/>
    <w:rsid w:val="00C36A4A"/>
    <w:rsid w:val="00C54701"/>
    <w:rsid w:val="00C55641"/>
    <w:rsid w:val="00C72B45"/>
    <w:rsid w:val="00C72D78"/>
    <w:rsid w:val="00C8420D"/>
    <w:rsid w:val="00C90D72"/>
    <w:rsid w:val="00C93F6A"/>
    <w:rsid w:val="00C9492B"/>
    <w:rsid w:val="00CA18D9"/>
    <w:rsid w:val="00CB5690"/>
    <w:rsid w:val="00CC1064"/>
    <w:rsid w:val="00CC6CFA"/>
    <w:rsid w:val="00CD1CCE"/>
    <w:rsid w:val="00CD51B0"/>
    <w:rsid w:val="00CD693F"/>
    <w:rsid w:val="00CD7464"/>
    <w:rsid w:val="00CE2C64"/>
    <w:rsid w:val="00CE3102"/>
    <w:rsid w:val="00CE3FC6"/>
    <w:rsid w:val="00CE63C8"/>
    <w:rsid w:val="00CF00F3"/>
    <w:rsid w:val="00CF6275"/>
    <w:rsid w:val="00D32B4F"/>
    <w:rsid w:val="00D42394"/>
    <w:rsid w:val="00D449A4"/>
    <w:rsid w:val="00D477AF"/>
    <w:rsid w:val="00D52859"/>
    <w:rsid w:val="00D6218B"/>
    <w:rsid w:val="00D66AE9"/>
    <w:rsid w:val="00D70454"/>
    <w:rsid w:val="00D8094D"/>
    <w:rsid w:val="00D91F88"/>
    <w:rsid w:val="00D95C45"/>
    <w:rsid w:val="00DA1BB1"/>
    <w:rsid w:val="00DA2BFA"/>
    <w:rsid w:val="00DA5397"/>
    <w:rsid w:val="00DB1244"/>
    <w:rsid w:val="00DC2153"/>
    <w:rsid w:val="00DC4F1F"/>
    <w:rsid w:val="00DE5DC0"/>
    <w:rsid w:val="00DF0D7B"/>
    <w:rsid w:val="00DF10CF"/>
    <w:rsid w:val="00DF3D55"/>
    <w:rsid w:val="00DF5227"/>
    <w:rsid w:val="00DF7B09"/>
    <w:rsid w:val="00E00205"/>
    <w:rsid w:val="00E02808"/>
    <w:rsid w:val="00E14D60"/>
    <w:rsid w:val="00E170B1"/>
    <w:rsid w:val="00E20A6B"/>
    <w:rsid w:val="00E26495"/>
    <w:rsid w:val="00E31563"/>
    <w:rsid w:val="00E36248"/>
    <w:rsid w:val="00E36A5D"/>
    <w:rsid w:val="00E4063E"/>
    <w:rsid w:val="00E423F6"/>
    <w:rsid w:val="00E42A24"/>
    <w:rsid w:val="00E44043"/>
    <w:rsid w:val="00E81EA2"/>
    <w:rsid w:val="00E870A5"/>
    <w:rsid w:val="00E96C89"/>
    <w:rsid w:val="00EA2500"/>
    <w:rsid w:val="00EB0E3C"/>
    <w:rsid w:val="00EB58C7"/>
    <w:rsid w:val="00EC0E48"/>
    <w:rsid w:val="00EC0E8B"/>
    <w:rsid w:val="00EC0EBD"/>
    <w:rsid w:val="00EC1E86"/>
    <w:rsid w:val="00EC4C7F"/>
    <w:rsid w:val="00EC652A"/>
    <w:rsid w:val="00ED1F12"/>
    <w:rsid w:val="00ED49AB"/>
    <w:rsid w:val="00EF1E04"/>
    <w:rsid w:val="00EF3411"/>
    <w:rsid w:val="00EF5B26"/>
    <w:rsid w:val="00EF5D87"/>
    <w:rsid w:val="00F01AF8"/>
    <w:rsid w:val="00F0737D"/>
    <w:rsid w:val="00F07ED4"/>
    <w:rsid w:val="00F12764"/>
    <w:rsid w:val="00F169F4"/>
    <w:rsid w:val="00F16AF8"/>
    <w:rsid w:val="00F178D1"/>
    <w:rsid w:val="00F17DF4"/>
    <w:rsid w:val="00F21DAC"/>
    <w:rsid w:val="00F21E1B"/>
    <w:rsid w:val="00F2220F"/>
    <w:rsid w:val="00F55EBE"/>
    <w:rsid w:val="00F5755F"/>
    <w:rsid w:val="00F77C73"/>
    <w:rsid w:val="00F80A31"/>
    <w:rsid w:val="00F91AE7"/>
    <w:rsid w:val="00FA2126"/>
    <w:rsid w:val="00FA6A2F"/>
    <w:rsid w:val="00FD02BE"/>
    <w:rsid w:val="00FD4436"/>
    <w:rsid w:val="00FE550E"/>
    <w:rsid w:val="00FE5BB3"/>
    <w:rsid w:val="00FE62E2"/>
    <w:rsid w:val="00FF3100"/>
    <w:rsid w:val="00FF654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F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4467A"/>
    <w:pPr>
      <w:keepNext/>
      <w:overflowPunct w:val="0"/>
      <w:autoSpaceDE w:val="0"/>
      <w:autoSpaceDN w:val="0"/>
      <w:adjustRightInd w:val="0"/>
      <w:ind w:left="851" w:hanging="851"/>
      <w:textAlignment w:val="baseline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64467A"/>
    <w:rPr>
      <w:b/>
      <w:bCs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6446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467A"/>
  </w:style>
  <w:style w:type="character" w:customStyle="1" w:styleId="FootnoteTextChar">
    <w:name w:val="Footnote Text Char"/>
    <w:basedOn w:val="DefaultParagraphFont"/>
    <w:link w:val="FootnoteText"/>
    <w:semiHidden/>
    <w:locked/>
    <w:rsid w:val="0064467A"/>
    <w:rPr>
      <w:lang w:val="en-AU" w:eastAsia="en-US" w:bidi="ar-SA"/>
    </w:rPr>
  </w:style>
  <w:style w:type="character" w:styleId="FootnoteReference">
    <w:name w:val="footnote reference"/>
    <w:basedOn w:val="DefaultParagraphFont"/>
    <w:semiHidden/>
    <w:rsid w:val="0064467A"/>
    <w:rPr>
      <w:rFonts w:cs="Times New Roman"/>
      <w:vertAlign w:val="superscript"/>
    </w:rPr>
  </w:style>
  <w:style w:type="paragraph" w:customStyle="1" w:styleId="CharChar1CharCharCharChar1">
    <w:name w:val="Char Char1 Char Char Char Char1"/>
    <w:basedOn w:val="Normal"/>
    <w:rsid w:val="0064467A"/>
    <w:rPr>
      <w:rFonts w:ascii="Arial" w:hAnsi="Arial"/>
      <w:sz w:val="22"/>
    </w:rPr>
  </w:style>
  <w:style w:type="paragraph" w:styleId="Header">
    <w:name w:val="header"/>
    <w:basedOn w:val="Normal"/>
    <w:rsid w:val="00A7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1458"/>
  </w:style>
  <w:style w:type="paragraph" w:styleId="BalloonText">
    <w:name w:val="Balloon Text"/>
    <w:basedOn w:val="Normal"/>
    <w:semiHidden/>
    <w:rsid w:val="00583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6AAE"/>
    <w:rPr>
      <w:sz w:val="16"/>
      <w:szCs w:val="16"/>
    </w:rPr>
  </w:style>
  <w:style w:type="paragraph" w:styleId="CommentText">
    <w:name w:val="annotation text"/>
    <w:basedOn w:val="Normal"/>
    <w:semiHidden/>
    <w:rsid w:val="008E6AAE"/>
  </w:style>
  <w:style w:type="paragraph" w:styleId="CommentSubject">
    <w:name w:val="annotation subject"/>
    <w:basedOn w:val="CommentText"/>
    <w:next w:val="CommentText"/>
    <w:semiHidden/>
    <w:rsid w:val="008E6AAE"/>
    <w:rPr>
      <w:b/>
      <w:bCs/>
    </w:rPr>
  </w:style>
  <w:style w:type="paragraph" w:customStyle="1" w:styleId="numberedpara">
    <w:name w:val="numbered para"/>
    <w:basedOn w:val="Normal"/>
    <w:rsid w:val="00A335B8"/>
    <w:pPr>
      <w:keepLines/>
      <w:numPr>
        <w:numId w:val="2"/>
      </w:numPr>
      <w:tabs>
        <w:tab w:val="clear" w:pos="567"/>
        <w:tab w:val="num" w:pos="0"/>
      </w:tabs>
      <w:ind w:hanging="220"/>
    </w:pPr>
    <w:rPr>
      <w:rFonts w:ascii="Calibri" w:hAnsi="Calibri"/>
      <w:sz w:val="22"/>
      <w:szCs w:val="16"/>
    </w:rPr>
  </w:style>
  <w:style w:type="paragraph" w:styleId="ListParagraph">
    <w:name w:val="List Paragraph"/>
    <w:basedOn w:val="Normal"/>
    <w:uiPriority w:val="34"/>
    <w:qFormat/>
    <w:rsid w:val="00A23C45"/>
    <w:pPr>
      <w:keepLines/>
      <w:ind w:left="720"/>
      <w:contextualSpacing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A23C45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rsid w:val="00C93F6A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Char"/>
    <w:rsid w:val="000C46F2"/>
    <w:pPr>
      <w:keepLines/>
      <w:outlineLvl w:val="0"/>
    </w:pPr>
    <w:rPr>
      <w:rFonts w:ascii="Calibri" w:hAnsi="Calibri" w:cs="Gautami"/>
      <w:sz w:val="22"/>
    </w:rPr>
  </w:style>
  <w:style w:type="character" w:customStyle="1" w:styleId="bodyCharChar">
    <w:name w:val="body Char Char"/>
    <w:basedOn w:val="DefaultParagraphFont"/>
    <w:link w:val="body"/>
    <w:rsid w:val="000C46F2"/>
    <w:rPr>
      <w:rFonts w:ascii="Calibri" w:hAnsi="Calibri" w:cs="Gautami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02808"/>
    <w:pPr>
      <w:ind w:right="-56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02808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808"/>
    <w:rPr>
      <w:lang w:eastAsia="en-US"/>
    </w:rPr>
  </w:style>
  <w:style w:type="paragraph" w:customStyle="1" w:styleId="dotpoint">
    <w:name w:val="dot point"/>
    <w:basedOn w:val="Normal"/>
    <w:rsid w:val="008E3DB6"/>
    <w:pPr>
      <w:numPr>
        <w:numId w:val="17"/>
      </w:numPr>
      <w:tabs>
        <w:tab w:val="left" w:pos="227"/>
      </w:tabs>
      <w:suppressAutoHyphens/>
      <w:autoSpaceDE w:val="0"/>
      <w:autoSpaceDN w:val="0"/>
      <w:adjustRightInd w:val="0"/>
      <w:spacing w:before="150" w:after="28" w:line="300" w:lineRule="atLeast"/>
      <w:textAlignment w:val="center"/>
    </w:pPr>
    <w:rPr>
      <w:rFonts w:ascii="Calibri" w:hAnsi="Calibri" w:cs="Garamond"/>
      <w:color w:val="000000"/>
      <w:sz w:val="24"/>
      <w:szCs w:val="24"/>
      <w:lang w:val="en-GB" w:eastAsia="en-AU"/>
    </w:rPr>
  </w:style>
  <w:style w:type="numbering" w:customStyle="1" w:styleId="Style1">
    <w:name w:val="Style1"/>
    <w:uiPriority w:val="99"/>
    <w:rsid w:val="008E3DB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F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4467A"/>
    <w:pPr>
      <w:keepNext/>
      <w:overflowPunct w:val="0"/>
      <w:autoSpaceDE w:val="0"/>
      <w:autoSpaceDN w:val="0"/>
      <w:adjustRightInd w:val="0"/>
      <w:ind w:left="851" w:hanging="851"/>
      <w:textAlignment w:val="baseline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64467A"/>
    <w:rPr>
      <w:b/>
      <w:bCs/>
      <w:sz w:val="24"/>
      <w:szCs w:val="24"/>
      <w:lang w:val="en-AU" w:eastAsia="en-US" w:bidi="ar-SA"/>
    </w:rPr>
  </w:style>
  <w:style w:type="character" w:styleId="Hyperlink">
    <w:name w:val="Hyperlink"/>
    <w:basedOn w:val="DefaultParagraphFont"/>
    <w:rsid w:val="006446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4467A"/>
  </w:style>
  <w:style w:type="character" w:customStyle="1" w:styleId="FootnoteTextChar">
    <w:name w:val="Footnote Text Char"/>
    <w:basedOn w:val="DefaultParagraphFont"/>
    <w:link w:val="FootnoteText"/>
    <w:semiHidden/>
    <w:locked/>
    <w:rsid w:val="0064467A"/>
    <w:rPr>
      <w:lang w:val="en-AU" w:eastAsia="en-US" w:bidi="ar-SA"/>
    </w:rPr>
  </w:style>
  <w:style w:type="character" w:styleId="FootnoteReference">
    <w:name w:val="footnote reference"/>
    <w:basedOn w:val="DefaultParagraphFont"/>
    <w:semiHidden/>
    <w:rsid w:val="0064467A"/>
    <w:rPr>
      <w:rFonts w:cs="Times New Roman"/>
      <w:vertAlign w:val="superscript"/>
    </w:rPr>
  </w:style>
  <w:style w:type="paragraph" w:customStyle="1" w:styleId="CharChar1CharCharCharChar1">
    <w:name w:val="Char Char1 Char Char Char Char1"/>
    <w:basedOn w:val="Normal"/>
    <w:rsid w:val="0064467A"/>
    <w:rPr>
      <w:rFonts w:ascii="Arial" w:hAnsi="Arial"/>
      <w:sz w:val="22"/>
    </w:rPr>
  </w:style>
  <w:style w:type="paragraph" w:styleId="Header">
    <w:name w:val="header"/>
    <w:basedOn w:val="Normal"/>
    <w:rsid w:val="00A7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1458"/>
  </w:style>
  <w:style w:type="paragraph" w:styleId="BalloonText">
    <w:name w:val="Balloon Text"/>
    <w:basedOn w:val="Normal"/>
    <w:semiHidden/>
    <w:rsid w:val="00583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E6AAE"/>
    <w:rPr>
      <w:sz w:val="16"/>
      <w:szCs w:val="16"/>
    </w:rPr>
  </w:style>
  <w:style w:type="paragraph" w:styleId="CommentText">
    <w:name w:val="annotation text"/>
    <w:basedOn w:val="Normal"/>
    <w:semiHidden/>
    <w:rsid w:val="008E6AAE"/>
  </w:style>
  <w:style w:type="paragraph" w:styleId="CommentSubject">
    <w:name w:val="annotation subject"/>
    <w:basedOn w:val="CommentText"/>
    <w:next w:val="CommentText"/>
    <w:semiHidden/>
    <w:rsid w:val="008E6AAE"/>
    <w:rPr>
      <w:b/>
      <w:bCs/>
    </w:rPr>
  </w:style>
  <w:style w:type="paragraph" w:customStyle="1" w:styleId="numberedpara">
    <w:name w:val="numbered para"/>
    <w:basedOn w:val="Normal"/>
    <w:rsid w:val="00A335B8"/>
    <w:pPr>
      <w:keepLines/>
      <w:numPr>
        <w:numId w:val="2"/>
      </w:numPr>
      <w:tabs>
        <w:tab w:val="clear" w:pos="567"/>
        <w:tab w:val="num" w:pos="0"/>
      </w:tabs>
      <w:ind w:hanging="220"/>
    </w:pPr>
    <w:rPr>
      <w:rFonts w:ascii="Calibri" w:hAnsi="Calibri"/>
      <w:sz w:val="22"/>
      <w:szCs w:val="16"/>
    </w:rPr>
  </w:style>
  <w:style w:type="paragraph" w:styleId="ListParagraph">
    <w:name w:val="List Paragraph"/>
    <w:basedOn w:val="Normal"/>
    <w:uiPriority w:val="34"/>
    <w:qFormat/>
    <w:rsid w:val="00A23C45"/>
    <w:pPr>
      <w:keepLines/>
      <w:ind w:left="720"/>
      <w:contextualSpacing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A23C45"/>
    <w:pPr>
      <w:spacing w:after="200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rsid w:val="00C93F6A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Char"/>
    <w:rsid w:val="000C46F2"/>
    <w:pPr>
      <w:keepLines/>
      <w:outlineLvl w:val="0"/>
    </w:pPr>
    <w:rPr>
      <w:rFonts w:ascii="Calibri" w:hAnsi="Calibri" w:cs="Gautami"/>
      <w:sz w:val="22"/>
    </w:rPr>
  </w:style>
  <w:style w:type="character" w:customStyle="1" w:styleId="bodyCharChar">
    <w:name w:val="body Char Char"/>
    <w:basedOn w:val="DefaultParagraphFont"/>
    <w:link w:val="body"/>
    <w:rsid w:val="000C46F2"/>
    <w:rPr>
      <w:rFonts w:ascii="Calibri" w:hAnsi="Calibri" w:cs="Gautami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E02808"/>
    <w:pPr>
      <w:ind w:right="-56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02808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808"/>
    <w:rPr>
      <w:lang w:eastAsia="en-US"/>
    </w:rPr>
  </w:style>
  <w:style w:type="paragraph" w:customStyle="1" w:styleId="dotpoint">
    <w:name w:val="dot point"/>
    <w:basedOn w:val="Normal"/>
    <w:rsid w:val="008E3DB6"/>
    <w:pPr>
      <w:numPr>
        <w:numId w:val="17"/>
      </w:numPr>
      <w:tabs>
        <w:tab w:val="left" w:pos="227"/>
      </w:tabs>
      <w:suppressAutoHyphens/>
      <w:autoSpaceDE w:val="0"/>
      <w:autoSpaceDN w:val="0"/>
      <w:adjustRightInd w:val="0"/>
      <w:spacing w:before="150" w:after="28" w:line="300" w:lineRule="atLeast"/>
      <w:textAlignment w:val="center"/>
    </w:pPr>
    <w:rPr>
      <w:rFonts w:ascii="Calibri" w:hAnsi="Calibri" w:cs="Garamond"/>
      <w:color w:val="000000"/>
      <w:sz w:val="24"/>
      <w:szCs w:val="24"/>
      <w:lang w:val="en-GB" w:eastAsia="en-AU"/>
    </w:rPr>
  </w:style>
  <w:style w:type="numbering" w:customStyle="1" w:styleId="Style1">
    <w:name w:val="Style1"/>
    <w:uiPriority w:val="99"/>
    <w:rsid w:val="008E3DB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DOC19-44369</ShareHubID>
    <TaxCatchAll xmlns="166541c0-0594-4e6a-9105-c24d4b6de6f7">
      <Value>1</Value>
      <Value>30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Minute</TermName>
          <TermId xmlns="http://schemas.microsoft.com/office/infopath/2007/PartnerControls">ad799f49-bdf8-4ec2-bcb1-44d38b617948</TermId>
        </TermInfo>
      </Terms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6C4E1C85-F920-4CE0-869E-D6F6C82F531D}"/>
</file>

<file path=customXml/itemProps2.xml><?xml version="1.0" encoding="utf-8"?>
<ds:datastoreItem xmlns:ds="http://schemas.openxmlformats.org/officeDocument/2006/customXml" ds:itemID="{69CA5800-4AF5-4946-B847-B2CA888D576E}"/>
</file>

<file path=customXml/itemProps3.xml><?xml version="1.0" encoding="utf-8"?>
<ds:datastoreItem xmlns:ds="http://schemas.openxmlformats.org/officeDocument/2006/customXml" ds:itemID="{51996A22-E0FF-41F3-B8F0-167E6427A124}"/>
</file>

<file path=customXml/itemProps4.xml><?xml version="1.0" encoding="utf-8"?>
<ds:datastoreItem xmlns:ds="http://schemas.openxmlformats.org/officeDocument/2006/customXml" ds:itemID="{B84070B6-B3D7-4A4F-8B96-0EEC2F9A40CA}"/>
</file>

<file path=docProps/app.xml><?xml version="1.0" encoding="utf-8"?>
<Properties xmlns="http://schemas.openxmlformats.org/officeDocument/2006/extended-properties" xmlns:vt="http://schemas.openxmlformats.org/officeDocument/2006/docPropsVTypes">
  <Template>33666748</Template>
  <TotalTime>19</TotalTime>
  <Pages>4</Pages>
  <Words>229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Australian Government</Company>
  <LinksUpToDate>false</LinksUpToDate>
  <CharactersWithSpaces>1947</CharactersWithSpaces>
  <SharedDoc>false</SharedDoc>
  <HLinks>
    <vt:vector size="30" baseType="variant">
      <vt:variant>
        <vt:i4>5374048</vt:i4>
      </vt:variant>
      <vt:variant>
        <vt:i4>8</vt:i4>
      </vt:variant>
      <vt:variant>
        <vt:i4>0</vt:i4>
      </vt:variant>
      <vt:variant>
        <vt:i4>5</vt:i4>
      </vt:variant>
      <vt:variant>
        <vt:lpwstr>mailto:bruce.jennings@deewr.gov.au</vt:lpwstr>
      </vt:variant>
      <vt:variant>
        <vt:lpwstr/>
      </vt:variant>
      <vt:variant>
        <vt:i4>1900667</vt:i4>
      </vt:variant>
      <vt:variant>
        <vt:i4>5</vt:i4>
      </vt:variant>
      <vt:variant>
        <vt:i4>0</vt:i4>
      </vt:variant>
      <vt:variant>
        <vt:i4>5</vt:i4>
      </vt:variant>
      <vt:variant>
        <vt:lpwstr>mailto:hedip@deewr.gov.au</vt:lpwstr>
      </vt:variant>
      <vt:variant>
        <vt:lpwstr/>
      </vt:variant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mailto:hera@deewr.gov.au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http://www.dest.gov.au/sectors/indigenous_education/policy_issues_reviews/national_goals_for_indigenous_education.htm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http://www.comlaw.gov.au/comlaw/Legislation/LegislativeInstrument1.nsf/0/1E7313158DC26C30CA257506000E180E?OpenDocument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Anthony Cross</dc:creator>
  <cp:lastModifiedBy>Booth, Marissa</cp:lastModifiedBy>
  <cp:revision>6</cp:revision>
  <cp:lastPrinted>2014-03-21T00:59:00Z</cp:lastPrinted>
  <dcterms:created xsi:type="dcterms:W3CDTF">2017-12-03T23:32:00Z</dcterms:created>
  <dcterms:modified xsi:type="dcterms:W3CDTF">2019-02-07T09:50:00Z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HPRMSecurityLevel">
    <vt:lpwstr>1;#UNCLASSIFIED|9c49a7c7-17c7-412f-8077-62dec89b9196</vt:lpwstr>
  </property>
  <property fmtid="{D5CDD505-2E9C-101B-9397-08002B2CF9AE}" pid="7" name="ContentTypeId">
    <vt:lpwstr>0x0101002825A64A6E1845A99A9D8EE8A5686ECB009B58D7D72C3ED54C851955501673F8AC</vt:lpwstr>
  </property>
  <property fmtid="{D5CDD505-2E9C-101B-9397-08002B2CF9AE}" pid="8" name="ESearchTags">
    <vt:lpwstr>30;#Meeting Minute|ad799f49-bdf8-4ec2-bcb1-44d38b617948</vt:lpwstr>
  </property>
  <property fmtid="{D5CDD505-2E9C-101B-9397-08002B2CF9AE}" pid="9" name="PMC.ESearch.TagGeneratedTime">
    <vt:lpwstr>2019-02-08T11:23:20</vt:lpwstr>
  </property>
  <property fmtid="{D5CDD505-2E9C-101B-9397-08002B2CF9AE}" pid="10" name="HPRMSecurityCaveat">
    <vt:lpwstr/>
  </property>
</Properties>
</file>