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DD07C" w14:textId="77777777" w:rsidR="00E021A6" w:rsidRPr="00B00879" w:rsidRDefault="006B6B1D" w:rsidP="00D53F9D">
      <w:pPr>
        <w:pStyle w:val="Heading1"/>
        <w:spacing w:before="0"/>
        <w:jc w:val="left"/>
        <w:rPr>
          <w:i/>
        </w:rPr>
      </w:pPr>
      <w:r w:rsidRPr="008F31A9">
        <w:t>Strengthening</w:t>
      </w:r>
      <w:r w:rsidR="00E021A6" w:rsidRPr="00B00879">
        <w:t xml:space="preserve"> land administration</w:t>
      </w:r>
      <w:r w:rsidR="002207A9" w:rsidRPr="00B00879">
        <w:t xml:space="preserve"> and local control</w:t>
      </w:r>
    </w:p>
    <w:p w14:paraId="48A3E87B" w14:textId="0833D875" w:rsidR="00253DEF" w:rsidRPr="00D53F9D" w:rsidRDefault="00BD7885" w:rsidP="006C21E2">
      <w:pPr>
        <w:spacing w:after="160" w:line="240" w:lineRule="auto"/>
        <w:rPr>
          <w:rFonts w:cstheme="minorHAnsi"/>
          <w:bCs/>
          <w:color w:val="auto"/>
          <w:sz w:val="22"/>
          <w:szCs w:val="24"/>
        </w:rPr>
      </w:pPr>
      <w:r w:rsidRPr="00D53F9D">
        <w:rPr>
          <w:color w:val="auto"/>
          <w:sz w:val="22"/>
          <w:szCs w:val="24"/>
        </w:rPr>
        <w:t xml:space="preserve">On 1 December 2021, the Australian Parliament passed the Aboriginal Land Rights (Northern Territory) Amendment (Economic Empowerment) Bill 2021. </w:t>
      </w:r>
      <w:r w:rsidR="006B6B1D" w:rsidRPr="00D53F9D">
        <w:rPr>
          <w:rFonts w:cstheme="minorHAnsi"/>
          <w:bCs/>
          <w:color w:val="auto"/>
          <w:sz w:val="22"/>
          <w:szCs w:val="24"/>
        </w:rPr>
        <w:t>T</w:t>
      </w:r>
      <w:r w:rsidR="006D1A72" w:rsidRPr="00D53F9D">
        <w:rPr>
          <w:rFonts w:cstheme="minorHAnsi"/>
          <w:bCs/>
          <w:color w:val="auto"/>
          <w:sz w:val="22"/>
          <w:szCs w:val="24"/>
        </w:rPr>
        <w:t>he Australian Government worked with the four N</w:t>
      </w:r>
      <w:r w:rsidR="00966EA6" w:rsidRPr="00D53F9D">
        <w:rPr>
          <w:rFonts w:cstheme="minorHAnsi"/>
          <w:bCs/>
          <w:color w:val="auto"/>
          <w:sz w:val="22"/>
          <w:szCs w:val="24"/>
        </w:rPr>
        <w:t xml:space="preserve">orthern Territory (NT) </w:t>
      </w:r>
      <w:r w:rsidR="006D1A72" w:rsidRPr="00D53F9D">
        <w:rPr>
          <w:rFonts w:cstheme="minorHAnsi"/>
          <w:bCs/>
          <w:color w:val="auto"/>
          <w:sz w:val="22"/>
          <w:szCs w:val="24"/>
        </w:rPr>
        <w:t xml:space="preserve">Land Councils to agree a package of generational reforms to the </w:t>
      </w:r>
      <w:r w:rsidR="006D1A72" w:rsidRPr="00D53F9D">
        <w:rPr>
          <w:rFonts w:cstheme="minorHAnsi"/>
          <w:bCs/>
          <w:i/>
          <w:color w:val="auto"/>
          <w:sz w:val="22"/>
          <w:szCs w:val="24"/>
        </w:rPr>
        <w:t>Aboriginal Land Rights (Northern Territory) Act 1976</w:t>
      </w:r>
      <w:r w:rsidR="006D1A72" w:rsidRPr="00D53F9D">
        <w:rPr>
          <w:rFonts w:cstheme="minorHAnsi"/>
          <w:bCs/>
          <w:color w:val="auto"/>
          <w:sz w:val="22"/>
          <w:szCs w:val="24"/>
        </w:rPr>
        <w:t xml:space="preserve"> (ALRA). </w:t>
      </w:r>
      <w:r w:rsidR="00767CD6" w:rsidRPr="00D53F9D">
        <w:rPr>
          <w:rFonts w:cstheme="minorHAnsi"/>
          <w:bCs/>
          <w:color w:val="auto"/>
          <w:sz w:val="22"/>
          <w:szCs w:val="24"/>
        </w:rPr>
        <w:t xml:space="preserve">NT traditional owners, through their Land Councils, </w:t>
      </w:r>
      <w:r w:rsidR="006B6B1D" w:rsidRPr="00D53F9D">
        <w:rPr>
          <w:rFonts w:cstheme="minorHAnsi"/>
          <w:bCs/>
          <w:color w:val="auto"/>
          <w:sz w:val="22"/>
          <w:szCs w:val="24"/>
        </w:rPr>
        <w:t>asked</w:t>
      </w:r>
      <w:r w:rsidR="00767CD6" w:rsidRPr="00D53F9D">
        <w:rPr>
          <w:rFonts w:cstheme="minorHAnsi"/>
          <w:bCs/>
          <w:color w:val="auto"/>
          <w:sz w:val="22"/>
          <w:szCs w:val="24"/>
        </w:rPr>
        <w:t xml:space="preserve"> for </w:t>
      </w:r>
      <w:r w:rsidR="006B6B1D" w:rsidRPr="00D53F9D">
        <w:rPr>
          <w:rFonts w:cstheme="minorHAnsi"/>
          <w:bCs/>
          <w:color w:val="auto"/>
          <w:sz w:val="22"/>
          <w:szCs w:val="24"/>
        </w:rPr>
        <w:t>t</w:t>
      </w:r>
      <w:r w:rsidR="00D84DFE" w:rsidRPr="00D53F9D">
        <w:rPr>
          <w:rFonts w:cstheme="minorHAnsi"/>
          <w:bCs/>
          <w:color w:val="auto"/>
          <w:sz w:val="22"/>
          <w:szCs w:val="24"/>
        </w:rPr>
        <w:t xml:space="preserve">hese </w:t>
      </w:r>
      <w:r w:rsidR="006B6B1D" w:rsidRPr="00D53F9D">
        <w:rPr>
          <w:rFonts w:cstheme="minorHAnsi"/>
          <w:bCs/>
          <w:color w:val="auto"/>
          <w:sz w:val="22"/>
          <w:szCs w:val="24"/>
        </w:rPr>
        <w:t>reforms</w:t>
      </w:r>
      <w:r w:rsidR="00767CD6" w:rsidRPr="00D53F9D">
        <w:rPr>
          <w:rFonts w:cstheme="minorHAnsi"/>
          <w:bCs/>
          <w:color w:val="auto"/>
          <w:sz w:val="22"/>
          <w:szCs w:val="24"/>
        </w:rPr>
        <w:t xml:space="preserve"> to modernise and support contemporary Aboriginal economic</w:t>
      </w:r>
      <w:r w:rsidR="004E6AFF" w:rsidRPr="00D53F9D">
        <w:rPr>
          <w:rFonts w:cstheme="minorHAnsi"/>
          <w:bCs/>
          <w:color w:val="auto"/>
          <w:sz w:val="22"/>
          <w:szCs w:val="24"/>
        </w:rPr>
        <w:t>, cultural</w:t>
      </w:r>
      <w:r w:rsidR="00767CD6" w:rsidRPr="00D53F9D">
        <w:rPr>
          <w:rFonts w:cstheme="minorHAnsi"/>
          <w:bCs/>
          <w:color w:val="auto"/>
          <w:sz w:val="22"/>
          <w:szCs w:val="24"/>
        </w:rPr>
        <w:t xml:space="preserve"> and social aspirations. </w:t>
      </w:r>
    </w:p>
    <w:p w14:paraId="531AA2CE" w14:textId="77777777" w:rsidR="006D283F" w:rsidRPr="00FF7AD4" w:rsidRDefault="006C21E2" w:rsidP="00D53F9D">
      <w:pPr>
        <w:pStyle w:val="Heading2"/>
        <w:spacing w:after="0"/>
      </w:pPr>
      <w:r>
        <w:t>Strengthen</w:t>
      </w:r>
      <w:r w:rsidR="00997EE6" w:rsidRPr="00FF7AD4">
        <w:t xml:space="preserve"> </w:t>
      </w:r>
      <w:r w:rsidR="006D5918" w:rsidRPr="008F31A9">
        <w:t>community</w:t>
      </w:r>
      <w:r w:rsidR="006D5918" w:rsidRPr="00FF7AD4">
        <w:t xml:space="preserve"> entity township leasing</w:t>
      </w:r>
    </w:p>
    <w:p w14:paraId="3F79E168" w14:textId="3FEDCDF8" w:rsidR="00767CD6" w:rsidRPr="00D53F9D" w:rsidRDefault="006C21E2" w:rsidP="00CA4A8C">
      <w:pPr>
        <w:spacing w:after="160" w:line="240" w:lineRule="auto"/>
        <w:rPr>
          <w:color w:val="auto"/>
          <w:sz w:val="22"/>
          <w:szCs w:val="24"/>
        </w:rPr>
      </w:pPr>
      <w:r w:rsidRPr="00D53F9D">
        <w:rPr>
          <w:color w:val="auto"/>
          <w:sz w:val="22"/>
          <w:szCs w:val="24"/>
        </w:rPr>
        <w:t xml:space="preserve">These reforms strengthen community </w:t>
      </w:r>
      <w:proofErr w:type="gramStart"/>
      <w:r w:rsidRPr="00D53F9D">
        <w:rPr>
          <w:color w:val="auto"/>
          <w:sz w:val="22"/>
          <w:szCs w:val="24"/>
        </w:rPr>
        <w:t>entity township</w:t>
      </w:r>
      <w:proofErr w:type="gramEnd"/>
      <w:r w:rsidRPr="00D53F9D">
        <w:rPr>
          <w:color w:val="auto"/>
          <w:sz w:val="22"/>
          <w:szCs w:val="24"/>
        </w:rPr>
        <w:t xml:space="preserve"> leasing</w:t>
      </w:r>
      <w:r w:rsidR="006B6B1D" w:rsidRPr="00D53F9D">
        <w:rPr>
          <w:color w:val="auto"/>
          <w:sz w:val="22"/>
          <w:szCs w:val="24"/>
        </w:rPr>
        <w:t>,</w:t>
      </w:r>
      <w:r w:rsidRPr="00D53F9D">
        <w:rPr>
          <w:color w:val="auto"/>
          <w:sz w:val="22"/>
          <w:szCs w:val="24"/>
        </w:rPr>
        <w:t xml:space="preserve"> which is increasingly favoured by </w:t>
      </w:r>
      <w:r w:rsidR="00456C41" w:rsidRPr="00D53F9D">
        <w:rPr>
          <w:color w:val="auto"/>
          <w:sz w:val="22"/>
          <w:szCs w:val="24"/>
        </w:rPr>
        <w:t xml:space="preserve">NT </w:t>
      </w:r>
      <w:r w:rsidRPr="00D53F9D">
        <w:rPr>
          <w:color w:val="auto"/>
          <w:sz w:val="22"/>
          <w:szCs w:val="24"/>
        </w:rPr>
        <w:t xml:space="preserve">Aboriginal people as an important way to enhance local decision making. </w:t>
      </w:r>
      <w:r w:rsidR="00767CD6" w:rsidRPr="00D53F9D">
        <w:rPr>
          <w:color w:val="auto"/>
          <w:sz w:val="22"/>
          <w:szCs w:val="24"/>
        </w:rPr>
        <w:t>Township leases provide for tradeable land interests over Aboriginal land by protecting traditional owner title and enabling economic development.</w:t>
      </w:r>
      <w:r w:rsidR="00CA4A8C" w:rsidRPr="00D53F9D">
        <w:rPr>
          <w:color w:val="auto"/>
          <w:sz w:val="22"/>
          <w:szCs w:val="24"/>
        </w:rPr>
        <w:t xml:space="preserve"> </w:t>
      </w:r>
      <w:r w:rsidR="00767CD6" w:rsidRPr="00D53F9D">
        <w:rPr>
          <w:color w:val="auto"/>
          <w:sz w:val="22"/>
          <w:szCs w:val="24"/>
        </w:rPr>
        <w:t>The Executive Director of Township Leasing (EDTL) currently holds five townsh</w:t>
      </w:r>
      <w:r w:rsidR="004E6AFF" w:rsidRPr="00D53F9D">
        <w:rPr>
          <w:color w:val="auto"/>
          <w:sz w:val="22"/>
          <w:szCs w:val="24"/>
        </w:rPr>
        <w:t>ip leases in eight communities on behalf of the Commonwealth.</w:t>
      </w:r>
    </w:p>
    <w:p w14:paraId="41C92FB1" w14:textId="507B7D19" w:rsidR="000B756E" w:rsidRPr="00D53F9D" w:rsidRDefault="00767CD6" w:rsidP="006B6B1D">
      <w:pPr>
        <w:spacing w:after="160" w:line="240" w:lineRule="auto"/>
        <w:rPr>
          <w:color w:val="auto"/>
          <w:sz w:val="22"/>
          <w:szCs w:val="24"/>
        </w:rPr>
      </w:pPr>
      <w:r w:rsidRPr="00D53F9D">
        <w:rPr>
          <w:color w:val="auto"/>
          <w:sz w:val="22"/>
          <w:szCs w:val="24"/>
        </w:rPr>
        <w:t xml:space="preserve">Community entity township leasing </w:t>
      </w:r>
      <w:r w:rsidR="004E6AFF" w:rsidRPr="00D53F9D">
        <w:rPr>
          <w:color w:val="auto"/>
          <w:sz w:val="22"/>
          <w:szCs w:val="24"/>
        </w:rPr>
        <w:t>enables</w:t>
      </w:r>
      <w:r w:rsidRPr="00D53F9D">
        <w:rPr>
          <w:color w:val="auto"/>
          <w:sz w:val="22"/>
          <w:szCs w:val="24"/>
        </w:rPr>
        <w:t xml:space="preserve"> traditional owners themselves to hold the lease, instead of the EDTL, </w:t>
      </w:r>
      <w:bookmarkStart w:id="0" w:name="_GoBack"/>
      <w:bookmarkEnd w:id="0"/>
      <w:r w:rsidRPr="00D53F9D">
        <w:rPr>
          <w:color w:val="auto"/>
          <w:sz w:val="22"/>
          <w:szCs w:val="24"/>
        </w:rPr>
        <w:t>through a local Aboriginal corporation.</w:t>
      </w:r>
      <w:r w:rsidR="00CA4A8C" w:rsidRPr="00D53F9D">
        <w:rPr>
          <w:color w:val="auto"/>
          <w:sz w:val="22"/>
          <w:szCs w:val="24"/>
        </w:rPr>
        <w:t xml:space="preserve"> </w:t>
      </w:r>
      <w:r w:rsidR="006B6B1D" w:rsidRPr="00D53F9D">
        <w:rPr>
          <w:color w:val="auto"/>
          <w:sz w:val="22"/>
          <w:szCs w:val="24"/>
        </w:rPr>
        <w:t>The</w:t>
      </w:r>
      <w:r w:rsidR="00CA4A8C" w:rsidRPr="00D53F9D">
        <w:rPr>
          <w:color w:val="auto"/>
          <w:sz w:val="22"/>
          <w:szCs w:val="24"/>
        </w:rPr>
        <w:t xml:space="preserve"> amendments will support more communities </w:t>
      </w:r>
      <w:r w:rsidRPr="00D53F9D">
        <w:rPr>
          <w:color w:val="auto"/>
          <w:sz w:val="22"/>
          <w:szCs w:val="24"/>
        </w:rPr>
        <w:t xml:space="preserve">to follow the leadership of the Gumatj </w:t>
      </w:r>
      <w:r w:rsidR="009C5F81" w:rsidRPr="00D53F9D">
        <w:rPr>
          <w:color w:val="auto"/>
          <w:sz w:val="22"/>
          <w:szCs w:val="24"/>
        </w:rPr>
        <w:t xml:space="preserve">traditional owners </w:t>
      </w:r>
      <w:r w:rsidRPr="00D53F9D">
        <w:rPr>
          <w:color w:val="auto"/>
          <w:sz w:val="22"/>
          <w:szCs w:val="24"/>
        </w:rPr>
        <w:t xml:space="preserve">at </w:t>
      </w:r>
      <w:proofErr w:type="spellStart"/>
      <w:r w:rsidRPr="00D53F9D">
        <w:rPr>
          <w:color w:val="auto"/>
          <w:sz w:val="22"/>
          <w:szCs w:val="24"/>
        </w:rPr>
        <w:t>Gunyangara</w:t>
      </w:r>
      <w:proofErr w:type="spellEnd"/>
      <w:r w:rsidRPr="00D53F9D">
        <w:rPr>
          <w:color w:val="auto"/>
          <w:sz w:val="22"/>
          <w:szCs w:val="24"/>
        </w:rPr>
        <w:t xml:space="preserve"> and the </w:t>
      </w:r>
      <w:proofErr w:type="spellStart"/>
      <w:r w:rsidRPr="00D53F9D">
        <w:rPr>
          <w:color w:val="auto"/>
          <w:sz w:val="22"/>
          <w:szCs w:val="24"/>
        </w:rPr>
        <w:t>Mirarr</w:t>
      </w:r>
      <w:proofErr w:type="spellEnd"/>
      <w:r w:rsidR="009C5F81" w:rsidRPr="00D53F9D">
        <w:rPr>
          <w:color w:val="auto"/>
          <w:sz w:val="22"/>
          <w:szCs w:val="24"/>
        </w:rPr>
        <w:t xml:space="preserve"> traditional owners</w:t>
      </w:r>
      <w:r w:rsidRPr="00D53F9D">
        <w:rPr>
          <w:color w:val="auto"/>
          <w:sz w:val="22"/>
          <w:szCs w:val="24"/>
        </w:rPr>
        <w:t xml:space="preserve"> at</w:t>
      </w:r>
      <w:r w:rsidR="00CA4A8C" w:rsidRPr="00D53F9D">
        <w:rPr>
          <w:color w:val="auto"/>
          <w:sz w:val="22"/>
          <w:szCs w:val="24"/>
        </w:rPr>
        <w:t xml:space="preserve"> Jabiru to drive lo</w:t>
      </w:r>
      <w:r w:rsidR="00CA4A8C" w:rsidRPr="00D53F9D">
        <w:rPr>
          <w:color w:val="auto"/>
          <w:sz w:val="22"/>
          <w:szCs w:val="24"/>
        </w:rPr>
        <w:lastRenderedPageBreak/>
        <w:t xml:space="preserve">cal </w:t>
      </w:r>
      <w:r w:rsidRPr="00D53F9D">
        <w:rPr>
          <w:color w:val="auto"/>
          <w:sz w:val="22"/>
          <w:szCs w:val="24"/>
        </w:rPr>
        <w:t>prio</w:t>
      </w:r>
      <w:r w:rsidR="006B6B1D" w:rsidRPr="00D53F9D">
        <w:rPr>
          <w:color w:val="auto"/>
          <w:sz w:val="22"/>
          <w:szCs w:val="24"/>
        </w:rPr>
        <w:t>rities through a township lease</w:t>
      </w:r>
      <w:r w:rsidR="001E6542" w:rsidRPr="00D53F9D">
        <w:rPr>
          <w:color w:val="auto"/>
          <w:sz w:val="22"/>
          <w:szCs w:val="24"/>
        </w:rPr>
        <w:t>. In particular, the</w:t>
      </w:r>
      <w:r w:rsidR="00CE5DC7" w:rsidRPr="00D53F9D">
        <w:rPr>
          <w:color w:val="auto"/>
          <w:sz w:val="22"/>
          <w:szCs w:val="24"/>
        </w:rPr>
        <w:t xml:space="preserve"> amendments</w:t>
      </w:r>
      <w:r w:rsidR="001E6542" w:rsidRPr="00D53F9D">
        <w:rPr>
          <w:color w:val="auto"/>
          <w:sz w:val="22"/>
          <w:szCs w:val="24"/>
        </w:rPr>
        <w:t xml:space="preserve"> c</w:t>
      </w:r>
      <w:r w:rsidRPr="00D53F9D">
        <w:rPr>
          <w:color w:val="auto"/>
          <w:sz w:val="22"/>
          <w:szCs w:val="24"/>
        </w:rPr>
        <w:t>larify</w:t>
      </w:r>
      <w:r w:rsidR="00CA4A8C" w:rsidRPr="00D53F9D">
        <w:rPr>
          <w:color w:val="auto"/>
          <w:sz w:val="22"/>
          <w:szCs w:val="24"/>
        </w:rPr>
        <w:t xml:space="preserve"> </w:t>
      </w:r>
      <w:r w:rsidR="00966EA6" w:rsidRPr="00D53F9D">
        <w:rPr>
          <w:color w:val="auto"/>
          <w:sz w:val="22"/>
          <w:szCs w:val="24"/>
        </w:rPr>
        <w:t xml:space="preserve">the </w:t>
      </w:r>
      <w:r w:rsidR="00CA4A8C" w:rsidRPr="00D53F9D">
        <w:rPr>
          <w:color w:val="auto"/>
          <w:sz w:val="22"/>
          <w:szCs w:val="24"/>
        </w:rPr>
        <w:t>approval process for</w:t>
      </w:r>
      <w:r w:rsidRPr="00D53F9D">
        <w:rPr>
          <w:color w:val="auto"/>
          <w:sz w:val="22"/>
          <w:szCs w:val="24"/>
        </w:rPr>
        <w:t xml:space="preserve"> community entities and set out a budget proc</w:t>
      </w:r>
      <w:r w:rsidR="00CA4A8C" w:rsidRPr="00D53F9D">
        <w:rPr>
          <w:color w:val="auto"/>
          <w:sz w:val="22"/>
          <w:szCs w:val="24"/>
        </w:rPr>
        <w:t xml:space="preserve">ess to fund their </w:t>
      </w:r>
      <w:r w:rsidRPr="00D53F9D">
        <w:rPr>
          <w:color w:val="auto"/>
          <w:sz w:val="22"/>
          <w:szCs w:val="24"/>
        </w:rPr>
        <w:t>operational costs from the A</w:t>
      </w:r>
      <w:r w:rsidR="009C5F81" w:rsidRPr="00D53F9D">
        <w:rPr>
          <w:color w:val="auto"/>
          <w:sz w:val="22"/>
          <w:szCs w:val="24"/>
        </w:rPr>
        <w:t xml:space="preserve">boriginals </w:t>
      </w:r>
      <w:r w:rsidRPr="00D53F9D">
        <w:rPr>
          <w:color w:val="auto"/>
          <w:sz w:val="22"/>
          <w:szCs w:val="24"/>
        </w:rPr>
        <w:t>B</w:t>
      </w:r>
      <w:r w:rsidR="009C5F81" w:rsidRPr="00D53F9D">
        <w:rPr>
          <w:color w:val="auto"/>
          <w:sz w:val="22"/>
          <w:szCs w:val="24"/>
        </w:rPr>
        <w:t xml:space="preserve">enefit </w:t>
      </w:r>
      <w:r w:rsidRPr="00D53F9D">
        <w:rPr>
          <w:color w:val="auto"/>
          <w:sz w:val="22"/>
          <w:szCs w:val="24"/>
        </w:rPr>
        <w:t>A</w:t>
      </w:r>
      <w:r w:rsidR="009C5F81" w:rsidRPr="00D53F9D">
        <w:rPr>
          <w:color w:val="auto"/>
          <w:sz w:val="22"/>
          <w:szCs w:val="24"/>
        </w:rPr>
        <w:t>ccount (ABA)</w:t>
      </w:r>
      <w:r w:rsidR="006B6B1D" w:rsidRPr="00D53F9D">
        <w:rPr>
          <w:color w:val="auto"/>
          <w:sz w:val="22"/>
          <w:szCs w:val="24"/>
        </w:rPr>
        <w:t>.</w:t>
      </w:r>
    </w:p>
    <w:p w14:paraId="5E377C21" w14:textId="2C7B0213" w:rsidR="001E6542" w:rsidRPr="00D53F9D" w:rsidRDefault="001E6542" w:rsidP="006B6B1D">
      <w:pPr>
        <w:spacing w:after="160" w:line="240" w:lineRule="auto"/>
        <w:rPr>
          <w:color w:val="auto"/>
          <w:sz w:val="22"/>
          <w:szCs w:val="24"/>
        </w:rPr>
      </w:pPr>
      <w:r w:rsidRPr="00D53F9D">
        <w:rPr>
          <w:color w:val="auto"/>
          <w:sz w:val="22"/>
          <w:szCs w:val="24"/>
        </w:rPr>
        <w:t xml:space="preserve">The reforms also ensure that approved entities are incorporated under the </w:t>
      </w:r>
      <w:r w:rsidRPr="00D53F9D">
        <w:rPr>
          <w:i/>
          <w:color w:val="auto"/>
          <w:sz w:val="22"/>
          <w:szCs w:val="24"/>
        </w:rPr>
        <w:t>Corporations (Aboriginal and Torres Strait Islander) Act 2006</w:t>
      </w:r>
      <w:r w:rsidRPr="00D53F9D">
        <w:rPr>
          <w:color w:val="auto"/>
          <w:sz w:val="22"/>
          <w:szCs w:val="24"/>
        </w:rPr>
        <w:t>.</w:t>
      </w:r>
    </w:p>
    <w:p w14:paraId="11A1EE3C" w14:textId="77777777" w:rsidR="006D5918" w:rsidRPr="00FF7AD4" w:rsidRDefault="00B25121" w:rsidP="00D53F9D">
      <w:pPr>
        <w:pStyle w:val="Heading2"/>
        <w:spacing w:after="0"/>
      </w:pPr>
      <w:r>
        <w:t>Remove</w:t>
      </w:r>
      <w:r w:rsidR="006D5918" w:rsidRPr="00FF7AD4">
        <w:t xml:space="preserve"> the </w:t>
      </w:r>
      <w:r w:rsidR="00767CD6">
        <w:t xml:space="preserve">unused </w:t>
      </w:r>
      <w:r w:rsidR="006D5918" w:rsidRPr="00FF7AD4">
        <w:t xml:space="preserve">power </w:t>
      </w:r>
      <w:r w:rsidR="00993E35" w:rsidRPr="00FF7AD4">
        <w:t>to delegate Land Council functions</w:t>
      </w:r>
    </w:p>
    <w:p w14:paraId="0C3D2B06" w14:textId="4F488342" w:rsidR="00FF7AD4" w:rsidRPr="00D53F9D" w:rsidRDefault="006C21E2" w:rsidP="001E6542">
      <w:pPr>
        <w:spacing w:after="160" w:line="240" w:lineRule="auto"/>
        <w:rPr>
          <w:color w:val="auto"/>
          <w:sz w:val="22"/>
          <w:szCs w:val="24"/>
        </w:rPr>
      </w:pPr>
      <w:r w:rsidRPr="00D53F9D">
        <w:rPr>
          <w:color w:val="auto"/>
          <w:sz w:val="22"/>
          <w:szCs w:val="24"/>
        </w:rPr>
        <w:t xml:space="preserve">The removal of unused powers that enable the delegation of Land Council functions to organisations outside of the </w:t>
      </w:r>
      <w:r w:rsidR="004E6AFF" w:rsidRPr="00D53F9D">
        <w:rPr>
          <w:color w:val="auto"/>
          <w:sz w:val="22"/>
          <w:szCs w:val="24"/>
        </w:rPr>
        <w:t>ALRA</w:t>
      </w:r>
      <w:r w:rsidR="00966EA6" w:rsidRPr="00D53F9D">
        <w:rPr>
          <w:color w:val="auto"/>
          <w:sz w:val="22"/>
          <w:szCs w:val="24"/>
        </w:rPr>
        <w:t xml:space="preserve"> system</w:t>
      </w:r>
      <w:r w:rsidRPr="00D53F9D">
        <w:rPr>
          <w:color w:val="auto"/>
          <w:sz w:val="22"/>
          <w:szCs w:val="24"/>
        </w:rPr>
        <w:t xml:space="preserve"> provide</w:t>
      </w:r>
      <w:r w:rsidR="00BD7885" w:rsidRPr="00D53F9D">
        <w:rPr>
          <w:color w:val="auto"/>
          <w:sz w:val="22"/>
          <w:szCs w:val="24"/>
        </w:rPr>
        <w:t>s</w:t>
      </w:r>
      <w:r w:rsidRPr="00D53F9D">
        <w:rPr>
          <w:color w:val="auto"/>
          <w:sz w:val="22"/>
          <w:szCs w:val="24"/>
        </w:rPr>
        <w:t xml:space="preserve"> certainty, strengthen</w:t>
      </w:r>
      <w:r w:rsidR="00BD7885" w:rsidRPr="00D53F9D">
        <w:rPr>
          <w:color w:val="auto"/>
          <w:sz w:val="22"/>
          <w:szCs w:val="24"/>
        </w:rPr>
        <w:t>s</w:t>
      </w:r>
      <w:r w:rsidRPr="00D53F9D">
        <w:rPr>
          <w:color w:val="auto"/>
          <w:sz w:val="22"/>
          <w:szCs w:val="24"/>
        </w:rPr>
        <w:t xml:space="preserve"> the </w:t>
      </w:r>
      <w:r w:rsidR="004E6AFF" w:rsidRPr="00D53F9D">
        <w:rPr>
          <w:color w:val="auto"/>
          <w:sz w:val="22"/>
          <w:szCs w:val="24"/>
        </w:rPr>
        <w:t>ALRA</w:t>
      </w:r>
      <w:r w:rsidRPr="00D53F9D">
        <w:rPr>
          <w:color w:val="auto"/>
          <w:sz w:val="22"/>
          <w:szCs w:val="24"/>
        </w:rPr>
        <w:t xml:space="preserve"> and make</w:t>
      </w:r>
      <w:r w:rsidR="00BD7885" w:rsidRPr="00D53F9D">
        <w:rPr>
          <w:color w:val="auto"/>
          <w:sz w:val="22"/>
          <w:szCs w:val="24"/>
        </w:rPr>
        <w:t>s</w:t>
      </w:r>
      <w:r w:rsidRPr="00D53F9D">
        <w:rPr>
          <w:color w:val="auto"/>
          <w:sz w:val="22"/>
          <w:szCs w:val="24"/>
        </w:rPr>
        <w:t xml:space="preserve"> clear that community entity township leasing is the preferred model for local control.</w:t>
      </w:r>
      <w:r w:rsidR="00456B6B" w:rsidRPr="00D53F9D">
        <w:rPr>
          <w:color w:val="auto"/>
          <w:sz w:val="22"/>
          <w:szCs w:val="24"/>
        </w:rPr>
        <w:t xml:space="preserve"> </w:t>
      </w:r>
      <w:r w:rsidR="002805C0" w:rsidRPr="00D53F9D">
        <w:rPr>
          <w:color w:val="auto"/>
          <w:sz w:val="22"/>
          <w:szCs w:val="24"/>
        </w:rPr>
        <w:t xml:space="preserve"> </w:t>
      </w:r>
    </w:p>
    <w:p w14:paraId="21A833A3" w14:textId="77777777" w:rsidR="00501AD6" w:rsidRPr="00D53F9D" w:rsidRDefault="00B25121" w:rsidP="00D53F9D">
      <w:pPr>
        <w:pStyle w:val="Heading2"/>
        <w:spacing w:after="0"/>
      </w:pPr>
      <w:r>
        <w:t>Improve</w:t>
      </w:r>
      <w:r w:rsidR="006C21E2">
        <w:t xml:space="preserve"> the workability of </w:t>
      </w:r>
      <w:r w:rsidR="00993E35" w:rsidRPr="00FF7AD4">
        <w:t>the</w:t>
      </w:r>
      <w:r w:rsidR="006D5918" w:rsidRPr="00FF7AD4">
        <w:t xml:space="preserve"> permit system</w:t>
      </w:r>
    </w:p>
    <w:p w14:paraId="4CD1BF5E" w14:textId="3159E462" w:rsidR="001E6542" w:rsidRPr="00D53F9D" w:rsidRDefault="006B6B1D" w:rsidP="001E6542">
      <w:pPr>
        <w:spacing w:after="160" w:line="240" w:lineRule="auto"/>
        <w:rPr>
          <w:color w:val="auto"/>
          <w:sz w:val="22"/>
          <w:szCs w:val="24"/>
        </w:rPr>
      </w:pPr>
      <w:r w:rsidRPr="00D53F9D">
        <w:rPr>
          <w:color w:val="auto"/>
          <w:sz w:val="22"/>
          <w:szCs w:val="24"/>
        </w:rPr>
        <w:t>The reforms enable</w:t>
      </w:r>
      <w:r w:rsidR="00501AD6" w:rsidRPr="00D53F9D">
        <w:rPr>
          <w:color w:val="auto"/>
          <w:sz w:val="22"/>
          <w:szCs w:val="24"/>
        </w:rPr>
        <w:t xml:space="preserve"> </w:t>
      </w:r>
      <w:r w:rsidR="00CA4A8C" w:rsidRPr="00D53F9D">
        <w:rPr>
          <w:color w:val="auto"/>
          <w:sz w:val="22"/>
          <w:szCs w:val="24"/>
        </w:rPr>
        <w:t>Land Councils to revoke</w:t>
      </w:r>
      <w:r w:rsidR="00501AD6" w:rsidRPr="00D53F9D">
        <w:rPr>
          <w:color w:val="auto"/>
          <w:sz w:val="22"/>
          <w:szCs w:val="24"/>
        </w:rPr>
        <w:t xml:space="preserve"> permits for access to Aboriginal land </w:t>
      </w:r>
      <w:r w:rsidR="00966EA6" w:rsidRPr="00D53F9D">
        <w:rPr>
          <w:color w:val="auto"/>
          <w:sz w:val="22"/>
          <w:szCs w:val="24"/>
        </w:rPr>
        <w:t xml:space="preserve">when needed. </w:t>
      </w:r>
      <w:r w:rsidR="004E6AFF" w:rsidRPr="00D53F9D">
        <w:rPr>
          <w:color w:val="auto"/>
          <w:sz w:val="22"/>
          <w:szCs w:val="24"/>
        </w:rPr>
        <w:t>This improve</w:t>
      </w:r>
      <w:r w:rsidR="00BD7885" w:rsidRPr="00D53F9D">
        <w:rPr>
          <w:color w:val="auto"/>
          <w:sz w:val="22"/>
          <w:szCs w:val="24"/>
        </w:rPr>
        <w:t>s</w:t>
      </w:r>
      <w:r w:rsidR="004E6AFF" w:rsidRPr="00D53F9D">
        <w:rPr>
          <w:color w:val="auto"/>
          <w:sz w:val="22"/>
          <w:szCs w:val="24"/>
        </w:rPr>
        <w:t xml:space="preserve"> the functionality of the permit system, which has helped keep communities safe from COVID</w:t>
      </w:r>
      <w:r w:rsidR="00BD7885" w:rsidRPr="00D53F9D">
        <w:rPr>
          <w:color w:val="auto"/>
          <w:sz w:val="22"/>
          <w:szCs w:val="24"/>
        </w:rPr>
        <w:t>-</w:t>
      </w:r>
      <w:r w:rsidR="004E6AFF" w:rsidRPr="00D53F9D">
        <w:rPr>
          <w:color w:val="auto"/>
          <w:sz w:val="22"/>
          <w:szCs w:val="24"/>
        </w:rPr>
        <w:t>19.</w:t>
      </w:r>
      <w:r w:rsidR="001E6542" w:rsidRPr="00D53F9D">
        <w:rPr>
          <w:color w:val="auto"/>
          <w:sz w:val="22"/>
          <w:szCs w:val="24"/>
        </w:rPr>
        <w:t xml:space="preserve"> Land Councils are best placed to resolve disputes within traditional owner groups through their role in administering the ALRA.</w:t>
      </w:r>
    </w:p>
    <w:p w14:paraId="65AE302E" w14:textId="0C9F8592" w:rsidR="00F43342" w:rsidRPr="00D53F9D" w:rsidRDefault="001E6542" w:rsidP="00F43342">
      <w:pPr>
        <w:spacing w:after="160" w:line="240" w:lineRule="auto"/>
        <w:rPr>
          <w:color w:val="auto"/>
          <w:sz w:val="22"/>
          <w:szCs w:val="24"/>
        </w:rPr>
      </w:pPr>
      <w:r w:rsidRPr="00D53F9D">
        <w:rPr>
          <w:color w:val="auto"/>
          <w:sz w:val="22"/>
          <w:szCs w:val="24"/>
        </w:rPr>
        <w:t>The penalties for unauthorised access to Aboriginal land will incre</w:t>
      </w:r>
      <w:r w:rsidR="00E47401" w:rsidRPr="00D53F9D">
        <w:rPr>
          <w:color w:val="auto"/>
          <w:sz w:val="22"/>
          <w:szCs w:val="24"/>
        </w:rPr>
        <w:t>ase from 10 penalty units to 50 </w:t>
      </w:r>
      <w:r w:rsidRPr="00D53F9D">
        <w:rPr>
          <w:color w:val="auto"/>
          <w:sz w:val="22"/>
          <w:szCs w:val="24"/>
        </w:rPr>
        <w:t xml:space="preserve">penalty units to deter people from unlawfully entering or remaining on Aboriginal land. </w:t>
      </w:r>
      <w:r w:rsidR="00DF7526" w:rsidRPr="00D53F9D">
        <w:rPr>
          <w:color w:val="auto"/>
          <w:sz w:val="22"/>
          <w:szCs w:val="24"/>
        </w:rPr>
        <w:t xml:space="preserve">The maximum penalty will rise from $2,220 to $11,100. </w:t>
      </w:r>
      <w:r w:rsidRPr="00D53F9D">
        <w:rPr>
          <w:color w:val="auto"/>
          <w:sz w:val="22"/>
          <w:szCs w:val="24"/>
        </w:rPr>
        <w:t xml:space="preserve">This </w:t>
      </w:r>
      <w:r w:rsidR="00DF7526" w:rsidRPr="00D53F9D">
        <w:rPr>
          <w:color w:val="auto"/>
          <w:sz w:val="22"/>
          <w:szCs w:val="24"/>
        </w:rPr>
        <w:t xml:space="preserve">will </w:t>
      </w:r>
      <w:r w:rsidRPr="00D53F9D">
        <w:rPr>
          <w:color w:val="auto"/>
          <w:sz w:val="22"/>
          <w:szCs w:val="24"/>
        </w:rPr>
        <w:t>assist to protect areas of cultural and environmental significance.</w:t>
      </w:r>
      <w:r w:rsidRPr="00D53F9D" w:rsidDel="00A235DA">
        <w:rPr>
          <w:color w:val="auto"/>
          <w:sz w:val="22"/>
          <w:szCs w:val="24"/>
        </w:rPr>
        <w:t xml:space="preserve"> </w:t>
      </w:r>
      <w:r w:rsidR="00F43342" w:rsidRPr="00D53F9D">
        <w:rPr>
          <w:color w:val="auto"/>
          <w:sz w:val="22"/>
          <w:szCs w:val="24"/>
        </w:rPr>
        <w:t xml:space="preserve">There is a 12 month delay in commencement of this provision so that </w:t>
      </w:r>
      <w:proofErr w:type="gramStart"/>
      <w:r w:rsidR="00F43342" w:rsidRPr="00D53F9D">
        <w:rPr>
          <w:color w:val="auto"/>
          <w:sz w:val="22"/>
          <w:szCs w:val="24"/>
        </w:rPr>
        <w:t>the</w:t>
      </w:r>
      <w:proofErr w:type="gramEnd"/>
      <w:r w:rsidR="00F43342" w:rsidRPr="00D53F9D">
        <w:rPr>
          <w:color w:val="auto"/>
          <w:sz w:val="22"/>
          <w:szCs w:val="24"/>
        </w:rPr>
        <w:t xml:space="preserve"> NT Government has time to amend the Aboriginal Land Act 1978 for consistency. </w:t>
      </w:r>
    </w:p>
    <w:p w14:paraId="365DCA22" w14:textId="77777777" w:rsidR="008C6029" w:rsidRPr="00D53F9D" w:rsidRDefault="008C6029" w:rsidP="00D53F9D">
      <w:pPr>
        <w:pStyle w:val="Heading2"/>
        <w:spacing w:after="0"/>
      </w:pPr>
      <w:r>
        <w:t>Improve leasing certainty for land in escrow</w:t>
      </w:r>
    </w:p>
    <w:p w14:paraId="472045CE" w14:textId="6A4927DC" w:rsidR="008C6029" w:rsidRPr="00D53F9D" w:rsidRDefault="008C6029" w:rsidP="001E6542">
      <w:pPr>
        <w:spacing w:after="160" w:line="240" w:lineRule="auto"/>
        <w:rPr>
          <w:color w:val="auto"/>
          <w:sz w:val="22"/>
          <w:szCs w:val="24"/>
        </w:rPr>
      </w:pPr>
      <w:r w:rsidRPr="00D53F9D">
        <w:rPr>
          <w:color w:val="auto"/>
          <w:sz w:val="22"/>
          <w:szCs w:val="24"/>
        </w:rPr>
        <w:t>T</w:t>
      </w:r>
      <w:r w:rsidR="006B6B1D" w:rsidRPr="00D53F9D">
        <w:rPr>
          <w:color w:val="auto"/>
          <w:sz w:val="22"/>
          <w:szCs w:val="24"/>
        </w:rPr>
        <w:t>he reforms improve certainty for people living or investing in mining towns in the NT that are transitioning</w:t>
      </w:r>
      <w:r w:rsidR="00BD7885" w:rsidRPr="00D53F9D">
        <w:rPr>
          <w:color w:val="auto"/>
          <w:sz w:val="22"/>
          <w:szCs w:val="24"/>
        </w:rPr>
        <w:t xml:space="preserve"> to a post-mining future. They </w:t>
      </w:r>
      <w:r w:rsidR="006B6B1D" w:rsidRPr="00D53F9D">
        <w:rPr>
          <w:color w:val="auto"/>
          <w:sz w:val="22"/>
          <w:szCs w:val="24"/>
        </w:rPr>
        <w:t>clarify that a Land C</w:t>
      </w:r>
      <w:r w:rsidRPr="00D53F9D">
        <w:rPr>
          <w:color w:val="auto"/>
          <w:sz w:val="22"/>
          <w:szCs w:val="24"/>
        </w:rPr>
        <w:t xml:space="preserve">ouncil can </w:t>
      </w:r>
      <w:r w:rsidR="006B6B1D" w:rsidRPr="00D53F9D">
        <w:rPr>
          <w:color w:val="auto"/>
          <w:sz w:val="22"/>
          <w:szCs w:val="24"/>
        </w:rPr>
        <w:t>give directions to a Land T</w:t>
      </w:r>
      <w:r w:rsidRPr="00D53F9D">
        <w:rPr>
          <w:color w:val="auto"/>
          <w:sz w:val="22"/>
          <w:szCs w:val="24"/>
        </w:rPr>
        <w:t xml:space="preserve">rust to enter into an agreement over Aboriginal land held in escrow. </w:t>
      </w:r>
      <w:r w:rsidR="006B6B1D" w:rsidRPr="00D53F9D">
        <w:rPr>
          <w:color w:val="auto"/>
          <w:sz w:val="22"/>
          <w:szCs w:val="24"/>
        </w:rPr>
        <w:t xml:space="preserve">This </w:t>
      </w:r>
      <w:r w:rsidR="00D84DFE" w:rsidRPr="00D53F9D">
        <w:rPr>
          <w:color w:val="auto"/>
          <w:sz w:val="22"/>
          <w:szCs w:val="24"/>
        </w:rPr>
        <w:t>give</w:t>
      </w:r>
      <w:r w:rsidR="00BD7885" w:rsidRPr="00D53F9D">
        <w:rPr>
          <w:color w:val="auto"/>
          <w:sz w:val="22"/>
          <w:szCs w:val="24"/>
        </w:rPr>
        <w:t>s</w:t>
      </w:r>
      <w:r w:rsidR="00D84DFE" w:rsidRPr="00D53F9D">
        <w:rPr>
          <w:color w:val="auto"/>
          <w:sz w:val="22"/>
          <w:szCs w:val="24"/>
        </w:rPr>
        <w:t xml:space="preserve"> people wanting to remain in the town security of tenure by enabling</w:t>
      </w:r>
      <w:r w:rsidR="006B6B1D" w:rsidRPr="00D53F9D">
        <w:rPr>
          <w:color w:val="auto"/>
          <w:sz w:val="22"/>
          <w:szCs w:val="24"/>
        </w:rPr>
        <w:t xml:space="preserve"> </w:t>
      </w:r>
      <w:r w:rsidRPr="00D53F9D">
        <w:rPr>
          <w:color w:val="auto"/>
          <w:sz w:val="22"/>
          <w:szCs w:val="24"/>
        </w:rPr>
        <w:t xml:space="preserve">agreements </w:t>
      </w:r>
      <w:r w:rsidR="00D84DFE" w:rsidRPr="00D53F9D">
        <w:rPr>
          <w:color w:val="auto"/>
          <w:sz w:val="22"/>
          <w:szCs w:val="24"/>
        </w:rPr>
        <w:t>to</w:t>
      </w:r>
      <w:r w:rsidR="006B6B1D" w:rsidRPr="00D53F9D">
        <w:rPr>
          <w:color w:val="auto"/>
          <w:sz w:val="22"/>
          <w:szCs w:val="24"/>
        </w:rPr>
        <w:t xml:space="preserve"> be made </w:t>
      </w:r>
      <w:r w:rsidRPr="00D53F9D">
        <w:rPr>
          <w:color w:val="auto"/>
          <w:sz w:val="22"/>
          <w:szCs w:val="24"/>
        </w:rPr>
        <w:t>about the future use of land held under escrow before existing leases ex</w:t>
      </w:r>
      <w:r w:rsidR="00D84DFE" w:rsidRPr="00D53F9D">
        <w:rPr>
          <w:color w:val="auto"/>
          <w:sz w:val="22"/>
          <w:szCs w:val="24"/>
        </w:rPr>
        <w:t xml:space="preserve">pire or have been surrendered. </w:t>
      </w:r>
    </w:p>
    <w:p w14:paraId="3C22C64E" w14:textId="77777777" w:rsidR="001E6542" w:rsidRDefault="001E6542" w:rsidP="00D53F9D">
      <w:pPr>
        <w:pStyle w:val="Heading2"/>
        <w:spacing w:after="0"/>
      </w:pPr>
      <w:r w:rsidRPr="001E6542">
        <w:t>Accelerate the ability for Land Councils to enter into contracts</w:t>
      </w:r>
    </w:p>
    <w:p w14:paraId="1D1E6957" w14:textId="131BC48D" w:rsidR="001E6542" w:rsidRPr="00D53F9D" w:rsidRDefault="001E6542" w:rsidP="001E6542">
      <w:pPr>
        <w:spacing w:after="160" w:line="240" w:lineRule="auto"/>
        <w:rPr>
          <w:color w:val="auto"/>
          <w:sz w:val="22"/>
          <w:szCs w:val="24"/>
        </w:rPr>
      </w:pPr>
      <w:r w:rsidRPr="00D53F9D">
        <w:rPr>
          <w:color w:val="auto"/>
          <w:sz w:val="22"/>
          <w:szCs w:val="24"/>
        </w:rPr>
        <w:t>The amendments increase the threshold for Land Councils to enter into a contract without Ministerial approval</w:t>
      </w:r>
      <w:r w:rsidR="00CE5DC7" w:rsidRPr="00D53F9D">
        <w:rPr>
          <w:color w:val="auto"/>
          <w:sz w:val="22"/>
          <w:szCs w:val="24"/>
        </w:rPr>
        <w:t xml:space="preserve"> from $1 million</w:t>
      </w:r>
      <w:r w:rsidRPr="00D53F9D">
        <w:rPr>
          <w:color w:val="auto"/>
          <w:sz w:val="22"/>
          <w:szCs w:val="24"/>
        </w:rPr>
        <w:t xml:space="preserve"> to $5 million to prevent unnecessary delay and provide flexibility and greater autonomy.</w:t>
      </w:r>
    </w:p>
    <w:p w14:paraId="32BC01A1" w14:textId="77777777" w:rsidR="008C6029" w:rsidRPr="00D53F9D" w:rsidRDefault="008C6029" w:rsidP="00D53F9D">
      <w:pPr>
        <w:pStyle w:val="Heading2"/>
        <w:spacing w:after="0"/>
      </w:pPr>
      <w:r>
        <w:t>Ensure compliance with Constitutional rules for debiting Commonwealth money</w:t>
      </w:r>
    </w:p>
    <w:p w14:paraId="5C47F386" w14:textId="4217F1F6" w:rsidR="00B25121" w:rsidRPr="001E6542" w:rsidRDefault="008C6029" w:rsidP="001E6542">
      <w:pPr>
        <w:spacing w:after="160" w:line="240" w:lineRule="auto"/>
        <w:rPr>
          <w:rFonts w:cstheme="minorHAnsi"/>
          <w:bCs/>
          <w:color w:val="auto"/>
          <w:sz w:val="24"/>
          <w:szCs w:val="24"/>
        </w:rPr>
      </w:pPr>
      <w:r w:rsidRPr="00D53F9D">
        <w:rPr>
          <w:color w:val="auto"/>
          <w:sz w:val="22"/>
          <w:szCs w:val="24"/>
        </w:rPr>
        <w:t>The reforms include technical amendments to clarify that certain debits from the ABA comply in all circumstances with the Australian Constitution.</w:t>
      </w:r>
    </w:p>
    <w:sectPr w:rsidR="00B25121" w:rsidRPr="001E6542" w:rsidSect="00D53F9D">
      <w:headerReference w:type="default" r:id="rId12"/>
      <w:footerReference w:type="default" r:id="rId13"/>
      <w:headerReference w:type="first" r:id="rId14"/>
      <w:pgSz w:w="11906" w:h="16838"/>
      <w:pgMar w:top="720" w:right="720" w:bottom="284" w:left="72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A4091" w14:textId="77777777" w:rsidR="005A2AC4" w:rsidRDefault="005A2AC4" w:rsidP="00B95533">
      <w:pPr>
        <w:spacing w:after="0" w:line="240" w:lineRule="auto"/>
      </w:pPr>
      <w:r>
        <w:separator/>
      </w:r>
    </w:p>
  </w:endnote>
  <w:endnote w:type="continuationSeparator" w:id="0">
    <w:p w14:paraId="1D10A3E4" w14:textId="77777777" w:rsidR="005A2AC4" w:rsidRDefault="005A2A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5ADE2" w14:textId="77777777" w:rsidR="00CE5DC7" w:rsidRPr="00B87E45" w:rsidRDefault="00CE5DC7" w:rsidP="001007B9">
    <w:pPr>
      <w:pStyle w:val="ProtectiveMarking"/>
    </w:pPr>
  </w:p>
  <w:p w14:paraId="01FC858E" w14:textId="77777777" w:rsidR="00CE5DC7" w:rsidRPr="00A477A0" w:rsidRDefault="00CE5DC7" w:rsidP="004B5EA1">
    <w:pPr>
      <w:pStyle w:val="Footerline"/>
      <w:tabs>
        <w:tab w:val="left" w:pos="3796"/>
      </w:tabs>
      <w:rPr>
        <w:color w:val="014463" w:themeColor="text2"/>
      </w:rPr>
    </w:pPr>
    <w:r w:rsidRPr="00A477A0">
      <w:rPr>
        <w:color w:val="014463" w:themeColor="text2"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0021310E" wp14:editId="31B2CF6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331200" cy="727200"/>
              <wp:effectExtent l="0" t="0" r="12065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00" cy="72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A32AA" w14:textId="11248BE8" w:rsidR="00CE5DC7" w:rsidRPr="00F97B14" w:rsidRDefault="00CE5DC7" w:rsidP="00281E3E">
                          <w:pPr>
                            <w:pStyle w:val="Footer"/>
                            <w:spacing w:after="0"/>
                            <w:jc w:val="right"/>
                            <w:rPr>
                              <w:color w:val="25303B" w:themeColor="accent1"/>
                            </w:rPr>
                          </w:pPr>
                          <w:r w:rsidRPr="00F97B14">
                            <w:rPr>
                              <w:color w:val="25303B" w:themeColor="accent1"/>
                            </w:rPr>
                            <w:fldChar w:fldCharType="begin"/>
                          </w:r>
                          <w:r w:rsidRPr="00F97B14">
                            <w:rPr>
                              <w:color w:val="25303B" w:themeColor="accent1"/>
                            </w:rPr>
                            <w:instrText xml:space="preserve"> PAGE   \* MERGEFORMAT </w:instrTex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separate"/>
                          </w:r>
                          <w:r w:rsidR="00D53F9D">
                            <w:rPr>
                              <w:noProof/>
                              <w:color w:val="25303B" w:themeColor="accent1"/>
                            </w:rPr>
                            <w:t>2</w:t>
                          </w:r>
                          <w:r w:rsidRPr="00F97B14">
                            <w:rPr>
                              <w:color w:val="25303B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213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1pt;margin-top:0;width:26.1pt;height:5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" filled="f" stroked="f">
              <v:textbox inset="0,0,0,0">
                <w:txbxContent>
                  <w:p w14:paraId="206A32AA" w14:textId="11248BE8" w:rsidR="00CE5DC7" w:rsidRPr="00F97B14" w:rsidRDefault="00CE5DC7" w:rsidP="00281E3E">
                    <w:pPr>
                      <w:pStyle w:val="Footer"/>
                      <w:spacing w:after="0"/>
                      <w:jc w:val="right"/>
                      <w:rPr>
                        <w:color w:val="25303B" w:themeColor="accent1"/>
                      </w:rPr>
                    </w:pPr>
                    <w:r w:rsidRPr="00F97B14">
                      <w:rPr>
                        <w:color w:val="25303B" w:themeColor="accent1"/>
                      </w:rPr>
                      <w:fldChar w:fldCharType="begin"/>
                    </w:r>
                    <w:r w:rsidRPr="00F97B14">
                      <w:rPr>
                        <w:color w:val="25303B" w:themeColor="accent1"/>
                      </w:rPr>
                      <w:instrText xml:space="preserve"> PAGE   \* MERGEFORMAT </w:instrText>
                    </w:r>
                    <w:r w:rsidRPr="00F97B14">
                      <w:rPr>
                        <w:color w:val="25303B" w:themeColor="accent1"/>
                      </w:rPr>
                      <w:fldChar w:fldCharType="separate"/>
                    </w:r>
                    <w:r w:rsidR="00D53F9D">
                      <w:rPr>
                        <w:noProof/>
                        <w:color w:val="25303B" w:themeColor="accent1"/>
                      </w:rPr>
                      <w:t>2</w:t>
                    </w:r>
                    <w:r w:rsidRPr="00F97B14">
                      <w:rPr>
                        <w:color w:val="25303B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color w:val="014463" w:themeColor="text2"/>
      </w:rPr>
      <w:tab/>
    </w:r>
  </w:p>
  <w:p w14:paraId="252662ED" w14:textId="77777777" w:rsidR="00CE5DC7" w:rsidRPr="0040648D" w:rsidRDefault="00CE5DC7" w:rsidP="00281E3E">
    <w:pPr>
      <w:pStyle w:val="Footer"/>
      <w:rPr>
        <w:color w:val="25303B" w:themeColor="accent1"/>
      </w:rPr>
    </w:pPr>
    <w:r w:rsidRPr="0040648D">
      <w:rPr>
        <w:color w:val="25303B" w:themeColor="accent1"/>
      </w:rPr>
      <w:t xml:space="preserve">NIAA | </w:t>
    </w:r>
    <w:sdt>
      <w:sdtPr>
        <w:rPr>
          <w:color w:val="25303B" w:themeColor="accent1"/>
        </w:rPr>
        <w:alias w:val="Section Name"/>
        <w:tag w:val="SectionName"/>
        <w:id w:val="-686367629"/>
        <w:showingPlcHdr/>
        <w:dataBinding w:xpath="/root[1]/SectionName[1]" w:storeItemID="{F533AE62-A212-4B26-92DA-A3B336E8AE06}"/>
        <w:text/>
      </w:sdtPr>
      <w:sdtEndPr/>
      <w:sdtContent>
        <w:r w:rsidR="00E47401">
          <w:rPr>
            <w:color w:val="25303B" w:themeColor="accent1"/>
          </w:rPr>
          <w:t xml:space="preserve">     </w:t>
        </w:r>
      </w:sdtContent>
    </w:sdt>
    <w:r w:rsidRPr="0040648D">
      <w:rPr>
        <w:color w:val="25303B" w:themeColor="accent1"/>
      </w:rPr>
      <w:t xml:space="preserve"> </w:t>
    </w:r>
    <w:r>
      <w:rPr>
        <w:color w:val="25303B" w:themeColor="accent1"/>
      </w:rPr>
      <w:t>ALRA reform: land administration</w:t>
    </w:r>
    <w:r w:rsidR="00E47401">
      <w:rPr>
        <w:color w:val="25303B" w:themeColor="accent1"/>
      </w:rPr>
      <w:t xml:space="preserve"> </w:t>
    </w:r>
    <w:r w:rsidR="00E47401" w:rsidRPr="00E47401">
      <w:rPr>
        <w:color w:val="25303B" w:themeColor="accent1"/>
      </w:rPr>
      <w:t>and local control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70662" w14:textId="77777777" w:rsidR="005A2AC4" w:rsidRPr="007A6FC6" w:rsidRDefault="005A2AC4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separator/>
      </w:r>
    </w:p>
  </w:footnote>
  <w:footnote w:type="continuationSeparator" w:id="0">
    <w:p w14:paraId="388CB829" w14:textId="77777777" w:rsidR="005A2AC4" w:rsidRPr="007A6FC6" w:rsidRDefault="005A2AC4" w:rsidP="00B95533">
      <w:pPr>
        <w:spacing w:after="0" w:line="240" w:lineRule="auto"/>
        <w:rPr>
          <w:color w:val="BEA887" w:themeColor="accent2"/>
        </w:rPr>
      </w:pPr>
      <w:r w:rsidRPr="007A6FC6">
        <w:rPr>
          <w:color w:val="BEA887" w:themeColor="accent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89D7" w14:textId="77777777" w:rsidR="00CE5DC7" w:rsidRDefault="00CE5DC7" w:rsidP="00B95533">
    <w:pPr>
      <w:spacing w:after="0" w:line="240" w:lineRule="auto"/>
    </w:pPr>
    <w:r>
      <w:continuationSeparator/>
    </w:r>
  </w:p>
  <w:p w14:paraId="687ECDBA" w14:textId="77777777" w:rsidR="00CE5DC7" w:rsidRDefault="00D53F9D" w:rsidP="00CE5DC7">
    <w:pPr>
      <w:pStyle w:val="ProtectiveMarking"/>
    </w:pPr>
    <w:sdt>
      <w:sdtPr>
        <w:alias w:val="Classification"/>
        <w:tag w:val="Classification"/>
        <w:id w:val="928778366"/>
        <w:showingPlcHdr/>
        <w:dataBinding w:xpath="/root[1]/Classification[1]" w:storeItemID="{F533AE62-A212-4B26-92DA-A3B336E8AE06}"/>
        <w:text/>
      </w:sdtPr>
      <w:sdtEndPr/>
      <w:sdtContent>
        <w:r w:rsidR="00CE5DC7">
          <w:t xml:space="preserve">     </w:t>
        </w:r>
      </w:sdtContent>
    </w:sdt>
  </w:p>
  <w:p w14:paraId="63A7437E" w14:textId="77777777" w:rsidR="00CE5DC7" w:rsidRDefault="00CE5DC7">
    <w:pPr>
      <w:pStyle w:val="Header"/>
    </w:pPr>
  </w:p>
  <w:p w14:paraId="22D51A55" w14:textId="77777777" w:rsidR="00CE5DC7" w:rsidRDefault="00CE5D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2DDED" w14:textId="77777777" w:rsidR="00CE5DC7" w:rsidRPr="00D53F9D" w:rsidRDefault="00CE5DC7">
    <w:pPr>
      <w:pStyle w:val="Header"/>
      <w:rPr>
        <w:sz w:val="2"/>
        <w:szCs w:val="2"/>
      </w:rPr>
    </w:pPr>
    <w:r w:rsidRPr="00D53F9D">
      <w:rPr>
        <w:noProof/>
        <w:sz w:val="2"/>
        <w:szCs w:val="2"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25824" behindDoc="0" locked="0" layoutInCell="1" allowOverlap="1" wp14:anchorId="4A1E50F9" wp14:editId="215C782B">
          <wp:simplePos x="0" y="0"/>
          <wp:positionH relativeFrom="page">
            <wp:posOffset>535305</wp:posOffset>
          </wp:positionH>
          <wp:positionV relativeFrom="page">
            <wp:posOffset>257175</wp:posOffset>
          </wp:positionV>
          <wp:extent cx="2118360" cy="640080"/>
          <wp:effectExtent l="0" t="0" r="0" b="7620"/>
          <wp:wrapNone/>
          <wp:docPr id="10" name="Graphic 19" descr="Australian Government | National Indigenous Australians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F9D">
      <w:rPr>
        <w:noProof/>
        <w:sz w:val="2"/>
        <w:szCs w:val="2"/>
        <w:lang w:eastAsia="en-AU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F41A82A" wp14:editId="6F324BF4">
              <wp:simplePos x="0" y="0"/>
              <wp:positionH relativeFrom="page">
                <wp:posOffset>2852738</wp:posOffset>
              </wp:positionH>
              <wp:positionV relativeFrom="page">
                <wp:posOffset>290513</wp:posOffset>
              </wp:positionV>
              <wp:extent cx="0" cy="620077"/>
              <wp:effectExtent l="0" t="0" r="38100" b="27940"/>
              <wp:wrapNone/>
              <wp:docPr id="55" name="Straight Connector 55" descr="White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0077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9251D" id="Straight Connector 55" o:spid="_x0000_s1026" alt="White line" style="position:absolute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4.65pt,22.9pt" to="224.6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" strokecolor="white [3212]">
              <v:stroke joinstyle="miter"/>
              <w10:wrap anchorx="page" anchory="page"/>
            </v:line>
          </w:pict>
        </mc:Fallback>
      </mc:AlternateContent>
    </w:r>
    <w:r w:rsidRPr="00D53F9D">
      <w:rPr>
        <w:noProof/>
        <w:sz w:val="2"/>
        <w:szCs w:val="2"/>
        <w:lang w:eastAsia="en-AU"/>
      </w:rPr>
      <mc:AlternateContent>
        <mc:Choice Requires="wps">
          <w:drawing>
            <wp:anchor distT="45720" distB="45720" distL="114300" distR="114300" simplePos="0" relativeHeight="251727872" behindDoc="0" locked="1" layoutInCell="1" allowOverlap="1" wp14:anchorId="32491E94" wp14:editId="3A26D21B">
              <wp:simplePos x="0" y="0"/>
              <wp:positionH relativeFrom="page">
                <wp:posOffset>0</wp:posOffset>
              </wp:positionH>
              <wp:positionV relativeFrom="page">
                <wp:posOffset>1153160</wp:posOffset>
              </wp:positionV>
              <wp:extent cx="3096000" cy="143510"/>
              <wp:effectExtent l="0" t="0" r="9525" b="8890"/>
              <wp:wrapNone/>
              <wp:docPr id="5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6000" cy="1435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38CF6" w14:textId="77777777" w:rsidR="00CE5DC7" w:rsidRPr="00602577" w:rsidRDefault="00CE5DC7" w:rsidP="009672EB">
                          <w:pPr>
                            <w:spacing w:after="0" w:line="240" w:lineRule="auto"/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</w:pPr>
                          <w:r w:rsidRPr="00602577">
                            <w:rPr>
                              <w:i/>
                              <w:iCs/>
                              <w:color w:val="BCBCBC" w:themeColor="background2" w:themeShade="E6"/>
                              <w:sz w:val="16"/>
                              <w:szCs w:val="16"/>
                            </w:rPr>
                            <w:t>Working with Aboriginal and Torres Strait Islander peoples</w:t>
                          </w:r>
                        </w:p>
                      </w:txbxContent>
                    </wps:txbx>
                    <wps:bodyPr rot="0" vert="horz" wrap="square" lIns="54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91E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90.8pt;width:243.8pt;height:11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" fillcolor="white [3212]" stroked="f">
              <v:textbox inset="15mm,0,0,0">
                <w:txbxContent>
                  <w:p w14:paraId="0F038CF6" w14:textId="77777777" w:rsidR="00CE5DC7" w:rsidRPr="00602577" w:rsidRDefault="00CE5DC7" w:rsidP="009672EB">
                    <w:pPr>
                      <w:spacing w:after="0" w:line="240" w:lineRule="auto"/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</w:pPr>
                    <w:r w:rsidRPr="00602577">
                      <w:rPr>
                        <w:i/>
                        <w:iCs/>
                        <w:color w:val="BCBCBC" w:themeColor="background2" w:themeShade="E6"/>
                        <w:sz w:val="16"/>
                        <w:szCs w:val="16"/>
                      </w:rPr>
                      <w:t>Working with Aboriginal and Torres Strait Islander peoples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53F9D">
      <w:rPr>
        <w:noProof/>
        <w:sz w:val="2"/>
        <w:szCs w:val="2"/>
        <w:lang w:eastAsia="en-AU"/>
        <w14:textFill>
          <w14:gradFill>
            <w14:gsLst>
              <w14:gs w14:pos="0">
                <w14:schemeClr w14:val="accent1"/>
              </w14:gs>
              <w14:gs w14:pos="100000">
                <w14:srgbClr w14:val="25303B"/>
              </w14:gs>
            </w14:gsLst>
            <w14:lin w14:ang="0" w14:scaled="0"/>
          </w14:gradFill>
        </w14:textFill>
      </w:rPr>
      <w:drawing>
        <wp:anchor distT="0" distB="0" distL="114300" distR="114300" simplePos="0" relativeHeight="251726848" behindDoc="0" locked="1" layoutInCell="1" allowOverlap="1" wp14:anchorId="7E573471" wp14:editId="4D3D4A3E">
          <wp:simplePos x="0" y="0"/>
          <wp:positionH relativeFrom="page">
            <wp:posOffset>3016885</wp:posOffset>
          </wp:positionH>
          <wp:positionV relativeFrom="page">
            <wp:posOffset>291465</wp:posOffset>
          </wp:positionV>
          <wp:extent cx="1580400" cy="518400"/>
          <wp:effectExtent l="0" t="0" r="1270" b="0"/>
          <wp:wrapNone/>
          <wp:docPr id="11" name="Graphic 16" descr="NI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M&amp;C_strip (EPS)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3F9D">
      <w:rPr>
        <w:noProof/>
        <w:sz w:val="2"/>
        <w:szCs w:val="2"/>
        <w:lang w:eastAsia="en-AU"/>
      </w:rPr>
      <w:drawing>
        <wp:anchor distT="0" distB="0" distL="0" distR="0" simplePos="0" relativeHeight="251724800" behindDoc="0" locked="1" layoutInCell="1" allowOverlap="1" wp14:anchorId="42EAFD5D" wp14:editId="39499AE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48400" cy="1328400"/>
          <wp:effectExtent l="0" t="0" r="635" b="5715"/>
          <wp:wrapSquare wrapText="bothSides"/>
          <wp:docPr id="13" name="Graphic 11" descr="NIAA header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sv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7" t="-8562" r="-1" b="-1"/>
                  <a:stretch/>
                </pic:blipFill>
                <pic:spPr bwMode="auto">
                  <a:xfrm>
                    <a:off x="0" y="0"/>
                    <a:ext cx="7448400" cy="132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B9"/>
    <w:multiLevelType w:val="multilevel"/>
    <w:tmpl w:val="84320490"/>
    <w:styleLink w:val="BulletList"/>
    <w:lvl w:ilvl="0">
      <w:start w:val="1"/>
      <w:numFmt w:val="bullet"/>
      <w:pStyle w:val="2BulletStyleLis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5F65E3"/>
    <w:multiLevelType w:val="hybridMultilevel"/>
    <w:tmpl w:val="16E6BC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9371C"/>
    <w:multiLevelType w:val="multilevel"/>
    <w:tmpl w:val="B2D40500"/>
    <w:lvl w:ilvl="0">
      <w:start w:val="1"/>
      <w:numFmt w:val="decimal"/>
      <w:pStyle w:val="List"/>
      <w:lvlText w:val="%1"/>
      <w:lvlJc w:val="left"/>
      <w:pPr>
        <w:ind w:left="403" w:hanging="288"/>
      </w:pPr>
      <w:rPr>
        <w:rFonts w:hint="default"/>
        <w:color w:val="25303B" w:themeColor="accent1"/>
      </w:rPr>
    </w:lvl>
    <w:lvl w:ilvl="1">
      <w:start w:val="1"/>
      <w:numFmt w:val="lowerRoman"/>
      <w:lvlText w:val="%2"/>
      <w:lvlJc w:val="left"/>
      <w:pPr>
        <w:ind w:left="691" w:hanging="288"/>
      </w:pPr>
      <w:rPr>
        <w:rFonts w:hint="default"/>
        <w:color w:val="25303B" w:themeColor="accent1"/>
      </w:rPr>
    </w:lvl>
    <w:lvl w:ilvl="2">
      <w:start w:val="1"/>
      <w:numFmt w:val="upperRoman"/>
      <w:lvlText w:val="%3"/>
      <w:lvlJc w:val="left"/>
      <w:pPr>
        <w:ind w:left="979" w:hanging="288"/>
      </w:pPr>
      <w:rPr>
        <w:rFonts w:hint="default"/>
        <w:color w:val="25303B" w:themeColor="accent1"/>
      </w:rPr>
    </w:lvl>
    <w:lvl w:ilvl="3">
      <w:start w:val="1"/>
      <w:numFmt w:val="decimal"/>
      <w:lvlText w:val="%4."/>
      <w:lvlJc w:val="left"/>
      <w:pPr>
        <w:ind w:left="1267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555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843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31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9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707" w:hanging="288"/>
      </w:pPr>
      <w:rPr>
        <w:rFonts w:hint="default"/>
      </w:rPr>
    </w:lvl>
  </w:abstractNum>
  <w:abstractNum w:abstractNumId="3" w15:restartNumberingAfterBreak="0">
    <w:nsid w:val="1784511A"/>
    <w:multiLevelType w:val="multilevel"/>
    <w:tmpl w:val="EA5E96EA"/>
    <w:numStyleLink w:val="KeyPoints"/>
  </w:abstractNum>
  <w:abstractNum w:abstractNumId="4" w15:restartNumberingAfterBreak="0">
    <w:nsid w:val="21986FD1"/>
    <w:multiLevelType w:val="hybridMultilevel"/>
    <w:tmpl w:val="FE2A2D9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AC7A12"/>
    <w:multiLevelType w:val="hybridMultilevel"/>
    <w:tmpl w:val="C75E0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7826"/>
    <w:multiLevelType w:val="hybridMultilevel"/>
    <w:tmpl w:val="3774B3B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E4ED2"/>
    <w:multiLevelType w:val="hybridMultilevel"/>
    <w:tmpl w:val="12C2014C"/>
    <w:lvl w:ilvl="0" w:tplc="2C4815A2">
      <w:start w:val="1"/>
      <w:numFmt w:val="bullet"/>
      <w:lvlText w:val=""/>
      <w:lvlJc w:val="left"/>
      <w:pPr>
        <w:ind w:left="1781" w:hanging="361"/>
      </w:pPr>
      <w:rPr>
        <w:rFonts w:ascii="Symbol" w:eastAsia="Symbol" w:hAnsi="Symbol" w:hint="default"/>
        <w:sz w:val="20"/>
        <w:szCs w:val="20"/>
      </w:rPr>
    </w:lvl>
    <w:lvl w:ilvl="1" w:tplc="3C088758">
      <w:start w:val="1"/>
      <w:numFmt w:val="bullet"/>
      <w:lvlText w:val=""/>
      <w:lvlJc w:val="left"/>
      <w:pPr>
        <w:ind w:left="1856" w:hanging="361"/>
      </w:pPr>
      <w:rPr>
        <w:rFonts w:ascii="Symbol" w:eastAsia="Symbol" w:hAnsi="Symbol" w:hint="default"/>
        <w:sz w:val="20"/>
        <w:szCs w:val="20"/>
      </w:rPr>
    </w:lvl>
    <w:lvl w:ilvl="2" w:tplc="D048E800">
      <w:start w:val="1"/>
      <w:numFmt w:val="bullet"/>
      <w:lvlText w:val="•"/>
      <w:lvlJc w:val="left"/>
      <w:pPr>
        <w:ind w:left="2963" w:hanging="361"/>
      </w:pPr>
      <w:rPr>
        <w:rFonts w:hint="default"/>
      </w:rPr>
    </w:lvl>
    <w:lvl w:ilvl="3" w:tplc="041ABB46">
      <w:start w:val="1"/>
      <w:numFmt w:val="bullet"/>
      <w:lvlText w:val="•"/>
      <w:lvlJc w:val="left"/>
      <w:pPr>
        <w:ind w:left="4071" w:hanging="361"/>
      </w:pPr>
      <w:rPr>
        <w:rFonts w:hint="default"/>
      </w:rPr>
    </w:lvl>
    <w:lvl w:ilvl="4" w:tplc="F782E3A6">
      <w:start w:val="1"/>
      <w:numFmt w:val="bullet"/>
      <w:lvlText w:val="•"/>
      <w:lvlJc w:val="left"/>
      <w:pPr>
        <w:ind w:left="5179" w:hanging="361"/>
      </w:pPr>
      <w:rPr>
        <w:rFonts w:hint="default"/>
      </w:rPr>
    </w:lvl>
    <w:lvl w:ilvl="5" w:tplc="ECB8CF30">
      <w:start w:val="1"/>
      <w:numFmt w:val="bullet"/>
      <w:lvlText w:val="•"/>
      <w:lvlJc w:val="left"/>
      <w:pPr>
        <w:ind w:left="6286" w:hanging="361"/>
      </w:pPr>
      <w:rPr>
        <w:rFonts w:hint="default"/>
      </w:rPr>
    </w:lvl>
    <w:lvl w:ilvl="6" w:tplc="FE46585A">
      <w:start w:val="1"/>
      <w:numFmt w:val="bullet"/>
      <w:lvlText w:val="•"/>
      <w:lvlJc w:val="left"/>
      <w:pPr>
        <w:ind w:left="7394" w:hanging="361"/>
      </w:pPr>
      <w:rPr>
        <w:rFonts w:hint="default"/>
      </w:rPr>
    </w:lvl>
    <w:lvl w:ilvl="7" w:tplc="F1A4DC20">
      <w:start w:val="1"/>
      <w:numFmt w:val="bullet"/>
      <w:lvlText w:val="•"/>
      <w:lvlJc w:val="left"/>
      <w:pPr>
        <w:ind w:left="8502" w:hanging="361"/>
      </w:pPr>
      <w:rPr>
        <w:rFonts w:hint="default"/>
      </w:rPr>
    </w:lvl>
    <w:lvl w:ilvl="8" w:tplc="50543FE8">
      <w:start w:val="1"/>
      <w:numFmt w:val="bullet"/>
      <w:lvlText w:val="•"/>
      <w:lvlJc w:val="left"/>
      <w:pPr>
        <w:ind w:left="9609" w:hanging="361"/>
      </w:pPr>
      <w:rPr>
        <w:rFonts w:hint="default"/>
      </w:rPr>
    </w:lvl>
  </w:abstractNum>
  <w:abstractNum w:abstractNumId="8" w15:restartNumberingAfterBreak="0">
    <w:nsid w:val="37520959"/>
    <w:multiLevelType w:val="multilevel"/>
    <w:tmpl w:val="CD421864"/>
    <w:lvl w:ilvl="0">
      <w:start w:val="1"/>
      <w:numFmt w:val="decimal"/>
      <w:pStyle w:val="TableNumbering"/>
      <w:lvlText w:val="%1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Theme="minorHAnsi" w:hAnsiTheme="minorHAnsi" w:cs="Times New Roman" w:hint="default"/>
        <w:color w:val="000000" w:themeColor="text1"/>
      </w:rPr>
    </w:lvl>
    <w:lvl w:ilvl="2">
      <w:start w:val="1"/>
      <w:numFmt w:val="bullet"/>
      <w:lvlText w:val="⁚"/>
      <w:lvlJc w:val="left"/>
      <w:pPr>
        <w:ind w:left="1191" w:hanging="397"/>
      </w:pPr>
      <w:rPr>
        <w:rFonts w:ascii="Times New Roman" w:hAnsi="Times New Roman" w:cs="Times New Roman"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9" w15:restartNumberingAfterBreak="0">
    <w:nsid w:val="460E4013"/>
    <w:multiLevelType w:val="hybridMultilevel"/>
    <w:tmpl w:val="F754E6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871CF"/>
    <w:multiLevelType w:val="multilevel"/>
    <w:tmpl w:val="84320490"/>
    <w:numStyleLink w:val="BulletList"/>
  </w:abstractNum>
  <w:abstractNum w:abstractNumId="11" w15:restartNumberingAfterBreak="0">
    <w:nsid w:val="48FA6C18"/>
    <w:multiLevelType w:val="hybridMultilevel"/>
    <w:tmpl w:val="22E878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2F13F02"/>
    <w:multiLevelType w:val="hybridMultilevel"/>
    <w:tmpl w:val="DA48A7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BF47B7"/>
    <w:multiLevelType w:val="hybridMultilevel"/>
    <w:tmpl w:val="147C3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86E01"/>
    <w:multiLevelType w:val="hybridMultilevel"/>
    <w:tmpl w:val="E60C0356"/>
    <w:lvl w:ilvl="0" w:tplc="37482ECE">
      <w:start w:val="1"/>
      <w:numFmt w:val="bullet"/>
      <w:lvlText w:val=""/>
      <w:lvlJc w:val="left"/>
      <w:pPr>
        <w:ind w:left="1131" w:hanging="361"/>
      </w:pPr>
      <w:rPr>
        <w:rFonts w:ascii="Symbol" w:eastAsia="Symbol" w:hAnsi="Symbol" w:hint="default"/>
        <w:sz w:val="20"/>
        <w:szCs w:val="20"/>
      </w:rPr>
    </w:lvl>
    <w:lvl w:ilvl="1" w:tplc="F2C86A66">
      <w:start w:val="1"/>
      <w:numFmt w:val="bullet"/>
      <w:lvlText w:val=""/>
      <w:lvlJc w:val="left"/>
      <w:pPr>
        <w:ind w:left="1201" w:hanging="361"/>
      </w:pPr>
      <w:rPr>
        <w:rFonts w:ascii="Symbol" w:eastAsia="Symbol" w:hAnsi="Symbol" w:hint="default"/>
        <w:sz w:val="22"/>
        <w:szCs w:val="22"/>
      </w:rPr>
    </w:lvl>
    <w:lvl w:ilvl="2" w:tplc="66D0B6A4">
      <w:start w:val="1"/>
      <w:numFmt w:val="bullet"/>
      <w:lvlText w:val="•"/>
      <w:lvlJc w:val="left"/>
      <w:pPr>
        <w:ind w:left="2259" w:hanging="361"/>
      </w:pPr>
      <w:rPr>
        <w:rFonts w:hint="default"/>
      </w:rPr>
    </w:lvl>
    <w:lvl w:ilvl="3" w:tplc="3D3A2E8C">
      <w:start w:val="1"/>
      <w:numFmt w:val="bullet"/>
      <w:lvlText w:val="•"/>
      <w:lvlJc w:val="left"/>
      <w:pPr>
        <w:ind w:left="3317" w:hanging="361"/>
      </w:pPr>
      <w:rPr>
        <w:rFonts w:hint="default"/>
      </w:rPr>
    </w:lvl>
    <w:lvl w:ilvl="4" w:tplc="22DCBF4C">
      <w:start w:val="1"/>
      <w:numFmt w:val="bullet"/>
      <w:lvlText w:val="•"/>
      <w:lvlJc w:val="left"/>
      <w:pPr>
        <w:ind w:left="4375" w:hanging="361"/>
      </w:pPr>
      <w:rPr>
        <w:rFonts w:hint="default"/>
      </w:rPr>
    </w:lvl>
    <w:lvl w:ilvl="5" w:tplc="6922A3EE">
      <w:start w:val="1"/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707E3610">
      <w:start w:val="1"/>
      <w:numFmt w:val="bullet"/>
      <w:lvlText w:val="•"/>
      <w:lvlJc w:val="left"/>
      <w:pPr>
        <w:ind w:left="6492" w:hanging="361"/>
      </w:pPr>
      <w:rPr>
        <w:rFonts w:hint="default"/>
      </w:rPr>
    </w:lvl>
    <w:lvl w:ilvl="7" w:tplc="7D60512C">
      <w:start w:val="1"/>
      <w:numFmt w:val="bullet"/>
      <w:lvlText w:val="•"/>
      <w:lvlJc w:val="left"/>
      <w:pPr>
        <w:ind w:left="7550" w:hanging="361"/>
      </w:pPr>
      <w:rPr>
        <w:rFonts w:hint="default"/>
      </w:rPr>
    </w:lvl>
    <w:lvl w:ilvl="8" w:tplc="56D6BB78">
      <w:start w:val="1"/>
      <w:numFmt w:val="bullet"/>
      <w:lvlText w:val="•"/>
      <w:lvlJc w:val="left"/>
      <w:pPr>
        <w:ind w:left="8608" w:hanging="361"/>
      </w:pPr>
      <w:rPr>
        <w:rFonts w:hint="default"/>
      </w:rPr>
    </w:lvl>
  </w:abstractNum>
  <w:abstractNum w:abstractNumId="15" w15:restartNumberingAfterBreak="0">
    <w:nsid w:val="5D5254E4"/>
    <w:multiLevelType w:val="hybridMultilevel"/>
    <w:tmpl w:val="E5BAD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576922"/>
    <w:multiLevelType w:val="multilevel"/>
    <w:tmpl w:val="EF72936E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608F21F8"/>
    <w:multiLevelType w:val="multilevel"/>
    <w:tmpl w:val="A366291E"/>
    <w:lvl w:ilvl="0">
      <w:start w:val="1"/>
      <w:numFmt w:val="bullet"/>
      <w:pStyle w:val="BulletedListlvl1"/>
      <w:lvlText w:val=""/>
      <w:lvlJc w:val="left"/>
      <w:pPr>
        <w:ind w:left="567" w:hanging="283"/>
      </w:pPr>
      <w:rPr>
        <w:rFonts w:ascii="Symbol" w:hAnsi="Symbol" w:hint="default"/>
        <w:color w:val="404040" w:themeColor="text1" w:themeTint="BF"/>
      </w:rPr>
    </w:lvl>
    <w:lvl w:ilvl="1">
      <w:start w:val="1"/>
      <w:numFmt w:val="bullet"/>
      <w:pStyle w:val="BulletedListlvl2"/>
      <w:lvlText w:val="‒"/>
      <w:lvlJc w:val="left"/>
      <w:pPr>
        <w:ind w:left="1134" w:hanging="397"/>
      </w:pPr>
      <w:rPr>
        <w:rFonts w:ascii="Times New Roman" w:hAnsi="Times New Roman" w:cs="Times New Roman" w:hint="default"/>
        <w:color w:val="404040" w:themeColor="text1" w:themeTint="BF"/>
      </w:rPr>
    </w:lvl>
    <w:lvl w:ilvl="2">
      <w:start w:val="1"/>
      <w:numFmt w:val="bullet"/>
      <w:pStyle w:val="BulletedListlvl3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18" w15:restartNumberingAfterBreak="0">
    <w:nsid w:val="60A26384"/>
    <w:multiLevelType w:val="hybridMultilevel"/>
    <w:tmpl w:val="6BDC54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F1E09"/>
    <w:multiLevelType w:val="multilevel"/>
    <w:tmpl w:val="2CB44DC8"/>
    <w:lvl w:ilvl="0">
      <w:start w:val="1"/>
      <w:numFmt w:val="decimal"/>
      <w:pStyle w:val="NumberedListlvl1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NumberedListlvl2"/>
      <w:lvlText w:val="%2."/>
      <w:lvlJc w:val="left"/>
      <w:pPr>
        <w:ind w:left="1021" w:hanging="283"/>
      </w:pPr>
      <w:rPr>
        <w:rFonts w:hint="default"/>
      </w:rPr>
    </w:lvl>
    <w:lvl w:ilvl="2">
      <w:start w:val="1"/>
      <w:numFmt w:val="lowerRoman"/>
      <w:pStyle w:val="NumberedListlvl3"/>
      <w:lvlText w:val="%3."/>
      <w:lvlJc w:val="left"/>
      <w:pPr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383" w:hanging="28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9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45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199" w:hanging="283"/>
      </w:pPr>
      <w:rPr>
        <w:rFonts w:hint="default"/>
      </w:rPr>
    </w:lvl>
  </w:abstractNum>
  <w:abstractNum w:abstractNumId="20" w15:restartNumberingAfterBreak="0">
    <w:nsid w:val="733B71A3"/>
    <w:multiLevelType w:val="hybridMultilevel"/>
    <w:tmpl w:val="B64C1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A6B07"/>
    <w:multiLevelType w:val="multilevel"/>
    <w:tmpl w:val="A02A1792"/>
    <w:lvl w:ilvl="0">
      <w:start w:val="1"/>
      <w:numFmt w:val="bullet"/>
      <w:pStyle w:val="EmphasisPanelBullet"/>
      <w:lvlText w:val=""/>
      <w:lvlJc w:val="left"/>
      <w:pPr>
        <w:ind w:left="567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34" w:hanging="369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36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36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36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36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36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369"/>
      </w:pPr>
      <w:rPr>
        <w:rFonts w:ascii="Wingdings" w:hAnsi="Wingdings" w:hint="default"/>
      </w:rPr>
    </w:lvl>
  </w:abstractNum>
  <w:abstractNum w:abstractNumId="22" w15:restartNumberingAfterBreak="0">
    <w:nsid w:val="737F2767"/>
    <w:multiLevelType w:val="hybridMultilevel"/>
    <w:tmpl w:val="6E32D4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6E124060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CC8B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C5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E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2B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A3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25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89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2964D5"/>
    <w:multiLevelType w:val="multilevel"/>
    <w:tmpl w:val="EA5E96EA"/>
    <w:styleLink w:val="KeyPoints"/>
    <w:lvl w:ilvl="0">
      <w:start w:val="1"/>
      <w:numFmt w:val="decimal"/>
      <w:pStyle w:val="1NumberPointsStyle"/>
      <w:lvlText w:val="%1."/>
      <w:lvlJc w:val="left"/>
      <w:pPr>
        <w:ind w:left="369" w:hanging="369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737" w:hanging="36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6" w:hanging="369"/>
      </w:pPr>
      <w:rPr>
        <w:rFonts w:hint="default"/>
      </w:rPr>
    </w:lvl>
    <w:lvl w:ilvl="3">
      <w:start w:val="1"/>
      <w:numFmt w:val="none"/>
      <w:lvlText w:val=""/>
      <w:lvlJc w:val="left"/>
      <w:pPr>
        <w:ind w:left="1111" w:hanging="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17"/>
    <w:lvlOverride w:ilvl="0">
      <w:lvl w:ilvl="0">
        <w:start w:val="1"/>
        <w:numFmt w:val="bullet"/>
        <w:pStyle w:val="BulletedListlvl1"/>
        <w:lvlText w:val=""/>
        <w:lvlJc w:val="left"/>
        <w:pPr>
          <w:ind w:left="567" w:hanging="283"/>
        </w:pPr>
        <w:rPr>
          <w:rFonts w:ascii="Symbol" w:hAnsi="Symbol" w:hint="default"/>
          <w:color w:val="404040" w:themeColor="text1" w:themeTint="BF"/>
        </w:rPr>
      </w:lvl>
    </w:lvlOverride>
    <w:lvlOverride w:ilvl="1">
      <w:lvl w:ilvl="1">
        <w:start w:val="1"/>
        <w:numFmt w:val="bullet"/>
        <w:pStyle w:val="BulletedListlvl2"/>
        <w:lvlText w:val="‒"/>
        <w:lvlJc w:val="left"/>
        <w:pPr>
          <w:ind w:left="1021" w:hanging="283"/>
        </w:pPr>
        <w:rPr>
          <w:rFonts w:ascii="Times New Roman" w:hAnsi="Times New Roman" w:cs="Times New Roman" w:hint="default"/>
          <w:color w:val="404040" w:themeColor="text1" w:themeTint="BF"/>
        </w:rPr>
      </w:lvl>
    </w:lvlOverride>
    <w:lvlOverride w:ilvl="2">
      <w:lvl w:ilvl="2">
        <w:start w:val="1"/>
        <w:numFmt w:val="bullet"/>
        <w:pStyle w:val="BulletedListlvl3"/>
        <w:lvlText w:val=""/>
        <w:lvlJc w:val="left"/>
        <w:pPr>
          <w:ind w:left="1418" w:hanging="284"/>
        </w:pPr>
        <w:rPr>
          <w:rFonts w:ascii="Wingdings" w:hAnsi="Wingdings" w:hint="default"/>
          <w:color w:val="262626" w:themeColor="text1" w:themeTint="D9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9" w:hanging="283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3" w:hanging="283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837" w:hanging="283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291" w:hanging="283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745" w:hanging="283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4199" w:hanging="283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21"/>
  </w:num>
  <w:num w:numId="7">
    <w:abstractNumId w:val="19"/>
  </w:num>
  <w:num w:numId="8">
    <w:abstractNumId w:val="22"/>
  </w:num>
  <w:num w:numId="9">
    <w:abstractNumId w:val="23"/>
  </w:num>
  <w:num w:numId="10">
    <w:abstractNumId w:val="0"/>
  </w:num>
  <w:num w:numId="11">
    <w:abstractNumId w:val="3"/>
    <w:lvlOverride w:ilvl="0">
      <w:lvl w:ilvl="0">
        <w:start w:val="1"/>
        <w:numFmt w:val="decimal"/>
        <w:pStyle w:val="1NumberPointsStyle"/>
        <w:lvlText w:val="%1."/>
        <w:lvlJc w:val="left"/>
        <w:pPr>
          <w:ind w:left="369" w:hanging="369"/>
        </w:pPr>
        <w:rPr>
          <w:rFonts w:ascii="Times New Roman" w:hAnsi="Times New Roman" w:cs="Times New Roman" w:hint="default"/>
          <w:i w:val="0"/>
          <w:sz w:val="24"/>
          <w:szCs w:val="24"/>
        </w:rPr>
      </w:lvl>
    </w:lvlOverride>
  </w:num>
  <w:num w:numId="12">
    <w:abstractNumId w:val="10"/>
  </w:num>
  <w:num w:numId="13">
    <w:abstractNumId w:val="20"/>
  </w:num>
  <w:num w:numId="14">
    <w:abstractNumId w:val="15"/>
  </w:num>
  <w:num w:numId="15">
    <w:abstractNumId w:val="12"/>
  </w:num>
  <w:num w:numId="16">
    <w:abstractNumId w:val="4"/>
  </w:num>
  <w:num w:numId="17">
    <w:abstractNumId w:val="13"/>
  </w:num>
  <w:num w:numId="18">
    <w:abstractNumId w:val="6"/>
  </w:num>
  <w:num w:numId="19">
    <w:abstractNumId w:val="9"/>
  </w:num>
  <w:num w:numId="20">
    <w:abstractNumId w:val="1"/>
  </w:num>
  <w:num w:numId="21">
    <w:abstractNumId w:val="5"/>
  </w:num>
  <w:num w:numId="22">
    <w:abstractNumId w:val="11"/>
  </w:num>
  <w:num w:numId="23">
    <w:abstractNumId w:val="18"/>
  </w:num>
  <w:num w:numId="24">
    <w:abstractNumId w:val="7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4"/>
    <w:rsid w:val="00002F73"/>
    <w:rsid w:val="00007458"/>
    <w:rsid w:val="00007EB1"/>
    <w:rsid w:val="00014206"/>
    <w:rsid w:val="000203C2"/>
    <w:rsid w:val="000230F3"/>
    <w:rsid w:val="00023AC4"/>
    <w:rsid w:val="0002585A"/>
    <w:rsid w:val="000304B2"/>
    <w:rsid w:val="00031B5C"/>
    <w:rsid w:val="00032B1D"/>
    <w:rsid w:val="00033793"/>
    <w:rsid w:val="00034193"/>
    <w:rsid w:val="00034FEC"/>
    <w:rsid w:val="0004082F"/>
    <w:rsid w:val="00042E89"/>
    <w:rsid w:val="00044BF9"/>
    <w:rsid w:val="00046F90"/>
    <w:rsid w:val="000503A6"/>
    <w:rsid w:val="00052281"/>
    <w:rsid w:val="00053CD9"/>
    <w:rsid w:val="00057B46"/>
    <w:rsid w:val="00063034"/>
    <w:rsid w:val="00065058"/>
    <w:rsid w:val="00066763"/>
    <w:rsid w:val="00072B67"/>
    <w:rsid w:val="00073D52"/>
    <w:rsid w:val="00075A2A"/>
    <w:rsid w:val="00076AD1"/>
    <w:rsid w:val="000803CA"/>
    <w:rsid w:val="00087E4C"/>
    <w:rsid w:val="00091BCD"/>
    <w:rsid w:val="0009265A"/>
    <w:rsid w:val="0009441D"/>
    <w:rsid w:val="00094B02"/>
    <w:rsid w:val="0009590F"/>
    <w:rsid w:val="00095BF3"/>
    <w:rsid w:val="00096FE3"/>
    <w:rsid w:val="000A041E"/>
    <w:rsid w:val="000A08CA"/>
    <w:rsid w:val="000A0E4C"/>
    <w:rsid w:val="000B756E"/>
    <w:rsid w:val="000C29C5"/>
    <w:rsid w:val="000C7E03"/>
    <w:rsid w:val="000D106A"/>
    <w:rsid w:val="000D113F"/>
    <w:rsid w:val="000D7F7C"/>
    <w:rsid w:val="000E0516"/>
    <w:rsid w:val="000E351D"/>
    <w:rsid w:val="000E60F7"/>
    <w:rsid w:val="000F1B86"/>
    <w:rsid w:val="000F23B0"/>
    <w:rsid w:val="000F5917"/>
    <w:rsid w:val="000F6387"/>
    <w:rsid w:val="001007B9"/>
    <w:rsid w:val="00101042"/>
    <w:rsid w:val="00101D68"/>
    <w:rsid w:val="001022A4"/>
    <w:rsid w:val="001053DB"/>
    <w:rsid w:val="00105ECB"/>
    <w:rsid w:val="00107D4A"/>
    <w:rsid w:val="00111BF0"/>
    <w:rsid w:val="0011494A"/>
    <w:rsid w:val="001247B9"/>
    <w:rsid w:val="001259F8"/>
    <w:rsid w:val="00131315"/>
    <w:rsid w:val="00132268"/>
    <w:rsid w:val="001336CF"/>
    <w:rsid w:val="00140BCB"/>
    <w:rsid w:val="00143288"/>
    <w:rsid w:val="0015012C"/>
    <w:rsid w:val="0015537B"/>
    <w:rsid w:val="00162BAA"/>
    <w:rsid w:val="0016781C"/>
    <w:rsid w:val="001727AF"/>
    <w:rsid w:val="00176EA5"/>
    <w:rsid w:val="00177611"/>
    <w:rsid w:val="0017798C"/>
    <w:rsid w:val="001809C6"/>
    <w:rsid w:val="00181C56"/>
    <w:rsid w:val="001850CB"/>
    <w:rsid w:val="001852BD"/>
    <w:rsid w:val="00186D3B"/>
    <w:rsid w:val="0019171F"/>
    <w:rsid w:val="001943C3"/>
    <w:rsid w:val="001953CF"/>
    <w:rsid w:val="00195BA8"/>
    <w:rsid w:val="001A1957"/>
    <w:rsid w:val="001A2F86"/>
    <w:rsid w:val="001B00DA"/>
    <w:rsid w:val="001B0144"/>
    <w:rsid w:val="001B0F9E"/>
    <w:rsid w:val="001B10ED"/>
    <w:rsid w:val="001B41C7"/>
    <w:rsid w:val="001B7F1A"/>
    <w:rsid w:val="001C2FC8"/>
    <w:rsid w:val="001C3E37"/>
    <w:rsid w:val="001C6A89"/>
    <w:rsid w:val="001D283B"/>
    <w:rsid w:val="001D38B7"/>
    <w:rsid w:val="001D6846"/>
    <w:rsid w:val="001E0261"/>
    <w:rsid w:val="001E0FDF"/>
    <w:rsid w:val="001E128C"/>
    <w:rsid w:val="001E4245"/>
    <w:rsid w:val="001E6330"/>
    <w:rsid w:val="001E6542"/>
    <w:rsid w:val="001E71AF"/>
    <w:rsid w:val="001F037E"/>
    <w:rsid w:val="001F0654"/>
    <w:rsid w:val="001F3722"/>
    <w:rsid w:val="001F4886"/>
    <w:rsid w:val="001F738E"/>
    <w:rsid w:val="0020007C"/>
    <w:rsid w:val="00201B69"/>
    <w:rsid w:val="002054D6"/>
    <w:rsid w:val="0021247A"/>
    <w:rsid w:val="002207A9"/>
    <w:rsid w:val="002229A5"/>
    <w:rsid w:val="002243FB"/>
    <w:rsid w:val="002317BD"/>
    <w:rsid w:val="00231B22"/>
    <w:rsid w:val="00234705"/>
    <w:rsid w:val="00237365"/>
    <w:rsid w:val="002421CC"/>
    <w:rsid w:val="00247001"/>
    <w:rsid w:val="00250BE6"/>
    <w:rsid w:val="00252F38"/>
    <w:rsid w:val="00253DEF"/>
    <w:rsid w:val="0025626B"/>
    <w:rsid w:val="00260C56"/>
    <w:rsid w:val="00264A5E"/>
    <w:rsid w:val="00271572"/>
    <w:rsid w:val="00271726"/>
    <w:rsid w:val="002740C7"/>
    <w:rsid w:val="00277016"/>
    <w:rsid w:val="0027769C"/>
    <w:rsid w:val="002805C0"/>
    <w:rsid w:val="00281E3E"/>
    <w:rsid w:val="00284352"/>
    <w:rsid w:val="00284710"/>
    <w:rsid w:val="00294D1D"/>
    <w:rsid w:val="00294FB5"/>
    <w:rsid w:val="002955DD"/>
    <w:rsid w:val="002A0289"/>
    <w:rsid w:val="002A371E"/>
    <w:rsid w:val="002A5295"/>
    <w:rsid w:val="002B1A1C"/>
    <w:rsid w:val="002B2207"/>
    <w:rsid w:val="002B4B0A"/>
    <w:rsid w:val="002C0866"/>
    <w:rsid w:val="002C5647"/>
    <w:rsid w:val="002C5793"/>
    <w:rsid w:val="002C5F5B"/>
    <w:rsid w:val="002C777D"/>
    <w:rsid w:val="002D40B1"/>
    <w:rsid w:val="002D45CD"/>
    <w:rsid w:val="002D75F9"/>
    <w:rsid w:val="002E07AC"/>
    <w:rsid w:val="002E6AA1"/>
    <w:rsid w:val="002F412F"/>
    <w:rsid w:val="002F57C6"/>
    <w:rsid w:val="002F71D0"/>
    <w:rsid w:val="003033C6"/>
    <w:rsid w:val="00307A69"/>
    <w:rsid w:val="003109BA"/>
    <w:rsid w:val="00311B97"/>
    <w:rsid w:val="00312E29"/>
    <w:rsid w:val="00312E4A"/>
    <w:rsid w:val="0031546F"/>
    <w:rsid w:val="00316B0D"/>
    <w:rsid w:val="00317CB7"/>
    <w:rsid w:val="003300DB"/>
    <w:rsid w:val="00330731"/>
    <w:rsid w:val="0033088D"/>
    <w:rsid w:val="00332D5F"/>
    <w:rsid w:val="00334A28"/>
    <w:rsid w:val="00334EBE"/>
    <w:rsid w:val="00335425"/>
    <w:rsid w:val="003371F0"/>
    <w:rsid w:val="00345B55"/>
    <w:rsid w:val="003471C0"/>
    <w:rsid w:val="003500C6"/>
    <w:rsid w:val="003535E7"/>
    <w:rsid w:val="003616D2"/>
    <w:rsid w:val="00363AE5"/>
    <w:rsid w:val="003651DF"/>
    <w:rsid w:val="00367E37"/>
    <w:rsid w:val="003821B9"/>
    <w:rsid w:val="003848EF"/>
    <w:rsid w:val="00385B65"/>
    <w:rsid w:val="00391929"/>
    <w:rsid w:val="00393077"/>
    <w:rsid w:val="003A376A"/>
    <w:rsid w:val="003A3E57"/>
    <w:rsid w:val="003B0627"/>
    <w:rsid w:val="003C161D"/>
    <w:rsid w:val="003C6961"/>
    <w:rsid w:val="003D21A3"/>
    <w:rsid w:val="003D23E5"/>
    <w:rsid w:val="003D33F7"/>
    <w:rsid w:val="003D3964"/>
    <w:rsid w:val="003D58B9"/>
    <w:rsid w:val="003E6B8B"/>
    <w:rsid w:val="003F017E"/>
    <w:rsid w:val="003F09E3"/>
    <w:rsid w:val="003F17BC"/>
    <w:rsid w:val="003F1A1E"/>
    <w:rsid w:val="003F5F4B"/>
    <w:rsid w:val="003F67B1"/>
    <w:rsid w:val="003F7B0A"/>
    <w:rsid w:val="003F7E70"/>
    <w:rsid w:val="00400450"/>
    <w:rsid w:val="0040648D"/>
    <w:rsid w:val="0041105A"/>
    <w:rsid w:val="004146F5"/>
    <w:rsid w:val="00414CEB"/>
    <w:rsid w:val="004163FA"/>
    <w:rsid w:val="00423E92"/>
    <w:rsid w:val="004257F1"/>
    <w:rsid w:val="00433309"/>
    <w:rsid w:val="004335D2"/>
    <w:rsid w:val="004339EA"/>
    <w:rsid w:val="004366AE"/>
    <w:rsid w:val="0044371A"/>
    <w:rsid w:val="00451CEF"/>
    <w:rsid w:val="00454696"/>
    <w:rsid w:val="00456B6B"/>
    <w:rsid w:val="00456C41"/>
    <w:rsid w:val="004616FF"/>
    <w:rsid w:val="00471ABD"/>
    <w:rsid w:val="004721C1"/>
    <w:rsid w:val="004759ED"/>
    <w:rsid w:val="00476BA5"/>
    <w:rsid w:val="00485E92"/>
    <w:rsid w:val="0048689E"/>
    <w:rsid w:val="0049388D"/>
    <w:rsid w:val="004945F7"/>
    <w:rsid w:val="004957BB"/>
    <w:rsid w:val="00497F14"/>
    <w:rsid w:val="004A0AAC"/>
    <w:rsid w:val="004A22EA"/>
    <w:rsid w:val="004B1B59"/>
    <w:rsid w:val="004B2CB0"/>
    <w:rsid w:val="004B5EA1"/>
    <w:rsid w:val="004B76BF"/>
    <w:rsid w:val="004B7B8B"/>
    <w:rsid w:val="004C18F6"/>
    <w:rsid w:val="004C459D"/>
    <w:rsid w:val="004C6518"/>
    <w:rsid w:val="004D0B40"/>
    <w:rsid w:val="004D24EB"/>
    <w:rsid w:val="004D688C"/>
    <w:rsid w:val="004E0D88"/>
    <w:rsid w:val="004E58AE"/>
    <w:rsid w:val="004E6AFF"/>
    <w:rsid w:val="004F074E"/>
    <w:rsid w:val="004F20A9"/>
    <w:rsid w:val="004F2CCC"/>
    <w:rsid w:val="004F73E8"/>
    <w:rsid w:val="0050032B"/>
    <w:rsid w:val="00501AD6"/>
    <w:rsid w:val="00502930"/>
    <w:rsid w:val="00502DC7"/>
    <w:rsid w:val="00503EB4"/>
    <w:rsid w:val="00510417"/>
    <w:rsid w:val="0051316F"/>
    <w:rsid w:val="00523958"/>
    <w:rsid w:val="005264B7"/>
    <w:rsid w:val="00532F5F"/>
    <w:rsid w:val="0053301E"/>
    <w:rsid w:val="005370B2"/>
    <w:rsid w:val="005400C8"/>
    <w:rsid w:val="00543E44"/>
    <w:rsid w:val="00543FDE"/>
    <w:rsid w:val="00546C44"/>
    <w:rsid w:val="005476F2"/>
    <w:rsid w:val="005509FE"/>
    <w:rsid w:val="005525B5"/>
    <w:rsid w:val="00552F1C"/>
    <w:rsid w:val="00562166"/>
    <w:rsid w:val="0057006C"/>
    <w:rsid w:val="005740F8"/>
    <w:rsid w:val="00574F28"/>
    <w:rsid w:val="00576C8D"/>
    <w:rsid w:val="00586E2A"/>
    <w:rsid w:val="0058793B"/>
    <w:rsid w:val="005917FA"/>
    <w:rsid w:val="00594B4D"/>
    <w:rsid w:val="00596D03"/>
    <w:rsid w:val="005A0DE7"/>
    <w:rsid w:val="005A2031"/>
    <w:rsid w:val="005A2259"/>
    <w:rsid w:val="005A2AC4"/>
    <w:rsid w:val="005A355D"/>
    <w:rsid w:val="005A76E2"/>
    <w:rsid w:val="005B1F48"/>
    <w:rsid w:val="005B210C"/>
    <w:rsid w:val="005B241C"/>
    <w:rsid w:val="005B27D0"/>
    <w:rsid w:val="005B4117"/>
    <w:rsid w:val="005C1DEA"/>
    <w:rsid w:val="005C7655"/>
    <w:rsid w:val="005C7C79"/>
    <w:rsid w:val="005D1BC5"/>
    <w:rsid w:val="005D2D7A"/>
    <w:rsid w:val="005D7026"/>
    <w:rsid w:val="005D70C5"/>
    <w:rsid w:val="005E0267"/>
    <w:rsid w:val="005E2CE5"/>
    <w:rsid w:val="005F3D48"/>
    <w:rsid w:val="005F4393"/>
    <w:rsid w:val="005F4CFF"/>
    <w:rsid w:val="005F79CC"/>
    <w:rsid w:val="00602577"/>
    <w:rsid w:val="00603EA6"/>
    <w:rsid w:val="00603FC1"/>
    <w:rsid w:val="00605646"/>
    <w:rsid w:val="00605FB2"/>
    <w:rsid w:val="006068F6"/>
    <w:rsid w:val="00612670"/>
    <w:rsid w:val="0061381E"/>
    <w:rsid w:val="006159CC"/>
    <w:rsid w:val="006173D0"/>
    <w:rsid w:val="006201D7"/>
    <w:rsid w:val="006208C6"/>
    <w:rsid w:val="00620D70"/>
    <w:rsid w:val="00621488"/>
    <w:rsid w:val="00623BFD"/>
    <w:rsid w:val="006267BF"/>
    <w:rsid w:val="00626CA4"/>
    <w:rsid w:val="0062796C"/>
    <w:rsid w:val="0063155C"/>
    <w:rsid w:val="006427AA"/>
    <w:rsid w:val="006429D7"/>
    <w:rsid w:val="00642D22"/>
    <w:rsid w:val="006454DC"/>
    <w:rsid w:val="00646599"/>
    <w:rsid w:val="0064755B"/>
    <w:rsid w:val="00657D2D"/>
    <w:rsid w:val="00661E36"/>
    <w:rsid w:val="00662C41"/>
    <w:rsid w:val="00663EAD"/>
    <w:rsid w:val="006674FC"/>
    <w:rsid w:val="006719C9"/>
    <w:rsid w:val="006758CD"/>
    <w:rsid w:val="00675B34"/>
    <w:rsid w:val="00675EDF"/>
    <w:rsid w:val="00681CCA"/>
    <w:rsid w:val="00682080"/>
    <w:rsid w:val="00682A33"/>
    <w:rsid w:val="00684ABF"/>
    <w:rsid w:val="00685BF1"/>
    <w:rsid w:val="00687973"/>
    <w:rsid w:val="00692AE7"/>
    <w:rsid w:val="006932C8"/>
    <w:rsid w:val="00697A16"/>
    <w:rsid w:val="00697F67"/>
    <w:rsid w:val="006A131D"/>
    <w:rsid w:val="006A2795"/>
    <w:rsid w:val="006A39D8"/>
    <w:rsid w:val="006A6382"/>
    <w:rsid w:val="006A72D0"/>
    <w:rsid w:val="006B0488"/>
    <w:rsid w:val="006B089B"/>
    <w:rsid w:val="006B3301"/>
    <w:rsid w:val="006B56FC"/>
    <w:rsid w:val="006B6B1D"/>
    <w:rsid w:val="006C0869"/>
    <w:rsid w:val="006C21E2"/>
    <w:rsid w:val="006C7B63"/>
    <w:rsid w:val="006C7BAD"/>
    <w:rsid w:val="006D1A72"/>
    <w:rsid w:val="006D283F"/>
    <w:rsid w:val="006D5918"/>
    <w:rsid w:val="006D6A4F"/>
    <w:rsid w:val="006E086B"/>
    <w:rsid w:val="006E2EA3"/>
    <w:rsid w:val="006E350F"/>
    <w:rsid w:val="006E70FF"/>
    <w:rsid w:val="006F008A"/>
    <w:rsid w:val="006F173B"/>
    <w:rsid w:val="007010F5"/>
    <w:rsid w:val="0070387F"/>
    <w:rsid w:val="00711110"/>
    <w:rsid w:val="00714E79"/>
    <w:rsid w:val="007239F8"/>
    <w:rsid w:val="0073669D"/>
    <w:rsid w:val="00745366"/>
    <w:rsid w:val="0074588C"/>
    <w:rsid w:val="00753B4D"/>
    <w:rsid w:val="00754949"/>
    <w:rsid w:val="007615EB"/>
    <w:rsid w:val="00764485"/>
    <w:rsid w:val="007660B9"/>
    <w:rsid w:val="00767CD6"/>
    <w:rsid w:val="00767E1A"/>
    <w:rsid w:val="00780AC4"/>
    <w:rsid w:val="00781797"/>
    <w:rsid w:val="007836C4"/>
    <w:rsid w:val="00790CCB"/>
    <w:rsid w:val="007944EC"/>
    <w:rsid w:val="007956C4"/>
    <w:rsid w:val="00796164"/>
    <w:rsid w:val="007A27C5"/>
    <w:rsid w:val="007A29C8"/>
    <w:rsid w:val="007A52E1"/>
    <w:rsid w:val="007A6FC6"/>
    <w:rsid w:val="007B04E8"/>
    <w:rsid w:val="007C3F60"/>
    <w:rsid w:val="007D1AAE"/>
    <w:rsid w:val="007D680C"/>
    <w:rsid w:val="007F112F"/>
    <w:rsid w:val="007F200D"/>
    <w:rsid w:val="007F7FED"/>
    <w:rsid w:val="008051C4"/>
    <w:rsid w:val="00805B42"/>
    <w:rsid w:val="00805F3D"/>
    <w:rsid w:val="00806393"/>
    <w:rsid w:val="00814693"/>
    <w:rsid w:val="0081512D"/>
    <w:rsid w:val="0081529E"/>
    <w:rsid w:val="00817B50"/>
    <w:rsid w:val="008201B8"/>
    <w:rsid w:val="00820E0F"/>
    <w:rsid w:val="0082413A"/>
    <w:rsid w:val="00825410"/>
    <w:rsid w:val="008275B9"/>
    <w:rsid w:val="0083261D"/>
    <w:rsid w:val="00832D89"/>
    <w:rsid w:val="0083503B"/>
    <w:rsid w:val="00840865"/>
    <w:rsid w:val="00841D41"/>
    <w:rsid w:val="00842534"/>
    <w:rsid w:val="008436AB"/>
    <w:rsid w:val="00844739"/>
    <w:rsid w:val="0084486B"/>
    <w:rsid w:val="0085651C"/>
    <w:rsid w:val="0086151D"/>
    <w:rsid w:val="0086672B"/>
    <w:rsid w:val="008668C0"/>
    <w:rsid w:val="00866938"/>
    <w:rsid w:val="0086717E"/>
    <w:rsid w:val="008678C1"/>
    <w:rsid w:val="00873DED"/>
    <w:rsid w:val="00877425"/>
    <w:rsid w:val="008777F4"/>
    <w:rsid w:val="00880786"/>
    <w:rsid w:val="00893E7E"/>
    <w:rsid w:val="008A3F7A"/>
    <w:rsid w:val="008A6759"/>
    <w:rsid w:val="008B13B1"/>
    <w:rsid w:val="008B2727"/>
    <w:rsid w:val="008B3AA8"/>
    <w:rsid w:val="008B493F"/>
    <w:rsid w:val="008B7CE4"/>
    <w:rsid w:val="008C1009"/>
    <w:rsid w:val="008C115E"/>
    <w:rsid w:val="008C3F16"/>
    <w:rsid w:val="008C5D98"/>
    <w:rsid w:val="008C6029"/>
    <w:rsid w:val="008C7C9D"/>
    <w:rsid w:val="008D0504"/>
    <w:rsid w:val="008D084C"/>
    <w:rsid w:val="008D1256"/>
    <w:rsid w:val="008D275A"/>
    <w:rsid w:val="008D2A21"/>
    <w:rsid w:val="008D2CF3"/>
    <w:rsid w:val="008D3B57"/>
    <w:rsid w:val="008D4CE8"/>
    <w:rsid w:val="008D73D8"/>
    <w:rsid w:val="008D7F85"/>
    <w:rsid w:val="008E0747"/>
    <w:rsid w:val="008E109E"/>
    <w:rsid w:val="008E66E6"/>
    <w:rsid w:val="008F112A"/>
    <w:rsid w:val="008F29A9"/>
    <w:rsid w:val="008F2D5C"/>
    <w:rsid w:val="008F31A9"/>
    <w:rsid w:val="008F5470"/>
    <w:rsid w:val="008F785C"/>
    <w:rsid w:val="00900D4B"/>
    <w:rsid w:val="009014BC"/>
    <w:rsid w:val="00902CAC"/>
    <w:rsid w:val="009036CA"/>
    <w:rsid w:val="009172D1"/>
    <w:rsid w:val="00917F95"/>
    <w:rsid w:val="00920815"/>
    <w:rsid w:val="00923EDF"/>
    <w:rsid w:val="00930958"/>
    <w:rsid w:val="009310F6"/>
    <w:rsid w:val="00935AD4"/>
    <w:rsid w:val="00936171"/>
    <w:rsid w:val="00937CE1"/>
    <w:rsid w:val="00943D7C"/>
    <w:rsid w:val="00944745"/>
    <w:rsid w:val="009449B7"/>
    <w:rsid w:val="0094513B"/>
    <w:rsid w:val="0094548B"/>
    <w:rsid w:val="0094688C"/>
    <w:rsid w:val="009477A9"/>
    <w:rsid w:val="00952788"/>
    <w:rsid w:val="00963FB3"/>
    <w:rsid w:val="009666A5"/>
    <w:rsid w:val="00966EA6"/>
    <w:rsid w:val="009672EB"/>
    <w:rsid w:val="0097022A"/>
    <w:rsid w:val="009715FF"/>
    <w:rsid w:val="00973090"/>
    <w:rsid w:val="00981ACA"/>
    <w:rsid w:val="0098288C"/>
    <w:rsid w:val="00983E6D"/>
    <w:rsid w:val="00993E35"/>
    <w:rsid w:val="0099436F"/>
    <w:rsid w:val="0099561E"/>
    <w:rsid w:val="00995752"/>
    <w:rsid w:val="009959E0"/>
    <w:rsid w:val="00996BEA"/>
    <w:rsid w:val="00997EE6"/>
    <w:rsid w:val="009A172D"/>
    <w:rsid w:val="009A2E1D"/>
    <w:rsid w:val="009A33FB"/>
    <w:rsid w:val="009A5056"/>
    <w:rsid w:val="009B1A44"/>
    <w:rsid w:val="009B2713"/>
    <w:rsid w:val="009B300F"/>
    <w:rsid w:val="009B4379"/>
    <w:rsid w:val="009B52A1"/>
    <w:rsid w:val="009B59FF"/>
    <w:rsid w:val="009C4ECD"/>
    <w:rsid w:val="009C5F81"/>
    <w:rsid w:val="009C6670"/>
    <w:rsid w:val="009C6B2F"/>
    <w:rsid w:val="009D161E"/>
    <w:rsid w:val="009E347E"/>
    <w:rsid w:val="009F0548"/>
    <w:rsid w:val="009F751D"/>
    <w:rsid w:val="00A00EF2"/>
    <w:rsid w:val="00A069F9"/>
    <w:rsid w:val="00A07F0E"/>
    <w:rsid w:val="00A10AC2"/>
    <w:rsid w:val="00A15D6A"/>
    <w:rsid w:val="00A173EC"/>
    <w:rsid w:val="00A17F9A"/>
    <w:rsid w:val="00A227F6"/>
    <w:rsid w:val="00A235DA"/>
    <w:rsid w:val="00A24662"/>
    <w:rsid w:val="00A25A96"/>
    <w:rsid w:val="00A3076D"/>
    <w:rsid w:val="00A30BCC"/>
    <w:rsid w:val="00A3364A"/>
    <w:rsid w:val="00A346CA"/>
    <w:rsid w:val="00A35B23"/>
    <w:rsid w:val="00A415A2"/>
    <w:rsid w:val="00A42794"/>
    <w:rsid w:val="00A477A0"/>
    <w:rsid w:val="00A47C07"/>
    <w:rsid w:val="00A50BDE"/>
    <w:rsid w:val="00A5524F"/>
    <w:rsid w:val="00A554EE"/>
    <w:rsid w:val="00A61711"/>
    <w:rsid w:val="00A62F19"/>
    <w:rsid w:val="00A63A3E"/>
    <w:rsid w:val="00A66C34"/>
    <w:rsid w:val="00A73CFD"/>
    <w:rsid w:val="00A75B89"/>
    <w:rsid w:val="00A76370"/>
    <w:rsid w:val="00A77E87"/>
    <w:rsid w:val="00A80863"/>
    <w:rsid w:val="00A81616"/>
    <w:rsid w:val="00A8365E"/>
    <w:rsid w:val="00A9488D"/>
    <w:rsid w:val="00A94E35"/>
    <w:rsid w:val="00A95355"/>
    <w:rsid w:val="00A97A59"/>
    <w:rsid w:val="00AA33D5"/>
    <w:rsid w:val="00AB350C"/>
    <w:rsid w:val="00AB351E"/>
    <w:rsid w:val="00AB3C78"/>
    <w:rsid w:val="00AC1AA3"/>
    <w:rsid w:val="00AC4EB2"/>
    <w:rsid w:val="00AC7286"/>
    <w:rsid w:val="00AC7F21"/>
    <w:rsid w:val="00AD0B81"/>
    <w:rsid w:val="00AD0F94"/>
    <w:rsid w:val="00AE0E38"/>
    <w:rsid w:val="00AE11C4"/>
    <w:rsid w:val="00AE297B"/>
    <w:rsid w:val="00AE58D5"/>
    <w:rsid w:val="00AE6686"/>
    <w:rsid w:val="00AF7794"/>
    <w:rsid w:val="00B00879"/>
    <w:rsid w:val="00B0259B"/>
    <w:rsid w:val="00B030D9"/>
    <w:rsid w:val="00B052C5"/>
    <w:rsid w:val="00B06546"/>
    <w:rsid w:val="00B13055"/>
    <w:rsid w:val="00B13B2A"/>
    <w:rsid w:val="00B151CC"/>
    <w:rsid w:val="00B22B3C"/>
    <w:rsid w:val="00B24D0A"/>
    <w:rsid w:val="00B25121"/>
    <w:rsid w:val="00B3317D"/>
    <w:rsid w:val="00B36583"/>
    <w:rsid w:val="00B37705"/>
    <w:rsid w:val="00B37C74"/>
    <w:rsid w:val="00B40A46"/>
    <w:rsid w:val="00B40B2A"/>
    <w:rsid w:val="00B455C1"/>
    <w:rsid w:val="00B45874"/>
    <w:rsid w:val="00B45E8F"/>
    <w:rsid w:val="00B46127"/>
    <w:rsid w:val="00B466D6"/>
    <w:rsid w:val="00B53058"/>
    <w:rsid w:val="00B556DA"/>
    <w:rsid w:val="00B57AC5"/>
    <w:rsid w:val="00B67E7D"/>
    <w:rsid w:val="00B83B2F"/>
    <w:rsid w:val="00B8699E"/>
    <w:rsid w:val="00B87E45"/>
    <w:rsid w:val="00B92A3D"/>
    <w:rsid w:val="00B95533"/>
    <w:rsid w:val="00BA744A"/>
    <w:rsid w:val="00BB0F68"/>
    <w:rsid w:val="00BB1FFF"/>
    <w:rsid w:val="00BB2567"/>
    <w:rsid w:val="00BB3F58"/>
    <w:rsid w:val="00BB616D"/>
    <w:rsid w:val="00BC24CA"/>
    <w:rsid w:val="00BC4B27"/>
    <w:rsid w:val="00BD113A"/>
    <w:rsid w:val="00BD2B9F"/>
    <w:rsid w:val="00BD35B3"/>
    <w:rsid w:val="00BD3DA8"/>
    <w:rsid w:val="00BD45D5"/>
    <w:rsid w:val="00BD5AD0"/>
    <w:rsid w:val="00BD7885"/>
    <w:rsid w:val="00BE64F3"/>
    <w:rsid w:val="00BE65F5"/>
    <w:rsid w:val="00BF09C7"/>
    <w:rsid w:val="00C00697"/>
    <w:rsid w:val="00C0095A"/>
    <w:rsid w:val="00C01C10"/>
    <w:rsid w:val="00C0653C"/>
    <w:rsid w:val="00C123E7"/>
    <w:rsid w:val="00C148F3"/>
    <w:rsid w:val="00C167B5"/>
    <w:rsid w:val="00C22DA4"/>
    <w:rsid w:val="00C22E70"/>
    <w:rsid w:val="00C4091E"/>
    <w:rsid w:val="00C421A9"/>
    <w:rsid w:val="00C464A7"/>
    <w:rsid w:val="00C5038F"/>
    <w:rsid w:val="00C509A1"/>
    <w:rsid w:val="00C511C3"/>
    <w:rsid w:val="00C51C42"/>
    <w:rsid w:val="00C52329"/>
    <w:rsid w:val="00C57F4E"/>
    <w:rsid w:val="00C631D8"/>
    <w:rsid w:val="00C639A6"/>
    <w:rsid w:val="00C66A73"/>
    <w:rsid w:val="00C67A9E"/>
    <w:rsid w:val="00C67AA6"/>
    <w:rsid w:val="00C71F21"/>
    <w:rsid w:val="00C7210B"/>
    <w:rsid w:val="00C80CAE"/>
    <w:rsid w:val="00C81704"/>
    <w:rsid w:val="00C86AD9"/>
    <w:rsid w:val="00C86F22"/>
    <w:rsid w:val="00C9099D"/>
    <w:rsid w:val="00C91A83"/>
    <w:rsid w:val="00C9650F"/>
    <w:rsid w:val="00C9741E"/>
    <w:rsid w:val="00CA33C7"/>
    <w:rsid w:val="00CA4A8C"/>
    <w:rsid w:val="00CB1148"/>
    <w:rsid w:val="00CB17E8"/>
    <w:rsid w:val="00CB2C58"/>
    <w:rsid w:val="00CB38A3"/>
    <w:rsid w:val="00CB3B70"/>
    <w:rsid w:val="00CC1475"/>
    <w:rsid w:val="00CC36CD"/>
    <w:rsid w:val="00CC5384"/>
    <w:rsid w:val="00CC5C21"/>
    <w:rsid w:val="00CC6B7E"/>
    <w:rsid w:val="00CC787B"/>
    <w:rsid w:val="00CD0616"/>
    <w:rsid w:val="00CD0E38"/>
    <w:rsid w:val="00CD730D"/>
    <w:rsid w:val="00CE1635"/>
    <w:rsid w:val="00CE5DC7"/>
    <w:rsid w:val="00CE677F"/>
    <w:rsid w:val="00CF0D33"/>
    <w:rsid w:val="00CF7819"/>
    <w:rsid w:val="00D00AEF"/>
    <w:rsid w:val="00D15CAF"/>
    <w:rsid w:val="00D170A8"/>
    <w:rsid w:val="00D171A8"/>
    <w:rsid w:val="00D241B6"/>
    <w:rsid w:val="00D26237"/>
    <w:rsid w:val="00D45EEB"/>
    <w:rsid w:val="00D4602A"/>
    <w:rsid w:val="00D4643A"/>
    <w:rsid w:val="00D46EB7"/>
    <w:rsid w:val="00D47A2E"/>
    <w:rsid w:val="00D506AD"/>
    <w:rsid w:val="00D52159"/>
    <w:rsid w:val="00D52C18"/>
    <w:rsid w:val="00D53F9D"/>
    <w:rsid w:val="00D54C52"/>
    <w:rsid w:val="00D54CE5"/>
    <w:rsid w:val="00D55E22"/>
    <w:rsid w:val="00D611A9"/>
    <w:rsid w:val="00D620F7"/>
    <w:rsid w:val="00D621F3"/>
    <w:rsid w:val="00D66C04"/>
    <w:rsid w:val="00D75AC2"/>
    <w:rsid w:val="00D76A9A"/>
    <w:rsid w:val="00D80EF6"/>
    <w:rsid w:val="00D84DFE"/>
    <w:rsid w:val="00D9012E"/>
    <w:rsid w:val="00D90897"/>
    <w:rsid w:val="00D93BE5"/>
    <w:rsid w:val="00D96CA8"/>
    <w:rsid w:val="00DA3036"/>
    <w:rsid w:val="00DA3C0E"/>
    <w:rsid w:val="00DA7453"/>
    <w:rsid w:val="00DB015B"/>
    <w:rsid w:val="00DB1591"/>
    <w:rsid w:val="00DB20CE"/>
    <w:rsid w:val="00DB35E7"/>
    <w:rsid w:val="00DB5E67"/>
    <w:rsid w:val="00DB6216"/>
    <w:rsid w:val="00DB6F16"/>
    <w:rsid w:val="00DC3380"/>
    <w:rsid w:val="00DC56BD"/>
    <w:rsid w:val="00DC58D8"/>
    <w:rsid w:val="00DD06CB"/>
    <w:rsid w:val="00DD6C35"/>
    <w:rsid w:val="00DE08A2"/>
    <w:rsid w:val="00DE0D95"/>
    <w:rsid w:val="00DE193D"/>
    <w:rsid w:val="00DE56AC"/>
    <w:rsid w:val="00DE5C43"/>
    <w:rsid w:val="00DE710F"/>
    <w:rsid w:val="00DE7EED"/>
    <w:rsid w:val="00DF7526"/>
    <w:rsid w:val="00E021A6"/>
    <w:rsid w:val="00E02E5D"/>
    <w:rsid w:val="00E12CC9"/>
    <w:rsid w:val="00E14B90"/>
    <w:rsid w:val="00E159AA"/>
    <w:rsid w:val="00E17626"/>
    <w:rsid w:val="00E17FBD"/>
    <w:rsid w:val="00E222EE"/>
    <w:rsid w:val="00E238F3"/>
    <w:rsid w:val="00E23B18"/>
    <w:rsid w:val="00E351BB"/>
    <w:rsid w:val="00E401B3"/>
    <w:rsid w:val="00E46F31"/>
    <w:rsid w:val="00E47401"/>
    <w:rsid w:val="00E50185"/>
    <w:rsid w:val="00E51434"/>
    <w:rsid w:val="00E539D5"/>
    <w:rsid w:val="00E53C08"/>
    <w:rsid w:val="00E578B7"/>
    <w:rsid w:val="00E62E3B"/>
    <w:rsid w:val="00E630BA"/>
    <w:rsid w:val="00E63231"/>
    <w:rsid w:val="00E63FE2"/>
    <w:rsid w:val="00E7329A"/>
    <w:rsid w:val="00E73F85"/>
    <w:rsid w:val="00E76451"/>
    <w:rsid w:val="00E8016F"/>
    <w:rsid w:val="00E80E52"/>
    <w:rsid w:val="00E816CE"/>
    <w:rsid w:val="00E90FB5"/>
    <w:rsid w:val="00E913FF"/>
    <w:rsid w:val="00E96B7E"/>
    <w:rsid w:val="00EA0158"/>
    <w:rsid w:val="00EA0688"/>
    <w:rsid w:val="00EA08A7"/>
    <w:rsid w:val="00EA19B4"/>
    <w:rsid w:val="00EA4A25"/>
    <w:rsid w:val="00EB25EA"/>
    <w:rsid w:val="00EB28C4"/>
    <w:rsid w:val="00EB386E"/>
    <w:rsid w:val="00EB5837"/>
    <w:rsid w:val="00EC0059"/>
    <w:rsid w:val="00EC1000"/>
    <w:rsid w:val="00EC68DB"/>
    <w:rsid w:val="00ED0CB2"/>
    <w:rsid w:val="00ED215F"/>
    <w:rsid w:val="00ED334F"/>
    <w:rsid w:val="00EE08F2"/>
    <w:rsid w:val="00EE0B8D"/>
    <w:rsid w:val="00EE1DD7"/>
    <w:rsid w:val="00EE76B9"/>
    <w:rsid w:val="00EF078F"/>
    <w:rsid w:val="00EF125F"/>
    <w:rsid w:val="00EF15DD"/>
    <w:rsid w:val="00EF2497"/>
    <w:rsid w:val="00EF38A6"/>
    <w:rsid w:val="00EF5D5A"/>
    <w:rsid w:val="00F017E0"/>
    <w:rsid w:val="00F03B20"/>
    <w:rsid w:val="00F04A3A"/>
    <w:rsid w:val="00F05CF6"/>
    <w:rsid w:val="00F05E3C"/>
    <w:rsid w:val="00F065A0"/>
    <w:rsid w:val="00F21C70"/>
    <w:rsid w:val="00F21D2D"/>
    <w:rsid w:val="00F26D11"/>
    <w:rsid w:val="00F27CBE"/>
    <w:rsid w:val="00F312CC"/>
    <w:rsid w:val="00F31CEC"/>
    <w:rsid w:val="00F362E8"/>
    <w:rsid w:val="00F36F94"/>
    <w:rsid w:val="00F4121E"/>
    <w:rsid w:val="00F4212B"/>
    <w:rsid w:val="00F43342"/>
    <w:rsid w:val="00F46D66"/>
    <w:rsid w:val="00F4704F"/>
    <w:rsid w:val="00F50EE3"/>
    <w:rsid w:val="00F522AF"/>
    <w:rsid w:val="00F54D11"/>
    <w:rsid w:val="00F57EE1"/>
    <w:rsid w:val="00F651C4"/>
    <w:rsid w:val="00F71476"/>
    <w:rsid w:val="00F71E20"/>
    <w:rsid w:val="00F72893"/>
    <w:rsid w:val="00F72BF0"/>
    <w:rsid w:val="00F7682E"/>
    <w:rsid w:val="00F80E81"/>
    <w:rsid w:val="00F92698"/>
    <w:rsid w:val="00F92C57"/>
    <w:rsid w:val="00F9344F"/>
    <w:rsid w:val="00F97B14"/>
    <w:rsid w:val="00FA1333"/>
    <w:rsid w:val="00FA1EAA"/>
    <w:rsid w:val="00FB20C4"/>
    <w:rsid w:val="00FB3C96"/>
    <w:rsid w:val="00FB60EF"/>
    <w:rsid w:val="00FC3D4F"/>
    <w:rsid w:val="00FC49FB"/>
    <w:rsid w:val="00FC5756"/>
    <w:rsid w:val="00FC6275"/>
    <w:rsid w:val="00FC7C33"/>
    <w:rsid w:val="00FD659E"/>
    <w:rsid w:val="00FE6A0D"/>
    <w:rsid w:val="00FE7253"/>
    <w:rsid w:val="00FE7D98"/>
    <w:rsid w:val="00FF22E3"/>
    <w:rsid w:val="00FF281E"/>
    <w:rsid w:val="00FF2D86"/>
    <w:rsid w:val="00FF4945"/>
    <w:rsid w:val="00FF4DE2"/>
    <w:rsid w:val="00FF6000"/>
    <w:rsid w:val="00FF6161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0EA51"/>
  <w14:discardImageEditingData/>
  <w15:chartTrackingRefBased/>
  <w15:docId w15:val="{50F5CE57-B17A-4B9E-BE6B-149C8B86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4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semiHidden/>
    <w:qFormat/>
    <w:rsid w:val="004E58AE"/>
  </w:style>
  <w:style w:type="paragraph" w:styleId="Heading1">
    <w:name w:val="heading 1"/>
    <w:basedOn w:val="Heading4"/>
    <w:next w:val="BodyText"/>
    <w:link w:val="Heading1Char"/>
    <w:uiPriority w:val="9"/>
    <w:qFormat/>
    <w:rsid w:val="008F31A9"/>
    <w:pPr>
      <w:spacing w:before="120"/>
      <w:jc w:val="center"/>
      <w:outlineLvl w:val="0"/>
    </w:pPr>
    <w:rPr>
      <w:rFonts w:ascii="Century Gothic" w:hAnsi="Century Gothic"/>
      <w:b/>
      <w:color w:val="DD7500" w:themeColor="accent4"/>
      <w:sz w:val="36"/>
      <w:szCs w:val="36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8F31A9"/>
    <w:pPr>
      <w:spacing w:before="120" w:line="276" w:lineRule="auto"/>
      <w:outlineLvl w:val="1"/>
    </w:pPr>
    <w:rPr>
      <w:rFonts w:ascii="Century Gothic" w:hAnsi="Century Gothic" w:cstheme="minorHAnsi"/>
      <w:color w:val="DD7500" w:themeColor="accent4"/>
      <w:sz w:val="24"/>
      <w:szCs w:val="24"/>
      <w:lang w:val="en-US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C29C5"/>
    <w:pPr>
      <w:keepNext/>
      <w:keepLines/>
      <w:spacing w:before="240" w:after="160" w:line="240" w:lineRule="auto"/>
      <w:outlineLvl w:val="2"/>
    </w:pPr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0C29C5"/>
    <w:pPr>
      <w:spacing w:before="240"/>
      <w:outlineLvl w:val="3"/>
    </w:pPr>
    <w:rPr>
      <w:rFonts w:asciiTheme="majorHAnsi" w:hAnsiTheme="majorHAnsi"/>
      <w:color w:val="25303B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66A73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b/>
      <w:color w:val="FFFFFF" w:themeColor="background1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6A73"/>
    <w:rPr>
      <w:rFonts w:asciiTheme="majorHAnsi" w:hAnsiTheme="majorHAnsi"/>
      <w:b/>
      <w:color w:val="FFFFFF" w:themeColor="background1"/>
      <w:sz w:val="20"/>
      <w:szCs w:val="18"/>
    </w:rPr>
  </w:style>
  <w:style w:type="paragraph" w:styleId="Footer">
    <w:name w:val="footer"/>
    <w:basedOn w:val="Normal"/>
    <w:link w:val="FooterChar"/>
    <w:uiPriority w:val="99"/>
    <w:rsid w:val="00281E3E"/>
    <w:pPr>
      <w:tabs>
        <w:tab w:val="center" w:pos="4513"/>
        <w:tab w:val="right" w:pos="9026"/>
      </w:tabs>
      <w:spacing w:after="500" w:line="240" w:lineRule="auto"/>
      <w:contextualSpacing/>
    </w:pPr>
    <w:rPr>
      <w:rFonts w:asciiTheme="majorHAnsi" w:hAnsiTheme="majorHAnsi"/>
      <w:bCs/>
      <w:color w:val="014463" w:themeColor="tex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81E3E"/>
    <w:rPr>
      <w:rFonts w:asciiTheme="majorHAnsi" w:hAnsiTheme="majorHAnsi"/>
      <w:bCs/>
      <w:color w:val="014463" w:themeColor="tex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3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2C57"/>
    <w:rPr>
      <w:color w:val="7F7F7F" w:themeColor="text1" w:themeTint="80"/>
    </w:rPr>
  </w:style>
  <w:style w:type="character" w:customStyle="1" w:styleId="Heading1Char">
    <w:name w:val="Heading 1 Char"/>
    <w:basedOn w:val="DefaultParagraphFont"/>
    <w:link w:val="Heading1"/>
    <w:uiPriority w:val="9"/>
    <w:rsid w:val="008F31A9"/>
    <w:rPr>
      <w:rFonts w:ascii="Century Gothic" w:hAnsi="Century Gothic"/>
      <w:b/>
      <w:color w:val="DD7500" w:themeColor="accent4"/>
      <w:sz w:val="36"/>
      <w:szCs w:val="36"/>
    </w:rPr>
  </w:style>
  <w:style w:type="table" w:customStyle="1" w:styleId="NIAADefaultTableStyle">
    <w:name w:val="NIAA Default Table Style"/>
    <w:basedOn w:val="TableNormal"/>
    <w:uiPriority w:val="99"/>
    <w:rsid w:val="00603EA6"/>
    <w:pPr>
      <w:spacing w:before="60" w:after="60"/>
    </w:pPr>
    <w:rPr>
      <w:sz w:val="18"/>
    </w:rPr>
    <w:tblPr>
      <w:tblStyleRowBandSize w:val="1"/>
      <w:tblBorders>
        <w:bottom w:val="single" w:sz="18" w:space="0" w:color="D1D1D1" w:themeColor="background2"/>
        <w:insideH w:val="single" w:sz="4" w:space="0" w:color="D1D1D1" w:themeColor="background2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rPr>
        <w:tblHeader/>
      </w:trPr>
      <w:tcPr>
        <w:shd w:val="clear" w:color="auto" w:fill="D1D1D1" w:themeFill="background2"/>
      </w:tcPr>
    </w:tblStylePr>
    <w:tblStylePr w:type="band1Horz">
      <w:rPr>
        <w:rFonts w:asciiTheme="minorHAnsi" w:hAnsiTheme="minorHAnsi"/>
        <w:color w:val="262626" w:themeColor="text1" w:themeTint="D9"/>
        <w:sz w:val="18"/>
      </w:rPr>
    </w:tblStylePr>
    <w:tblStylePr w:type="band2Horz">
      <w:pPr>
        <w:wordWrap/>
        <w:spacing w:beforeLines="0" w:afterLines="0" w:line="264" w:lineRule="auto"/>
        <w:contextualSpacing w:val="0"/>
      </w:pPr>
      <w:rPr>
        <w:rFonts w:asciiTheme="minorHAnsi" w:hAnsiTheme="minorHAnsi"/>
        <w:b w:val="0"/>
        <w:color w:val="262626" w:themeColor="text1" w:themeTint="D9"/>
        <w:sz w:val="18"/>
      </w:rPr>
      <w:tblPr/>
      <w:tcPr>
        <w:shd w:val="clear" w:color="auto" w:fill="FFFFFF" w:themeFill="background1"/>
      </w:tcPr>
    </w:tblStylePr>
  </w:style>
  <w:style w:type="paragraph" w:styleId="ListParagraph">
    <w:name w:val="List Paragraph"/>
    <w:aliases w:val="List Paragraph1,List Paragraph11,List Paragraph Number,Bullet point,Bulleted Para,NFP GP Bulleted List,bullet point list,L,Bullet points,Content descriptions,Bullet Point,List Paragraph2,Dot Point,NAST Quote,Body Bullets 1,List Bullet Cab"/>
    <w:basedOn w:val="Normal"/>
    <w:link w:val="ListParagraphChar"/>
    <w:uiPriority w:val="34"/>
    <w:qFormat/>
    <w:rsid w:val="00820E0F"/>
    <w:pPr>
      <w:ind w:left="720"/>
      <w:contextualSpacing/>
    </w:pPr>
  </w:style>
  <w:style w:type="paragraph" w:customStyle="1" w:styleId="TableBullet">
    <w:name w:val="Table Bullet"/>
    <w:basedOn w:val="ListParagraph"/>
    <w:uiPriority w:val="11"/>
    <w:qFormat/>
    <w:rsid w:val="00552F1C"/>
    <w:pPr>
      <w:numPr>
        <w:numId w:val="1"/>
      </w:numPr>
      <w:spacing w:before="40" w:after="40" w:line="240" w:lineRule="auto"/>
      <w:contextualSpacing w:val="0"/>
    </w:pPr>
    <w:rPr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31A9"/>
    <w:rPr>
      <w:rFonts w:ascii="Century Gothic" w:hAnsi="Century Gothic" w:cstheme="minorHAnsi"/>
      <w:color w:val="DD7500" w:themeColor="accent4"/>
      <w:sz w:val="24"/>
      <w:szCs w:val="24"/>
      <w:lang w:val="en-US"/>
    </w:rPr>
  </w:style>
  <w:style w:type="paragraph" w:customStyle="1" w:styleId="NumberedListlvl1">
    <w:name w:val="Numbered List lvl1"/>
    <w:basedOn w:val="ListParagraph"/>
    <w:uiPriority w:val="9"/>
    <w:qFormat/>
    <w:rsid w:val="00FE7253"/>
    <w:pPr>
      <w:numPr>
        <w:numId w:val="7"/>
      </w:numPr>
      <w:spacing w:after="0"/>
      <w:contextualSpacing w:val="0"/>
    </w:pPr>
  </w:style>
  <w:style w:type="paragraph" w:customStyle="1" w:styleId="BulletedListlvl1">
    <w:name w:val="Bulleted List lvl1"/>
    <w:uiPriority w:val="10"/>
    <w:qFormat/>
    <w:rsid w:val="0086151D"/>
    <w:pPr>
      <w:numPr>
        <w:numId w:val="3"/>
      </w:numPr>
      <w:spacing w:after="0"/>
    </w:pPr>
  </w:style>
  <w:style w:type="paragraph" w:customStyle="1" w:styleId="NumberedListlvl2">
    <w:name w:val="Numbered List lvl2"/>
    <w:basedOn w:val="NumberedListlvl1"/>
    <w:uiPriority w:val="9"/>
    <w:rsid w:val="00D620F7"/>
    <w:pPr>
      <w:numPr>
        <w:ilvl w:val="1"/>
      </w:numPr>
    </w:pPr>
  </w:style>
  <w:style w:type="paragraph" w:styleId="BodyText">
    <w:name w:val="Body Text"/>
    <w:basedOn w:val="Normal"/>
    <w:link w:val="BodyTextChar"/>
    <w:qFormat/>
    <w:rsid w:val="00552F1C"/>
  </w:style>
  <w:style w:type="character" w:customStyle="1" w:styleId="BodyTextChar">
    <w:name w:val="Body Text Char"/>
    <w:basedOn w:val="DefaultParagraphFont"/>
    <w:link w:val="BodyText"/>
    <w:rsid w:val="00552F1C"/>
    <w:rPr>
      <w:color w:val="262626" w:themeColor="text1" w:themeTint="D9"/>
    </w:rPr>
  </w:style>
  <w:style w:type="paragraph" w:customStyle="1" w:styleId="BulletedListlvl2">
    <w:name w:val="Bulleted List lvl2"/>
    <w:basedOn w:val="BulletedListlvl1"/>
    <w:uiPriority w:val="10"/>
    <w:rsid w:val="00E7329A"/>
    <w:pPr>
      <w:numPr>
        <w:ilvl w:val="1"/>
        <w:numId w:val="4"/>
      </w:numPr>
    </w:pPr>
  </w:style>
  <w:style w:type="paragraph" w:customStyle="1" w:styleId="TableBody">
    <w:name w:val="Table Body"/>
    <w:basedOn w:val="Normal"/>
    <w:uiPriority w:val="11"/>
    <w:qFormat/>
    <w:rsid w:val="00552F1C"/>
    <w:pPr>
      <w:spacing w:before="40" w:after="40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C29C5"/>
    <w:rPr>
      <w:rFonts w:asciiTheme="majorHAnsi" w:eastAsiaTheme="majorEastAsia" w:hAnsiTheme="majorHAnsi" w:cstheme="majorBidi"/>
      <w:color w:val="25303B" w:themeColor="accent1"/>
      <w:sz w:val="30"/>
      <w:szCs w:val="30"/>
    </w:rPr>
  </w:style>
  <w:style w:type="paragraph" w:customStyle="1" w:styleId="NumberedListlvl3">
    <w:name w:val="Numbered List lvl3"/>
    <w:basedOn w:val="NumberedListlvl1"/>
    <w:uiPriority w:val="9"/>
    <w:rsid w:val="00091BCD"/>
    <w:pPr>
      <w:numPr>
        <w:ilvl w:val="2"/>
      </w:numPr>
    </w:pPr>
  </w:style>
  <w:style w:type="paragraph" w:customStyle="1" w:styleId="BasicParagraph">
    <w:name w:val="[Basic Paragraph]"/>
    <w:basedOn w:val="Normal"/>
    <w:uiPriority w:val="99"/>
    <w:semiHidden/>
    <w:rsid w:val="006173D0"/>
    <w:pPr>
      <w:autoSpaceDE w:val="0"/>
      <w:autoSpaceDN w:val="0"/>
      <w:adjustRightInd w:val="0"/>
      <w:spacing w:after="0" w:line="288" w:lineRule="auto"/>
      <w:textAlignment w:val="center"/>
    </w:pPr>
    <w:rPr>
      <w:rFonts w:cs="Minion Pro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C29C5"/>
    <w:rPr>
      <w:rFonts w:asciiTheme="majorHAnsi" w:hAnsiTheme="majorHAnsi"/>
      <w:color w:val="25303B" w:themeColor="accent1"/>
      <w:sz w:val="24"/>
      <w:szCs w:val="24"/>
    </w:rPr>
  </w:style>
  <w:style w:type="paragraph" w:customStyle="1" w:styleId="TableHeading">
    <w:name w:val="Table Heading"/>
    <w:basedOn w:val="Normal"/>
    <w:uiPriority w:val="11"/>
    <w:qFormat/>
    <w:rsid w:val="00753B4D"/>
    <w:rPr>
      <w:rFonts w:asciiTheme="majorHAnsi" w:hAnsiTheme="majorHAnsi"/>
      <w:bCs/>
      <w:color w:val="FFFFFF" w:themeColor="background1"/>
      <w:sz w:val="18"/>
    </w:rPr>
  </w:style>
  <w:style w:type="paragraph" w:customStyle="1" w:styleId="ProtectiveMarking">
    <w:name w:val="Protective Marking"/>
    <w:basedOn w:val="Normal"/>
    <w:uiPriority w:val="13"/>
    <w:rsid w:val="001A1957"/>
    <w:pPr>
      <w:spacing w:after="0" w:line="240" w:lineRule="auto"/>
      <w:jc w:val="center"/>
    </w:pPr>
    <w:rPr>
      <w:rFonts w:asciiTheme="majorHAnsi" w:hAnsiTheme="majorHAnsi"/>
      <w:caps/>
      <w:noProof/>
      <w:color w:val="CD1719"/>
      <w:sz w:val="16"/>
    </w:rPr>
  </w:style>
  <w:style w:type="table" w:customStyle="1" w:styleId="NIAATableStyle2">
    <w:name w:val="NIAA Table Style 2"/>
    <w:basedOn w:val="TableNormal"/>
    <w:uiPriority w:val="99"/>
    <w:rsid w:val="00697A16"/>
    <w:pPr>
      <w:spacing w:before="60" w:after="60"/>
    </w:pPr>
    <w:tblPr>
      <w:tblStyleRowBandSize w:val="1"/>
      <w:tblBorders>
        <w:top w:val="single" w:sz="4" w:space="0" w:color="E4E9EE" w:themeColor="accent1" w:themeTint="1A"/>
        <w:left w:val="single" w:sz="4" w:space="0" w:color="E4E9EE" w:themeColor="accent1" w:themeTint="1A"/>
        <w:bottom w:val="single" w:sz="18" w:space="0" w:color="BCBCBC" w:themeColor="background2" w:themeShade="E6"/>
        <w:right w:val="single" w:sz="4" w:space="0" w:color="E4E9EE" w:themeColor="accent1" w:themeTint="1A"/>
        <w:insideH w:val="single" w:sz="4" w:space="0" w:color="E4E9EE" w:themeColor="accent1" w:themeTint="1A"/>
        <w:insideV w:val="single" w:sz="4" w:space="0" w:color="E4E9EE" w:themeColor="accent1" w:themeTint="1A"/>
      </w:tblBorders>
      <w:tblCellMar>
        <w:left w:w="284" w:type="dxa"/>
        <w:right w:w="284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  <w:b/>
        <w:color w:val="262626" w:themeColor="text1" w:themeTint="D9"/>
        <w:sz w:val="18"/>
      </w:rPr>
      <w:tblPr/>
      <w:tcPr>
        <w:shd w:val="clear" w:color="auto" w:fill="BCBCBC" w:themeFill="background2" w:themeFillShade="E6"/>
      </w:tcPr>
    </w:tblStylePr>
    <w:tblStylePr w:type="lastRow">
      <w:tblPr/>
      <w:tcPr>
        <w:shd w:val="clear" w:color="auto" w:fill="E6E6E6"/>
      </w:tcPr>
    </w:tblStylePr>
    <w:tblStylePr w:type="band1Horz">
      <w:rPr>
        <w:color w:val="262626" w:themeColor="text1" w:themeTint="D9"/>
      </w:rPr>
    </w:tblStylePr>
    <w:tblStylePr w:type="band2Horz">
      <w:rPr>
        <w:rFonts w:asciiTheme="minorHAnsi" w:hAnsiTheme="minorHAnsi"/>
        <w:b w:val="0"/>
        <w:color w:val="262626" w:themeColor="text1" w:themeTint="D9"/>
      </w:rPr>
      <w:tblPr/>
      <w:tcPr>
        <w:shd w:val="clear" w:color="auto" w:fill="FFFFFF" w:themeFill="background1"/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A5524F"/>
    <w:pPr>
      <w:ind w:left="567" w:right="567"/>
    </w:pPr>
    <w:rPr>
      <w:rFonts w:asciiTheme="majorHAnsi" w:hAnsiTheme="majorHAnsi"/>
      <w:color w:val="00948D" w:themeColor="accent3"/>
      <w:sz w:val="24"/>
      <w:szCs w:val="24"/>
    </w:rPr>
  </w:style>
  <w:style w:type="paragraph" w:styleId="NoSpacing">
    <w:name w:val="No Spacing"/>
    <w:basedOn w:val="BodyText"/>
    <w:link w:val="NoSpacingChar"/>
    <w:uiPriority w:val="1"/>
    <w:semiHidden/>
    <w:rsid w:val="002A0289"/>
    <w:p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semiHidden/>
    <w:rsid w:val="00250BE6"/>
  </w:style>
  <w:style w:type="paragraph" w:customStyle="1" w:styleId="CoverTitle">
    <w:name w:val="Cover Title"/>
    <w:basedOn w:val="NoSpacing"/>
    <w:uiPriority w:val="11"/>
    <w:semiHidden/>
    <w:qFormat/>
    <w:rsid w:val="00657D2D"/>
    <w:pPr>
      <w:spacing w:before="40" w:after="560" w:line="216" w:lineRule="auto"/>
    </w:pPr>
    <w:rPr>
      <w:rFonts w:asciiTheme="majorHAnsi" w:hAnsiTheme="majorHAnsi"/>
      <w:b/>
      <w:color w:val="FFFFFF" w:themeColor="background1"/>
      <w:sz w:val="120"/>
      <w:szCs w:val="72"/>
    </w:rPr>
  </w:style>
  <w:style w:type="paragraph" w:customStyle="1" w:styleId="CoverByline">
    <w:name w:val="Cover Byline"/>
    <w:basedOn w:val="NoSpacing"/>
    <w:uiPriority w:val="11"/>
    <w:semiHidden/>
    <w:qFormat/>
    <w:rsid w:val="008436AB"/>
    <w:pPr>
      <w:spacing w:after="360"/>
    </w:pPr>
    <w:rPr>
      <w:rFonts w:asciiTheme="majorHAnsi" w:hAnsiTheme="majorHAnsi"/>
      <w:b/>
      <w:color w:val="FFFFFF" w:themeColor="background1"/>
      <w:sz w:val="44"/>
      <w:szCs w:val="28"/>
    </w:rPr>
  </w:style>
  <w:style w:type="paragraph" w:customStyle="1" w:styleId="CoverDetails">
    <w:name w:val="Cover Details"/>
    <w:basedOn w:val="NoSpacing"/>
    <w:uiPriority w:val="11"/>
    <w:semiHidden/>
    <w:qFormat/>
    <w:rsid w:val="008436AB"/>
    <w:pPr>
      <w:spacing w:after="240"/>
    </w:pPr>
    <w:rPr>
      <w:color w:val="FFFFFF" w:themeColor="background1"/>
      <w:sz w:val="24"/>
      <w:szCs w:val="28"/>
    </w:rPr>
  </w:style>
  <w:style w:type="paragraph" w:customStyle="1" w:styleId="Footerline">
    <w:name w:val="Footer line"/>
    <w:uiPriority w:val="11"/>
    <w:semiHidden/>
    <w:rsid w:val="00F651C4"/>
    <w:pPr>
      <w:spacing w:before="20" w:after="240"/>
    </w:pPr>
    <w:rPr>
      <w:caps/>
      <w:noProof/>
      <w:color w:val="25303B" w:themeColor="accent1"/>
    </w:rPr>
  </w:style>
  <w:style w:type="paragraph" w:customStyle="1" w:styleId="TableNumbering">
    <w:name w:val="Table Numbering"/>
    <w:uiPriority w:val="11"/>
    <w:qFormat/>
    <w:rsid w:val="000E351D"/>
    <w:pPr>
      <w:numPr>
        <w:numId w:val="2"/>
      </w:numPr>
      <w:spacing w:before="40" w:after="40" w:line="240" w:lineRule="auto"/>
      <w:ind w:left="284" w:hanging="284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6F173B"/>
    <w:pPr>
      <w:keepNext/>
      <w:tabs>
        <w:tab w:val="left" w:pos="851"/>
        <w:tab w:val="left" w:pos="1017"/>
      </w:tabs>
      <w:spacing w:before="120"/>
      <w:ind w:left="851" w:hanging="851"/>
    </w:pPr>
    <w:rPr>
      <w:rFonts w:asciiTheme="majorHAnsi" w:hAnsiTheme="majorHAnsi"/>
      <w:b/>
      <w:iCs/>
      <w:color w:val="00948D" w:themeColor="accent3"/>
      <w:szCs w:val="18"/>
    </w:rPr>
  </w:style>
  <w:style w:type="paragraph" w:styleId="List">
    <w:name w:val="List"/>
    <w:uiPriority w:val="4"/>
    <w:semiHidden/>
    <w:rsid w:val="00880786"/>
    <w:pPr>
      <w:numPr>
        <w:numId w:val="5"/>
      </w:numPr>
      <w:spacing w:line="324" w:lineRule="auto"/>
      <w:ind w:left="567" w:hanging="283"/>
    </w:pPr>
    <w:rPr>
      <w:color w:val="464E52"/>
      <w:sz w:val="18"/>
      <w:szCs w:val="18"/>
    </w:rPr>
  </w:style>
  <w:style w:type="paragraph" w:customStyle="1" w:styleId="EmphasisPanelHeading">
    <w:name w:val="Emphasis Panel Heading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60" w:after="60" w:line="240" w:lineRule="atLeast"/>
      <w:ind w:left="198" w:right="215"/>
    </w:pPr>
    <w:rPr>
      <w:rFonts w:asciiTheme="majorHAnsi" w:eastAsia="Times New Roman" w:hAnsiTheme="majorHAnsi" w:cs="Times New Roman"/>
      <w:b/>
      <w:color w:val="00948D" w:themeColor="accent3"/>
      <w:sz w:val="24"/>
      <w:szCs w:val="24"/>
      <w:lang w:val="en-US"/>
    </w:rPr>
  </w:style>
  <w:style w:type="paragraph" w:customStyle="1" w:styleId="EmphasisPanelBody">
    <w:name w:val="Emphasis Panel Body"/>
    <w:basedOn w:val="Normal"/>
    <w:uiPriority w:val="11"/>
    <w:qFormat/>
    <w:rsid w:val="001F0654"/>
    <w:pPr>
      <w:keepLines/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left="198" w:right="215"/>
    </w:pPr>
    <w:rPr>
      <w:rFonts w:eastAsia="Times New Roman" w:cstheme="minorHAnsi"/>
      <w:szCs w:val="22"/>
      <w:lang w:val="en-US"/>
    </w:rPr>
  </w:style>
  <w:style w:type="paragraph" w:customStyle="1" w:styleId="EmphasisPanelBullet">
    <w:name w:val="Emphasis Panel Bullet"/>
    <w:uiPriority w:val="11"/>
    <w:qFormat/>
    <w:rsid w:val="001F0654"/>
    <w:pPr>
      <w:keepLines/>
      <w:numPr>
        <w:numId w:val="6"/>
      </w:numPr>
      <w:pBdr>
        <w:top w:val="single" w:sz="4" w:space="8" w:color="D9D9D9" w:themeColor="background1" w:themeShade="D9"/>
        <w:left w:val="single" w:sz="4" w:space="8" w:color="D9D9D9" w:themeColor="background1" w:themeShade="D9"/>
        <w:bottom w:val="single" w:sz="4" w:space="8" w:color="D9D9D9" w:themeColor="background1" w:themeShade="D9"/>
        <w:right w:val="single" w:sz="4" w:space="8" w:color="D9D9D9" w:themeColor="background1" w:themeShade="D9"/>
      </w:pBdr>
      <w:shd w:val="clear" w:color="auto" w:fill="D9D9D9" w:themeFill="background1" w:themeFillShade="D9"/>
      <w:spacing w:before="120"/>
      <w:ind w:right="215"/>
    </w:pPr>
    <w:rPr>
      <w:rFonts w:eastAsia="Times New Roman" w:cstheme="minorHAnsi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5524F"/>
    <w:rPr>
      <w:rFonts w:asciiTheme="majorHAnsi" w:hAnsiTheme="majorHAnsi"/>
      <w:color w:val="00948D" w:themeColor="accent3"/>
      <w:sz w:val="24"/>
      <w:szCs w:val="24"/>
    </w:rPr>
  </w:style>
  <w:style w:type="paragraph" w:customStyle="1" w:styleId="BulletedListlvl3">
    <w:name w:val="Bulleted List lvl3"/>
    <w:basedOn w:val="BulletedListlvl2"/>
    <w:uiPriority w:val="10"/>
    <w:rsid w:val="00D620F7"/>
    <w:pPr>
      <w:numPr>
        <w:ilvl w:val="2"/>
      </w:numPr>
    </w:pPr>
  </w:style>
  <w:style w:type="table" w:customStyle="1" w:styleId="Clear">
    <w:name w:val="Clear"/>
    <w:basedOn w:val="TableNormal"/>
    <w:uiPriority w:val="99"/>
    <w:rsid w:val="00EE08F2"/>
    <w:pPr>
      <w:spacing w:after="0" w:line="240" w:lineRule="auto"/>
    </w:pPr>
    <w:rPr>
      <w:color w:val="014463" w:themeColor="text2"/>
      <w:szCs w:val="18"/>
    </w:rPr>
    <w:tblPr>
      <w:tblCellMar>
        <w:left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7A6FC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FC6"/>
  </w:style>
  <w:style w:type="character" w:styleId="FootnoteReference">
    <w:name w:val="footnote reference"/>
    <w:basedOn w:val="DefaultParagraphFont"/>
    <w:uiPriority w:val="99"/>
    <w:semiHidden/>
    <w:rsid w:val="007A6FC6"/>
    <w:rPr>
      <w:vertAlign w:val="superscript"/>
    </w:rPr>
  </w:style>
  <w:style w:type="paragraph" w:styleId="Title">
    <w:name w:val="Title"/>
    <w:basedOn w:val="Heading1"/>
    <w:next w:val="Normal"/>
    <w:link w:val="TitleChar"/>
    <w:qFormat/>
    <w:rsid w:val="000C29C5"/>
  </w:style>
  <w:style w:type="character" w:customStyle="1" w:styleId="TitleChar">
    <w:name w:val="Title Char"/>
    <w:basedOn w:val="DefaultParagraphFont"/>
    <w:link w:val="Title"/>
    <w:rsid w:val="000C29C5"/>
    <w:rPr>
      <w:rFonts w:asciiTheme="majorHAnsi" w:hAnsiTheme="majorHAnsi"/>
      <w:b/>
      <w:color w:val="25303B" w:themeColor="accent1"/>
      <w:sz w:val="60"/>
      <w:szCs w:val="60"/>
    </w:rPr>
  </w:style>
  <w:style w:type="paragraph" w:styleId="Subtitle">
    <w:name w:val="Subtitle"/>
    <w:basedOn w:val="Normal"/>
    <w:next w:val="BodyText"/>
    <w:link w:val="SubtitleChar"/>
    <w:uiPriority w:val="1"/>
    <w:qFormat/>
    <w:rsid w:val="000C29C5"/>
    <w:pPr>
      <w:numPr>
        <w:ilvl w:val="1"/>
      </w:numPr>
      <w:spacing w:before="120" w:after="360"/>
    </w:pPr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0C29C5"/>
    <w:rPr>
      <w:rFonts w:asciiTheme="majorHAnsi" w:eastAsiaTheme="minorEastAsia" w:hAnsiTheme="majorHAnsi"/>
      <w:color w:val="25303B" w:themeColor="accent1"/>
      <w:spacing w:val="15"/>
      <w:sz w:val="28"/>
      <w:szCs w:val="22"/>
    </w:rPr>
  </w:style>
  <w:style w:type="paragraph" w:customStyle="1" w:styleId="SectionNameRev">
    <w:name w:val="Section Name Rev"/>
    <w:basedOn w:val="Normal"/>
    <w:uiPriority w:val="11"/>
    <w:qFormat/>
    <w:rsid w:val="002317BD"/>
    <w:pPr>
      <w:spacing w:after="0" w:line="240" w:lineRule="auto"/>
      <w:jc w:val="right"/>
    </w:pPr>
    <w:rPr>
      <w:rFonts w:asciiTheme="majorHAnsi" w:hAnsiTheme="majorHAnsi"/>
      <w:color w:val="FFFFFF" w:themeColor="background1"/>
    </w:rPr>
  </w:style>
  <w:style w:type="paragraph" w:customStyle="1" w:styleId="SectionName">
    <w:name w:val="Section Name"/>
    <w:basedOn w:val="SectionNameRev"/>
    <w:uiPriority w:val="11"/>
    <w:semiHidden/>
    <w:qFormat/>
    <w:rsid w:val="00281E3E"/>
    <w:rPr>
      <w:color w:val="262626" w:themeColor="text1" w:themeTint="D9"/>
    </w:rPr>
  </w:style>
  <w:style w:type="paragraph" w:styleId="NormalWeb">
    <w:name w:val="Normal (Web)"/>
    <w:basedOn w:val="Normal"/>
    <w:uiPriority w:val="99"/>
    <w:semiHidden/>
    <w:unhideWhenUsed/>
    <w:rsid w:val="002A52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numbering" w:customStyle="1" w:styleId="KeyPoints">
    <w:name w:val="Key Points"/>
    <w:basedOn w:val="NoList"/>
    <w:uiPriority w:val="99"/>
    <w:rsid w:val="00F80E81"/>
    <w:pPr>
      <w:numPr>
        <w:numId w:val="9"/>
      </w:numPr>
    </w:pPr>
  </w:style>
  <w:style w:type="numbering" w:customStyle="1" w:styleId="BulletList">
    <w:name w:val="Bullet List"/>
    <w:uiPriority w:val="99"/>
    <w:rsid w:val="00F80E81"/>
    <w:pPr>
      <w:numPr>
        <w:numId w:val="10"/>
      </w:numPr>
    </w:pPr>
  </w:style>
  <w:style w:type="paragraph" w:customStyle="1" w:styleId="2BulletStyleList">
    <w:name w:val="2. Bullet Style List"/>
    <w:basedOn w:val="Normal"/>
    <w:qFormat/>
    <w:rsid w:val="00F80E81"/>
    <w:pPr>
      <w:numPr>
        <w:numId w:val="12"/>
      </w:numPr>
      <w:spacing w:after="200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paragraph" w:customStyle="1" w:styleId="1NumberPointsStyle">
    <w:name w:val="1. Number Points Style"/>
    <w:basedOn w:val="Normal"/>
    <w:link w:val="1NumberPointsStyleChar"/>
    <w:qFormat/>
    <w:rsid w:val="00F80E81"/>
    <w:pPr>
      <w:numPr>
        <w:numId w:val="11"/>
      </w:numPr>
      <w:spacing w:after="200" w:line="240" w:lineRule="auto"/>
    </w:pPr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customStyle="1" w:styleId="1NumberPointsStyleChar">
    <w:name w:val="1. Number Points Style Char"/>
    <w:basedOn w:val="DefaultParagraphFont"/>
    <w:link w:val="1NumberPointsStyle"/>
    <w:rsid w:val="00F80E81"/>
    <w:rPr>
      <w:rFonts w:ascii="Times New Roman" w:eastAsia="Times New Roman" w:hAnsi="Times New Roman" w:cs="Times New Roman"/>
      <w:color w:val="auto"/>
      <w:sz w:val="24"/>
      <w:lang w:eastAsia="en-AU"/>
    </w:rPr>
  </w:style>
  <w:style w:type="character" w:customStyle="1" w:styleId="ListParagraphChar">
    <w:name w:val="List Paragraph Char"/>
    <w:aliases w:val="List Paragraph1 Char,List Paragraph11 Char,List Paragraph Number Char,Bullet point Char,Bulleted Para Char,NFP GP Bulleted List Char,bullet point list Char,L Char,Bullet points Char,Content descriptions Char,Bullet Point Char"/>
    <w:basedOn w:val="DefaultParagraphFont"/>
    <w:link w:val="ListParagraph"/>
    <w:uiPriority w:val="34"/>
    <w:qFormat/>
    <w:locked/>
    <w:rsid w:val="00CC787B"/>
  </w:style>
  <w:style w:type="character" w:styleId="CommentReference">
    <w:name w:val="annotation reference"/>
    <w:basedOn w:val="DefaultParagraphFont"/>
    <w:uiPriority w:val="99"/>
    <w:semiHidden/>
    <w:unhideWhenUsed/>
    <w:rsid w:val="00B40A46"/>
  </w:style>
  <w:style w:type="paragraph" w:styleId="CommentText">
    <w:name w:val="annotation text"/>
    <w:basedOn w:val="Normal"/>
    <w:link w:val="CommentTextChar"/>
    <w:uiPriority w:val="99"/>
    <w:unhideWhenUsed/>
    <w:rsid w:val="00681C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81C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CCA"/>
    <w:rPr>
      <w:b/>
      <w:bCs/>
    </w:rPr>
  </w:style>
  <w:style w:type="paragraph" w:styleId="Revision">
    <w:name w:val="Revision"/>
    <w:hidden/>
    <w:uiPriority w:val="99"/>
    <w:semiHidden/>
    <w:rsid w:val="00DB6216"/>
    <w:pPr>
      <w:spacing w:after="0" w:line="240" w:lineRule="auto"/>
    </w:pPr>
  </w:style>
  <w:style w:type="paragraph" w:customStyle="1" w:styleId="CABNETParagraph">
    <w:name w:val="CABNET Paragraph."/>
    <w:basedOn w:val="Normal"/>
    <w:link w:val="CABNETParagraphChar"/>
    <w:uiPriority w:val="98"/>
    <w:qFormat/>
    <w:rsid w:val="00485E92"/>
    <w:pPr>
      <w:spacing w:before="120" w:line="240" w:lineRule="auto"/>
    </w:pPr>
    <w:rPr>
      <w:rFonts w:ascii="Arial" w:hAnsi="Arial" w:cstheme="minorHAnsi"/>
      <w:color w:val="auto"/>
      <w:sz w:val="22"/>
      <w:szCs w:val="22"/>
    </w:rPr>
  </w:style>
  <w:style w:type="character" w:customStyle="1" w:styleId="CABNETParagraphChar">
    <w:name w:val="CABNET Paragraph. Char"/>
    <w:basedOn w:val="DefaultParagraphFont"/>
    <w:link w:val="CABNETParagraph"/>
    <w:uiPriority w:val="98"/>
    <w:rsid w:val="00485E92"/>
    <w:rPr>
      <w:rFonts w:ascii="Arial" w:hAnsi="Arial" w:cstheme="minorHAnsi"/>
      <w:color w:val="auto"/>
      <w:sz w:val="22"/>
      <w:szCs w:val="22"/>
    </w:rPr>
  </w:style>
  <w:style w:type="paragraph" w:customStyle="1" w:styleId="CABParagraph">
    <w:name w:val="CAB Paragraph"/>
    <w:basedOn w:val="BodyText"/>
    <w:link w:val="CABParagraphChar"/>
    <w:uiPriority w:val="98"/>
    <w:rsid w:val="00767CD6"/>
    <w:pPr>
      <w:spacing w:before="120" w:after="0" w:line="240" w:lineRule="auto"/>
    </w:pPr>
    <w:rPr>
      <w:rFonts w:ascii="Arial" w:eastAsiaTheme="minorEastAsia" w:hAnsi="Arial"/>
      <w:color w:val="auto"/>
      <w:sz w:val="22"/>
      <w:szCs w:val="22"/>
    </w:rPr>
  </w:style>
  <w:style w:type="character" w:customStyle="1" w:styleId="CABParagraphChar">
    <w:name w:val="CAB Paragraph Char"/>
    <w:basedOn w:val="DefaultParagraphFont"/>
    <w:link w:val="CABParagraph"/>
    <w:uiPriority w:val="98"/>
    <w:rsid w:val="00767CD6"/>
    <w:rPr>
      <w:rFonts w:ascii="Arial" w:eastAsiaTheme="minorEastAsia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8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0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7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08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1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5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5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7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8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6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0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6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14308\Downloads\NIAA-Basic-Grey.dotx" TargetMode="External"/></Relationships>
</file>

<file path=word/theme/theme1.xml><?xml version="1.0" encoding="utf-8"?>
<a:theme xmlns:a="http://schemas.openxmlformats.org/drawingml/2006/main" name="Office Theme">
  <a:themeElements>
    <a:clrScheme name="NIAA">
      <a:dk1>
        <a:srgbClr val="000000"/>
      </a:dk1>
      <a:lt1>
        <a:sysClr val="window" lastClr="FFFFFF"/>
      </a:lt1>
      <a:dk2>
        <a:srgbClr val="014463"/>
      </a:dk2>
      <a:lt2>
        <a:srgbClr val="D1D1D1"/>
      </a:lt2>
      <a:accent1>
        <a:srgbClr val="25303B"/>
      </a:accent1>
      <a:accent2>
        <a:srgbClr val="BEA887"/>
      </a:accent2>
      <a:accent3>
        <a:srgbClr val="00948D"/>
      </a:accent3>
      <a:accent4>
        <a:srgbClr val="DD7500"/>
      </a:accent4>
      <a:accent5>
        <a:srgbClr val="F7A600"/>
      </a:accent5>
      <a:accent6>
        <a:srgbClr val="005347"/>
      </a:accent6>
      <a:hlink>
        <a:srgbClr val="0289C8"/>
      </a:hlink>
      <a:folHlink>
        <a:srgbClr val="0289C8"/>
      </a:folHlink>
    </a:clrScheme>
    <a:fontScheme name="Dept PMC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Name/>
  <Classification/>
  <DLM/>
  <SectionName/>
  <DH/>
  <Byline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ShareHubID xmlns="166541c0-0594-4e6a-9105-c24d4b6de6f7">DOC21-356107</ShareHubID>
    <TaxCatchAll xmlns="166541c0-0594-4e6a-9105-c24d4b6de6f7">
      <Value>57</Value>
    </TaxCatchAll>
    <PMCNotes xmlns="166541c0-0594-4e6a-9105-c24d4b6de6f7" xsi:nil="true"/>
    <NonRecordJustification xmlns="685f9fda-bd71-4433-b331-92feb9553089">None</NonRecordJust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533AE62-A212-4B26-92DA-A3B336E8AE06}">
  <ds:schemaRefs/>
</ds:datastoreItem>
</file>

<file path=customXml/itemProps2.xml><?xml version="1.0" encoding="utf-8"?>
<ds:datastoreItem xmlns:ds="http://schemas.openxmlformats.org/officeDocument/2006/customXml" ds:itemID="{2B69EFA8-5C92-4642-8C1D-7A58E06ED304}">
  <ds:schemaRefs>
    <ds:schemaRef ds:uri="http://schemas.microsoft.com/office/2006/metadata/properties"/>
    <ds:schemaRef ds:uri="http://schemas.microsoft.com/office/infopath/2007/PartnerControls"/>
    <ds:schemaRef ds:uri="166541c0-0594-4e6a-9105-c24d4b6de6f7"/>
    <ds:schemaRef ds:uri="685f9fda-bd71-4433-b331-92feb9553089"/>
  </ds:schemaRefs>
</ds:datastoreItem>
</file>

<file path=customXml/itemProps3.xml><?xml version="1.0" encoding="utf-8"?>
<ds:datastoreItem xmlns:ds="http://schemas.openxmlformats.org/officeDocument/2006/customXml" ds:itemID="{D54EEE20-B8B9-4BF8-BE30-EAB735DD7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C9850F-6ED6-422E-B03F-E2A079F68B4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73841DD-D1A8-4495-9AA1-C5DA87C2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NIAA-Basic-Grey</Template>
  <TotalTime>1</TotalTime>
  <Pages>1</Pages>
  <Words>588</Words>
  <Characters>3354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Strengthening land administration and local control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Strengthening land administration and local control</dc:title>
  <dc:subject/>
  <dc:creator>Compton, Anthea</dc:creator>
  <cp:keywords/>
  <dc:description/>
  <cp:lastModifiedBy>Lowe, Indi</cp:lastModifiedBy>
  <cp:revision>2</cp:revision>
  <cp:lastPrinted>2021-05-18T05:11:00Z</cp:lastPrinted>
  <dcterms:created xsi:type="dcterms:W3CDTF">2021-12-09T01:48:00Z</dcterms:created>
  <dcterms:modified xsi:type="dcterms:W3CDTF">2021-12-09T01:48:00Z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57;#OFFICIAL|11463c70-78df-4e3b-b0ff-f66cd3cb26ec</vt:lpwstr>
  </property>
  <property fmtid="{D5CDD505-2E9C-101B-9397-08002B2CF9AE}" pid="4" name="ESearchTags">
    <vt:lpwstr/>
  </property>
  <property fmtid="{D5CDD505-2E9C-101B-9397-08002B2CF9AE}" pid="5" name="HPRMSecurityCaveat">
    <vt:lpwstr/>
  </property>
  <property fmtid="{D5CDD505-2E9C-101B-9397-08002B2CF9AE}" pid="6" name="PMC.ESearch.TagGeneratedTime">
    <vt:lpwstr>2021-12-14T09:32:25</vt:lpwstr>
  </property>
</Properties>
</file>