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4C" w:rsidRPr="006A0DEC" w:rsidRDefault="00F9284C" w:rsidP="006A0DEC">
      <w:pPr>
        <w:pStyle w:val="Heading1"/>
        <w:spacing w:after="120"/>
        <w:rPr>
          <w:sz w:val="32"/>
          <w:szCs w:val="32"/>
        </w:rPr>
      </w:pPr>
      <w:r w:rsidRPr="006A0DEC">
        <w:rPr>
          <w:sz w:val="32"/>
          <w:szCs w:val="32"/>
        </w:rPr>
        <w:t>Northern Territory Ab</w:t>
      </w:r>
      <w:r w:rsidR="006A0DEC" w:rsidRPr="006A0DEC">
        <w:rPr>
          <w:sz w:val="32"/>
          <w:szCs w:val="32"/>
        </w:rPr>
        <w:t>original Investment Corporation</w:t>
      </w:r>
    </w:p>
    <w:p w:rsidR="006A0DEC" w:rsidRPr="006A0DEC" w:rsidRDefault="006A0DEC" w:rsidP="006A0DEC">
      <w:pPr>
        <w:jc w:val="center"/>
        <w:rPr>
          <w:color w:val="EC7016" w:themeColor="accent4"/>
          <w:sz w:val="32"/>
          <w:szCs w:val="32"/>
        </w:rPr>
      </w:pPr>
      <w:r w:rsidRPr="006A0DEC">
        <w:rPr>
          <w:color w:val="EC7016" w:themeColor="accent4"/>
          <w:sz w:val="32"/>
          <w:szCs w:val="32"/>
        </w:rPr>
        <w:t>Supporting self-determination in the Northern Territory</w:t>
      </w:r>
    </w:p>
    <w:p w:rsidR="00214B49" w:rsidRDefault="008E4A4E" w:rsidP="00214B49">
      <w:pPr>
        <w:spacing w:after="0" w:line="240" w:lineRule="auto"/>
        <w:textAlignment w:val="baseline"/>
        <w:rPr>
          <w:color w:val="auto"/>
          <w:sz w:val="22"/>
        </w:rPr>
      </w:pPr>
      <w:r w:rsidRPr="008E4A4E">
        <w:rPr>
          <w:color w:val="auto"/>
          <w:sz w:val="22"/>
        </w:rPr>
        <w:t xml:space="preserve">A new Aboriginal-controlled body called the Northern Territory Aboriginal Investment Corporation (NTAIC) has been established to make payments and invest money from the Aboriginals Benefit Account (ABA) to support self-determination for Traditional Owners and </w:t>
      </w:r>
      <w:r w:rsidR="00214B49">
        <w:rPr>
          <w:color w:val="auto"/>
          <w:sz w:val="22"/>
        </w:rPr>
        <w:t>First Nation</w:t>
      </w:r>
      <w:r w:rsidRPr="008E4A4E">
        <w:rPr>
          <w:color w:val="auto"/>
          <w:sz w:val="22"/>
        </w:rPr>
        <w:t xml:space="preserve"> people across the Northern Territory</w:t>
      </w:r>
      <w:r w:rsidR="00214B49">
        <w:rPr>
          <w:color w:val="auto"/>
          <w:sz w:val="22"/>
        </w:rPr>
        <w:t xml:space="preserve"> (NT)</w:t>
      </w:r>
      <w:r w:rsidRPr="008E4A4E">
        <w:rPr>
          <w:color w:val="auto"/>
          <w:sz w:val="22"/>
        </w:rPr>
        <w:t xml:space="preserve"> for generations to come. </w:t>
      </w:r>
    </w:p>
    <w:p w:rsidR="00214B49" w:rsidRPr="00214B49" w:rsidRDefault="00214B49" w:rsidP="00214B49">
      <w:pPr>
        <w:spacing w:after="0" w:line="240" w:lineRule="auto"/>
        <w:textAlignment w:val="baseline"/>
        <w:rPr>
          <w:color w:val="auto"/>
          <w:sz w:val="12"/>
        </w:rPr>
      </w:pPr>
    </w:p>
    <w:p w:rsidR="008E4A4E" w:rsidRDefault="008E4A4E" w:rsidP="00214B49">
      <w:pPr>
        <w:spacing w:after="0" w:line="240" w:lineRule="auto"/>
        <w:textAlignment w:val="baseline"/>
        <w:rPr>
          <w:color w:val="auto"/>
          <w:sz w:val="22"/>
        </w:rPr>
      </w:pPr>
      <w:r w:rsidRPr="008E4A4E">
        <w:rPr>
          <w:color w:val="auto"/>
          <w:sz w:val="22"/>
        </w:rPr>
        <w:t xml:space="preserve">This follows reforms to the </w:t>
      </w:r>
      <w:r w:rsidRPr="00214B49">
        <w:rPr>
          <w:i/>
          <w:color w:val="auto"/>
          <w:sz w:val="22"/>
        </w:rPr>
        <w:t>Aboriginal Land Rights (Northern Territory) Amendment (Economic Empowerment) Act 2021</w:t>
      </w:r>
      <w:r w:rsidRPr="008E4A4E">
        <w:rPr>
          <w:color w:val="auto"/>
          <w:sz w:val="22"/>
        </w:rPr>
        <w:t xml:space="preserve">, which NT traditional owners, through their Land Councils, asked </w:t>
      </w:r>
      <w:r w:rsidR="00C57B3D">
        <w:rPr>
          <w:color w:val="auto"/>
          <w:sz w:val="22"/>
        </w:rPr>
        <w:t xml:space="preserve">for </w:t>
      </w:r>
      <w:r w:rsidRPr="008E4A4E">
        <w:rPr>
          <w:color w:val="auto"/>
          <w:sz w:val="22"/>
        </w:rPr>
        <w:t xml:space="preserve">to better support their economic, cultural and social aspirations. </w:t>
      </w:r>
    </w:p>
    <w:p w:rsidR="00214B49" w:rsidRPr="00214B49" w:rsidRDefault="00214B49" w:rsidP="00214B49">
      <w:pPr>
        <w:spacing w:after="0" w:line="240" w:lineRule="auto"/>
        <w:textAlignment w:val="baseline"/>
        <w:rPr>
          <w:color w:val="auto"/>
          <w:sz w:val="12"/>
        </w:rPr>
      </w:pPr>
    </w:p>
    <w:p w:rsidR="00F9284C" w:rsidRPr="00860730" w:rsidRDefault="00D86D29" w:rsidP="00860730">
      <w:pPr>
        <w:pStyle w:val="BodyText"/>
        <w:rPr>
          <w:color w:val="auto"/>
          <w:sz w:val="22"/>
          <w:szCs w:val="22"/>
        </w:rPr>
      </w:pPr>
      <w:r w:rsidRPr="006A0DEC">
        <w:rPr>
          <w:rFonts w:eastAsia="Calibri" w:cs="Arial"/>
          <w:color w:val="auto"/>
          <w:sz w:val="22"/>
          <w:szCs w:val="22"/>
        </w:rPr>
        <w:t xml:space="preserve">The Australian Government is </w:t>
      </w:r>
      <w:r w:rsidR="007653E3">
        <w:rPr>
          <w:rFonts w:eastAsia="Calibri" w:cs="Arial"/>
          <w:color w:val="auto"/>
          <w:sz w:val="22"/>
          <w:szCs w:val="22"/>
        </w:rPr>
        <w:t xml:space="preserve">currently </w:t>
      </w:r>
      <w:r w:rsidRPr="006A0DEC">
        <w:rPr>
          <w:rFonts w:eastAsia="Calibri" w:cs="Arial"/>
          <w:color w:val="auto"/>
          <w:sz w:val="22"/>
          <w:szCs w:val="22"/>
        </w:rPr>
        <w:t xml:space="preserve">working with </w:t>
      </w:r>
      <w:r w:rsidR="00166D91">
        <w:rPr>
          <w:rFonts w:eastAsia="Calibri" w:cs="Arial"/>
          <w:color w:val="auto"/>
          <w:sz w:val="22"/>
          <w:szCs w:val="22"/>
        </w:rPr>
        <w:t>the NTAIC</w:t>
      </w:r>
      <w:r w:rsidRPr="006A0DEC">
        <w:rPr>
          <w:rFonts w:eastAsia="Calibri" w:cs="Arial"/>
          <w:color w:val="auto"/>
          <w:sz w:val="22"/>
          <w:szCs w:val="22"/>
        </w:rPr>
        <w:t xml:space="preserve">’s interim Board to set up the </w:t>
      </w:r>
      <w:r w:rsidR="00C57B3D">
        <w:rPr>
          <w:rFonts w:eastAsia="Calibri" w:cs="Arial"/>
          <w:color w:val="auto"/>
          <w:sz w:val="22"/>
          <w:szCs w:val="22"/>
        </w:rPr>
        <w:t>Corporation</w:t>
      </w:r>
      <w:r w:rsidR="00A92369">
        <w:rPr>
          <w:rFonts w:eastAsia="Calibri" w:cs="Arial"/>
          <w:color w:val="auto"/>
          <w:sz w:val="22"/>
          <w:szCs w:val="22"/>
        </w:rPr>
        <w:t>.</w:t>
      </w:r>
    </w:p>
    <w:p w:rsidR="00F9284C" w:rsidRPr="006C2F0B" w:rsidRDefault="00F9284C" w:rsidP="00214B49">
      <w:pPr>
        <w:pStyle w:val="Heading2"/>
        <w:spacing w:after="60"/>
      </w:pPr>
      <w:r>
        <w:t>Why the new Corporation is needed</w:t>
      </w:r>
    </w:p>
    <w:p w:rsidR="00FF02C6" w:rsidRPr="00860730" w:rsidRDefault="00860730" w:rsidP="00D86D29">
      <w:pPr>
        <w:pStyle w:val="BodyText"/>
        <w:rPr>
          <w:rFonts w:eastAsia="Calibri" w:cs="Arial"/>
          <w:color w:val="auto"/>
          <w:sz w:val="22"/>
          <w:szCs w:val="22"/>
        </w:rPr>
      </w:pPr>
      <w:r>
        <w:rPr>
          <w:color w:val="auto"/>
          <w:sz w:val="22"/>
        </w:rPr>
        <w:t>Around half of</w:t>
      </w:r>
      <w:r w:rsidR="00F9284C" w:rsidRPr="00860730">
        <w:rPr>
          <w:color w:val="auto"/>
          <w:sz w:val="22"/>
        </w:rPr>
        <w:t xml:space="preserve"> the NT </w:t>
      </w:r>
      <w:r>
        <w:rPr>
          <w:color w:val="auto"/>
          <w:sz w:val="22"/>
        </w:rPr>
        <w:t xml:space="preserve">has been </w:t>
      </w:r>
      <w:r w:rsidR="00F9284C" w:rsidRPr="00860730">
        <w:rPr>
          <w:color w:val="auto"/>
          <w:sz w:val="22"/>
        </w:rPr>
        <w:t>granted as Aboriginal land under t</w:t>
      </w:r>
      <w:r w:rsidR="00214B49">
        <w:rPr>
          <w:color w:val="auto"/>
          <w:sz w:val="22"/>
        </w:rPr>
        <w:t xml:space="preserve">he </w:t>
      </w:r>
      <w:r w:rsidR="00214B49" w:rsidRPr="00214B49">
        <w:rPr>
          <w:i/>
          <w:color w:val="auto"/>
          <w:sz w:val="22"/>
        </w:rPr>
        <w:t>Aboriginal Land Rights (Northern Territory) Act 1976</w:t>
      </w:r>
      <w:r>
        <w:rPr>
          <w:color w:val="auto"/>
          <w:sz w:val="22"/>
        </w:rPr>
        <w:t xml:space="preserve">. </w:t>
      </w:r>
      <w:r w:rsidR="00D86D29" w:rsidRPr="00860730">
        <w:rPr>
          <w:color w:val="auto"/>
          <w:sz w:val="22"/>
        </w:rPr>
        <w:t>First Nations peoples in the</w:t>
      </w:r>
      <w:r>
        <w:rPr>
          <w:color w:val="auto"/>
          <w:sz w:val="22"/>
        </w:rPr>
        <w:t xml:space="preserve"> NT are </w:t>
      </w:r>
      <w:r w:rsidR="006A0DEC" w:rsidRPr="00860730">
        <w:rPr>
          <w:color w:val="auto"/>
          <w:sz w:val="22"/>
        </w:rPr>
        <w:t>working to maximise</w:t>
      </w:r>
      <w:r w:rsidR="00F9284C" w:rsidRPr="00860730">
        <w:rPr>
          <w:color w:val="auto"/>
          <w:sz w:val="22"/>
        </w:rPr>
        <w:t xml:space="preserve"> the potential of their land</w:t>
      </w:r>
      <w:r w:rsidR="006A0DEC" w:rsidRPr="00860730">
        <w:rPr>
          <w:color w:val="auto"/>
          <w:sz w:val="22"/>
        </w:rPr>
        <w:t xml:space="preserve"> to realise their social</w:t>
      </w:r>
      <w:r w:rsidRPr="00860730">
        <w:rPr>
          <w:color w:val="auto"/>
          <w:sz w:val="22"/>
        </w:rPr>
        <w:t>,</w:t>
      </w:r>
      <w:r w:rsidR="006A0DEC" w:rsidRPr="00860730">
        <w:rPr>
          <w:color w:val="auto"/>
          <w:sz w:val="22"/>
        </w:rPr>
        <w:t xml:space="preserve"> c</w:t>
      </w:r>
      <w:r w:rsidR="00455663">
        <w:rPr>
          <w:color w:val="auto"/>
          <w:sz w:val="22"/>
        </w:rPr>
        <w:t>ultural and economic objectives</w:t>
      </w:r>
      <w:r w:rsidR="00F9284C" w:rsidRPr="00860730">
        <w:rPr>
          <w:color w:val="auto"/>
          <w:sz w:val="22"/>
        </w:rPr>
        <w:t xml:space="preserve">. </w:t>
      </w:r>
      <w:r w:rsidR="00F9284C" w:rsidRPr="00860730">
        <w:rPr>
          <w:color w:val="auto"/>
          <w:sz w:val="22"/>
          <w:szCs w:val="22"/>
        </w:rPr>
        <w:t>The Government is unlocking the $1.3 billion Aboriginals Benef</w:t>
      </w:r>
      <w:r w:rsidRPr="00860730">
        <w:rPr>
          <w:color w:val="auto"/>
          <w:sz w:val="22"/>
          <w:szCs w:val="22"/>
        </w:rPr>
        <w:t>it Account (A</w:t>
      </w:r>
      <w:r w:rsidR="005D1D07">
        <w:rPr>
          <w:color w:val="auto"/>
          <w:sz w:val="22"/>
          <w:szCs w:val="22"/>
        </w:rPr>
        <w:t>BA) to support these aspirations</w:t>
      </w:r>
      <w:r w:rsidR="00F9284C" w:rsidRPr="00860730">
        <w:rPr>
          <w:color w:val="auto"/>
          <w:sz w:val="22"/>
          <w:szCs w:val="22"/>
        </w:rPr>
        <w:t xml:space="preserve">. </w:t>
      </w:r>
      <w:r w:rsidR="00D86D29" w:rsidRPr="00860730">
        <w:rPr>
          <w:rFonts w:eastAsia="Calibri" w:cs="Arial"/>
          <w:color w:val="auto"/>
          <w:sz w:val="22"/>
          <w:szCs w:val="22"/>
        </w:rPr>
        <w:t xml:space="preserve">Establishing </w:t>
      </w:r>
      <w:r w:rsidR="00FF02C6">
        <w:rPr>
          <w:rFonts w:eastAsia="Calibri" w:cs="Arial"/>
          <w:color w:val="auto"/>
          <w:sz w:val="22"/>
          <w:szCs w:val="22"/>
        </w:rPr>
        <w:t>the</w:t>
      </w:r>
      <w:r w:rsidR="00080E1E" w:rsidRPr="00860730">
        <w:rPr>
          <w:rFonts w:eastAsia="Calibri" w:cs="Arial"/>
          <w:color w:val="auto"/>
          <w:sz w:val="22"/>
          <w:szCs w:val="22"/>
        </w:rPr>
        <w:t xml:space="preserve"> NTAIC</w:t>
      </w:r>
      <w:r w:rsidR="00FF02C6">
        <w:rPr>
          <w:rFonts w:eastAsia="Calibri" w:cs="Arial"/>
          <w:color w:val="auto"/>
          <w:sz w:val="22"/>
          <w:szCs w:val="22"/>
        </w:rPr>
        <w:t xml:space="preserve"> </w:t>
      </w:r>
      <w:r w:rsidR="00FF02C6" w:rsidRPr="00860730">
        <w:rPr>
          <w:rFonts w:eastAsia="Calibri" w:cs="Arial"/>
          <w:color w:val="auto"/>
          <w:sz w:val="22"/>
          <w:szCs w:val="22"/>
        </w:rPr>
        <w:t>puts the Australian Government’s commitment to Closing the Gap into action</w:t>
      </w:r>
      <w:r w:rsidR="00FF02C6">
        <w:rPr>
          <w:rFonts w:eastAsia="Calibri" w:cs="Arial"/>
          <w:color w:val="auto"/>
          <w:sz w:val="22"/>
          <w:szCs w:val="22"/>
        </w:rPr>
        <w:t xml:space="preserve"> by shifting</w:t>
      </w:r>
      <w:r w:rsidR="00080E1E" w:rsidRPr="00860730">
        <w:rPr>
          <w:rFonts w:eastAsia="Calibri" w:cs="Arial"/>
          <w:color w:val="auto"/>
          <w:sz w:val="22"/>
          <w:szCs w:val="22"/>
        </w:rPr>
        <w:t xml:space="preserve"> </w:t>
      </w:r>
      <w:r w:rsidR="00D86D29" w:rsidRPr="00860730">
        <w:rPr>
          <w:rFonts w:eastAsia="Calibri" w:cs="Arial"/>
          <w:color w:val="auto"/>
          <w:sz w:val="22"/>
          <w:szCs w:val="22"/>
        </w:rPr>
        <w:t>decision making over $680 million from</w:t>
      </w:r>
      <w:r w:rsidR="005D1D07">
        <w:rPr>
          <w:rFonts w:eastAsia="Calibri" w:cs="Arial"/>
          <w:color w:val="auto"/>
          <w:sz w:val="22"/>
          <w:szCs w:val="22"/>
        </w:rPr>
        <w:t xml:space="preserve"> the ABA</w:t>
      </w:r>
      <w:r w:rsidR="00D86D29" w:rsidRPr="00860730">
        <w:rPr>
          <w:rFonts w:eastAsia="Calibri" w:cs="Arial"/>
          <w:color w:val="auto"/>
          <w:sz w:val="22"/>
          <w:szCs w:val="22"/>
        </w:rPr>
        <w:t xml:space="preserve"> from Canberra to the NT.  </w:t>
      </w:r>
    </w:p>
    <w:p w:rsidR="00F9284C" w:rsidRDefault="00F9284C" w:rsidP="00F9284C">
      <w:pPr>
        <w:pStyle w:val="BodyText"/>
        <w:rPr>
          <w:color w:val="auto"/>
          <w:sz w:val="22"/>
          <w:szCs w:val="24"/>
        </w:rPr>
      </w:pPr>
      <w:r w:rsidRPr="00860730">
        <w:rPr>
          <w:color w:val="auto"/>
          <w:sz w:val="22"/>
        </w:rPr>
        <w:t>Currently, the Minister for Indigenous Australians is responsible for approving beneficial payments from the ABA on the advice of the ABA Advisor</w:t>
      </w:r>
      <w:r w:rsidR="00FF02C6">
        <w:rPr>
          <w:color w:val="auto"/>
          <w:sz w:val="22"/>
        </w:rPr>
        <w:t xml:space="preserve">y Committee. </w:t>
      </w:r>
      <w:r w:rsidR="00214B49" w:rsidRPr="00214B49">
        <w:rPr>
          <w:color w:val="auto"/>
          <w:sz w:val="22"/>
        </w:rPr>
        <w:t xml:space="preserve">The existing ABA grants process will be replaced with a new payments process managed by the NTAIC. </w:t>
      </w:r>
      <w:r w:rsidR="0008417F">
        <w:rPr>
          <w:color w:val="auto"/>
          <w:sz w:val="22"/>
        </w:rPr>
        <w:t>T</w:t>
      </w:r>
      <w:r w:rsidR="0008417F" w:rsidRPr="0008417F">
        <w:rPr>
          <w:color w:val="auto"/>
          <w:sz w:val="22"/>
        </w:rPr>
        <w:t>he NTAIC’s new grants process</w:t>
      </w:r>
      <w:r w:rsidR="007F67A6">
        <w:rPr>
          <w:color w:val="auto"/>
          <w:sz w:val="22"/>
        </w:rPr>
        <w:t xml:space="preserve"> is</w:t>
      </w:r>
      <w:bookmarkStart w:id="0" w:name="_GoBack"/>
      <w:bookmarkEnd w:id="0"/>
      <w:r w:rsidR="0008417F" w:rsidRPr="0008417F">
        <w:rPr>
          <w:color w:val="auto"/>
          <w:sz w:val="22"/>
        </w:rPr>
        <w:t xml:space="preserve"> expected to open around March 2023. </w:t>
      </w:r>
      <w:r w:rsidR="00214B49">
        <w:rPr>
          <w:color w:val="auto"/>
          <w:sz w:val="22"/>
        </w:rPr>
        <w:t xml:space="preserve">Advice </w:t>
      </w:r>
      <w:r w:rsidR="00214B49" w:rsidRPr="00214B49">
        <w:rPr>
          <w:color w:val="auto"/>
          <w:sz w:val="22"/>
        </w:rPr>
        <w:t>on what the new process looks like and how people can apply will be published when available.</w:t>
      </w:r>
    </w:p>
    <w:p w:rsidR="00FF02C6" w:rsidRDefault="00FF02C6" w:rsidP="00FF02C6">
      <w:pPr>
        <w:pStyle w:val="Heading2"/>
      </w:pPr>
      <w:r>
        <w:t>Role of the NTAIC</w:t>
      </w:r>
    </w:p>
    <w:p w:rsidR="007653E3" w:rsidRPr="00D569B5" w:rsidRDefault="00FF02C6" w:rsidP="00D569B5">
      <w:pPr>
        <w:pStyle w:val="BodyText"/>
        <w:rPr>
          <w:rFonts w:eastAsia="Calibri" w:cs="Arial"/>
          <w:bCs/>
          <w:color w:val="auto"/>
          <w:sz w:val="22"/>
          <w:szCs w:val="22"/>
        </w:rPr>
      </w:pPr>
      <w:r w:rsidRPr="00D569B5">
        <w:rPr>
          <w:rFonts w:eastAsia="Calibri" w:cs="Arial"/>
          <w:bCs/>
          <w:color w:val="auto"/>
          <w:sz w:val="22"/>
          <w:szCs w:val="22"/>
        </w:rPr>
        <w:t>The NTAIC</w:t>
      </w:r>
      <w:r w:rsidR="00D569B5" w:rsidRPr="00D569B5">
        <w:rPr>
          <w:rFonts w:eastAsia="Calibri" w:cs="Arial"/>
          <w:bCs/>
          <w:color w:val="auto"/>
          <w:sz w:val="22"/>
          <w:szCs w:val="22"/>
        </w:rPr>
        <w:t xml:space="preserve"> </w:t>
      </w:r>
      <w:r w:rsidR="00D569B5">
        <w:rPr>
          <w:rFonts w:eastAsia="Calibri" w:cs="Arial"/>
          <w:bCs/>
          <w:color w:val="auto"/>
          <w:sz w:val="22"/>
          <w:szCs w:val="22"/>
        </w:rPr>
        <w:t xml:space="preserve">will </w:t>
      </w:r>
      <w:r w:rsidR="00D569B5" w:rsidRPr="00CB3FDD">
        <w:rPr>
          <w:iCs/>
          <w:sz w:val="22"/>
          <w:szCs w:val="22"/>
        </w:rPr>
        <w:t xml:space="preserve">create jobs, businesses and wealth for Aboriginal Territorians, strengthen culture and support self-determination for Traditional Owners and Aboriginal people across the Northern Territory for generations to come. </w:t>
      </w:r>
      <w:r w:rsidRPr="00D569B5">
        <w:rPr>
          <w:rFonts w:eastAsia="Calibri" w:cs="Arial"/>
          <w:bCs/>
          <w:color w:val="auto"/>
          <w:sz w:val="22"/>
          <w:szCs w:val="22"/>
        </w:rPr>
        <w:t xml:space="preserve"> </w:t>
      </w:r>
      <w:r w:rsidR="0022464C">
        <w:rPr>
          <w:rFonts w:eastAsia="Calibri" w:cs="Arial"/>
          <w:bCs/>
          <w:color w:val="auto"/>
          <w:sz w:val="22"/>
          <w:szCs w:val="22"/>
        </w:rPr>
        <w:t xml:space="preserve"> </w:t>
      </w:r>
      <w:r w:rsidR="007653E3">
        <w:rPr>
          <w:rFonts w:eastAsia="Calibri" w:cs="Arial"/>
          <w:bCs/>
          <w:color w:val="auto"/>
          <w:sz w:val="22"/>
          <w:szCs w:val="22"/>
        </w:rPr>
        <w:t xml:space="preserve">The NTAIC will </w:t>
      </w:r>
      <w:r w:rsidR="0022464C">
        <w:rPr>
          <w:rFonts w:eastAsia="Calibri" w:cs="Arial"/>
          <w:bCs/>
          <w:color w:val="auto"/>
          <w:sz w:val="22"/>
          <w:szCs w:val="22"/>
        </w:rPr>
        <w:t>establish an ABA payments program</w:t>
      </w:r>
      <w:r w:rsidR="005D1D07">
        <w:rPr>
          <w:rFonts w:eastAsia="Calibri" w:cs="Arial"/>
          <w:bCs/>
          <w:color w:val="auto"/>
          <w:sz w:val="22"/>
          <w:szCs w:val="22"/>
        </w:rPr>
        <w:t xml:space="preserve"> to support local social, cultural and economic priorities</w:t>
      </w:r>
      <w:r w:rsidR="0022464C">
        <w:rPr>
          <w:rFonts w:eastAsia="Calibri" w:cs="Arial"/>
          <w:bCs/>
          <w:color w:val="auto"/>
          <w:sz w:val="22"/>
          <w:szCs w:val="22"/>
        </w:rPr>
        <w:t xml:space="preserve">, and </w:t>
      </w:r>
      <w:r w:rsidR="00455663">
        <w:rPr>
          <w:rFonts w:eastAsia="Calibri" w:cs="Arial"/>
          <w:bCs/>
          <w:color w:val="auto"/>
          <w:sz w:val="22"/>
          <w:szCs w:val="22"/>
        </w:rPr>
        <w:t xml:space="preserve">investments in </w:t>
      </w:r>
      <w:r w:rsidR="00737995">
        <w:rPr>
          <w:rFonts w:eastAsia="Calibri" w:cs="Arial"/>
          <w:bCs/>
          <w:color w:val="auto"/>
          <w:sz w:val="22"/>
          <w:szCs w:val="22"/>
        </w:rPr>
        <w:t>large scale First Nations</w:t>
      </w:r>
      <w:r w:rsidR="005D1D07" w:rsidRPr="005D1D07">
        <w:rPr>
          <w:rFonts w:eastAsia="Calibri" w:cs="Arial"/>
          <w:bCs/>
          <w:color w:val="auto"/>
          <w:sz w:val="22"/>
          <w:szCs w:val="22"/>
        </w:rPr>
        <w:t xml:space="preserve"> economic development</w:t>
      </w:r>
      <w:r w:rsidR="0022464C">
        <w:rPr>
          <w:rFonts w:eastAsia="Calibri" w:cs="Arial"/>
          <w:bCs/>
          <w:color w:val="auto"/>
          <w:sz w:val="22"/>
          <w:szCs w:val="22"/>
        </w:rPr>
        <w:t xml:space="preserve"> </w:t>
      </w:r>
      <w:r w:rsidR="005D1D07">
        <w:rPr>
          <w:rFonts w:eastAsia="Calibri" w:cs="Arial"/>
          <w:bCs/>
          <w:color w:val="auto"/>
          <w:sz w:val="22"/>
          <w:szCs w:val="22"/>
        </w:rPr>
        <w:t>and in a financial market portfolio.</w:t>
      </w:r>
      <w:r w:rsidR="007653E3">
        <w:rPr>
          <w:rFonts w:eastAsia="Calibri" w:cs="Arial"/>
          <w:bCs/>
          <w:color w:val="auto"/>
          <w:sz w:val="22"/>
          <w:szCs w:val="22"/>
        </w:rPr>
        <w:t xml:space="preserve"> </w:t>
      </w:r>
    </w:p>
    <w:p w:rsidR="00D569B5" w:rsidRDefault="00FF02C6" w:rsidP="0022464C">
      <w:pPr>
        <w:pStyle w:val="BodyText"/>
        <w:rPr>
          <w:color w:val="auto"/>
          <w:sz w:val="22"/>
        </w:rPr>
      </w:pPr>
      <w:r>
        <w:rPr>
          <w:color w:val="auto"/>
          <w:sz w:val="22"/>
        </w:rPr>
        <w:t xml:space="preserve">The NTAIC </w:t>
      </w:r>
      <w:r w:rsidRPr="00860730">
        <w:rPr>
          <w:color w:val="auto"/>
          <w:sz w:val="22"/>
        </w:rPr>
        <w:t xml:space="preserve">will receive an initial $500 million endowment, $60 million per year for the first three years of its </w:t>
      </w:r>
      <w:r>
        <w:rPr>
          <w:color w:val="auto"/>
          <w:sz w:val="22"/>
        </w:rPr>
        <w:t xml:space="preserve">operation and subsequent </w:t>
      </w:r>
      <w:r w:rsidRPr="00860730">
        <w:rPr>
          <w:color w:val="auto"/>
          <w:sz w:val="22"/>
        </w:rPr>
        <w:t>funding from the ABA.</w:t>
      </w:r>
    </w:p>
    <w:p w:rsidR="00FF02C6" w:rsidRPr="0022464C" w:rsidRDefault="00D569B5" w:rsidP="0022464C">
      <w:pPr>
        <w:pStyle w:val="BodyText"/>
        <w:rPr>
          <w:color w:val="auto"/>
          <w:sz w:val="22"/>
        </w:rPr>
      </w:pPr>
      <w:r>
        <w:rPr>
          <w:color w:val="auto"/>
          <w:sz w:val="22"/>
        </w:rPr>
        <w:t>T</w:t>
      </w:r>
      <w:r w:rsidR="00FF02C6" w:rsidRPr="00860730">
        <w:rPr>
          <w:rFonts w:eastAsia="Calibri" w:cs="Arial"/>
          <w:bCs/>
          <w:color w:val="auto"/>
          <w:sz w:val="22"/>
          <w:szCs w:val="22"/>
        </w:rPr>
        <w:t>he NTAIC will be one of the largest commercial bodies in the NT, expected to boost gross regional product by nearly $500 million out to 2029-2030 by investing in First Nations communities and businesses and creating jobs.</w:t>
      </w:r>
    </w:p>
    <w:p w:rsidR="00F9284C" w:rsidRPr="006C2F0B" w:rsidRDefault="00F9284C" w:rsidP="00F9284C">
      <w:pPr>
        <w:pStyle w:val="Heading2"/>
        <w:spacing w:before="240" w:after="60"/>
      </w:pPr>
      <w:r w:rsidRPr="006C2F0B">
        <w:t>Strong Governance and Management</w:t>
      </w:r>
    </w:p>
    <w:p w:rsidR="00F9284C" w:rsidRPr="005D1D07" w:rsidRDefault="00860730" w:rsidP="00F9284C">
      <w:pPr>
        <w:pStyle w:val="BodyText"/>
        <w:tabs>
          <w:tab w:val="left" w:pos="4253"/>
        </w:tabs>
        <w:spacing w:before="120" w:after="0" w:line="276" w:lineRule="auto"/>
        <w:rPr>
          <w:rFonts w:cstheme="minorHAnsi"/>
          <w:iCs/>
          <w:color w:val="auto"/>
          <w:sz w:val="22"/>
          <w:szCs w:val="22"/>
        </w:rPr>
      </w:pPr>
      <w:r w:rsidRPr="005D1D07">
        <w:rPr>
          <w:rFonts w:cstheme="minorHAnsi"/>
          <w:bCs/>
          <w:color w:val="auto"/>
          <w:sz w:val="22"/>
          <w:szCs w:val="22"/>
        </w:rPr>
        <w:t>The NTAIC</w:t>
      </w:r>
      <w:r w:rsidR="00F9284C" w:rsidRPr="005D1D07">
        <w:rPr>
          <w:rFonts w:cstheme="minorHAnsi"/>
          <w:bCs/>
          <w:color w:val="auto"/>
          <w:sz w:val="22"/>
          <w:szCs w:val="22"/>
        </w:rPr>
        <w:t xml:space="preserve"> will </w:t>
      </w:r>
      <w:r w:rsidRPr="005D1D07">
        <w:rPr>
          <w:rFonts w:cstheme="minorHAnsi"/>
          <w:bCs/>
          <w:color w:val="auto"/>
          <w:sz w:val="22"/>
          <w:szCs w:val="22"/>
        </w:rPr>
        <w:t>have</w:t>
      </w:r>
      <w:r w:rsidRPr="005D1D07">
        <w:rPr>
          <w:rFonts w:cstheme="minorHAnsi"/>
          <w:iCs/>
          <w:color w:val="auto"/>
          <w:sz w:val="22"/>
          <w:szCs w:val="22"/>
        </w:rPr>
        <w:t xml:space="preserve"> strong governance structures and transparent reporting to ensure accountability to</w:t>
      </w:r>
      <w:r w:rsidR="00737995">
        <w:rPr>
          <w:rFonts w:cstheme="minorHAnsi"/>
          <w:iCs/>
          <w:color w:val="auto"/>
          <w:sz w:val="22"/>
          <w:szCs w:val="22"/>
        </w:rPr>
        <w:t xml:space="preserve"> First Nations Territorians</w:t>
      </w:r>
      <w:r w:rsidRPr="005D1D07">
        <w:rPr>
          <w:rFonts w:cstheme="minorHAnsi"/>
          <w:iCs/>
          <w:color w:val="auto"/>
          <w:sz w:val="22"/>
          <w:szCs w:val="22"/>
        </w:rPr>
        <w:t xml:space="preserve"> and the Australian Government. </w:t>
      </w:r>
      <w:r w:rsidR="007653E3">
        <w:rPr>
          <w:rFonts w:cstheme="minorHAnsi"/>
          <w:iCs/>
          <w:color w:val="auto"/>
          <w:sz w:val="22"/>
          <w:szCs w:val="22"/>
        </w:rPr>
        <w:t xml:space="preserve">The NTAIC </w:t>
      </w:r>
      <w:r w:rsidR="00FF02C6" w:rsidRPr="005D1D07">
        <w:rPr>
          <w:color w:val="auto"/>
          <w:sz w:val="22"/>
        </w:rPr>
        <w:t xml:space="preserve">Board </w:t>
      </w:r>
      <w:r w:rsidR="007653E3">
        <w:rPr>
          <w:color w:val="auto"/>
          <w:sz w:val="22"/>
        </w:rPr>
        <w:t xml:space="preserve">is diverse </w:t>
      </w:r>
      <w:r w:rsidR="00FF02C6" w:rsidRPr="005D1D07">
        <w:rPr>
          <w:color w:val="auto"/>
          <w:sz w:val="22"/>
        </w:rPr>
        <w:t>with a range of cultural, land and financial expertise, including a majority of Aboriginal representatives, independent directors and members appointed by government.</w:t>
      </w:r>
      <w:r w:rsidR="00FF02C6" w:rsidRPr="005D1D07">
        <w:rPr>
          <w:rFonts w:cstheme="minorHAnsi"/>
          <w:iCs/>
          <w:color w:val="auto"/>
          <w:sz w:val="22"/>
          <w:szCs w:val="22"/>
        </w:rPr>
        <w:t xml:space="preserve"> The NTAIC is </w:t>
      </w:r>
      <w:r w:rsidR="00737995">
        <w:rPr>
          <w:rFonts w:cstheme="minorHAnsi"/>
          <w:iCs/>
          <w:color w:val="auto"/>
          <w:sz w:val="22"/>
          <w:szCs w:val="22"/>
        </w:rPr>
        <w:t xml:space="preserve">a corporate Commonwealth entity and is </w:t>
      </w:r>
      <w:r w:rsidR="00FF02C6" w:rsidRPr="005D1D07">
        <w:rPr>
          <w:rFonts w:cstheme="minorHAnsi"/>
          <w:iCs/>
          <w:color w:val="auto"/>
          <w:sz w:val="22"/>
          <w:szCs w:val="22"/>
        </w:rPr>
        <w:t xml:space="preserve">subject to the </w:t>
      </w:r>
      <w:r w:rsidR="00F9284C" w:rsidRPr="005D1D07">
        <w:rPr>
          <w:rFonts w:cstheme="minorHAnsi"/>
          <w:bCs/>
          <w:color w:val="auto"/>
          <w:sz w:val="22"/>
          <w:szCs w:val="22"/>
        </w:rPr>
        <w:t xml:space="preserve">rules set out in the </w:t>
      </w:r>
      <w:r w:rsidR="00F9284C" w:rsidRPr="005D1D07">
        <w:rPr>
          <w:rFonts w:cstheme="minorHAnsi"/>
          <w:i/>
          <w:iCs/>
          <w:color w:val="auto"/>
          <w:sz w:val="22"/>
          <w:szCs w:val="22"/>
        </w:rPr>
        <w:t>Public Governance, Performance and Accountability Act 2013</w:t>
      </w:r>
      <w:r w:rsidR="00F9284C" w:rsidRPr="005D1D07">
        <w:rPr>
          <w:rFonts w:cstheme="minorHAnsi"/>
          <w:iCs/>
          <w:color w:val="auto"/>
          <w:sz w:val="22"/>
          <w:szCs w:val="22"/>
        </w:rPr>
        <w:t>.</w:t>
      </w:r>
      <w:r w:rsidR="00F9284C" w:rsidRPr="005D1D07">
        <w:rPr>
          <w:rFonts w:cstheme="minorHAnsi"/>
          <w:bCs/>
          <w:color w:val="auto"/>
          <w:sz w:val="22"/>
          <w:szCs w:val="22"/>
        </w:rPr>
        <w:t xml:space="preserve"> </w:t>
      </w:r>
      <w:r w:rsidR="00FF02C6" w:rsidRPr="005D1D07">
        <w:rPr>
          <w:rFonts w:cstheme="minorHAnsi"/>
          <w:iCs/>
          <w:color w:val="auto"/>
          <w:sz w:val="22"/>
          <w:szCs w:val="22"/>
        </w:rPr>
        <w:t>In addition to these</w:t>
      </w:r>
      <w:r w:rsidR="00F9284C" w:rsidRPr="005D1D07">
        <w:rPr>
          <w:rFonts w:cstheme="minorHAnsi"/>
          <w:iCs/>
          <w:color w:val="auto"/>
          <w:sz w:val="22"/>
          <w:szCs w:val="22"/>
        </w:rPr>
        <w:t xml:space="preserve"> requirements, </w:t>
      </w:r>
      <w:r w:rsidR="00A92369">
        <w:rPr>
          <w:rFonts w:cstheme="minorHAnsi"/>
          <w:iCs/>
          <w:color w:val="auto"/>
          <w:sz w:val="22"/>
          <w:szCs w:val="22"/>
        </w:rPr>
        <w:t>the NTAIC</w:t>
      </w:r>
      <w:r w:rsidR="00F9284C" w:rsidRPr="005D1D07">
        <w:rPr>
          <w:rFonts w:cstheme="minorHAnsi"/>
          <w:iCs/>
          <w:color w:val="auto"/>
          <w:sz w:val="22"/>
          <w:szCs w:val="22"/>
        </w:rPr>
        <w:t xml:space="preserve"> </w:t>
      </w:r>
      <w:r w:rsidR="00F9284C" w:rsidRPr="005D1D07">
        <w:rPr>
          <w:rFonts w:cstheme="minorHAnsi"/>
          <w:bCs/>
          <w:color w:val="auto"/>
          <w:sz w:val="22"/>
          <w:szCs w:val="22"/>
        </w:rPr>
        <w:t>will:</w:t>
      </w:r>
    </w:p>
    <w:p w:rsidR="00F9284C" w:rsidRPr="005D1D07" w:rsidRDefault="00F9284C" w:rsidP="00F9284C">
      <w:pPr>
        <w:pStyle w:val="BodyText"/>
        <w:numPr>
          <w:ilvl w:val="0"/>
          <w:numId w:val="19"/>
        </w:numPr>
        <w:tabs>
          <w:tab w:val="left" w:pos="4253"/>
        </w:tabs>
        <w:spacing w:after="0" w:line="276" w:lineRule="auto"/>
        <w:rPr>
          <w:rFonts w:cstheme="minorHAnsi"/>
          <w:color w:val="auto"/>
          <w:sz w:val="22"/>
          <w:szCs w:val="22"/>
        </w:rPr>
      </w:pPr>
      <w:r w:rsidRPr="005D1D07">
        <w:rPr>
          <w:rFonts w:cstheme="minorHAnsi"/>
          <w:bCs/>
          <w:color w:val="auto"/>
          <w:sz w:val="22"/>
          <w:szCs w:val="22"/>
        </w:rPr>
        <w:t xml:space="preserve">Consult widely with Aboriginal Territorians on a 3-5 year Strategic Investment Plan setting out its investment and funding priorities, which will </w:t>
      </w:r>
      <w:r w:rsidR="00ED680A">
        <w:rPr>
          <w:rFonts w:cstheme="minorHAnsi"/>
          <w:bCs/>
          <w:color w:val="auto"/>
          <w:sz w:val="22"/>
          <w:szCs w:val="22"/>
        </w:rPr>
        <w:t xml:space="preserve">be tabled in Parliament. </w:t>
      </w:r>
    </w:p>
    <w:p w:rsidR="00F9284C" w:rsidRPr="005D1D07" w:rsidRDefault="00F9284C" w:rsidP="00F9284C">
      <w:pPr>
        <w:pStyle w:val="BodyText"/>
        <w:numPr>
          <w:ilvl w:val="0"/>
          <w:numId w:val="19"/>
        </w:numPr>
        <w:tabs>
          <w:tab w:val="left" w:pos="4253"/>
        </w:tabs>
        <w:spacing w:after="0" w:line="276" w:lineRule="auto"/>
        <w:rPr>
          <w:rFonts w:cstheme="minorHAnsi"/>
          <w:color w:val="auto"/>
          <w:sz w:val="22"/>
          <w:szCs w:val="22"/>
        </w:rPr>
      </w:pPr>
      <w:r w:rsidRPr="005D1D07">
        <w:rPr>
          <w:rFonts w:cstheme="minorHAnsi"/>
          <w:bCs/>
          <w:color w:val="auto"/>
          <w:sz w:val="22"/>
          <w:szCs w:val="22"/>
        </w:rPr>
        <w:t>Publish Codes o</w:t>
      </w:r>
      <w:r w:rsidR="00ED680A">
        <w:rPr>
          <w:rFonts w:cstheme="minorHAnsi"/>
          <w:bCs/>
          <w:color w:val="auto"/>
          <w:sz w:val="22"/>
          <w:szCs w:val="22"/>
        </w:rPr>
        <w:t xml:space="preserve">f Conduct for its Board and CEO. </w:t>
      </w:r>
    </w:p>
    <w:p w:rsidR="00F9284C" w:rsidRPr="005D1D07" w:rsidRDefault="00F9284C" w:rsidP="00F9284C">
      <w:pPr>
        <w:pStyle w:val="BodyText"/>
        <w:numPr>
          <w:ilvl w:val="0"/>
          <w:numId w:val="19"/>
        </w:numPr>
        <w:tabs>
          <w:tab w:val="left" w:pos="4253"/>
        </w:tabs>
        <w:spacing w:after="0" w:line="276" w:lineRule="auto"/>
        <w:rPr>
          <w:rFonts w:cstheme="minorHAnsi"/>
          <w:bCs/>
          <w:color w:val="auto"/>
          <w:sz w:val="22"/>
          <w:szCs w:val="22"/>
        </w:rPr>
      </w:pPr>
      <w:r w:rsidRPr="005D1D07">
        <w:rPr>
          <w:rFonts w:cstheme="minorHAnsi"/>
          <w:bCs/>
          <w:color w:val="auto"/>
          <w:sz w:val="22"/>
          <w:szCs w:val="22"/>
        </w:rPr>
        <w:t xml:space="preserve">Have a strong Investment Committee with external financial expertise to provide business </w:t>
      </w:r>
      <w:r w:rsidR="00ED680A">
        <w:rPr>
          <w:rFonts w:cstheme="minorHAnsi"/>
          <w:bCs/>
          <w:color w:val="auto"/>
          <w:sz w:val="22"/>
          <w:szCs w:val="22"/>
        </w:rPr>
        <w:t xml:space="preserve">advice and support to the Board. </w:t>
      </w:r>
    </w:p>
    <w:p w:rsidR="00003585" w:rsidRPr="005D1D07" w:rsidRDefault="00F9284C" w:rsidP="00F9284C">
      <w:pPr>
        <w:pStyle w:val="BodyText"/>
        <w:numPr>
          <w:ilvl w:val="0"/>
          <w:numId w:val="19"/>
        </w:numPr>
        <w:tabs>
          <w:tab w:val="left" w:pos="4253"/>
        </w:tabs>
        <w:spacing w:after="0" w:line="276" w:lineRule="auto"/>
        <w:rPr>
          <w:color w:val="auto"/>
          <w:sz w:val="22"/>
          <w:szCs w:val="22"/>
        </w:rPr>
      </w:pPr>
      <w:r w:rsidRPr="005D1D07">
        <w:rPr>
          <w:rFonts w:cstheme="minorHAnsi"/>
          <w:bCs/>
          <w:color w:val="auto"/>
          <w:sz w:val="22"/>
          <w:szCs w:val="22"/>
        </w:rPr>
        <w:t>Seek government approval of investments of over $100 million.</w:t>
      </w:r>
    </w:p>
    <w:sectPr w:rsidR="00003585" w:rsidRPr="005D1D07" w:rsidSect="00F9284C">
      <w:headerReference w:type="default" r:id="rId11"/>
      <w:footerReference w:type="default" r:id="rId12"/>
      <w:headerReference w:type="first" r:id="rId13"/>
      <w:pgSz w:w="11906" w:h="16838"/>
      <w:pgMar w:top="720" w:right="720" w:bottom="284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E9" w:rsidRDefault="009C68E9">
      <w:pPr>
        <w:spacing w:after="0" w:line="240" w:lineRule="auto"/>
      </w:pPr>
      <w:r>
        <w:separator/>
      </w:r>
    </w:p>
  </w:endnote>
  <w:endnote w:type="continuationSeparator" w:id="0">
    <w:p w:rsidR="009C68E9" w:rsidRDefault="009C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885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7D0" w:rsidRDefault="001677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1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72EB" w:rsidRPr="0040648D" w:rsidRDefault="009C68E9" w:rsidP="00281E3E">
    <w:pPr>
      <w:pStyle w:val="Footer"/>
      <w:rPr>
        <w:color w:val="FFCA08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E9" w:rsidRDefault="009C68E9">
      <w:pPr>
        <w:spacing w:after="0" w:line="240" w:lineRule="auto"/>
      </w:pPr>
      <w:r>
        <w:separator/>
      </w:r>
    </w:p>
  </w:footnote>
  <w:footnote w:type="continuationSeparator" w:id="0">
    <w:p w:rsidR="009C68E9" w:rsidRDefault="009C6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8C4" w:rsidRDefault="00E3515B" w:rsidP="00B95533">
    <w:pPr>
      <w:spacing w:after="0" w:line="240" w:lineRule="auto"/>
    </w:pPr>
    <w:r>
      <w:continuationSeparator/>
    </w:r>
  </w:p>
  <w:p w:rsidR="00EB28C4" w:rsidRDefault="009C68E9"/>
  <w:p w:rsidR="00EE76B9" w:rsidRDefault="009C68E9" w:rsidP="00992D3E">
    <w:pPr>
      <w:pStyle w:val="ProtectiveMarking"/>
      <w:jc w:val="left"/>
    </w:pPr>
    <w:sdt>
      <w:sdtPr>
        <w:alias w:val="Classification"/>
        <w:tag w:val="Classification"/>
        <w:id w:val="928778366"/>
        <w:dataBinding w:xpath="/root[1]/Classification[1]" w:storeItemID="{F533AE62-A212-4B26-92DA-A3B336E8AE06}"/>
        <w:text/>
      </w:sdtPr>
      <w:sdtEndPr/>
      <w:sdtContent/>
    </w:sdt>
  </w:p>
  <w:p w:rsidR="00EE76B9" w:rsidRDefault="00E3515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5A58AEB6" wp14:editId="17336FCF">
          <wp:simplePos x="0" y="0"/>
          <wp:positionH relativeFrom="margin">
            <wp:align>left</wp:align>
          </wp:positionH>
          <wp:positionV relativeFrom="page">
            <wp:posOffset>628650</wp:posOffset>
          </wp:positionV>
          <wp:extent cx="6480000" cy="186711"/>
          <wp:effectExtent l="0" t="0" r="0" b="3810"/>
          <wp:wrapNone/>
          <wp:docPr id="1" name="Graphic 25" descr="Line of grey d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ts.sv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</a:ext>
                    </a:extLst>
                  </a:blip>
                  <a:srcRect l="1617" t="1" b="-2"/>
                  <a:stretch/>
                </pic:blipFill>
                <pic:spPr bwMode="auto">
                  <a:xfrm>
                    <a:off x="0" y="0"/>
                    <a:ext cx="6480000" cy="1867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72EB" w:rsidRDefault="009C6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2EB" w:rsidRPr="00BA343C" w:rsidRDefault="00E3515B">
    <w:pPr>
      <w:pStyle w:val="Header"/>
      <w:rPr>
        <w:sz w:val="2"/>
        <w:szCs w:val="2"/>
        <w:vertAlign w:val="superscript"/>
      </w:rPr>
    </w:pPr>
    <w:r w:rsidRPr="00BA343C">
      <w:rPr>
        <w:noProof/>
        <w:sz w:val="2"/>
        <w:szCs w:val="2"/>
        <w:vertAlign w:val="superscript"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665408" behindDoc="0" locked="0" layoutInCell="1" allowOverlap="1" wp14:anchorId="2B551D0F" wp14:editId="7B489F83">
          <wp:simplePos x="0" y="0"/>
          <wp:positionH relativeFrom="page">
            <wp:posOffset>535305</wp:posOffset>
          </wp:positionH>
          <wp:positionV relativeFrom="page">
            <wp:posOffset>257175</wp:posOffset>
          </wp:positionV>
          <wp:extent cx="2118360" cy="640080"/>
          <wp:effectExtent l="0" t="0" r="0" b="7620"/>
          <wp:wrapNone/>
          <wp:docPr id="2" name="Graphic 19" descr="Australian Government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43C">
      <w:rPr>
        <w:noProof/>
        <w:sz w:val="2"/>
        <w:szCs w:val="2"/>
        <w:vertAlign w:val="superscript"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1C6757" wp14:editId="58B54D18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55" name="Straight Connector 55" descr="Whit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9F137B" id="Straight Connector 55" o:spid="_x0000_s1026" alt="White line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" strokecolor="white [3212]">
              <v:stroke joinstyle="miter"/>
              <w10:wrap anchorx="page" anchory="page"/>
            </v:line>
          </w:pict>
        </mc:Fallback>
      </mc:AlternateContent>
    </w:r>
    <w:r w:rsidRPr="00BA343C">
      <w:rPr>
        <w:noProof/>
        <w:sz w:val="2"/>
        <w:szCs w:val="2"/>
        <w:vertAlign w:val="superscript"/>
        <w:lang w:eastAsia="en-AU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3E5B7F6A" wp14:editId="5733DC59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275" w:rsidRPr="00602577" w:rsidRDefault="00E3515B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D2C6C1" w:themeColor="background2" w:themeShade="E6"/>
                              <w:sz w:val="16"/>
                              <w:szCs w:val="16"/>
                            </w:rPr>
                          </w:pPr>
                          <w:r w:rsidRPr="00602577">
                            <w:rPr>
                              <w:i/>
                              <w:iCs/>
                              <w:color w:val="D2C6C1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B7F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90.8pt;width:243.8pt;height:1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" fillcolor="white [3212]" stroked="f">
              <v:textbox inset="15mm,0,0,0">
                <w:txbxContent>
                  <w:p w:rsidR="00FC6275" w:rsidRPr="00602577" w:rsidRDefault="00E3515B" w:rsidP="009672EB">
                    <w:pPr>
                      <w:spacing w:after="0" w:line="240" w:lineRule="auto"/>
                      <w:rPr>
                        <w:i/>
                        <w:iCs/>
                        <w:color w:val="D2C6C1" w:themeColor="background2" w:themeShade="E6"/>
                        <w:sz w:val="16"/>
                        <w:szCs w:val="16"/>
                      </w:rPr>
                    </w:pPr>
                    <w:r w:rsidRPr="00602577">
                      <w:rPr>
                        <w:i/>
                        <w:iCs/>
                        <w:color w:val="D2C6C1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BA343C">
      <w:rPr>
        <w:noProof/>
        <w:sz w:val="2"/>
        <w:szCs w:val="2"/>
        <w:vertAlign w:val="superscript"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666432" behindDoc="0" locked="1" layoutInCell="1" allowOverlap="1" wp14:anchorId="7B99302C" wp14:editId="3EDA1320">
          <wp:simplePos x="0" y="0"/>
          <wp:positionH relativeFrom="page">
            <wp:posOffset>3016885</wp:posOffset>
          </wp:positionH>
          <wp:positionV relativeFrom="page">
            <wp:posOffset>291465</wp:posOffset>
          </wp:positionV>
          <wp:extent cx="1580400" cy="518400"/>
          <wp:effectExtent l="0" t="0" r="1270" b="0"/>
          <wp:wrapNone/>
          <wp:docPr id="3" name="Graphic 16" descr="NI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43C">
      <w:rPr>
        <w:noProof/>
        <w:sz w:val="2"/>
        <w:szCs w:val="2"/>
        <w:vertAlign w:val="superscript"/>
        <w:lang w:eastAsia="en-AU"/>
      </w:rPr>
      <w:drawing>
        <wp:anchor distT="0" distB="0" distL="0" distR="0" simplePos="0" relativeHeight="251664384" behindDoc="0" locked="1" layoutInCell="1" allowOverlap="1" wp14:anchorId="4F1C984D" wp14:editId="170BAE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4" name="Graphic 11" descr="NIAA heade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4E9"/>
    <w:multiLevelType w:val="hybridMultilevel"/>
    <w:tmpl w:val="0B003BBA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7382DF36">
      <w:start w:val="1"/>
      <w:numFmt w:val="bullet"/>
      <w:lvlText w:val="­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1ACC8B32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A8AC5F0C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EABCE3BA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F9B2B8B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3ABA3F8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BAA2514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126895A8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" w15:restartNumberingAfterBreak="0">
    <w:nsid w:val="0DEA6EE1"/>
    <w:multiLevelType w:val="hybridMultilevel"/>
    <w:tmpl w:val="D4F2F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F48E1"/>
    <w:multiLevelType w:val="hybridMultilevel"/>
    <w:tmpl w:val="37D44EE6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color w:val="auto"/>
        <w:sz w:val="20"/>
        <w:szCs w:val="20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D307011"/>
    <w:multiLevelType w:val="hybridMultilevel"/>
    <w:tmpl w:val="D4E61C92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b w:val="0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D79666D"/>
    <w:multiLevelType w:val="hybridMultilevel"/>
    <w:tmpl w:val="40E028A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21D0D"/>
    <w:multiLevelType w:val="hybridMultilevel"/>
    <w:tmpl w:val="D12AE0E4"/>
    <w:lvl w:ilvl="0" w:tplc="FF342CAA">
      <w:start w:val="1"/>
      <w:numFmt w:val="bullet"/>
      <w:pStyle w:val="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935DD"/>
    <w:multiLevelType w:val="hybridMultilevel"/>
    <w:tmpl w:val="B3E02AEE"/>
    <w:lvl w:ilvl="0" w:tplc="BFCEDFE6">
      <w:start w:val="1"/>
      <w:numFmt w:val="bullet"/>
      <w:lvlText w:val="•"/>
      <w:lvlJc w:val="left"/>
      <w:pPr>
        <w:ind w:left="786" w:hanging="360"/>
      </w:pPr>
      <w:rPr>
        <w:rFonts w:ascii="Arial" w:hAnsi="Arial" w:hint="default"/>
        <w:b w:val="0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79D46B5"/>
    <w:multiLevelType w:val="hybridMultilevel"/>
    <w:tmpl w:val="A3F43004"/>
    <w:lvl w:ilvl="0" w:tplc="BFCEDFE6">
      <w:start w:val="1"/>
      <w:numFmt w:val="bullet"/>
      <w:lvlText w:val="•"/>
      <w:lvlJc w:val="left"/>
      <w:pPr>
        <w:ind w:left="786" w:hanging="360"/>
      </w:pPr>
      <w:rPr>
        <w:rFonts w:ascii="Arial" w:hAnsi="Arial" w:hint="default"/>
        <w:b w:val="0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A701FED"/>
    <w:multiLevelType w:val="hybridMultilevel"/>
    <w:tmpl w:val="65A27248"/>
    <w:lvl w:ilvl="0" w:tplc="C6DC8D26">
      <w:start w:val="1"/>
      <w:numFmt w:val="decimal"/>
      <w:lvlText w:val="%1."/>
      <w:lvlJc w:val="left"/>
      <w:pPr>
        <w:ind w:left="360" w:hanging="360"/>
      </w:pPr>
      <w:rPr>
        <w:rFonts w:hint="default"/>
        <w:color w:val="C96E06" w:themeColor="accent2" w:themeShade="B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37261"/>
    <w:multiLevelType w:val="hybridMultilevel"/>
    <w:tmpl w:val="BC2A2E54"/>
    <w:lvl w:ilvl="0" w:tplc="0C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 w:val="0"/>
        <w:color w:val="auto"/>
        <w:sz w:val="20"/>
        <w:szCs w:val="20"/>
      </w:rPr>
    </w:lvl>
    <w:lvl w:ilvl="1" w:tplc="7382DF36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1ACC8B32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A8AC5F0C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EABCE3BA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F9B2B8B2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3ABA3F82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BAA25144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126895A8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10" w15:restartNumberingAfterBreak="0">
    <w:nsid w:val="434F6963"/>
    <w:multiLevelType w:val="hybridMultilevel"/>
    <w:tmpl w:val="78B649B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0F4A35"/>
    <w:multiLevelType w:val="hybridMultilevel"/>
    <w:tmpl w:val="F23818B6"/>
    <w:lvl w:ilvl="0" w:tplc="0C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22E7CB4"/>
    <w:multiLevelType w:val="hybridMultilevel"/>
    <w:tmpl w:val="B2EC9B3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5BF47B7"/>
    <w:multiLevelType w:val="hybridMultilevel"/>
    <w:tmpl w:val="147C3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F4B20"/>
    <w:multiLevelType w:val="hybridMultilevel"/>
    <w:tmpl w:val="C00C056E"/>
    <w:lvl w:ilvl="0" w:tplc="BFCEDFE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color w:val="auto"/>
        <w:sz w:val="20"/>
        <w:szCs w:val="20"/>
      </w:rPr>
    </w:lvl>
    <w:lvl w:ilvl="1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1ACC8B32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A8AC5F0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EABCE3B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F9B2B8B2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3ABA3F82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BAA25144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126895A8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5" w15:restartNumberingAfterBreak="0">
    <w:nsid w:val="68D32C2B"/>
    <w:multiLevelType w:val="hybridMultilevel"/>
    <w:tmpl w:val="3E48BA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4D0654"/>
    <w:multiLevelType w:val="hybridMultilevel"/>
    <w:tmpl w:val="FC5C2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2A4717"/>
    <w:multiLevelType w:val="hybridMultilevel"/>
    <w:tmpl w:val="7046C4B4"/>
    <w:lvl w:ilvl="0" w:tplc="BFCEDFE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  <w:b w:val="0"/>
        <w:color w:val="auto"/>
        <w:sz w:val="20"/>
        <w:szCs w:val="20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ACC8B32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A8AC5F0C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EABCE3B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F9B2B8B2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3ABA3F82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BAA25144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126895A8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18" w15:restartNumberingAfterBreak="0">
    <w:nsid w:val="7A456DB6"/>
    <w:multiLevelType w:val="hybridMultilevel"/>
    <w:tmpl w:val="6D0A91D0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7382DF36">
      <w:start w:val="1"/>
      <w:numFmt w:val="bullet"/>
      <w:lvlText w:val="­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1ACC8B32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A8AC5F0C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EABCE3BA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F9B2B8B2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3ABA3F8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BAA2514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126895A8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15"/>
  </w:num>
  <w:num w:numId="12">
    <w:abstractNumId w:val="14"/>
  </w:num>
  <w:num w:numId="13">
    <w:abstractNumId w:val="12"/>
  </w:num>
  <w:num w:numId="14">
    <w:abstractNumId w:val="2"/>
  </w:num>
  <w:num w:numId="15">
    <w:abstractNumId w:val="18"/>
  </w:num>
  <w:num w:numId="16">
    <w:abstractNumId w:val="10"/>
  </w:num>
  <w:num w:numId="17">
    <w:abstractNumId w:val="0"/>
  </w:num>
  <w:num w:numId="18">
    <w:abstractNumId w:val="5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B"/>
    <w:rsid w:val="0000627B"/>
    <w:rsid w:val="00075E23"/>
    <w:rsid w:val="000772DB"/>
    <w:rsid w:val="00080E1E"/>
    <w:rsid w:val="0008417F"/>
    <w:rsid w:val="00087F96"/>
    <w:rsid w:val="000E610A"/>
    <w:rsid w:val="001021B7"/>
    <w:rsid w:val="001562E8"/>
    <w:rsid w:val="00166D91"/>
    <w:rsid w:val="001677D0"/>
    <w:rsid w:val="0018753A"/>
    <w:rsid w:val="001C548D"/>
    <w:rsid w:val="001C7D45"/>
    <w:rsid w:val="001E6BBE"/>
    <w:rsid w:val="001F6A64"/>
    <w:rsid w:val="001F6F0A"/>
    <w:rsid w:val="00214B49"/>
    <w:rsid w:val="00221127"/>
    <w:rsid w:val="0022464C"/>
    <w:rsid w:val="00225498"/>
    <w:rsid w:val="0023213A"/>
    <w:rsid w:val="00253647"/>
    <w:rsid w:val="002632ED"/>
    <w:rsid w:val="00272295"/>
    <w:rsid w:val="002B08C7"/>
    <w:rsid w:val="002B735F"/>
    <w:rsid w:val="002C36FB"/>
    <w:rsid w:val="002D1231"/>
    <w:rsid w:val="002D4692"/>
    <w:rsid w:val="002F3990"/>
    <w:rsid w:val="00352635"/>
    <w:rsid w:val="003639E5"/>
    <w:rsid w:val="00363AEA"/>
    <w:rsid w:val="003D4DEC"/>
    <w:rsid w:val="00424190"/>
    <w:rsid w:val="004344CD"/>
    <w:rsid w:val="00455663"/>
    <w:rsid w:val="004569A6"/>
    <w:rsid w:val="00466444"/>
    <w:rsid w:val="004C16B1"/>
    <w:rsid w:val="004C2DF7"/>
    <w:rsid w:val="004C5979"/>
    <w:rsid w:val="004C61AB"/>
    <w:rsid w:val="004C72F1"/>
    <w:rsid w:val="004D2F78"/>
    <w:rsid w:val="004E4430"/>
    <w:rsid w:val="0053051B"/>
    <w:rsid w:val="00537F2D"/>
    <w:rsid w:val="00545836"/>
    <w:rsid w:val="005A0353"/>
    <w:rsid w:val="005A31D9"/>
    <w:rsid w:val="005A62D8"/>
    <w:rsid w:val="005D1D07"/>
    <w:rsid w:val="00600E23"/>
    <w:rsid w:val="006100BA"/>
    <w:rsid w:val="006128B3"/>
    <w:rsid w:val="0062407C"/>
    <w:rsid w:val="00634A24"/>
    <w:rsid w:val="00657AC8"/>
    <w:rsid w:val="00664202"/>
    <w:rsid w:val="006740FC"/>
    <w:rsid w:val="006A0DEC"/>
    <w:rsid w:val="006E6901"/>
    <w:rsid w:val="006E75BD"/>
    <w:rsid w:val="00705141"/>
    <w:rsid w:val="00720734"/>
    <w:rsid w:val="00737435"/>
    <w:rsid w:val="00737995"/>
    <w:rsid w:val="0074136B"/>
    <w:rsid w:val="00743332"/>
    <w:rsid w:val="007637BB"/>
    <w:rsid w:val="007653E3"/>
    <w:rsid w:val="00775997"/>
    <w:rsid w:val="0077724A"/>
    <w:rsid w:val="00794B5F"/>
    <w:rsid w:val="007B20FA"/>
    <w:rsid w:val="007C41C9"/>
    <w:rsid w:val="007E1A97"/>
    <w:rsid w:val="007E4112"/>
    <w:rsid w:val="007F4B43"/>
    <w:rsid w:val="007F5296"/>
    <w:rsid w:val="007F67A6"/>
    <w:rsid w:val="00820169"/>
    <w:rsid w:val="00821B6A"/>
    <w:rsid w:val="00825A08"/>
    <w:rsid w:val="00857617"/>
    <w:rsid w:val="00857CF1"/>
    <w:rsid w:val="00860730"/>
    <w:rsid w:val="00865B26"/>
    <w:rsid w:val="00876ED5"/>
    <w:rsid w:val="008C7C04"/>
    <w:rsid w:val="008E4A4E"/>
    <w:rsid w:val="008F0796"/>
    <w:rsid w:val="008F28DA"/>
    <w:rsid w:val="009737CA"/>
    <w:rsid w:val="00976967"/>
    <w:rsid w:val="0097700D"/>
    <w:rsid w:val="009775EB"/>
    <w:rsid w:val="009805CC"/>
    <w:rsid w:val="00992D3E"/>
    <w:rsid w:val="00996D12"/>
    <w:rsid w:val="009C68E9"/>
    <w:rsid w:val="00A00E1D"/>
    <w:rsid w:val="00A101AE"/>
    <w:rsid w:val="00A307CB"/>
    <w:rsid w:val="00A37DEF"/>
    <w:rsid w:val="00A47BEB"/>
    <w:rsid w:val="00A770C2"/>
    <w:rsid w:val="00A92369"/>
    <w:rsid w:val="00AD2E30"/>
    <w:rsid w:val="00B1176C"/>
    <w:rsid w:val="00B22AAE"/>
    <w:rsid w:val="00B658A8"/>
    <w:rsid w:val="00B7557A"/>
    <w:rsid w:val="00BA343C"/>
    <w:rsid w:val="00BB16B3"/>
    <w:rsid w:val="00BB781A"/>
    <w:rsid w:val="00BF1842"/>
    <w:rsid w:val="00C04329"/>
    <w:rsid w:val="00C25F74"/>
    <w:rsid w:val="00C31820"/>
    <w:rsid w:val="00C368C2"/>
    <w:rsid w:val="00C4172E"/>
    <w:rsid w:val="00C44B51"/>
    <w:rsid w:val="00C47E67"/>
    <w:rsid w:val="00C525E4"/>
    <w:rsid w:val="00C54908"/>
    <w:rsid w:val="00C57B3D"/>
    <w:rsid w:val="00CA6729"/>
    <w:rsid w:val="00CB3FDD"/>
    <w:rsid w:val="00CE4765"/>
    <w:rsid w:val="00D569B5"/>
    <w:rsid w:val="00D81E77"/>
    <w:rsid w:val="00D85141"/>
    <w:rsid w:val="00D85316"/>
    <w:rsid w:val="00D86D29"/>
    <w:rsid w:val="00D9479C"/>
    <w:rsid w:val="00DA4CB4"/>
    <w:rsid w:val="00DC1F41"/>
    <w:rsid w:val="00DE4AE5"/>
    <w:rsid w:val="00E0678E"/>
    <w:rsid w:val="00E3515B"/>
    <w:rsid w:val="00E67ECD"/>
    <w:rsid w:val="00ED680A"/>
    <w:rsid w:val="00EF4343"/>
    <w:rsid w:val="00F01CF3"/>
    <w:rsid w:val="00F026A2"/>
    <w:rsid w:val="00F138C0"/>
    <w:rsid w:val="00F2418E"/>
    <w:rsid w:val="00F45E44"/>
    <w:rsid w:val="00F62EEE"/>
    <w:rsid w:val="00F748D4"/>
    <w:rsid w:val="00F8497F"/>
    <w:rsid w:val="00F9284C"/>
    <w:rsid w:val="00FA04E0"/>
    <w:rsid w:val="00FA19D5"/>
    <w:rsid w:val="00FA7686"/>
    <w:rsid w:val="00FF02C6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57B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qFormat/>
    <w:rsid w:val="00E3515B"/>
    <w:pPr>
      <w:spacing w:after="120" w:line="264" w:lineRule="auto"/>
    </w:pPr>
    <w:rPr>
      <w:color w:val="262626" w:themeColor="text1" w:themeTint="D9"/>
      <w:sz w:val="20"/>
      <w:szCs w:val="20"/>
    </w:rPr>
  </w:style>
  <w:style w:type="paragraph" w:styleId="Heading1">
    <w:name w:val="heading 1"/>
    <w:basedOn w:val="Heading4"/>
    <w:next w:val="Normal"/>
    <w:link w:val="Heading1Char"/>
    <w:uiPriority w:val="9"/>
    <w:qFormat/>
    <w:rsid w:val="004C16B1"/>
    <w:pPr>
      <w:spacing w:before="120" w:after="240"/>
      <w:jc w:val="center"/>
      <w:outlineLvl w:val="0"/>
    </w:pPr>
    <w:rPr>
      <w:rFonts w:ascii="Century Gothic" w:hAnsi="Century Gothic"/>
      <w:b/>
      <w:i w:val="0"/>
      <w:color w:val="EC7016" w:themeColor="accent4"/>
      <w:sz w:val="36"/>
      <w:szCs w:val="36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4C16B1"/>
    <w:pPr>
      <w:spacing w:before="120" w:line="276" w:lineRule="auto"/>
      <w:outlineLvl w:val="1"/>
    </w:pPr>
    <w:rPr>
      <w:rFonts w:ascii="Century Gothic" w:hAnsi="Century Gothic" w:cstheme="minorHAnsi"/>
      <w:color w:val="EC7016" w:themeColor="accent4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77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49A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16B1"/>
    <w:rPr>
      <w:rFonts w:ascii="Century Gothic" w:hAnsi="Century Gothic" w:cstheme="minorHAnsi"/>
      <w:color w:val="EC7016" w:themeColor="accent4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E3515B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515B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E3515B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39302A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3515B"/>
    <w:rPr>
      <w:rFonts w:asciiTheme="majorHAnsi" w:hAnsiTheme="majorHAnsi"/>
      <w:bCs/>
      <w:color w:val="39302A" w:themeColor="text2"/>
      <w:sz w:val="16"/>
      <w:szCs w:val="16"/>
    </w:rPr>
  </w:style>
  <w:style w:type="paragraph" w:styleId="ListParagraph">
    <w:name w:val="List Paragraph"/>
    <w:aliases w:val="List Paragraph1,List Paragraph11,List Paragraph Number,Bullet point,Bulleted Para,NFP GP Bulleted List,bullet point list,L,Bullet points,Content descriptions,Bullet Point,List Paragraph2,Dot Point,NAST Quote,Body Bullets 1,List Bullet Cab"/>
    <w:basedOn w:val="Normal"/>
    <w:link w:val="ListParagraphChar"/>
    <w:uiPriority w:val="34"/>
    <w:qFormat/>
    <w:rsid w:val="00E3515B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E3515B"/>
  </w:style>
  <w:style w:type="character" w:customStyle="1" w:styleId="BodyTextChar">
    <w:name w:val="Body Text Char"/>
    <w:basedOn w:val="DefaultParagraphFont"/>
    <w:link w:val="BodyText"/>
    <w:rsid w:val="00E3515B"/>
    <w:rPr>
      <w:color w:val="262626" w:themeColor="text1" w:themeTint="D9"/>
      <w:sz w:val="20"/>
      <w:szCs w:val="20"/>
    </w:rPr>
  </w:style>
  <w:style w:type="paragraph" w:customStyle="1" w:styleId="ProtectiveMarking">
    <w:name w:val="Protective Marking"/>
    <w:basedOn w:val="Normal"/>
    <w:uiPriority w:val="13"/>
    <w:rsid w:val="00E3515B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paragraph" w:customStyle="1" w:styleId="Footerline">
    <w:name w:val="Footer line"/>
    <w:uiPriority w:val="11"/>
    <w:semiHidden/>
    <w:rsid w:val="00E3515B"/>
    <w:pPr>
      <w:spacing w:before="20" w:after="240" w:line="264" w:lineRule="auto"/>
    </w:pPr>
    <w:rPr>
      <w:caps/>
      <w:noProof/>
      <w:color w:val="FFCA08" w:themeColor="accent1"/>
      <w:sz w:val="20"/>
      <w:szCs w:val="20"/>
    </w:rPr>
  </w:style>
  <w:style w:type="character" w:customStyle="1" w:styleId="ListParagraphChar">
    <w:name w:val="List Paragraph Char"/>
    <w:aliases w:val="List Paragraph1 Char,List Paragraph11 Char,List Paragraph Number Char,Bullet point Char,Bulleted Para Char,NFP GP Bulleted List Char,bullet point list Char,L Char,Bullet points Char,Content descriptions Char,Bullet Point Char"/>
    <w:basedOn w:val="DefaultParagraphFont"/>
    <w:link w:val="ListParagraph"/>
    <w:uiPriority w:val="34"/>
    <w:qFormat/>
    <w:locked/>
    <w:rsid w:val="00E3515B"/>
    <w:rPr>
      <w:color w:val="262626" w:themeColor="text1" w:themeTint="D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F1"/>
    <w:rPr>
      <w:rFonts w:ascii="Segoe UI" w:hAnsi="Segoe UI" w:cs="Segoe UI"/>
      <w:color w:val="262626" w:themeColor="text1" w:themeTint="D9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0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8C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B08C7"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8C7"/>
    <w:rPr>
      <w:b/>
      <w:bCs/>
      <w:color w:val="262626" w:themeColor="text1" w:themeTint="D9"/>
      <w:sz w:val="20"/>
      <w:szCs w:val="20"/>
    </w:rPr>
  </w:style>
  <w:style w:type="paragraph" w:customStyle="1" w:styleId="Bullet3">
    <w:name w:val="Bullet 3"/>
    <w:basedOn w:val="Normal"/>
    <w:rsid w:val="004C2DF7"/>
    <w:pPr>
      <w:numPr>
        <w:numId w:val="10"/>
      </w:numPr>
      <w:spacing w:after="200" w:line="240" w:lineRule="auto"/>
    </w:pPr>
    <w:rPr>
      <w:rFonts w:ascii="Times New Roman" w:eastAsiaTheme="minorEastAsia" w:hAnsi="Times New Roman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677D0"/>
    <w:rPr>
      <w:rFonts w:asciiTheme="majorHAnsi" w:eastAsiaTheme="majorEastAsia" w:hAnsiTheme="majorHAnsi" w:cstheme="majorBidi"/>
      <w:i/>
      <w:iCs/>
      <w:color w:val="C49A00" w:themeColor="accent1" w:themeShade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16B1"/>
    <w:rPr>
      <w:rFonts w:ascii="Century Gothic" w:eastAsiaTheme="majorEastAsia" w:hAnsi="Century Gothic" w:cstheme="majorBidi"/>
      <w:b/>
      <w:iCs/>
      <w:color w:val="EC7016" w:themeColor="accent4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E4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DOC22-273739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DC3EBF5-2B60-4D07-BEB0-D0A132208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AB3EF-E8AF-472E-A96D-4674F4F13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A3F755-6996-4055-9CAF-E11012D9C505}">
  <ds:schemaRefs>
    <ds:schemaRef ds:uri="http://schemas.microsoft.com/office/2006/metadata/properties"/>
    <ds:schemaRef ds:uri="http://schemas.microsoft.com/office/infopath/2007/PartnerControls"/>
    <ds:schemaRef ds:uri="166541c0-0594-4e6a-9105-c24d4b6de6f7"/>
    <ds:schemaRef ds:uri="685f9fda-bd71-4433-b331-92feb9553089"/>
  </ds:schemaRefs>
</ds:datastoreItem>
</file>

<file path=customXml/itemProps4.xml><?xml version="1.0" encoding="utf-8"?>
<ds:datastoreItem xmlns:ds="http://schemas.openxmlformats.org/officeDocument/2006/customXml" ds:itemID="{52816551-E429-4173-85EB-9D2D5B51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2022-09-14T03:13:00Z</dcterms:created>
  <dcterms:modified xsi:type="dcterms:W3CDTF">2022-09-14T05:02:00Z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ESearchTags">
    <vt:lpwstr/>
  </property>
  <property fmtid="{D5CDD505-2E9C-101B-9397-08002B2CF9AE}" pid="4" name="HPRMSecurityLevel">
    <vt:lpwstr>57;#OFFICIAL|11463c70-78df-4e3b-b0ff-f66cd3cb26ec</vt:lpwstr>
  </property>
  <property fmtid="{D5CDD505-2E9C-101B-9397-08002B2CF9AE}" pid="5" name="HPRMSecurityCaveat">
    <vt:lpwstr/>
  </property>
  <property fmtid="{D5CDD505-2E9C-101B-9397-08002B2CF9AE}" pid="6" name="PMC.ESearch.TagGeneratedTime">
    <vt:lpwstr>2021-12-14T09:32:24</vt:lpwstr>
  </property>
</Properties>
</file>