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D24C5" w14:textId="77777777" w:rsidR="00F9284C" w:rsidRPr="00AE4DD2" w:rsidRDefault="00F9284C" w:rsidP="00F9284C">
      <w:pPr>
        <w:pStyle w:val="Heading1"/>
        <w:spacing w:after="120"/>
        <w:jc w:val="left"/>
        <w:rPr>
          <w:rFonts w:asciiTheme="majorHAnsi" w:hAnsiTheme="majorHAnsi"/>
          <w:caps/>
          <w:noProof/>
          <w:color w:val="CD1719"/>
          <w:sz w:val="16"/>
        </w:rPr>
      </w:pPr>
      <w:r w:rsidRPr="00AE4DD2">
        <w:t>New</w:t>
      </w:r>
      <w:r>
        <w:t xml:space="preserve"> Northern Territory Aboriginal Investment Corporation </w:t>
      </w:r>
    </w:p>
    <w:p w14:paraId="7A785BCD" w14:textId="5B66565D" w:rsidR="00F9284C" w:rsidRPr="00720734" w:rsidRDefault="00F9284C" w:rsidP="00F9284C">
      <w:pPr>
        <w:pStyle w:val="BodyText"/>
        <w:rPr>
          <w:color w:val="auto"/>
          <w:sz w:val="22"/>
        </w:rPr>
      </w:pPr>
      <w:r w:rsidRPr="00720734">
        <w:rPr>
          <w:color w:val="auto"/>
          <w:sz w:val="22"/>
        </w:rPr>
        <w:t>On 1 December 2021, the Australian Parliament passed the Aboriginal Land Rights (Northern Territory) Amendment (Economic Empowerment) Bill 2021 (the Bill).</w:t>
      </w:r>
      <w:r w:rsidR="007F5296">
        <w:rPr>
          <w:color w:val="auto"/>
          <w:sz w:val="22"/>
        </w:rPr>
        <w:t xml:space="preserve"> </w:t>
      </w:r>
      <w:r w:rsidRPr="00720734">
        <w:rPr>
          <w:color w:val="auto"/>
          <w:sz w:val="22"/>
        </w:rPr>
        <w:t xml:space="preserve">The Australian Government has worked in partnership with the four NT Land Councils to co-design a package of generational reforms to the </w:t>
      </w:r>
      <w:r w:rsidRPr="00720734">
        <w:rPr>
          <w:i/>
          <w:color w:val="auto"/>
          <w:sz w:val="22"/>
        </w:rPr>
        <w:t xml:space="preserve">Aboriginal Land Rights (Northern Territory) Act 1976 </w:t>
      </w:r>
      <w:r w:rsidRPr="00720734">
        <w:rPr>
          <w:color w:val="auto"/>
          <w:sz w:val="22"/>
        </w:rPr>
        <w:t xml:space="preserve">(ALRA). </w:t>
      </w:r>
    </w:p>
    <w:p w14:paraId="7666B730" w14:textId="660CECF4" w:rsidR="00F9284C" w:rsidRPr="00C8081A" w:rsidRDefault="00F9284C" w:rsidP="00F9284C">
      <w:pPr>
        <w:pStyle w:val="BodyText"/>
        <w:rPr>
          <w:rFonts w:cstheme="minorHAnsi"/>
          <w:bCs/>
          <w:color w:val="auto"/>
          <w:sz w:val="22"/>
        </w:rPr>
      </w:pPr>
      <w:r w:rsidRPr="00C8081A">
        <w:rPr>
          <w:rFonts w:cstheme="minorHAnsi"/>
          <w:bCs/>
          <w:color w:val="auto"/>
          <w:sz w:val="22"/>
        </w:rPr>
        <w:t>The centre-piece of the reforms is a new, Aboriginal-controlled body called the NT Aboriginal Investment Corporation (the new Corporation) to empower Aboriginal people in the NT to maximise the economic future of their families and communities for generations to come. The new Corpora</w:t>
      </w:r>
      <w:bookmarkStart w:id="0" w:name="_GoBack"/>
      <w:bookmarkEnd w:id="0"/>
      <w:r w:rsidRPr="00C8081A">
        <w:rPr>
          <w:rFonts w:cstheme="minorHAnsi"/>
          <w:bCs/>
          <w:color w:val="auto"/>
          <w:sz w:val="22"/>
        </w:rPr>
        <w:t>tion will be established in 2022</w:t>
      </w:r>
      <w:r w:rsidR="00F138C0">
        <w:rPr>
          <w:rFonts w:cstheme="minorHAnsi"/>
          <w:bCs/>
          <w:color w:val="auto"/>
          <w:sz w:val="22"/>
        </w:rPr>
        <w:t>, with the first step to establish an Interim Board</w:t>
      </w:r>
      <w:r w:rsidR="00F138C0" w:rsidRPr="00C8081A">
        <w:rPr>
          <w:rFonts w:cstheme="minorHAnsi"/>
          <w:bCs/>
          <w:color w:val="auto"/>
          <w:sz w:val="22"/>
        </w:rPr>
        <w:t>.</w:t>
      </w:r>
    </w:p>
    <w:p w14:paraId="5D8EA60B" w14:textId="77777777" w:rsidR="00F9284C" w:rsidRPr="006C2F0B" w:rsidRDefault="00F9284C" w:rsidP="00F9284C">
      <w:pPr>
        <w:pStyle w:val="Heading2"/>
        <w:spacing w:before="240" w:after="60"/>
      </w:pPr>
      <w:r>
        <w:t>Why the new Corporation is needed</w:t>
      </w:r>
    </w:p>
    <w:p w14:paraId="4484ECB5" w14:textId="77777777" w:rsidR="00F9284C" w:rsidRPr="00C8081A" w:rsidRDefault="00F9284C" w:rsidP="00F9284C">
      <w:pPr>
        <w:pStyle w:val="BodyText"/>
        <w:rPr>
          <w:sz w:val="22"/>
        </w:rPr>
      </w:pPr>
      <w:r w:rsidRPr="00C8081A">
        <w:rPr>
          <w:sz w:val="22"/>
        </w:rPr>
        <w:t xml:space="preserve">With over 47 per cent of the NT granted as Aboriginal land under the ALRA, Aboriginal Territorians, and Indigenous peoples all over Australia, are turning their minds to activating the potential of their land. The Government is unlocking the $1.3 billion Aboriginals Benefit Account (ABA) to pave the way. </w:t>
      </w:r>
    </w:p>
    <w:p w14:paraId="3A79A722" w14:textId="77777777" w:rsidR="00F9284C" w:rsidRPr="00C8081A" w:rsidRDefault="00F9284C" w:rsidP="00F9284C">
      <w:pPr>
        <w:pStyle w:val="BodyText"/>
        <w:rPr>
          <w:sz w:val="22"/>
        </w:rPr>
      </w:pPr>
      <w:r w:rsidRPr="00C8081A">
        <w:rPr>
          <w:sz w:val="22"/>
        </w:rPr>
        <w:t>Delivering on its Closing the Gap commitments, the Government is introducing legislation to establish the new Corporation to invest in projects that will grow wealth and support sustainable Aboriginal economies in the NT for the long term - seven generations ahead. The new Corporation will be led by a diverse Board with a range of cultural, land and financial expertise, including a majority of Aboriginal representatives, independent directors and members appointed by government.</w:t>
      </w:r>
    </w:p>
    <w:p w14:paraId="680D92D9" w14:textId="77777777" w:rsidR="00F9284C" w:rsidRPr="00C8081A" w:rsidRDefault="00F9284C" w:rsidP="00F9284C">
      <w:pPr>
        <w:pStyle w:val="BodyText"/>
        <w:rPr>
          <w:sz w:val="22"/>
        </w:rPr>
      </w:pPr>
      <w:r w:rsidRPr="00C8081A">
        <w:rPr>
          <w:sz w:val="22"/>
        </w:rPr>
        <w:t xml:space="preserve">It will receive an initial $500 million endowment, $60 million per year for the first three years of its operation and subsequent yearly funding from the ABA. The new Corporation will use this funding to invest in Aboriginal businesses and commercial projects like aquaculture, agriculture and tourism enterprises, and support community projects like art centres and youth centres. </w:t>
      </w:r>
    </w:p>
    <w:p w14:paraId="6BC78451" w14:textId="77777777" w:rsidR="00F9284C" w:rsidRPr="00C8081A" w:rsidRDefault="00F9284C" w:rsidP="00F9284C">
      <w:pPr>
        <w:pStyle w:val="BodyText"/>
        <w:rPr>
          <w:sz w:val="22"/>
        </w:rPr>
      </w:pPr>
      <w:r w:rsidRPr="00C8081A">
        <w:rPr>
          <w:sz w:val="22"/>
        </w:rPr>
        <w:t xml:space="preserve">Currently, the Minister for Indigenous Australians is responsible for approving beneficial payments from the ABA on the advice of the ABA Advisory Committee. The new Corporation will replace the current beneficial payments process, putting funding decisions in the hands of Aboriginal Territorians. </w:t>
      </w:r>
    </w:p>
    <w:p w14:paraId="602C106F" w14:textId="77777777" w:rsidR="00F9284C" w:rsidRDefault="00F9284C" w:rsidP="00F9284C">
      <w:pPr>
        <w:pStyle w:val="Heading2"/>
        <w:spacing w:before="240" w:after="60"/>
      </w:pPr>
      <w:r w:rsidRPr="00231868">
        <w:t>The co-design process</w:t>
      </w:r>
    </w:p>
    <w:p w14:paraId="157F59A7" w14:textId="77777777" w:rsidR="00F9284C" w:rsidRPr="00C8081A" w:rsidRDefault="00F9284C" w:rsidP="00F9284C">
      <w:pPr>
        <w:pStyle w:val="BodyText"/>
      </w:pPr>
      <w:r w:rsidRPr="00C8081A">
        <w:rPr>
          <w:color w:val="auto"/>
          <w:sz w:val="22"/>
          <w:szCs w:val="24"/>
        </w:rPr>
        <w:t xml:space="preserve">Government, the four NT Land Councils and the ABA Advisory Committee have met </w:t>
      </w:r>
      <w:r>
        <w:rPr>
          <w:color w:val="auto"/>
          <w:sz w:val="22"/>
          <w:szCs w:val="24"/>
        </w:rPr>
        <w:t xml:space="preserve">over 8 </w:t>
      </w:r>
      <w:r w:rsidRPr="00C8081A">
        <w:rPr>
          <w:color w:val="auto"/>
          <w:sz w:val="22"/>
          <w:szCs w:val="24"/>
        </w:rPr>
        <w:t xml:space="preserve">times since 2018 through an extensive co-design process to develop the new Corporation based on ABA reform principles developed by the NT Land Councils. People have been calling for these reforms since 1984. </w:t>
      </w:r>
    </w:p>
    <w:p w14:paraId="519F21A6" w14:textId="77777777" w:rsidR="00F9284C" w:rsidRPr="006C2F0B" w:rsidRDefault="00F9284C" w:rsidP="00F9284C">
      <w:pPr>
        <w:pStyle w:val="Heading2"/>
        <w:spacing w:before="240" w:after="60"/>
      </w:pPr>
      <w:r w:rsidRPr="006C2F0B">
        <w:t>Strong Governance and Management</w:t>
      </w:r>
    </w:p>
    <w:p w14:paraId="60DAD02B" w14:textId="77777777" w:rsidR="00F9284C" w:rsidRPr="00C8081A" w:rsidRDefault="00F9284C" w:rsidP="00F9284C">
      <w:pPr>
        <w:pStyle w:val="BodyText"/>
        <w:tabs>
          <w:tab w:val="left" w:pos="4253"/>
        </w:tabs>
        <w:spacing w:before="120" w:after="0" w:line="276" w:lineRule="auto"/>
        <w:rPr>
          <w:rFonts w:cstheme="minorHAnsi"/>
          <w:iCs/>
          <w:color w:val="auto"/>
          <w:sz w:val="22"/>
          <w:szCs w:val="22"/>
        </w:rPr>
      </w:pPr>
      <w:r w:rsidRPr="00C8081A">
        <w:rPr>
          <w:rFonts w:cstheme="minorHAnsi"/>
          <w:bCs/>
          <w:color w:val="auto"/>
          <w:sz w:val="22"/>
          <w:szCs w:val="22"/>
        </w:rPr>
        <w:t xml:space="preserve">The new Corporation will work within the rules set out in the </w:t>
      </w:r>
      <w:r w:rsidRPr="00C8081A">
        <w:rPr>
          <w:rFonts w:cstheme="minorHAnsi"/>
          <w:i/>
          <w:iCs/>
          <w:color w:val="auto"/>
          <w:sz w:val="22"/>
          <w:szCs w:val="22"/>
        </w:rPr>
        <w:t>Public Governance, Performance and Accountability Act 2013</w:t>
      </w:r>
      <w:r w:rsidRPr="00C8081A">
        <w:rPr>
          <w:rFonts w:cstheme="minorHAnsi"/>
          <w:iCs/>
          <w:color w:val="auto"/>
          <w:sz w:val="22"/>
          <w:szCs w:val="22"/>
        </w:rPr>
        <w:t xml:space="preserve"> (PGPA Act).</w:t>
      </w:r>
      <w:r w:rsidRPr="00C8081A">
        <w:rPr>
          <w:rFonts w:cstheme="minorHAnsi"/>
          <w:bCs/>
          <w:color w:val="auto"/>
          <w:sz w:val="22"/>
          <w:szCs w:val="22"/>
        </w:rPr>
        <w:t xml:space="preserve"> </w:t>
      </w:r>
      <w:r w:rsidRPr="00C8081A">
        <w:rPr>
          <w:rFonts w:cstheme="minorHAnsi"/>
          <w:iCs/>
          <w:color w:val="auto"/>
          <w:sz w:val="22"/>
          <w:szCs w:val="22"/>
        </w:rPr>
        <w:t>It will have strong governance structures and transparent reporting to ensure accountability to Aboriginal people in the NT and the Australian Government.</w:t>
      </w:r>
    </w:p>
    <w:p w14:paraId="4570ECEB" w14:textId="77777777" w:rsidR="00F9284C" w:rsidRPr="00C8081A" w:rsidRDefault="00F9284C" w:rsidP="00F9284C">
      <w:pPr>
        <w:pStyle w:val="BodyText"/>
        <w:tabs>
          <w:tab w:val="left" w:pos="4253"/>
        </w:tabs>
        <w:spacing w:before="120" w:after="0" w:line="276" w:lineRule="auto"/>
        <w:rPr>
          <w:rFonts w:cstheme="minorHAnsi"/>
          <w:bCs/>
          <w:color w:val="auto"/>
          <w:sz w:val="22"/>
          <w:szCs w:val="22"/>
        </w:rPr>
      </w:pPr>
      <w:r w:rsidRPr="00C8081A">
        <w:rPr>
          <w:rFonts w:cstheme="minorHAnsi"/>
          <w:iCs/>
          <w:color w:val="auto"/>
          <w:sz w:val="22"/>
          <w:szCs w:val="22"/>
        </w:rPr>
        <w:t xml:space="preserve">In addition to PGPA Act requirements, the ABA entity </w:t>
      </w:r>
      <w:r w:rsidRPr="00C8081A">
        <w:rPr>
          <w:rFonts w:cstheme="minorHAnsi"/>
          <w:bCs/>
          <w:color w:val="auto"/>
          <w:sz w:val="22"/>
          <w:szCs w:val="22"/>
        </w:rPr>
        <w:t>will:</w:t>
      </w:r>
    </w:p>
    <w:p w14:paraId="183DD169" w14:textId="77777777" w:rsidR="00F9284C" w:rsidRPr="00C8081A" w:rsidRDefault="00F9284C" w:rsidP="00F9284C">
      <w:pPr>
        <w:pStyle w:val="BodyText"/>
        <w:numPr>
          <w:ilvl w:val="0"/>
          <w:numId w:val="19"/>
        </w:numPr>
        <w:tabs>
          <w:tab w:val="left" w:pos="4253"/>
        </w:tabs>
        <w:spacing w:after="0" w:line="276" w:lineRule="auto"/>
        <w:rPr>
          <w:rFonts w:cstheme="minorHAnsi"/>
          <w:color w:val="auto"/>
          <w:sz w:val="22"/>
          <w:szCs w:val="22"/>
        </w:rPr>
      </w:pPr>
      <w:r w:rsidRPr="00C8081A">
        <w:rPr>
          <w:rFonts w:cstheme="minorHAnsi"/>
          <w:bCs/>
          <w:color w:val="auto"/>
          <w:sz w:val="22"/>
          <w:szCs w:val="22"/>
        </w:rPr>
        <w:t>Consult widely with Aboriginal Territorians on a 3-5 year Strategic Investment Plan setting out its investment and funding priorities, which will be tabled in Parliament,</w:t>
      </w:r>
    </w:p>
    <w:p w14:paraId="16975B0D" w14:textId="77777777" w:rsidR="00F9284C" w:rsidRPr="00C8081A" w:rsidRDefault="00F9284C" w:rsidP="00F9284C">
      <w:pPr>
        <w:pStyle w:val="BodyText"/>
        <w:numPr>
          <w:ilvl w:val="0"/>
          <w:numId w:val="19"/>
        </w:numPr>
        <w:tabs>
          <w:tab w:val="left" w:pos="4253"/>
        </w:tabs>
        <w:spacing w:after="0" w:line="276" w:lineRule="auto"/>
        <w:rPr>
          <w:rFonts w:cstheme="minorHAnsi"/>
          <w:color w:val="auto"/>
          <w:sz w:val="22"/>
          <w:szCs w:val="22"/>
        </w:rPr>
      </w:pPr>
      <w:r w:rsidRPr="00C8081A">
        <w:rPr>
          <w:rFonts w:cstheme="minorHAnsi"/>
          <w:bCs/>
          <w:color w:val="auto"/>
          <w:sz w:val="22"/>
          <w:szCs w:val="22"/>
        </w:rPr>
        <w:t>Publish Codes of Conduct for its Board and CEO,</w:t>
      </w:r>
    </w:p>
    <w:p w14:paraId="478CB426" w14:textId="77777777" w:rsidR="00F9284C" w:rsidRPr="00C8081A" w:rsidRDefault="00F9284C" w:rsidP="00F9284C">
      <w:pPr>
        <w:pStyle w:val="BodyText"/>
        <w:numPr>
          <w:ilvl w:val="0"/>
          <w:numId w:val="19"/>
        </w:numPr>
        <w:tabs>
          <w:tab w:val="left" w:pos="4253"/>
        </w:tabs>
        <w:spacing w:after="0" w:line="276" w:lineRule="auto"/>
        <w:rPr>
          <w:rFonts w:cstheme="minorHAnsi"/>
          <w:bCs/>
          <w:color w:val="auto"/>
          <w:sz w:val="22"/>
          <w:szCs w:val="22"/>
        </w:rPr>
      </w:pPr>
      <w:r w:rsidRPr="00C8081A">
        <w:rPr>
          <w:rFonts w:cstheme="minorHAnsi"/>
          <w:bCs/>
          <w:color w:val="auto"/>
          <w:sz w:val="22"/>
          <w:szCs w:val="22"/>
        </w:rPr>
        <w:t>Have a strong Investment Committee with external financial expertise to provide business advice and support to the Board, and</w:t>
      </w:r>
    </w:p>
    <w:p w14:paraId="7BE7F902" w14:textId="77777777" w:rsidR="00F9284C" w:rsidRPr="00C8081A" w:rsidRDefault="00F9284C" w:rsidP="00F9284C">
      <w:pPr>
        <w:pStyle w:val="BodyText"/>
        <w:numPr>
          <w:ilvl w:val="0"/>
          <w:numId w:val="19"/>
        </w:numPr>
        <w:tabs>
          <w:tab w:val="left" w:pos="4253"/>
        </w:tabs>
        <w:spacing w:after="0" w:line="276" w:lineRule="auto"/>
        <w:rPr>
          <w:color w:val="auto"/>
          <w:sz w:val="22"/>
          <w:szCs w:val="22"/>
        </w:rPr>
      </w:pPr>
      <w:r w:rsidRPr="00C8081A">
        <w:rPr>
          <w:rFonts w:cstheme="minorHAnsi"/>
          <w:bCs/>
          <w:color w:val="auto"/>
          <w:sz w:val="22"/>
          <w:szCs w:val="22"/>
        </w:rPr>
        <w:t>Seek government approval of investments of over $100 million.</w:t>
      </w:r>
    </w:p>
    <w:p w14:paraId="17A61CA0" w14:textId="29154B79" w:rsidR="00003585" w:rsidRPr="00F9284C" w:rsidRDefault="00F138C0" w:rsidP="00F9284C"/>
    <w:sectPr w:rsidR="00003585" w:rsidRPr="00F9284C" w:rsidSect="00F9284C">
      <w:headerReference w:type="default" r:id="rId11"/>
      <w:footerReference w:type="default" r:id="rId12"/>
      <w:headerReference w:type="first" r:id="rId13"/>
      <w:pgSz w:w="11906" w:h="16838"/>
      <w:pgMar w:top="720" w:right="720" w:bottom="284"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C228" w14:textId="77777777" w:rsidR="007637BB" w:rsidRDefault="007637BB">
      <w:pPr>
        <w:spacing w:after="0" w:line="240" w:lineRule="auto"/>
      </w:pPr>
      <w:r>
        <w:separator/>
      </w:r>
    </w:p>
  </w:endnote>
  <w:endnote w:type="continuationSeparator" w:id="0">
    <w:p w14:paraId="33C895CD" w14:textId="77777777" w:rsidR="007637BB" w:rsidRDefault="0076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85156"/>
      <w:docPartObj>
        <w:docPartGallery w:val="Page Numbers (Bottom of Page)"/>
        <w:docPartUnique/>
      </w:docPartObj>
    </w:sdtPr>
    <w:sdtEndPr>
      <w:rPr>
        <w:noProof/>
      </w:rPr>
    </w:sdtEndPr>
    <w:sdtContent>
      <w:p w14:paraId="039E428C" w14:textId="1F4F12F6" w:rsidR="001677D0" w:rsidRDefault="001677D0">
        <w:pPr>
          <w:pStyle w:val="Footer"/>
        </w:pPr>
        <w:r>
          <w:fldChar w:fldCharType="begin"/>
        </w:r>
        <w:r>
          <w:instrText xml:space="preserve"> PAGE   \* MERGEFORMAT </w:instrText>
        </w:r>
        <w:r>
          <w:fldChar w:fldCharType="separate"/>
        </w:r>
        <w:r w:rsidR="00BA343C">
          <w:rPr>
            <w:noProof/>
          </w:rPr>
          <w:t>2</w:t>
        </w:r>
        <w:r>
          <w:rPr>
            <w:noProof/>
          </w:rPr>
          <w:fldChar w:fldCharType="end"/>
        </w:r>
      </w:p>
    </w:sdtContent>
  </w:sdt>
  <w:p w14:paraId="696BA4A9" w14:textId="77777777" w:rsidR="009672EB" w:rsidRPr="0040648D" w:rsidRDefault="00F138C0" w:rsidP="00281E3E">
    <w:pPr>
      <w:pStyle w:val="Footer"/>
      <w:rPr>
        <w:color w:val="FFCA08"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D56B" w14:textId="77777777" w:rsidR="007637BB" w:rsidRDefault="007637BB">
      <w:pPr>
        <w:spacing w:after="0" w:line="240" w:lineRule="auto"/>
      </w:pPr>
      <w:r>
        <w:separator/>
      </w:r>
    </w:p>
  </w:footnote>
  <w:footnote w:type="continuationSeparator" w:id="0">
    <w:p w14:paraId="6E01AADA" w14:textId="77777777" w:rsidR="007637BB" w:rsidRDefault="0076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8C09" w14:textId="77777777" w:rsidR="00EB28C4" w:rsidRDefault="00E3515B" w:rsidP="00B95533">
    <w:pPr>
      <w:spacing w:after="0" w:line="240" w:lineRule="auto"/>
    </w:pPr>
    <w:r>
      <w:continuationSeparator/>
    </w:r>
  </w:p>
  <w:p w14:paraId="2084FC27" w14:textId="77777777" w:rsidR="00EB28C4" w:rsidRDefault="00F138C0"/>
  <w:p w14:paraId="28CA3791" w14:textId="77777777" w:rsidR="00EE76B9" w:rsidRDefault="00F138C0" w:rsidP="00992D3E">
    <w:pPr>
      <w:pStyle w:val="ProtectiveMarking"/>
      <w:jc w:val="left"/>
    </w:pPr>
    <w:sdt>
      <w:sdtPr>
        <w:alias w:val="Classification"/>
        <w:tag w:val="Classification"/>
        <w:id w:val="928778366"/>
        <w:dataBinding w:xpath="/root[1]/Classification[1]" w:storeItemID="{F533AE62-A212-4B26-92DA-A3B336E8AE06}"/>
        <w:text/>
      </w:sdtPr>
      <w:sdtEndPr/>
      <w:sdtContent/>
    </w:sdt>
  </w:p>
  <w:p w14:paraId="70C26F85" w14:textId="77777777" w:rsidR="00EE76B9" w:rsidRDefault="00E3515B">
    <w:pPr>
      <w:pStyle w:val="Header"/>
    </w:pPr>
    <w:r>
      <w:rPr>
        <w:noProof/>
        <w:lang w:eastAsia="en-AU"/>
      </w:rPr>
      <w:drawing>
        <wp:anchor distT="0" distB="0" distL="114300" distR="114300" simplePos="0" relativeHeight="251663360" behindDoc="0" locked="1" layoutInCell="1" allowOverlap="1" wp14:anchorId="5A58AEB6" wp14:editId="17336FCF">
          <wp:simplePos x="0" y="0"/>
          <wp:positionH relativeFrom="margin">
            <wp:align>left</wp:align>
          </wp:positionH>
          <wp:positionV relativeFrom="page">
            <wp:posOffset>628650</wp:posOffset>
          </wp:positionV>
          <wp:extent cx="6480000" cy="186711"/>
          <wp:effectExtent l="0" t="0" r="0" b="3810"/>
          <wp:wrapNone/>
          <wp:docPr id="1" name="Graphic 25" descr="Line of grey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3D23D8" w14:textId="77777777" w:rsidR="009672EB" w:rsidRDefault="00F1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F1C1" w14:textId="77777777" w:rsidR="009672EB" w:rsidRPr="00BA343C" w:rsidRDefault="00E3515B">
    <w:pPr>
      <w:pStyle w:val="Header"/>
      <w:rPr>
        <w:sz w:val="2"/>
        <w:szCs w:val="2"/>
        <w:vertAlign w:val="superscript"/>
      </w:rPr>
    </w:pPr>
    <w:r w:rsidRPr="00BA343C">
      <w:rPr>
        <w:noProof/>
        <w:sz w:val="2"/>
        <w:szCs w:val="2"/>
        <w:vertAlign w:val="superscript"/>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65408" behindDoc="0" locked="0" layoutInCell="1" allowOverlap="1" wp14:anchorId="2B551D0F" wp14:editId="7B489F83">
          <wp:simplePos x="0" y="0"/>
          <wp:positionH relativeFrom="page">
            <wp:posOffset>535305</wp:posOffset>
          </wp:positionH>
          <wp:positionV relativeFrom="page">
            <wp:posOffset>257175</wp:posOffset>
          </wp:positionV>
          <wp:extent cx="2118360" cy="640080"/>
          <wp:effectExtent l="0" t="0" r="0" b="7620"/>
          <wp:wrapNone/>
          <wp:docPr id="2"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sidRPr="00BA343C">
      <w:rPr>
        <w:noProof/>
        <w:sz w:val="2"/>
        <w:szCs w:val="2"/>
        <w:vertAlign w:val="superscript"/>
        <w:lang w:eastAsia="en-AU"/>
      </w:rPr>
      <mc:AlternateContent>
        <mc:Choice Requires="wps">
          <w:drawing>
            <wp:anchor distT="0" distB="0" distL="114300" distR="114300" simplePos="0" relativeHeight="251668480" behindDoc="0" locked="0" layoutInCell="1" allowOverlap="1" wp14:anchorId="2C1C6757" wp14:editId="58B54D18">
              <wp:simplePos x="0" y="0"/>
              <wp:positionH relativeFrom="page">
                <wp:posOffset>2852738</wp:posOffset>
              </wp:positionH>
              <wp:positionV relativeFrom="page">
                <wp:posOffset>290513</wp:posOffset>
              </wp:positionV>
              <wp:extent cx="0" cy="620077"/>
              <wp:effectExtent l="0" t="0" r="38100" b="27940"/>
              <wp:wrapNone/>
              <wp:docPr id="55" name="Straight Connector 55" descr="White line"/>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71BB6A" id="Straight Connector 55" o:spid="_x0000_s1026" alt="White line"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" strokecolor="white [3212]">
              <v:stroke joinstyle="miter"/>
              <w10:wrap anchorx="page" anchory="page"/>
            </v:line>
          </w:pict>
        </mc:Fallback>
      </mc:AlternateContent>
    </w:r>
    <w:r w:rsidRPr="00BA343C">
      <w:rPr>
        <w:noProof/>
        <w:sz w:val="2"/>
        <w:szCs w:val="2"/>
        <w:vertAlign w:val="superscript"/>
        <w:lang w:eastAsia="en-AU"/>
      </w:rPr>
      <mc:AlternateContent>
        <mc:Choice Requires="wps">
          <w:drawing>
            <wp:anchor distT="45720" distB="45720" distL="114300" distR="114300" simplePos="0" relativeHeight="251667456" behindDoc="0" locked="1" layoutInCell="1" allowOverlap="1" wp14:anchorId="3E5B7F6A" wp14:editId="5733DC59">
              <wp:simplePos x="0" y="0"/>
              <wp:positionH relativeFrom="page">
                <wp:posOffset>0</wp:posOffset>
              </wp:positionH>
              <wp:positionV relativeFrom="page">
                <wp:posOffset>1153160</wp:posOffset>
              </wp:positionV>
              <wp:extent cx="3096000" cy="143510"/>
              <wp:effectExtent l="0" t="0" r="9525" b="88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solidFill>
                        <a:schemeClr val="bg1"/>
                      </a:solidFill>
                      <a:ln w="9525">
                        <a:noFill/>
                        <a:miter lim="800000"/>
                        <a:headEnd/>
                        <a:tailEnd/>
                      </a:ln>
                    </wps:spPr>
                    <wps:txbx>
                      <w:txbxContent>
                        <w:p w14:paraId="5C5F0845" w14:textId="77777777" w:rsidR="00FC6275" w:rsidRPr="00602577" w:rsidRDefault="00E3515B" w:rsidP="009672EB">
                          <w:pPr>
                            <w:spacing w:after="0" w:line="240" w:lineRule="auto"/>
                            <w:rPr>
                              <w:i/>
                              <w:iCs/>
                              <w:color w:val="D2C6C1" w:themeColor="background2" w:themeShade="E6"/>
                              <w:sz w:val="16"/>
                              <w:szCs w:val="16"/>
                            </w:rPr>
                          </w:pPr>
                          <w:r w:rsidRPr="00602577">
                            <w:rPr>
                              <w:i/>
                              <w:iCs/>
                              <w:color w:val="D2C6C1"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5B7F6A" id="_x0000_t202" coordsize="21600,21600" o:spt="202" path="m,l,21600r21600,l21600,xe">
              <v:stroke joinstyle="miter"/>
              <v:path gradientshapeok="t" o:connecttype="rect"/>
            </v:shapetype>
            <v:shape id="Text Box 2" o:spid="_x0000_s1026" type="#_x0000_t202" style="position:absolute;margin-left:0;margin-top:90.8pt;width:243.8pt;height:11.3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" fillcolor="white [3212]" stroked="f">
              <v:textbox inset="15mm,0,0,0">
                <w:txbxContent>
                  <w:p w14:paraId="5C5F0845" w14:textId="77777777" w:rsidR="00FC6275" w:rsidRPr="00602577" w:rsidRDefault="00E3515B" w:rsidP="009672EB">
                    <w:pPr>
                      <w:spacing w:after="0" w:line="240" w:lineRule="auto"/>
                      <w:rPr>
                        <w:i/>
                        <w:iCs/>
                        <w:color w:val="D2C6C1" w:themeColor="background2" w:themeShade="E6"/>
                        <w:sz w:val="16"/>
                        <w:szCs w:val="16"/>
                      </w:rPr>
                    </w:pPr>
                    <w:r w:rsidRPr="00602577">
                      <w:rPr>
                        <w:i/>
                        <w:iCs/>
                        <w:color w:val="D2C6C1" w:themeColor="background2" w:themeShade="E6"/>
                        <w:sz w:val="16"/>
                        <w:szCs w:val="16"/>
                      </w:rPr>
                      <w:t>Working with Aboriginal and Torres Strait Islander peoples</w:t>
                    </w:r>
                  </w:p>
                </w:txbxContent>
              </v:textbox>
              <w10:wrap anchorx="page" anchory="page"/>
              <w10:anchorlock/>
            </v:shape>
          </w:pict>
        </mc:Fallback>
      </mc:AlternateContent>
    </w:r>
    <w:r w:rsidRPr="00BA343C">
      <w:rPr>
        <w:noProof/>
        <w:sz w:val="2"/>
        <w:szCs w:val="2"/>
        <w:vertAlign w:val="superscript"/>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66432" behindDoc="0" locked="1" layoutInCell="1" allowOverlap="1" wp14:anchorId="7B99302C" wp14:editId="3EDA1320">
          <wp:simplePos x="0" y="0"/>
          <wp:positionH relativeFrom="page">
            <wp:posOffset>3016885</wp:posOffset>
          </wp:positionH>
          <wp:positionV relativeFrom="page">
            <wp:posOffset>291465</wp:posOffset>
          </wp:positionV>
          <wp:extent cx="1580400" cy="518400"/>
          <wp:effectExtent l="0" t="0" r="1270" b="0"/>
          <wp:wrapNone/>
          <wp:docPr id="3" name="Graphic 16" descr="NI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BA343C">
      <w:rPr>
        <w:noProof/>
        <w:sz w:val="2"/>
        <w:szCs w:val="2"/>
        <w:vertAlign w:val="superscript"/>
        <w:lang w:eastAsia="en-AU"/>
      </w:rPr>
      <w:drawing>
        <wp:anchor distT="0" distB="0" distL="0" distR="0" simplePos="0" relativeHeight="251664384" behindDoc="0" locked="1" layoutInCell="1" allowOverlap="1" wp14:anchorId="4F1C984D" wp14:editId="170BAE79">
          <wp:simplePos x="0" y="0"/>
          <wp:positionH relativeFrom="page">
            <wp:align>left</wp:align>
          </wp:positionH>
          <wp:positionV relativeFrom="page">
            <wp:align>top</wp:align>
          </wp:positionV>
          <wp:extent cx="7448400" cy="1328400"/>
          <wp:effectExtent l="0" t="0" r="635" b="5715"/>
          <wp:wrapSquare wrapText="bothSides"/>
          <wp:docPr id="4" name="Graphic 11" descr="NIAA head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4E9"/>
    <w:multiLevelType w:val="hybridMultilevel"/>
    <w:tmpl w:val="0B003BBA"/>
    <w:lvl w:ilvl="0" w:tplc="0C090001">
      <w:start w:val="1"/>
      <w:numFmt w:val="bullet"/>
      <w:lvlText w:val=""/>
      <w:lvlJc w:val="left"/>
      <w:pPr>
        <w:tabs>
          <w:tab w:val="num" w:pos="644"/>
        </w:tabs>
        <w:ind w:left="644" w:hanging="360"/>
      </w:pPr>
      <w:rPr>
        <w:rFonts w:ascii="Symbol" w:hAnsi="Symbol" w:hint="default"/>
        <w:b w:val="0"/>
        <w:color w:val="auto"/>
        <w:sz w:val="20"/>
        <w:szCs w:val="20"/>
      </w:rPr>
    </w:lvl>
    <w:lvl w:ilvl="1" w:tplc="7382DF36">
      <w:start w:val="1"/>
      <w:numFmt w:val="bullet"/>
      <w:lvlText w:val="­"/>
      <w:lvlJc w:val="left"/>
      <w:pPr>
        <w:tabs>
          <w:tab w:val="num" w:pos="1364"/>
        </w:tabs>
        <w:ind w:left="1364" w:hanging="360"/>
      </w:pPr>
      <w:rPr>
        <w:rFonts w:ascii="Courier New" w:hAnsi="Courier New" w:hint="default"/>
      </w:rPr>
    </w:lvl>
    <w:lvl w:ilvl="2" w:tplc="1ACC8B32">
      <w:start w:val="1"/>
      <w:numFmt w:val="bullet"/>
      <w:lvlText w:val="•"/>
      <w:lvlJc w:val="left"/>
      <w:pPr>
        <w:tabs>
          <w:tab w:val="num" w:pos="2084"/>
        </w:tabs>
        <w:ind w:left="2084" w:hanging="360"/>
      </w:pPr>
      <w:rPr>
        <w:rFonts w:ascii="Arial" w:hAnsi="Arial" w:hint="default"/>
      </w:rPr>
    </w:lvl>
    <w:lvl w:ilvl="3" w:tplc="A8AC5F0C" w:tentative="1">
      <w:start w:val="1"/>
      <w:numFmt w:val="bullet"/>
      <w:lvlText w:val="•"/>
      <w:lvlJc w:val="left"/>
      <w:pPr>
        <w:tabs>
          <w:tab w:val="num" w:pos="2804"/>
        </w:tabs>
        <w:ind w:left="2804" w:hanging="360"/>
      </w:pPr>
      <w:rPr>
        <w:rFonts w:ascii="Arial" w:hAnsi="Arial" w:hint="default"/>
      </w:rPr>
    </w:lvl>
    <w:lvl w:ilvl="4" w:tplc="EABCE3BA" w:tentative="1">
      <w:start w:val="1"/>
      <w:numFmt w:val="bullet"/>
      <w:lvlText w:val="•"/>
      <w:lvlJc w:val="left"/>
      <w:pPr>
        <w:tabs>
          <w:tab w:val="num" w:pos="3524"/>
        </w:tabs>
        <w:ind w:left="3524" w:hanging="360"/>
      </w:pPr>
      <w:rPr>
        <w:rFonts w:ascii="Arial" w:hAnsi="Arial" w:hint="default"/>
      </w:rPr>
    </w:lvl>
    <w:lvl w:ilvl="5" w:tplc="F9B2B8B2" w:tentative="1">
      <w:start w:val="1"/>
      <w:numFmt w:val="bullet"/>
      <w:lvlText w:val="•"/>
      <w:lvlJc w:val="left"/>
      <w:pPr>
        <w:tabs>
          <w:tab w:val="num" w:pos="4244"/>
        </w:tabs>
        <w:ind w:left="4244" w:hanging="360"/>
      </w:pPr>
      <w:rPr>
        <w:rFonts w:ascii="Arial" w:hAnsi="Arial" w:hint="default"/>
      </w:rPr>
    </w:lvl>
    <w:lvl w:ilvl="6" w:tplc="3ABA3F82" w:tentative="1">
      <w:start w:val="1"/>
      <w:numFmt w:val="bullet"/>
      <w:lvlText w:val="•"/>
      <w:lvlJc w:val="left"/>
      <w:pPr>
        <w:tabs>
          <w:tab w:val="num" w:pos="4964"/>
        </w:tabs>
        <w:ind w:left="4964" w:hanging="360"/>
      </w:pPr>
      <w:rPr>
        <w:rFonts w:ascii="Arial" w:hAnsi="Arial" w:hint="default"/>
      </w:rPr>
    </w:lvl>
    <w:lvl w:ilvl="7" w:tplc="BAA25144" w:tentative="1">
      <w:start w:val="1"/>
      <w:numFmt w:val="bullet"/>
      <w:lvlText w:val="•"/>
      <w:lvlJc w:val="left"/>
      <w:pPr>
        <w:tabs>
          <w:tab w:val="num" w:pos="5684"/>
        </w:tabs>
        <w:ind w:left="5684" w:hanging="360"/>
      </w:pPr>
      <w:rPr>
        <w:rFonts w:ascii="Arial" w:hAnsi="Arial" w:hint="default"/>
      </w:rPr>
    </w:lvl>
    <w:lvl w:ilvl="8" w:tplc="126895A8" w:tentative="1">
      <w:start w:val="1"/>
      <w:numFmt w:val="bullet"/>
      <w:lvlText w:val="•"/>
      <w:lvlJc w:val="left"/>
      <w:pPr>
        <w:tabs>
          <w:tab w:val="num" w:pos="6404"/>
        </w:tabs>
        <w:ind w:left="6404" w:hanging="360"/>
      </w:pPr>
      <w:rPr>
        <w:rFonts w:ascii="Arial" w:hAnsi="Arial" w:hint="default"/>
      </w:rPr>
    </w:lvl>
  </w:abstractNum>
  <w:abstractNum w:abstractNumId="1" w15:restartNumberingAfterBreak="0">
    <w:nsid w:val="0DEA6EE1"/>
    <w:multiLevelType w:val="hybridMultilevel"/>
    <w:tmpl w:val="D4F2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8F48E1"/>
    <w:multiLevelType w:val="hybridMultilevel"/>
    <w:tmpl w:val="37D44EE6"/>
    <w:lvl w:ilvl="0" w:tplc="0C090003">
      <w:start w:val="1"/>
      <w:numFmt w:val="bullet"/>
      <w:lvlText w:val="o"/>
      <w:lvlJc w:val="left"/>
      <w:pPr>
        <w:ind w:left="1494" w:hanging="360"/>
      </w:pPr>
      <w:rPr>
        <w:rFonts w:ascii="Courier New" w:hAnsi="Courier New" w:cs="Courier New" w:hint="default"/>
        <w:b w:val="0"/>
        <w:color w:val="auto"/>
        <w:sz w:val="20"/>
        <w:szCs w:val="20"/>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D307011"/>
    <w:multiLevelType w:val="hybridMultilevel"/>
    <w:tmpl w:val="D4E61C92"/>
    <w:lvl w:ilvl="0" w:tplc="0C090003">
      <w:start w:val="1"/>
      <w:numFmt w:val="bullet"/>
      <w:lvlText w:val="o"/>
      <w:lvlJc w:val="left"/>
      <w:pPr>
        <w:ind w:left="1494" w:hanging="360"/>
      </w:pPr>
      <w:rPr>
        <w:rFonts w:ascii="Courier New" w:hAnsi="Courier New" w:cs="Courier New" w:hint="default"/>
        <w:b w:val="0"/>
        <w:color w:val="auto"/>
        <w:sz w:val="20"/>
        <w:szCs w:val="20"/>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D79666D"/>
    <w:multiLevelType w:val="hybridMultilevel"/>
    <w:tmpl w:val="40E028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C921D0D"/>
    <w:multiLevelType w:val="hybridMultilevel"/>
    <w:tmpl w:val="D12AE0E4"/>
    <w:lvl w:ilvl="0" w:tplc="FF342CAA">
      <w:start w:val="1"/>
      <w:numFmt w:val="bullet"/>
      <w:pStyle w:val="Bullet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935DD"/>
    <w:multiLevelType w:val="hybridMultilevel"/>
    <w:tmpl w:val="B3E02AEE"/>
    <w:lvl w:ilvl="0" w:tplc="BFCEDFE6">
      <w:start w:val="1"/>
      <w:numFmt w:val="bullet"/>
      <w:lvlText w:val="•"/>
      <w:lvlJc w:val="left"/>
      <w:pPr>
        <w:ind w:left="786" w:hanging="360"/>
      </w:pPr>
      <w:rPr>
        <w:rFonts w:ascii="Arial" w:hAnsi="Arial" w:hint="default"/>
        <w:b w:val="0"/>
        <w:color w:val="auto"/>
        <w:sz w:val="20"/>
        <w:szCs w:val="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379D46B5"/>
    <w:multiLevelType w:val="hybridMultilevel"/>
    <w:tmpl w:val="A3F43004"/>
    <w:lvl w:ilvl="0" w:tplc="BFCEDFE6">
      <w:start w:val="1"/>
      <w:numFmt w:val="bullet"/>
      <w:lvlText w:val="•"/>
      <w:lvlJc w:val="left"/>
      <w:pPr>
        <w:ind w:left="786" w:hanging="360"/>
      </w:pPr>
      <w:rPr>
        <w:rFonts w:ascii="Arial" w:hAnsi="Arial" w:hint="default"/>
        <w:b w:val="0"/>
        <w:color w:val="auto"/>
        <w:sz w:val="20"/>
        <w:szCs w:val="2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3A701FED"/>
    <w:multiLevelType w:val="hybridMultilevel"/>
    <w:tmpl w:val="65A27248"/>
    <w:lvl w:ilvl="0" w:tplc="C6DC8D26">
      <w:start w:val="1"/>
      <w:numFmt w:val="decimal"/>
      <w:lvlText w:val="%1."/>
      <w:lvlJc w:val="left"/>
      <w:pPr>
        <w:ind w:left="360" w:hanging="360"/>
      </w:pPr>
      <w:rPr>
        <w:rFonts w:hint="default"/>
        <w:color w:val="C96E06" w:themeColor="accent2"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F737261"/>
    <w:multiLevelType w:val="hybridMultilevel"/>
    <w:tmpl w:val="BC2A2E54"/>
    <w:lvl w:ilvl="0" w:tplc="0C090003">
      <w:start w:val="1"/>
      <w:numFmt w:val="bullet"/>
      <w:lvlText w:val="o"/>
      <w:lvlJc w:val="left"/>
      <w:pPr>
        <w:tabs>
          <w:tab w:val="num" w:pos="927"/>
        </w:tabs>
        <w:ind w:left="927" w:hanging="360"/>
      </w:pPr>
      <w:rPr>
        <w:rFonts w:ascii="Courier New" w:hAnsi="Courier New" w:cs="Courier New" w:hint="default"/>
        <w:b w:val="0"/>
        <w:color w:val="auto"/>
        <w:sz w:val="20"/>
        <w:szCs w:val="20"/>
      </w:rPr>
    </w:lvl>
    <w:lvl w:ilvl="1" w:tplc="7382DF36">
      <w:start w:val="1"/>
      <w:numFmt w:val="bullet"/>
      <w:lvlText w:val="­"/>
      <w:lvlJc w:val="left"/>
      <w:pPr>
        <w:tabs>
          <w:tab w:val="num" w:pos="1647"/>
        </w:tabs>
        <w:ind w:left="1647" w:hanging="360"/>
      </w:pPr>
      <w:rPr>
        <w:rFonts w:ascii="Courier New" w:hAnsi="Courier New" w:hint="default"/>
      </w:rPr>
    </w:lvl>
    <w:lvl w:ilvl="2" w:tplc="1ACC8B32">
      <w:start w:val="1"/>
      <w:numFmt w:val="bullet"/>
      <w:lvlText w:val="•"/>
      <w:lvlJc w:val="left"/>
      <w:pPr>
        <w:tabs>
          <w:tab w:val="num" w:pos="2367"/>
        </w:tabs>
        <w:ind w:left="2367" w:hanging="360"/>
      </w:pPr>
      <w:rPr>
        <w:rFonts w:ascii="Arial" w:hAnsi="Arial" w:hint="default"/>
      </w:rPr>
    </w:lvl>
    <w:lvl w:ilvl="3" w:tplc="A8AC5F0C" w:tentative="1">
      <w:start w:val="1"/>
      <w:numFmt w:val="bullet"/>
      <w:lvlText w:val="•"/>
      <w:lvlJc w:val="left"/>
      <w:pPr>
        <w:tabs>
          <w:tab w:val="num" w:pos="3087"/>
        </w:tabs>
        <w:ind w:left="3087" w:hanging="360"/>
      </w:pPr>
      <w:rPr>
        <w:rFonts w:ascii="Arial" w:hAnsi="Arial" w:hint="default"/>
      </w:rPr>
    </w:lvl>
    <w:lvl w:ilvl="4" w:tplc="EABCE3BA" w:tentative="1">
      <w:start w:val="1"/>
      <w:numFmt w:val="bullet"/>
      <w:lvlText w:val="•"/>
      <w:lvlJc w:val="left"/>
      <w:pPr>
        <w:tabs>
          <w:tab w:val="num" w:pos="3807"/>
        </w:tabs>
        <w:ind w:left="3807" w:hanging="360"/>
      </w:pPr>
      <w:rPr>
        <w:rFonts w:ascii="Arial" w:hAnsi="Arial" w:hint="default"/>
      </w:rPr>
    </w:lvl>
    <w:lvl w:ilvl="5" w:tplc="F9B2B8B2" w:tentative="1">
      <w:start w:val="1"/>
      <w:numFmt w:val="bullet"/>
      <w:lvlText w:val="•"/>
      <w:lvlJc w:val="left"/>
      <w:pPr>
        <w:tabs>
          <w:tab w:val="num" w:pos="4527"/>
        </w:tabs>
        <w:ind w:left="4527" w:hanging="360"/>
      </w:pPr>
      <w:rPr>
        <w:rFonts w:ascii="Arial" w:hAnsi="Arial" w:hint="default"/>
      </w:rPr>
    </w:lvl>
    <w:lvl w:ilvl="6" w:tplc="3ABA3F82" w:tentative="1">
      <w:start w:val="1"/>
      <w:numFmt w:val="bullet"/>
      <w:lvlText w:val="•"/>
      <w:lvlJc w:val="left"/>
      <w:pPr>
        <w:tabs>
          <w:tab w:val="num" w:pos="5247"/>
        </w:tabs>
        <w:ind w:left="5247" w:hanging="360"/>
      </w:pPr>
      <w:rPr>
        <w:rFonts w:ascii="Arial" w:hAnsi="Arial" w:hint="default"/>
      </w:rPr>
    </w:lvl>
    <w:lvl w:ilvl="7" w:tplc="BAA25144" w:tentative="1">
      <w:start w:val="1"/>
      <w:numFmt w:val="bullet"/>
      <w:lvlText w:val="•"/>
      <w:lvlJc w:val="left"/>
      <w:pPr>
        <w:tabs>
          <w:tab w:val="num" w:pos="5967"/>
        </w:tabs>
        <w:ind w:left="5967" w:hanging="360"/>
      </w:pPr>
      <w:rPr>
        <w:rFonts w:ascii="Arial" w:hAnsi="Arial" w:hint="default"/>
      </w:rPr>
    </w:lvl>
    <w:lvl w:ilvl="8" w:tplc="126895A8" w:tentative="1">
      <w:start w:val="1"/>
      <w:numFmt w:val="bullet"/>
      <w:lvlText w:val="•"/>
      <w:lvlJc w:val="left"/>
      <w:pPr>
        <w:tabs>
          <w:tab w:val="num" w:pos="6687"/>
        </w:tabs>
        <w:ind w:left="6687" w:hanging="360"/>
      </w:pPr>
      <w:rPr>
        <w:rFonts w:ascii="Arial" w:hAnsi="Arial" w:hint="default"/>
      </w:rPr>
    </w:lvl>
  </w:abstractNum>
  <w:abstractNum w:abstractNumId="10" w15:restartNumberingAfterBreak="0">
    <w:nsid w:val="434F6963"/>
    <w:multiLevelType w:val="hybridMultilevel"/>
    <w:tmpl w:val="78B649B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470F4A35"/>
    <w:multiLevelType w:val="hybridMultilevel"/>
    <w:tmpl w:val="F23818B6"/>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522E7CB4"/>
    <w:multiLevelType w:val="hybridMultilevel"/>
    <w:tmpl w:val="B2EC9B3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55BF47B7"/>
    <w:multiLevelType w:val="hybridMultilevel"/>
    <w:tmpl w:val="147C3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DF4B20"/>
    <w:multiLevelType w:val="hybridMultilevel"/>
    <w:tmpl w:val="C00C056E"/>
    <w:lvl w:ilvl="0" w:tplc="BFCEDFE6">
      <w:start w:val="1"/>
      <w:numFmt w:val="bullet"/>
      <w:lvlText w:val="•"/>
      <w:lvlJc w:val="left"/>
      <w:pPr>
        <w:tabs>
          <w:tab w:val="num" w:pos="786"/>
        </w:tabs>
        <w:ind w:left="786" w:hanging="360"/>
      </w:pPr>
      <w:rPr>
        <w:rFonts w:ascii="Arial" w:hAnsi="Arial" w:hint="default"/>
        <w:b w:val="0"/>
        <w:color w:val="auto"/>
        <w:sz w:val="20"/>
        <w:szCs w:val="20"/>
      </w:rPr>
    </w:lvl>
    <w:lvl w:ilvl="1" w:tplc="0C090001">
      <w:start w:val="1"/>
      <w:numFmt w:val="bullet"/>
      <w:lvlText w:val=""/>
      <w:lvlJc w:val="left"/>
      <w:pPr>
        <w:tabs>
          <w:tab w:val="num" w:pos="644"/>
        </w:tabs>
        <w:ind w:left="644" w:hanging="360"/>
      </w:pPr>
      <w:rPr>
        <w:rFonts w:ascii="Symbol" w:hAnsi="Symbol" w:hint="default"/>
      </w:rPr>
    </w:lvl>
    <w:lvl w:ilvl="2" w:tplc="1ACC8B32">
      <w:start w:val="1"/>
      <w:numFmt w:val="bullet"/>
      <w:lvlText w:val="•"/>
      <w:lvlJc w:val="left"/>
      <w:pPr>
        <w:tabs>
          <w:tab w:val="num" w:pos="2226"/>
        </w:tabs>
        <w:ind w:left="2226" w:hanging="360"/>
      </w:pPr>
      <w:rPr>
        <w:rFonts w:ascii="Arial" w:hAnsi="Arial" w:hint="default"/>
      </w:rPr>
    </w:lvl>
    <w:lvl w:ilvl="3" w:tplc="A8AC5F0C" w:tentative="1">
      <w:start w:val="1"/>
      <w:numFmt w:val="bullet"/>
      <w:lvlText w:val="•"/>
      <w:lvlJc w:val="left"/>
      <w:pPr>
        <w:tabs>
          <w:tab w:val="num" w:pos="2946"/>
        </w:tabs>
        <w:ind w:left="2946" w:hanging="360"/>
      </w:pPr>
      <w:rPr>
        <w:rFonts w:ascii="Arial" w:hAnsi="Arial" w:hint="default"/>
      </w:rPr>
    </w:lvl>
    <w:lvl w:ilvl="4" w:tplc="EABCE3BA" w:tentative="1">
      <w:start w:val="1"/>
      <w:numFmt w:val="bullet"/>
      <w:lvlText w:val="•"/>
      <w:lvlJc w:val="left"/>
      <w:pPr>
        <w:tabs>
          <w:tab w:val="num" w:pos="3666"/>
        </w:tabs>
        <w:ind w:left="3666" w:hanging="360"/>
      </w:pPr>
      <w:rPr>
        <w:rFonts w:ascii="Arial" w:hAnsi="Arial" w:hint="default"/>
      </w:rPr>
    </w:lvl>
    <w:lvl w:ilvl="5" w:tplc="F9B2B8B2" w:tentative="1">
      <w:start w:val="1"/>
      <w:numFmt w:val="bullet"/>
      <w:lvlText w:val="•"/>
      <w:lvlJc w:val="left"/>
      <w:pPr>
        <w:tabs>
          <w:tab w:val="num" w:pos="4386"/>
        </w:tabs>
        <w:ind w:left="4386" w:hanging="360"/>
      </w:pPr>
      <w:rPr>
        <w:rFonts w:ascii="Arial" w:hAnsi="Arial" w:hint="default"/>
      </w:rPr>
    </w:lvl>
    <w:lvl w:ilvl="6" w:tplc="3ABA3F82" w:tentative="1">
      <w:start w:val="1"/>
      <w:numFmt w:val="bullet"/>
      <w:lvlText w:val="•"/>
      <w:lvlJc w:val="left"/>
      <w:pPr>
        <w:tabs>
          <w:tab w:val="num" w:pos="5106"/>
        </w:tabs>
        <w:ind w:left="5106" w:hanging="360"/>
      </w:pPr>
      <w:rPr>
        <w:rFonts w:ascii="Arial" w:hAnsi="Arial" w:hint="default"/>
      </w:rPr>
    </w:lvl>
    <w:lvl w:ilvl="7" w:tplc="BAA25144" w:tentative="1">
      <w:start w:val="1"/>
      <w:numFmt w:val="bullet"/>
      <w:lvlText w:val="•"/>
      <w:lvlJc w:val="left"/>
      <w:pPr>
        <w:tabs>
          <w:tab w:val="num" w:pos="5826"/>
        </w:tabs>
        <w:ind w:left="5826" w:hanging="360"/>
      </w:pPr>
      <w:rPr>
        <w:rFonts w:ascii="Arial" w:hAnsi="Arial" w:hint="default"/>
      </w:rPr>
    </w:lvl>
    <w:lvl w:ilvl="8" w:tplc="126895A8" w:tentative="1">
      <w:start w:val="1"/>
      <w:numFmt w:val="bullet"/>
      <w:lvlText w:val="•"/>
      <w:lvlJc w:val="left"/>
      <w:pPr>
        <w:tabs>
          <w:tab w:val="num" w:pos="6546"/>
        </w:tabs>
        <w:ind w:left="6546" w:hanging="360"/>
      </w:pPr>
      <w:rPr>
        <w:rFonts w:ascii="Arial" w:hAnsi="Arial" w:hint="default"/>
      </w:rPr>
    </w:lvl>
  </w:abstractNum>
  <w:abstractNum w:abstractNumId="15" w15:restartNumberingAfterBreak="0">
    <w:nsid w:val="68D32C2B"/>
    <w:multiLevelType w:val="hybridMultilevel"/>
    <w:tmpl w:val="3E48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2A4717"/>
    <w:multiLevelType w:val="hybridMultilevel"/>
    <w:tmpl w:val="7046C4B4"/>
    <w:lvl w:ilvl="0" w:tplc="BFCEDFE6">
      <w:start w:val="1"/>
      <w:numFmt w:val="bullet"/>
      <w:lvlText w:val="•"/>
      <w:lvlJc w:val="left"/>
      <w:pPr>
        <w:tabs>
          <w:tab w:val="num" w:pos="786"/>
        </w:tabs>
        <w:ind w:left="786" w:hanging="360"/>
      </w:pPr>
      <w:rPr>
        <w:rFonts w:ascii="Arial" w:hAnsi="Arial" w:hint="default"/>
        <w:b w:val="0"/>
        <w:color w:val="auto"/>
        <w:sz w:val="20"/>
        <w:szCs w:val="20"/>
      </w:rPr>
    </w:lvl>
    <w:lvl w:ilvl="1" w:tplc="0C090001">
      <w:start w:val="1"/>
      <w:numFmt w:val="bullet"/>
      <w:lvlText w:val=""/>
      <w:lvlJc w:val="left"/>
      <w:pPr>
        <w:tabs>
          <w:tab w:val="num" w:pos="360"/>
        </w:tabs>
        <w:ind w:left="360" w:hanging="360"/>
      </w:pPr>
      <w:rPr>
        <w:rFonts w:ascii="Symbol" w:hAnsi="Symbol" w:hint="default"/>
      </w:rPr>
    </w:lvl>
    <w:lvl w:ilvl="2" w:tplc="1ACC8B32">
      <w:start w:val="1"/>
      <w:numFmt w:val="bullet"/>
      <w:lvlText w:val="•"/>
      <w:lvlJc w:val="left"/>
      <w:pPr>
        <w:tabs>
          <w:tab w:val="num" w:pos="2226"/>
        </w:tabs>
        <w:ind w:left="2226" w:hanging="360"/>
      </w:pPr>
      <w:rPr>
        <w:rFonts w:ascii="Arial" w:hAnsi="Arial" w:hint="default"/>
      </w:rPr>
    </w:lvl>
    <w:lvl w:ilvl="3" w:tplc="A8AC5F0C" w:tentative="1">
      <w:start w:val="1"/>
      <w:numFmt w:val="bullet"/>
      <w:lvlText w:val="•"/>
      <w:lvlJc w:val="left"/>
      <w:pPr>
        <w:tabs>
          <w:tab w:val="num" w:pos="2946"/>
        </w:tabs>
        <w:ind w:left="2946" w:hanging="360"/>
      </w:pPr>
      <w:rPr>
        <w:rFonts w:ascii="Arial" w:hAnsi="Arial" w:hint="default"/>
      </w:rPr>
    </w:lvl>
    <w:lvl w:ilvl="4" w:tplc="EABCE3BA" w:tentative="1">
      <w:start w:val="1"/>
      <w:numFmt w:val="bullet"/>
      <w:lvlText w:val="•"/>
      <w:lvlJc w:val="left"/>
      <w:pPr>
        <w:tabs>
          <w:tab w:val="num" w:pos="3666"/>
        </w:tabs>
        <w:ind w:left="3666" w:hanging="360"/>
      </w:pPr>
      <w:rPr>
        <w:rFonts w:ascii="Arial" w:hAnsi="Arial" w:hint="default"/>
      </w:rPr>
    </w:lvl>
    <w:lvl w:ilvl="5" w:tplc="F9B2B8B2" w:tentative="1">
      <w:start w:val="1"/>
      <w:numFmt w:val="bullet"/>
      <w:lvlText w:val="•"/>
      <w:lvlJc w:val="left"/>
      <w:pPr>
        <w:tabs>
          <w:tab w:val="num" w:pos="4386"/>
        </w:tabs>
        <w:ind w:left="4386" w:hanging="360"/>
      </w:pPr>
      <w:rPr>
        <w:rFonts w:ascii="Arial" w:hAnsi="Arial" w:hint="default"/>
      </w:rPr>
    </w:lvl>
    <w:lvl w:ilvl="6" w:tplc="3ABA3F82" w:tentative="1">
      <w:start w:val="1"/>
      <w:numFmt w:val="bullet"/>
      <w:lvlText w:val="•"/>
      <w:lvlJc w:val="left"/>
      <w:pPr>
        <w:tabs>
          <w:tab w:val="num" w:pos="5106"/>
        </w:tabs>
        <w:ind w:left="5106" w:hanging="360"/>
      </w:pPr>
      <w:rPr>
        <w:rFonts w:ascii="Arial" w:hAnsi="Arial" w:hint="default"/>
      </w:rPr>
    </w:lvl>
    <w:lvl w:ilvl="7" w:tplc="BAA25144" w:tentative="1">
      <w:start w:val="1"/>
      <w:numFmt w:val="bullet"/>
      <w:lvlText w:val="•"/>
      <w:lvlJc w:val="left"/>
      <w:pPr>
        <w:tabs>
          <w:tab w:val="num" w:pos="5826"/>
        </w:tabs>
        <w:ind w:left="5826" w:hanging="360"/>
      </w:pPr>
      <w:rPr>
        <w:rFonts w:ascii="Arial" w:hAnsi="Arial" w:hint="default"/>
      </w:rPr>
    </w:lvl>
    <w:lvl w:ilvl="8" w:tplc="126895A8" w:tentative="1">
      <w:start w:val="1"/>
      <w:numFmt w:val="bullet"/>
      <w:lvlText w:val="•"/>
      <w:lvlJc w:val="left"/>
      <w:pPr>
        <w:tabs>
          <w:tab w:val="num" w:pos="6546"/>
        </w:tabs>
        <w:ind w:left="6546" w:hanging="360"/>
      </w:pPr>
      <w:rPr>
        <w:rFonts w:ascii="Arial" w:hAnsi="Arial" w:hint="default"/>
      </w:rPr>
    </w:lvl>
  </w:abstractNum>
  <w:abstractNum w:abstractNumId="17" w15:restartNumberingAfterBreak="0">
    <w:nsid w:val="7A456DB6"/>
    <w:multiLevelType w:val="hybridMultilevel"/>
    <w:tmpl w:val="6D0A91D0"/>
    <w:lvl w:ilvl="0" w:tplc="0C090001">
      <w:start w:val="1"/>
      <w:numFmt w:val="bullet"/>
      <w:lvlText w:val=""/>
      <w:lvlJc w:val="left"/>
      <w:pPr>
        <w:tabs>
          <w:tab w:val="num" w:pos="644"/>
        </w:tabs>
        <w:ind w:left="644" w:hanging="360"/>
      </w:pPr>
      <w:rPr>
        <w:rFonts w:ascii="Symbol" w:hAnsi="Symbol" w:hint="default"/>
        <w:b w:val="0"/>
        <w:color w:val="auto"/>
        <w:sz w:val="20"/>
        <w:szCs w:val="20"/>
      </w:rPr>
    </w:lvl>
    <w:lvl w:ilvl="1" w:tplc="7382DF36">
      <w:start w:val="1"/>
      <w:numFmt w:val="bullet"/>
      <w:lvlText w:val="­"/>
      <w:lvlJc w:val="left"/>
      <w:pPr>
        <w:tabs>
          <w:tab w:val="num" w:pos="1364"/>
        </w:tabs>
        <w:ind w:left="1364" w:hanging="360"/>
      </w:pPr>
      <w:rPr>
        <w:rFonts w:ascii="Courier New" w:hAnsi="Courier New" w:hint="default"/>
      </w:rPr>
    </w:lvl>
    <w:lvl w:ilvl="2" w:tplc="1ACC8B32">
      <w:start w:val="1"/>
      <w:numFmt w:val="bullet"/>
      <w:lvlText w:val="•"/>
      <w:lvlJc w:val="left"/>
      <w:pPr>
        <w:tabs>
          <w:tab w:val="num" w:pos="2084"/>
        </w:tabs>
        <w:ind w:left="2084" w:hanging="360"/>
      </w:pPr>
      <w:rPr>
        <w:rFonts w:ascii="Arial" w:hAnsi="Arial" w:hint="default"/>
      </w:rPr>
    </w:lvl>
    <w:lvl w:ilvl="3" w:tplc="A8AC5F0C" w:tentative="1">
      <w:start w:val="1"/>
      <w:numFmt w:val="bullet"/>
      <w:lvlText w:val="•"/>
      <w:lvlJc w:val="left"/>
      <w:pPr>
        <w:tabs>
          <w:tab w:val="num" w:pos="2804"/>
        </w:tabs>
        <w:ind w:left="2804" w:hanging="360"/>
      </w:pPr>
      <w:rPr>
        <w:rFonts w:ascii="Arial" w:hAnsi="Arial" w:hint="default"/>
      </w:rPr>
    </w:lvl>
    <w:lvl w:ilvl="4" w:tplc="EABCE3BA" w:tentative="1">
      <w:start w:val="1"/>
      <w:numFmt w:val="bullet"/>
      <w:lvlText w:val="•"/>
      <w:lvlJc w:val="left"/>
      <w:pPr>
        <w:tabs>
          <w:tab w:val="num" w:pos="3524"/>
        </w:tabs>
        <w:ind w:left="3524" w:hanging="360"/>
      </w:pPr>
      <w:rPr>
        <w:rFonts w:ascii="Arial" w:hAnsi="Arial" w:hint="default"/>
      </w:rPr>
    </w:lvl>
    <w:lvl w:ilvl="5" w:tplc="F9B2B8B2" w:tentative="1">
      <w:start w:val="1"/>
      <w:numFmt w:val="bullet"/>
      <w:lvlText w:val="•"/>
      <w:lvlJc w:val="left"/>
      <w:pPr>
        <w:tabs>
          <w:tab w:val="num" w:pos="4244"/>
        </w:tabs>
        <w:ind w:left="4244" w:hanging="360"/>
      </w:pPr>
      <w:rPr>
        <w:rFonts w:ascii="Arial" w:hAnsi="Arial" w:hint="default"/>
      </w:rPr>
    </w:lvl>
    <w:lvl w:ilvl="6" w:tplc="3ABA3F82" w:tentative="1">
      <w:start w:val="1"/>
      <w:numFmt w:val="bullet"/>
      <w:lvlText w:val="•"/>
      <w:lvlJc w:val="left"/>
      <w:pPr>
        <w:tabs>
          <w:tab w:val="num" w:pos="4964"/>
        </w:tabs>
        <w:ind w:left="4964" w:hanging="360"/>
      </w:pPr>
      <w:rPr>
        <w:rFonts w:ascii="Arial" w:hAnsi="Arial" w:hint="default"/>
      </w:rPr>
    </w:lvl>
    <w:lvl w:ilvl="7" w:tplc="BAA25144" w:tentative="1">
      <w:start w:val="1"/>
      <w:numFmt w:val="bullet"/>
      <w:lvlText w:val="•"/>
      <w:lvlJc w:val="left"/>
      <w:pPr>
        <w:tabs>
          <w:tab w:val="num" w:pos="5684"/>
        </w:tabs>
        <w:ind w:left="5684" w:hanging="360"/>
      </w:pPr>
      <w:rPr>
        <w:rFonts w:ascii="Arial" w:hAnsi="Arial" w:hint="default"/>
      </w:rPr>
    </w:lvl>
    <w:lvl w:ilvl="8" w:tplc="126895A8" w:tentative="1">
      <w:start w:val="1"/>
      <w:numFmt w:val="bullet"/>
      <w:lvlText w:val="•"/>
      <w:lvlJc w:val="left"/>
      <w:pPr>
        <w:tabs>
          <w:tab w:val="num" w:pos="6404"/>
        </w:tabs>
        <w:ind w:left="6404" w:hanging="360"/>
      </w:pPr>
      <w:rPr>
        <w:rFonts w:ascii="Arial" w:hAnsi="Arial" w:hint="default"/>
      </w:rPr>
    </w:lvl>
  </w:abstractNum>
  <w:num w:numId="1">
    <w:abstractNumId w:val="8"/>
  </w:num>
  <w:num w:numId="2">
    <w:abstractNumId w:val="16"/>
  </w:num>
  <w:num w:numId="3">
    <w:abstractNumId w:val="7"/>
  </w:num>
  <w:num w:numId="4">
    <w:abstractNumId w:val="3"/>
  </w:num>
  <w:num w:numId="5">
    <w:abstractNumId w:val="9"/>
  </w:num>
  <w:num w:numId="6">
    <w:abstractNumId w:val="13"/>
  </w:num>
  <w:num w:numId="7">
    <w:abstractNumId w:val="6"/>
  </w:num>
  <w:num w:numId="8">
    <w:abstractNumId w:val="4"/>
  </w:num>
  <w:num w:numId="9">
    <w:abstractNumId w:val="11"/>
  </w:num>
  <w:num w:numId="10">
    <w:abstractNumId w:val="5"/>
  </w:num>
  <w:num w:numId="11">
    <w:abstractNumId w:val="15"/>
  </w:num>
  <w:num w:numId="12">
    <w:abstractNumId w:val="14"/>
  </w:num>
  <w:num w:numId="13">
    <w:abstractNumId w:val="12"/>
  </w:num>
  <w:num w:numId="14">
    <w:abstractNumId w:val="2"/>
  </w:num>
  <w:num w:numId="15">
    <w:abstractNumId w:val="17"/>
  </w:num>
  <w:num w:numId="16">
    <w:abstractNumId w:val="10"/>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5B"/>
    <w:rsid w:val="0000627B"/>
    <w:rsid w:val="00075E23"/>
    <w:rsid w:val="000772DB"/>
    <w:rsid w:val="00087F96"/>
    <w:rsid w:val="000E610A"/>
    <w:rsid w:val="001021B7"/>
    <w:rsid w:val="001562E8"/>
    <w:rsid w:val="001677D0"/>
    <w:rsid w:val="0018753A"/>
    <w:rsid w:val="001C548D"/>
    <w:rsid w:val="001C7D45"/>
    <w:rsid w:val="001E6BBE"/>
    <w:rsid w:val="001F6A64"/>
    <w:rsid w:val="001F6F0A"/>
    <w:rsid w:val="00221127"/>
    <w:rsid w:val="00225498"/>
    <w:rsid w:val="0023213A"/>
    <w:rsid w:val="00253647"/>
    <w:rsid w:val="002632ED"/>
    <w:rsid w:val="00272295"/>
    <w:rsid w:val="002B08C7"/>
    <w:rsid w:val="002D1231"/>
    <w:rsid w:val="002F3990"/>
    <w:rsid w:val="00352635"/>
    <w:rsid w:val="003639E5"/>
    <w:rsid w:val="00363AEA"/>
    <w:rsid w:val="003D4DEC"/>
    <w:rsid w:val="004344CD"/>
    <w:rsid w:val="004569A6"/>
    <w:rsid w:val="004C16B1"/>
    <w:rsid w:val="004C2DF7"/>
    <w:rsid w:val="004C5979"/>
    <w:rsid w:val="004C61AB"/>
    <w:rsid w:val="004D2F78"/>
    <w:rsid w:val="004E4430"/>
    <w:rsid w:val="0053051B"/>
    <w:rsid w:val="00537F2D"/>
    <w:rsid w:val="00545836"/>
    <w:rsid w:val="005A0353"/>
    <w:rsid w:val="005A31D9"/>
    <w:rsid w:val="005A62D8"/>
    <w:rsid w:val="00600E23"/>
    <w:rsid w:val="006100BA"/>
    <w:rsid w:val="006128B3"/>
    <w:rsid w:val="0062407C"/>
    <w:rsid w:val="00657AC8"/>
    <w:rsid w:val="00664202"/>
    <w:rsid w:val="006E6901"/>
    <w:rsid w:val="006E75BD"/>
    <w:rsid w:val="00705141"/>
    <w:rsid w:val="00720734"/>
    <w:rsid w:val="00737435"/>
    <w:rsid w:val="007637BB"/>
    <w:rsid w:val="00775997"/>
    <w:rsid w:val="0077724A"/>
    <w:rsid w:val="00794B5F"/>
    <w:rsid w:val="007B20FA"/>
    <w:rsid w:val="007C41C9"/>
    <w:rsid w:val="007E1A97"/>
    <w:rsid w:val="007E4112"/>
    <w:rsid w:val="007F4B43"/>
    <w:rsid w:val="007F5296"/>
    <w:rsid w:val="00820169"/>
    <w:rsid w:val="00821B6A"/>
    <w:rsid w:val="00825A08"/>
    <w:rsid w:val="00857617"/>
    <w:rsid w:val="00857CF1"/>
    <w:rsid w:val="00865B26"/>
    <w:rsid w:val="00876ED5"/>
    <w:rsid w:val="008C7C04"/>
    <w:rsid w:val="008F0796"/>
    <w:rsid w:val="009737CA"/>
    <w:rsid w:val="00976967"/>
    <w:rsid w:val="0097700D"/>
    <w:rsid w:val="009775EB"/>
    <w:rsid w:val="009805CC"/>
    <w:rsid w:val="00992D3E"/>
    <w:rsid w:val="00A00E1D"/>
    <w:rsid w:val="00A101AE"/>
    <w:rsid w:val="00A307CB"/>
    <w:rsid w:val="00A37DEF"/>
    <w:rsid w:val="00A770C2"/>
    <w:rsid w:val="00B1176C"/>
    <w:rsid w:val="00B22AAE"/>
    <w:rsid w:val="00B658A8"/>
    <w:rsid w:val="00B7557A"/>
    <w:rsid w:val="00BA343C"/>
    <w:rsid w:val="00BB16B3"/>
    <w:rsid w:val="00BB781A"/>
    <w:rsid w:val="00BF1842"/>
    <w:rsid w:val="00C04329"/>
    <w:rsid w:val="00C25F74"/>
    <w:rsid w:val="00C31820"/>
    <w:rsid w:val="00C368C2"/>
    <w:rsid w:val="00C4172E"/>
    <w:rsid w:val="00C44B51"/>
    <w:rsid w:val="00C47E67"/>
    <w:rsid w:val="00C525E4"/>
    <w:rsid w:val="00CA6729"/>
    <w:rsid w:val="00CE4765"/>
    <w:rsid w:val="00D81E77"/>
    <w:rsid w:val="00D85141"/>
    <w:rsid w:val="00D85316"/>
    <w:rsid w:val="00D9479C"/>
    <w:rsid w:val="00DA4CB4"/>
    <w:rsid w:val="00DC1F41"/>
    <w:rsid w:val="00DE4AE5"/>
    <w:rsid w:val="00E0678E"/>
    <w:rsid w:val="00E3515B"/>
    <w:rsid w:val="00E67ECD"/>
    <w:rsid w:val="00EF4343"/>
    <w:rsid w:val="00F01CF3"/>
    <w:rsid w:val="00F026A2"/>
    <w:rsid w:val="00F138C0"/>
    <w:rsid w:val="00F45E44"/>
    <w:rsid w:val="00F62EEE"/>
    <w:rsid w:val="00F748D4"/>
    <w:rsid w:val="00F8497F"/>
    <w:rsid w:val="00F9284C"/>
    <w:rsid w:val="00FA04E0"/>
    <w:rsid w:val="00FA19D5"/>
    <w:rsid w:val="00FA7686"/>
    <w:rsid w:val="00FF2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463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E3515B"/>
    <w:pPr>
      <w:spacing w:after="120" w:line="264" w:lineRule="auto"/>
    </w:pPr>
    <w:rPr>
      <w:color w:val="262626" w:themeColor="text1" w:themeTint="D9"/>
      <w:sz w:val="20"/>
      <w:szCs w:val="20"/>
    </w:rPr>
  </w:style>
  <w:style w:type="paragraph" w:styleId="Heading1">
    <w:name w:val="heading 1"/>
    <w:basedOn w:val="Heading4"/>
    <w:next w:val="Normal"/>
    <w:link w:val="Heading1Char"/>
    <w:uiPriority w:val="9"/>
    <w:qFormat/>
    <w:rsid w:val="004C16B1"/>
    <w:pPr>
      <w:spacing w:before="120" w:after="240"/>
      <w:jc w:val="center"/>
      <w:outlineLvl w:val="0"/>
    </w:pPr>
    <w:rPr>
      <w:rFonts w:ascii="Century Gothic" w:hAnsi="Century Gothic"/>
      <w:b/>
      <w:i w:val="0"/>
      <w:color w:val="EC7016" w:themeColor="accent4"/>
      <w:sz w:val="36"/>
      <w:szCs w:val="36"/>
    </w:rPr>
  </w:style>
  <w:style w:type="paragraph" w:styleId="Heading2">
    <w:name w:val="heading 2"/>
    <w:basedOn w:val="BodyText"/>
    <w:next w:val="BodyText"/>
    <w:link w:val="Heading2Char"/>
    <w:uiPriority w:val="9"/>
    <w:unhideWhenUsed/>
    <w:qFormat/>
    <w:rsid w:val="004C16B1"/>
    <w:pPr>
      <w:spacing w:before="120" w:line="276" w:lineRule="auto"/>
      <w:outlineLvl w:val="1"/>
    </w:pPr>
    <w:rPr>
      <w:rFonts w:ascii="Century Gothic" w:hAnsi="Century Gothic" w:cstheme="minorHAnsi"/>
      <w:color w:val="EC7016" w:themeColor="accent4"/>
      <w:sz w:val="24"/>
      <w:szCs w:val="24"/>
      <w:lang w:val="en-US"/>
    </w:rPr>
  </w:style>
  <w:style w:type="paragraph" w:styleId="Heading4">
    <w:name w:val="heading 4"/>
    <w:basedOn w:val="Normal"/>
    <w:next w:val="Normal"/>
    <w:link w:val="Heading4Char"/>
    <w:uiPriority w:val="9"/>
    <w:unhideWhenUsed/>
    <w:qFormat/>
    <w:rsid w:val="001677D0"/>
    <w:pPr>
      <w:keepNext/>
      <w:keepLines/>
      <w:spacing w:before="40" w:after="0"/>
      <w:outlineLvl w:val="3"/>
    </w:pPr>
    <w:rPr>
      <w:rFonts w:asciiTheme="majorHAnsi" w:eastAsiaTheme="majorEastAsia" w:hAnsiTheme="majorHAnsi" w:cstheme="majorBidi"/>
      <w:i/>
      <w:iCs/>
      <w:color w:val="C49A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6B1"/>
    <w:rPr>
      <w:rFonts w:ascii="Century Gothic" w:hAnsi="Century Gothic" w:cstheme="minorHAnsi"/>
      <w:color w:val="EC7016" w:themeColor="accent4"/>
      <w:sz w:val="24"/>
      <w:szCs w:val="24"/>
      <w:lang w:val="en-US"/>
    </w:rPr>
  </w:style>
  <w:style w:type="paragraph" w:styleId="Header">
    <w:name w:val="header"/>
    <w:basedOn w:val="Normal"/>
    <w:link w:val="HeaderChar"/>
    <w:uiPriority w:val="99"/>
    <w:semiHidden/>
    <w:rsid w:val="00E3515B"/>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E3515B"/>
    <w:rPr>
      <w:rFonts w:asciiTheme="majorHAnsi" w:hAnsiTheme="majorHAnsi"/>
      <w:b/>
      <w:color w:val="FFFFFF" w:themeColor="background1"/>
      <w:sz w:val="20"/>
      <w:szCs w:val="18"/>
    </w:rPr>
  </w:style>
  <w:style w:type="paragraph" w:styleId="Footer">
    <w:name w:val="footer"/>
    <w:basedOn w:val="Normal"/>
    <w:link w:val="FooterChar"/>
    <w:uiPriority w:val="99"/>
    <w:rsid w:val="00E3515B"/>
    <w:pPr>
      <w:tabs>
        <w:tab w:val="center" w:pos="4513"/>
        <w:tab w:val="right" w:pos="9026"/>
      </w:tabs>
      <w:spacing w:after="500" w:line="240" w:lineRule="auto"/>
      <w:contextualSpacing/>
    </w:pPr>
    <w:rPr>
      <w:rFonts w:asciiTheme="majorHAnsi" w:hAnsiTheme="majorHAnsi"/>
      <w:bCs/>
      <w:color w:val="39302A" w:themeColor="text2"/>
      <w:sz w:val="16"/>
      <w:szCs w:val="16"/>
    </w:rPr>
  </w:style>
  <w:style w:type="character" w:customStyle="1" w:styleId="FooterChar">
    <w:name w:val="Footer Char"/>
    <w:basedOn w:val="DefaultParagraphFont"/>
    <w:link w:val="Footer"/>
    <w:uiPriority w:val="99"/>
    <w:rsid w:val="00E3515B"/>
    <w:rPr>
      <w:rFonts w:asciiTheme="majorHAnsi" w:hAnsiTheme="majorHAnsi"/>
      <w:bCs/>
      <w:color w:val="39302A" w:themeColor="text2"/>
      <w:sz w:val="16"/>
      <w:szCs w:val="16"/>
    </w:rPr>
  </w:style>
  <w:style w:type="paragraph" w:styleId="ListParagraph">
    <w:name w:val="List Paragraph"/>
    <w:aliases w:val="List Paragraph1,List Paragraph11,List Paragraph Number,Bullet point,Bulleted Para,NFP GP Bulleted List,bullet point list,L,Bullet points,Content descriptions,Bullet Point,List Paragraph2,Dot Point,NAST Quote,Body Bullets 1,List Bullet Cab"/>
    <w:basedOn w:val="Normal"/>
    <w:link w:val="ListParagraphChar"/>
    <w:uiPriority w:val="34"/>
    <w:qFormat/>
    <w:rsid w:val="00E3515B"/>
    <w:pPr>
      <w:ind w:left="720"/>
      <w:contextualSpacing/>
    </w:pPr>
  </w:style>
  <w:style w:type="paragraph" w:styleId="BodyText">
    <w:name w:val="Body Text"/>
    <w:basedOn w:val="Normal"/>
    <w:link w:val="BodyTextChar"/>
    <w:qFormat/>
    <w:rsid w:val="00E3515B"/>
  </w:style>
  <w:style w:type="character" w:customStyle="1" w:styleId="BodyTextChar">
    <w:name w:val="Body Text Char"/>
    <w:basedOn w:val="DefaultParagraphFont"/>
    <w:link w:val="BodyText"/>
    <w:rsid w:val="00E3515B"/>
    <w:rPr>
      <w:color w:val="262626" w:themeColor="text1" w:themeTint="D9"/>
      <w:sz w:val="20"/>
      <w:szCs w:val="20"/>
    </w:rPr>
  </w:style>
  <w:style w:type="paragraph" w:customStyle="1" w:styleId="ProtectiveMarking">
    <w:name w:val="Protective Marking"/>
    <w:basedOn w:val="Normal"/>
    <w:uiPriority w:val="13"/>
    <w:rsid w:val="00E3515B"/>
    <w:pPr>
      <w:spacing w:after="0" w:line="240" w:lineRule="auto"/>
      <w:jc w:val="center"/>
    </w:pPr>
    <w:rPr>
      <w:rFonts w:asciiTheme="majorHAnsi" w:hAnsiTheme="majorHAnsi"/>
      <w:caps/>
      <w:noProof/>
      <w:color w:val="CD1719"/>
      <w:sz w:val="16"/>
    </w:rPr>
  </w:style>
  <w:style w:type="paragraph" w:customStyle="1" w:styleId="Footerline">
    <w:name w:val="Footer line"/>
    <w:uiPriority w:val="11"/>
    <w:semiHidden/>
    <w:rsid w:val="00E3515B"/>
    <w:pPr>
      <w:spacing w:before="20" w:after="240" w:line="264" w:lineRule="auto"/>
    </w:pPr>
    <w:rPr>
      <w:caps/>
      <w:noProof/>
      <w:color w:val="FFCA08" w:themeColor="accent1"/>
      <w:sz w:val="20"/>
      <w:szCs w:val="20"/>
    </w:rPr>
  </w:style>
  <w:style w:type="character" w:customStyle="1" w:styleId="ListParagraphChar">
    <w:name w:val="List Paragraph Char"/>
    <w:aliases w:val="List Paragraph1 Char,List Paragraph11 Char,List Paragraph Number Char,Bullet point Char,Bulleted Para Char,NFP GP Bulleted List Char,bullet point list Char,L Char,Bullet points Char,Content descriptions Char,Bullet Point Char"/>
    <w:basedOn w:val="DefaultParagraphFont"/>
    <w:link w:val="ListParagraph"/>
    <w:uiPriority w:val="34"/>
    <w:qFormat/>
    <w:locked/>
    <w:rsid w:val="00E3515B"/>
    <w:rPr>
      <w:color w:val="262626" w:themeColor="text1" w:themeTint="D9"/>
      <w:sz w:val="20"/>
      <w:szCs w:val="20"/>
    </w:rPr>
  </w:style>
  <w:style w:type="paragraph" w:styleId="BalloonText">
    <w:name w:val="Balloon Text"/>
    <w:basedOn w:val="Normal"/>
    <w:link w:val="BalloonTextChar"/>
    <w:uiPriority w:val="99"/>
    <w:semiHidden/>
    <w:unhideWhenUsed/>
    <w:rsid w:val="00857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F1"/>
    <w:rPr>
      <w:rFonts w:ascii="Segoe UI" w:hAnsi="Segoe UI" w:cs="Segoe UI"/>
      <w:color w:val="262626" w:themeColor="text1" w:themeTint="D9"/>
      <w:sz w:val="18"/>
      <w:szCs w:val="18"/>
    </w:rPr>
  </w:style>
  <w:style w:type="character" w:styleId="CommentReference">
    <w:name w:val="annotation reference"/>
    <w:basedOn w:val="DefaultParagraphFont"/>
    <w:uiPriority w:val="99"/>
    <w:semiHidden/>
    <w:unhideWhenUsed/>
    <w:rsid w:val="002B08C7"/>
    <w:rPr>
      <w:sz w:val="16"/>
      <w:szCs w:val="16"/>
    </w:rPr>
  </w:style>
  <w:style w:type="paragraph" w:styleId="CommentText">
    <w:name w:val="annotation text"/>
    <w:basedOn w:val="Normal"/>
    <w:link w:val="CommentTextChar"/>
    <w:uiPriority w:val="99"/>
    <w:semiHidden/>
    <w:unhideWhenUsed/>
    <w:rsid w:val="002B08C7"/>
    <w:pPr>
      <w:spacing w:line="240" w:lineRule="auto"/>
    </w:pPr>
  </w:style>
  <w:style w:type="character" w:customStyle="1" w:styleId="CommentTextChar">
    <w:name w:val="Comment Text Char"/>
    <w:basedOn w:val="DefaultParagraphFont"/>
    <w:link w:val="CommentText"/>
    <w:uiPriority w:val="99"/>
    <w:semiHidden/>
    <w:rsid w:val="002B08C7"/>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2B08C7"/>
    <w:rPr>
      <w:b/>
      <w:bCs/>
    </w:rPr>
  </w:style>
  <w:style w:type="character" w:customStyle="1" w:styleId="CommentSubjectChar">
    <w:name w:val="Comment Subject Char"/>
    <w:basedOn w:val="CommentTextChar"/>
    <w:link w:val="CommentSubject"/>
    <w:uiPriority w:val="99"/>
    <w:semiHidden/>
    <w:rsid w:val="002B08C7"/>
    <w:rPr>
      <w:b/>
      <w:bCs/>
      <w:color w:val="262626" w:themeColor="text1" w:themeTint="D9"/>
      <w:sz w:val="20"/>
      <w:szCs w:val="20"/>
    </w:rPr>
  </w:style>
  <w:style w:type="paragraph" w:customStyle="1" w:styleId="Bullet3">
    <w:name w:val="Bullet 3"/>
    <w:basedOn w:val="Normal"/>
    <w:rsid w:val="004C2DF7"/>
    <w:pPr>
      <w:numPr>
        <w:numId w:val="10"/>
      </w:numPr>
      <w:spacing w:after="200" w:line="240" w:lineRule="auto"/>
    </w:pPr>
    <w:rPr>
      <w:rFonts w:ascii="Times New Roman" w:eastAsiaTheme="minorEastAsia" w:hAnsi="Times New Roman"/>
      <w:color w:val="auto"/>
      <w:sz w:val="24"/>
      <w:szCs w:val="24"/>
    </w:rPr>
  </w:style>
  <w:style w:type="character" w:customStyle="1" w:styleId="Heading4Char">
    <w:name w:val="Heading 4 Char"/>
    <w:basedOn w:val="DefaultParagraphFont"/>
    <w:link w:val="Heading4"/>
    <w:uiPriority w:val="9"/>
    <w:rsid w:val="001677D0"/>
    <w:rPr>
      <w:rFonts w:asciiTheme="majorHAnsi" w:eastAsiaTheme="majorEastAsia" w:hAnsiTheme="majorHAnsi" w:cstheme="majorBidi"/>
      <w:i/>
      <w:iCs/>
      <w:color w:val="C49A00" w:themeColor="accent1" w:themeShade="BF"/>
      <w:sz w:val="20"/>
      <w:szCs w:val="20"/>
    </w:rPr>
  </w:style>
  <w:style w:type="character" w:customStyle="1" w:styleId="Heading1Char">
    <w:name w:val="Heading 1 Char"/>
    <w:basedOn w:val="DefaultParagraphFont"/>
    <w:link w:val="Heading1"/>
    <w:uiPriority w:val="9"/>
    <w:rsid w:val="004C16B1"/>
    <w:rPr>
      <w:rFonts w:ascii="Century Gothic" w:eastAsiaTheme="majorEastAsia" w:hAnsi="Century Gothic" w:cstheme="majorBidi"/>
      <w:b/>
      <w:iCs/>
      <w:color w:val="EC7016" w:themeColor="accent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DOC21-356106</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4AB3EF-E8AF-472E-A96D-4674F4F1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3F755-6996-4055-9CAF-E11012D9C505}">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166541c0-0594-4e6a-9105-c24d4b6de6f7"/>
    <ds:schemaRef ds:uri="http://schemas.openxmlformats.org/package/2006/metadata/core-properties"/>
    <ds:schemaRef ds:uri="http://purl.org/dc/terms/"/>
    <ds:schemaRef ds:uri="685f9fda-bd71-4433-b331-92feb9553089"/>
    <ds:schemaRef ds:uri="http://www.w3.org/XML/1998/namespace"/>
    <ds:schemaRef ds:uri="http://purl.org/dc/dcmitype/"/>
  </ds:schemaRefs>
</ds:datastoreItem>
</file>

<file path=customXml/itemProps3.xml><?xml version="1.0" encoding="utf-8"?>
<ds:datastoreItem xmlns:ds="http://schemas.openxmlformats.org/officeDocument/2006/customXml" ds:itemID="{ADC3EBF5-2B60-4D07-BEB0-D0A13220877D}">
  <ds:schemaRefs>
    <ds:schemaRef ds:uri="http://schemas.microsoft.com/sharepoint/v3/contenttype/forms"/>
  </ds:schemaRefs>
</ds:datastoreItem>
</file>

<file path=customXml/itemProps4.xml><?xml version="1.0" encoding="utf-8"?>
<ds:datastoreItem xmlns:ds="http://schemas.openxmlformats.org/officeDocument/2006/customXml" ds:itemID="{2C8EE2A4-23DA-40EA-A996-A33078B0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2021-12-09T03:02:00Z</dcterms:created>
  <dcterms:modified xsi:type="dcterms:W3CDTF">2021-12-09T03:56:00Z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2021-12-14T09:32:24</vt:lpwstr>
  </property>
</Properties>
</file>